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auto"/>
        <w:ind w:firstLine="0" w:firstLineChars="0"/>
        <w:jc w:val="center"/>
        <w:rPr>
          <w:rFonts w:hint="eastAsia" w:cs="宋体"/>
          <w:b/>
          <w:bCs/>
          <w:color w:val="auto"/>
          <w:sz w:val="52"/>
          <w:szCs w:val="52"/>
          <w:highlight w:val="none"/>
        </w:rPr>
      </w:pPr>
    </w:p>
    <w:p>
      <w:pPr>
        <w:snapToGrid w:val="0"/>
        <w:ind w:firstLine="0" w:firstLineChars="0"/>
        <w:jc w:val="center"/>
        <w:rPr>
          <w:rFonts w:cs="宋体"/>
          <w:b/>
          <w:bCs/>
          <w:color w:val="auto"/>
          <w:sz w:val="52"/>
          <w:szCs w:val="52"/>
          <w:highlight w:val="none"/>
        </w:rPr>
      </w:pPr>
      <w:r>
        <w:rPr>
          <w:rFonts w:hint="eastAsia" w:cs="宋体"/>
          <w:b/>
          <w:bCs/>
          <w:color w:val="auto"/>
          <w:sz w:val="52"/>
          <w:szCs w:val="52"/>
          <w:highlight w:val="none"/>
        </w:rPr>
        <w:t>浙江出入境边防检查总站</w:t>
      </w:r>
    </w:p>
    <w:p>
      <w:pPr>
        <w:snapToGrid w:val="0"/>
        <w:ind w:firstLine="0" w:firstLineChars="0"/>
        <w:jc w:val="center"/>
        <w:rPr>
          <w:rFonts w:cs="宋体"/>
          <w:b/>
          <w:bCs/>
          <w:color w:val="auto"/>
          <w:sz w:val="52"/>
          <w:szCs w:val="52"/>
          <w:highlight w:val="none"/>
        </w:rPr>
      </w:pPr>
      <w:r>
        <w:rPr>
          <w:rFonts w:hint="eastAsia" w:cs="宋体"/>
          <w:b/>
          <w:bCs/>
          <w:color w:val="auto"/>
          <w:sz w:val="52"/>
          <w:szCs w:val="52"/>
          <w:highlight w:val="none"/>
        </w:rPr>
        <w:t>储备地块围墙改建工程</w:t>
      </w:r>
    </w:p>
    <w:p>
      <w:pPr>
        <w:snapToGrid w:val="0"/>
        <w:ind w:firstLine="0" w:firstLineChars="0"/>
        <w:rPr>
          <w:rFonts w:cs="宋体"/>
          <w:b/>
          <w:color w:val="auto"/>
          <w:sz w:val="72"/>
          <w:szCs w:val="72"/>
          <w:highlight w:val="none"/>
        </w:rPr>
      </w:pPr>
    </w:p>
    <w:p>
      <w:pPr>
        <w:pStyle w:val="2"/>
        <w:rPr>
          <w:rFonts w:ascii="宋体" w:hAnsi="宋体" w:eastAsia="宋体" w:cs="宋体"/>
          <w:color w:val="auto"/>
          <w:highlight w:val="none"/>
        </w:rPr>
      </w:pPr>
    </w:p>
    <w:p>
      <w:pPr>
        <w:pStyle w:val="29"/>
        <w:ind w:left="0"/>
        <w:rPr>
          <w:rFonts w:ascii="宋体" w:hAnsi="宋体" w:eastAsia="宋体" w:cs="宋体"/>
          <w:color w:val="auto"/>
          <w:highlight w:val="none"/>
        </w:rPr>
      </w:pPr>
    </w:p>
    <w:p>
      <w:pPr>
        <w:snapToGrid w:val="0"/>
        <w:ind w:firstLine="0" w:firstLineChars="0"/>
        <w:jc w:val="center"/>
        <w:rPr>
          <w:rFonts w:cs="宋体"/>
          <w:b/>
          <w:color w:val="auto"/>
          <w:sz w:val="72"/>
          <w:szCs w:val="72"/>
          <w:highlight w:val="none"/>
        </w:rPr>
      </w:pPr>
      <w:r>
        <w:rPr>
          <w:rFonts w:hint="eastAsia" w:cs="宋体"/>
          <w:b/>
          <w:color w:val="auto"/>
          <w:sz w:val="72"/>
          <w:szCs w:val="72"/>
          <w:highlight w:val="none"/>
        </w:rPr>
        <w:t>公开招标文件</w:t>
      </w:r>
    </w:p>
    <w:p>
      <w:pPr>
        <w:pStyle w:val="2"/>
        <w:rPr>
          <w:rFonts w:ascii="宋体" w:hAnsi="宋体" w:eastAsia="宋体" w:cs="宋体"/>
          <w:color w:val="auto"/>
          <w:highlight w:val="none"/>
        </w:rPr>
      </w:pPr>
    </w:p>
    <w:p>
      <w:pPr>
        <w:pStyle w:val="29"/>
        <w:ind w:left="0"/>
        <w:rPr>
          <w:rFonts w:ascii="宋体" w:hAnsi="宋体" w:eastAsia="宋体" w:cs="宋体"/>
          <w:color w:val="auto"/>
          <w:highlight w:val="none"/>
        </w:rPr>
      </w:pPr>
    </w:p>
    <w:p>
      <w:pPr>
        <w:pStyle w:val="3"/>
        <w:ind w:left="0"/>
        <w:rPr>
          <w:rFonts w:ascii="宋体" w:hAnsi="宋体" w:eastAsia="宋体" w:cs="宋体"/>
          <w:color w:val="auto"/>
          <w:highlight w:val="none"/>
        </w:rPr>
      </w:pPr>
    </w:p>
    <w:p>
      <w:pPr>
        <w:ind w:firstLine="0" w:firstLineChars="0"/>
        <w:rPr>
          <w:rFonts w:cs="宋体"/>
          <w:color w:val="auto"/>
          <w:highlight w:val="none"/>
        </w:rPr>
      </w:pPr>
    </w:p>
    <w:p>
      <w:pPr>
        <w:pStyle w:val="2"/>
        <w:rPr>
          <w:rFonts w:ascii="宋体" w:hAnsi="宋体" w:eastAsia="宋体" w:cs="宋体"/>
          <w:color w:val="auto"/>
          <w:sz w:val="28"/>
          <w:szCs w:val="28"/>
          <w:highlight w:val="none"/>
        </w:rPr>
      </w:pPr>
    </w:p>
    <w:p>
      <w:pPr>
        <w:snapToGrid w:val="0"/>
        <w:ind w:firstLine="643"/>
        <w:rPr>
          <w:rFonts w:cs="宋体"/>
          <w:b/>
          <w:bCs/>
          <w:color w:val="auto"/>
          <w:sz w:val="32"/>
          <w:szCs w:val="32"/>
          <w:highlight w:val="none"/>
        </w:rPr>
      </w:pPr>
      <w:r>
        <w:rPr>
          <w:rFonts w:hint="eastAsia" w:cs="宋体"/>
          <w:b/>
          <w:bCs/>
          <w:color w:val="auto"/>
          <w:sz w:val="32"/>
          <w:szCs w:val="32"/>
          <w:highlight w:val="none"/>
        </w:rPr>
        <w:t>招标项目：浙江出入境边防检查总站储备地块围墙改建工程</w:t>
      </w:r>
    </w:p>
    <w:p>
      <w:pPr>
        <w:snapToGrid w:val="0"/>
        <w:ind w:firstLine="643"/>
        <w:rPr>
          <w:rFonts w:cs="宋体"/>
          <w:b/>
          <w:bCs/>
          <w:color w:val="auto"/>
          <w:sz w:val="32"/>
          <w:szCs w:val="32"/>
          <w:highlight w:val="none"/>
        </w:rPr>
      </w:pPr>
      <w:r>
        <w:rPr>
          <w:rFonts w:hint="eastAsia" w:cs="宋体"/>
          <w:b/>
          <w:bCs/>
          <w:color w:val="auto"/>
          <w:sz w:val="32"/>
          <w:szCs w:val="32"/>
          <w:highlight w:val="none"/>
        </w:rPr>
        <w:t>招标编号：ZJWSBJ-BFZZ-2021005G</w:t>
      </w:r>
    </w:p>
    <w:p>
      <w:pPr>
        <w:snapToGrid w:val="0"/>
        <w:ind w:firstLine="643"/>
        <w:rPr>
          <w:rFonts w:cs="宋体"/>
          <w:b/>
          <w:bCs/>
          <w:color w:val="auto"/>
          <w:sz w:val="32"/>
          <w:szCs w:val="32"/>
          <w:highlight w:val="none"/>
        </w:rPr>
      </w:pPr>
      <w:r>
        <w:rPr>
          <w:rFonts w:hint="eastAsia" w:cs="宋体"/>
          <w:b/>
          <w:bCs/>
          <w:color w:val="auto"/>
          <w:sz w:val="32"/>
          <w:szCs w:val="32"/>
          <w:highlight w:val="none"/>
        </w:rPr>
        <w:t>招 标 人：浙江出入境边防检查总站</w:t>
      </w:r>
    </w:p>
    <w:p>
      <w:pPr>
        <w:snapToGrid w:val="0"/>
        <w:ind w:firstLine="643"/>
        <w:rPr>
          <w:rFonts w:cs="宋体"/>
          <w:b/>
          <w:bCs/>
          <w:color w:val="auto"/>
          <w:sz w:val="32"/>
          <w:szCs w:val="32"/>
          <w:highlight w:val="none"/>
        </w:rPr>
      </w:pPr>
      <w:r>
        <w:rPr>
          <w:rFonts w:hint="eastAsia" w:cs="宋体"/>
          <w:b/>
          <w:bCs/>
          <w:color w:val="auto"/>
          <w:sz w:val="32"/>
          <w:szCs w:val="32"/>
          <w:highlight w:val="none"/>
        </w:rPr>
        <w:t>代理机构：浙江五石工程咨询有限公司</w:t>
      </w:r>
    </w:p>
    <w:p>
      <w:pPr>
        <w:snapToGrid w:val="0"/>
        <w:ind w:firstLine="643"/>
        <w:rPr>
          <w:rFonts w:cs="宋体"/>
          <w:b/>
          <w:bCs/>
          <w:color w:val="auto"/>
          <w:sz w:val="32"/>
          <w:szCs w:val="32"/>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pgNumType w:start="1"/>
          <w:cols w:space="720" w:num="1"/>
          <w:docGrid w:type="lines" w:linePitch="312" w:charSpace="0"/>
        </w:sectPr>
      </w:pPr>
      <w:r>
        <w:rPr>
          <w:rFonts w:hint="eastAsia" w:cs="宋体"/>
          <w:b/>
          <w:bCs/>
          <w:color w:val="auto"/>
          <w:sz w:val="32"/>
          <w:szCs w:val="32"/>
          <w:highlight w:val="none"/>
        </w:rPr>
        <w:t>时    间：二〇二一年五月</w:t>
      </w:r>
    </w:p>
    <w:sdt>
      <w:sdtPr>
        <w:rPr>
          <w:rFonts w:hint="eastAsia" w:cs="宋体"/>
          <w:bCs/>
          <w:caps/>
          <w:color w:val="auto"/>
          <w:sz w:val="20"/>
          <w:szCs w:val="20"/>
          <w:highlight w:val="none"/>
        </w:rPr>
        <w:id w:val="147460309"/>
        <w:docPartObj>
          <w:docPartGallery w:val="Table of Contents"/>
          <w:docPartUnique/>
        </w:docPartObj>
      </w:sdtPr>
      <w:sdtEndPr>
        <w:rPr>
          <w:rFonts w:hint="eastAsia" w:cs="宋体"/>
          <w:b/>
          <w:bCs/>
          <w:caps/>
          <w:color w:val="auto"/>
          <w:sz w:val="20"/>
          <w:szCs w:val="21"/>
          <w:highlight w:val="none"/>
        </w:rPr>
      </w:sdtEndPr>
      <w:sdtContent>
        <w:p>
          <w:pPr>
            <w:spacing w:line="240" w:lineRule="auto"/>
            <w:ind w:firstLine="0" w:firstLineChars="0"/>
            <w:jc w:val="center"/>
            <w:rPr>
              <w:rFonts w:cs="宋体"/>
              <w:color w:val="auto"/>
              <w:highlight w:val="none"/>
            </w:rPr>
          </w:pPr>
          <w:r>
            <w:rPr>
              <w:rFonts w:hint="eastAsia" w:cs="宋体"/>
              <w:b/>
              <w:bCs/>
              <w:color w:val="auto"/>
              <w:sz w:val="36"/>
              <w:szCs w:val="44"/>
              <w:highlight w:val="none"/>
            </w:rPr>
            <w:t>目录</w:t>
          </w:r>
        </w:p>
        <w:p>
          <w:pPr>
            <w:pStyle w:val="35"/>
            <w:tabs>
              <w:tab w:val="right" w:leader="dot" w:pos="9070"/>
            </w:tabs>
            <w:adjustRightInd w:val="0"/>
            <w:snapToGrid w:val="0"/>
            <w:spacing w:line="360" w:lineRule="auto"/>
            <w:rPr>
              <w:rFonts w:ascii="宋体" w:hAnsi="宋体" w:cs="宋体"/>
              <w:b/>
              <w:color w:val="auto"/>
              <w:sz w:val="24"/>
              <w:szCs w:val="24"/>
              <w:highlight w:val="none"/>
            </w:rPr>
          </w:pP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TOC \o "1-2" \h \u </w:instrText>
          </w:r>
          <w:r>
            <w:rPr>
              <w:rFonts w:hint="eastAsia" w:ascii="宋体" w:hAnsi="宋体" w:cs="宋体"/>
              <w:color w:val="auto"/>
              <w:sz w:val="21"/>
              <w:szCs w:val="21"/>
              <w:highlight w:val="none"/>
            </w:rPr>
            <w:fldChar w:fldCharType="separate"/>
          </w:r>
          <w:r>
            <w:rPr>
              <w:color w:val="auto"/>
              <w:highlight w:val="none"/>
            </w:rPr>
            <w:fldChar w:fldCharType="begin"/>
          </w:r>
          <w:r>
            <w:rPr>
              <w:color w:val="auto"/>
              <w:highlight w:val="none"/>
            </w:rPr>
            <w:instrText xml:space="preserve"> HYPERLINK \l "_Toc1763" </w:instrText>
          </w:r>
          <w:r>
            <w:rPr>
              <w:color w:val="auto"/>
              <w:highlight w:val="none"/>
            </w:rPr>
            <w:fldChar w:fldCharType="separate"/>
          </w:r>
          <w:r>
            <w:rPr>
              <w:rFonts w:hint="eastAsia" w:ascii="宋体" w:hAnsi="宋体" w:cs="宋体"/>
              <w:b/>
              <w:color w:val="auto"/>
              <w:sz w:val="24"/>
              <w:szCs w:val="24"/>
              <w:highlight w:val="none"/>
            </w:rPr>
            <w:t>第一章  招标公告</w:t>
          </w:r>
          <w:r>
            <w:rPr>
              <w:rFonts w:hint="eastAsia" w:ascii="宋体" w:hAnsi="宋体" w:cs="宋体"/>
              <w:b/>
              <w:color w:val="auto"/>
              <w:sz w:val="24"/>
              <w:szCs w:val="24"/>
              <w:highlight w:val="none"/>
            </w:rPr>
            <w:tab/>
          </w: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PAGEREF _Toc1763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1</w:t>
          </w:r>
          <w:r>
            <w:rPr>
              <w:rFonts w:hint="eastAsia" w:ascii="宋体" w:hAnsi="宋体" w:cs="宋体"/>
              <w:b/>
              <w:color w:val="auto"/>
              <w:sz w:val="24"/>
              <w:szCs w:val="24"/>
              <w:highlight w:val="none"/>
            </w:rPr>
            <w:fldChar w:fldCharType="end"/>
          </w:r>
          <w:r>
            <w:rPr>
              <w:rFonts w:hint="eastAsia" w:ascii="宋体" w:hAnsi="宋体" w:cs="宋体"/>
              <w:b/>
              <w:color w:val="auto"/>
              <w:sz w:val="24"/>
              <w:szCs w:val="24"/>
              <w:highlight w:val="none"/>
            </w:rPr>
            <w:fldChar w:fldCharType="end"/>
          </w:r>
        </w:p>
        <w:p>
          <w:pPr>
            <w:pStyle w:val="35"/>
            <w:tabs>
              <w:tab w:val="right" w:leader="dot" w:pos="9070"/>
            </w:tabs>
            <w:adjustRightInd w:val="0"/>
            <w:snapToGrid w:val="0"/>
            <w:spacing w:line="360" w:lineRule="auto"/>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"_Toc30447" </w:instrText>
          </w:r>
          <w:r>
            <w:rPr>
              <w:color w:val="auto"/>
              <w:highlight w:val="none"/>
            </w:rPr>
            <w:fldChar w:fldCharType="separate"/>
          </w:r>
          <w:r>
            <w:rPr>
              <w:rFonts w:hint="eastAsia" w:ascii="宋体" w:hAnsi="宋体" w:cs="宋体"/>
              <w:b/>
              <w:color w:val="auto"/>
              <w:sz w:val="24"/>
              <w:szCs w:val="24"/>
              <w:highlight w:val="none"/>
            </w:rPr>
            <w:t>第二章  投标人须知</w:t>
          </w:r>
          <w:r>
            <w:rPr>
              <w:rFonts w:hint="eastAsia" w:ascii="宋体" w:hAnsi="宋体" w:cs="宋体"/>
              <w:b/>
              <w:color w:val="auto"/>
              <w:sz w:val="24"/>
              <w:szCs w:val="24"/>
              <w:highlight w:val="none"/>
            </w:rPr>
            <w:tab/>
          </w: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PAGEREF _Toc30447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3</w:t>
          </w:r>
          <w:r>
            <w:rPr>
              <w:rFonts w:hint="eastAsia" w:ascii="宋体" w:hAnsi="宋体" w:cs="宋体"/>
              <w:b/>
              <w:color w:val="auto"/>
              <w:sz w:val="24"/>
              <w:szCs w:val="24"/>
              <w:highlight w:val="none"/>
            </w:rPr>
            <w:fldChar w:fldCharType="end"/>
          </w:r>
          <w:r>
            <w:rPr>
              <w:rFonts w:hint="eastAsia" w:ascii="宋体" w:hAnsi="宋体" w:cs="宋体"/>
              <w:b/>
              <w:color w:val="auto"/>
              <w:sz w:val="24"/>
              <w:szCs w:val="24"/>
              <w:highlight w:val="none"/>
            </w:rPr>
            <w:fldChar w:fldCharType="end"/>
          </w:r>
        </w:p>
        <w:p>
          <w:pPr>
            <w:pStyle w:val="35"/>
            <w:tabs>
              <w:tab w:val="right" w:leader="dot" w:pos="9070"/>
            </w:tabs>
            <w:adjustRightInd w:val="0"/>
            <w:snapToGrid w:val="0"/>
            <w:spacing w:line="360" w:lineRule="auto"/>
            <w:rPr>
              <w:rFonts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"_Toc32532" </w:instrText>
          </w:r>
          <w:r>
            <w:rPr>
              <w:color w:val="auto"/>
              <w:highlight w:val="none"/>
            </w:rPr>
            <w:fldChar w:fldCharType="separate"/>
          </w:r>
          <w:r>
            <w:rPr>
              <w:rFonts w:hint="eastAsia" w:ascii="宋体" w:hAnsi="宋体" w:cs="宋体"/>
              <w:b/>
              <w:color w:val="auto"/>
              <w:sz w:val="24"/>
              <w:szCs w:val="24"/>
              <w:highlight w:val="none"/>
            </w:rPr>
            <w:t>第三章  采购需求</w:t>
          </w:r>
          <w:r>
            <w:rPr>
              <w:rFonts w:hint="eastAsia" w:ascii="宋体" w:hAnsi="宋体" w:cs="宋体"/>
              <w:b/>
              <w:color w:val="auto"/>
              <w:sz w:val="24"/>
              <w:szCs w:val="24"/>
              <w:highlight w:val="none"/>
            </w:rPr>
            <w:tab/>
          </w: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PAGEREF _Toc32532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18</w:t>
          </w:r>
          <w:r>
            <w:rPr>
              <w:rFonts w:hint="eastAsia" w:ascii="宋体" w:hAnsi="宋体" w:cs="宋体"/>
              <w:b/>
              <w:color w:val="auto"/>
              <w:sz w:val="24"/>
              <w:szCs w:val="24"/>
              <w:highlight w:val="none"/>
            </w:rPr>
            <w:fldChar w:fldCharType="end"/>
          </w:r>
          <w:r>
            <w:rPr>
              <w:rFonts w:hint="eastAsia" w:ascii="宋体" w:hAnsi="宋体" w:cs="宋体"/>
              <w:b/>
              <w:color w:val="auto"/>
              <w:sz w:val="24"/>
              <w:szCs w:val="24"/>
              <w:highlight w:val="none"/>
            </w:rPr>
            <w:fldChar w:fldCharType="end"/>
          </w:r>
        </w:p>
        <w:p>
          <w:pPr>
            <w:pStyle w:val="36"/>
            <w:tabs>
              <w:tab w:val="right" w:leader="dot" w:pos="9070"/>
            </w:tabs>
            <w:adjustRightInd w:val="0"/>
            <w:snapToGrid w:val="0"/>
            <w:spacing w:line="360" w:lineRule="auto"/>
            <w:ind w:left="42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"_Toc1738" </w:instrText>
          </w:r>
          <w:r>
            <w:rPr>
              <w:color w:val="auto"/>
              <w:highlight w:val="none"/>
            </w:rPr>
            <w:fldChar w:fldCharType="separate"/>
          </w:r>
          <w:r>
            <w:rPr>
              <w:rFonts w:hint="eastAsia" w:ascii="宋体" w:hAnsi="宋体" w:cs="宋体"/>
              <w:color w:val="auto"/>
              <w:sz w:val="24"/>
              <w:szCs w:val="24"/>
              <w:highlight w:val="none"/>
            </w:rPr>
            <w:t>一、项目概述</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_Toc1738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18</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6"/>
            <w:tabs>
              <w:tab w:val="right" w:leader="dot" w:pos="9070"/>
            </w:tabs>
            <w:adjustRightInd w:val="0"/>
            <w:snapToGrid w:val="0"/>
            <w:spacing w:line="360" w:lineRule="auto"/>
            <w:ind w:left="42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"_Toc25066" </w:instrText>
          </w:r>
          <w:r>
            <w:rPr>
              <w:color w:val="auto"/>
              <w:highlight w:val="none"/>
            </w:rPr>
            <w:fldChar w:fldCharType="separate"/>
          </w:r>
          <w:r>
            <w:rPr>
              <w:rFonts w:hint="eastAsia" w:ascii="宋体" w:hAnsi="宋体" w:cs="宋体"/>
              <w:color w:val="auto"/>
              <w:sz w:val="24"/>
              <w:szCs w:val="24"/>
              <w:highlight w:val="none"/>
            </w:rPr>
            <w:t>二、规范要求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_Toc25066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19</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6"/>
            <w:tabs>
              <w:tab w:val="right" w:leader="dot" w:pos="9070"/>
            </w:tabs>
            <w:adjustRightInd w:val="0"/>
            <w:snapToGrid w:val="0"/>
            <w:spacing w:line="360" w:lineRule="auto"/>
            <w:ind w:left="42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"_Toc5812" </w:instrText>
          </w:r>
          <w:r>
            <w:rPr>
              <w:color w:val="auto"/>
              <w:highlight w:val="none"/>
            </w:rPr>
            <w:fldChar w:fldCharType="separate"/>
          </w:r>
          <w:r>
            <w:rPr>
              <w:rFonts w:hint="eastAsia" w:ascii="宋体" w:hAnsi="宋体" w:cs="宋体"/>
              <w:color w:val="auto"/>
              <w:sz w:val="24"/>
              <w:szCs w:val="24"/>
              <w:highlight w:val="none"/>
            </w:rPr>
            <w:t>三、施工要求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_Toc5812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19</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6"/>
            <w:tabs>
              <w:tab w:val="right" w:leader="dot" w:pos="9070"/>
            </w:tabs>
            <w:adjustRightInd w:val="0"/>
            <w:snapToGrid w:val="0"/>
            <w:spacing w:line="360" w:lineRule="auto"/>
            <w:ind w:left="42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"_Toc3852" </w:instrText>
          </w:r>
          <w:r>
            <w:rPr>
              <w:color w:val="auto"/>
              <w:highlight w:val="none"/>
            </w:rPr>
            <w:fldChar w:fldCharType="separate"/>
          </w:r>
          <w:r>
            <w:rPr>
              <w:rFonts w:hint="eastAsia" w:ascii="宋体" w:hAnsi="宋体" w:cs="宋体"/>
              <w:color w:val="auto"/>
              <w:sz w:val="24"/>
              <w:szCs w:val="24"/>
              <w:highlight w:val="none"/>
            </w:rPr>
            <w:t>四、材料质量要求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_Toc3852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19</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6"/>
            <w:tabs>
              <w:tab w:val="right" w:leader="dot" w:pos="9070"/>
            </w:tabs>
            <w:adjustRightInd w:val="0"/>
            <w:snapToGrid w:val="0"/>
            <w:spacing w:line="360" w:lineRule="auto"/>
            <w:ind w:left="42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"_Toc26193" </w:instrText>
          </w:r>
          <w:r>
            <w:rPr>
              <w:color w:val="auto"/>
              <w:highlight w:val="none"/>
            </w:rPr>
            <w:fldChar w:fldCharType="separate"/>
          </w:r>
          <w:r>
            <w:rPr>
              <w:rFonts w:hint="eastAsia" w:ascii="宋体" w:hAnsi="宋体" w:cs="宋体"/>
              <w:color w:val="auto"/>
              <w:sz w:val="24"/>
              <w:szCs w:val="24"/>
              <w:highlight w:val="none"/>
            </w:rPr>
            <w:t>五、工程管理的要求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_Toc26193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24</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6"/>
            <w:tabs>
              <w:tab w:val="right" w:leader="dot" w:pos="9070"/>
            </w:tabs>
            <w:adjustRightInd w:val="0"/>
            <w:snapToGrid w:val="0"/>
            <w:spacing w:line="360" w:lineRule="auto"/>
            <w:ind w:left="42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"_Toc21067" </w:instrText>
          </w:r>
          <w:r>
            <w:rPr>
              <w:color w:val="auto"/>
              <w:highlight w:val="none"/>
            </w:rPr>
            <w:fldChar w:fldCharType="separate"/>
          </w:r>
          <w:r>
            <w:rPr>
              <w:rFonts w:hint="eastAsia" w:ascii="宋体" w:hAnsi="宋体" w:cs="宋体"/>
              <w:color w:val="auto"/>
              <w:sz w:val="24"/>
              <w:szCs w:val="24"/>
              <w:highlight w:val="none"/>
            </w:rPr>
            <w:t>六、报价要求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_Toc21067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6"/>
            <w:tabs>
              <w:tab w:val="right" w:leader="dot" w:pos="9070"/>
            </w:tabs>
            <w:adjustRightInd w:val="0"/>
            <w:snapToGrid w:val="0"/>
            <w:spacing w:line="360" w:lineRule="auto"/>
            <w:ind w:left="42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"_Toc24817" </w:instrText>
          </w:r>
          <w:r>
            <w:rPr>
              <w:color w:val="auto"/>
              <w:highlight w:val="none"/>
            </w:rPr>
            <w:fldChar w:fldCharType="separate"/>
          </w:r>
          <w:r>
            <w:rPr>
              <w:rFonts w:hint="eastAsia" w:ascii="宋体" w:hAnsi="宋体" w:cs="宋体"/>
              <w:color w:val="auto"/>
              <w:sz w:val="24"/>
              <w:szCs w:val="24"/>
              <w:highlight w:val="none"/>
            </w:rPr>
            <w:t>七、保修的要求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_Toc24817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6"/>
            <w:tabs>
              <w:tab w:val="right" w:leader="dot" w:pos="9070"/>
            </w:tabs>
            <w:adjustRightInd w:val="0"/>
            <w:snapToGrid w:val="0"/>
            <w:spacing w:line="360" w:lineRule="auto"/>
            <w:ind w:left="42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"_Toc1394" </w:instrText>
          </w:r>
          <w:r>
            <w:rPr>
              <w:color w:val="auto"/>
              <w:highlight w:val="none"/>
            </w:rPr>
            <w:fldChar w:fldCharType="separate"/>
          </w:r>
          <w:r>
            <w:rPr>
              <w:rFonts w:hint="eastAsia" w:ascii="宋体" w:hAnsi="宋体" w:cs="宋体"/>
              <w:color w:val="auto"/>
              <w:sz w:val="24"/>
              <w:szCs w:val="24"/>
              <w:highlight w:val="none"/>
            </w:rPr>
            <w:t>八、其他要求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_Toc1394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6"/>
            <w:tabs>
              <w:tab w:val="right" w:leader="dot" w:pos="9070"/>
            </w:tabs>
            <w:adjustRightInd w:val="0"/>
            <w:snapToGrid w:val="0"/>
            <w:spacing w:line="360" w:lineRule="auto"/>
            <w:ind w:left="42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"_Toc3589" </w:instrText>
          </w:r>
          <w:r>
            <w:rPr>
              <w:color w:val="auto"/>
              <w:highlight w:val="none"/>
            </w:rPr>
            <w:fldChar w:fldCharType="separate"/>
          </w:r>
          <w:r>
            <w:rPr>
              <w:rFonts w:hint="eastAsia" w:ascii="宋体" w:hAnsi="宋体" w:cs="宋体"/>
              <w:color w:val="auto"/>
              <w:sz w:val="24"/>
              <w:szCs w:val="24"/>
              <w:highlight w:val="none"/>
            </w:rPr>
            <w:t>九、图纸、工程量清单、工程量清单编制说明另附；</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_Toc3589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6"/>
            <w:tabs>
              <w:tab w:val="right" w:leader="dot" w:pos="9070"/>
            </w:tabs>
            <w:adjustRightInd w:val="0"/>
            <w:snapToGrid w:val="0"/>
            <w:spacing w:line="360" w:lineRule="auto"/>
            <w:ind w:left="42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"_Toc7097" </w:instrText>
          </w:r>
          <w:r>
            <w:rPr>
              <w:color w:val="auto"/>
              <w:highlight w:val="none"/>
            </w:rPr>
            <w:fldChar w:fldCharType="separate"/>
          </w:r>
          <w:r>
            <w:rPr>
              <w:rFonts w:hint="eastAsia" w:ascii="宋体" w:hAnsi="宋体" w:cs="宋体"/>
              <w:color w:val="auto"/>
              <w:sz w:val="24"/>
              <w:szCs w:val="24"/>
              <w:highlight w:val="none"/>
            </w:rPr>
            <w:t>十、部分主要材料设备推荐品牌表</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_Toc7097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5"/>
            <w:tabs>
              <w:tab w:val="right" w:leader="dot" w:pos="9070"/>
            </w:tabs>
            <w:adjustRightInd w:val="0"/>
            <w:snapToGrid w:val="0"/>
            <w:spacing w:line="360" w:lineRule="auto"/>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"_Toc8008" </w:instrText>
          </w:r>
          <w:r>
            <w:rPr>
              <w:color w:val="auto"/>
              <w:highlight w:val="none"/>
            </w:rPr>
            <w:fldChar w:fldCharType="separate"/>
          </w:r>
          <w:r>
            <w:rPr>
              <w:rFonts w:hint="eastAsia" w:ascii="宋体" w:hAnsi="宋体" w:cs="宋体"/>
              <w:b/>
              <w:color w:val="auto"/>
              <w:sz w:val="24"/>
              <w:szCs w:val="24"/>
              <w:highlight w:val="none"/>
            </w:rPr>
            <w:t>第四章  合同条款</w:t>
          </w:r>
          <w:r>
            <w:rPr>
              <w:rFonts w:hint="eastAsia" w:ascii="宋体" w:hAnsi="宋体" w:cs="宋体"/>
              <w:b/>
              <w:color w:val="auto"/>
              <w:sz w:val="24"/>
              <w:szCs w:val="24"/>
              <w:highlight w:val="none"/>
            </w:rPr>
            <w:tab/>
          </w: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PAGEREF _Toc8008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27</w:t>
          </w:r>
          <w:r>
            <w:rPr>
              <w:rFonts w:hint="eastAsia" w:ascii="宋体" w:hAnsi="宋体" w:cs="宋体"/>
              <w:b/>
              <w:color w:val="auto"/>
              <w:sz w:val="24"/>
              <w:szCs w:val="24"/>
              <w:highlight w:val="none"/>
            </w:rPr>
            <w:fldChar w:fldCharType="end"/>
          </w:r>
          <w:r>
            <w:rPr>
              <w:rFonts w:hint="eastAsia" w:ascii="宋体" w:hAnsi="宋体" w:cs="宋体"/>
              <w:b/>
              <w:color w:val="auto"/>
              <w:sz w:val="24"/>
              <w:szCs w:val="24"/>
              <w:highlight w:val="none"/>
            </w:rPr>
            <w:fldChar w:fldCharType="end"/>
          </w:r>
        </w:p>
        <w:p>
          <w:pPr>
            <w:pStyle w:val="35"/>
            <w:tabs>
              <w:tab w:val="right" w:leader="dot" w:pos="9070"/>
            </w:tabs>
            <w:adjustRightInd w:val="0"/>
            <w:snapToGrid w:val="0"/>
            <w:spacing w:line="360" w:lineRule="auto"/>
            <w:rPr>
              <w:rFonts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"_Toc28736" </w:instrText>
          </w:r>
          <w:r>
            <w:rPr>
              <w:color w:val="auto"/>
              <w:highlight w:val="none"/>
            </w:rPr>
            <w:fldChar w:fldCharType="separate"/>
          </w:r>
          <w:r>
            <w:rPr>
              <w:rFonts w:hint="eastAsia" w:ascii="宋体" w:hAnsi="宋体" w:cs="宋体"/>
              <w:b/>
              <w:color w:val="auto"/>
              <w:sz w:val="24"/>
              <w:szCs w:val="24"/>
              <w:highlight w:val="none"/>
            </w:rPr>
            <w:t>第五章  评标办法</w:t>
          </w:r>
          <w:r>
            <w:rPr>
              <w:rFonts w:hint="eastAsia" w:ascii="宋体" w:hAnsi="宋体" w:cs="宋体"/>
              <w:b/>
              <w:color w:val="auto"/>
              <w:sz w:val="24"/>
              <w:szCs w:val="24"/>
              <w:highlight w:val="none"/>
            </w:rPr>
            <w:tab/>
          </w: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PAGEREF _Toc28736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100</w:t>
          </w:r>
          <w:r>
            <w:rPr>
              <w:rFonts w:hint="eastAsia" w:ascii="宋体" w:hAnsi="宋体" w:cs="宋体"/>
              <w:b/>
              <w:color w:val="auto"/>
              <w:sz w:val="24"/>
              <w:szCs w:val="24"/>
              <w:highlight w:val="none"/>
            </w:rPr>
            <w:fldChar w:fldCharType="end"/>
          </w:r>
          <w:r>
            <w:rPr>
              <w:rFonts w:hint="eastAsia" w:ascii="宋体" w:hAnsi="宋体" w:cs="宋体"/>
              <w:b/>
              <w:color w:val="auto"/>
              <w:sz w:val="24"/>
              <w:szCs w:val="24"/>
              <w:highlight w:val="none"/>
            </w:rPr>
            <w:fldChar w:fldCharType="end"/>
          </w:r>
        </w:p>
        <w:p>
          <w:pPr>
            <w:pStyle w:val="35"/>
            <w:tabs>
              <w:tab w:val="right" w:leader="dot" w:pos="9070"/>
            </w:tabs>
            <w:adjustRightInd w:val="0"/>
            <w:snapToGrid w:val="0"/>
            <w:spacing w:line="360" w:lineRule="auto"/>
            <w:rPr>
              <w:rFonts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"_Toc12630" </w:instrText>
          </w:r>
          <w:r>
            <w:rPr>
              <w:color w:val="auto"/>
              <w:highlight w:val="none"/>
            </w:rPr>
            <w:fldChar w:fldCharType="separate"/>
          </w:r>
          <w:r>
            <w:rPr>
              <w:rFonts w:hint="eastAsia" w:ascii="宋体" w:hAnsi="宋体" w:cs="宋体"/>
              <w:b/>
              <w:color w:val="auto"/>
              <w:sz w:val="24"/>
              <w:szCs w:val="24"/>
              <w:highlight w:val="none"/>
            </w:rPr>
            <w:t>第六章  投标文件格式</w:t>
          </w:r>
          <w:r>
            <w:rPr>
              <w:rFonts w:hint="eastAsia" w:ascii="宋体" w:hAnsi="宋体" w:cs="宋体"/>
              <w:b/>
              <w:color w:val="auto"/>
              <w:sz w:val="24"/>
              <w:szCs w:val="24"/>
              <w:highlight w:val="none"/>
            </w:rPr>
            <w:tab/>
          </w: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PAGEREF _Toc12630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106</w:t>
          </w:r>
          <w:r>
            <w:rPr>
              <w:rFonts w:hint="eastAsia" w:ascii="宋体" w:hAnsi="宋体" w:cs="宋体"/>
              <w:b/>
              <w:color w:val="auto"/>
              <w:sz w:val="24"/>
              <w:szCs w:val="24"/>
              <w:highlight w:val="none"/>
            </w:rPr>
            <w:fldChar w:fldCharType="end"/>
          </w:r>
          <w:r>
            <w:rPr>
              <w:rFonts w:hint="eastAsia" w:ascii="宋体" w:hAnsi="宋体" w:cs="宋体"/>
              <w:b/>
              <w:color w:val="auto"/>
              <w:sz w:val="24"/>
              <w:szCs w:val="24"/>
              <w:highlight w:val="none"/>
            </w:rPr>
            <w:fldChar w:fldCharType="end"/>
          </w:r>
        </w:p>
        <w:p>
          <w:pPr>
            <w:pStyle w:val="35"/>
            <w:tabs>
              <w:tab w:val="right" w:leader="dot" w:pos="9070"/>
            </w:tabs>
            <w:rPr>
              <w:rFonts w:ascii="宋体" w:hAnsi="宋体" w:cs="宋体"/>
              <w:b/>
              <w:color w:val="auto"/>
              <w:highlight w:val="none"/>
            </w:rPr>
          </w:pPr>
        </w:p>
        <w:p>
          <w:pPr>
            <w:pStyle w:val="17"/>
            <w:tabs>
              <w:tab w:val="right" w:leader="dot" w:pos="8837"/>
              <w:tab w:val="clear" w:pos="8720"/>
            </w:tabs>
            <w:spacing w:line="400" w:lineRule="exact"/>
            <w:ind w:firstLine="402"/>
            <w:rPr>
              <w:rFonts w:ascii="宋体" w:hAnsi="宋体" w:cs="宋体"/>
              <w:color w:val="auto"/>
              <w:sz w:val="21"/>
              <w:szCs w:val="21"/>
              <w:highlight w:val="none"/>
            </w:rPr>
          </w:pPr>
          <w:r>
            <w:rPr>
              <w:rFonts w:hint="eastAsia" w:ascii="宋体" w:hAnsi="宋体" w:cs="宋体"/>
              <w:b/>
              <w:color w:val="auto"/>
              <w:szCs w:val="21"/>
              <w:highlight w:val="none"/>
            </w:rPr>
            <w:fldChar w:fldCharType="end"/>
          </w:r>
        </w:p>
      </w:sdtContent>
    </w:sdt>
    <w:p>
      <w:pPr>
        <w:pStyle w:val="17"/>
        <w:tabs>
          <w:tab w:val="right" w:leader="dot" w:pos="8837"/>
          <w:tab w:val="clear" w:pos="8720"/>
        </w:tabs>
        <w:spacing w:line="400" w:lineRule="exact"/>
        <w:ind w:firstLine="420"/>
        <w:rPr>
          <w:rFonts w:ascii="宋体" w:hAnsi="宋体" w:cs="宋体"/>
          <w:color w:val="auto"/>
          <w:sz w:val="21"/>
          <w:szCs w:val="21"/>
          <w:highlight w:val="none"/>
        </w:rPr>
      </w:pPr>
    </w:p>
    <w:p>
      <w:pPr>
        <w:ind w:firstLine="420"/>
        <w:jc w:val="center"/>
        <w:rPr>
          <w:rFonts w:cs="宋体"/>
          <w:color w:val="auto"/>
          <w:szCs w:val="21"/>
          <w:highlight w:val="none"/>
        </w:rPr>
        <w:sectPr>
          <w:headerReference r:id="rId11" w:type="default"/>
          <w:footerReference r:id="rId12" w:type="default"/>
          <w:pgSz w:w="11906" w:h="16838"/>
          <w:pgMar w:top="1418" w:right="1418" w:bottom="1418" w:left="1418" w:header="851" w:footer="992" w:gutter="0"/>
          <w:pgNumType w:start="1"/>
          <w:cols w:space="720" w:num="1"/>
          <w:docGrid w:linePitch="312" w:charSpace="0"/>
        </w:sectPr>
      </w:pPr>
    </w:p>
    <w:p>
      <w:pPr>
        <w:pStyle w:val="4"/>
        <w:ind w:firstLine="0" w:firstLineChars="0"/>
        <w:rPr>
          <w:rFonts w:cs="宋体"/>
          <w:color w:val="auto"/>
          <w:highlight w:val="none"/>
        </w:rPr>
      </w:pPr>
      <w:bookmarkStart w:id="0" w:name="_Toc1763"/>
      <w:bookmarkStart w:id="1" w:name="_Toc506358592"/>
      <w:r>
        <w:rPr>
          <w:rFonts w:hint="eastAsia" w:cs="宋体"/>
          <w:color w:val="auto"/>
          <w:highlight w:val="none"/>
        </w:rPr>
        <w:t>第一章  招标公告</w:t>
      </w:r>
      <w:bookmarkEnd w:id="0"/>
      <w:bookmarkEnd w:id="1"/>
    </w:p>
    <w:p>
      <w:pPr>
        <w:pBdr>
          <w:top w:val="single" w:color="auto" w:sz="4" w:space="1"/>
          <w:left w:val="single" w:color="auto" w:sz="4" w:space="4"/>
          <w:bottom w:val="single" w:color="auto" w:sz="4" w:space="1"/>
          <w:right w:val="single" w:color="auto" w:sz="4" w:space="4"/>
        </w:pBdr>
        <w:autoSpaceDE w:val="0"/>
        <w:snapToGrid w:val="0"/>
        <w:ind w:firstLine="0" w:firstLineChars="0"/>
        <w:jc w:val="left"/>
        <w:rPr>
          <w:rFonts w:cs="宋体"/>
          <w:b/>
          <w:bCs/>
          <w:color w:val="auto"/>
          <w:kern w:val="0"/>
          <w:szCs w:val="21"/>
          <w:highlight w:val="none"/>
          <w:shd w:val="clear" w:color="auto" w:fill="FFFFFF"/>
          <w:lang w:bidi="ar"/>
        </w:rPr>
      </w:pPr>
      <w:bookmarkStart w:id="2" w:name="_Toc226969276"/>
      <w:bookmarkStart w:id="3" w:name="_Toc415814123"/>
      <w:bookmarkStart w:id="4" w:name="_Toc107822483"/>
      <w:bookmarkStart w:id="5" w:name="_Toc227057883"/>
      <w:r>
        <w:rPr>
          <w:rFonts w:hint="eastAsia" w:cs="宋体"/>
          <w:b/>
          <w:bCs/>
          <w:color w:val="auto"/>
          <w:kern w:val="0"/>
          <w:szCs w:val="21"/>
          <w:highlight w:val="none"/>
          <w:shd w:val="clear" w:color="auto" w:fill="FFFFFF"/>
          <w:lang w:bidi="ar"/>
        </w:rPr>
        <w:t>项目概况</w:t>
      </w:r>
    </w:p>
    <w:p>
      <w:pPr>
        <w:pBdr>
          <w:top w:val="single" w:color="auto" w:sz="4" w:space="1"/>
          <w:left w:val="single" w:color="auto" w:sz="4" w:space="4"/>
          <w:bottom w:val="single" w:color="auto" w:sz="4" w:space="1"/>
          <w:right w:val="single" w:color="auto" w:sz="4" w:space="4"/>
        </w:pBdr>
        <w:autoSpaceDE w:val="0"/>
        <w:snapToGrid w:val="0"/>
        <w:ind w:firstLine="0" w:firstLineChars="0"/>
        <w:jc w:val="left"/>
        <w:rPr>
          <w:rFonts w:cs="宋体"/>
          <w:b/>
          <w:bCs/>
          <w:color w:val="auto"/>
          <w:kern w:val="0"/>
          <w:szCs w:val="21"/>
          <w:highlight w:val="none"/>
          <w:shd w:val="clear" w:color="auto" w:fill="FFFFFF"/>
          <w:lang w:bidi="ar"/>
        </w:rPr>
      </w:pPr>
      <w:r>
        <w:rPr>
          <w:rFonts w:hint="eastAsia" w:cs="宋体"/>
          <w:color w:val="auto"/>
          <w:kern w:val="0"/>
          <w:szCs w:val="21"/>
          <w:highlight w:val="none"/>
          <w:shd w:val="clear" w:color="auto" w:fill="FFFFFF"/>
          <w:lang w:bidi="ar"/>
        </w:rPr>
        <w:t>浙江出入境边防检查总站储备地块围墙改建工程 招标项目的潜在投标人应在浙江五石工程咨询有限公司官网（http://zjwsbidding. com/）招投标专区获取招标文件，并于2021年</w:t>
      </w:r>
      <w:r>
        <w:rPr>
          <w:rFonts w:hint="eastAsia" w:cs="宋体"/>
          <w:color w:val="auto"/>
          <w:kern w:val="0"/>
          <w:szCs w:val="21"/>
          <w:highlight w:val="none"/>
          <w:shd w:val="clear" w:color="auto" w:fill="FFFFFF"/>
          <w:lang w:eastAsia="zh-CN" w:bidi="ar"/>
        </w:rPr>
        <w:t>06月08日</w:t>
      </w:r>
      <w:r>
        <w:rPr>
          <w:rFonts w:hint="eastAsia" w:cs="宋体"/>
          <w:color w:val="auto"/>
          <w:kern w:val="0"/>
          <w:szCs w:val="21"/>
          <w:highlight w:val="none"/>
          <w:shd w:val="clear" w:color="auto" w:fill="FFFFFF"/>
          <w:lang w:bidi="ar"/>
        </w:rPr>
        <w:t xml:space="preserve"> 09点30分（北京时间）前递交投标文件。</w:t>
      </w:r>
    </w:p>
    <w:p>
      <w:pPr>
        <w:widowControl/>
        <w:ind w:firstLine="420"/>
        <w:jc w:val="left"/>
        <w:rPr>
          <w:rFonts w:cs="宋体"/>
          <w:color w:val="auto"/>
          <w:szCs w:val="21"/>
          <w:highlight w:val="none"/>
        </w:rPr>
      </w:pPr>
    </w:p>
    <w:p>
      <w:pPr>
        <w:pStyle w:val="19"/>
        <w:spacing w:beforeAutospacing="0" w:afterAutospacing="0"/>
        <w:ind w:firstLine="0" w:firstLineChars="0"/>
        <w:textAlignment w:val="baseline"/>
        <w:rPr>
          <w:rFonts w:ascii="宋体" w:hAnsi="宋体" w:cs="宋体"/>
          <w:color w:val="auto"/>
          <w:sz w:val="21"/>
          <w:szCs w:val="21"/>
          <w:highlight w:val="none"/>
        </w:rPr>
      </w:pPr>
      <w:r>
        <w:rPr>
          <w:rStyle w:val="24"/>
          <w:rFonts w:hint="eastAsia" w:ascii="宋体" w:hAnsi="宋体" w:cs="宋体"/>
          <w:color w:val="auto"/>
          <w:sz w:val="21"/>
          <w:szCs w:val="21"/>
          <w:highlight w:val="none"/>
          <w:shd w:val="clear" w:color="auto" w:fill="FFFFFF"/>
        </w:rPr>
        <w:t>一、项目基本情况</w:t>
      </w:r>
    </w:p>
    <w:p>
      <w:pPr>
        <w:pStyle w:val="19"/>
        <w:spacing w:beforeAutospacing="0" w:afterAutospacing="0"/>
        <w:ind w:firstLine="0" w:firstLineChars="0"/>
        <w:textAlignment w:val="baseline"/>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项目编号：ZJWSBJ-BFZZ-2021005G</w:t>
      </w:r>
    </w:p>
    <w:p>
      <w:pPr>
        <w:pStyle w:val="19"/>
        <w:spacing w:beforeAutospacing="0" w:afterAutospacing="0"/>
        <w:ind w:firstLine="0" w:firstLineChars="0"/>
        <w:textAlignment w:val="baseline"/>
        <w:rPr>
          <w:rFonts w:hint="eastAsia"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rPr>
        <w:t>项目名称：</w:t>
      </w:r>
      <w:r>
        <w:rPr>
          <w:rFonts w:hint="eastAsia" w:cs="宋体"/>
          <w:color w:val="auto"/>
          <w:sz w:val="21"/>
          <w:szCs w:val="21"/>
          <w:highlight w:val="none"/>
          <w:shd w:val="clear" w:color="auto" w:fill="FFFFFF"/>
          <w:lang w:bidi="ar"/>
        </w:rPr>
        <w:t>浙江出入境边防检查总站储备地块围墙改建工程</w:t>
      </w:r>
    </w:p>
    <w:p>
      <w:pPr>
        <w:pStyle w:val="19"/>
        <w:spacing w:beforeAutospacing="0" w:afterAutospacing="0"/>
        <w:ind w:firstLine="0" w:firstLineChars="0"/>
        <w:textAlignment w:val="baseline"/>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预算金额：938942元（人民币）</w:t>
      </w:r>
    </w:p>
    <w:p>
      <w:pPr>
        <w:pStyle w:val="19"/>
        <w:spacing w:beforeAutospacing="0" w:afterAutospacing="0"/>
        <w:ind w:firstLine="0" w:firstLineChars="0"/>
        <w:textAlignment w:val="baseline"/>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最高限价：938942元（人民币）</w:t>
      </w:r>
    </w:p>
    <w:p>
      <w:pPr>
        <w:pStyle w:val="19"/>
        <w:spacing w:beforeAutospacing="0" w:afterAutospacing="0"/>
        <w:ind w:firstLine="0" w:firstLineChars="0"/>
        <w:textAlignment w:val="baseline"/>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采购需求：</w:t>
      </w:r>
    </w:p>
    <w:tbl>
      <w:tblPr>
        <w:tblStyle w:val="21"/>
        <w:tblW w:w="5000" w:type="pct"/>
        <w:jc w:val="center"/>
        <w:tblLayout w:type="autofit"/>
        <w:tblCellMar>
          <w:top w:w="0" w:type="dxa"/>
          <w:left w:w="0" w:type="dxa"/>
          <w:bottom w:w="0" w:type="dxa"/>
          <w:right w:w="0" w:type="dxa"/>
        </w:tblCellMar>
      </w:tblPr>
      <w:tblGrid>
        <w:gridCol w:w="730"/>
        <w:gridCol w:w="2057"/>
        <w:gridCol w:w="687"/>
        <w:gridCol w:w="1334"/>
        <w:gridCol w:w="3657"/>
        <w:gridCol w:w="481"/>
      </w:tblGrid>
      <w:tr>
        <w:tblPrEx>
          <w:tblCellMar>
            <w:top w:w="0" w:type="dxa"/>
            <w:left w:w="0" w:type="dxa"/>
            <w:bottom w:w="0" w:type="dxa"/>
            <w:right w:w="0" w:type="dxa"/>
          </w:tblCellMar>
        </w:tblPrEx>
        <w:trPr>
          <w:trHeight w:val="90" w:hRule="atLeast"/>
          <w:jc w:val="center"/>
        </w:trPr>
        <w:tc>
          <w:tcPr>
            <w:tcW w:w="408" w:type="pct"/>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pPr>
              <w:pStyle w:val="19"/>
              <w:spacing w:beforeAutospacing="0" w:afterAutospacing="0"/>
              <w:ind w:firstLine="0" w:firstLineChars="0"/>
              <w:jc w:val="center"/>
              <w:textAlignment w:val="baseline"/>
              <w:rPr>
                <w:rFonts w:ascii="宋体" w:hAnsi="宋体" w:cs="宋体"/>
                <w:color w:val="auto"/>
                <w:sz w:val="21"/>
                <w:szCs w:val="21"/>
                <w:highlight w:val="none"/>
              </w:rPr>
            </w:pPr>
            <w:r>
              <w:rPr>
                <w:rStyle w:val="24"/>
                <w:rFonts w:hint="eastAsia" w:ascii="宋体" w:hAnsi="宋体" w:cs="宋体"/>
                <w:color w:val="auto"/>
                <w:sz w:val="21"/>
                <w:szCs w:val="21"/>
                <w:highlight w:val="none"/>
              </w:rPr>
              <w:t>序号</w:t>
            </w:r>
          </w:p>
        </w:tc>
        <w:tc>
          <w:tcPr>
            <w:tcW w:w="1149" w:type="pct"/>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pPr>
              <w:pStyle w:val="19"/>
              <w:spacing w:beforeAutospacing="0" w:afterAutospacing="0"/>
              <w:ind w:firstLine="0" w:firstLineChars="0"/>
              <w:jc w:val="center"/>
              <w:textAlignment w:val="baseline"/>
              <w:rPr>
                <w:rFonts w:ascii="宋体" w:hAnsi="宋体" w:cs="宋体"/>
                <w:color w:val="auto"/>
                <w:sz w:val="21"/>
                <w:szCs w:val="21"/>
                <w:highlight w:val="none"/>
              </w:rPr>
            </w:pPr>
            <w:r>
              <w:rPr>
                <w:rStyle w:val="24"/>
                <w:rFonts w:hint="eastAsia" w:ascii="宋体" w:hAnsi="宋体" w:cs="宋体"/>
                <w:color w:val="auto"/>
                <w:sz w:val="21"/>
                <w:szCs w:val="21"/>
                <w:highlight w:val="none"/>
              </w:rPr>
              <w:t>标项名称</w:t>
            </w:r>
          </w:p>
        </w:tc>
        <w:tc>
          <w:tcPr>
            <w:tcW w:w="384" w:type="pct"/>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pPr>
              <w:pStyle w:val="19"/>
              <w:spacing w:beforeAutospacing="0" w:afterAutospacing="0"/>
              <w:ind w:firstLine="0" w:firstLineChars="0"/>
              <w:jc w:val="center"/>
              <w:textAlignment w:val="baseline"/>
              <w:rPr>
                <w:rFonts w:ascii="宋体" w:hAnsi="宋体" w:cs="宋体"/>
                <w:color w:val="auto"/>
                <w:sz w:val="21"/>
                <w:szCs w:val="21"/>
                <w:highlight w:val="none"/>
              </w:rPr>
            </w:pPr>
            <w:r>
              <w:rPr>
                <w:rStyle w:val="24"/>
                <w:rFonts w:hint="eastAsia" w:ascii="宋体" w:hAnsi="宋体" w:cs="宋体"/>
                <w:color w:val="auto"/>
                <w:sz w:val="21"/>
                <w:szCs w:val="21"/>
                <w:highlight w:val="none"/>
              </w:rPr>
              <w:t>数量</w:t>
            </w:r>
          </w:p>
        </w:tc>
        <w:tc>
          <w:tcPr>
            <w:tcW w:w="745" w:type="pct"/>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pPr>
              <w:pStyle w:val="19"/>
              <w:spacing w:beforeAutospacing="0" w:afterAutospacing="0"/>
              <w:ind w:firstLine="0" w:firstLineChars="0"/>
              <w:jc w:val="center"/>
              <w:textAlignment w:val="baseline"/>
              <w:rPr>
                <w:rFonts w:ascii="宋体" w:hAnsi="宋体" w:cs="宋体"/>
                <w:color w:val="auto"/>
                <w:sz w:val="21"/>
                <w:szCs w:val="21"/>
                <w:highlight w:val="none"/>
              </w:rPr>
            </w:pPr>
            <w:r>
              <w:rPr>
                <w:rStyle w:val="24"/>
                <w:rFonts w:hint="eastAsia" w:ascii="宋体" w:hAnsi="宋体" w:cs="宋体"/>
                <w:color w:val="auto"/>
                <w:sz w:val="21"/>
                <w:szCs w:val="21"/>
                <w:highlight w:val="none"/>
              </w:rPr>
              <w:t>招标控制价</w:t>
            </w:r>
          </w:p>
          <w:p>
            <w:pPr>
              <w:pStyle w:val="19"/>
              <w:spacing w:beforeAutospacing="0" w:afterAutospacing="0"/>
              <w:ind w:firstLine="0" w:firstLineChars="0"/>
              <w:jc w:val="center"/>
              <w:textAlignment w:val="baseline"/>
              <w:rPr>
                <w:rFonts w:ascii="宋体" w:hAnsi="宋体" w:cs="宋体"/>
                <w:color w:val="auto"/>
                <w:sz w:val="21"/>
                <w:szCs w:val="21"/>
                <w:highlight w:val="none"/>
              </w:rPr>
            </w:pPr>
            <w:r>
              <w:rPr>
                <w:rStyle w:val="24"/>
                <w:rFonts w:hint="eastAsia" w:ascii="宋体" w:hAnsi="宋体" w:cs="宋体"/>
                <w:color w:val="auto"/>
                <w:sz w:val="21"/>
                <w:szCs w:val="21"/>
                <w:highlight w:val="none"/>
              </w:rPr>
              <w:t>（元）</w:t>
            </w:r>
          </w:p>
        </w:tc>
        <w:tc>
          <w:tcPr>
            <w:tcW w:w="2043" w:type="pct"/>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pPr>
              <w:pStyle w:val="19"/>
              <w:spacing w:beforeAutospacing="0" w:afterAutospacing="0"/>
              <w:ind w:firstLine="0" w:firstLineChars="0"/>
              <w:jc w:val="center"/>
              <w:textAlignment w:val="baseline"/>
              <w:rPr>
                <w:rFonts w:ascii="宋体" w:hAnsi="宋体" w:cs="宋体"/>
                <w:color w:val="auto"/>
                <w:sz w:val="21"/>
                <w:szCs w:val="21"/>
                <w:highlight w:val="none"/>
              </w:rPr>
            </w:pPr>
            <w:r>
              <w:rPr>
                <w:rStyle w:val="24"/>
                <w:rFonts w:hint="eastAsia" w:ascii="宋体" w:hAnsi="宋体" w:cs="宋体"/>
                <w:color w:val="auto"/>
                <w:sz w:val="21"/>
                <w:szCs w:val="21"/>
                <w:highlight w:val="none"/>
              </w:rPr>
              <w:t>简要技术要求、用途</w:t>
            </w:r>
          </w:p>
        </w:tc>
        <w:tc>
          <w:tcPr>
            <w:tcW w:w="268" w:type="pct"/>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pPr>
              <w:pStyle w:val="19"/>
              <w:spacing w:beforeAutospacing="0" w:afterAutospacing="0"/>
              <w:ind w:firstLine="0" w:firstLineChars="0"/>
              <w:jc w:val="center"/>
              <w:textAlignment w:val="baseline"/>
              <w:rPr>
                <w:rFonts w:ascii="宋体" w:hAnsi="宋体" w:cs="宋体"/>
                <w:color w:val="auto"/>
                <w:sz w:val="21"/>
                <w:szCs w:val="21"/>
                <w:highlight w:val="none"/>
              </w:rPr>
            </w:pPr>
            <w:r>
              <w:rPr>
                <w:rStyle w:val="24"/>
                <w:rFonts w:hint="eastAsia" w:ascii="宋体" w:hAnsi="宋体" w:cs="宋体"/>
                <w:color w:val="auto"/>
                <w:sz w:val="21"/>
                <w:szCs w:val="21"/>
                <w:highlight w:val="none"/>
              </w:rPr>
              <w:t>备注</w:t>
            </w:r>
          </w:p>
        </w:tc>
      </w:tr>
      <w:tr>
        <w:tblPrEx>
          <w:tblCellMar>
            <w:top w:w="0" w:type="dxa"/>
            <w:left w:w="0" w:type="dxa"/>
            <w:bottom w:w="0" w:type="dxa"/>
            <w:right w:w="0" w:type="dxa"/>
          </w:tblCellMar>
        </w:tblPrEx>
        <w:trPr>
          <w:jc w:val="center"/>
        </w:trPr>
        <w:tc>
          <w:tcPr>
            <w:tcW w:w="408"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pPr>
              <w:pStyle w:val="19"/>
              <w:spacing w:beforeAutospacing="0" w:afterAutospacing="0"/>
              <w:ind w:firstLine="0" w:firstLineChars="0"/>
              <w:jc w:val="center"/>
              <w:textAlignment w:val="baseline"/>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1149" w:type="pct"/>
            <w:tcBorders>
              <w:top w:val="nil"/>
              <w:left w:val="nil"/>
              <w:bottom w:val="single" w:color="auto" w:sz="8" w:space="0"/>
              <w:right w:val="single" w:color="auto" w:sz="8" w:space="0"/>
            </w:tcBorders>
            <w:shd w:val="clear" w:color="auto" w:fill="auto"/>
            <w:tcMar>
              <w:left w:w="108" w:type="dxa"/>
              <w:right w:w="108" w:type="dxa"/>
            </w:tcMar>
            <w:vAlign w:val="center"/>
          </w:tcPr>
          <w:p>
            <w:pPr>
              <w:pStyle w:val="19"/>
              <w:spacing w:beforeAutospacing="0" w:afterAutospacing="0"/>
              <w:ind w:firstLine="0" w:firstLineChars="0"/>
              <w:textAlignment w:val="baseline"/>
              <w:rPr>
                <w:rFonts w:ascii="宋体" w:hAnsi="宋体" w:cs="宋体"/>
                <w:color w:val="auto"/>
                <w:sz w:val="21"/>
                <w:szCs w:val="21"/>
                <w:highlight w:val="none"/>
              </w:rPr>
            </w:pPr>
            <w:r>
              <w:rPr>
                <w:rFonts w:hint="eastAsia" w:ascii="宋体" w:hAnsi="宋体" w:cs="宋体"/>
                <w:color w:val="auto"/>
                <w:sz w:val="21"/>
                <w:szCs w:val="21"/>
                <w:highlight w:val="none"/>
              </w:rPr>
              <w:t>浙江出入境边防检查总站储备地块围墙改建工程</w:t>
            </w:r>
          </w:p>
        </w:tc>
        <w:tc>
          <w:tcPr>
            <w:tcW w:w="384" w:type="pct"/>
            <w:tcBorders>
              <w:top w:val="nil"/>
              <w:left w:val="nil"/>
              <w:bottom w:val="single" w:color="auto" w:sz="8" w:space="0"/>
              <w:right w:val="single" w:color="auto" w:sz="8" w:space="0"/>
            </w:tcBorders>
            <w:shd w:val="clear" w:color="auto" w:fill="auto"/>
            <w:tcMar>
              <w:left w:w="108" w:type="dxa"/>
              <w:right w:w="108" w:type="dxa"/>
            </w:tcMar>
            <w:vAlign w:val="center"/>
          </w:tcPr>
          <w:p>
            <w:pPr>
              <w:pStyle w:val="19"/>
              <w:spacing w:beforeAutospacing="0" w:afterAutospacing="0"/>
              <w:ind w:firstLine="0" w:firstLineChars="0"/>
              <w:jc w:val="center"/>
              <w:textAlignment w:val="baseline"/>
              <w:rPr>
                <w:rFonts w:ascii="宋体" w:hAnsi="宋体" w:cs="宋体"/>
                <w:color w:val="auto"/>
                <w:sz w:val="21"/>
                <w:szCs w:val="21"/>
                <w:highlight w:val="none"/>
              </w:rPr>
            </w:pPr>
            <w:r>
              <w:rPr>
                <w:rFonts w:hint="eastAsia" w:ascii="宋体" w:hAnsi="宋体" w:cs="宋体"/>
                <w:color w:val="auto"/>
                <w:sz w:val="21"/>
                <w:szCs w:val="21"/>
                <w:highlight w:val="none"/>
              </w:rPr>
              <w:t>1项</w:t>
            </w:r>
          </w:p>
        </w:tc>
        <w:tc>
          <w:tcPr>
            <w:tcW w:w="745" w:type="pct"/>
            <w:tcBorders>
              <w:top w:val="nil"/>
              <w:left w:val="nil"/>
              <w:bottom w:val="single" w:color="auto" w:sz="8" w:space="0"/>
              <w:right w:val="single" w:color="auto" w:sz="8" w:space="0"/>
            </w:tcBorders>
            <w:shd w:val="clear" w:color="auto" w:fill="auto"/>
            <w:tcMar>
              <w:left w:w="108" w:type="dxa"/>
              <w:right w:w="108" w:type="dxa"/>
            </w:tcMar>
            <w:vAlign w:val="center"/>
          </w:tcPr>
          <w:p>
            <w:pPr>
              <w:pStyle w:val="19"/>
              <w:spacing w:beforeAutospacing="0" w:afterAutospacing="0"/>
              <w:ind w:firstLine="0" w:firstLineChars="0"/>
              <w:jc w:val="center"/>
              <w:textAlignment w:val="baseline"/>
              <w:rPr>
                <w:rFonts w:ascii="宋体" w:hAnsi="宋体" w:cs="宋体"/>
                <w:color w:val="auto"/>
                <w:sz w:val="21"/>
                <w:szCs w:val="21"/>
                <w:highlight w:val="none"/>
              </w:rPr>
            </w:pPr>
            <w:r>
              <w:rPr>
                <w:rFonts w:hint="eastAsia" w:ascii="宋体" w:hAnsi="宋体" w:cs="宋体"/>
                <w:color w:val="auto"/>
                <w:sz w:val="21"/>
                <w:szCs w:val="21"/>
                <w:highlight w:val="none"/>
              </w:rPr>
              <w:t>938942</w:t>
            </w:r>
          </w:p>
        </w:tc>
        <w:tc>
          <w:tcPr>
            <w:tcW w:w="2043" w:type="pct"/>
            <w:tcBorders>
              <w:top w:val="nil"/>
              <w:left w:val="nil"/>
              <w:bottom w:val="single" w:color="auto" w:sz="8" w:space="0"/>
              <w:right w:val="single" w:color="auto" w:sz="8" w:space="0"/>
            </w:tcBorders>
            <w:shd w:val="clear" w:color="auto" w:fill="auto"/>
            <w:tcMar>
              <w:left w:w="108" w:type="dxa"/>
              <w:right w:w="108" w:type="dxa"/>
            </w:tcMar>
            <w:vAlign w:val="center"/>
          </w:tcPr>
          <w:p>
            <w:pPr>
              <w:pStyle w:val="19"/>
              <w:spacing w:beforeAutospacing="0" w:afterAutospacing="0"/>
              <w:ind w:firstLine="0" w:firstLineChars="0"/>
              <w:textAlignment w:val="baseline"/>
              <w:rPr>
                <w:rFonts w:ascii="宋体" w:hAnsi="宋体" w:cs="宋体"/>
                <w:color w:val="auto"/>
                <w:sz w:val="21"/>
                <w:szCs w:val="21"/>
                <w:highlight w:val="none"/>
              </w:rPr>
            </w:pPr>
            <w:r>
              <w:rPr>
                <w:rFonts w:hint="eastAsia" w:cs="宋体"/>
                <w:color w:val="auto"/>
                <w:szCs w:val="21"/>
                <w:highlight w:val="none"/>
              </w:rPr>
              <w:t>该项目包含主要内容为浙江边防检查总站营区西侧、北侧围墙改建，沥青道路修复，围墙安防监控系统安装等，详见工程量清单及图纸。</w:t>
            </w:r>
          </w:p>
        </w:tc>
        <w:tc>
          <w:tcPr>
            <w:tcW w:w="268" w:type="pct"/>
            <w:tcBorders>
              <w:top w:val="nil"/>
              <w:left w:val="nil"/>
              <w:bottom w:val="single" w:color="auto" w:sz="8" w:space="0"/>
              <w:right w:val="single" w:color="auto" w:sz="8" w:space="0"/>
            </w:tcBorders>
            <w:shd w:val="clear" w:color="auto" w:fill="auto"/>
            <w:tcMar>
              <w:left w:w="108" w:type="dxa"/>
              <w:right w:w="108" w:type="dxa"/>
            </w:tcMar>
            <w:vAlign w:val="center"/>
          </w:tcPr>
          <w:p>
            <w:pPr>
              <w:pStyle w:val="19"/>
              <w:spacing w:beforeAutospacing="0" w:afterAutospacing="0"/>
              <w:ind w:firstLine="0" w:firstLineChars="0"/>
              <w:jc w:val="center"/>
              <w:textAlignment w:val="baseline"/>
              <w:rPr>
                <w:rFonts w:ascii="宋体" w:hAnsi="宋体" w:cs="宋体"/>
                <w:color w:val="auto"/>
                <w:sz w:val="21"/>
                <w:szCs w:val="21"/>
                <w:highlight w:val="none"/>
              </w:rPr>
            </w:pPr>
          </w:p>
        </w:tc>
      </w:tr>
    </w:tbl>
    <w:p>
      <w:pPr>
        <w:pStyle w:val="19"/>
        <w:spacing w:beforeAutospacing="0" w:afterAutospacing="0"/>
        <w:ind w:firstLine="0" w:firstLineChars="0"/>
        <w:textAlignment w:val="baseline"/>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合同履行期限：80日历天</w:t>
      </w:r>
    </w:p>
    <w:p>
      <w:pPr>
        <w:pStyle w:val="19"/>
        <w:spacing w:beforeAutospacing="0" w:afterAutospacing="0"/>
        <w:ind w:firstLine="0" w:firstLineChars="0"/>
        <w:textAlignment w:val="baseline"/>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本项目( 不接受 )联合体投标。</w:t>
      </w:r>
    </w:p>
    <w:p>
      <w:pPr>
        <w:pStyle w:val="19"/>
        <w:numPr>
          <w:ilvl w:val="0"/>
          <w:numId w:val="1"/>
        </w:numPr>
        <w:spacing w:beforeAutospacing="0" w:afterAutospacing="0"/>
        <w:ind w:firstLine="0" w:firstLineChars="0"/>
        <w:textAlignment w:val="baseline"/>
        <w:rPr>
          <w:rStyle w:val="24"/>
          <w:rFonts w:hint="eastAsia" w:ascii="宋体" w:hAnsi="宋体" w:cs="宋体"/>
          <w:color w:val="auto"/>
          <w:sz w:val="21"/>
          <w:szCs w:val="21"/>
          <w:highlight w:val="none"/>
          <w:shd w:val="clear" w:color="auto" w:fill="FFFFFF"/>
        </w:rPr>
      </w:pPr>
      <w:r>
        <w:rPr>
          <w:rStyle w:val="24"/>
          <w:rFonts w:hint="eastAsia" w:ascii="宋体" w:hAnsi="宋体" w:cs="宋体"/>
          <w:color w:val="auto"/>
          <w:sz w:val="21"/>
          <w:szCs w:val="21"/>
          <w:highlight w:val="none"/>
          <w:shd w:val="clear" w:color="auto" w:fill="FFFFFF"/>
        </w:rPr>
        <w:t>申请人的资格要求：</w:t>
      </w:r>
    </w:p>
    <w:p>
      <w:pPr>
        <w:pStyle w:val="19"/>
        <w:numPr>
          <w:ilvl w:val="0"/>
          <w:numId w:val="0"/>
        </w:numPr>
        <w:spacing w:beforeAutospacing="0" w:afterAutospacing="0"/>
        <w:ind w:firstLine="420" w:firstLineChars="200"/>
        <w:textAlignment w:val="baseline"/>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lang w:val="en-US" w:eastAsia="zh-CN"/>
        </w:rPr>
        <w:t>1.</w:t>
      </w:r>
      <w:r>
        <w:rPr>
          <w:rFonts w:hint="eastAsia" w:ascii="宋体" w:hAnsi="宋体" w:cs="宋体"/>
          <w:color w:val="auto"/>
          <w:sz w:val="21"/>
          <w:szCs w:val="21"/>
          <w:highlight w:val="none"/>
          <w:shd w:val="clear" w:color="auto" w:fill="FFFFFF"/>
        </w:rPr>
        <w:t>满足《中华人民共和国政府采购法》第二十二条规定；</w:t>
      </w:r>
    </w:p>
    <w:p>
      <w:pPr>
        <w:pStyle w:val="19"/>
        <w:numPr>
          <w:ilvl w:val="0"/>
          <w:numId w:val="0"/>
        </w:numPr>
        <w:shd w:val="clear" w:color="auto" w:fill="FFFFFF"/>
        <w:spacing w:beforeAutospacing="0" w:afterAutospacing="0"/>
        <w:ind w:firstLine="420" w:firstLineChars="200"/>
        <w:textAlignment w:val="baseline"/>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2.落实政府采购政策需满足的资格要求：</w:t>
      </w:r>
    </w:p>
    <w:p>
      <w:pPr>
        <w:pStyle w:val="19"/>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420" w:firstLineChars="200"/>
        <w:textAlignment w:val="baseline"/>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本项目专门面向中小企业采购，根据《政府采购促进中小企业发展管理办法》（财库﹝2020﹞46 号）和《工业和信息化部、国家统计局、国家发展和改革委员会、财政部关于印发中小企业划型标准规定的通知》（工信部联企业</w:t>
      </w:r>
      <w:bookmarkStart w:id="1152" w:name="_GoBack"/>
      <w:bookmarkEnd w:id="1152"/>
      <w:r>
        <w:rPr>
          <w:rFonts w:hint="eastAsia" w:ascii="宋体" w:hAnsi="宋体" w:eastAsia="宋体" w:cs="宋体"/>
          <w:color w:val="auto"/>
          <w:sz w:val="21"/>
          <w:szCs w:val="21"/>
          <w:highlight w:val="none"/>
          <w:shd w:val="clear" w:color="auto" w:fill="FFFFFF"/>
        </w:rPr>
        <w:t>[2011]300号）的有关规定及划分标准，工程的施工单位全部为符合政策要求的中小企业。投标人（供应商）必须提供文件规定的“中小企业声明函（</w:t>
      </w:r>
      <w:r>
        <w:rPr>
          <w:rFonts w:hint="eastAsia" w:ascii="宋体" w:hAnsi="宋体" w:eastAsia="宋体" w:cs="宋体"/>
          <w:color w:val="auto"/>
          <w:sz w:val="21"/>
          <w:szCs w:val="21"/>
          <w:highlight w:val="none"/>
          <w:shd w:val="clear" w:color="auto" w:fill="FFFFFF"/>
          <w:lang w:eastAsia="zh-CN"/>
        </w:rPr>
        <w:t>工程</w:t>
      </w:r>
      <w:r>
        <w:rPr>
          <w:rFonts w:hint="eastAsia" w:ascii="宋体" w:hAnsi="宋体" w:eastAsia="宋体" w:cs="宋体"/>
          <w:color w:val="auto"/>
          <w:sz w:val="21"/>
          <w:szCs w:val="21"/>
          <w:highlight w:val="none"/>
          <w:shd w:val="clear" w:color="auto" w:fill="FFFFFF"/>
        </w:rPr>
        <w:t>）”。</w:t>
      </w:r>
    </w:p>
    <w:p>
      <w:pPr>
        <w:pStyle w:val="19"/>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420" w:firstLineChars="200"/>
        <w:textAlignment w:val="baseline"/>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注1：监狱企业视同小型、微型企业，监狱企业须提供由省级以上监狱管理局、戒毒管理局（含新疆生产建设兵团）出具的属于监狱企业的证明文件复印件。</w:t>
      </w:r>
    </w:p>
    <w:p>
      <w:pPr>
        <w:pStyle w:val="19"/>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420" w:firstLineChars="200"/>
        <w:textAlignment w:val="baseline"/>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注2：残疾人福利性单位视同小型、微型企业，残疾人福利性单位须提供“残疾人福利性单位声明函”。</w:t>
      </w:r>
    </w:p>
    <w:p>
      <w:pPr>
        <w:pStyle w:val="19"/>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420" w:firstLineChars="200"/>
        <w:textAlignment w:val="baseline"/>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注3：符合小微企业划分标准的个体工商户，视同小微企业。</w:t>
      </w:r>
    </w:p>
    <w:p>
      <w:pPr>
        <w:pStyle w:val="19"/>
        <w:spacing w:beforeAutospacing="0" w:afterAutospacing="0"/>
        <w:ind w:firstLine="420" w:firstLineChars="200"/>
        <w:textAlignment w:val="baseline"/>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lang w:val="en-US" w:eastAsia="zh-CN"/>
        </w:rPr>
        <w:t>3</w:t>
      </w:r>
      <w:r>
        <w:rPr>
          <w:rFonts w:hint="eastAsia" w:ascii="宋体" w:hAnsi="宋体" w:cs="宋体"/>
          <w:color w:val="auto"/>
          <w:sz w:val="21"/>
          <w:szCs w:val="21"/>
          <w:highlight w:val="none"/>
          <w:shd w:val="clear" w:color="auto" w:fill="FFFFFF"/>
        </w:rPr>
        <w:t>.本项目的特定资格要求：</w:t>
      </w:r>
    </w:p>
    <w:p>
      <w:pPr>
        <w:pStyle w:val="19"/>
        <w:spacing w:beforeAutospacing="0" w:afterAutospacing="0"/>
        <w:ind w:firstLine="0" w:firstLineChars="0"/>
        <w:textAlignment w:val="baseline"/>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（1）具有建设主管部门颁发的房屋建筑工程施工总承包三级及以上资质。</w:t>
      </w:r>
    </w:p>
    <w:p>
      <w:pPr>
        <w:pStyle w:val="19"/>
        <w:spacing w:beforeAutospacing="0" w:afterAutospacing="0"/>
        <w:ind w:firstLine="0" w:firstLineChars="0"/>
        <w:textAlignment w:val="baseline"/>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（2）企业具有安全生产许可证，且在有效期内；</w:t>
      </w:r>
    </w:p>
    <w:p>
      <w:pPr>
        <w:pStyle w:val="19"/>
        <w:spacing w:beforeAutospacing="0" w:afterAutospacing="0"/>
        <w:ind w:firstLine="0" w:firstLineChars="0"/>
        <w:textAlignment w:val="baseline"/>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（3）拟派项目经理具有建筑工程专业二级及以上建造师注册证书。</w:t>
      </w:r>
    </w:p>
    <w:p>
      <w:pPr>
        <w:pStyle w:val="19"/>
        <w:spacing w:beforeAutospacing="0" w:afterAutospacing="0"/>
        <w:ind w:firstLine="0" w:firstLineChars="0"/>
        <w:textAlignment w:val="baseline"/>
        <w:rPr>
          <w:rFonts w:ascii="宋体" w:hAnsi="宋体" w:cs="宋体"/>
          <w:color w:val="auto"/>
          <w:sz w:val="21"/>
          <w:szCs w:val="21"/>
          <w:highlight w:val="none"/>
        </w:rPr>
      </w:pPr>
      <w:r>
        <w:rPr>
          <w:rStyle w:val="24"/>
          <w:rFonts w:hint="eastAsia" w:ascii="宋体" w:hAnsi="宋体" w:cs="宋体"/>
          <w:color w:val="auto"/>
          <w:sz w:val="21"/>
          <w:szCs w:val="21"/>
          <w:highlight w:val="none"/>
          <w:shd w:val="clear" w:color="auto" w:fill="FFFFFF"/>
        </w:rPr>
        <w:t>三、获取招标文件</w:t>
      </w:r>
    </w:p>
    <w:p>
      <w:pPr>
        <w:pStyle w:val="19"/>
        <w:spacing w:beforeAutospacing="0" w:afterAutospacing="0"/>
        <w:ind w:firstLine="420" w:firstLineChars="200"/>
        <w:textAlignment w:val="baseline"/>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1.时间：2021年</w:t>
      </w:r>
      <w:r>
        <w:rPr>
          <w:rFonts w:hint="eastAsia" w:ascii="宋体" w:hAnsi="宋体" w:cs="宋体"/>
          <w:color w:val="auto"/>
          <w:sz w:val="21"/>
          <w:szCs w:val="21"/>
          <w:highlight w:val="none"/>
          <w:shd w:val="clear" w:color="auto" w:fill="FFFFFF"/>
          <w:lang w:val="en-US" w:eastAsia="zh-CN"/>
        </w:rPr>
        <w:t>05</w:t>
      </w:r>
      <w:r>
        <w:rPr>
          <w:rFonts w:hint="eastAsia" w:ascii="宋体" w:hAnsi="宋体" w:cs="宋体"/>
          <w:color w:val="auto"/>
          <w:sz w:val="21"/>
          <w:szCs w:val="21"/>
          <w:highlight w:val="none"/>
          <w:shd w:val="clear" w:color="auto" w:fill="FFFFFF"/>
        </w:rPr>
        <w:t>月</w:t>
      </w:r>
      <w:r>
        <w:rPr>
          <w:rFonts w:hint="eastAsia" w:ascii="宋体" w:hAnsi="宋体" w:cs="宋体"/>
          <w:color w:val="auto"/>
          <w:sz w:val="21"/>
          <w:szCs w:val="21"/>
          <w:highlight w:val="none"/>
          <w:shd w:val="clear" w:color="auto" w:fill="FFFFFF"/>
          <w:lang w:val="en-US" w:eastAsia="zh-CN"/>
        </w:rPr>
        <w:t>18</w:t>
      </w:r>
      <w:r>
        <w:rPr>
          <w:rFonts w:hint="eastAsia" w:ascii="宋体" w:hAnsi="宋体" w:cs="宋体"/>
          <w:color w:val="auto"/>
          <w:sz w:val="21"/>
          <w:szCs w:val="21"/>
          <w:highlight w:val="none"/>
          <w:shd w:val="clear" w:color="auto" w:fill="FFFFFF"/>
        </w:rPr>
        <w:t>日 至 2021年</w:t>
      </w:r>
      <w:r>
        <w:rPr>
          <w:rFonts w:hint="eastAsia" w:ascii="宋体" w:hAnsi="宋体" w:cs="宋体"/>
          <w:color w:val="auto"/>
          <w:sz w:val="21"/>
          <w:szCs w:val="21"/>
          <w:highlight w:val="none"/>
          <w:shd w:val="clear" w:color="auto" w:fill="FFFFFF"/>
          <w:lang w:val="en-US" w:eastAsia="zh-CN"/>
        </w:rPr>
        <w:t>05</w:t>
      </w:r>
      <w:r>
        <w:rPr>
          <w:rFonts w:hint="eastAsia" w:ascii="宋体" w:hAnsi="宋体" w:cs="宋体"/>
          <w:color w:val="auto"/>
          <w:sz w:val="21"/>
          <w:szCs w:val="21"/>
          <w:highlight w:val="none"/>
          <w:shd w:val="clear" w:color="auto" w:fill="FFFFFF"/>
        </w:rPr>
        <w:t>月</w:t>
      </w:r>
      <w:r>
        <w:rPr>
          <w:rFonts w:hint="eastAsia" w:ascii="宋体" w:hAnsi="宋体" w:cs="宋体"/>
          <w:color w:val="auto"/>
          <w:sz w:val="21"/>
          <w:szCs w:val="21"/>
          <w:highlight w:val="none"/>
          <w:shd w:val="clear" w:color="auto" w:fill="FFFFFF"/>
          <w:lang w:val="en-US" w:eastAsia="zh-CN"/>
        </w:rPr>
        <w:t>25</w:t>
      </w:r>
      <w:r>
        <w:rPr>
          <w:rFonts w:hint="eastAsia" w:ascii="宋体" w:hAnsi="宋体" w:cs="宋体"/>
          <w:color w:val="auto"/>
          <w:sz w:val="21"/>
          <w:szCs w:val="21"/>
          <w:highlight w:val="none"/>
          <w:shd w:val="clear" w:color="auto" w:fill="FFFFFF"/>
        </w:rPr>
        <w:t>日，每天上午9:00至11:30，下午13:30至17:00（北京时间，法定节假日除外）</w:t>
      </w:r>
    </w:p>
    <w:p>
      <w:pPr>
        <w:pStyle w:val="19"/>
        <w:spacing w:beforeAutospacing="0" w:afterAutospacing="0"/>
        <w:ind w:firstLine="420" w:firstLineChars="200"/>
        <w:textAlignment w:val="baseline"/>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2.地点：浙江五石工程咨询有限公司官网（http://zjwsbidding. com/）招投标专区</w:t>
      </w:r>
    </w:p>
    <w:p>
      <w:pPr>
        <w:pStyle w:val="19"/>
        <w:spacing w:beforeAutospacing="0" w:afterAutospacing="0"/>
        <w:ind w:firstLine="420" w:firstLineChars="200"/>
        <w:textAlignment w:val="baseline"/>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3.方式：前往浙江五石工程咨询有限公司官网：http://zjwsbidding.com/招投标专区进行报名</w:t>
      </w:r>
    </w:p>
    <w:p>
      <w:pPr>
        <w:pStyle w:val="19"/>
        <w:spacing w:beforeAutospacing="0" w:afterAutospacing="0"/>
        <w:ind w:firstLine="420" w:firstLineChars="200"/>
        <w:textAlignment w:val="baseline"/>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4.售价：￥500.0 元</w:t>
      </w:r>
    </w:p>
    <w:p>
      <w:pPr>
        <w:pStyle w:val="19"/>
        <w:spacing w:beforeAutospacing="0" w:afterAutospacing="0"/>
        <w:ind w:firstLine="0" w:firstLineChars="0"/>
        <w:textAlignment w:val="baseline"/>
        <w:rPr>
          <w:rFonts w:ascii="宋体" w:hAnsi="宋体" w:cs="宋体"/>
          <w:color w:val="auto"/>
          <w:sz w:val="21"/>
          <w:szCs w:val="21"/>
          <w:highlight w:val="none"/>
        </w:rPr>
      </w:pPr>
      <w:r>
        <w:rPr>
          <w:rStyle w:val="24"/>
          <w:rFonts w:hint="eastAsia" w:ascii="宋体" w:hAnsi="宋体" w:cs="宋体"/>
          <w:color w:val="auto"/>
          <w:sz w:val="21"/>
          <w:szCs w:val="21"/>
          <w:highlight w:val="none"/>
          <w:shd w:val="clear" w:color="auto" w:fill="FFFFFF"/>
        </w:rPr>
        <w:t>四、提交投标文件截止时间、开标时间和地点</w:t>
      </w:r>
    </w:p>
    <w:p>
      <w:pPr>
        <w:pStyle w:val="19"/>
        <w:spacing w:beforeAutospacing="0" w:afterAutospacing="0"/>
        <w:ind w:firstLine="420"/>
        <w:textAlignment w:val="baseline"/>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2021年</w:t>
      </w:r>
      <w:r>
        <w:rPr>
          <w:rFonts w:hint="eastAsia" w:ascii="宋体" w:hAnsi="宋体" w:cs="宋体"/>
          <w:color w:val="auto"/>
          <w:sz w:val="21"/>
          <w:szCs w:val="21"/>
          <w:highlight w:val="none"/>
          <w:shd w:val="clear" w:color="auto" w:fill="FFFFFF"/>
          <w:lang w:eastAsia="zh-CN"/>
        </w:rPr>
        <w:t>06月08日</w:t>
      </w:r>
      <w:r>
        <w:rPr>
          <w:rFonts w:hint="eastAsia" w:ascii="宋体" w:hAnsi="宋体" w:cs="宋体"/>
          <w:color w:val="auto"/>
          <w:sz w:val="21"/>
          <w:szCs w:val="21"/>
          <w:highlight w:val="none"/>
          <w:shd w:val="clear" w:color="auto" w:fill="FFFFFF"/>
        </w:rPr>
        <w:t xml:space="preserve"> 09点30分（北京时间）（自招标文件开始发出之日起至投标人提交投标文件截止之日止，不得少于20日）</w:t>
      </w:r>
    </w:p>
    <w:p>
      <w:pPr>
        <w:pStyle w:val="19"/>
        <w:spacing w:beforeAutospacing="0" w:afterAutospacing="0"/>
        <w:ind w:firstLine="420"/>
        <w:textAlignment w:val="baseline"/>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shd w:val="clear" w:color="auto" w:fill="FFFFFF"/>
        </w:rPr>
        <w:t>地点：杭州市</w:t>
      </w:r>
      <w:r>
        <w:rPr>
          <w:rFonts w:hint="eastAsia" w:ascii="宋体" w:hAnsi="宋体" w:cs="宋体"/>
          <w:color w:val="auto"/>
          <w:sz w:val="21"/>
          <w:szCs w:val="21"/>
          <w:highlight w:val="none"/>
          <w:shd w:val="clear" w:color="auto" w:fill="FFFFFF"/>
          <w:lang w:eastAsia="zh-CN"/>
        </w:rPr>
        <w:t>萧山区风情大道</w:t>
      </w:r>
      <w:r>
        <w:rPr>
          <w:rFonts w:hint="eastAsia" w:ascii="宋体" w:hAnsi="宋体" w:cs="宋体"/>
          <w:color w:val="auto"/>
          <w:sz w:val="21"/>
          <w:szCs w:val="21"/>
          <w:highlight w:val="none"/>
          <w:shd w:val="clear" w:color="auto" w:fill="FFFFFF"/>
          <w:lang w:val="en-US" w:eastAsia="zh-CN"/>
        </w:rPr>
        <w:t>239号中国边检会客厅（机关食堂一楼）</w:t>
      </w:r>
    </w:p>
    <w:p>
      <w:pPr>
        <w:pStyle w:val="19"/>
        <w:spacing w:beforeAutospacing="0" w:afterAutospacing="0"/>
        <w:ind w:firstLine="0" w:firstLineChars="0"/>
        <w:textAlignment w:val="baseline"/>
        <w:rPr>
          <w:rFonts w:ascii="宋体" w:hAnsi="宋体" w:cs="宋体"/>
          <w:color w:val="auto"/>
          <w:sz w:val="21"/>
          <w:szCs w:val="21"/>
          <w:highlight w:val="none"/>
        </w:rPr>
      </w:pPr>
      <w:r>
        <w:rPr>
          <w:rStyle w:val="24"/>
          <w:rFonts w:hint="eastAsia" w:ascii="宋体" w:hAnsi="宋体" w:cs="宋体"/>
          <w:color w:val="auto"/>
          <w:sz w:val="21"/>
          <w:szCs w:val="21"/>
          <w:highlight w:val="none"/>
          <w:shd w:val="clear" w:color="auto" w:fill="FFFFFF"/>
        </w:rPr>
        <w:t>五、公告期限</w:t>
      </w:r>
    </w:p>
    <w:p>
      <w:pPr>
        <w:pStyle w:val="19"/>
        <w:spacing w:beforeAutospacing="0" w:afterAutospacing="0"/>
        <w:ind w:firstLine="420"/>
        <w:textAlignment w:val="baseline"/>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自本公告发布之日起5个工作日。</w:t>
      </w:r>
    </w:p>
    <w:p>
      <w:pPr>
        <w:pStyle w:val="19"/>
        <w:spacing w:beforeAutospacing="0" w:afterAutospacing="0"/>
        <w:ind w:firstLine="0" w:firstLineChars="0"/>
        <w:textAlignment w:val="baseline"/>
        <w:rPr>
          <w:rFonts w:ascii="宋体" w:hAnsi="宋体" w:cs="宋体"/>
          <w:color w:val="auto"/>
          <w:sz w:val="21"/>
          <w:szCs w:val="21"/>
          <w:highlight w:val="none"/>
        </w:rPr>
      </w:pPr>
      <w:r>
        <w:rPr>
          <w:rStyle w:val="24"/>
          <w:rFonts w:hint="eastAsia" w:ascii="宋体" w:hAnsi="宋体" w:cs="宋体"/>
          <w:color w:val="auto"/>
          <w:sz w:val="21"/>
          <w:szCs w:val="21"/>
          <w:highlight w:val="none"/>
          <w:shd w:val="clear" w:color="auto" w:fill="FFFFFF"/>
        </w:rPr>
        <w:t>六、其他补充事宜</w:t>
      </w:r>
    </w:p>
    <w:p>
      <w:pPr>
        <w:pStyle w:val="19"/>
        <w:spacing w:beforeAutospacing="0" w:afterAutospacing="0"/>
        <w:ind w:firstLine="420"/>
        <w:textAlignment w:val="baseline"/>
        <w:rPr>
          <w:rFonts w:ascii="宋体" w:hAnsi="宋体" w:cs="宋体"/>
          <w:color w:val="auto"/>
          <w:sz w:val="21"/>
          <w:szCs w:val="21"/>
          <w:highlight w:val="none"/>
        </w:rPr>
      </w:pPr>
      <w:r>
        <w:rPr>
          <w:rFonts w:hint="eastAsia" w:ascii="宋体" w:hAnsi="宋体" w:cs="宋体"/>
          <w:color w:val="auto"/>
          <w:sz w:val="21"/>
          <w:szCs w:val="21"/>
          <w:highlight w:val="none"/>
        </w:rPr>
        <w:t>投标人依法获取招标文件后认为招标文件使自己的权益受到损害的，可以自收到招标文件之日（获取截止时间之后收到招标文件的，以获取截止时间为准）或者招标文件公告期限届满之日（公告发布后的第6个工作日）起7个工作日内，以书面形式向采购人和采购代理机构提出质疑。</w:t>
      </w:r>
    </w:p>
    <w:p>
      <w:pPr>
        <w:pStyle w:val="19"/>
        <w:spacing w:beforeAutospacing="0" w:afterAutospacing="0"/>
        <w:ind w:firstLine="0" w:firstLineChars="0"/>
        <w:textAlignment w:val="baseline"/>
        <w:rPr>
          <w:rFonts w:ascii="宋体" w:hAnsi="宋体" w:cs="宋体"/>
          <w:color w:val="auto"/>
          <w:sz w:val="21"/>
          <w:szCs w:val="21"/>
          <w:highlight w:val="none"/>
        </w:rPr>
      </w:pPr>
      <w:r>
        <w:rPr>
          <w:rStyle w:val="24"/>
          <w:rFonts w:hint="eastAsia" w:ascii="宋体" w:hAnsi="宋体" w:cs="宋体"/>
          <w:color w:val="auto"/>
          <w:sz w:val="21"/>
          <w:szCs w:val="21"/>
          <w:highlight w:val="none"/>
          <w:shd w:val="clear" w:color="auto" w:fill="FFFFFF"/>
        </w:rPr>
        <w:t>七、对本次招标提出询问，请按以下方式联系。</w:t>
      </w:r>
    </w:p>
    <w:p>
      <w:pPr>
        <w:pStyle w:val="19"/>
        <w:spacing w:beforeAutospacing="0" w:afterAutospacing="0"/>
        <w:ind w:firstLine="420"/>
        <w:textAlignment w:val="baseline"/>
        <w:rPr>
          <w:rFonts w:ascii="宋体" w:hAnsi="宋体" w:cs="宋体"/>
          <w:color w:val="auto"/>
          <w:sz w:val="21"/>
          <w:szCs w:val="21"/>
          <w:highlight w:val="none"/>
        </w:rPr>
      </w:pPr>
      <w:r>
        <w:rPr>
          <w:rFonts w:hint="eastAsia" w:ascii="宋体" w:hAnsi="宋体" w:cs="宋体"/>
          <w:color w:val="auto"/>
          <w:sz w:val="21"/>
          <w:szCs w:val="21"/>
          <w:highlight w:val="none"/>
        </w:rPr>
        <w:t>1.采购人信息</w:t>
      </w:r>
    </w:p>
    <w:p>
      <w:pPr>
        <w:pStyle w:val="19"/>
        <w:spacing w:beforeAutospacing="0" w:afterAutospacing="0"/>
        <w:ind w:firstLine="420"/>
        <w:textAlignment w:val="baseline"/>
        <w:rPr>
          <w:rFonts w:ascii="宋体" w:hAnsi="宋体" w:cs="宋体"/>
          <w:color w:val="auto"/>
          <w:sz w:val="21"/>
          <w:szCs w:val="21"/>
          <w:highlight w:val="none"/>
        </w:rPr>
      </w:pPr>
      <w:r>
        <w:rPr>
          <w:rFonts w:hint="eastAsia" w:ascii="宋体" w:hAnsi="宋体" w:cs="宋体"/>
          <w:color w:val="auto"/>
          <w:sz w:val="21"/>
          <w:szCs w:val="21"/>
          <w:highlight w:val="none"/>
        </w:rPr>
        <w:t>名  称：浙江出入境边防检查总站</w:t>
      </w:r>
    </w:p>
    <w:p>
      <w:pPr>
        <w:pStyle w:val="19"/>
        <w:spacing w:beforeAutospacing="0" w:afterAutospacing="0"/>
        <w:ind w:firstLine="420"/>
        <w:textAlignment w:val="baseline"/>
        <w:rPr>
          <w:rFonts w:ascii="宋体" w:hAnsi="宋体" w:cs="宋体"/>
          <w:color w:val="auto"/>
          <w:sz w:val="21"/>
          <w:szCs w:val="21"/>
          <w:highlight w:val="none"/>
        </w:rPr>
      </w:pPr>
      <w:r>
        <w:rPr>
          <w:rFonts w:hint="eastAsia" w:ascii="宋体" w:hAnsi="宋体" w:cs="宋体"/>
          <w:color w:val="auto"/>
          <w:sz w:val="21"/>
          <w:szCs w:val="21"/>
          <w:highlight w:val="none"/>
        </w:rPr>
        <w:t>地  址：杭州市萧山区北干街道风情大道239号浙江边检总站</w:t>
      </w:r>
    </w:p>
    <w:p>
      <w:pPr>
        <w:pStyle w:val="19"/>
        <w:spacing w:beforeAutospacing="0" w:afterAutospacing="0"/>
        <w:ind w:firstLine="420"/>
        <w:textAlignment w:val="baseline"/>
        <w:rPr>
          <w:rFonts w:ascii="宋体" w:hAnsi="宋体" w:cs="宋体"/>
          <w:color w:val="auto"/>
          <w:sz w:val="21"/>
          <w:szCs w:val="21"/>
          <w:highlight w:val="none"/>
        </w:rPr>
      </w:pPr>
      <w:r>
        <w:rPr>
          <w:rFonts w:hint="eastAsia" w:ascii="宋体" w:hAnsi="宋体" w:cs="宋体"/>
          <w:color w:val="auto"/>
          <w:sz w:val="21"/>
          <w:szCs w:val="21"/>
          <w:highlight w:val="none"/>
        </w:rPr>
        <w:t>联系方式：周警官</w:t>
      </w:r>
    </w:p>
    <w:p>
      <w:pPr>
        <w:pStyle w:val="19"/>
        <w:spacing w:beforeAutospacing="0" w:afterAutospacing="0"/>
        <w:ind w:firstLine="420"/>
        <w:textAlignment w:val="baseline"/>
        <w:rPr>
          <w:rFonts w:ascii="宋体" w:hAnsi="宋体" w:cs="宋体"/>
          <w:color w:val="auto"/>
          <w:sz w:val="21"/>
          <w:szCs w:val="21"/>
          <w:highlight w:val="none"/>
        </w:rPr>
      </w:pPr>
      <w:r>
        <w:rPr>
          <w:rFonts w:hint="eastAsia" w:ascii="宋体" w:hAnsi="宋体" w:cs="宋体"/>
          <w:color w:val="auto"/>
          <w:sz w:val="21"/>
          <w:szCs w:val="21"/>
          <w:highlight w:val="none"/>
        </w:rPr>
        <w:t>联系电话：0571-81682321</w:t>
      </w:r>
    </w:p>
    <w:p>
      <w:pPr>
        <w:pStyle w:val="19"/>
        <w:spacing w:beforeAutospacing="0" w:afterAutospacing="0"/>
        <w:ind w:firstLine="420"/>
        <w:textAlignment w:val="baseline"/>
        <w:rPr>
          <w:rFonts w:ascii="宋体" w:hAnsi="宋体" w:cs="宋体"/>
          <w:color w:val="auto"/>
          <w:sz w:val="21"/>
          <w:szCs w:val="21"/>
          <w:highlight w:val="none"/>
        </w:rPr>
      </w:pPr>
      <w:r>
        <w:rPr>
          <w:rFonts w:hint="eastAsia" w:ascii="宋体" w:hAnsi="宋体" w:cs="宋体"/>
          <w:color w:val="auto"/>
          <w:sz w:val="21"/>
          <w:szCs w:val="21"/>
          <w:highlight w:val="none"/>
        </w:rPr>
        <w:t>采购监督部门电话：0571-81682225</w:t>
      </w:r>
    </w:p>
    <w:p>
      <w:pPr>
        <w:pStyle w:val="19"/>
        <w:spacing w:beforeAutospacing="0" w:afterAutospacing="0"/>
        <w:ind w:firstLine="420"/>
        <w:textAlignment w:val="baseline"/>
        <w:rPr>
          <w:rFonts w:ascii="宋体" w:hAnsi="宋体" w:cs="宋体"/>
          <w:color w:val="auto"/>
          <w:sz w:val="21"/>
          <w:szCs w:val="21"/>
          <w:highlight w:val="none"/>
        </w:rPr>
      </w:pPr>
      <w:r>
        <w:rPr>
          <w:rFonts w:hint="eastAsia" w:ascii="宋体" w:hAnsi="宋体" w:cs="宋体"/>
          <w:color w:val="auto"/>
          <w:sz w:val="21"/>
          <w:szCs w:val="21"/>
          <w:highlight w:val="none"/>
        </w:rPr>
        <w:t>2.采购代理机构信息</w:t>
      </w:r>
    </w:p>
    <w:p>
      <w:pPr>
        <w:pStyle w:val="19"/>
        <w:spacing w:beforeAutospacing="0" w:afterAutospacing="0"/>
        <w:ind w:firstLine="420"/>
        <w:textAlignment w:val="baseline"/>
        <w:rPr>
          <w:rFonts w:ascii="宋体" w:hAnsi="宋体" w:cs="宋体"/>
          <w:color w:val="auto"/>
          <w:sz w:val="21"/>
          <w:szCs w:val="21"/>
          <w:highlight w:val="none"/>
        </w:rPr>
      </w:pPr>
      <w:r>
        <w:rPr>
          <w:rFonts w:hint="eastAsia" w:ascii="宋体" w:hAnsi="宋体" w:cs="宋体"/>
          <w:color w:val="auto"/>
          <w:sz w:val="21"/>
          <w:szCs w:val="21"/>
          <w:highlight w:val="none"/>
        </w:rPr>
        <w:t>名  称：浙江五石工程咨询有限公司</w:t>
      </w:r>
    </w:p>
    <w:p>
      <w:pPr>
        <w:pStyle w:val="19"/>
        <w:spacing w:beforeAutospacing="0" w:afterAutospacing="0"/>
        <w:ind w:firstLine="420"/>
        <w:textAlignment w:val="baseline"/>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地  址：杭州市滨江区东方通信科技园启迪楼2楼</w:t>
      </w:r>
      <w:r>
        <w:rPr>
          <w:rFonts w:hint="eastAsia" w:ascii="宋体" w:hAnsi="宋体" w:cs="宋体"/>
          <w:color w:val="auto"/>
          <w:sz w:val="21"/>
          <w:szCs w:val="21"/>
          <w:highlight w:val="none"/>
          <w:lang w:eastAsia="zh-CN"/>
        </w:rPr>
        <w:t>1208室</w:t>
      </w:r>
    </w:p>
    <w:p>
      <w:pPr>
        <w:pStyle w:val="19"/>
        <w:spacing w:beforeAutospacing="0" w:afterAutospacing="0"/>
        <w:ind w:firstLine="420"/>
        <w:textAlignment w:val="baseline"/>
        <w:rPr>
          <w:rFonts w:ascii="宋体" w:hAnsi="宋体" w:cs="宋体"/>
          <w:color w:val="auto"/>
          <w:sz w:val="21"/>
          <w:szCs w:val="21"/>
          <w:highlight w:val="none"/>
        </w:rPr>
      </w:pPr>
      <w:r>
        <w:rPr>
          <w:rFonts w:hint="eastAsia" w:ascii="宋体" w:hAnsi="宋体" w:cs="宋体"/>
          <w:color w:val="auto"/>
          <w:sz w:val="21"/>
          <w:szCs w:val="21"/>
          <w:highlight w:val="none"/>
        </w:rPr>
        <w:t>联系方式：徐工：0571-87805727-806；梁工：0571-87805727（总机）、17746806483</w:t>
      </w:r>
    </w:p>
    <w:p>
      <w:pPr>
        <w:pStyle w:val="19"/>
        <w:spacing w:beforeAutospacing="0" w:afterAutospacing="0"/>
        <w:ind w:firstLine="420"/>
        <w:textAlignment w:val="baseline"/>
        <w:rPr>
          <w:rFonts w:ascii="宋体" w:hAnsi="宋体" w:cs="宋体"/>
          <w:color w:val="auto"/>
          <w:sz w:val="21"/>
          <w:szCs w:val="21"/>
          <w:highlight w:val="none"/>
        </w:rPr>
      </w:pPr>
      <w:r>
        <w:rPr>
          <w:rFonts w:hint="eastAsia" w:ascii="宋体" w:hAnsi="宋体" w:cs="宋体"/>
          <w:color w:val="auto"/>
          <w:sz w:val="21"/>
          <w:szCs w:val="21"/>
          <w:highlight w:val="none"/>
        </w:rPr>
        <w:t>质疑联系人：毛工：0571-87919156</w:t>
      </w:r>
    </w:p>
    <w:p>
      <w:pPr>
        <w:widowControl/>
        <w:ind w:firstLine="420"/>
        <w:jc w:val="left"/>
        <w:rPr>
          <w:rFonts w:cs="宋体"/>
          <w:color w:val="auto"/>
          <w:kern w:val="0"/>
          <w:szCs w:val="21"/>
          <w:highlight w:val="none"/>
        </w:rPr>
      </w:pPr>
    </w:p>
    <w:p>
      <w:pPr>
        <w:pStyle w:val="10"/>
        <w:ind w:firstLine="420"/>
        <w:rPr>
          <w:color w:val="auto"/>
          <w:highlight w:val="none"/>
        </w:rPr>
        <w:sectPr>
          <w:footerReference r:id="rId13" w:type="default"/>
          <w:pgSz w:w="11906" w:h="16838"/>
          <w:pgMar w:top="1418" w:right="1588" w:bottom="1418" w:left="1588" w:header="567" w:footer="567" w:gutter="0"/>
          <w:pgNumType w:start="1"/>
          <w:cols w:space="720" w:num="1"/>
          <w:docGrid w:linePitch="312" w:charSpace="0"/>
        </w:sectPr>
      </w:pPr>
    </w:p>
    <w:p>
      <w:pPr>
        <w:pStyle w:val="4"/>
        <w:ind w:firstLine="0" w:firstLineChars="0"/>
        <w:rPr>
          <w:rFonts w:cs="宋体"/>
          <w:color w:val="auto"/>
          <w:highlight w:val="none"/>
        </w:rPr>
      </w:pPr>
      <w:bookmarkStart w:id="6" w:name="_Toc30447"/>
      <w:r>
        <w:rPr>
          <w:rFonts w:hint="eastAsia" w:cs="宋体"/>
          <w:color w:val="auto"/>
          <w:highlight w:val="none"/>
        </w:rPr>
        <w:t>第二章  投标人须知</w:t>
      </w:r>
      <w:bookmarkEnd w:id="2"/>
      <w:bookmarkEnd w:id="3"/>
      <w:bookmarkEnd w:id="4"/>
      <w:bookmarkEnd w:id="5"/>
      <w:bookmarkEnd w:id="6"/>
    </w:p>
    <w:p>
      <w:pPr>
        <w:pStyle w:val="5"/>
        <w:ind w:firstLine="0" w:firstLineChars="0"/>
        <w:jc w:val="center"/>
        <w:rPr>
          <w:rFonts w:ascii="宋体" w:hAnsi="宋体" w:cs="宋体"/>
          <w:color w:val="auto"/>
          <w:highlight w:val="none"/>
        </w:rPr>
      </w:pPr>
      <w:bookmarkStart w:id="7" w:name="_Toc226969277"/>
      <w:bookmarkStart w:id="8" w:name="_Toc415814124"/>
      <w:bookmarkStart w:id="9" w:name="_Toc506358593"/>
      <w:bookmarkStart w:id="10" w:name="_Toc227057884"/>
      <w:bookmarkStart w:id="11" w:name="_Toc28536"/>
      <w:r>
        <w:rPr>
          <w:rFonts w:hint="eastAsia" w:ascii="宋体" w:hAnsi="宋体" w:cs="宋体"/>
          <w:color w:val="auto"/>
          <w:highlight w:val="none"/>
        </w:rPr>
        <w:t>投标人须知前附表</w:t>
      </w:r>
      <w:bookmarkEnd w:id="7"/>
      <w:bookmarkEnd w:id="8"/>
      <w:bookmarkEnd w:id="9"/>
      <w:bookmarkEnd w:id="10"/>
      <w:bookmarkEnd w:id="11"/>
    </w:p>
    <w:tbl>
      <w:tblPr>
        <w:tblStyle w:val="21"/>
        <w:tblW w:w="9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146"/>
        <w:gridCol w:w="63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blHeader/>
        </w:trPr>
        <w:tc>
          <w:tcPr>
            <w:tcW w:w="959" w:type="dxa"/>
            <w:tcBorders>
              <w:top w:val="single" w:color="auto" w:sz="12" w:space="0"/>
              <w:left w:val="single" w:color="auto" w:sz="12" w:space="0"/>
            </w:tcBorders>
            <w:vAlign w:val="center"/>
          </w:tcPr>
          <w:p>
            <w:pPr>
              <w:snapToGrid w:val="0"/>
              <w:spacing w:line="240" w:lineRule="auto"/>
              <w:ind w:firstLine="0" w:firstLineChars="0"/>
              <w:jc w:val="center"/>
              <w:rPr>
                <w:rFonts w:cs="宋体"/>
                <w:b/>
                <w:color w:val="auto"/>
                <w:szCs w:val="21"/>
                <w:highlight w:val="none"/>
              </w:rPr>
            </w:pPr>
            <w:bookmarkStart w:id="12" w:name="_Toc107822484"/>
            <w:bookmarkStart w:id="13" w:name="_Toc227057885"/>
            <w:bookmarkStart w:id="14" w:name="_Toc226969278"/>
            <w:bookmarkStart w:id="15" w:name="_Toc488655831"/>
            <w:r>
              <w:rPr>
                <w:rFonts w:hint="eastAsia" w:cs="宋体"/>
                <w:b/>
                <w:color w:val="auto"/>
                <w:szCs w:val="21"/>
                <w:highlight w:val="none"/>
              </w:rPr>
              <w:t>序号</w:t>
            </w:r>
          </w:p>
        </w:tc>
        <w:tc>
          <w:tcPr>
            <w:tcW w:w="2146" w:type="dxa"/>
            <w:tcBorders>
              <w:top w:val="single" w:color="auto" w:sz="12" w:space="0"/>
            </w:tcBorders>
            <w:vAlign w:val="center"/>
          </w:tcPr>
          <w:p>
            <w:pPr>
              <w:snapToGrid w:val="0"/>
              <w:spacing w:line="240" w:lineRule="auto"/>
              <w:ind w:firstLine="0" w:firstLineChars="0"/>
              <w:jc w:val="center"/>
              <w:rPr>
                <w:rFonts w:cs="宋体"/>
                <w:b/>
                <w:color w:val="auto"/>
                <w:szCs w:val="21"/>
                <w:highlight w:val="none"/>
              </w:rPr>
            </w:pPr>
            <w:r>
              <w:rPr>
                <w:rFonts w:hint="eastAsia" w:cs="宋体"/>
                <w:b/>
                <w:color w:val="auto"/>
                <w:szCs w:val="21"/>
                <w:highlight w:val="none"/>
              </w:rPr>
              <w:t>内容</w:t>
            </w:r>
          </w:p>
        </w:tc>
        <w:tc>
          <w:tcPr>
            <w:tcW w:w="6314" w:type="dxa"/>
            <w:tcBorders>
              <w:top w:val="single" w:color="auto" w:sz="12" w:space="0"/>
              <w:right w:val="single" w:color="auto" w:sz="12" w:space="0"/>
            </w:tcBorders>
            <w:vAlign w:val="center"/>
          </w:tcPr>
          <w:p>
            <w:pPr>
              <w:snapToGrid w:val="0"/>
              <w:spacing w:line="240" w:lineRule="auto"/>
              <w:ind w:firstLine="0" w:firstLineChars="0"/>
              <w:jc w:val="center"/>
              <w:rPr>
                <w:rFonts w:cs="宋体"/>
                <w:b/>
                <w:color w:val="auto"/>
                <w:szCs w:val="21"/>
                <w:highlight w:val="none"/>
              </w:rPr>
            </w:pPr>
            <w:r>
              <w:rPr>
                <w:rFonts w:hint="eastAsia" w:cs="宋体"/>
                <w:b/>
                <w:color w:val="auto"/>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959" w:type="dxa"/>
            <w:tcBorders>
              <w:left w:val="single" w:color="auto" w:sz="12" w:space="0"/>
            </w:tcBorders>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1</w:t>
            </w:r>
          </w:p>
        </w:tc>
        <w:tc>
          <w:tcPr>
            <w:tcW w:w="2146" w:type="dxa"/>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采购人</w:t>
            </w:r>
          </w:p>
        </w:tc>
        <w:tc>
          <w:tcPr>
            <w:tcW w:w="6314" w:type="dxa"/>
            <w:tcBorders>
              <w:right w:val="single" w:color="auto" w:sz="12" w:space="0"/>
            </w:tcBorders>
            <w:vAlign w:val="center"/>
          </w:tcPr>
          <w:p>
            <w:pPr>
              <w:autoSpaceDE w:val="0"/>
              <w:autoSpaceDN w:val="0"/>
              <w:adjustRightInd w:val="0"/>
              <w:snapToGrid w:val="0"/>
              <w:spacing w:line="240" w:lineRule="auto"/>
              <w:ind w:firstLine="0" w:firstLineChars="0"/>
              <w:textAlignment w:val="bottom"/>
              <w:rPr>
                <w:rFonts w:cs="宋体"/>
                <w:color w:val="auto"/>
                <w:szCs w:val="21"/>
                <w:highlight w:val="none"/>
              </w:rPr>
            </w:pPr>
            <w:r>
              <w:rPr>
                <w:rFonts w:hint="eastAsia" w:cs="宋体"/>
                <w:color w:val="auto"/>
                <w:szCs w:val="21"/>
                <w:highlight w:val="none"/>
              </w:rPr>
              <w:t>浙江出入境边防检查总站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959" w:type="dxa"/>
            <w:tcBorders>
              <w:left w:val="single" w:color="auto" w:sz="12" w:space="0"/>
            </w:tcBorders>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2</w:t>
            </w:r>
          </w:p>
        </w:tc>
        <w:tc>
          <w:tcPr>
            <w:tcW w:w="2146" w:type="dxa"/>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建设地点</w:t>
            </w:r>
          </w:p>
        </w:tc>
        <w:tc>
          <w:tcPr>
            <w:tcW w:w="6314" w:type="dxa"/>
            <w:tcBorders>
              <w:right w:val="single" w:color="auto" w:sz="12" w:space="0"/>
            </w:tcBorders>
            <w:vAlign w:val="center"/>
          </w:tcPr>
          <w:p>
            <w:pPr>
              <w:autoSpaceDE w:val="0"/>
              <w:autoSpaceDN w:val="0"/>
              <w:adjustRightInd w:val="0"/>
              <w:snapToGrid w:val="0"/>
              <w:spacing w:line="240" w:lineRule="auto"/>
              <w:ind w:firstLine="0" w:firstLineChars="0"/>
              <w:jc w:val="left"/>
              <w:textAlignment w:val="bottom"/>
              <w:rPr>
                <w:rFonts w:cs="宋体"/>
                <w:color w:val="auto"/>
                <w:szCs w:val="21"/>
                <w:highlight w:val="none"/>
              </w:rPr>
            </w:pPr>
            <w:r>
              <w:rPr>
                <w:rFonts w:hint="eastAsia" w:cs="宋体"/>
                <w:color w:val="auto"/>
                <w:szCs w:val="21"/>
                <w:highlight w:val="none"/>
              </w:rPr>
              <w:t>杭州市萧山区风情大道239号浙江出入境边防检查总站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959" w:type="dxa"/>
            <w:tcBorders>
              <w:left w:val="single" w:color="auto" w:sz="12" w:space="0"/>
            </w:tcBorders>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3</w:t>
            </w:r>
          </w:p>
        </w:tc>
        <w:tc>
          <w:tcPr>
            <w:tcW w:w="2146" w:type="dxa"/>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采购代理机构</w:t>
            </w:r>
          </w:p>
        </w:tc>
        <w:tc>
          <w:tcPr>
            <w:tcW w:w="6314" w:type="dxa"/>
            <w:tcBorders>
              <w:right w:val="single" w:color="auto" w:sz="12" w:space="0"/>
            </w:tcBorders>
            <w:vAlign w:val="center"/>
          </w:tcPr>
          <w:p>
            <w:pPr>
              <w:spacing w:line="240" w:lineRule="auto"/>
              <w:ind w:firstLine="0" w:firstLineChars="0"/>
              <w:rPr>
                <w:rFonts w:cs="宋体"/>
                <w:color w:val="auto"/>
                <w:szCs w:val="21"/>
                <w:highlight w:val="none"/>
              </w:rPr>
            </w:pPr>
            <w:r>
              <w:rPr>
                <w:rFonts w:hint="eastAsia" w:cs="宋体"/>
                <w:color w:val="auto"/>
                <w:kern w:val="0"/>
                <w:szCs w:val="21"/>
                <w:highlight w:val="none"/>
              </w:rPr>
              <w:t>浙江五石工程咨询有限公司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959" w:type="dxa"/>
            <w:tcBorders>
              <w:left w:val="single" w:color="auto" w:sz="12" w:space="0"/>
            </w:tcBorders>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4</w:t>
            </w:r>
          </w:p>
        </w:tc>
        <w:tc>
          <w:tcPr>
            <w:tcW w:w="2146" w:type="dxa"/>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是否接受联合体投标</w:t>
            </w:r>
          </w:p>
        </w:tc>
        <w:tc>
          <w:tcPr>
            <w:tcW w:w="6314" w:type="dxa"/>
            <w:tcBorders>
              <w:right w:val="single" w:color="auto" w:sz="12" w:space="0"/>
            </w:tcBorders>
            <w:vAlign w:val="center"/>
          </w:tcPr>
          <w:p>
            <w:pPr>
              <w:autoSpaceDE w:val="0"/>
              <w:autoSpaceDN w:val="0"/>
              <w:adjustRightInd w:val="0"/>
              <w:snapToGrid w:val="0"/>
              <w:spacing w:line="240" w:lineRule="auto"/>
              <w:ind w:firstLine="0" w:firstLineChars="0"/>
              <w:textAlignment w:val="bottom"/>
              <w:rPr>
                <w:rFonts w:cs="宋体"/>
                <w:color w:val="auto"/>
                <w:szCs w:val="21"/>
                <w:highlight w:val="none"/>
              </w:rPr>
            </w:pPr>
            <w:r>
              <w:rPr>
                <w:rFonts w:hint="eastAsia" w:cs="宋体"/>
                <w:color w:val="auto"/>
                <w:szCs w:val="21"/>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959" w:type="dxa"/>
            <w:tcBorders>
              <w:left w:val="single" w:color="auto" w:sz="12" w:space="0"/>
            </w:tcBorders>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5</w:t>
            </w:r>
          </w:p>
        </w:tc>
        <w:tc>
          <w:tcPr>
            <w:tcW w:w="2146" w:type="dxa"/>
            <w:vAlign w:val="center"/>
          </w:tcPr>
          <w:p>
            <w:pPr>
              <w:spacing w:line="240" w:lineRule="auto"/>
              <w:ind w:firstLine="0" w:firstLineChars="0"/>
              <w:jc w:val="center"/>
              <w:rPr>
                <w:rFonts w:cs="宋体"/>
                <w:color w:val="auto"/>
                <w:szCs w:val="21"/>
                <w:highlight w:val="none"/>
              </w:rPr>
            </w:pPr>
            <w:r>
              <w:rPr>
                <w:rFonts w:hint="eastAsia" w:cs="宋体"/>
                <w:b/>
                <w:bCs/>
                <w:color w:val="auto"/>
                <w:szCs w:val="21"/>
                <w:highlight w:val="none"/>
              </w:rPr>
              <w:t>工期</w:t>
            </w:r>
          </w:p>
        </w:tc>
        <w:tc>
          <w:tcPr>
            <w:tcW w:w="6314" w:type="dxa"/>
            <w:tcBorders>
              <w:right w:val="single" w:color="auto" w:sz="12" w:space="0"/>
            </w:tcBorders>
            <w:vAlign w:val="center"/>
          </w:tcPr>
          <w:p>
            <w:pPr>
              <w:spacing w:line="240" w:lineRule="auto"/>
              <w:ind w:firstLine="0" w:firstLineChars="0"/>
              <w:rPr>
                <w:rFonts w:cs="宋体"/>
                <w:color w:val="auto"/>
                <w:szCs w:val="21"/>
                <w:highlight w:val="none"/>
              </w:rPr>
            </w:pPr>
            <w:r>
              <w:rPr>
                <w:rFonts w:hint="eastAsia" w:cs="宋体"/>
                <w:b/>
                <w:bCs/>
                <w:color w:val="auto"/>
                <w:szCs w:val="21"/>
                <w:highlight w:val="none"/>
              </w:rPr>
              <w:t>自合同签订之日起80日历天内完成。（延期等违约按照合同执行）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959" w:type="dxa"/>
            <w:tcBorders>
              <w:left w:val="single" w:color="auto" w:sz="12" w:space="0"/>
            </w:tcBorders>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6</w:t>
            </w:r>
          </w:p>
        </w:tc>
        <w:tc>
          <w:tcPr>
            <w:tcW w:w="2146" w:type="dxa"/>
            <w:vAlign w:val="center"/>
          </w:tcPr>
          <w:p>
            <w:pPr>
              <w:pStyle w:val="13"/>
              <w:spacing w:line="240" w:lineRule="auto"/>
              <w:ind w:firstLine="0" w:firstLineChars="0"/>
              <w:jc w:val="center"/>
              <w:rPr>
                <w:rFonts w:ascii="宋体" w:hAnsi="宋体" w:cs="宋体"/>
                <w:color w:val="auto"/>
                <w:highlight w:val="none"/>
              </w:rPr>
            </w:pPr>
            <w:r>
              <w:rPr>
                <w:rFonts w:hint="eastAsia" w:ascii="宋体" w:hAnsi="宋体" w:cs="宋体"/>
                <w:color w:val="auto"/>
                <w:highlight w:val="none"/>
              </w:rPr>
              <w:t>承包方式</w:t>
            </w:r>
          </w:p>
        </w:tc>
        <w:tc>
          <w:tcPr>
            <w:tcW w:w="6314" w:type="dxa"/>
            <w:tcBorders>
              <w:right w:val="single" w:color="auto" w:sz="12" w:space="0"/>
            </w:tcBorders>
            <w:vAlign w:val="center"/>
          </w:tcPr>
          <w:p>
            <w:pPr>
              <w:pStyle w:val="13"/>
              <w:spacing w:line="240" w:lineRule="auto"/>
              <w:ind w:firstLine="0" w:firstLineChars="0"/>
              <w:rPr>
                <w:rFonts w:ascii="宋体" w:hAnsi="宋体" w:cs="宋体"/>
                <w:color w:val="auto"/>
                <w:highlight w:val="none"/>
              </w:rPr>
            </w:pPr>
            <w:r>
              <w:rPr>
                <w:rFonts w:hint="eastAsia" w:ascii="宋体" w:hAnsi="宋体" w:cs="宋体"/>
                <w:color w:val="auto"/>
                <w:highlight w:val="none"/>
              </w:rPr>
              <w:t>包工包料，总承包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59" w:type="dxa"/>
            <w:tcBorders>
              <w:left w:val="single" w:color="auto" w:sz="12" w:space="0"/>
            </w:tcBorders>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7</w:t>
            </w:r>
          </w:p>
        </w:tc>
        <w:tc>
          <w:tcPr>
            <w:tcW w:w="2146" w:type="dxa"/>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质量要求</w:t>
            </w:r>
          </w:p>
        </w:tc>
        <w:tc>
          <w:tcPr>
            <w:tcW w:w="6314" w:type="dxa"/>
            <w:tcBorders>
              <w:right w:val="single" w:color="auto" w:sz="12" w:space="0"/>
            </w:tcBorders>
            <w:vAlign w:val="center"/>
          </w:tcPr>
          <w:p>
            <w:pPr>
              <w:autoSpaceDE w:val="0"/>
              <w:autoSpaceDN w:val="0"/>
              <w:adjustRightInd w:val="0"/>
              <w:snapToGrid w:val="0"/>
              <w:spacing w:line="240" w:lineRule="auto"/>
              <w:ind w:firstLine="0" w:firstLineChars="0"/>
              <w:textAlignment w:val="bottom"/>
              <w:rPr>
                <w:rFonts w:cs="宋体"/>
                <w:color w:val="auto"/>
                <w:szCs w:val="21"/>
                <w:highlight w:val="none"/>
              </w:rPr>
            </w:pPr>
            <w:r>
              <w:rPr>
                <w:rFonts w:hint="eastAsia" w:cs="宋体"/>
                <w:color w:val="auto"/>
                <w:szCs w:val="21"/>
                <w:highlight w:val="none"/>
              </w:rPr>
              <w:t>符合《工程施工质量验收规范》合格标准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trPr>
        <w:tc>
          <w:tcPr>
            <w:tcW w:w="959" w:type="dxa"/>
            <w:tcBorders>
              <w:left w:val="single" w:color="auto" w:sz="12" w:space="0"/>
            </w:tcBorders>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8</w:t>
            </w:r>
          </w:p>
        </w:tc>
        <w:tc>
          <w:tcPr>
            <w:tcW w:w="2146" w:type="dxa"/>
            <w:vAlign w:val="center"/>
          </w:tcPr>
          <w:p>
            <w:pPr>
              <w:pStyle w:val="13"/>
              <w:autoSpaceDE w:val="0"/>
              <w:autoSpaceDN w:val="0"/>
              <w:adjustRightInd w:val="0"/>
              <w:snapToGrid w:val="0"/>
              <w:spacing w:line="240" w:lineRule="auto"/>
              <w:ind w:firstLine="0" w:firstLineChars="0"/>
              <w:jc w:val="center"/>
              <w:textAlignment w:val="bottom"/>
              <w:rPr>
                <w:rFonts w:ascii="宋体" w:hAnsi="宋体" w:cs="宋体"/>
                <w:b/>
                <w:bCs/>
                <w:color w:val="auto"/>
                <w:highlight w:val="none"/>
              </w:rPr>
            </w:pPr>
            <w:r>
              <w:rPr>
                <w:rFonts w:hint="eastAsia" w:ascii="宋体" w:hAnsi="宋体" w:cs="宋体"/>
                <w:b/>
                <w:bCs/>
                <w:color w:val="auto"/>
                <w:highlight w:val="none"/>
              </w:rPr>
              <w:t>招标范围</w:t>
            </w:r>
          </w:p>
        </w:tc>
        <w:tc>
          <w:tcPr>
            <w:tcW w:w="6314" w:type="dxa"/>
            <w:tcBorders>
              <w:right w:val="single" w:color="auto" w:sz="12" w:space="0"/>
            </w:tcBorders>
            <w:vAlign w:val="center"/>
          </w:tcPr>
          <w:p>
            <w:pPr>
              <w:pStyle w:val="13"/>
              <w:spacing w:line="240" w:lineRule="auto"/>
              <w:ind w:firstLine="0" w:firstLineChars="0"/>
              <w:rPr>
                <w:rFonts w:ascii="宋体" w:hAnsi="宋体" w:cs="宋体"/>
                <w:color w:val="auto"/>
                <w:kern w:val="0"/>
                <w:highlight w:val="none"/>
              </w:rPr>
            </w:pPr>
            <w:r>
              <w:rPr>
                <w:rFonts w:hint="eastAsia" w:ascii="宋体" w:hAnsi="宋体" w:cs="宋体"/>
                <w:color w:val="auto"/>
                <w:kern w:val="0"/>
                <w:highlight w:val="none"/>
              </w:rPr>
              <w:t>1）</w:t>
            </w:r>
            <w:r>
              <w:rPr>
                <w:rFonts w:hint="eastAsia" w:ascii="宋体" w:hAnsi="宋体" w:cs="宋体"/>
                <w:bCs/>
                <w:color w:val="auto"/>
                <w:kern w:val="0"/>
                <w:highlight w:val="none"/>
              </w:rPr>
              <w:t>包括“</w:t>
            </w:r>
            <w:r>
              <w:rPr>
                <w:rFonts w:hint="eastAsia" w:cs="宋体"/>
                <w:color w:val="auto"/>
                <w:kern w:val="0"/>
                <w:highlight w:val="none"/>
                <w:shd w:val="clear" w:color="auto" w:fill="FFFFFF"/>
                <w:lang w:bidi="ar"/>
              </w:rPr>
              <w:t>浙江出入境边防检查总站储备地块围墙改建工程</w:t>
            </w:r>
            <w:r>
              <w:rPr>
                <w:rFonts w:hint="eastAsia" w:ascii="宋体" w:hAnsi="宋体" w:cs="宋体"/>
                <w:bCs/>
                <w:color w:val="auto"/>
                <w:kern w:val="0"/>
                <w:highlight w:val="none"/>
              </w:rPr>
              <w:t>”施工图范围内的全部内容。</w:t>
            </w:r>
            <w:r>
              <w:rPr>
                <w:rFonts w:hint="eastAsia" w:ascii="宋体" w:hAnsi="宋体" w:cs="宋体"/>
                <w:color w:val="auto"/>
                <w:kern w:val="0"/>
                <w:highlight w:val="none"/>
              </w:rPr>
              <w:t>具体内容详见工程量清单及施工图纸。</w:t>
            </w:r>
          </w:p>
          <w:p>
            <w:pPr>
              <w:pStyle w:val="13"/>
              <w:spacing w:line="240" w:lineRule="auto"/>
              <w:ind w:firstLine="0" w:firstLineChars="0"/>
              <w:rPr>
                <w:rFonts w:ascii="宋体" w:hAnsi="宋体" w:cs="宋体"/>
                <w:b/>
                <w:bCs/>
                <w:color w:val="auto"/>
                <w:highlight w:val="none"/>
              </w:rPr>
            </w:pPr>
            <w:r>
              <w:rPr>
                <w:rFonts w:hint="eastAsia" w:ascii="宋体" w:hAnsi="宋体" w:cs="宋体"/>
                <w:color w:val="auto"/>
                <w:kern w:val="0"/>
                <w:highlight w:val="none"/>
              </w:rPr>
              <w:t>2）可能出现的施工图修改引起的工程量增减以及根据招标人明确指令需在招标范围外增加的工程量及招标范围内减少的工程量。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59" w:type="dxa"/>
            <w:tcBorders>
              <w:left w:val="single" w:color="auto" w:sz="12" w:space="0"/>
            </w:tcBorders>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6</w:t>
            </w:r>
          </w:p>
        </w:tc>
        <w:tc>
          <w:tcPr>
            <w:tcW w:w="2146" w:type="dxa"/>
            <w:vAlign w:val="center"/>
          </w:tcPr>
          <w:p>
            <w:pPr>
              <w:autoSpaceDE w:val="0"/>
              <w:autoSpaceDN w:val="0"/>
              <w:adjustRightInd w:val="0"/>
              <w:snapToGrid w:val="0"/>
              <w:spacing w:line="240" w:lineRule="auto"/>
              <w:ind w:firstLine="0" w:firstLineChars="0"/>
              <w:jc w:val="center"/>
              <w:textAlignment w:val="bottom"/>
              <w:rPr>
                <w:rFonts w:cs="宋体"/>
                <w:b/>
                <w:bCs/>
                <w:color w:val="auto"/>
                <w:szCs w:val="21"/>
                <w:highlight w:val="none"/>
              </w:rPr>
            </w:pPr>
            <w:r>
              <w:rPr>
                <w:rFonts w:hint="eastAsia" w:cs="宋体"/>
                <w:b/>
                <w:bCs/>
                <w:color w:val="auto"/>
                <w:szCs w:val="21"/>
                <w:highlight w:val="none"/>
              </w:rPr>
              <w:t>现场踏勘</w:t>
            </w:r>
          </w:p>
        </w:tc>
        <w:tc>
          <w:tcPr>
            <w:tcW w:w="6314" w:type="dxa"/>
            <w:tcBorders>
              <w:right w:val="single" w:color="auto" w:sz="12" w:space="0"/>
            </w:tcBorders>
            <w:vAlign w:val="center"/>
          </w:tcPr>
          <w:p>
            <w:pPr>
              <w:spacing w:line="240" w:lineRule="auto"/>
              <w:ind w:firstLine="0" w:firstLineChars="0"/>
              <w:rPr>
                <w:rFonts w:hint="default" w:eastAsia="宋体" w:cs="宋体"/>
                <w:b/>
                <w:bCs/>
                <w:color w:val="auto"/>
                <w:szCs w:val="21"/>
                <w:highlight w:val="none"/>
                <w:lang w:val="en-US" w:eastAsia="zh-CN"/>
              </w:rPr>
            </w:pPr>
            <w:r>
              <w:rPr>
                <w:rFonts w:hint="eastAsia" w:cs="宋体"/>
                <w:b/>
                <w:bCs/>
                <w:color w:val="auto"/>
                <w:szCs w:val="21"/>
                <w:highlight w:val="none"/>
              </w:rPr>
              <w:t>集中</w:t>
            </w:r>
            <w:r>
              <w:rPr>
                <w:rFonts w:hint="eastAsia" w:cs="宋体"/>
                <w:b/>
                <w:bCs/>
                <w:color w:val="auto"/>
                <w:szCs w:val="21"/>
                <w:highlight w:val="none"/>
                <w:lang w:eastAsia="zh-CN"/>
              </w:rPr>
              <w:t>组织</w:t>
            </w:r>
            <w:r>
              <w:rPr>
                <w:rFonts w:hint="eastAsia" w:cs="宋体"/>
                <w:b/>
                <w:bCs/>
                <w:color w:val="auto"/>
                <w:szCs w:val="21"/>
                <w:highlight w:val="none"/>
              </w:rPr>
              <w:t>勘察</w:t>
            </w:r>
            <w:r>
              <w:rPr>
                <w:rFonts w:hint="eastAsia" w:cs="宋体"/>
                <w:b/>
                <w:bCs/>
                <w:color w:val="auto"/>
                <w:szCs w:val="21"/>
                <w:highlight w:val="none"/>
                <w:lang w:eastAsia="zh-CN"/>
              </w:rPr>
              <w:t>，踏勘时间地点：</w:t>
            </w:r>
            <w:r>
              <w:rPr>
                <w:rFonts w:hint="eastAsia" w:cs="宋体"/>
                <w:b/>
                <w:bCs/>
                <w:color w:val="auto"/>
                <w:szCs w:val="21"/>
                <w:highlight w:val="none"/>
                <w:lang w:val="en-US" w:eastAsia="zh-CN"/>
              </w:rPr>
              <w:t>2021年5月28日下午14:00在杭州市萧山区风情大道239号浙江出入境边防检查总站门口集合</w:t>
            </w:r>
            <w:r>
              <w:rPr>
                <w:rFonts w:hint="eastAsia" w:cs="宋体"/>
                <w:b/>
                <w:bCs/>
                <w:color w:val="auto"/>
                <w:szCs w:val="21"/>
                <w:highlight w:val="none"/>
                <w:lang w:eastAsia="zh-CN"/>
              </w:rPr>
              <w:t>。</w:t>
            </w:r>
            <w:r>
              <w:rPr>
                <w:rFonts w:hint="eastAsia" w:cs="宋体"/>
                <w:b/>
                <w:bCs/>
                <w:color w:val="auto"/>
                <w:szCs w:val="21"/>
                <w:highlight w:val="none"/>
              </w:rPr>
              <w:t>踏勘期间发生的费用或意外导致伤亡等一切责任和损失均由投标人自负。</w:t>
            </w:r>
            <w:r>
              <w:rPr>
                <w:rFonts w:hint="eastAsia" w:cs="宋体"/>
                <w:b/>
                <w:bCs/>
                <w:color w:val="auto"/>
                <w:szCs w:val="21"/>
                <w:highlight w:val="none"/>
                <w:lang w:eastAsia="zh-CN"/>
              </w:rPr>
              <w:t>踏勘</w:t>
            </w:r>
            <w:r>
              <w:rPr>
                <w:rFonts w:hint="eastAsia" w:cs="宋体"/>
                <w:b/>
                <w:bCs/>
                <w:color w:val="auto"/>
                <w:szCs w:val="21"/>
                <w:highlight w:val="none"/>
              </w:rPr>
              <w:t>联系人：</w:t>
            </w:r>
            <w:r>
              <w:rPr>
                <w:rFonts w:hint="eastAsia" w:cs="宋体"/>
                <w:b/>
                <w:bCs/>
                <w:color w:val="auto"/>
                <w:szCs w:val="21"/>
                <w:highlight w:val="none"/>
                <w:lang w:eastAsia="zh-CN"/>
              </w:rPr>
              <w:t>韩智勇</w:t>
            </w:r>
            <w:r>
              <w:rPr>
                <w:rFonts w:hint="eastAsia" w:cs="宋体"/>
                <w:b/>
                <w:bCs/>
                <w:color w:val="auto"/>
                <w:szCs w:val="21"/>
                <w:highlight w:val="none"/>
              </w:rPr>
              <w:t>，联系方式：</w:t>
            </w:r>
            <w:r>
              <w:rPr>
                <w:rFonts w:hint="eastAsia" w:cs="宋体"/>
                <w:b/>
                <w:bCs/>
                <w:color w:val="auto"/>
                <w:szCs w:val="21"/>
                <w:highlight w:val="none"/>
                <w:lang w:val="en-US" w:eastAsia="zh-CN"/>
              </w:rPr>
              <w:t>15990012001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959" w:type="dxa"/>
            <w:tcBorders>
              <w:left w:val="single" w:color="auto" w:sz="12" w:space="0"/>
            </w:tcBorders>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7</w:t>
            </w:r>
          </w:p>
        </w:tc>
        <w:tc>
          <w:tcPr>
            <w:tcW w:w="2146" w:type="dxa"/>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答疑会</w:t>
            </w:r>
          </w:p>
        </w:tc>
        <w:tc>
          <w:tcPr>
            <w:tcW w:w="6314" w:type="dxa"/>
            <w:tcBorders>
              <w:right w:val="single" w:color="auto" w:sz="12" w:space="0"/>
            </w:tcBorders>
            <w:vAlign w:val="center"/>
          </w:tcPr>
          <w:p>
            <w:pPr>
              <w:spacing w:line="240" w:lineRule="auto"/>
              <w:ind w:firstLine="0" w:firstLineChars="0"/>
              <w:rPr>
                <w:rFonts w:cs="宋体"/>
                <w:color w:val="auto"/>
                <w:szCs w:val="21"/>
                <w:highlight w:val="none"/>
              </w:rPr>
            </w:pPr>
            <w:r>
              <w:rPr>
                <w:rFonts w:hint="eastAsia" w:cs="宋体"/>
                <w:color w:val="auto"/>
                <w:szCs w:val="21"/>
                <w:highlight w:val="none"/>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959" w:type="dxa"/>
            <w:tcBorders>
              <w:left w:val="single" w:color="auto" w:sz="12" w:space="0"/>
            </w:tcBorders>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8</w:t>
            </w:r>
          </w:p>
        </w:tc>
        <w:tc>
          <w:tcPr>
            <w:tcW w:w="2146" w:type="dxa"/>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b/>
                <w:bCs/>
                <w:color w:val="auto"/>
                <w:kern w:val="0"/>
                <w:szCs w:val="21"/>
                <w:highlight w:val="none"/>
              </w:rPr>
              <w:t>转包、分包</w:t>
            </w:r>
          </w:p>
        </w:tc>
        <w:tc>
          <w:tcPr>
            <w:tcW w:w="6314" w:type="dxa"/>
            <w:tcBorders>
              <w:right w:val="single" w:color="auto" w:sz="12" w:space="0"/>
            </w:tcBorders>
            <w:vAlign w:val="center"/>
          </w:tcPr>
          <w:p>
            <w:pPr>
              <w:spacing w:line="240" w:lineRule="auto"/>
              <w:ind w:firstLine="0" w:firstLineChars="0"/>
              <w:rPr>
                <w:rFonts w:cs="宋体"/>
                <w:color w:val="auto"/>
                <w:szCs w:val="21"/>
                <w:highlight w:val="none"/>
              </w:rPr>
            </w:pPr>
            <w:r>
              <w:rPr>
                <w:rFonts w:hint="eastAsia" w:cs="宋体"/>
                <w:color w:val="auto"/>
                <w:szCs w:val="21"/>
                <w:highlight w:val="none"/>
              </w:rPr>
              <w:t>不允许转包，不允许分包。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959" w:type="dxa"/>
            <w:tcBorders>
              <w:left w:val="single" w:color="auto" w:sz="12" w:space="0"/>
            </w:tcBorders>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9</w:t>
            </w:r>
          </w:p>
        </w:tc>
        <w:tc>
          <w:tcPr>
            <w:tcW w:w="2146" w:type="dxa"/>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询疑截止时间</w:t>
            </w:r>
          </w:p>
        </w:tc>
        <w:tc>
          <w:tcPr>
            <w:tcW w:w="6314" w:type="dxa"/>
            <w:tcBorders>
              <w:right w:val="single" w:color="auto" w:sz="12" w:space="0"/>
            </w:tcBorders>
            <w:vAlign w:val="center"/>
          </w:tcPr>
          <w:p>
            <w:pPr>
              <w:autoSpaceDE w:val="0"/>
              <w:autoSpaceDN w:val="0"/>
              <w:adjustRightInd w:val="0"/>
              <w:snapToGrid w:val="0"/>
              <w:spacing w:line="240" w:lineRule="auto"/>
              <w:ind w:firstLine="0" w:firstLineChars="0"/>
              <w:textAlignment w:val="bottom"/>
              <w:rPr>
                <w:rFonts w:cs="宋体"/>
                <w:color w:val="auto"/>
                <w:szCs w:val="21"/>
                <w:highlight w:val="none"/>
              </w:rPr>
            </w:pPr>
            <w:r>
              <w:rPr>
                <w:rFonts w:hint="eastAsia" w:cs="宋体"/>
                <w:color w:val="auto"/>
                <w:szCs w:val="21"/>
                <w:highlight w:val="none"/>
              </w:rPr>
              <w:t>投标人在收到招标文件后，对招标文件若有疑问，均应在2021年</w:t>
            </w:r>
            <w:r>
              <w:rPr>
                <w:rFonts w:hint="eastAsia" w:cs="宋体"/>
                <w:color w:val="auto"/>
                <w:szCs w:val="21"/>
                <w:highlight w:val="none"/>
                <w:lang w:eastAsia="zh-CN"/>
              </w:rPr>
              <w:t>06月0</w:t>
            </w:r>
            <w:r>
              <w:rPr>
                <w:rFonts w:hint="eastAsia" w:cs="宋体"/>
                <w:color w:val="auto"/>
                <w:szCs w:val="21"/>
                <w:highlight w:val="none"/>
                <w:lang w:val="en-US" w:eastAsia="zh-CN"/>
              </w:rPr>
              <w:t>1</w:t>
            </w:r>
            <w:r>
              <w:rPr>
                <w:rFonts w:hint="eastAsia" w:cs="宋体"/>
                <w:color w:val="auto"/>
                <w:szCs w:val="21"/>
                <w:highlight w:val="none"/>
                <w:lang w:eastAsia="zh-CN"/>
              </w:rPr>
              <w:t>日</w:t>
            </w:r>
            <w:r>
              <w:rPr>
                <w:rFonts w:hint="eastAsia" w:cs="宋体"/>
                <w:color w:val="auto"/>
                <w:szCs w:val="21"/>
                <w:highlight w:val="none"/>
              </w:rPr>
              <w:t>17:00前以书面形式向招标代理机构提交。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959" w:type="dxa"/>
            <w:tcBorders>
              <w:left w:val="single" w:color="auto" w:sz="12" w:space="0"/>
            </w:tcBorders>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10</w:t>
            </w:r>
          </w:p>
        </w:tc>
        <w:tc>
          <w:tcPr>
            <w:tcW w:w="2146" w:type="dxa"/>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签字或盖章要求</w:t>
            </w:r>
          </w:p>
        </w:tc>
        <w:tc>
          <w:tcPr>
            <w:tcW w:w="6314" w:type="dxa"/>
            <w:tcBorders>
              <w:right w:val="single" w:color="auto" w:sz="12" w:space="0"/>
            </w:tcBorders>
            <w:vAlign w:val="center"/>
          </w:tcPr>
          <w:p>
            <w:pPr>
              <w:autoSpaceDE w:val="0"/>
              <w:autoSpaceDN w:val="0"/>
              <w:adjustRightInd w:val="0"/>
              <w:snapToGrid w:val="0"/>
              <w:spacing w:line="240" w:lineRule="auto"/>
              <w:ind w:firstLine="0" w:firstLineChars="0"/>
              <w:textAlignment w:val="bottom"/>
              <w:rPr>
                <w:rFonts w:cs="宋体"/>
                <w:color w:val="auto"/>
                <w:szCs w:val="21"/>
                <w:highlight w:val="none"/>
              </w:rPr>
            </w:pPr>
            <w:r>
              <w:rPr>
                <w:rFonts w:hint="eastAsia" w:cs="宋体"/>
                <w:color w:val="auto"/>
                <w:szCs w:val="21"/>
                <w:highlight w:val="none"/>
              </w:rPr>
              <w:t>按照投标文件格式要求签署、盖章。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959" w:type="dxa"/>
            <w:tcBorders>
              <w:left w:val="single" w:color="auto" w:sz="12" w:space="0"/>
            </w:tcBorders>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11</w:t>
            </w:r>
          </w:p>
        </w:tc>
        <w:tc>
          <w:tcPr>
            <w:tcW w:w="2146" w:type="dxa"/>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投标文件组成</w:t>
            </w:r>
          </w:p>
        </w:tc>
        <w:tc>
          <w:tcPr>
            <w:tcW w:w="6314" w:type="dxa"/>
            <w:tcBorders>
              <w:right w:val="single" w:color="auto" w:sz="12" w:space="0"/>
            </w:tcBorders>
            <w:vAlign w:val="center"/>
          </w:tcPr>
          <w:p>
            <w:pPr>
              <w:autoSpaceDE w:val="0"/>
              <w:autoSpaceDN w:val="0"/>
              <w:adjustRightInd w:val="0"/>
              <w:snapToGrid w:val="0"/>
              <w:spacing w:line="240" w:lineRule="auto"/>
              <w:ind w:firstLine="0" w:firstLineChars="0"/>
              <w:textAlignment w:val="bottom"/>
              <w:rPr>
                <w:rFonts w:cs="宋体"/>
                <w:color w:val="auto"/>
                <w:szCs w:val="21"/>
                <w:highlight w:val="none"/>
              </w:rPr>
            </w:pPr>
            <w:r>
              <w:rPr>
                <w:rFonts w:hint="eastAsia" w:cs="宋体"/>
                <w:b/>
                <w:bCs/>
                <w:color w:val="auto"/>
                <w:szCs w:val="21"/>
                <w:highlight w:val="none"/>
              </w:rPr>
              <w:t>正本一份、副本四份。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4" w:hRule="atLeast"/>
        </w:trPr>
        <w:tc>
          <w:tcPr>
            <w:tcW w:w="959" w:type="dxa"/>
            <w:tcBorders>
              <w:left w:val="single" w:color="auto" w:sz="12" w:space="0"/>
            </w:tcBorders>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12</w:t>
            </w:r>
          </w:p>
        </w:tc>
        <w:tc>
          <w:tcPr>
            <w:tcW w:w="2146" w:type="dxa"/>
            <w:vAlign w:val="center"/>
          </w:tcPr>
          <w:p>
            <w:pPr>
              <w:autoSpaceDE w:val="0"/>
              <w:autoSpaceDN w:val="0"/>
              <w:adjustRightInd w:val="0"/>
              <w:snapToGrid w:val="0"/>
              <w:spacing w:line="240" w:lineRule="auto"/>
              <w:ind w:firstLine="0" w:firstLineChars="0"/>
              <w:jc w:val="center"/>
              <w:textAlignment w:val="bottom"/>
              <w:rPr>
                <w:rFonts w:cs="宋体"/>
                <w:b/>
                <w:bCs/>
                <w:color w:val="auto"/>
                <w:szCs w:val="21"/>
                <w:highlight w:val="none"/>
              </w:rPr>
            </w:pPr>
            <w:r>
              <w:rPr>
                <w:rFonts w:hint="eastAsia" w:cs="宋体"/>
                <w:b/>
                <w:bCs/>
                <w:color w:val="auto"/>
                <w:szCs w:val="21"/>
                <w:highlight w:val="none"/>
              </w:rPr>
              <w:t>投标文件数量及装订要求</w:t>
            </w:r>
          </w:p>
        </w:tc>
        <w:tc>
          <w:tcPr>
            <w:tcW w:w="6314" w:type="dxa"/>
            <w:tcBorders>
              <w:right w:val="single" w:color="auto" w:sz="12" w:space="0"/>
            </w:tcBorders>
            <w:vAlign w:val="center"/>
          </w:tcPr>
          <w:p>
            <w:pPr>
              <w:spacing w:line="240" w:lineRule="auto"/>
              <w:ind w:firstLine="0" w:firstLineChars="0"/>
              <w:rPr>
                <w:rFonts w:cs="宋体"/>
                <w:b/>
                <w:bCs/>
                <w:color w:val="auto"/>
                <w:spacing w:val="-6"/>
                <w:szCs w:val="21"/>
                <w:highlight w:val="none"/>
                <w:u w:val="single"/>
              </w:rPr>
            </w:pPr>
            <w:r>
              <w:rPr>
                <w:rFonts w:hint="eastAsia" w:cs="宋体"/>
                <w:b/>
                <w:bCs/>
                <w:color w:val="auto"/>
                <w:spacing w:val="-6"/>
                <w:szCs w:val="21"/>
                <w:highlight w:val="none"/>
                <w:u w:val="single"/>
              </w:rPr>
              <w:t>由资格证明文件、商务资信及技术文件、报价文件组成，分别编制、分别装订、分别密封；</w:t>
            </w:r>
          </w:p>
          <w:p>
            <w:pPr>
              <w:spacing w:line="240" w:lineRule="auto"/>
              <w:ind w:firstLine="0" w:firstLineChars="0"/>
              <w:rPr>
                <w:rFonts w:cs="宋体"/>
                <w:b/>
                <w:bCs/>
                <w:color w:val="auto"/>
                <w:spacing w:val="-6"/>
                <w:szCs w:val="21"/>
                <w:highlight w:val="none"/>
                <w:u w:val="single"/>
              </w:rPr>
            </w:pPr>
            <w:r>
              <w:rPr>
                <w:rFonts w:hint="eastAsia" w:cs="宋体"/>
                <w:b/>
                <w:bCs/>
                <w:color w:val="auto"/>
                <w:spacing w:val="-6"/>
                <w:szCs w:val="21"/>
                <w:highlight w:val="none"/>
                <w:u w:val="single"/>
              </w:rPr>
              <w:t>纸质版：正本各一份，副本各四份</w:t>
            </w:r>
          </w:p>
          <w:p>
            <w:pPr>
              <w:spacing w:line="240" w:lineRule="auto"/>
              <w:ind w:firstLine="0" w:firstLineChars="0"/>
              <w:rPr>
                <w:rFonts w:cs="宋体"/>
                <w:b/>
                <w:bCs/>
                <w:color w:val="auto"/>
                <w:szCs w:val="21"/>
                <w:highlight w:val="none"/>
              </w:rPr>
            </w:pPr>
            <w:r>
              <w:rPr>
                <w:rFonts w:hint="eastAsia" w:cs="宋体"/>
                <w:bCs/>
                <w:color w:val="auto"/>
                <w:highlight w:val="none"/>
              </w:rPr>
              <w:t>采用胶装（粘贴方式装订），不得采用活页装订（是指用卡条、抽杆夹、订书机等形式装订，使标书可以拆卸或者在翻动过程中易脱落的一种装订方式）</w:t>
            </w:r>
            <w:r>
              <w:rPr>
                <w:rFonts w:hint="eastAsia" w:cs="宋体"/>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959" w:type="dxa"/>
            <w:tcBorders>
              <w:left w:val="single" w:color="auto" w:sz="12" w:space="0"/>
            </w:tcBorders>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13</w:t>
            </w:r>
          </w:p>
        </w:tc>
        <w:tc>
          <w:tcPr>
            <w:tcW w:w="2146" w:type="dxa"/>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投标文件有效期</w:t>
            </w:r>
          </w:p>
        </w:tc>
        <w:tc>
          <w:tcPr>
            <w:tcW w:w="6314" w:type="dxa"/>
            <w:tcBorders>
              <w:right w:val="single" w:color="auto" w:sz="12" w:space="0"/>
            </w:tcBorders>
            <w:vAlign w:val="center"/>
          </w:tcPr>
          <w:p>
            <w:pPr>
              <w:autoSpaceDE w:val="0"/>
              <w:autoSpaceDN w:val="0"/>
              <w:adjustRightInd w:val="0"/>
              <w:snapToGrid w:val="0"/>
              <w:spacing w:line="240" w:lineRule="auto"/>
              <w:ind w:firstLine="0" w:firstLineChars="0"/>
              <w:textAlignment w:val="bottom"/>
              <w:rPr>
                <w:rFonts w:cs="宋体"/>
                <w:color w:val="auto"/>
                <w:szCs w:val="21"/>
                <w:highlight w:val="none"/>
              </w:rPr>
            </w:pPr>
            <w:r>
              <w:rPr>
                <w:rFonts w:hint="eastAsia" w:cs="宋体"/>
                <w:color w:val="auto"/>
                <w:szCs w:val="21"/>
                <w:highlight w:val="none"/>
              </w:rPr>
              <w:t>自投标文件提交截止时间起90天内。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959" w:type="dxa"/>
            <w:tcBorders>
              <w:left w:val="single" w:color="auto" w:sz="12" w:space="0"/>
            </w:tcBorders>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14</w:t>
            </w:r>
          </w:p>
        </w:tc>
        <w:tc>
          <w:tcPr>
            <w:tcW w:w="2146" w:type="dxa"/>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投标文件密封要求</w:t>
            </w:r>
          </w:p>
        </w:tc>
        <w:tc>
          <w:tcPr>
            <w:tcW w:w="6314" w:type="dxa"/>
            <w:tcBorders>
              <w:right w:val="single" w:color="auto" w:sz="12" w:space="0"/>
            </w:tcBorders>
            <w:vAlign w:val="center"/>
          </w:tcPr>
          <w:p>
            <w:pPr>
              <w:numPr>
                <w:ilvl w:val="0"/>
                <w:numId w:val="2"/>
              </w:numPr>
              <w:autoSpaceDE w:val="0"/>
              <w:autoSpaceDN w:val="0"/>
              <w:adjustRightInd w:val="0"/>
              <w:snapToGrid w:val="0"/>
              <w:spacing w:line="240" w:lineRule="auto"/>
              <w:ind w:firstLine="0" w:firstLineChars="0"/>
              <w:textAlignment w:val="bottom"/>
              <w:rPr>
                <w:rFonts w:cs="宋体"/>
                <w:b/>
                <w:bCs/>
                <w:color w:val="auto"/>
                <w:spacing w:val="-6"/>
                <w:szCs w:val="21"/>
                <w:highlight w:val="none"/>
                <w:u w:val="single"/>
              </w:rPr>
            </w:pPr>
            <w:r>
              <w:rPr>
                <w:rFonts w:hint="eastAsia" w:cs="宋体"/>
                <w:b/>
                <w:bCs/>
                <w:color w:val="auto"/>
                <w:spacing w:val="-6"/>
                <w:szCs w:val="21"/>
                <w:highlight w:val="none"/>
                <w:u w:val="single"/>
              </w:rPr>
              <w:t>资格证明文件正本与副本密封为一包；</w:t>
            </w:r>
          </w:p>
          <w:p>
            <w:pPr>
              <w:numPr>
                <w:ilvl w:val="0"/>
                <w:numId w:val="2"/>
              </w:numPr>
              <w:autoSpaceDE w:val="0"/>
              <w:autoSpaceDN w:val="0"/>
              <w:adjustRightInd w:val="0"/>
              <w:snapToGrid w:val="0"/>
              <w:spacing w:line="240" w:lineRule="auto"/>
              <w:ind w:firstLine="0" w:firstLineChars="0"/>
              <w:textAlignment w:val="bottom"/>
              <w:rPr>
                <w:rFonts w:cs="宋体"/>
                <w:b/>
                <w:bCs/>
                <w:color w:val="auto"/>
                <w:spacing w:val="-6"/>
                <w:szCs w:val="21"/>
                <w:highlight w:val="none"/>
                <w:u w:val="single"/>
              </w:rPr>
            </w:pPr>
            <w:r>
              <w:rPr>
                <w:rFonts w:hint="eastAsia" w:cs="宋体"/>
                <w:b/>
                <w:bCs/>
                <w:color w:val="auto"/>
                <w:spacing w:val="-6"/>
                <w:szCs w:val="21"/>
                <w:highlight w:val="none"/>
                <w:u w:val="single"/>
              </w:rPr>
              <w:t>商务资信及技术文件正本与副本密封为一包；</w:t>
            </w:r>
          </w:p>
          <w:p>
            <w:pPr>
              <w:numPr>
                <w:ilvl w:val="0"/>
                <w:numId w:val="2"/>
              </w:numPr>
              <w:autoSpaceDE w:val="0"/>
              <w:autoSpaceDN w:val="0"/>
              <w:adjustRightInd w:val="0"/>
              <w:snapToGrid w:val="0"/>
              <w:spacing w:line="240" w:lineRule="auto"/>
              <w:ind w:firstLine="0" w:firstLineChars="0"/>
              <w:textAlignment w:val="bottom"/>
              <w:rPr>
                <w:rFonts w:cs="宋体"/>
                <w:b/>
                <w:bCs/>
                <w:color w:val="auto"/>
                <w:spacing w:val="-6"/>
                <w:szCs w:val="21"/>
                <w:highlight w:val="none"/>
                <w:u w:val="single"/>
              </w:rPr>
            </w:pPr>
            <w:r>
              <w:rPr>
                <w:rFonts w:hint="eastAsia" w:cs="宋体"/>
                <w:b/>
                <w:bCs/>
                <w:color w:val="auto"/>
                <w:spacing w:val="-6"/>
                <w:szCs w:val="21"/>
                <w:highlight w:val="none"/>
                <w:u w:val="single"/>
              </w:rPr>
              <w:t>报价文件正本与副本及电子档密封为一包；</w:t>
            </w:r>
          </w:p>
          <w:p>
            <w:pPr>
              <w:autoSpaceDE w:val="0"/>
              <w:autoSpaceDN w:val="0"/>
              <w:adjustRightInd w:val="0"/>
              <w:snapToGrid w:val="0"/>
              <w:spacing w:line="240" w:lineRule="auto"/>
              <w:ind w:firstLine="0" w:firstLineChars="0"/>
              <w:textAlignment w:val="bottom"/>
              <w:rPr>
                <w:rFonts w:cs="宋体"/>
                <w:color w:val="auto"/>
                <w:szCs w:val="21"/>
                <w:highlight w:val="none"/>
              </w:rPr>
            </w:pPr>
            <w:r>
              <w:rPr>
                <w:rFonts w:hint="eastAsia" w:cs="宋体"/>
                <w:color w:val="auto"/>
                <w:szCs w:val="21"/>
                <w:highlight w:val="none"/>
              </w:rPr>
              <w:t>在外包装上注明投标项目名称、项目编号、投标人全称及开标时启封字样，并加盖公章。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59" w:type="dxa"/>
            <w:tcBorders>
              <w:left w:val="single" w:color="auto" w:sz="12" w:space="0"/>
            </w:tcBorders>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15</w:t>
            </w:r>
          </w:p>
        </w:tc>
        <w:tc>
          <w:tcPr>
            <w:tcW w:w="2146" w:type="dxa"/>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投标文件递交截止时间</w:t>
            </w:r>
          </w:p>
        </w:tc>
        <w:tc>
          <w:tcPr>
            <w:tcW w:w="6314" w:type="dxa"/>
            <w:tcBorders>
              <w:right w:val="single" w:color="auto" w:sz="12" w:space="0"/>
            </w:tcBorders>
            <w:vAlign w:val="center"/>
          </w:tcPr>
          <w:p>
            <w:pPr>
              <w:autoSpaceDE w:val="0"/>
              <w:autoSpaceDN w:val="0"/>
              <w:adjustRightInd w:val="0"/>
              <w:snapToGrid w:val="0"/>
              <w:spacing w:line="240" w:lineRule="auto"/>
              <w:ind w:firstLine="0" w:firstLineChars="0"/>
              <w:textAlignment w:val="bottom"/>
              <w:rPr>
                <w:rFonts w:cs="宋体"/>
                <w:color w:val="auto"/>
                <w:szCs w:val="21"/>
                <w:highlight w:val="none"/>
              </w:rPr>
            </w:pPr>
            <w:r>
              <w:rPr>
                <w:rFonts w:hint="eastAsia" w:cs="宋体"/>
                <w:color w:val="auto"/>
                <w:szCs w:val="21"/>
                <w:highlight w:val="none"/>
              </w:rPr>
              <w:t>按公告规定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959" w:type="dxa"/>
            <w:tcBorders>
              <w:left w:val="single" w:color="auto" w:sz="12" w:space="0"/>
            </w:tcBorders>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16</w:t>
            </w:r>
          </w:p>
        </w:tc>
        <w:tc>
          <w:tcPr>
            <w:tcW w:w="2146" w:type="dxa"/>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开标时间、地点</w:t>
            </w:r>
          </w:p>
        </w:tc>
        <w:tc>
          <w:tcPr>
            <w:tcW w:w="6314" w:type="dxa"/>
            <w:tcBorders>
              <w:right w:val="single" w:color="auto" w:sz="12" w:space="0"/>
            </w:tcBorders>
            <w:vAlign w:val="center"/>
          </w:tcPr>
          <w:p>
            <w:pPr>
              <w:autoSpaceDE w:val="0"/>
              <w:autoSpaceDN w:val="0"/>
              <w:adjustRightInd w:val="0"/>
              <w:snapToGrid w:val="0"/>
              <w:spacing w:line="240" w:lineRule="auto"/>
              <w:ind w:firstLine="0" w:firstLineChars="0"/>
              <w:textAlignment w:val="bottom"/>
              <w:rPr>
                <w:rFonts w:cs="宋体"/>
                <w:color w:val="auto"/>
                <w:szCs w:val="21"/>
                <w:highlight w:val="none"/>
              </w:rPr>
            </w:pPr>
            <w:r>
              <w:rPr>
                <w:rFonts w:hint="eastAsia" w:cs="宋体"/>
                <w:color w:val="auto"/>
                <w:szCs w:val="21"/>
                <w:highlight w:val="none"/>
              </w:rPr>
              <w:t>按公告规定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959" w:type="dxa"/>
            <w:tcBorders>
              <w:left w:val="single" w:color="auto" w:sz="12" w:space="0"/>
            </w:tcBorders>
            <w:vAlign w:val="center"/>
          </w:tcPr>
          <w:p>
            <w:pPr>
              <w:spacing w:line="240" w:lineRule="auto"/>
              <w:ind w:firstLine="0" w:firstLineChars="0"/>
              <w:jc w:val="center"/>
              <w:rPr>
                <w:rFonts w:cs="宋体"/>
                <w:color w:val="auto"/>
                <w:szCs w:val="21"/>
                <w:highlight w:val="none"/>
              </w:rPr>
            </w:pPr>
            <w:r>
              <w:rPr>
                <w:rFonts w:hint="eastAsia" w:cs="宋体"/>
                <w:color w:val="auto"/>
                <w:szCs w:val="21"/>
                <w:highlight w:val="none"/>
              </w:rPr>
              <w:t>17</w:t>
            </w:r>
          </w:p>
        </w:tc>
        <w:tc>
          <w:tcPr>
            <w:tcW w:w="2146" w:type="dxa"/>
            <w:vAlign w:val="center"/>
          </w:tcPr>
          <w:p>
            <w:pPr>
              <w:spacing w:line="240" w:lineRule="auto"/>
              <w:ind w:firstLine="0" w:firstLineChars="0"/>
              <w:jc w:val="center"/>
              <w:rPr>
                <w:rFonts w:cs="宋体"/>
                <w:color w:val="auto"/>
                <w:szCs w:val="21"/>
                <w:highlight w:val="none"/>
              </w:rPr>
            </w:pPr>
            <w:r>
              <w:rPr>
                <w:rFonts w:hint="eastAsia" w:cs="宋体"/>
                <w:color w:val="auto"/>
                <w:szCs w:val="21"/>
                <w:highlight w:val="none"/>
              </w:rPr>
              <w:t>履约保证金</w:t>
            </w:r>
          </w:p>
        </w:tc>
        <w:tc>
          <w:tcPr>
            <w:tcW w:w="6314" w:type="dxa"/>
            <w:tcBorders>
              <w:right w:val="single" w:color="auto" w:sz="12" w:space="0"/>
            </w:tcBorders>
            <w:vAlign w:val="center"/>
          </w:tcPr>
          <w:p>
            <w:pPr>
              <w:spacing w:line="240" w:lineRule="auto"/>
              <w:ind w:firstLine="0" w:firstLineChars="0"/>
              <w:rPr>
                <w:rFonts w:cs="宋体"/>
                <w:color w:val="auto"/>
                <w:szCs w:val="21"/>
                <w:highlight w:val="none"/>
              </w:rPr>
            </w:pPr>
            <w:r>
              <w:rPr>
                <w:rFonts w:hint="eastAsia" w:cs="宋体"/>
                <w:color w:val="auto"/>
                <w:szCs w:val="21"/>
                <w:highlight w:val="none"/>
              </w:rPr>
              <w:t>履约保证金：中标人提供金额为合同总价的5%</w:t>
            </w:r>
          </w:p>
          <w:p>
            <w:pPr>
              <w:spacing w:line="240" w:lineRule="auto"/>
              <w:ind w:firstLine="0" w:firstLineChars="0"/>
              <w:rPr>
                <w:rFonts w:cs="宋体"/>
                <w:color w:val="auto"/>
                <w:szCs w:val="21"/>
                <w:highlight w:val="none"/>
              </w:rPr>
            </w:pPr>
            <w:r>
              <w:rPr>
                <w:rFonts w:hint="eastAsia" w:cs="宋体"/>
                <w:color w:val="auto"/>
                <w:szCs w:val="21"/>
                <w:highlight w:val="none"/>
              </w:rPr>
              <w:t>形式：银行转帐</w:t>
            </w:r>
          </w:p>
          <w:p>
            <w:pPr>
              <w:spacing w:line="240" w:lineRule="auto"/>
              <w:ind w:firstLine="0" w:firstLineChars="0"/>
              <w:rPr>
                <w:rFonts w:cs="宋体"/>
                <w:color w:val="auto"/>
                <w:szCs w:val="21"/>
                <w:highlight w:val="none"/>
              </w:rPr>
            </w:pPr>
            <w:r>
              <w:rPr>
                <w:rFonts w:hint="eastAsia" w:cs="宋体"/>
                <w:color w:val="auto"/>
                <w:szCs w:val="21"/>
                <w:highlight w:val="none"/>
              </w:rPr>
              <w:t>1、中标方在合同签订后7个工作日内，应按合同规定向招标方提交履约保证金。</w:t>
            </w:r>
          </w:p>
          <w:p>
            <w:pPr>
              <w:spacing w:line="240" w:lineRule="auto"/>
              <w:ind w:firstLine="0" w:firstLineChars="0"/>
              <w:rPr>
                <w:rFonts w:cs="宋体"/>
                <w:color w:val="auto"/>
                <w:szCs w:val="21"/>
                <w:highlight w:val="none"/>
              </w:rPr>
            </w:pPr>
            <w:r>
              <w:rPr>
                <w:rFonts w:hint="eastAsia" w:cs="宋体"/>
                <w:color w:val="auto"/>
                <w:szCs w:val="21"/>
                <w:highlight w:val="none"/>
              </w:rPr>
              <w:t>2、双方约定的其他担保事项：无</w:t>
            </w:r>
          </w:p>
          <w:p>
            <w:pPr>
              <w:spacing w:line="240" w:lineRule="auto"/>
              <w:ind w:firstLine="0" w:firstLineChars="0"/>
              <w:rPr>
                <w:rFonts w:cs="宋体"/>
                <w:color w:val="auto"/>
                <w:szCs w:val="21"/>
                <w:highlight w:val="none"/>
              </w:rPr>
            </w:pPr>
            <w:r>
              <w:rPr>
                <w:rFonts w:hint="eastAsia" w:cs="宋体"/>
                <w:color w:val="auto"/>
                <w:szCs w:val="21"/>
                <w:highlight w:val="none"/>
              </w:rPr>
              <w:t>3、如中标方原因造成合同中止，履约保证金不返还。</w:t>
            </w:r>
          </w:p>
          <w:p>
            <w:pPr>
              <w:spacing w:line="240" w:lineRule="auto"/>
              <w:ind w:firstLine="0" w:firstLineChars="0"/>
              <w:rPr>
                <w:rFonts w:ascii="宋体" w:hAnsi="宋体" w:eastAsia="宋体" w:cs="宋体"/>
                <w:color w:val="auto"/>
                <w:sz w:val="21"/>
                <w:szCs w:val="21"/>
                <w:highlight w:val="none"/>
              </w:rPr>
            </w:pPr>
            <w:r>
              <w:rPr>
                <w:rFonts w:hint="eastAsia" w:cs="宋体"/>
                <w:color w:val="auto"/>
                <w:szCs w:val="21"/>
                <w:highlight w:val="none"/>
              </w:rPr>
              <w:t>4、如中标方不能按投标承诺和合同要求履约，招标方将有权扣除相应甚至全部履约保证金。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959" w:type="dxa"/>
            <w:tcBorders>
              <w:left w:val="single" w:color="auto" w:sz="12" w:space="0"/>
            </w:tcBorders>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18</w:t>
            </w:r>
          </w:p>
        </w:tc>
        <w:tc>
          <w:tcPr>
            <w:tcW w:w="2146" w:type="dxa"/>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评标方法及标准</w:t>
            </w:r>
          </w:p>
        </w:tc>
        <w:tc>
          <w:tcPr>
            <w:tcW w:w="6314" w:type="dxa"/>
            <w:tcBorders>
              <w:right w:val="single" w:color="auto" w:sz="12" w:space="0"/>
            </w:tcBorders>
            <w:vAlign w:val="center"/>
          </w:tcPr>
          <w:p>
            <w:pPr>
              <w:autoSpaceDE w:val="0"/>
              <w:autoSpaceDN w:val="0"/>
              <w:adjustRightInd w:val="0"/>
              <w:snapToGrid w:val="0"/>
              <w:spacing w:line="240" w:lineRule="auto"/>
              <w:ind w:firstLine="0" w:firstLineChars="0"/>
              <w:textAlignment w:val="bottom"/>
              <w:rPr>
                <w:rFonts w:cs="宋体"/>
                <w:color w:val="auto"/>
                <w:szCs w:val="21"/>
                <w:highlight w:val="none"/>
              </w:rPr>
            </w:pPr>
            <w:r>
              <w:rPr>
                <w:rFonts w:hint="eastAsia" w:cs="宋体"/>
                <w:bCs/>
                <w:color w:val="auto"/>
                <w:spacing w:val="-6"/>
                <w:szCs w:val="21"/>
                <w:highlight w:val="none"/>
              </w:rPr>
              <w:t>综合</w:t>
            </w:r>
            <w:r>
              <w:rPr>
                <w:rFonts w:hint="eastAsia" w:cs="宋体"/>
                <w:bCs/>
                <w:color w:val="auto"/>
                <w:spacing w:val="-6"/>
                <w:szCs w:val="21"/>
                <w:highlight w:val="none"/>
                <w:lang w:eastAsia="zh-CN"/>
              </w:rPr>
              <w:t>评估</w:t>
            </w:r>
            <w:r>
              <w:rPr>
                <w:rFonts w:hint="eastAsia" w:cs="宋体"/>
                <w:bCs/>
                <w:color w:val="auto"/>
                <w:spacing w:val="-6"/>
                <w:szCs w:val="21"/>
                <w:highlight w:val="none"/>
              </w:rPr>
              <w:t>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959" w:type="dxa"/>
            <w:tcBorders>
              <w:left w:val="single" w:color="auto" w:sz="12" w:space="0"/>
            </w:tcBorders>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19</w:t>
            </w:r>
          </w:p>
        </w:tc>
        <w:tc>
          <w:tcPr>
            <w:tcW w:w="2146" w:type="dxa"/>
            <w:vAlign w:val="center"/>
          </w:tcPr>
          <w:p>
            <w:pPr>
              <w:autoSpaceDE w:val="0"/>
              <w:autoSpaceDN w:val="0"/>
              <w:adjustRightInd w:val="0"/>
              <w:snapToGrid w:val="0"/>
              <w:spacing w:line="240" w:lineRule="auto"/>
              <w:ind w:firstLine="0" w:firstLineChars="0"/>
              <w:jc w:val="center"/>
              <w:textAlignment w:val="bottom"/>
              <w:rPr>
                <w:rFonts w:cs="宋体"/>
                <w:b/>
                <w:color w:val="auto"/>
                <w:szCs w:val="21"/>
                <w:highlight w:val="none"/>
              </w:rPr>
            </w:pPr>
            <w:r>
              <w:rPr>
                <w:rFonts w:hint="eastAsia" w:cs="宋体"/>
                <w:b/>
                <w:color w:val="auto"/>
                <w:szCs w:val="21"/>
                <w:highlight w:val="none"/>
              </w:rPr>
              <w:t>招标控制价</w:t>
            </w:r>
          </w:p>
        </w:tc>
        <w:tc>
          <w:tcPr>
            <w:tcW w:w="6314" w:type="dxa"/>
            <w:tcBorders>
              <w:right w:val="single" w:color="auto" w:sz="12" w:space="0"/>
            </w:tcBorders>
            <w:vAlign w:val="center"/>
          </w:tcPr>
          <w:p>
            <w:pPr>
              <w:autoSpaceDE w:val="0"/>
              <w:autoSpaceDN w:val="0"/>
              <w:adjustRightInd w:val="0"/>
              <w:snapToGrid w:val="0"/>
              <w:spacing w:line="240" w:lineRule="auto"/>
              <w:ind w:firstLine="0" w:firstLineChars="0"/>
              <w:textAlignment w:val="bottom"/>
              <w:rPr>
                <w:rFonts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w:t>
            </w:r>
            <w:r>
              <w:rPr>
                <w:rFonts w:hint="eastAsia" w:cs="宋体"/>
                <w:b/>
                <w:bCs/>
                <w:i w:val="0"/>
                <w:iCs w:val="0"/>
                <w:color w:val="auto"/>
                <w:szCs w:val="21"/>
                <w:highlight w:val="none"/>
              </w:rPr>
              <w:t>招标控制价人民币938942.00元，超过招标控制价的按无效标处理。</w:t>
            </w:r>
            <w:r>
              <w:rPr>
                <w:rFonts w:hint="eastAsia" w:ascii="宋体" w:hAnsi="宋体" w:eastAsia="宋体" w:cs="宋体"/>
                <w:b/>
                <w:bCs/>
                <w:color w:val="auto"/>
                <w:kern w:val="2"/>
                <w:sz w:val="21"/>
                <w:szCs w:val="21"/>
                <w:highlight w:val="none"/>
              </w:rPr>
              <w:t>为防止投标人低价抢标，最高限价的80％作为风险控制价</w:t>
            </w:r>
            <w:r>
              <w:rPr>
                <w:rFonts w:hint="eastAsia" w:ascii="宋体" w:hAnsi="宋体" w:eastAsia="宋体" w:cs="宋体"/>
                <w:b/>
                <w:bCs/>
                <w:color w:val="auto"/>
                <w:kern w:val="2"/>
                <w:sz w:val="21"/>
                <w:szCs w:val="21"/>
                <w:highlight w:val="none"/>
                <w:lang w:eastAsia="zh-CN"/>
              </w:rPr>
              <w:t>，即人民币</w:t>
            </w:r>
            <w:r>
              <w:rPr>
                <w:rFonts w:hint="eastAsia" w:ascii="宋体" w:hAnsi="宋体" w:eastAsia="宋体" w:cs="宋体"/>
                <w:b/>
                <w:bCs/>
                <w:color w:val="auto"/>
                <w:kern w:val="2"/>
                <w:sz w:val="21"/>
                <w:szCs w:val="21"/>
                <w:highlight w:val="none"/>
                <w:lang w:val="en-US" w:eastAsia="zh-CN"/>
              </w:rPr>
              <w:t>751154</w:t>
            </w:r>
            <w:r>
              <w:rPr>
                <w:rFonts w:hint="eastAsia" w:cs="宋体"/>
                <w:b/>
                <w:bCs/>
                <w:color w:val="auto"/>
                <w:kern w:val="2"/>
                <w:sz w:val="21"/>
                <w:szCs w:val="21"/>
                <w:highlight w:val="none"/>
                <w:lang w:val="en-US" w:eastAsia="zh-CN"/>
              </w:rPr>
              <w:t>.00</w:t>
            </w:r>
            <w:r>
              <w:rPr>
                <w:rFonts w:hint="eastAsia" w:ascii="宋体" w:hAnsi="宋体" w:eastAsia="宋体" w:cs="宋体"/>
                <w:b/>
                <w:bCs/>
                <w:color w:val="auto"/>
                <w:kern w:val="2"/>
                <w:sz w:val="21"/>
                <w:szCs w:val="21"/>
                <w:highlight w:val="none"/>
                <w:lang w:val="en-US" w:eastAsia="zh-CN"/>
              </w:rPr>
              <w:t>元</w:t>
            </w:r>
            <w:r>
              <w:rPr>
                <w:rFonts w:hint="eastAsia" w:ascii="宋体" w:hAnsi="宋体" w:eastAsia="宋体" w:cs="宋体"/>
                <w:b/>
                <w:bCs/>
                <w:color w:val="auto"/>
                <w:kern w:val="2"/>
                <w:sz w:val="21"/>
                <w:szCs w:val="21"/>
                <w:highlight w:val="none"/>
              </w:rPr>
              <w:t>。凡低于该风险控制价的，中标人在提交履约保证金的同时必须以银行转账形式额外提交中标价净值与风险控制价之差额。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959" w:type="dxa"/>
            <w:tcBorders>
              <w:left w:val="single" w:color="auto" w:sz="12" w:space="0"/>
            </w:tcBorders>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20</w:t>
            </w:r>
          </w:p>
        </w:tc>
        <w:tc>
          <w:tcPr>
            <w:tcW w:w="2146" w:type="dxa"/>
            <w:vAlign w:val="center"/>
          </w:tcPr>
          <w:p>
            <w:pPr>
              <w:spacing w:line="240" w:lineRule="auto"/>
              <w:ind w:firstLine="0" w:firstLineChars="0"/>
              <w:rPr>
                <w:rFonts w:cs="宋体"/>
                <w:color w:val="auto"/>
                <w:szCs w:val="21"/>
                <w:highlight w:val="none"/>
              </w:rPr>
            </w:pPr>
            <w:r>
              <w:rPr>
                <w:rFonts w:hint="eastAsia" w:cs="宋体"/>
                <w:b/>
                <w:snapToGrid w:val="0"/>
                <w:color w:val="auto"/>
                <w:kern w:val="10"/>
                <w:szCs w:val="21"/>
                <w:highlight w:val="none"/>
              </w:rPr>
              <w:t>中标结果公示媒体</w:t>
            </w:r>
          </w:p>
        </w:tc>
        <w:tc>
          <w:tcPr>
            <w:tcW w:w="6314" w:type="dxa"/>
            <w:tcBorders>
              <w:right w:val="single" w:color="auto" w:sz="12" w:space="0"/>
            </w:tcBorders>
            <w:vAlign w:val="center"/>
          </w:tcPr>
          <w:p>
            <w:pPr>
              <w:spacing w:line="240" w:lineRule="auto"/>
              <w:ind w:firstLine="0" w:firstLineChars="0"/>
              <w:rPr>
                <w:rFonts w:cs="宋体"/>
                <w:color w:val="auto"/>
                <w:szCs w:val="21"/>
                <w:highlight w:val="none"/>
              </w:rPr>
            </w:pPr>
            <w:r>
              <w:rPr>
                <w:rFonts w:hint="eastAsia" w:cs="宋体"/>
                <w:color w:val="auto"/>
                <w:szCs w:val="21"/>
                <w:highlight w:val="none"/>
              </w:rPr>
              <w:t>中国政府采购网（http://www.ccgp.gov.cn/）、浙江政府采购网（http://www.zjzfcg.gov.cn）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5" w:hRule="atLeast"/>
        </w:trPr>
        <w:tc>
          <w:tcPr>
            <w:tcW w:w="959" w:type="dxa"/>
            <w:tcBorders>
              <w:left w:val="single" w:color="auto" w:sz="12" w:space="0"/>
            </w:tcBorders>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21</w:t>
            </w:r>
          </w:p>
        </w:tc>
        <w:tc>
          <w:tcPr>
            <w:tcW w:w="2146" w:type="dxa"/>
            <w:vAlign w:val="center"/>
          </w:tcPr>
          <w:p>
            <w:pPr>
              <w:spacing w:line="240" w:lineRule="auto"/>
              <w:ind w:firstLine="0" w:firstLineChars="0"/>
              <w:jc w:val="center"/>
              <w:rPr>
                <w:rFonts w:cs="宋体"/>
                <w:bCs/>
                <w:color w:val="auto"/>
                <w:kern w:val="0"/>
                <w:szCs w:val="21"/>
                <w:highlight w:val="none"/>
              </w:rPr>
            </w:pPr>
            <w:r>
              <w:rPr>
                <w:rFonts w:hint="eastAsia" w:cs="宋体"/>
                <w:bCs/>
                <w:color w:val="auto"/>
                <w:kern w:val="0"/>
                <w:szCs w:val="21"/>
                <w:highlight w:val="none"/>
              </w:rPr>
              <w:t>采购代理服务费、造价编制服务费</w:t>
            </w:r>
          </w:p>
        </w:tc>
        <w:tc>
          <w:tcPr>
            <w:tcW w:w="6314" w:type="dxa"/>
            <w:tcBorders>
              <w:right w:val="single" w:color="auto" w:sz="12" w:space="0"/>
            </w:tcBorders>
            <w:vAlign w:val="center"/>
          </w:tcPr>
          <w:p>
            <w:pPr>
              <w:spacing w:line="240" w:lineRule="auto"/>
              <w:ind w:firstLine="0" w:firstLineChars="0"/>
              <w:rPr>
                <w:rFonts w:cs="宋体"/>
                <w:bCs/>
                <w:color w:val="auto"/>
                <w:szCs w:val="21"/>
                <w:highlight w:val="none"/>
              </w:rPr>
            </w:pPr>
            <w:r>
              <w:rPr>
                <w:rFonts w:hint="eastAsia" w:cs="宋体"/>
                <w:bCs/>
                <w:color w:val="auto"/>
                <w:szCs w:val="21"/>
                <w:highlight w:val="none"/>
              </w:rPr>
              <w:t>（1）按[2002]1980号文件规定的招标费率标准的5折收取服务费，不足3000元按3000元收取；</w:t>
            </w:r>
          </w:p>
          <w:p>
            <w:pPr>
              <w:spacing w:line="240" w:lineRule="auto"/>
              <w:ind w:firstLine="0" w:firstLineChars="0"/>
              <w:rPr>
                <w:rFonts w:cs="宋体"/>
                <w:bCs/>
                <w:color w:val="auto"/>
                <w:szCs w:val="21"/>
                <w:highlight w:val="none"/>
              </w:rPr>
            </w:pPr>
            <w:r>
              <w:rPr>
                <w:rFonts w:hint="eastAsia" w:cs="宋体"/>
                <w:bCs/>
                <w:color w:val="auto"/>
                <w:szCs w:val="21"/>
                <w:highlight w:val="none"/>
              </w:rPr>
              <w:t>（2）中标人在领取中标通知书前，应向招标代理机构交纳招标代理服务费；</w:t>
            </w:r>
          </w:p>
          <w:p>
            <w:pPr>
              <w:spacing w:line="240" w:lineRule="auto"/>
              <w:ind w:firstLine="0" w:firstLineChars="0"/>
              <w:rPr>
                <w:rFonts w:cs="宋体"/>
                <w:bCs/>
                <w:color w:val="auto"/>
                <w:szCs w:val="21"/>
                <w:highlight w:val="none"/>
              </w:rPr>
            </w:pPr>
            <w:r>
              <w:rPr>
                <w:rFonts w:hint="eastAsia" w:cs="宋体"/>
                <w:bCs/>
                <w:color w:val="auto"/>
                <w:szCs w:val="21"/>
                <w:highlight w:val="none"/>
              </w:rPr>
              <w:t>（3）招标代理服务费以电汇方式支付；</w:t>
            </w:r>
          </w:p>
          <w:p>
            <w:pPr>
              <w:spacing w:line="240" w:lineRule="auto"/>
              <w:ind w:firstLine="0" w:firstLineChars="0"/>
              <w:rPr>
                <w:rFonts w:cs="宋体"/>
                <w:bCs/>
                <w:color w:val="auto"/>
                <w:szCs w:val="21"/>
                <w:highlight w:val="none"/>
              </w:rPr>
            </w:pPr>
            <w:r>
              <w:rPr>
                <w:rFonts w:hint="eastAsia" w:cs="宋体"/>
                <w:bCs/>
                <w:color w:val="auto"/>
                <w:szCs w:val="21"/>
                <w:highlight w:val="none"/>
              </w:rPr>
              <w:t>（4）中标人如未按上述规定办理，本招标代理机构有权对不足部分进行追索；</w:t>
            </w:r>
          </w:p>
          <w:p>
            <w:pPr>
              <w:spacing w:line="240" w:lineRule="auto"/>
              <w:ind w:firstLine="0" w:firstLineChars="0"/>
              <w:rPr>
                <w:rFonts w:cs="宋体"/>
                <w:bCs/>
                <w:color w:val="auto"/>
                <w:szCs w:val="21"/>
                <w:highlight w:val="none"/>
              </w:rPr>
            </w:pPr>
            <w:r>
              <w:rPr>
                <w:rFonts w:hint="eastAsia" w:cs="宋体"/>
                <w:bCs/>
                <w:color w:val="auto"/>
                <w:szCs w:val="21"/>
                <w:highlight w:val="none"/>
              </w:rPr>
              <w:t>（5）服务费缴纳账号：</w:t>
            </w:r>
          </w:p>
          <w:p>
            <w:pPr>
              <w:spacing w:line="240" w:lineRule="auto"/>
              <w:ind w:firstLine="0" w:firstLineChars="0"/>
              <w:rPr>
                <w:rFonts w:cs="宋体"/>
                <w:bCs/>
                <w:color w:val="auto"/>
                <w:szCs w:val="21"/>
                <w:highlight w:val="none"/>
              </w:rPr>
            </w:pPr>
            <w:r>
              <w:rPr>
                <w:rFonts w:hint="eastAsia" w:cs="宋体"/>
                <w:bCs/>
                <w:color w:val="auto"/>
                <w:szCs w:val="21"/>
                <w:highlight w:val="none"/>
              </w:rPr>
              <w:t>户名：浙江五石工程咨询有限公司萧山分公司</w:t>
            </w:r>
          </w:p>
          <w:p>
            <w:pPr>
              <w:spacing w:line="240" w:lineRule="auto"/>
              <w:ind w:firstLine="0" w:firstLineChars="0"/>
              <w:rPr>
                <w:rFonts w:cs="宋体"/>
                <w:bCs/>
                <w:color w:val="auto"/>
                <w:szCs w:val="21"/>
                <w:highlight w:val="none"/>
              </w:rPr>
            </w:pPr>
            <w:r>
              <w:rPr>
                <w:rFonts w:hint="eastAsia" w:cs="宋体"/>
                <w:bCs/>
                <w:color w:val="auto"/>
                <w:szCs w:val="21"/>
                <w:highlight w:val="none"/>
              </w:rPr>
              <w:t>账号：33020160201000004399</w:t>
            </w:r>
          </w:p>
          <w:p>
            <w:pPr>
              <w:spacing w:line="240" w:lineRule="auto"/>
              <w:ind w:firstLine="0" w:firstLineChars="0"/>
              <w:rPr>
                <w:rFonts w:cs="宋体"/>
                <w:bCs/>
                <w:color w:val="auto"/>
                <w:szCs w:val="21"/>
                <w:highlight w:val="none"/>
              </w:rPr>
            </w:pPr>
            <w:r>
              <w:rPr>
                <w:rFonts w:hint="eastAsia" w:cs="宋体"/>
                <w:bCs/>
                <w:color w:val="auto"/>
                <w:szCs w:val="21"/>
                <w:highlight w:val="none"/>
              </w:rPr>
              <w:t>开户行：浙江泰隆商业银行股份有限公司杭州祥符小微企业专营支行</w:t>
            </w:r>
          </w:p>
          <w:p>
            <w:pPr>
              <w:spacing w:line="240" w:lineRule="auto"/>
              <w:ind w:firstLine="0" w:firstLineChars="0"/>
              <w:rPr>
                <w:rFonts w:cs="宋体"/>
                <w:bCs/>
                <w:color w:val="auto"/>
                <w:szCs w:val="21"/>
                <w:highlight w:val="none"/>
              </w:rPr>
            </w:pPr>
            <w:r>
              <w:rPr>
                <w:rFonts w:hint="eastAsia" w:cs="宋体"/>
                <w:bCs/>
                <w:color w:val="auto"/>
                <w:szCs w:val="21"/>
                <w:highlight w:val="none"/>
              </w:rPr>
              <w:t>精确查找祥符支行行号：313331080163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trPr>
        <w:tc>
          <w:tcPr>
            <w:tcW w:w="959" w:type="dxa"/>
            <w:tcBorders>
              <w:left w:val="single" w:color="auto" w:sz="12" w:space="0"/>
            </w:tcBorders>
            <w:vAlign w:val="center"/>
          </w:tcPr>
          <w:p>
            <w:pPr>
              <w:autoSpaceDE w:val="0"/>
              <w:autoSpaceDN w:val="0"/>
              <w:adjustRightInd w:val="0"/>
              <w:snapToGrid w:val="0"/>
              <w:spacing w:line="240" w:lineRule="auto"/>
              <w:ind w:firstLine="0" w:firstLineChars="0"/>
              <w:jc w:val="center"/>
              <w:textAlignment w:val="bottom"/>
              <w:rPr>
                <w:rFonts w:cs="宋体"/>
                <w:color w:val="auto"/>
                <w:szCs w:val="21"/>
                <w:highlight w:val="none"/>
              </w:rPr>
            </w:pPr>
            <w:r>
              <w:rPr>
                <w:rFonts w:hint="eastAsia" w:cs="宋体"/>
                <w:color w:val="auto"/>
                <w:szCs w:val="21"/>
                <w:highlight w:val="none"/>
              </w:rPr>
              <w:t>22</w:t>
            </w:r>
          </w:p>
        </w:tc>
        <w:tc>
          <w:tcPr>
            <w:tcW w:w="2146" w:type="dxa"/>
            <w:vAlign w:val="center"/>
          </w:tcPr>
          <w:p>
            <w:pPr>
              <w:spacing w:line="240" w:lineRule="auto"/>
              <w:ind w:firstLine="0" w:firstLineChars="0"/>
              <w:jc w:val="center"/>
              <w:rPr>
                <w:rFonts w:cs="宋体"/>
                <w:b/>
                <w:color w:val="auto"/>
                <w:kern w:val="0"/>
                <w:szCs w:val="21"/>
                <w:highlight w:val="none"/>
              </w:rPr>
            </w:pPr>
            <w:r>
              <w:rPr>
                <w:rStyle w:val="24"/>
                <w:rFonts w:hint="eastAsia" w:cs="宋体"/>
                <w:color w:val="auto"/>
                <w:szCs w:val="21"/>
                <w:highlight w:val="none"/>
              </w:rPr>
              <w:t>投标保证金</w:t>
            </w:r>
          </w:p>
        </w:tc>
        <w:tc>
          <w:tcPr>
            <w:tcW w:w="6314" w:type="dxa"/>
            <w:tcBorders>
              <w:right w:val="single" w:color="auto" w:sz="12" w:space="0"/>
            </w:tcBorders>
            <w:vAlign w:val="center"/>
          </w:tcPr>
          <w:p>
            <w:pPr>
              <w:widowControl/>
              <w:spacing w:line="240" w:lineRule="auto"/>
              <w:ind w:firstLine="0" w:firstLineChars="0"/>
              <w:jc w:val="left"/>
              <w:rPr>
                <w:rFonts w:cs="宋体"/>
                <w:color w:val="auto"/>
                <w:szCs w:val="21"/>
                <w:highlight w:val="none"/>
              </w:rPr>
            </w:pPr>
            <w:r>
              <w:rPr>
                <w:rStyle w:val="24"/>
                <w:rFonts w:hint="eastAsia" w:cs="宋体"/>
                <w:color w:val="auto"/>
                <w:szCs w:val="21"/>
                <w:highlight w:val="none"/>
              </w:rPr>
              <w:t>投标保证金：</w:t>
            </w:r>
            <w:r>
              <w:rPr>
                <w:rFonts w:hint="eastAsia" w:cs="宋体"/>
                <w:color w:val="auto"/>
                <w:szCs w:val="21"/>
                <w:highlight w:val="none"/>
              </w:rPr>
              <w:t>人民币18000元。提交投标保证金时间：每天上午9:00—11:30，下午2:00—4:30，节假日除外。于2021年</w:t>
            </w:r>
            <w:r>
              <w:rPr>
                <w:rFonts w:hint="eastAsia" w:cs="宋体"/>
                <w:color w:val="auto"/>
                <w:szCs w:val="21"/>
                <w:highlight w:val="none"/>
                <w:lang w:eastAsia="zh-CN"/>
              </w:rPr>
              <w:t>06月0</w:t>
            </w:r>
            <w:r>
              <w:rPr>
                <w:rFonts w:hint="eastAsia" w:cs="宋体"/>
                <w:color w:val="auto"/>
                <w:szCs w:val="21"/>
                <w:highlight w:val="none"/>
                <w:lang w:val="en-US" w:eastAsia="zh-CN"/>
              </w:rPr>
              <w:t>7</w:t>
            </w:r>
            <w:r>
              <w:rPr>
                <w:rFonts w:hint="eastAsia" w:cs="宋体"/>
                <w:color w:val="auto"/>
                <w:szCs w:val="21"/>
                <w:highlight w:val="none"/>
                <w:lang w:eastAsia="zh-CN"/>
              </w:rPr>
              <w:t>日</w:t>
            </w:r>
            <w:r>
              <w:rPr>
                <w:rFonts w:hint="eastAsia" w:cs="宋体"/>
                <w:color w:val="auto"/>
                <w:szCs w:val="21"/>
                <w:highlight w:val="none"/>
              </w:rPr>
              <w:t>15点前</w:t>
            </w:r>
            <w:r>
              <w:rPr>
                <w:rFonts w:hint="eastAsia" w:cs="宋体"/>
                <w:color w:val="auto"/>
                <w:szCs w:val="21"/>
                <w:highlight w:val="none"/>
                <w:lang w:val="zh-TW" w:eastAsia="zh-TW"/>
              </w:rPr>
              <w:t>电汇到达指定账号（电汇时请注明项目编号）</w:t>
            </w:r>
          </w:p>
          <w:p>
            <w:pPr>
              <w:widowControl/>
              <w:spacing w:line="240" w:lineRule="auto"/>
              <w:ind w:firstLine="0" w:firstLineChars="0"/>
              <w:jc w:val="left"/>
              <w:rPr>
                <w:rFonts w:cs="宋体"/>
                <w:color w:val="auto"/>
                <w:szCs w:val="21"/>
                <w:highlight w:val="none"/>
              </w:rPr>
            </w:pPr>
            <w:r>
              <w:rPr>
                <w:rFonts w:hint="eastAsia" w:cs="宋体"/>
                <w:color w:val="auto"/>
                <w:szCs w:val="21"/>
                <w:highlight w:val="none"/>
              </w:rPr>
              <w:t>户</w:t>
            </w:r>
            <w:r>
              <w:rPr>
                <w:rFonts w:hint="eastAsia" w:cs="宋体"/>
                <w:color w:val="auto"/>
                <w:szCs w:val="21"/>
                <w:highlight w:val="none"/>
                <w:lang w:val="en-US" w:eastAsia="zh-CN"/>
              </w:rPr>
              <w:t xml:space="preserve">    </w:t>
            </w:r>
            <w:r>
              <w:rPr>
                <w:rFonts w:hint="eastAsia" w:cs="宋体"/>
                <w:color w:val="auto"/>
                <w:szCs w:val="21"/>
                <w:highlight w:val="none"/>
              </w:rPr>
              <w:t>名：浙江五石工程咨询有限公司</w:t>
            </w:r>
          </w:p>
          <w:p>
            <w:pPr>
              <w:widowControl/>
              <w:spacing w:line="240" w:lineRule="auto"/>
              <w:ind w:firstLine="0" w:firstLineChars="0"/>
              <w:jc w:val="left"/>
              <w:rPr>
                <w:rFonts w:cs="宋体"/>
                <w:color w:val="auto"/>
                <w:szCs w:val="21"/>
                <w:highlight w:val="none"/>
              </w:rPr>
            </w:pPr>
            <w:r>
              <w:rPr>
                <w:rFonts w:hint="eastAsia" w:cs="宋体"/>
                <w:color w:val="auto"/>
                <w:szCs w:val="21"/>
                <w:highlight w:val="none"/>
              </w:rPr>
              <w:t>账    号：583595811900015</w:t>
            </w:r>
          </w:p>
          <w:p>
            <w:pPr>
              <w:widowControl/>
              <w:spacing w:line="240" w:lineRule="auto"/>
              <w:ind w:firstLine="0" w:firstLineChars="0"/>
              <w:jc w:val="left"/>
              <w:rPr>
                <w:rFonts w:cs="宋体"/>
                <w:b/>
                <w:bCs/>
                <w:color w:val="auto"/>
                <w:szCs w:val="21"/>
                <w:highlight w:val="none"/>
              </w:rPr>
            </w:pPr>
            <w:r>
              <w:rPr>
                <w:rFonts w:hint="eastAsia" w:cs="宋体"/>
                <w:color w:val="auto"/>
                <w:szCs w:val="21"/>
                <w:highlight w:val="none"/>
              </w:rPr>
              <w:t>开 户 行：浙江民泰商业银行杭州钱江新城支行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959" w:type="dxa"/>
            <w:tcBorders>
              <w:left w:val="single" w:color="auto" w:sz="12" w:space="0"/>
            </w:tcBorders>
            <w:vAlign w:val="center"/>
          </w:tcPr>
          <w:p>
            <w:pPr>
              <w:snapToGrid w:val="0"/>
              <w:spacing w:line="240" w:lineRule="auto"/>
              <w:ind w:firstLine="0" w:firstLineChars="0"/>
              <w:jc w:val="center"/>
              <w:rPr>
                <w:rFonts w:cs="宋体"/>
                <w:color w:val="auto"/>
                <w:kern w:val="0"/>
                <w:szCs w:val="21"/>
                <w:highlight w:val="none"/>
              </w:rPr>
            </w:pPr>
            <w:r>
              <w:rPr>
                <w:rFonts w:hint="eastAsia" w:cs="宋体"/>
                <w:color w:val="auto"/>
                <w:kern w:val="0"/>
                <w:szCs w:val="21"/>
                <w:highlight w:val="none"/>
              </w:rPr>
              <w:t>23</w:t>
            </w:r>
          </w:p>
        </w:tc>
        <w:tc>
          <w:tcPr>
            <w:tcW w:w="2146" w:type="dxa"/>
            <w:vAlign w:val="center"/>
          </w:tcPr>
          <w:p>
            <w:pPr>
              <w:snapToGrid w:val="0"/>
              <w:spacing w:line="240" w:lineRule="auto"/>
              <w:ind w:firstLine="0" w:firstLineChars="0"/>
              <w:jc w:val="center"/>
              <w:rPr>
                <w:rFonts w:cs="宋体"/>
                <w:b/>
                <w:color w:val="auto"/>
                <w:kern w:val="0"/>
                <w:szCs w:val="21"/>
                <w:highlight w:val="none"/>
              </w:rPr>
            </w:pPr>
            <w:r>
              <w:rPr>
                <w:rFonts w:hint="eastAsia" w:cs="宋体"/>
                <w:b/>
                <w:color w:val="auto"/>
                <w:kern w:val="0"/>
                <w:szCs w:val="21"/>
                <w:highlight w:val="none"/>
              </w:rPr>
              <w:t>特别提醒</w:t>
            </w:r>
          </w:p>
        </w:tc>
        <w:tc>
          <w:tcPr>
            <w:tcW w:w="6314" w:type="dxa"/>
            <w:tcBorders>
              <w:right w:val="single" w:color="auto" w:sz="12" w:space="0"/>
            </w:tcBorders>
            <w:vAlign w:val="center"/>
          </w:tcPr>
          <w:p>
            <w:pPr>
              <w:snapToGrid w:val="0"/>
              <w:spacing w:line="240" w:lineRule="auto"/>
              <w:ind w:firstLine="0" w:firstLineChars="0"/>
              <w:rPr>
                <w:rFonts w:cs="宋体"/>
                <w:bCs/>
                <w:color w:val="auto"/>
                <w:kern w:val="10"/>
                <w:szCs w:val="21"/>
                <w:highlight w:val="none"/>
              </w:rPr>
            </w:pPr>
            <w:r>
              <w:rPr>
                <w:rFonts w:hint="eastAsia" w:cs="宋体"/>
                <w:bCs/>
                <w:color w:val="auto"/>
                <w:kern w:val="10"/>
                <w:szCs w:val="21"/>
                <w:highlight w:val="none"/>
              </w:rPr>
              <w:t>根据相关采购法律法规规定：</w:t>
            </w:r>
          </w:p>
          <w:p>
            <w:pPr>
              <w:snapToGrid w:val="0"/>
              <w:spacing w:line="240" w:lineRule="auto"/>
              <w:ind w:firstLine="0" w:firstLineChars="0"/>
              <w:rPr>
                <w:rFonts w:cs="宋体"/>
                <w:bCs/>
                <w:color w:val="auto"/>
                <w:kern w:val="10"/>
                <w:szCs w:val="21"/>
                <w:highlight w:val="none"/>
              </w:rPr>
            </w:pPr>
            <w:r>
              <w:rPr>
                <w:rFonts w:hint="eastAsia" w:cs="宋体"/>
                <w:bCs/>
                <w:color w:val="auto"/>
                <w:kern w:val="10"/>
                <w:szCs w:val="21"/>
                <w:highlight w:val="none"/>
              </w:rPr>
              <w:t>1）采购人或采购代理机构将对本项目供应商的信用信息进行查询。</w:t>
            </w:r>
          </w:p>
          <w:p>
            <w:pPr>
              <w:snapToGrid w:val="0"/>
              <w:spacing w:line="240" w:lineRule="auto"/>
              <w:ind w:firstLine="0" w:firstLineChars="0"/>
              <w:rPr>
                <w:rFonts w:cs="宋体"/>
                <w:bCs/>
                <w:color w:val="auto"/>
                <w:kern w:val="10"/>
                <w:szCs w:val="21"/>
                <w:highlight w:val="none"/>
              </w:rPr>
            </w:pPr>
            <w:r>
              <w:rPr>
                <w:rFonts w:hint="eastAsia" w:cs="宋体"/>
                <w:bCs/>
                <w:color w:val="auto"/>
                <w:kern w:val="10"/>
                <w:szCs w:val="21"/>
                <w:highlight w:val="none"/>
              </w:rPr>
              <w:t>2）查询渠道为信用中国网站（www.creditchina.gov.cn）、中国政府采购网（www.ccgp.gov.cn）。</w:t>
            </w:r>
          </w:p>
          <w:p>
            <w:pPr>
              <w:snapToGrid w:val="0"/>
              <w:spacing w:line="240" w:lineRule="auto"/>
              <w:ind w:firstLine="0" w:firstLineChars="0"/>
              <w:rPr>
                <w:rFonts w:cs="宋体"/>
                <w:bCs/>
                <w:color w:val="auto"/>
                <w:kern w:val="10"/>
                <w:szCs w:val="21"/>
                <w:highlight w:val="none"/>
              </w:rPr>
            </w:pPr>
            <w:r>
              <w:rPr>
                <w:rFonts w:hint="eastAsia" w:cs="宋体"/>
                <w:bCs/>
                <w:color w:val="auto"/>
                <w:kern w:val="10"/>
                <w:szCs w:val="21"/>
                <w:highlight w:val="none"/>
              </w:rPr>
              <w:t>3）信用信息截止时点为从本项目投标截止日往前追溯三年，期间被列入失信被执行人名单、重大税收违法案件当事人名单、政府采购严重违法失信行为记录名单等供应商信用信息均将用于本项目。</w:t>
            </w:r>
          </w:p>
          <w:p>
            <w:pPr>
              <w:snapToGrid w:val="0"/>
              <w:spacing w:line="240" w:lineRule="auto"/>
              <w:ind w:firstLine="0" w:firstLineChars="0"/>
              <w:rPr>
                <w:rFonts w:cs="宋体"/>
                <w:bCs/>
                <w:color w:val="auto"/>
                <w:kern w:val="10"/>
                <w:szCs w:val="21"/>
                <w:highlight w:val="none"/>
              </w:rPr>
            </w:pPr>
            <w:r>
              <w:rPr>
                <w:rFonts w:hint="eastAsia" w:cs="宋体"/>
                <w:bCs/>
                <w:color w:val="auto"/>
                <w:kern w:val="10"/>
                <w:szCs w:val="21"/>
                <w:highlight w:val="none"/>
              </w:rPr>
              <w:t>4）信用信息查询记录和证据以网页截图等方式留存。</w:t>
            </w:r>
          </w:p>
          <w:p>
            <w:pPr>
              <w:snapToGrid w:val="0"/>
              <w:spacing w:line="240" w:lineRule="auto"/>
              <w:ind w:firstLine="0" w:firstLineChars="0"/>
              <w:rPr>
                <w:rFonts w:cs="宋体"/>
                <w:bCs/>
                <w:color w:val="auto"/>
                <w:kern w:val="10"/>
                <w:szCs w:val="21"/>
                <w:highlight w:val="none"/>
              </w:rPr>
            </w:pPr>
            <w:r>
              <w:rPr>
                <w:rFonts w:hint="eastAsia" w:cs="宋体"/>
                <w:bCs/>
                <w:color w:val="auto"/>
                <w:kern w:val="10"/>
                <w:szCs w:val="21"/>
                <w:highlight w:val="none"/>
              </w:rPr>
              <w:t>5）投标截止日当日网站显示的信用信息将作为评审和确定中标人的依据。</w:t>
            </w:r>
          </w:p>
          <w:p>
            <w:pPr>
              <w:snapToGrid w:val="0"/>
              <w:spacing w:line="240" w:lineRule="auto"/>
              <w:ind w:firstLine="0" w:firstLineChars="0"/>
              <w:rPr>
                <w:rFonts w:cs="宋体"/>
                <w:bCs/>
                <w:color w:val="auto"/>
                <w:kern w:val="10"/>
                <w:szCs w:val="21"/>
                <w:highlight w:val="none"/>
              </w:rPr>
            </w:pPr>
            <w:r>
              <w:rPr>
                <w:rFonts w:hint="eastAsia" w:cs="宋体"/>
                <w:bCs/>
                <w:color w:val="auto"/>
                <w:kern w:val="10"/>
                <w:szCs w:val="21"/>
                <w:highlight w:val="none"/>
              </w:rPr>
              <w:t>6）联合体成员存在不良信用记录的，视同联合体存在不良信用记录。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2" w:hRule="atLeast"/>
        </w:trPr>
        <w:tc>
          <w:tcPr>
            <w:tcW w:w="959" w:type="dxa"/>
            <w:tcBorders>
              <w:left w:val="single" w:color="auto" w:sz="12" w:space="0"/>
            </w:tcBorders>
            <w:vAlign w:val="center"/>
          </w:tcPr>
          <w:p>
            <w:pPr>
              <w:snapToGrid w:val="0"/>
              <w:spacing w:line="240" w:lineRule="auto"/>
              <w:ind w:firstLine="0" w:firstLineChars="0"/>
              <w:jc w:val="center"/>
              <w:rPr>
                <w:rFonts w:cs="宋体"/>
                <w:color w:val="auto"/>
                <w:kern w:val="0"/>
                <w:szCs w:val="21"/>
                <w:highlight w:val="none"/>
              </w:rPr>
            </w:pPr>
            <w:r>
              <w:rPr>
                <w:rFonts w:hint="eastAsia" w:cs="宋体"/>
                <w:color w:val="auto"/>
                <w:kern w:val="0"/>
                <w:szCs w:val="21"/>
                <w:highlight w:val="none"/>
              </w:rPr>
              <w:t>24</w:t>
            </w:r>
          </w:p>
        </w:tc>
        <w:tc>
          <w:tcPr>
            <w:tcW w:w="2146" w:type="dxa"/>
            <w:vAlign w:val="center"/>
          </w:tcPr>
          <w:p>
            <w:pPr>
              <w:snapToGrid w:val="0"/>
              <w:spacing w:line="240" w:lineRule="auto"/>
              <w:ind w:firstLine="0" w:firstLineChars="0"/>
              <w:jc w:val="center"/>
              <w:rPr>
                <w:rFonts w:cs="宋体"/>
                <w:b/>
                <w:color w:val="auto"/>
                <w:kern w:val="0"/>
                <w:szCs w:val="21"/>
                <w:highlight w:val="none"/>
              </w:rPr>
            </w:pPr>
            <w:r>
              <w:rPr>
                <w:rFonts w:hint="eastAsia" w:ascii="宋体" w:hAnsi="宋体" w:eastAsia="宋体" w:cs="宋体"/>
                <w:color w:val="auto"/>
                <w:kern w:val="2"/>
                <w:sz w:val="21"/>
                <w:szCs w:val="21"/>
                <w:highlight w:val="none"/>
              </w:rPr>
              <w:t>▲</w:t>
            </w:r>
            <w:r>
              <w:rPr>
                <w:rFonts w:hint="eastAsia" w:cs="宋体"/>
                <w:b/>
                <w:color w:val="auto"/>
                <w:kern w:val="0"/>
                <w:szCs w:val="21"/>
                <w:highlight w:val="none"/>
              </w:rPr>
              <w:t>造价人员签字及盖章要求</w:t>
            </w:r>
          </w:p>
        </w:tc>
        <w:tc>
          <w:tcPr>
            <w:tcW w:w="6314" w:type="dxa"/>
            <w:tcBorders>
              <w:right w:val="single" w:color="auto" w:sz="12" w:space="0"/>
            </w:tcBorders>
            <w:vAlign w:val="center"/>
          </w:tcPr>
          <w:p>
            <w:pPr>
              <w:snapToGrid w:val="0"/>
              <w:spacing w:line="240" w:lineRule="auto"/>
              <w:ind w:firstLine="0" w:firstLineChars="0"/>
              <w:rPr>
                <w:rFonts w:cs="宋体"/>
                <w:bCs/>
                <w:color w:val="auto"/>
                <w:kern w:val="10"/>
                <w:szCs w:val="21"/>
                <w:highlight w:val="none"/>
              </w:rPr>
            </w:pPr>
            <w:r>
              <w:rPr>
                <w:rFonts w:hint="eastAsia" w:cs="宋体"/>
                <w:bCs/>
                <w:color w:val="auto"/>
                <w:kern w:val="10"/>
                <w:szCs w:val="21"/>
                <w:highlight w:val="none"/>
              </w:rPr>
              <w:t>根据国家住建部、省级造价主管部门对造价从业人员执业管理的相关法律法规规定以及国标计价规范的规定，报价的编制必须遵守以下规定：</w:t>
            </w:r>
          </w:p>
          <w:p>
            <w:pPr>
              <w:snapToGrid w:val="0"/>
              <w:spacing w:line="240" w:lineRule="auto"/>
              <w:ind w:firstLine="0" w:firstLineChars="0"/>
              <w:rPr>
                <w:rFonts w:cs="宋体"/>
                <w:bCs/>
                <w:color w:val="auto"/>
                <w:kern w:val="10"/>
                <w:szCs w:val="21"/>
                <w:highlight w:val="none"/>
              </w:rPr>
            </w:pPr>
            <w:r>
              <w:rPr>
                <w:rFonts w:hint="eastAsia" w:cs="宋体"/>
                <w:bCs/>
                <w:color w:val="auto"/>
                <w:kern w:val="10"/>
                <w:szCs w:val="21"/>
                <w:highlight w:val="none"/>
              </w:rPr>
              <w:t>（1）报价应由供应商或受其委托具有相应资质的工程造价咨询人编制。供应商委托具有相应资质的工程造价咨询人编制报价书的，投标文件中应附情况说明、委托编制报价的咨询合同书及工程造价咨询人的咨询资质等级证书等；</w:t>
            </w:r>
          </w:p>
          <w:p>
            <w:pPr>
              <w:snapToGrid w:val="0"/>
              <w:spacing w:line="240" w:lineRule="auto"/>
              <w:ind w:firstLine="0" w:firstLineChars="0"/>
              <w:rPr>
                <w:rFonts w:cs="宋体"/>
                <w:bCs/>
                <w:color w:val="auto"/>
                <w:kern w:val="10"/>
                <w:szCs w:val="21"/>
                <w:highlight w:val="none"/>
              </w:rPr>
            </w:pPr>
            <w:r>
              <w:rPr>
                <w:rFonts w:hint="eastAsia" w:cs="宋体"/>
                <w:bCs/>
                <w:color w:val="auto"/>
                <w:kern w:val="10"/>
                <w:szCs w:val="21"/>
                <w:highlight w:val="none"/>
              </w:rPr>
              <w:t>（2）如报价由供应商编制，编制人员必须是在编制单位注册的造价工程师，并由其签字并盖执业专用章；</w:t>
            </w:r>
          </w:p>
          <w:p>
            <w:pPr>
              <w:snapToGrid w:val="0"/>
              <w:spacing w:line="240" w:lineRule="auto"/>
              <w:ind w:firstLine="0" w:firstLineChars="0"/>
              <w:rPr>
                <w:rFonts w:cs="宋体"/>
                <w:bCs/>
                <w:color w:val="auto"/>
                <w:kern w:val="10"/>
                <w:szCs w:val="21"/>
                <w:highlight w:val="none"/>
              </w:rPr>
            </w:pPr>
            <w:r>
              <w:rPr>
                <w:rFonts w:hint="eastAsia" w:cs="宋体"/>
                <w:bCs/>
                <w:color w:val="auto"/>
                <w:kern w:val="10"/>
                <w:szCs w:val="21"/>
                <w:highlight w:val="none"/>
              </w:rPr>
              <w:t>（3）如报价由供应商委托具有相应资质的工程造价咨询人编制的，编制人员必须是在编制单位注册的造价工程师，并由编制人员签字和盖执业专用章；</w:t>
            </w:r>
          </w:p>
          <w:p>
            <w:pPr>
              <w:snapToGrid w:val="0"/>
              <w:spacing w:line="240" w:lineRule="auto"/>
              <w:ind w:firstLine="0" w:firstLineChars="0"/>
              <w:rPr>
                <w:rFonts w:cs="宋体"/>
                <w:bCs/>
                <w:color w:val="auto"/>
                <w:kern w:val="10"/>
                <w:szCs w:val="21"/>
                <w:highlight w:val="none"/>
              </w:rPr>
            </w:pPr>
            <w:r>
              <w:rPr>
                <w:rFonts w:hint="eastAsia" w:cs="宋体"/>
                <w:bCs/>
                <w:color w:val="auto"/>
                <w:kern w:val="10"/>
                <w:szCs w:val="21"/>
                <w:highlight w:val="none"/>
              </w:rPr>
              <w:t>（4）报价文件不得由供应商的造价人员和受委托的咨询公司的造价人员混合编审，报价文件封面所盖的造价工程师只能是同一单位人员；</w:t>
            </w:r>
          </w:p>
          <w:p>
            <w:pPr>
              <w:snapToGrid w:val="0"/>
              <w:spacing w:line="240" w:lineRule="auto"/>
              <w:ind w:firstLine="0" w:firstLineChars="0"/>
              <w:rPr>
                <w:rFonts w:cs="宋体"/>
                <w:bCs/>
                <w:color w:val="auto"/>
                <w:kern w:val="10"/>
                <w:szCs w:val="21"/>
                <w:highlight w:val="none"/>
              </w:rPr>
            </w:pPr>
            <w:r>
              <w:rPr>
                <w:rFonts w:hint="eastAsia" w:cs="宋体"/>
                <w:bCs/>
                <w:color w:val="auto"/>
                <w:kern w:val="10"/>
                <w:szCs w:val="21"/>
                <w:highlight w:val="none"/>
              </w:rPr>
              <w:t>工程造价咨询人不得同时接受采购人和供应商对同一工程的控制价和报价的编制。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2" w:hRule="atLeast"/>
        </w:trPr>
        <w:tc>
          <w:tcPr>
            <w:tcW w:w="959" w:type="dxa"/>
            <w:tcBorders>
              <w:left w:val="single" w:color="auto" w:sz="12" w:space="0"/>
              <w:bottom w:val="single" w:color="auto" w:sz="12" w:space="0"/>
            </w:tcBorders>
            <w:vAlign w:val="center"/>
          </w:tcPr>
          <w:p>
            <w:pPr>
              <w:snapToGrid w:val="0"/>
              <w:spacing w:line="240" w:lineRule="auto"/>
              <w:ind w:firstLine="0" w:firstLineChars="0"/>
              <w:jc w:val="center"/>
              <w:rPr>
                <w:rFonts w:hint="default" w:eastAsia="宋体" w:cs="宋体"/>
                <w:color w:val="auto"/>
                <w:kern w:val="0"/>
                <w:szCs w:val="21"/>
                <w:highlight w:val="none"/>
                <w:lang w:val="en-US" w:eastAsia="zh-CN"/>
              </w:rPr>
            </w:pPr>
            <w:r>
              <w:rPr>
                <w:rFonts w:hint="eastAsia" w:cs="宋体"/>
                <w:color w:val="auto"/>
                <w:kern w:val="0"/>
                <w:szCs w:val="21"/>
                <w:highlight w:val="none"/>
                <w:lang w:val="en-US" w:eastAsia="zh-CN"/>
              </w:rPr>
              <w:t>25</w:t>
            </w:r>
          </w:p>
        </w:tc>
        <w:tc>
          <w:tcPr>
            <w:tcW w:w="2146" w:type="dxa"/>
            <w:tcBorders>
              <w:bottom w:val="single" w:color="auto" w:sz="12" w:space="0"/>
            </w:tcBorders>
            <w:vAlign w:val="center"/>
          </w:tcPr>
          <w:p>
            <w:pPr>
              <w:adjustRightInd w:val="0"/>
              <w:snapToGrid w:val="0"/>
              <w:ind w:firstLine="0" w:firstLineChars="0"/>
              <w:jc w:val="center"/>
              <w:rPr>
                <w:rFonts w:hint="eastAsia" w:ascii="宋体" w:hAnsi="宋体" w:eastAsia="宋体" w:cs="宋体"/>
                <w:color w:val="auto"/>
                <w:kern w:val="2"/>
                <w:sz w:val="21"/>
                <w:szCs w:val="21"/>
                <w:highlight w:val="none"/>
              </w:rPr>
            </w:pPr>
            <w:r>
              <w:rPr>
                <w:rFonts w:hint="eastAsia" w:cs="宋体"/>
                <w:b/>
                <w:color w:val="auto"/>
                <w:highlight w:val="none"/>
              </w:rPr>
              <w:t>中小企业扶持政策</w:t>
            </w:r>
          </w:p>
        </w:tc>
        <w:tc>
          <w:tcPr>
            <w:tcW w:w="6314" w:type="dxa"/>
            <w:tcBorders>
              <w:bottom w:val="single" w:color="auto" w:sz="12" w:space="0"/>
              <w:right w:val="single" w:color="auto" w:sz="12" w:space="0"/>
            </w:tcBorders>
            <w:vAlign w:val="center"/>
          </w:tcPr>
          <w:p>
            <w:pPr>
              <w:ind w:firstLine="0" w:firstLineChars="0"/>
              <w:rPr>
                <w:rFonts w:hint="eastAsia" w:cs="宋体"/>
                <w:b/>
                <w:bCs/>
                <w:color w:val="auto"/>
                <w:kern w:val="0"/>
                <w:highlight w:val="none"/>
              </w:rPr>
            </w:pPr>
            <w:r>
              <w:rPr>
                <w:rFonts w:hint="eastAsia" w:cs="宋体"/>
                <w:b/>
                <w:bCs/>
                <w:color w:val="auto"/>
                <w:highlight w:val="none"/>
              </w:rPr>
              <w:t>（</w:t>
            </w:r>
            <w:r>
              <w:rPr>
                <w:rFonts w:hint="eastAsia" w:cs="宋体"/>
                <w:b/>
                <w:bCs/>
                <w:color w:val="auto"/>
                <w:kern w:val="0"/>
                <w:highlight w:val="none"/>
              </w:rPr>
              <w:t>1）本次采购为专门面向中小企业预留采购份额的采购项目。</w:t>
            </w:r>
          </w:p>
          <w:p>
            <w:pPr>
              <w:ind w:firstLine="0" w:firstLineChars="0"/>
              <w:rPr>
                <w:rFonts w:hint="eastAsia" w:cs="宋体"/>
                <w:color w:val="auto"/>
                <w:kern w:val="0"/>
                <w:highlight w:val="none"/>
              </w:rPr>
            </w:pPr>
            <w:r>
              <w:rPr>
                <w:rFonts w:hint="eastAsia" w:cs="宋体"/>
                <w:color w:val="auto"/>
                <w:highlight w:val="none"/>
              </w:rPr>
              <w:t>（</w:t>
            </w:r>
            <w:r>
              <w:rPr>
                <w:rFonts w:hint="eastAsia" w:cs="宋体"/>
                <w:color w:val="auto"/>
                <w:kern w:val="0"/>
                <w:highlight w:val="none"/>
              </w:rPr>
              <w:t>2）本采购文件所称中小企业，是指在中华人民共和国境内依法设立，依据国务院批准的中小企业划分标准确定的中型企业、小型企业和微型企业，但与大企业的负责人为同一人，或者与大企业存在直接控股、管理关系的除外。</w:t>
            </w:r>
          </w:p>
          <w:p>
            <w:pPr>
              <w:ind w:firstLine="0" w:firstLineChars="0"/>
              <w:rPr>
                <w:rFonts w:hint="eastAsia" w:eastAsia="宋体" w:cs="宋体"/>
                <w:color w:val="auto"/>
                <w:kern w:val="0"/>
                <w:highlight w:val="none"/>
                <w:lang w:val="en-US" w:eastAsia="zh-CN"/>
              </w:rPr>
            </w:pPr>
            <w:r>
              <w:rPr>
                <w:rFonts w:hint="eastAsia" w:cs="宋体"/>
                <w:color w:val="auto"/>
                <w:highlight w:val="none"/>
              </w:rPr>
              <w:t>（</w:t>
            </w:r>
            <w:r>
              <w:rPr>
                <w:rFonts w:hint="eastAsia" w:cs="宋体"/>
                <w:color w:val="auto"/>
                <w:kern w:val="0"/>
                <w:highlight w:val="none"/>
              </w:rPr>
              <w:t>3）本次采购标的为</w:t>
            </w:r>
            <w:r>
              <w:rPr>
                <w:rFonts w:hint="eastAsia" w:cs="宋体"/>
                <w:b/>
                <w:bCs/>
                <w:color w:val="auto"/>
                <w:kern w:val="0"/>
                <w:highlight w:val="none"/>
                <w:u w:val="single"/>
                <w:lang w:val="en-US" w:eastAsia="zh-CN"/>
              </w:rPr>
              <w:t>工程</w:t>
            </w:r>
            <w:r>
              <w:rPr>
                <w:rFonts w:hint="eastAsia" w:cs="宋体"/>
                <w:color w:val="auto"/>
                <w:kern w:val="0"/>
                <w:highlight w:val="none"/>
              </w:rPr>
              <w:t>，对应的中小企业划分标准所属行业是：</w:t>
            </w:r>
            <w:r>
              <w:rPr>
                <w:rFonts w:hint="eastAsia" w:cs="宋体"/>
                <w:b/>
                <w:bCs/>
                <w:color w:val="auto"/>
                <w:kern w:val="0"/>
                <w:highlight w:val="none"/>
                <w:u w:val="single"/>
                <w:lang w:eastAsia="zh-CN"/>
              </w:rPr>
              <w:t>建筑业</w:t>
            </w:r>
          </w:p>
          <w:p>
            <w:pPr>
              <w:ind w:firstLine="0" w:firstLineChars="0"/>
              <w:rPr>
                <w:rFonts w:hint="eastAsia" w:cs="宋体"/>
                <w:color w:val="auto"/>
                <w:kern w:val="0"/>
                <w:highlight w:val="none"/>
              </w:rPr>
            </w:pPr>
            <w:r>
              <w:rPr>
                <w:rFonts w:hint="eastAsia" w:cs="宋体"/>
                <w:color w:val="auto"/>
                <w:highlight w:val="none"/>
              </w:rPr>
              <w:t>（</w:t>
            </w:r>
            <w:r>
              <w:rPr>
                <w:rFonts w:hint="eastAsia" w:cs="宋体"/>
                <w:color w:val="auto"/>
                <w:kern w:val="0"/>
                <w:highlight w:val="none"/>
              </w:rPr>
              <w:t>4）以联合体形式参加政府采购活动，联合体各方均为小微企业的，联合体视同小微企业。</w:t>
            </w:r>
            <w:r>
              <w:rPr>
                <w:rFonts w:hint="eastAsia" w:cs="宋体"/>
                <w:b/>
                <w:color w:val="auto"/>
                <w:kern w:val="0"/>
                <w:highlight w:val="none"/>
              </w:rPr>
              <w:t>（本项目不适用）</w:t>
            </w:r>
          </w:p>
          <w:p>
            <w:pPr>
              <w:ind w:firstLine="0" w:firstLineChars="0"/>
              <w:rPr>
                <w:rFonts w:hint="eastAsia" w:cs="宋体"/>
                <w:color w:val="auto"/>
                <w:kern w:val="0"/>
                <w:highlight w:val="none"/>
              </w:rPr>
            </w:pPr>
            <w:r>
              <w:rPr>
                <w:rFonts w:hint="eastAsia" w:cs="宋体"/>
                <w:color w:val="auto"/>
                <w:highlight w:val="none"/>
              </w:rPr>
              <w:t>（</w:t>
            </w:r>
            <w:r>
              <w:rPr>
                <w:rFonts w:hint="eastAsia" w:cs="宋体"/>
                <w:color w:val="auto"/>
                <w:kern w:val="0"/>
                <w:highlight w:val="none"/>
              </w:rPr>
              <w:t>5）参加本次采购活动的供应商</w:t>
            </w:r>
            <w:r>
              <w:rPr>
                <w:rFonts w:hint="eastAsia" w:cs="宋体"/>
                <w:b/>
                <w:color w:val="auto"/>
                <w:kern w:val="0"/>
                <w:highlight w:val="none"/>
                <w:u w:val="single"/>
              </w:rPr>
              <w:t>提供的产品全部由中小企业制造</w:t>
            </w:r>
            <w:r>
              <w:rPr>
                <w:rFonts w:hint="eastAsia" w:cs="宋体"/>
                <w:color w:val="auto"/>
                <w:kern w:val="0"/>
                <w:highlight w:val="none"/>
              </w:rPr>
              <w:t>的，其报价给予</w:t>
            </w:r>
            <w:r>
              <w:rPr>
                <w:rFonts w:hint="eastAsia" w:cs="宋体"/>
                <w:b/>
                <w:color w:val="auto"/>
                <w:kern w:val="0"/>
                <w:highlight w:val="none"/>
                <w:u w:val="single"/>
                <w:lang w:val="en-US" w:eastAsia="zh-CN"/>
              </w:rPr>
              <w:t>6</w:t>
            </w:r>
            <w:r>
              <w:rPr>
                <w:rFonts w:hint="eastAsia" w:cs="宋体"/>
                <w:b/>
                <w:color w:val="auto"/>
                <w:kern w:val="0"/>
                <w:highlight w:val="none"/>
                <w:u w:val="single"/>
              </w:rPr>
              <w:t>%</w:t>
            </w:r>
            <w:r>
              <w:rPr>
                <w:rFonts w:hint="eastAsia" w:cs="宋体"/>
                <w:color w:val="auto"/>
                <w:kern w:val="0"/>
                <w:highlight w:val="none"/>
              </w:rPr>
              <w:t>的扣除，用扣除后的价格参加评审。小微企业将合同分包给大中型企业的，其报价不予扣除。</w:t>
            </w:r>
            <w:r>
              <w:rPr>
                <w:rFonts w:hint="eastAsia" w:cs="宋体"/>
                <w:b/>
                <w:color w:val="auto"/>
                <w:kern w:val="0"/>
                <w:highlight w:val="none"/>
              </w:rPr>
              <w:t>（本项目不适用）</w:t>
            </w:r>
          </w:p>
          <w:p>
            <w:pPr>
              <w:ind w:firstLine="0" w:firstLineChars="0"/>
              <w:rPr>
                <w:rFonts w:hint="eastAsia" w:cs="宋体"/>
                <w:color w:val="auto"/>
                <w:kern w:val="0"/>
                <w:highlight w:val="none"/>
              </w:rPr>
            </w:pPr>
            <w:r>
              <w:rPr>
                <w:rFonts w:hint="eastAsia" w:cs="宋体"/>
                <w:color w:val="auto"/>
                <w:highlight w:val="none"/>
              </w:rPr>
              <w:t>（</w:t>
            </w:r>
            <w:r>
              <w:rPr>
                <w:rFonts w:hint="eastAsia" w:cs="宋体"/>
                <w:color w:val="auto"/>
                <w:kern w:val="0"/>
                <w:highlight w:val="none"/>
              </w:rPr>
              <w:t>6）符合小微企业划分标准的个体工商户，视同小微企业。</w:t>
            </w:r>
          </w:p>
          <w:p>
            <w:pPr>
              <w:ind w:firstLine="0" w:firstLineChars="0"/>
              <w:rPr>
                <w:rFonts w:hint="eastAsia" w:cs="宋体"/>
                <w:color w:val="auto"/>
                <w:kern w:val="0"/>
                <w:highlight w:val="none"/>
              </w:rPr>
            </w:pPr>
            <w:r>
              <w:rPr>
                <w:rFonts w:hint="eastAsia" w:cs="宋体"/>
                <w:color w:val="auto"/>
                <w:highlight w:val="none"/>
              </w:rPr>
              <w:t>（</w:t>
            </w:r>
            <w:r>
              <w:rPr>
                <w:rFonts w:hint="eastAsia" w:cs="宋体"/>
                <w:color w:val="auto"/>
                <w:kern w:val="0"/>
                <w:highlight w:val="none"/>
              </w:rPr>
              <w:t>7）本项目不接受大中型企业与小微企业组成联合体。</w:t>
            </w:r>
          </w:p>
          <w:p>
            <w:pPr>
              <w:ind w:firstLine="0" w:firstLineChars="0"/>
              <w:rPr>
                <w:rFonts w:hint="eastAsia" w:cs="宋体"/>
                <w:color w:val="auto"/>
                <w:kern w:val="0"/>
                <w:highlight w:val="none"/>
              </w:rPr>
            </w:pPr>
            <w:r>
              <w:rPr>
                <w:rFonts w:hint="eastAsia" w:cs="宋体"/>
                <w:color w:val="auto"/>
                <w:highlight w:val="none"/>
              </w:rPr>
              <w:t>（</w:t>
            </w:r>
            <w:r>
              <w:rPr>
                <w:rFonts w:hint="eastAsia" w:cs="宋体"/>
                <w:color w:val="auto"/>
                <w:kern w:val="0"/>
                <w:highlight w:val="none"/>
              </w:rPr>
              <w:t>8）本项目不允许大中型企业向一家或者多家小微企业分包。</w:t>
            </w:r>
          </w:p>
          <w:p>
            <w:pPr>
              <w:ind w:firstLine="0" w:firstLineChars="0"/>
              <w:rPr>
                <w:rFonts w:hint="eastAsia" w:cs="宋体"/>
                <w:color w:val="auto"/>
                <w:kern w:val="0"/>
                <w:highlight w:val="none"/>
              </w:rPr>
            </w:pPr>
            <w:r>
              <w:rPr>
                <w:rFonts w:hint="eastAsia" w:cs="宋体"/>
                <w:color w:val="auto"/>
                <w:highlight w:val="none"/>
              </w:rPr>
              <w:t>（</w:t>
            </w:r>
            <w:r>
              <w:rPr>
                <w:rFonts w:hint="eastAsia" w:cs="宋体"/>
                <w:color w:val="auto"/>
                <w:kern w:val="0"/>
                <w:highlight w:val="none"/>
              </w:rPr>
              <w:t>9）小微企业参加政府采购活动，应当出具《中小企业声明函》，否则其报价不予扣除。</w:t>
            </w:r>
          </w:p>
          <w:p>
            <w:pPr>
              <w:snapToGrid w:val="0"/>
              <w:ind w:firstLine="0" w:firstLineChars="0"/>
              <w:rPr>
                <w:rFonts w:hint="eastAsia" w:cs="宋体"/>
                <w:bCs/>
                <w:color w:val="auto"/>
                <w:kern w:val="10"/>
                <w:szCs w:val="21"/>
                <w:highlight w:val="none"/>
              </w:rPr>
            </w:pPr>
            <w:r>
              <w:rPr>
                <w:rFonts w:hint="eastAsia" w:cs="宋体"/>
                <w:color w:val="auto"/>
                <w:kern w:val="0"/>
                <w:highlight w:val="none"/>
              </w:rPr>
              <w:t>（10）监狱企业和残疾人福利性单位视同小型、微型企业，按《财政部司法部关于政府采购支持监狱企业发展有关问题的通知》(财库〔</w:t>
            </w:r>
            <w:r>
              <w:rPr>
                <w:rFonts w:cs="宋体"/>
                <w:color w:val="auto"/>
                <w:kern w:val="0"/>
                <w:highlight w:val="none"/>
              </w:rPr>
              <w:t>2014</w:t>
            </w:r>
            <w:r>
              <w:rPr>
                <w:rFonts w:hint="eastAsia" w:cs="宋体"/>
                <w:color w:val="auto"/>
                <w:kern w:val="0"/>
                <w:highlight w:val="none"/>
              </w:rPr>
              <w:t>〕</w:t>
            </w:r>
            <w:r>
              <w:rPr>
                <w:rFonts w:cs="宋体"/>
                <w:color w:val="auto"/>
                <w:kern w:val="0"/>
                <w:highlight w:val="none"/>
              </w:rPr>
              <w:t>68</w:t>
            </w:r>
            <w:r>
              <w:rPr>
                <w:rFonts w:hint="eastAsia" w:cs="宋体"/>
                <w:color w:val="auto"/>
                <w:kern w:val="0"/>
                <w:highlight w:val="none"/>
              </w:rPr>
              <w:t>号)、《财政部民政部中国残疾人联合会关于促进残疾人就业政府采购政策的通知》（财库〔</w:t>
            </w:r>
            <w:r>
              <w:rPr>
                <w:rFonts w:cs="宋体"/>
                <w:color w:val="auto"/>
                <w:kern w:val="0"/>
                <w:highlight w:val="none"/>
              </w:rPr>
              <w:t>2017</w:t>
            </w:r>
            <w:r>
              <w:rPr>
                <w:rFonts w:hint="eastAsia" w:cs="宋体"/>
                <w:color w:val="auto"/>
                <w:kern w:val="0"/>
                <w:highlight w:val="none"/>
              </w:rPr>
              <w:t>〕</w:t>
            </w:r>
            <w:r>
              <w:rPr>
                <w:rFonts w:cs="宋体"/>
                <w:color w:val="auto"/>
                <w:kern w:val="0"/>
                <w:highlight w:val="none"/>
              </w:rPr>
              <w:t>141</w:t>
            </w:r>
            <w:r>
              <w:rPr>
                <w:rFonts w:hint="eastAsia" w:cs="宋体"/>
                <w:color w:val="auto"/>
                <w:kern w:val="0"/>
                <w:highlight w:val="none"/>
              </w:rPr>
              <w:t>号）的规定执行。</w:t>
            </w:r>
          </w:p>
        </w:tc>
      </w:tr>
    </w:tbl>
    <w:p>
      <w:pPr>
        <w:adjustRightInd w:val="0"/>
        <w:snapToGrid w:val="0"/>
        <w:ind w:firstLine="420"/>
        <w:rPr>
          <w:rFonts w:cs="宋体"/>
          <w:b/>
          <w:color w:val="auto"/>
          <w:sz w:val="24"/>
          <w:highlight w:val="none"/>
        </w:rPr>
      </w:pPr>
      <w:r>
        <w:rPr>
          <w:rFonts w:hint="eastAsia" w:cs="宋体"/>
          <w:snapToGrid w:val="0"/>
          <w:color w:val="auto"/>
          <w:kern w:val="0"/>
          <w:szCs w:val="21"/>
          <w:highlight w:val="none"/>
        </w:rPr>
        <w:t>注：以上内容如有变化将另行书面通知。如通知其中某一内容发生变化，其余未提及的将不作变动。</w:t>
      </w:r>
    </w:p>
    <w:p>
      <w:pPr>
        <w:pStyle w:val="5"/>
        <w:ind w:firstLine="482"/>
        <w:rPr>
          <w:rFonts w:ascii="宋体" w:hAnsi="宋体" w:cs="宋体"/>
          <w:color w:val="auto"/>
          <w:highlight w:val="none"/>
        </w:rPr>
      </w:pPr>
      <w:bookmarkStart w:id="16" w:name="_Toc251566650"/>
      <w:bookmarkStart w:id="17" w:name="_Toc240450077"/>
      <w:bookmarkStart w:id="18" w:name="_Toc29515"/>
      <w:bookmarkStart w:id="19" w:name="_Toc415814125"/>
      <w:bookmarkStart w:id="20" w:name="_Toc506358594"/>
      <w:bookmarkStart w:id="21" w:name="_Toc367274977"/>
      <w:r>
        <w:rPr>
          <w:rFonts w:hint="eastAsia" w:ascii="宋体" w:hAnsi="宋体" w:cs="宋体"/>
          <w:color w:val="auto"/>
          <w:highlight w:val="none"/>
        </w:rPr>
        <w:t>一、总则</w:t>
      </w:r>
      <w:bookmarkEnd w:id="16"/>
      <w:bookmarkEnd w:id="17"/>
      <w:bookmarkEnd w:id="18"/>
      <w:bookmarkEnd w:id="19"/>
      <w:bookmarkEnd w:id="20"/>
      <w:bookmarkEnd w:id="21"/>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本次招标工作是根据相关采购法律法规组织和实施。</w:t>
      </w:r>
    </w:p>
    <w:p>
      <w:pPr>
        <w:adjustRightInd w:val="0"/>
        <w:snapToGrid w:val="0"/>
        <w:ind w:firstLine="422"/>
        <w:rPr>
          <w:rFonts w:cs="宋体"/>
          <w:b/>
          <w:snapToGrid w:val="0"/>
          <w:color w:val="auto"/>
          <w:kern w:val="0"/>
          <w:szCs w:val="21"/>
          <w:highlight w:val="none"/>
        </w:rPr>
      </w:pPr>
      <w:bookmarkStart w:id="22" w:name="_Toc240450079"/>
      <w:bookmarkStart w:id="23" w:name="_Toc251566652"/>
      <w:r>
        <w:rPr>
          <w:rFonts w:hint="eastAsia" w:cs="宋体"/>
          <w:b/>
          <w:snapToGrid w:val="0"/>
          <w:color w:val="auto"/>
          <w:kern w:val="0"/>
          <w:szCs w:val="21"/>
          <w:highlight w:val="none"/>
        </w:rPr>
        <w:t>1．适用范围</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1.1 本招标文件仅适用于本次招标项目。</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1.2 本项目采购方式为公开招标。</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1.3 投标须知为招标文件的通用条款，如通用条款与特定条款有不一致的，请按特定条款执行。</w:t>
      </w:r>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2．定义</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2.1 “采购人”系指浙江出入境边防检查总站。</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2.2 “采购代理机构”系指浙江五石工程咨询有限公司。</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2.3 “投标人”系指响应本次招标，参加本次投标的供应商。</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2.4 “货物”系指投标人按招标文件或合同要求，须向采购人提供的一切材料、设备、机械、仪器、备件、配件、工具、手册及其他技术资料和文字材料。</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2.5 “服务”系指招标文件或合同规定投标人须承担的设计、安装、调试、试运行、技术协助、培训、售后服务以及其他类似的义务。</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2.6 “书面函件”系指任何手写、打印或印刷的文字；官方指定网站公示的内容也可视为书面告知。</w:t>
      </w:r>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3．合格的投标人及合格的投标货物和服务</w:t>
      </w:r>
    </w:p>
    <w:p>
      <w:pPr>
        <w:adjustRightInd w:val="0"/>
        <w:snapToGrid w:val="0"/>
        <w:ind w:firstLine="420"/>
        <w:rPr>
          <w:rFonts w:cs="宋体"/>
          <w:snapToGrid w:val="0"/>
          <w:color w:val="auto"/>
          <w:kern w:val="0"/>
          <w:highlight w:val="none"/>
        </w:rPr>
      </w:pPr>
      <w:r>
        <w:rPr>
          <w:rFonts w:hint="eastAsia" w:cs="宋体"/>
          <w:snapToGrid w:val="0"/>
          <w:color w:val="auto"/>
          <w:kern w:val="0"/>
          <w:highlight w:val="none"/>
        </w:rPr>
        <w:t>3.1 合格的投标人，详见采购公告第四条规定的投标人必须具备的资格条件并审查通过。</w:t>
      </w:r>
    </w:p>
    <w:p>
      <w:pPr>
        <w:adjustRightInd w:val="0"/>
        <w:snapToGrid w:val="0"/>
        <w:ind w:firstLine="420"/>
        <w:rPr>
          <w:rFonts w:cs="宋体"/>
          <w:snapToGrid w:val="0"/>
          <w:color w:val="auto"/>
          <w:kern w:val="0"/>
          <w:highlight w:val="none"/>
        </w:rPr>
      </w:pPr>
      <w:r>
        <w:rPr>
          <w:rFonts w:hint="eastAsia" w:cs="宋体"/>
          <w:snapToGrid w:val="0"/>
          <w:color w:val="auto"/>
          <w:kern w:val="0"/>
          <w:highlight w:val="none"/>
        </w:rPr>
        <w:t>3.2 合格的投标货物和服务，所述的“货物”是指制造、加工或实质上装配了主要部件而形成的货物。商业上公认的产品是指基本特征、性能或功能上与部件有着实质性区别的产品。若投标货物属于国家实行许可证制度或生产注册证制度的，则必须具备相应有效的证书。</w:t>
      </w:r>
    </w:p>
    <w:p>
      <w:pPr>
        <w:adjustRightInd w:val="0"/>
        <w:snapToGrid w:val="0"/>
        <w:ind w:firstLine="420"/>
        <w:rPr>
          <w:rFonts w:cs="宋体"/>
          <w:snapToGrid w:val="0"/>
          <w:color w:val="auto"/>
          <w:kern w:val="0"/>
          <w:highlight w:val="none"/>
        </w:rPr>
      </w:pPr>
      <w:r>
        <w:rPr>
          <w:rFonts w:hint="eastAsia" w:cs="宋体"/>
          <w:snapToGrid w:val="0"/>
          <w:color w:val="auto"/>
          <w:kern w:val="0"/>
          <w:highlight w:val="none"/>
        </w:rPr>
        <w:t>3.3投标人投标时使用的资格、信誉、荣誉、业绩与认证等，必须属于投标人自身。投标人承诺的项目拟派人员必须为正式员工。如上述材料无法证明属于投标人自身的，应提供其他合法有效的第三方证明材料。</w:t>
      </w:r>
    </w:p>
    <w:p>
      <w:pPr>
        <w:autoSpaceDE w:val="0"/>
        <w:autoSpaceDN w:val="0"/>
        <w:adjustRightInd w:val="0"/>
        <w:snapToGrid w:val="0"/>
        <w:ind w:firstLine="420"/>
        <w:rPr>
          <w:rFonts w:cs="宋体"/>
          <w:color w:val="auto"/>
          <w:kern w:val="0"/>
          <w:szCs w:val="21"/>
          <w:highlight w:val="none"/>
        </w:rPr>
      </w:pPr>
      <w:r>
        <w:rPr>
          <w:rFonts w:hint="eastAsia" w:cs="宋体"/>
          <w:snapToGrid w:val="0"/>
          <w:color w:val="auto"/>
          <w:kern w:val="0"/>
          <w:highlight w:val="none"/>
        </w:rPr>
        <w:t>3.4</w:t>
      </w:r>
      <w:r>
        <w:rPr>
          <w:rFonts w:hint="eastAsia" w:cs="宋体"/>
          <w:snapToGrid w:val="0"/>
          <w:color w:val="auto"/>
          <w:kern w:val="0"/>
          <w:szCs w:val="21"/>
          <w:highlight w:val="none"/>
        </w:rPr>
        <w:t>本招标文件要求中，</w:t>
      </w:r>
      <w:r>
        <w:rPr>
          <w:rFonts w:hint="eastAsia" w:cs="宋体"/>
          <w:bCs/>
          <w:color w:val="auto"/>
          <w:szCs w:val="21"/>
          <w:highlight w:val="none"/>
        </w:rPr>
        <w:t>▲为实质性要求，负偏离将导致投标无效；</w:t>
      </w:r>
      <w:r>
        <w:rPr>
          <w:rFonts w:hint="eastAsia" w:cs="宋体"/>
          <w:color w:val="auto"/>
          <w:kern w:val="0"/>
          <w:szCs w:val="21"/>
          <w:highlight w:val="none"/>
        </w:rPr>
        <w:t>其他为一般指标，负偏离将导致评审时扣分。</w:t>
      </w:r>
    </w:p>
    <w:p>
      <w:pPr>
        <w:autoSpaceDE w:val="0"/>
        <w:autoSpaceDN w:val="0"/>
        <w:adjustRightInd w:val="0"/>
        <w:snapToGrid w:val="0"/>
        <w:ind w:firstLine="420"/>
        <w:rPr>
          <w:rFonts w:cs="宋体"/>
          <w:color w:val="auto"/>
          <w:kern w:val="0"/>
          <w:szCs w:val="21"/>
          <w:highlight w:val="none"/>
        </w:rPr>
      </w:pPr>
      <w:r>
        <w:rPr>
          <w:rFonts w:hint="eastAsia" w:cs="宋体"/>
          <w:color w:val="auto"/>
          <w:kern w:val="0"/>
          <w:szCs w:val="21"/>
          <w:highlight w:val="none"/>
        </w:rPr>
        <w:t>投标人的投标文件对有关条款有偏离的，须根据具体的偏离内容填写条款偏离表。未填写的，视为无偏离。</w:t>
      </w:r>
    </w:p>
    <w:p>
      <w:pPr>
        <w:adjustRightInd w:val="0"/>
        <w:snapToGrid w:val="0"/>
        <w:ind w:firstLine="420"/>
        <w:rPr>
          <w:rFonts w:cs="宋体"/>
          <w:snapToGrid w:val="0"/>
          <w:color w:val="auto"/>
          <w:kern w:val="0"/>
          <w:highlight w:val="none"/>
        </w:rPr>
      </w:pPr>
      <w:r>
        <w:rPr>
          <w:rFonts w:hint="eastAsia" w:cs="宋体"/>
          <w:color w:val="auto"/>
          <w:kern w:val="0"/>
          <w:szCs w:val="21"/>
          <w:highlight w:val="none"/>
        </w:rPr>
        <w:t>如投标人实际响应内容有偏离，而投标文件未如实反馈的，经审核情况属实，其投标无效；即使中标，在合同执行时如发现上述情形，将视情况终止合同，并追究该投标人在投标过程及合同履行时的法律责任。</w:t>
      </w:r>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4．相关说明</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4.1 投标费用</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投标人应承担其参加投标所涉及的一切费用，不管投标结果如何，采购人对这些费用不负任何责任。</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4.2 投标人在投标活动中提供任何虚假材料或从事其他违法活动的,其投标无效，并报监管部门查处</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4.3 投标人应仔细阅读采购文件的所有内容，按照采购文件的要求提交投标文件。投标文件应对采购文件的要求作出实质性响应，并对所提供的全部资料的真实性承担法律责任。</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4.4信用记录：</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根据相关采购法律法规要求，采购代理机构会对供应商信用记录进行查询并甄别。</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4.4.1信用信息查询的截止时点：投标截止时间。</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4.4.2查询渠道：“信用中国”（www.creditchina.gov.cn）、“中国政府采购网”（www.ccgp.gov.cn）</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4.4.3信用信息的使用规则：投标人存在不良信用记录的，其投标将被作为无效投标被拒绝。</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不良信用记录指：被列入失信被执行人、重大税收违法案件当事人名单、政府采购严重违法失信行为记录名单或浙江政府采购网曝光台中尚在行政处罚期内的。</w:t>
      </w:r>
    </w:p>
    <w:p>
      <w:pPr>
        <w:pStyle w:val="5"/>
        <w:ind w:firstLine="482"/>
        <w:rPr>
          <w:rFonts w:ascii="宋体" w:hAnsi="宋体" w:cs="宋体"/>
          <w:color w:val="auto"/>
          <w:highlight w:val="none"/>
        </w:rPr>
      </w:pPr>
      <w:bookmarkStart w:id="24" w:name="_Toc240450078"/>
      <w:bookmarkStart w:id="25" w:name="_Toc506358595"/>
      <w:bookmarkStart w:id="26" w:name="_Toc3004"/>
      <w:bookmarkStart w:id="27" w:name="_Toc415814126"/>
      <w:bookmarkStart w:id="28" w:name="_Toc367274978"/>
      <w:bookmarkStart w:id="29" w:name="_Toc251566651"/>
      <w:bookmarkStart w:id="30" w:name="_Toc294777232"/>
      <w:r>
        <w:rPr>
          <w:rFonts w:hint="eastAsia" w:ascii="宋体" w:hAnsi="宋体" w:cs="宋体"/>
          <w:color w:val="auto"/>
          <w:highlight w:val="none"/>
        </w:rPr>
        <w:t>二、招标文件</w:t>
      </w:r>
      <w:bookmarkEnd w:id="24"/>
      <w:bookmarkEnd w:id="25"/>
      <w:bookmarkEnd w:id="26"/>
      <w:bookmarkEnd w:id="27"/>
      <w:bookmarkEnd w:id="28"/>
      <w:bookmarkEnd w:id="29"/>
      <w:bookmarkEnd w:id="30"/>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5．招标文件构成</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5.1 本招标文件包括目录所示内容及所有按本须知第6、7条发出的补充资料。</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5.2 除上述所列内容外，采购人和采购代理机构的任何工作人员对投标人所作的任何口头解释、介绍、答复，只能供投标人参考，对采购人、采购代理机构和投标人无任何约束力。</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5.3 招标文件是招标过程进行的有效依据，也是成交后签订合同的依据，对双方均具有约束力，凡不遵守招标文件规定或对招标文件的实质性内容不响应的，将可能被拒绝或以无效标处理。</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5.4 本招标文件由采购人或采购代理机构依据相关法律、法规、规章、省市规定及招标文件进行解释。</w:t>
      </w:r>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6．招标文件答疑</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6.1 投标人在收到招标文件后，若有问题需要澄清或认为有必要与采购人进行技术交流，应于前附表规定的时间前，将问题传真或邮件至招标代理机构。截止期后的疑问将不予受理、答复。</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6.2 投标人要求解释或澄清的问题应以书面形式送达，并加盖公章、写明日期。</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6.3 所有要求解释或澄清的问题都予以解答，答疑文件与补充文件一起以书面形式告知所有购买招标文件的投标人。</w:t>
      </w:r>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7．招标文件的澄清与修改</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7.1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7.2 招标文件的修改将以书面形式（包括邮寄、传真）通知所有购买招标文件的投标人，并对其具有约束力。投标人在收到上述通知后，应在24小时内向采购代理机构回函确认。</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7.3 在补充文件发布后，如果投标人认为制作投标文件的时间不充分的，必须在收到补充文件24小时内通知采购人和采购代理机构。否则，视同投标人有充足时间编制投标文件。</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7.4 为使投标人编写投标文件时有充分的时间对招标文件的修改部分进行研究，采购人有权推迟投标截至时间和开标日期，并将此变更书面通知所有购买同一招标文件的投标人。</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7.5 招标文件澄清、答复、修改、补充的内容为招标文件的组成部分。当招标文件与招标文件的答复、澄清、修改、补充通知就同一内容的表述不一致时，以最后发出的书面文件为准。</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7.6 招标文件的澄清、答复、修改或补充都应该通过本代理机构以法定形式发布，除此以外的发布不属于招标文件的组成部分。</w:t>
      </w:r>
    </w:p>
    <w:p>
      <w:pPr>
        <w:pStyle w:val="5"/>
        <w:ind w:firstLine="482"/>
        <w:rPr>
          <w:rFonts w:ascii="宋体" w:hAnsi="宋体" w:cs="宋体"/>
          <w:color w:val="auto"/>
          <w:highlight w:val="none"/>
        </w:rPr>
      </w:pPr>
      <w:bookmarkStart w:id="31" w:name="_Toc21024"/>
      <w:bookmarkStart w:id="32" w:name="_Toc367274979"/>
      <w:bookmarkStart w:id="33" w:name="_Toc506358596"/>
      <w:bookmarkStart w:id="34" w:name="_Toc415814127"/>
      <w:r>
        <w:rPr>
          <w:rFonts w:hint="eastAsia" w:ascii="宋体" w:hAnsi="宋体" w:cs="宋体"/>
          <w:color w:val="auto"/>
          <w:highlight w:val="none"/>
        </w:rPr>
        <w:t>三、投标文件的编制</w:t>
      </w:r>
      <w:bookmarkEnd w:id="22"/>
      <w:bookmarkEnd w:id="23"/>
      <w:bookmarkEnd w:id="31"/>
      <w:bookmarkEnd w:id="32"/>
      <w:bookmarkEnd w:id="33"/>
      <w:bookmarkEnd w:id="34"/>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投标人应认真阅读招标文件中所有的事项、格式、条款和技术要求等。如果投标人没有按照招标文件要求和规定编制投标文件及提交全部资料，或者投标没有对招标文件中各方面作出实质性响应，其风险应由投标人承担。</w:t>
      </w:r>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8．投标文件的语言及计量单位</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8.1 投标文件及投标人与采购人之间与投标有关的来往通知、函件和文件均应使用简体中文。除签名、盖章、专用名称等特殊情形外，以中文汉语以外的文字表述的投标文件视同未提供。投标人提交的支持文件和印刷的文献可以用另一种语言，但相应内容应附有中文翻译文本，在解释投标文件时以中文翻译文本为准。</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8.2 除招标文件另有规定外，投标文件所使用的计量单位，均须采用中华人民共和国法定计量单位，否则视同未响应。</w:t>
      </w:r>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9．投标文件构成</w:t>
      </w:r>
    </w:p>
    <w:p>
      <w:pPr>
        <w:adjustRightInd w:val="0"/>
        <w:snapToGrid w:val="0"/>
        <w:ind w:firstLine="422"/>
        <w:rPr>
          <w:rFonts w:cs="宋体"/>
          <w:b/>
          <w:bCs/>
          <w:snapToGrid w:val="0"/>
          <w:color w:val="auto"/>
          <w:kern w:val="0"/>
          <w:szCs w:val="21"/>
          <w:highlight w:val="none"/>
        </w:rPr>
      </w:pPr>
      <w:r>
        <w:rPr>
          <w:rFonts w:hint="eastAsia" w:cs="宋体"/>
          <w:b/>
          <w:bCs/>
          <w:snapToGrid w:val="0"/>
          <w:color w:val="auto"/>
          <w:kern w:val="0"/>
          <w:szCs w:val="21"/>
          <w:highlight w:val="none"/>
        </w:rPr>
        <w:t>投标人递交的投标文件由资格证明文件、商务资信及技术文件、报价文件三部分与电子版组成。</w:t>
      </w:r>
    </w:p>
    <w:p>
      <w:pPr>
        <w:tabs>
          <w:tab w:val="left" w:pos="6930"/>
        </w:tabs>
        <w:adjustRightInd w:val="0"/>
        <w:snapToGrid w:val="0"/>
        <w:ind w:firstLine="422"/>
        <w:jc w:val="left"/>
        <w:rPr>
          <w:rFonts w:cs="宋体"/>
          <w:snapToGrid w:val="0"/>
          <w:color w:val="auto"/>
          <w:kern w:val="0"/>
          <w:szCs w:val="21"/>
          <w:highlight w:val="none"/>
        </w:rPr>
      </w:pPr>
      <w:r>
        <w:rPr>
          <w:rFonts w:hint="eastAsia" w:cs="宋体"/>
          <w:b/>
          <w:snapToGrid w:val="0"/>
          <w:color w:val="auto"/>
          <w:kern w:val="0"/>
          <w:szCs w:val="21"/>
          <w:highlight w:val="none"/>
        </w:rPr>
        <w:t>9.1 资格证明文件</w:t>
      </w:r>
      <w:r>
        <w:rPr>
          <w:rFonts w:hint="eastAsia" w:cs="宋体"/>
          <w:snapToGrid w:val="0"/>
          <w:color w:val="auto"/>
          <w:kern w:val="0"/>
          <w:szCs w:val="21"/>
          <w:highlight w:val="none"/>
        </w:rPr>
        <w:t>：</w:t>
      </w:r>
      <w:r>
        <w:rPr>
          <w:rFonts w:hint="eastAsia" w:cs="宋体"/>
          <w:snapToGrid w:val="0"/>
          <w:color w:val="auto"/>
          <w:kern w:val="0"/>
          <w:szCs w:val="21"/>
          <w:highlight w:val="none"/>
        </w:rPr>
        <w:tab/>
      </w:r>
    </w:p>
    <w:p>
      <w:pPr>
        <w:adjustRightInd w:val="0"/>
        <w:snapToGrid w:val="0"/>
        <w:ind w:firstLine="422"/>
        <w:jc w:val="left"/>
        <w:rPr>
          <w:rFonts w:cs="宋体"/>
          <w:b/>
          <w:snapToGrid w:val="0"/>
          <w:color w:val="auto"/>
          <w:kern w:val="0"/>
          <w:szCs w:val="21"/>
          <w:highlight w:val="none"/>
        </w:rPr>
      </w:pPr>
      <w:r>
        <w:rPr>
          <w:rFonts w:hint="eastAsia" w:cs="宋体"/>
          <w:b/>
          <w:snapToGrid w:val="0"/>
          <w:color w:val="auto"/>
          <w:kern w:val="0"/>
          <w:szCs w:val="21"/>
          <w:highlight w:val="none"/>
        </w:rPr>
        <w:t>资格审查材料（详见招标文件“第六章</w:t>
      </w:r>
      <w:r>
        <w:rPr>
          <w:rFonts w:hint="eastAsia" w:cs="宋体"/>
          <w:b/>
          <w:snapToGrid w:val="0"/>
          <w:color w:val="auto"/>
          <w:kern w:val="0"/>
          <w:szCs w:val="21"/>
          <w:highlight w:val="none"/>
          <w:lang w:val="en-US" w:eastAsia="zh-CN"/>
        </w:rPr>
        <w:t xml:space="preserve">  </w:t>
      </w:r>
      <w:r>
        <w:rPr>
          <w:rFonts w:hint="eastAsia" w:cs="宋体"/>
          <w:b/>
          <w:snapToGrid w:val="0"/>
          <w:color w:val="auto"/>
          <w:kern w:val="0"/>
          <w:szCs w:val="21"/>
          <w:highlight w:val="none"/>
        </w:rPr>
        <w:t>投标文件格式</w:t>
      </w:r>
      <w:r>
        <w:rPr>
          <w:rFonts w:hint="eastAsia" w:cs="宋体"/>
          <w:b/>
          <w:snapToGrid w:val="0"/>
          <w:color w:val="auto"/>
          <w:kern w:val="0"/>
          <w:szCs w:val="21"/>
          <w:highlight w:val="none"/>
          <w:lang w:eastAsia="zh-CN"/>
        </w:rPr>
        <w:t>中：资格审查资料目录</w:t>
      </w:r>
      <w:r>
        <w:rPr>
          <w:rFonts w:hint="eastAsia" w:cs="宋体"/>
          <w:b/>
          <w:snapToGrid w:val="0"/>
          <w:color w:val="auto"/>
          <w:kern w:val="0"/>
          <w:szCs w:val="21"/>
          <w:highlight w:val="none"/>
        </w:rPr>
        <w:t>）</w:t>
      </w:r>
    </w:p>
    <w:p>
      <w:pPr>
        <w:adjustRightInd w:val="0"/>
        <w:snapToGrid w:val="0"/>
        <w:ind w:firstLine="422"/>
        <w:jc w:val="left"/>
        <w:rPr>
          <w:rFonts w:cs="宋体"/>
          <w:snapToGrid w:val="0"/>
          <w:color w:val="auto"/>
          <w:kern w:val="0"/>
          <w:szCs w:val="21"/>
          <w:highlight w:val="none"/>
        </w:rPr>
      </w:pPr>
      <w:r>
        <w:rPr>
          <w:rFonts w:hint="eastAsia" w:cs="宋体"/>
          <w:b/>
          <w:snapToGrid w:val="0"/>
          <w:color w:val="auto"/>
          <w:kern w:val="0"/>
          <w:szCs w:val="21"/>
          <w:highlight w:val="none"/>
        </w:rPr>
        <w:t>9.2商务资信及技术文件</w:t>
      </w:r>
      <w:r>
        <w:rPr>
          <w:rFonts w:hint="eastAsia" w:cs="宋体"/>
          <w:snapToGrid w:val="0"/>
          <w:color w:val="auto"/>
          <w:kern w:val="0"/>
          <w:szCs w:val="21"/>
          <w:highlight w:val="none"/>
        </w:rPr>
        <w:t>；</w:t>
      </w:r>
    </w:p>
    <w:p>
      <w:pPr>
        <w:adjustRightInd w:val="0"/>
        <w:snapToGrid w:val="0"/>
        <w:ind w:firstLine="422"/>
        <w:jc w:val="left"/>
        <w:rPr>
          <w:rFonts w:cs="宋体"/>
          <w:b/>
          <w:bCs/>
          <w:snapToGrid w:val="0"/>
          <w:color w:val="auto"/>
          <w:kern w:val="0"/>
          <w:szCs w:val="21"/>
          <w:highlight w:val="none"/>
        </w:rPr>
      </w:pPr>
      <w:r>
        <w:rPr>
          <w:rFonts w:hint="eastAsia" w:cs="宋体"/>
          <w:b/>
          <w:bCs/>
          <w:snapToGrid w:val="0"/>
          <w:color w:val="auto"/>
          <w:kern w:val="0"/>
          <w:szCs w:val="21"/>
          <w:highlight w:val="none"/>
        </w:rPr>
        <w:t>评分索引表</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商务文件：</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（1）法定代表人资格证明书或附有法定代表人资格证明书的法定代表人授权书；</w:t>
      </w:r>
    </w:p>
    <w:p>
      <w:pPr>
        <w:adjustRightInd w:val="0"/>
        <w:snapToGrid w:val="0"/>
        <w:ind w:firstLine="420"/>
        <w:jc w:val="left"/>
        <w:rPr>
          <w:rFonts w:cs="宋体"/>
          <w:color w:val="auto"/>
          <w:highlight w:val="none"/>
        </w:rPr>
      </w:pPr>
      <w:r>
        <w:rPr>
          <w:rFonts w:hint="eastAsia" w:cs="宋体"/>
          <w:snapToGrid w:val="0"/>
          <w:color w:val="auto"/>
          <w:kern w:val="0"/>
          <w:szCs w:val="21"/>
          <w:highlight w:val="none"/>
        </w:rPr>
        <w:t>（2）</w:t>
      </w:r>
      <w:r>
        <w:rPr>
          <w:rFonts w:hint="eastAsia" w:cs="宋体"/>
          <w:color w:val="auto"/>
          <w:highlight w:val="none"/>
        </w:rPr>
        <w:t>提供有效的经营执照复印件并加盖公司公章；（按照资格条件要求提供，如有）；</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（3）</w:t>
      </w:r>
      <w:r>
        <w:rPr>
          <w:rFonts w:hint="eastAsia" w:cs="宋体"/>
          <w:color w:val="auto"/>
          <w:highlight w:val="none"/>
        </w:rPr>
        <w:t>廉政承诺书；</w:t>
      </w:r>
    </w:p>
    <w:p>
      <w:pPr>
        <w:adjustRightInd w:val="0"/>
        <w:snapToGrid w:val="0"/>
        <w:ind w:firstLine="420"/>
        <w:jc w:val="left"/>
        <w:rPr>
          <w:rFonts w:cs="宋体"/>
          <w:snapToGrid w:val="0"/>
          <w:color w:val="auto"/>
          <w:kern w:val="0"/>
          <w:szCs w:val="21"/>
          <w:highlight w:val="none"/>
        </w:rPr>
      </w:pPr>
      <w:r>
        <w:rPr>
          <w:rFonts w:hint="eastAsia" w:cs="宋体"/>
          <w:color w:val="auto"/>
          <w:highlight w:val="none"/>
        </w:rPr>
        <w:t>（4）</w:t>
      </w:r>
      <w:r>
        <w:rPr>
          <w:rFonts w:hint="eastAsia" w:cs="宋体"/>
          <w:snapToGrid w:val="0"/>
          <w:color w:val="auto"/>
          <w:kern w:val="0"/>
          <w:szCs w:val="21"/>
          <w:highlight w:val="none"/>
        </w:rPr>
        <w:t>公司基本情况介绍；</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（5）投标声明书；</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（6）供应商类似工程业绩；</w:t>
      </w:r>
    </w:p>
    <w:p>
      <w:pPr>
        <w:adjustRightInd w:val="0"/>
        <w:snapToGrid w:val="0"/>
        <w:ind w:firstLine="420"/>
        <w:jc w:val="left"/>
        <w:rPr>
          <w:rFonts w:cs="宋体"/>
          <w:color w:val="auto"/>
          <w:highlight w:val="none"/>
        </w:rPr>
      </w:pPr>
      <w:r>
        <w:rPr>
          <w:rFonts w:hint="eastAsia" w:cs="宋体"/>
          <w:snapToGrid w:val="0"/>
          <w:color w:val="auto"/>
          <w:kern w:val="0"/>
          <w:szCs w:val="21"/>
          <w:highlight w:val="none"/>
        </w:rPr>
        <w:t>（7）投标保证金缴纳凭证；</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技术文件：</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（1）施工方案；</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（2）质量保证措施；</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（3）施工机具和检验仪器的投入；</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（4）工期承诺、进度控制措施及施工质量控制措施；</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（5）投入本项目的工程技术管理人员的专业配置情况；</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（6）关键工序、复杂环节的相应技术措施；</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（7）安全文明施工保证措施；</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（8）材料设备进场计划及施工计划情况；</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（9）合理化建议及售后服务；</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（10）供应商认为需要提供的资料。</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采用文字表述外可附下列图表，图表及格式要求附后，没有图表的可格式自拟。</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附表一  拟投入的主要施工设备表</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附表二  拟配备的试验和检测仪器设备表</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附表三  项目管理班子配备情况表</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附表四、项目经理简历表</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附表五、技术负责人简历表</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附表六、劳动力计划表</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附表七、计划开、竣工日期和施工进度网络图或横道图</w:t>
      </w:r>
    </w:p>
    <w:p>
      <w:pPr>
        <w:adjustRightInd w:val="0"/>
        <w:snapToGrid w:val="0"/>
        <w:ind w:firstLine="422"/>
        <w:jc w:val="left"/>
        <w:rPr>
          <w:rFonts w:cs="宋体"/>
          <w:snapToGrid w:val="0"/>
          <w:color w:val="auto"/>
          <w:kern w:val="0"/>
          <w:szCs w:val="21"/>
          <w:highlight w:val="none"/>
        </w:rPr>
      </w:pPr>
      <w:r>
        <w:rPr>
          <w:rFonts w:hint="eastAsia" w:cs="宋体"/>
          <w:b/>
          <w:snapToGrid w:val="0"/>
          <w:color w:val="auto"/>
          <w:kern w:val="0"/>
          <w:szCs w:val="21"/>
          <w:highlight w:val="none"/>
        </w:rPr>
        <w:t>9.3报价文件：</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（1）投标函；</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（2）开标一览表；</w:t>
      </w:r>
    </w:p>
    <w:p>
      <w:pPr>
        <w:adjustRightInd w:val="0"/>
        <w:snapToGrid w:val="0"/>
        <w:ind w:firstLine="420"/>
        <w:jc w:val="left"/>
        <w:rPr>
          <w:rFonts w:cs="宋体"/>
          <w:b/>
          <w:bCs/>
          <w:snapToGrid w:val="0"/>
          <w:color w:val="auto"/>
          <w:kern w:val="0"/>
          <w:szCs w:val="21"/>
          <w:highlight w:val="none"/>
        </w:rPr>
      </w:pPr>
      <w:r>
        <w:rPr>
          <w:rFonts w:hint="eastAsia" w:cs="宋体"/>
          <w:snapToGrid w:val="0"/>
          <w:color w:val="auto"/>
          <w:kern w:val="0"/>
          <w:szCs w:val="21"/>
          <w:highlight w:val="none"/>
        </w:rPr>
        <w:t>（3）已标价工程量清单报价格式</w:t>
      </w:r>
      <w:r>
        <w:rPr>
          <w:rFonts w:hint="eastAsia" w:cs="宋体"/>
          <w:b/>
          <w:bCs/>
          <w:snapToGrid w:val="0"/>
          <w:color w:val="auto"/>
          <w:kern w:val="0"/>
          <w:szCs w:val="21"/>
          <w:highlight w:val="none"/>
        </w:rPr>
        <w:t>（具体请按照《浙江省建设工程计价规则》（2018版）投标报价格式编制）；</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（4）投标方认为需要的其他文件资料。</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9.4 以上内容按照招标文件第六章附件所附格式填写。没有提供格式的，投标人根据实际情况自行设计并编制。</w:t>
      </w:r>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10．投标函</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10.1 投标人应完整地填写招标文件中提供的投标函和投标相关附件。</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10.2 投标文件应当对招标文件中有关投标有效期、采购需求等实质性内容作出响应。投标人在满足招标文件实质性要求的基础上，可以提出比招标文件要求更有利于采购人的承诺。</w:t>
      </w:r>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11．投标报价</w:t>
      </w:r>
    </w:p>
    <w:p>
      <w:pPr>
        <w:widowControl/>
        <w:ind w:firstLine="420"/>
        <w:rPr>
          <w:rFonts w:cs="宋体"/>
          <w:color w:val="auto"/>
          <w:szCs w:val="21"/>
          <w:highlight w:val="none"/>
        </w:rPr>
      </w:pPr>
      <w:r>
        <w:rPr>
          <w:rFonts w:hint="eastAsia" w:cs="宋体"/>
          <w:color w:val="auto"/>
          <w:szCs w:val="21"/>
          <w:highlight w:val="none"/>
        </w:rPr>
        <w:t>11.1 本项目报价按工程量清单进行报价；</w:t>
      </w:r>
    </w:p>
    <w:p>
      <w:pPr>
        <w:adjustRightInd w:val="0"/>
        <w:snapToGrid w:val="0"/>
        <w:ind w:firstLine="420"/>
        <w:jc w:val="left"/>
        <w:rPr>
          <w:rFonts w:cs="宋体"/>
          <w:b/>
          <w:snapToGrid w:val="0"/>
          <w:color w:val="auto"/>
          <w:kern w:val="0"/>
          <w:szCs w:val="21"/>
          <w:highlight w:val="none"/>
        </w:rPr>
      </w:pPr>
      <w:r>
        <w:rPr>
          <w:rFonts w:hint="eastAsia" w:cs="宋体"/>
          <w:color w:val="auto"/>
          <w:szCs w:val="21"/>
          <w:highlight w:val="none"/>
        </w:rPr>
        <w:t>11.2 投标报价应依据招标文件中关于本工程建设的标准、要求；与投标报价相关的补充纪要；全套招标图纸；本工程施工现场自行助察情况拟定的施工组织设计或施工方案；《建设工程量清单计价规范)GB 50500-2013)；现行浙江省建设工程计价规范、本省、市建设行政主管部门颁发的计价规定；本企业定额或参照省建设行改主管部门颁发的计价依据、造价管理部门发布的价格信息或市场价格自行确定投标报价。投标函中的投标报价应包括本招标文件规定的招标范围、质量及工期要求，工程建设地点，按工程建设标准及相关技术规范的要求完成招标围纸和工程量清单所列明工作的价格表现。包括了施工设备，机械进退场费、劳务、管理、材料，安装、安全文明、维护、技术措施费、施工组织措施费，总承包服务费、风险费、保险、利润、规费、税金、政策性文件规定、技术规范要求的所有费用、本招标文件包含的所有风险、责任等所有费用，以及为完成上述内容所必需的其他所有费用。</w:t>
      </w:r>
    </w:p>
    <w:p>
      <w:pPr>
        <w:adjustRightInd w:val="0"/>
        <w:snapToGrid w:val="0"/>
        <w:ind w:firstLine="420"/>
        <w:jc w:val="left"/>
        <w:rPr>
          <w:rFonts w:cs="宋体"/>
          <w:color w:val="auto"/>
          <w:szCs w:val="21"/>
          <w:highlight w:val="none"/>
        </w:rPr>
      </w:pPr>
      <w:r>
        <w:rPr>
          <w:rFonts w:hint="eastAsia" w:cs="宋体"/>
          <w:color w:val="auto"/>
          <w:szCs w:val="21"/>
          <w:highlight w:val="none"/>
        </w:rPr>
        <w:t>11.3投标报价须考虑的因素</w:t>
      </w:r>
    </w:p>
    <w:p>
      <w:pPr>
        <w:adjustRightInd w:val="0"/>
        <w:snapToGrid w:val="0"/>
        <w:ind w:firstLine="420"/>
        <w:jc w:val="left"/>
        <w:rPr>
          <w:rFonts w:cs="宋体"/>
          <w:color w:val="auto"/>
          <w:szCs w:val="21"/>
          <w:highlight w:val="none"/>
        </w:rPr>
      </w:pPr>
      <w:r>
        <w:rPr>
          <w:rFonts w:hint="eastAsia" w:cs="宋体"/>
          <w:color w:val="auto"/>
          <w:szCs w:val="21"/>
          <w:highlight w:val="none"/>
        </w:rPr>
        <w:t>（1）根据国家和浙江省的有关规定，凡要求投标人办理的一切手续（包括投标和中标后供应货物的各种手续）均由投标人自行调查办理，该费用包含在投标报价中。</w:t>
      </w:r>
    </w:p>
    <w:p>
      <w:pPr>
        <w:adjustRightInd w:val="0"/>
        <w:snapToGrid w:val="0"/>
        <w:ind w:firstLine="420"/>
        <w:jc w:val="left"/>
        <w:rPr>
          <w:rFonts w:cs="宋体"/>
          <w:color w:val="auto"/>
          <w:szCs w:val="21"/>
          <w:highlight w:val="none"/>
        </w:rPr>
      </w:pPr>
      <w:r>
        <w:rPr>
          <w:rFonts w:hint="eastAsia" w:cs="宋体"/>
          <w:color w:val="auto"/>
          <w:szCs w:val="21"/>
          <w:highlight w:val="none"/>
        </w:rPr>
        <w:t>（2）投标人在报价时可自行考虑一定的风险系数（风险包括政策性调价及市场材料价格变化等因素）。招标人不承担风险因素造成的价格变更。</w:t>
      </w:r>
    </w:p>
    <w:p>
      <w:pPr>
        <w:adjustRightInd w:val="0"/>
        <w:snapToGrid w:val="0"/>
        <w:ind w:firstLine="420"/>
        <w:jc w:val="left"/>
        <w:rPr>
          <w:rFonts w:cs="宋体"/>
          <w:color w:val="auto"/>
          <w:szCs w:val="21"/>
          <w:highlight w:val="none"/>
        </w:rPr>
      </w:pPr>
      <w:r>
        <w:rPr>
          <w:rFonts w:hint="eastAsia" w:cs="宋体"/>
          <w:color w:val="auto"/>
          <w:szCs w:val="21"/>
          <w:highlight w:val="none"/>
        </w:rPr>
        <w:t>（3）投标人可进一步参阅用户需求部分，了解各影响投标报价的因素。除招标人提出的变更要求，投标人所报的价格在合同执行过程中是固定不变的，不得以任何理由予以变更。未计入报价的部分，均视为投标人的优惠，不再调整。</w:t>
      </w:r>
    </w:p>
    <w:p>
      <w:pPr>
        <w:adjustRightInd w:val="0"/>
        <w:snapToGrid w:val="0"/>
        <w:ind w:firstLine="420"/>
        <w:jc w:val="left"/>
        <w:rPr>
          <w:rFonts w:cs="宋体"/>
          <w:color w:val="auto"/>
          <w:szCs w:val="21"/>
          <w:highlight w:val="none"/>
        </w:rPr>
      </w:pPr>
      <w:r>
        <w:rPr>
          <w:rFonts w:hint="eastAsia" w:cs="宋体"/>
          <w:color w:val="auto"/>
          <w:szCs w:val="21"/>
          <w:highlight w:val="none"/>
        </w:rPr>
        <w:t>11.4 报价明细中采用单价及合价，便于评审及经济性测算。采购人要求的分类报价是为了方便评标，但在任何情况下不限制采购人以其认为最合适的条款签订合同的权力。</w:t>
      </w:r>
    </w:p>
    <w:p>
      <w:pPr>
        <w:adjustRightInd w:val="0"/>
        <w:snapToGrid w:val="0"/>
        <w:ind w:firstLine="420"/>
        <w:jc w:val="left"/>
        <w:rPr>
          <w:rFonts w:cs="宋体"/>
          <w:color w:val="auto"/>
          <w:szCs w:val="21"/>
          <w:highlight w:val="none"/>
        </w:rPr>
      </w:pPr>
      <w:r>
        <w:rPr>
          <w:rFonts w:hint="eastAsia" w:cs="宋体"/>
          <w:color w:val="auto"/>
          <w:szCs w:val="21"/>
          <w:highlight w:val="none"/>
        </w:rPr>
        <w:t>11.5 招标人不接受任何选择性报价。</w:t>
      </w:r>
    </w:p>
    <w:p>
      <w:pPr>
        <w:adjustRightInd w:val="0"/>
        <w:snapToGrid w:val="0"/>
        <w:ind w:firstLine="420"/>
        <w:jc w:val="left"/>
        <w:rPr>
          <w:rFonts w:cs="宋体"/>
          <w:color w:val="auto"/>
          <w:szCs w:val="21"/>
          <w:highlight w:val="none"/>
        </w:rPr>
      </w:pPr>
      <w:r>
        <w:rPr>
          <w:rFonts w:hint="eastAsia" w:cs="宋体"/>
          <w:color w:val="auto"/>
          <w:szCs w:val="21"/>
          <w:highlight w:val="none"/>
        </w:rPr>
        <w:t>11.6最低报价不是中标的保证。</w:t>
      </w:r>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12．投标货币</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投标人用人民币报价。</w:t>
      </w:r>
    </w:p>
    <w:p>
      <w:pPr>
        <w:widowControl/>
        <w:numPr>
          <w:ilvl w:val="0"/>
          <w:numId w:val="3"/>
        </w:numPr>
        <w:ind w:firstLine="422"/>
        <w:jc w:val="left"/>
        <w:rPr>
          <w:rFonts w:cs="宋体"/>
          <w:b/>
          <w:snapToGrid w:val="0"/>
          <w:color w:val="auto"/>
          <w:kern w:val="0"/>
          <w:szCs w:val="21"/>
          <w:highlight w:val="none"/>
        </w:rPr>
      </w:pPr>
      <w:r>
        <w:rPr>
          <w:rFonts w:hint="eastAsia" w:cs="宋体"/>
          <w:b/>
          <w:snapToGrid w:val="0"/>
          <w:color w:val="auto"/>
          <w:kern w:val="0"/>
          <w:szCs w:val="21"/>
          <w:highlight w:val="none"/>
        </w:rPr>
        <w:t>投标保证金：</w:t>
      </w:r>
    </w:p>
    <w:p>
      <w:pPr>
        <w:pStyle w:val="30"/>
        <w:spacing w:line="360" w:lineRule="auto"/>
        <w:ind w:firstLine="420"/>
        <w:rPr>
          <w:rFonts w:cs="宋体"/>
          <w:color w:val="auto"/>
          <w:kern w:val="2"/>
          <w:sz w:val="21"/>
          <w:szCs w:val="21"/>
          <w:highlight w:val="none"/>
        </w:rPr>
      </w:pPr>
      <w:r>
        <w:rPr>
          <w:rFonts w:hint="eastAsia" w:cs="宋体"/>
          <w:color w:val="auto"/>
          <w:kern w:val="2"/>
          <w:sz w:val="21"/>
          <w:szCs w:val="21"/>
          <w:highlight w:val="none"/>
        </w:rPr>
        <w:t>13.1投标人须按“投标人须知前附表”的规定提供投标保证金。</w:t>
      </w:r>
    </w:p>
    <w:p>
      <w:pPr>
        <w:pStyle w:val="30"/>
        <w:spacing w:line="360" w:lineRule="auto"/>
        <w:ind w:firstLine="420"/>
        <w:rPr>
          <w:rFonts w:cs="宋体"/>
          <w:color w:val="auto"/>
          <w:kern w:val="2"/>
          <w:sz w:val="21"/>
          <w:szCs w:val="21"/>
          <w:highlight w:val="none"/>
        </w:rPr>
      </w:pPr>
      <w:r>
        <w:rPr>
          <w:rFonts w:hint="eastAsia" w:cs="宋体"/>
          <w:color w:val="auto"/>
          <w:kern w:val="2"/>
          <w:sz w:val="21"/>
          <w:szCs w:val="21"/>
          <w:highlight w:val="none"/>
        </w:rPr>
        <w:t>13.2中标人在与招标人签订合同后凭投标保证金缴纳凭证及合同原件办理投标证金退还手续， 投标保证金在5个工作内退还。</w:t>
      </w:r>
    </w:p>
    <w:p>
      <w:pPr>
        <w:pStyle w:val="30"/>
        <w:spacing w:line="360" w:lineRule="auto"/>
        <w:ind w:firstLine="420"/>
        <w:rPr>
          <w:rFonts w:cs="宋体"/>
          <w:color w:val="auto"/>
          <w:kern w:val="2"/>
          <w:sz w:val="21"/>
          <w:szCs w:val="21"/>
          <w:highlight w:val="none"/>
        </w:rPr>
      </w:pPr>
      <w:r>
        <w:rPr>
          <w:rFonts w:hint="eastAsia" w:cs="宋体"/>
          <w:color w:val="auto"/>
          <w:kern w:val="2"/>
          <w:sz w:val="21"/>
          <w:szCs w:val="21"/>
          <w:highlight w:val="none"/>
        </w:rPr>
        <w:t>13.3未中标单位在中标通知书发出后凭投标保证金缴纳凭证办理投标保证金退还手续，投标保证金在5个工作内退还。</w:t>
      </w:r>
    </w:p>
    <w:p>
      <w:pPr>
        <w:pStyle w:val="30"/>
        <w:spacing w:line="360" w:lineRule="auto"/>
        <w:ind w:firstLine="420"/>
        <w:rPr>
          <w:rFonts w:cs="宋体"/>
          <w:color w:val="auto"/>
          <w:kern w:val="2"/>
          <w:sz w:val="21"/>
          <w:szCs w:val="21"/>
          <w:highlight w:val="none"/>
        </w:rPr>
      </w:pPr>
      <w:r>
        <w:rPr>
          <w:rFonts w:hint="eastAsia" w:cs="宋体"/>
          <w:color w:val="auto"/>
          <w:kern w:val="2"/>
          <w:sz w:val="21"/>
          <w:szCs w:val="21"/>
          <w:highlight w:val="none"/>
        </w:rPr>
        <w:t>13.4发生下列情况之一，投标保证金将不予退回。</w:t>
      </w:r>
    </w:p>
    <w:p>
      <w:pPr>
        <w:pStyle w:val="30"/>
        <w:spacing w:line="360" w:lineRule="auto"/>
        <w:ind w:firstLine="420"/>
        <w:rPr>
          <w:rFonts w:cs="宋体"/>
          <w:color w:val="auto"/>
          <w:kern w:val="2"/>
          <w:sz w:val="21"/>
          <w:szCs w:val="21"/>
          <w:highlight w:val="none"/>
        </w:rPr>
      </w:pPr>
      <w:r>
        <w:rPr>
          <w:rFonts w:hint="eastAsia" w:cs="宋体"/>
          <w:color w:val="auto"/>
          <w:kern w:val="2"/>
          <w:sz w:val="21"/>
          <w:szCs w:val="21"/>
          <w:highlight w:val="none"/>
        </w:rPr>
        <w:t>（1）投标人在提交投标文件截止时间后撤回投标文件的；</w:t>
      </w:r>
    </w:p>
    <w:p>
      <w:pPr>
        <w:pStyle w:val="30"/>
        <w:spacing w:line="360" w:lineRule="auto"/>
        <w:ind w:firstLine="420"/>
        <w:rPr>
          <w:rFonts w:cs="宋体"/>
          <w:color w:val="auto"/>
          <w:kern w:val="2"/>
          <w:sz w:val="21"/>
          <w:szCs w:val="21"/>
          <w:highlight w:val="none"/>
        </w:rPr>
      </w:pPr>
      <w:r>
        <w:rPr>
          <w:rFonts w:hint="eastAsia" w:cs="宋体"/>
          <w:color w:val="auto"/>
          <w:kern w:val="2"/>
          <w:sz w:val="21"/>
          <w:szCs w:val="21"/>
          <w:highlight w:val="none"/>
        </w:rPr>
        <w:t>（2）除因不可抗力或招标文件认可的情形以外，成交投标人不与招标人签订合同的；</w:t>
      </w:r>
    </w:p>
    <w:p>
      <w:pPr>
        <w:pStyle w:val="30"/>
        <w:spacing w:line="360" w:lineRule="auto"/>
        <w:ind w:firstLine="420" w:firstLineChars="0"/>
        <w:rPr>
          <w:rFonts w:cs="宋体"/>
          <w:color w:val="auto"/>
          <w:kern w:val="2"/>
          <w:sz w:val="21"/>
          <w:szCs w:val="21"/>
          <w:highlight w:val="none"/>
        </w:rPr>
      </w:pPr>
      <w:r>
        <w:rPr>
          <w:rFonts w:hint="eastAsia" w:cs="宋体"/>
          <w:color w:val="auto"/>
          <w:kern w:val="2"/>
          <w:sz w:val="21"/>
          <w:szCs w:val="21"/>
          <w:highlight w:val="none"/>
        </w:rPr>
        <w:t>（3）投标人在签订合同时向招标人提出附加条件的;</w:t>
      </w:r>
    </w:p>
    <w:p>
      <w:pPr>
        <w:pStyle w:val="30"/>
        <w:spacing w:line="360" w:lineRule="auto"/>
        <w:ind w:firstLine="420" w:firstLineChars="0"/>
        <w:rPr>
          <w:rFonts w:cs="宋体"/>
          <w:color w:val="auto"/>
          <w:kern w:val="2"/>
          <w:sz w:val="21"/>
          <w:szCs w:val="21"/>
          <w:highlight w:val="none"/>
        </w:rPr>
      </w:pPr>
      <w:r>
        <w:rPr>
          <w:rFonts w:hint="eastAsia" w:cs="宋体"/>
          <w:color w:val="auto"/>
          <w:kern w:val="2"/>
          <w:sz w:val="21"/>
          <w:szCs w:val="21"/>
          <w:highlight w:val="none"/>
        </w:rPr>
        <w:t>（4）投标人不按招标文件要求提交履约保证金的；</w:t>
      </w:r>
    </w:p>
    <w:p>
      <w:pPr>
        <w:pStyle w:val="30"/>
        <w:spacing w:line="360" w:lineRule="auto"/>
        <w:ind w:firstLine="420" w:firstLineChars="0"/>
        <w:rPr>
          <w:rFonts w:cs="宋体"/>
          <w:color w:val="auto"/>
          <w:kern w:val="2"/>
          <w:sz w:val="21"/>
          <w:szCs w:val="21"/>
          <w:highlight w:val="none"/>
        </w:rPr>
      </w:pPr>
      <w:r>
        <w:rPr>
          <w:rFonts w:hint="eastAsia" w:cs="宋体"/>
          <w:color w:val="auto"/>
          <w:kern w:val="2"/>
          <w:sz w:val="21"/>
          <w:szCs w:val="21"/>
          <w:highlight w:val="none"/>
        </w:rPr>
        <w:t>（5）投标人在投标文件中提供虚假材料的；</w:t>
      </w:r>
    </w:p>
    <w:p>
      <w:pPr>
        <w:pStyle w:val="30"/>
        <w:spacing w:line="360" w:lineRule="auto"/>
        <w:ind w:firstLine="420" w:firstLineChars="0"/>
        <w:rPr>
          <w:rFonts w:cs="宋体"/>
          <w:color w:val="auto"/>
          <w:kern w:val="2"/>
          <w:sz w:val="21"/>
          <w:szCs w:val="21"/>
          <w:highlight w:val="none"/>
        </w:rPr>
      </w:pPr>
      <w:r>
        <w:rPr>
          <w:rFonts w:hint="eastAsia" w:cs="宋体"/>
          <w:color w:val="auto"/>
          <w:kern w:val="2"/>
          <w:sz w:val="21"/>
          <w:szCs w:val="21"/>
          <w:highlight w:val="none"/>
        </w:rPr>
        <w:t>（6）投标人围标或串通投标的；</w:t>
      </w:r>
    </w:p>
    <w:p>
      <w:pPr>
        <w:pStyle w:val="30"/>
        <w:spacing w:line="360" w:lineRule="auto"/>
        <w:ind w:firstLine="420" w:firstLineChars="0"/>
        <w:rPr>
          <w:rFonts w:cs="宋体"/>
          <w:color w:val="auto"/>
          <w:kern w:val="2"/>
          <w:sz w:val="21"/>
          <w:szCs w:val="21"/>
          <w:highlight w:val="none"/>
        </w:rPr>
      </w:pPr>
      <w:r>
        <w:rPr>
          <w:rFonts w:hint="eastAsia" w:cs="宋体"/>
          <w:color w:val="auto"/>
          <w:kern w:val="2"/>
          <w:sz w:val="21"/>
          <w:szCs w:val="21"/>
          <w:highlight w:val="none"/>
        </w:rPr>
        <w:t>（7）投标人向评标小组成员行贿谋求中标的；</w:t>
      </w:r>
    </w:p>
    <w:p>
      <w:pPr>
        <w:pStyle w:val="30"/>
        <w:spacing w:line="360" w:lineRule="auto"/>
        <w:ind w:firstLine="420" w:firstLineChars="0"/>
        <w:rPr>
          <w:rFonts w:cs="宋体"/>
          <w:color w:val="auto"/>
          <w:kern w:val="2"/>
          <w:sz w:val="21"/>
          <w:szCs w:val="21"/>
          <w:highlight w:val="none"/>
        </w:rPr>
      </w:pPr>
      <w:r>
        <w:rPr>
          <w:rFonts w:hint="eastAsia" w:cs="宋体"/>
          <w:color w:val="auto"/>
          <w:kern w:val="2"/>
          <w:sz w:val="21"/>
          <w:szCs w:val="21"/>
          <w:highlight w:val="none"/>
        </w:rPr>
        <w:t>（8）投标人以非法手段影响评标的；</w:t>
      </w:r>
    </w:p>
    <w:p>
      <w:pPr>
        <w:pStyle w:val="30"/>
        <w:spacing w:line="360" w:lineRule="auto"/>
        <w:ind w:firstLine="420" w:firstLineChars="0"/>
        <w:rPr>
          <w:rFonts w:cs="宋体"/>
          <w:color w:val="auto"/>
          <w:kern w:val="2"/>
          <w:sz w:val="21"/>
          <w:szCs w:val="21"/>
          <w:highlight w:val="none"/>
        </w:rPr>
      </w:pPr>
      <w:r>
        <w:rPr>
          <w:rFonts w:hint="eastAsia" w:cs="宋体"/>
          <w:color w:val="auto"/>
          <w:kern w:val="2"/>
          <w:sz w:val="21"/>
          <w:szCs w:val="21"/>
          <w:highlight w:val="none"/>
        </w:rPr>
        <w:t>（9）中标后不按规定缴纳服务费的或不与招标人签订施工合同的；</w:t>
      </w:r>
    </w:p>
    <w:p>
      <w:pPr>
        <w:pStyle w:val="2"/>
        <w:ind w:firstLine="420" w:firstLineChars="200"/>
        <w:rPr>
          <w:rFonts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（10）招标文件规定的其他情形。</w:t>
      </w:r>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14．投标有效期</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14.1 投标文件在开标之日起90日历天内有效。</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14.2 在原定投标有效期满之前，如果出现特殊情况，采购人可以以书面形式向投标人提出延长投标有效期的要求。这种要求与答复均应采用书面形式如传真或信件等。投标人可以拒绝接受采购人的这种要求而放弃投标。采购人在接到投标人书面答复后。接受延长投标有效期的投标人将不会被要求和允许修正其投标，同时受投标有限期约束的所有权力和义务均延长至新的有限期。</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14.3 中标人的投标文件自开标之日起至合同履行完毕止均应保持有效。</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14.4投标人可拒绝接受延期要求而不会导致投标保证金不予退回。同意延长有效期的投标人不能修改投标文件。</w:t>
      </w:r>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15．投标文件的式样和签署</w:t>
      </w:r>
    </w:p>
    <w:p>
      <w:pPr>
        <w:adjustRightInd w:val="0"/>
        <w:snapToGrid w:val="0"/>
        <w:ind w:firstLine="420"/>
        <w:jc w:val="left"/>
        <w:rPr>
          <w:rFonts w:cs="宋体"/>
          <w:snapToGrid w:val="0"/>
          <w:color w:val="auto"/>
          <w:kern w:val="0"/>
          <w:szCs w:val="21"/>
          <w:highlight w:val="none"/>
        </w:rPr>
      </w:pPr>
      <w:bookmarkStart w:id="35" w:name="_Toc240450080"/>
      <w:bookmarkStart w:id="36" w:name="_Toc251566653"/>
      <w:r>
        <w:rPr>
          <w:rFonts w:hint="eastAsia" w:cs="宋体"/>
          <w:snapToGrid w:val="0"/>
          <w:color w:val="auto"/>
          <w:kern w:val="0"/>
          <w:szCs w:val="21"/>
          <w:highlight w:val="none"/>
        </w:rPr>
        <w:t>15.1 投标人应按照本招标文件规定的格式和顺序编制、装订投标文件。投标文件内容不完整、编排混乱导致投标文件被误读、漏读，或者在按招标文件规定装订成册的部分查找不到相关内容的，是投标人的责任。</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15.2 投标人递交的纸质投标文件包括 “正本”、“副本”，文件份数见投标须知前附表。</w:t>
      </w:r>
    </w:p>
    <w:p>
      <w:pPr>
        <w:adjustRightInd w:val="0"/>
        <w:snapToGrid w:val="0"/>
        <w:ind w:firstLine="422"/>
        <w:jc w:val="left"/>
        <w:rPr>
          <w:rFonts w:cs="宋体"/>
          <w:b/>
          <w:snapToGrid w:val="0"/>
          <w:color w:val="auto"/>
          <w:kern w:val="0"/>
          <w:szCs w:val="21"/>
          <w:highlight w:val="none"/>
        </w:rPr>
      </w:pPr>
      <w:r>
        <w:rPr>
          <w:rFonts w:hint="eastAsia" w:cs="宋体"/>
          <w:b/>
          <w:snapToGrid w:val="0"/>
          <w:color w:val="auto"/>
          <w:kern w:val="0"/>
          <w:szCs w:val="21"/>
          <w:highlight w:val="none"/>
        </w:rPr>
        <w:t>装订要求：</w:t>
      </w:r>
      <w:r>
        <w:rPr>
          <w:rFonts w:hint="eastAsia" w:cs="宋体"/>
          <w:b/>
          <w:color w:val="auto"/>
          <w:highlight w:val="none"/>
        </w:rPr>
        <w:t>采用胶装（粘贴方式装订），不得采用活页装订（是指用卡条、抽杆夹、订书机等形式装订，使标书可以拆卸或者在翻动过程中易脱落的一种装订方式）</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在投标文件封面的右上角须清楚的注明“正本”或“副本”。其中投标文件的正本必须打印或用不褪色墨水书写，字迹须清晰易于辨认。投标文件的正本和副本有不一致的，以正本为准。</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15.3 投标文件的投标函应加盖投标人公章，并经法定代表人或其委托代理人签字。</w:t>
      </w:r>
      <w:r>
        <w:rPr>
          <w:rFonts w:hint="eastAsia" w:cs="宋体"/>
          <w:b/>
          <w:snapToGrid w:val="0"/>
          <w:color w:val="auto"/>
          <w:kern w:val="0"/>
          <w:szCs w:val="21"/>
          <w:highlight w:val="none"/>
        </w:rPr>
        <w:t>投标文件中有委托代理人签字或盖章的必须同时提供法定代表人资格证明书及授权委托函（书）</w:t>
      </w:r>
      <w:r>
        <w:rPr>
          <w:rFonts w:hint="eastAsia" w:cs="宋体"/>
          <w:snapToGrid w:val="0"/>
          <w:color w:val="auto"/>
          <w:kern w:val="0"/>
          <w:szCs w:val="21"/>
          <w:highlight w:val="none"/>
        </w:rPr>
        <w:t>。法定代表人资格证明书及授权委托函格式、签字、盖章及内容均应符合要求，否则投标文件无效。投标文件正本中依据招标文件要求加盖投标人公章、法定代表人或其委托代理人签字或盖章的地方须为原件。副本可复印正本内容。</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15.4 除投标人对错误之处必须修改外，全套投标文件应无涂改或行间插字和增删。修改处须有投标人法定代表人或被授权代表的签字或盖章，否则，评标委员会可不予接受。</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15.5 投标文件每册目录所示页码应该是该册唯一的页码，其唯一的页码应该与目录所示的页码相吻合。投标人应针对评标细则逐条编制响应内容并标注对应页码，否则采购人不承担因为该项错误导致找不到目录所示内容而漏评或因标书编制质量而被扣分的责任。</w:t>
      </w:r>
    </w:p>
    <w:p>
      <w:pPr>
        <w:adjustRightInd w:val="0"/>
        <w:snapToGrid w:val="0"/>
        <w:ind w:firstLine="420"/>
        <w:jc w:val="left"/>
        <w:rPr>
          <w:rFonts w:cs="宋体"/>
          <w:color w:val="auto"/>
          <w:highlight w:val="none"/>
        </w:rPr>
      </w:pPr>
      <w:r>
        <w:rPr>
          <w:rFonts w:hint="eastAsia" w:cs="宋体"/>
          <w:snapToGrid w:val="0"/>
          <w:color w:val="auto"/>
          <w:szCs w:val="21"/>
          <w:highlight w:val="none"/>
        </w:rPr>
        <w:t>15.6 投标文件须由投标人在规定位置盖章并由投标人代表签署，投标人应写全称，并加盖骑缝章。</w:t>
      </w:r>
    </w:p>
    <w:p>
      <w:pPr>
        <w:pStyle w:val="5"/>
        <w:ind w:firstLine="482"/>
        <w:rPr>
          <w:rFonts w:ascii="宋体" w:hAnsi="宋体" w:cs="宋体"/>
          <w:color w:val="auto"/>
          <w:highlight w:val="none"/>
        </w:rPr>
      </w:pPr>
      <w:bookmarkStart w:id="37" w:name="_Toc7550"/>
      <w:bookmarkStart w:id="38" w:name="_Toc367274980"/>
      <w:bookmarkStart w:id="39" w:name="_Toc506358597"/>
      <w:bookmarkStart w:id="40" w:name="_Toc415814128"/>
      <w:r>
        <w:rPr>
          <w:rFonts w:hint="eastAsia" w:ascii="宋体" w:hAnsi="宋体" w:cs="宋体"/>
          <w:color w:val="auto"/>
          <w:highlight w:val="none"/>
        </w:rPr>
        <w:t>四、投标文件的递交</w:t>
      </w:r>
      <w:bookmarkEnd w:id="35"/>
      <w:bookmarkEnd w:id="36"/>
      <w:bookmarkEnd w:id="37"/>
      <w:bookmarkEnd w:id="38"/>
      <w:bookmarkEnd w:id="39"/>
      <w:bookmarkEnd w:id="40"/>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16．投标文件的密封与标志</w:t>
      </w:r>
    </w:p>
    <w:p>
      <w:pPr>
        <w:adjustRightInd w:val="0"/>
        <w:snapToGrid w:val="0"/>
        <w:ind w:firstLine="422"/>
        <w:jc w:val="left"/>
        <w:rPr>
          <w:rFonts w:cs="宋体"/>
          <w:b/>
          <w:snapToGrid w:val="0"/>
          <w:color w:val="auto"/>
          <w:kern w:val="0"/>
          <w:szCs w:val="21"/>
          <w:highlight w:val="none"/>
        </w:rPr>
      </w:pPr>
      <w:r>
        <w:rPr>
          <w:rFonts w:hint="eastAsia" w:cs="宋体"/>
          <w:b/>
          <w:snapToGrid w:val="0"/>
          <w:color w:val="auto"/>
          <w:kern w:val="0"/>
          <w:szCs w:val="21"/>
          <w:highlight w:val="none"/>
        </w:rPr>
        <w:t>16.1 投标人须将投标文件按照资格证明文件，商务资信及技术文件，报价文件分别密封包装。其中资格证明文件正本与副本密封为一包；商务资信及技术文件正本与副本密封为一包；报价文件正本与副本及电子档密封为一包。如开、评技术标时，发生价格报价泄露的情况，由投标人自行承担相关责任。</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16.2密封处加盖投标人公章或密封章。</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密封袋均应注明：</w:t>
      </w:r>
    </w:p>
    <w:p>
      <w:pPr>
        <w:pStyle w:val="12"/>
        <w:spacing w:line="360" w:lineRule="auto"/>
        <w:ind w:left="0" w:rightChars="0" w:firstLine="420"/>
        <w:rPr>
          <w:rFonts w:hint="default" w:ascii="宋体" w:hAnsi="宋体" w:cs="宋体"/>
          <w:snapToGrid w:val="0"/>
          <w:color w:val="auto"/>
          <w:kern w:val="0"/>
          <w:highlight w:val="none"/>
        </w:rPr>
      </w:pPr>
      <w:r>
        <w:rPr>
          <w:rFonts w:ascii="宋体" w:hAnsi="宋体" w:cs="宋体"/>
          <w:snapToGrid w:val="0"/>
          <w:color w:val="auto"/>
          <w:kern w:val="0"/>
          <w:sz w:val="21"/>
          <w:szCs w:val="21"/>
          <w:highlight w:val="none"/>
        </w:rPr>
        <w:t>采购人名称、采购人地址、投标人名称、投标人地址、标项、项目名称、项目编号、于年___月___日___时___分开标，此时间以前不得开封。”</w:t>
      </w:r>
      <w:r>
        <w:rPr>
          <w:rFonts w:ascii="宋体" w:hAnsi="宋体" w:cs="宋体"/>
          <w:snapToGrid w:val="0"/>
          <w:color w:val="auto"/>
          <w:kern w:val="0"/>
          <w:sz w:val="21"/>
          <w:highlight w:val="none"/>
        </w:rPr>
        <w:t>并根据本须知前附表的规定填入开标日期和时间。在包封外层上还应写明投标人名称与地址、邮政编码。</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16.3 如果包封没有按上述规定密封并加写标志，采购人对误投或过早启封概不负责。对由此造成的提前开封的投标文件，采购人将予以拒绝，并退还给投标人。</w:t>
      </w:r>
    </w:p>
    <w:p>
      <w:pPr>
        <w:adjustRightInd w:val="0"/>
        <w:snapToGrid w:val="0"/>
        <w:ind w:firstLine="422"/>
        <w:rPr>
          <w:rFonts w:cs="宋体"/>
          <w:b/>
          <w:snapToGrid w:val="0"/>
          <w:color w:val="auto"/>
          <w:kern w:val="0"/>
          <w:szCs w:val="21"/>
          <w:highlight w:val="none"/>
        </w:rPr>
      </w:pPr>
      <w:bookmarkStart w:id="41" w:name="_Toc240450081"/>
      <w:bookmarkStart w:id="42" w:name="_Toc251566654"/>
      <w:r>
        <w:rPr>
          <w:rFonts w:hint="eastAsia" w:cs="宋体"/>
          <w:b/>
          <w:snapToGrid w:val="0"/>
          <w:color w:val="auto"/>
          <w:kern w:val="0"/>
          <w:szCs w:val="21"/>
          <w:highlight w:val="none"/>
        </w:rPr>
        <w:t>17．投标截止期</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17.1 投标人应按前附表规定的日期、时间和地点递交投标文件。</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17.2 采购人收到投标文件的时间不得迟于投标人须知前附表中规定的截止时间。</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17.3 采购人可以按本须知第7条规定，通过修改招标文件适当延长投标截止日期。在此情况下，采购人与投标人受投标截止期制约的所有权利和义务均应延长至新的截止期。</w:t>
      </w:r>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18．迟交的投标文件</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采购人将拒绝并原封退回在本须知第17条规定的截止期后收到的任何投标文件。</w:t>
      </w:r>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19．投标文件的修改与撤回</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19.1 投标人在递交投标文件后，可以在规定的投标截止时间前，以书面的形式通知采购人，修改或撤回其投标文件。</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19.2 投标人的修改或撤回通知，应按本须知第16条规定编制、密封、标志和递交（在外层包封上标明“修改”或“撤回”字样）。修改文件同样必须在投标截止时间前送达采购人。</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19.3 在投标截止期之后，投标人不得对其投标作任何修改。</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19.4 从投标截止期至投标人在投标函格式中确定的投标有效期期满这段时间内，投标人不得撤回其投标。</w:t>
      </w:r>
    </w:p>
    <w:p>
      <w:pPr>
        <w:pStyle w:val="5"/>
        <w:ind w:firstLine="482"/>
        <w:rPr>
          <w:rFonts w:ascii="宋体" w:hAnsi="宋体" w:cs="宋体"/>
          <w:color w:val="auto"/>
          <w:highlight w:val="none"/>
        </w:rPr>
      </w:pPr>
      <w:bookmarkStart w:id="43" w:name="_Toc367274981"/>
      <w:bookmarkStart w:id="44" w:name="_Toc506358598"/>
      <w:bookmarkStart w:id="45" w:name="_Toc14009"/>
      <w:bookmarkStart w:id="46" w:name="_Toc415814129"/>
      <w:r>
        <w:rPr>
          <w:rFonts w:hint="eastAsia" w:ascii="宋体" w:hAnsi="宋体" w:cs="宋体"/>
          <w:color w:val="auto"/>
          <w:highlight w:val="none"/>
        </w:rPr>
        <w:t>五、开标</w:t>
      </w:r>
      <w:bookmarkEnd w:id="41"/>
      <w:bookmarkEnd w:id="42"/>
      <w:bookmarkEnd w:id="43"/>
      <w:bookmarkEnd w:id="44"/>
      <w:bookmarkEnd w:id="45"/>
      <w:bookmarkEnd w:id="46"/>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20．开标</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20.1 采购人将于前附表规定的时间和地点公开开标。若采购人按本须知第7条规定，通过修改招标文件更改了开标时间和地点的，以后者为准。</w:t>
      </w:r>
    </w:p>
    <w:p>
      <w:pPr>
        <w:adjustRightInd w:val="0"/>
        <w:snapToGrid w:val="0"/>
        <w:ind w:firstLine="422"/>
        <w:jc w:val="left"/>
        <w:rPr>
          <w:rFonts w:cs="宋体"/>
          <w:b/>
          <w:bCs/>
          <w:snapToGrid w:val="0"/>
          <w:color w:val="auto"/>
          <w:kern w:val="0"/>
          <w:szCs w:val="21"/>
          <w:highlight w:val="none"/>
        </w:rPr>
      </w:pPr>
      <w:r>
        <w:rPr>
          <w:rFonts w:hint="eastAsia" w:cs="宋体"/>
          <w:b/>
          <w:bCs/>
          <w:snapToGrid w:val="0"/>
          <w:color w:val="auto"/>
          <w:kern w:val="0"/>
          <w:szCs w:val="21"/>
          <w:highlight w:val="none"/>
        </w:rPr>
        <w:t>20.2 开标大会邀请所有投标人代表参加。参加开标的投标人的法定代表人或其委托代理人（以下称投标人代表）必须随带本人居民身份证或公安机关出具的临时居民身份证明或港澳台胞证或护照原件和法定代表人资格证明或法定代表人委托书原件。投标人如不派代表参加开标大会的，事后不得对采购相关人员、开标过程和开标结果提出异议。</w:t>
      </w:r>
    </w:p>
    <w:p>
      <w:pPr>
        <w:adjustRightInd w:val="0"/>
        <w:snapToGrid w:val="0"/>
        <w:ind w:firstLine="420"/>
        <w:jc w:val="left"/>
        <w:rPr>
          <w:rFonts w:cs="宋体"/>
          <w:b/>
          <w:snapToGrid w:val="0"/>
          <w:color w:val="auto"/>
          <w:kern w:val="0"/>
          <w:szCs w:val="21"/>
          <w:highlight w:val="none"/>
        </w:rPr>
      </w:pPr>
      <w:r>
        <w:rPr>
          <w:rFonts w:hint="eastAsia" w:cs="宋体"/>
          <w:snapToGrid w:val="0"/>
          <w:color w:val="auto"/>
          <w:kern w:val="0"/>
          <w:szCs w:val="21"/>
          <w:highlight w:val="none"/>
        </w:rPr>
        <w:t>投标人如是法人代表的，只须按前款提供并出示相关证明、证件即可；如是法人代表授权一个以上代表参加投标的，应按实参加，并在相应文件上同时签署</w:t>
      </w:r>
      <w:r>
        <w:rPr>
          <w:rFonts w:hint="eastAsia" w:cs="宋体"/>
          <w:b/>
          <w:snapToGrid w:val="0"/>
          <w:color w:val="auto"/>
          <w:kern w:val="0"/>
          <w:szCs w:val="21"/>
          <w:highlight w:val="none"/>
        </w:rPr>
        <w:t>。</w:t>
      </w:r>
    </w:p>
    <w:p>
      <w:pPr>
        <w:adjustRightInd w:val="0"/>
        <w:snapToGrid w:val="0"/>
        <w:ind w:firstLine="422"/>
        <w:jc w:val="left"/>
        <w:rPr>
          <w:rFonts w:cs="宋体"/>
          <w:snapToGrid w:val="0"/>
          <w:color w:val="auto"/>
          <w:kern w:val="0"/>
          <w:szCs w:val="21"/>
          <w:highlight w:val="none"/>
        </w:rPr>
      </w:pPr>
      <w:r>
        <w:rPr>
          <w:rFonts w:hint="eastAsia" w:cs="宋体"/>
          <w:b/>
          <w:snapToGrid w:val="0"/>
          <w:color w:val="auto"/>
          <w:kern w:val="0"/>
          <w:szCs w:val="21"/>
          <w:highlight w:val="none"/>
        </w:rPr>
        <w:t>20.3 开标程序</w:t>
      </w:r>
      <w:r>
        <w:rPr>
          <w:rFonts w:hint="eastAsia" w:cs="宋体"/>
          <w:snapToGrid w:val="0"/>
          <w:color w:val="auto"/>
          <w:kern w:val="0"/>
          <w:szCs w:val="21"/>
          <w:highlight w:val="none"/>
        </w:rPr>
        <w:t>：</w:t>
      </w:r>
    </w:p>
    <w:p>
      <w:pPr>
        <w:adjustRightInd w:val="0"/>
        <w:snapToGrid w:val="0"/>
        <w:ind w:firstLine="422"/>
        <w:jc w:val="left"/>
        <w:rPr>
          <w:rFonts w:cs="宋体"/>
          <w:b/>
          <w:snapToGrid w:val="0"/>
          <w:color w:val="auto"/>
          <w:kern w:val="0"/>
          <w:szCs w:val="21"/>
          <w:highlight w:val="none"/>
        </w:rPr>
      </w:pPr>
      <w:r>
        <w:rPr>
          <w:rFonts w:hint="eastAsia" w:cs="宋体"/>
          <w:b/>
          <w:snapToGrid w:val="0"/>
          <w:color w:val="auto"/>
          <w:kern w:val="0"/>
          <w:szCs w:val="21"/>
          <w:highlight w:val="none"/>
        </w:rPr>
        <w:t>20.3.1本项目按照先拆封资格证明文件、商务资信及技术文件，后拆封报价文件的顺序进行。具体按以下程序进行：</w:t>
      </w:r>
    </w:p>
    <w:p>
      <w:pPr>
        <w:pStyle w:val="13"/>
        <w:snapToGrid w:val="0"/>
        <w:ind w:firstLine="359" w:firstLineChars="171"/>
        <w:rPr>
          <w:rFonts w:ascii="宋体" w:hAnsi="宋体" w:cs="宋体"/>
          <w:color w:val="auto"/>
          <w:highlight w:val="none"/>
        </w:rPr>
      </w:pPr>
      <w:r>
        <w:rPr>
          <w:rFonts w:hint="eastAsia" w:ascii="宋体" w:hAnsi="宋体" w:cs="宋体"/>
          <w:color w:val="auto"/>
          <w:highlight w:val="none"/>
        </w:rPr>
        <w:t>（1）采购代理机构开启开标场地的录音录像采集设备，并确保其正常运行。接着将核验出席开标活动现场的各投标人法定代表人或其授权代表及相关单位人员身份，并组织其分别登记、签到，无关人员不得进入现场。各投标人法定代表人或其授权代表应准时参加，携带本人身份证原件，投标文件中按要求提供法定代表人授权书。投标人如不派代表参加开标大会的，事后不得对采购相关人员、开标过程和开标结果提出异议。</w:t>
      </w:r>
    </w:p>
    <w:p>
      <w:pPr>
        <w:pStyle w:val="13"/>
        <w:snapToGrid w:val="0"/>
        <w:ind w:firstLine="359" w:firstLineChars="171"/>
        <w:rPr>
          <w:rFonts w:ascii="宋体" w:hAnsi="宋体" w:cs="宋体"/>
          <w:color w:val="auto"/>
          <w:highlight w:val="none"/>
        </w:rPr>
      </w:pPr>
      <w:r>
        <w:rPr>
          <w:rFonts w:hint="eastAsia" w:ascii="宋体" w:hAnsi="宋体" w:cs="宋体"/>
          <w:color w:val="auto"/>
          <w:highlight w:val="none"/>
        </w:rPr>
        <w:t>（2）采购代理机构接收投标文件并登记，各投标人法定代表人或其授权代表对投标文件的递交记录情况进行签字确认。没有整体密封包装的投标文件，将被当场拒绝。</w:t>
      </w:r>
    </w:p>
    <w:p>
      <w:pPr>
        <w:pStyle w:val="13"/>
        <w:snapToGrid w:val="0"/>
        <w:ind w:firstLine="359" w:firstLineChars="171"/>
        <w:rPr>
          <w:rFonts w:ascii="宋体" w:hAnsi="宋体" w:cs="宋体"/>
          <w:color w:val="auto"/>
          <w:highlight w:val="none"/>
        </w:rPr>
      </w:pPr>
      <w:r>
        <w:rPr>
          <w:rFonts w:hint="eastAsia" w:ascii="宋体" w:hAnsi="宋体" w:cs="宋体"/>
          <w:color w:val="auto"/>
          <w:highlight w:val="none"/>
        </w:rPr>
        <w:t>（3）采购代理机构宣布开标，介绍开标现场的人员情况，宣读递交投标文件的投标人名单、开标纪律、应当回避的情形等注意事项，组织各投标人法定代表人或其授权代表签署不存在影响公平竞争的《政府采购活动现场确认声明书》。</w:t>
      </w:r>
    </w:p>
    <w:p>
      <w:pPr>
        <w:pStyle w:val="13"/>
        <w:snapToGrid w:val="0"/>
        <w:ind w:firstLine="359" w:firstLineChars="171"/>
        <w:rPr>
          <w:rFonts w:ascii="宋体" w:hAnsi="宋体" w:cs="宋体"/>
          <w:color w:val="auto"/>
          <w:highlight w:val="none"/>
        </w:rPr>
      </w:pPr>
      <w:r>
        <w:rPr>
          <w:rFonts w:hint="eastAsia" w:ascii="宋体" w:hAnsi="宋体" w:cs="宋体"/>
          <w:color w:val="auto"/>
          <w:highlight w:val="none"/>
        </w:rPr>
        <w:t>（4）请投标人或者其推选的代表查验投标文件密封情况。</w:t>
      </w:r>
    </w:p>
    <w:p>
      <w:pPr>
        <w:pStyle w:val="13"/>
        <w:snapToGrid w:val="0"/>
        <w:ind w:firstLine="359" w:firstLineChars="171"/>
        <w:rPr>
          <w:rFonts w:ascii="宋体" w:hAnsi="宋体" w:cs="宋体"/>
          <w:color w:val="auto"/>
          <w:highlight w:val="none"/>
        </w:rPr>
      </w:pPr>
      <w:r>
        <w:rPr>
          <w:rFonts w:hint="eastAsia" w:ascii="宋体" w:hAnsi="宋体" w:cs="宋体"/>
          <w:color w:val="auto"/>
          <w:highlight w:val="none"/>
        </w:rPr>
        <w:t>（5）开标时，按投标人提交投标文件的登记顺序当众拆封、清点投标文件（包括正本、副本）数量，将其中密封的报价文件集中等候拆封。采购代理机构对供应商资格证明文件进行查验、核实，应当由投标人或者其推选的代表检查投标文件的密封情况。资格证明文件审查不通过的，不再进行商务文件、资信技术文件、报价文件的评审。并退还其他投标文件。</w:t>
      </w:r>
    </w:p>
    <w:p>
      <w:pPr>
        <w:pStyle w:val="13"/>
        <w:snapToGrid w:val="0"/>
        <w:ind w:firstLine="359" w:firstLineChars="171"/>
        <w:rPr>
          <w:rFonts w:ascii="宋体" w:hAnsi="宋体" w:cs="宋体"/>
          <w:color w:val="auto"/>
          <w:highlight w:val="none"/>
        </w:rPr>
      </w:pPr>
      <w:r>
        <w:rPr>
          <w:rFonts w:hint="eastAsia" w:ascii="宋体" w:hAnsi="宋体" w:cs="宋体"/>
          <w:color w:val="auto"/>
          <w:highlight w:val="none"/>
        </w:rPr>
        <w:t>（6）对资格审查通过的商务和技术文件由现场工作人员护送至指定的评审地点。对不符合装订要求的采购投标文件，由现场工作人员退还供应商代表。</w:t>
      </w:r>
    </w:p>
    <w:p>
      <w:pPr>
        <w:pStyle w:val="13"/>
        <w:snapToGrid w:val="0"/>
        <w:ind w:firstLine="359" w:firstLineChars="171"/>
        <w:rPr>
          <w:rFonts w:ascii="宋体" w:hAnsi="宋体" w:cs="宋体"/>
          <w:color w:val="auto"/>
          <w:highlight w:val="none"/>
        </w:rPr>
      </w:pPr>
      <w:r>
        <w:rPr>
          <w:rFonts w:hint="eastAsia" w:ascii="宋体" w:hAnsi="宋体" w:cs="宋体"/>
          <w:color w:val="auto"/>
          <w:highlight w:val="none"/>
        </w:rPr>
        <w:t>（7）商务和技术评审结束后，采购代理机构宣布商务和技术评审无效投标人名单及理由，无效投标人可收回未拆封的报价文件并签字确认；公布经商务和技术评审符合采购需求的投标人名单，采用</w:t>
      </w:r>
      <w:r>
        <w:rPr>
          <w:rFonts w:hint="eastAsia" w:ascii="宋体" w:hAnsi="宋体" w:cs="宋体"/>
          <w:color w:val="auto"/>
          <w:highlight w:val="none"/>
          <w:lang w:eastAsia="zh-CN"/>
        </w:rPr>
        <w:t>综合评估法</w:t>
      </w:r>
      <w:r>
        <w:rPr>
          <w:rFonts w:hint="eastAsia" w:ascii="宋体" w:hAnsi="宋体" w:cs="宋体"/>
          <w:color w:val="auto"/>
          <w:highlight w:val="none"/>
        </w:rPr>
        <w:t>的，公布其商务和技术得分之和的情况。</w:t>
      </w:r>
    </w:p>
    <w:p>
      <w:pPr>
        <w:pStyle w:val="13"/>
        <w:snapToGrid w:val="0"/>
        <w:ind w:firstLine="359" w:firstLineChars="171"/>
        <w:rPr>
          <w:rFonts w:ascii="宋体" w:hAnsi="宋体" w:cs="宋体"/>
          <w:color w:val="auto"/>
          <w:highlight w:val="none"/>
        </w:rPr>
      </w:pPr>
      <w:r>
        <w:rPr>
          <w:rFonts w:hint="eastAsia" w:ascii="宋体" w:hAnsi="宋体" w:cs="宋体"/>
          <w:color w:val="auto"/>
          <w:highlight w:val="none"/>
        </w:rPr>
        <w:t>（8）采购代理机构拆封投标人报价文件，宣读《投标（开标）一览表》有关内容，同时当场制作并打印开标记录表，由各投标人法定代表人或其授权代表在开标记录表上签字确认（不予确认的应说明理由，否则视为无异议）。唱标结束后，采购代理机构将报价文件及开标记录表送至评审地点，由评标委员会对报价的合理性、准确性、有效性等进行审查核实。</w:t>
      </w:r>
    </w:p>
    <w:p>
      <w:pPr>
        <w:pStyle w:val="13"/>
        <w:snapToGrid w:val="0"/>
        <w:ind w:firstLine="359" w:firstLineChars="171"/>
        <w:rPr>
          <w:rFonts w:ascii="宋体" w:hAnsi="宋体" w:cs="宋体"/>
          <w:color w:val="auto"/>
          <w:highlight w:val="none"/>
        </w:rPr>
      </w:pPr>
      <w:r>
        <w:rPr>
          <w:rFonts w:hint="eastAsia" w:ascii="宋体" w:hAnsi="宋体" w:cs="宋体"/>
          <w:color w:val="auto"/>
          <w:highlight w:val="none"/>
        </w:rPr>
        <w:t>（9）评审结束后，采购代理机构公布中标候选人名单，及采购人最终确定中标人名单的时间和公告方式等。</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20.3.2投标文件鉴定</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开标时，采购代理机构将对投标文件进行初步审查，检查投标书内容是否完整、编排是否有序、文件签署是否规范以及投标人资格是否符合要求等。如投标文件被确认为无效，采购代理机构将及时通知该投标人。</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（2）如果投标文件实质上不响应招标文件的要求，采购代理机构及评标委员会将予以拒绝，并且不允许通过修正或撤消不符合要求的差异或保留，使之成为具有响应性的投标。</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（3）经开标后递交至评标委员会的投标文件，仍需接受相关符合性的检查，并有可能在评标过程中被判断为无效。</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20.4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pPr>
        <w:pStyle w:val="5"/>
        <w:ind w:firstLine="482"/>
        <w:rPr>
          <w:rFonts w:ascii="宋体" w:hAnsi="宋体" w:cs="宋体"/>
          <w:color w:val="auto"/>
          <w:highlight w:val="none"/>
        </w:rPr>
      </w:pPr>
      <w:bookmarkStart w:id="47" w:name="_Toc13367"/>
      <w:bookmarkStart w:id="48" w:name="_Toc506358599"/>
      <w:r>
        <w:rPr>
          <w:rFonts w:hint="eastAsia" w:ascii="宋体" w:hAnsi="宋体" w:cs="宋体"/>
          <w:color w:val="auto"/>
          <w:highlight w:val="none"/>
        </w:rPr>
        <w:t>六、评标</w:t>
      </w:r>
      <w:bookmarkEnd w:id="47"/>
      <w:bookmarkEnd w:id="48"/>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21．评标</w:t>
      </w:r>
    </w:p>
    <w:p>
      <w:pPr>
        <w:adjustRightInd w:val="0"/>
        <w:snapToGrid w:val="0"/>
        <w:ind w:firstLine="422"/>
        <w:jc w:val="left"/>
        <w:rPr>
          <w:rFonts w:cs="宋体"/>
          <w:b/>
          <w:snapToGrid w:val="0"/>
          <w:color w:val="auto"/>
          <w:kern w:val="0"/>
          <w:szCs w:val="21"/>
          <w:highlight w:val="none"/>
        </w:rPr>
      </w:pPr>
      <w:r>
        <w:rPr>
          <w:rFonts w:hint="eastAsia" w:cs="宋体"/>
          <w:b/>
          <w:snapToGrid w:val="0"/>
          <w:color w:val="auto"/>
          <w:kern w:val="0"/>
          <w:szCs w:val="21"/>
          <w:highlight w:val="none"/>
        </w:rPr>
        <w:t>21.1 评标组织</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评标工作由招标采购单位负责组织，依法组建由5人及以上奇数的人员组成的评标委员会，负责对投标文件进行审查、质询、评审等。评标委员会由采购相关专家等组成，其中采购专家不得少于成员总数的三分之二。</w:t>
      </w:r>
    </w:p>
    <w:p>
      <w:pPr>
        <w:adjustRightInd w:val="0"/>
        <w:snapToGrid w:val="0"/>
        <w:ind w:firstLine="422"/>
        <w:jc w:val="left"/>
        <w:rPr>
          <w:rFonts w:cs="宋体"/>
          <w:b/>
          <w:snapToGrid w:val="0"/>
          <w:color w:val="auto"/>
          <w:kern w:val="0"/>
          <w:szCs w:val="21"/>
          <w:highlight w:val="none"/>
        </w:rPr>
      </w:pPr>
      <w:r>
        <w:rPr>
          <w:rFonts w:hint="eastAsia" w:cs="宋体"/>
          <w:b/>
          <w:snapToGrid w:val="0"/>
          <w:color w:val="auto"/>
          <w:kern w:val="0"/>
          <w:szCs w:val="21"/>
          <w:highlight w:val="none"/>
        </w:rPr>
        <w:t>21.2评标纪律</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本次评标工作将在严格保密的情况下进行，评标委员会成员名单在定标前将保密。</w:t>
      </w:r>
    </w:p>
    <w:p>
      <w:pPr>
        <w:adjustRightInd w:val="0"/>
        <w:snapToGrid w:val="0"/>
        <w:ind w:firstLine="422"/>
        <w:jc w:val="left"/>
        <w:rPr>
          <w:rFonts w:cs="宋体"/>
          <w:b/>
          <w:snapToGrid w:val="0"/>
          <w:color w:val="auto"/>
          <w:kern w:val="0"/>
          <w:szCs w:val="21"/>
          <w:highlight w:val="none"/>
        </w:rPr>
      </w:pPr>
      <w:r>
        <w:rPr>
          <w:rFonts w:hint="eastAsia" w:cs="宋体"/>
          <w:b/>
          <w:snapToGrid w:val="0"/>
          <w:color w:val="auto"/>
          <w:kern w:val="0"/>
          <w:szCs w:val="21"/>
          <w:highlight w:val="none"/>
        </w:rPr>
        <w:t>21.3评标办法</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采用</w:t>
      </w:r>
      <w:r>
        <w:rPr>
          <w:rFonts w:hint="eastAsia" w:cs="宋体"/>
          <w:bCs/>
          <w:color w:val="auto"/>
          <w:spacing w:val="-6"/>
          <w:highlight w:val="none"/>
        </w:rPr>
        <w:t>综合</w:t>
      </w:r>
      <w:r>
        <w:rPr>
          <w:rFonts w:hint="eastAsia" w:cs="宋体"/>
          <w:bCs/>
          <w:color w:val="auto"/>
          <w:spacing w:val="-6"/>
          <w:highlight w:val="none"/>
          <w:lang w:eastAsia="zh-CN"/>
        </w:rPr>
        <w:t>评估</w:t>
      </w:r>
      <w:r>
        <w:rPr>
          <w:rFonts w:hint="eastAsia" w:cs="宋体"/>
          <w:bCs/>
          <w:color w:val="auto"/>
          <w:spacing w:val="-6"/>
          <w:highlight w:val="none"/>
        </w:rPr>
        <w:t>法</w:t>
      </w:r>
      <w:r>
        <w:rPr>
          <w:rFonts w:hint="eastAsia" w:cs="宋体"/>
          <w:snapToGrid w:val="0"/>
          <w:color w:val="auto"/>
          <w:kern w:val="0"/>
          <w:szCs w:val="21"/>
          <w:highlight w:val="none"/>
        </w:rPr>
        <w:t>，详见招标文件第五部分“评标办法”。</w:t>
      </w:r>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22．废标</w:t>
      </w:r>
    </w:p>
    <w:p>
      <w:pPr>
        <w:adjustRightInd w:val="0"/>
        <w:snapToGrid w:val="0"/>
        <w:ind w:firstLine="420"/>
        <w:jc w:val="left"/>
        <w:rPr>
          <w:rFonts w:cs="宋体"/>
          <w:snapToGrid w:val="0"/>
          <w:color w:val="auto"/>
          <w:kern w:val="0"/>
          <w:szCs w:val="21"/>
          <w:highlight w:val="none"/>
        </w:rPr>
      </w:pPr>
      <w:bookmarkStart w:id="49" w:name="_Toc251566655"/>
      <w:bookmarkStart w:id="50" w:name="_Toc240450082"/>
      <w:r>
        <w:rPr>
          <w:rFonts w:hint="eastAsia" w:cs="宋体"/>
          <w:snapToGrid w:val="0"/>
          <w:color w:val="auto"/>
          <w:kern w:val="0"/>
          <w:szCs w:val="21"/>
          <w:highlight w:val="none"/>
        </w:rPr>
        <w:t>22.1根据《中华人民共和国政府采购法》第三十六条，出现下列情形之一的，应予以废标：</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 xml:space="preserve">（1）符合专业条件的供应商或者对招标文件作实质响应的供应商不足三家的； </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 xml:space="preserve">（2）出现影响采购公正的违法、违规行为的； </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 xml:space="preserve">（3）投标人的报价均超过了采购预算，采购人不能支付的； </w:t>
      </w:r>
    </w:p>
    <w:p>
      <w:pPr>
        <w:adjustRightInd w:val="0"/>
        <w:snapToGrid w:val="0"/>
        <w:ind w:firstLine="420"/>
        <w:jc w:val="left"/>
        <w:rPr>
          <w:rFonts w:cs="宋体"/>
          <w:color w:val="auto"/>
          <w:highlight w:val="none"/>
        </w:rPr>
      </w:pPr>
      <w:r>
        <w:rPr>
          <w:rFonts w:hint="eastAsia" w:cs="宋体"/>
          <w:snapToGrid w:val="0"/>
          <w:color w:val="auto"/>
          <w:kern w:val="0"/>
          <w:szCs w:val="21"/>
          <w:highlight w:val="none"/>
        </w:rPr>
        <w:t>（4）因重大变故，采购任务取消的。</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22.2 废标后，采购人应当将废标理由通知所有投标人并重新组织招标；或者经主管部门批准，采取其他方式组织采购。</w:t>
      </w:r>
    </w:p>
    <w:p>
      <w:pPr>
        <w:pStyle w:val="5"/>
        <w:ind w:firstLine="482"/>
        <w:rPr>
          <w:rFonts w:ascii="宋体" w:hAnsi="宋体" w:cs="宋体"/>
          <w:color w:val="auto"/>
          <w:highlight w:val="none"/>
        </w:rPr>
      </w:pPr>
      <w:bookmarkStart w:id="51" w:name="_Toc294777236"/>
      <w:bookmarkStart w:id="52" w:name="_Toc415814130"/>
      <w:bookmarkStart w:id="53" w:name="_Toc506358600"/>
      <w:bookmarkStart w:id="54" w:name="_Toc367274982"/>
      <w:bookmarkStart w:id="55" w:name="_Toc28314"/>
      <w:r>
        <w:rPr>
          <w:rFonts w:hint="eastAsia" w:ascii="宋体" w:hAnsi="宋体" w:cs="宋体"/>
          <w:color w:val="auto"/>
          <w:highlight w:val="none"/>
        </w:rPr>
        <w:t>七、确定中标人及授予合同</w:t>
      </w:r>
      <w:bookmarkEnd w:id="49"/>
      <w:bookmarkEnd w:id="50"/>
      <w:bookmarkEnd w:id="51"/>
      <w:bookmarkEnd w:id="52"/>
      <w:bookmarkEnd w:id="53"/>
      <w:bookmarkEnd w:id="54"/>
      <w:bookmarkEnd w:id="55"/>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23．中标人的确定</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23.1采购代理机构自评审结束之日起2个工作日内将评审报告送交采购人。采购人自收到评审报告之日起5个工作日内在评审报告推荐的中标候选人中按顺序确定中标人。</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23.2采购代理机构自中标人确定之日起2个工作日内，发出中标通知书，并将在发布招标公告的同一网站公告中标结果。</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23.3在采购机构发出中标通知书前，预中标人有违反有关法律法规和本用户需求行为的，则取消其预中标资格。</w:t>
      </w:r>
    </w:p>
    <w:p>
      <w:pPr>
        <w:adjustRightInd w:val="0"/>
        <w:snapToGrid w:val="0"/>
        <w:ind w:firstLine="420"/>
        <w:rPr>
          <w:rFonts w:cs="宋体"/>
          <w:snapToGrid w:val="0"/>
          <w:color w:val="auto"/>
          <w:kern w:val="0"/>
          <w:szCs w:val="21"/>
          <w:highlight w:val="none"/>
        </w:rPr>
      </w:pPr>
      <w:r>
        <w:rPr>
          <w:rFonts w:hint="eastAsia" w:cs="宋体"/>
          <w:color w:val="auto"/>
          <w:szCs w:val="21"/>
          <w:highlight w:val="none"/>
        </w:rPr>
        <w:t>如果中标候选人放弃中标资格的，则招标人重新组织采购</w:t>
      </w:r>
      <w:r>
        <w:rPr>
          <w:rFonts w:hint="eastAsia" w:cs="宋体"/>
          <w:snapToGrid w:val="0"/>
          <w:color w:val="auto"/>
          <w:kern w:val="0"/>
          <w:szCs w:val="21"/>
          <w:highlight w:val="none"/>
        </w:rPr>
        <w:t>。</w:t>
      </w:r>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24．合同授予</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24.1 本项目的合同将授予按本须知第23.1款所确定的中标人。</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24.2 中标人因不可抗力或者自身原因不能履行合同的，</w:t>
      </w:r>
      <w:r>
        <w:rPr>
          <w:rFonts w:hint="eastAsia" w:cs="宋体"/>
          <w:color w:val="auto"/>
          <w:szCs w:val="21"/>
          <w:highlight w:val="none"/>
        </w:rPr>
        <w:t>则招标人重新组织采购。</w:t>
      </w:r>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25．签订合同</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25.1 中标人应按中标通知书规定的时间与招标人签订合同。中标人在领取中标通知书时须向招标人提供一份关于本项目在实施过程中的相关人员的通讯录作为合同附件。</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25.2 中标人如不遵守招标文件或投标文件各项条款的邀约与要约，或在接到中标通知书后借故拖延，或提出采购机构不能接受的条件，致使合同无法签订，或</w:t>
      </w:r>
      <w:r>
        <w:rPr>
          <w:rFonts w:hint="eastAsia" w:cs="宋体"/>
          <w:color w:val="auto"/>
          <w:szCs w:val="21"/>
          <w:highlight w:val="none"/>
        </w:rPr>
        <w:t>中标人无正当理由拒签合同的现象，</w:t>
      </w:r>
      <w:r>
        <w:rPr>
          <w:rFonts w:hint="eastAsia" w:cs="宋体"/>
          <w:snapToGrid w:val="0"/>
          <w:color w:val="auto"/>
          <w:kern w:val="0"/>
          <w:szCs w:val="21"/>
          <w:highlight w:val="none"/>
        </w:rPr>
        <w:t>招标人将取消其中标资格，</w:t>
      </w:r>
      <w:r>
        <w:rPr>
          <w:rFonts w:hint="eastAsia" w:cs="宋体"/>
          <w:color w:val="auto"/>
          <w:szCs w:val="21"/>
          <w:highlight w:val="none"/>
        </w:rPr>
        <w:t>其投标保证金不予退还；给招标人造成的损失超过投标保证金数额的，中标人还应当对超过部分予以赔偿。</w:t>
      </w:r>
      <w:r>
        <w:rPr>
          <w:rFonts w:hint="eastAsia" w:cs="宋体"/>
          <w:snapToGrid w:val="0"/>
          <w:color w:val="auto"/>
          <w:kern w:val="0"/>
          <w:szCs w:val="21"/>
          <w:highlight w:val="none"/>
        </w:rPr>
        <w:t>但执行国家政策或不可抗力原因不在此列。</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25.3 招标文件、中标人的投标文件及投标修改文件、评标过程中有关澄清文件及经投标人法定代表人或授权代表签字确认的询标回复和承诺及中标通知书均作为合同组成部分。</w:t>
      </w:r>
    </w:p>
    <w:p>
      <w:pPr>
        <w:adjustRightInd w:val="0"/>
        <w:snapToGrid w:val="0"/>
        <w:ind w:firstLine="420"/>
        <w:jc w:val="left"/>
        <w:rPr>
          <w:rFonts w:cs="宋体"/>
          <w:color w:val="auto"/>
          <w:szCs w:val="21"/>
          <w:highlight w:val="none"/>
        </w:rPr>
      </w:pPr>
      <w:r>
        <w:rPr>
          <w:rFonts w:hint="eastAsia" w:cs="宋体"/>
          <w:snapToGrid w:val="0"/>
          <w:color w:val="auto"/>
          <w:kern w:val="0"/>
          <w:szCs w:val="21"/>
          <w:highlight w:val="none"/>
        </w:rPr>
        <w:t>25.4在中标人签订合同并生效后，采购机构及时将未中标的结果通知其他投标人</w:t>
      </w:r>
      <w:r>
        <w:rPr>
          <w:rFonts w:hint="eastAsia" w:cs="宋体"/>
          <w:color w:val="auto"/>
          <w:szCs w:val="21"/>
          <w:highlight w:val="none"/>
        </w:rPr>
        <w:t>。</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25.5 在采购代理机构发出中标通知书前，预中标供应商有违反有关法律法规和本项目要求行为的，则取消该投标人的预中标资格，并根据评标委员会推荐的中标候选人先后顺序，将下一顺序单位作为预中标公示单位，或由评标委员会提出重新组织采购等建议。</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25.6 如中标人拒绝承担中标的项目，致使合同无法签订，采购人将取消其中标资格，并根据评标委员会推荐的中标候选人先后顺序，将下一顺序单位作为预中标公示单位，或由评标委员会提出重新组织采购等建议。</w:t>
      </w:r>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26．履约保证金</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26.1 中标人须向招标人提交履约保证金。履约保证金金额及标准见投标须知前附表。</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26.2 如果中标人没有按照上述第25或26.1条相关规定执行，招标人将有充分理由取消该中标决定。</w:t>
      </w:r>
    </w:p>
    <w:p>
      <w:pPr>
        <w:pStyle w:val="2"/>
        <w:spacing w:line="360" w:lineRule="auto"/>
        <w:ind w:firstLine="420" w:firstLineChars="200"/>
        <w:rPr>
          <w:rFonts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26.3 中标人不能按本章投标人须知前附表要求提交履约保证金的，视为放弃中标，其投标保证金不予退还，给招标人造成的损失超过投标保证金数额的，中标人还应当对超过部分予以赔偿。</w:t>
      </w:r>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27.采购代理服务费</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投标人须按“投标人须知前附表”的规定缴纳代理服务费</w:t>
      </w:r>
    </w:p>
    <w:bookmarkEnd w:id="12"/>
    <w:bookmarkEnd w:id="13"/>
    <w:bookmarkEnd w:id="14"/>
    <w:bookmarkEnd w:id="15"/>
    <w:p>
      <w:pPr>
        <w:pStyle w:val="5"/>
        <w:ind w:firstLine="482"/>
        <w:rPr>
          <w:rFonts w:ascii="宋体" w:hAnsi="宋体" w:cs="宋体"/>
          <w:color w:val="auto"/>
          <w:highlight w:val="none"/>
        </w:rPr>
      </w:pPr>
      <w:bookmarkStart w:id="56" w:name="_Toc15243"/>
      <w:bookmarkStart w:id="57" w:name="_Toc506358601"/>
      <w:bookmarkStart w:id="58" w:name="_Toc415814131"/>
      <w:bookmarkStart w:id="59" w:name="_Toc415578066"/>
      <w:r>
        <w:rPr>
          <w:rFonts w:hint="eastAsia" w:ascii="宋体" w:hAnsi="宋体" w:cs="宋体"/>
          <w:color w:val="auto"/>
          <w:highlight w:val="none"/>
        </w:rPr>
        <w:t>八、质疑</w:t>
      </w:r>
      <w:bookmarkEnd w:id="56"/>
      <w:bookmarkEnd w:id="57"/>
      <w:bookmarkEnd w:id="58"/>
      <w:bookmarkEnd w:id="59"/>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根据采购相关法律法规的规定，采购供应商（投标人，下同）可以依法提起质疑。</w:t>
      </w:r>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28.1供应商询问</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供应商对政府采购活动事项有疑问的，可以向采购机构提出询问，招标人或者招标代理机构应当在3个工作日内对供应商依法提出的询问作出答复，但答复的内容不得涉及商业秘密。</w:t>
      </w:r>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28.2供应商质疑</w:t>
      </w:r>
    </w:p>
    <w:p>
      <w:pPr>
        <w:adjustRightInd w:val="0"/>
        <w:snapToGrid w:val="0"/>
        <w:ind w:firstLine="420"/>
        <w:jc w:val="left"/>
        <w:rPr>
          <w:rFonts w:cs="宋体"/>
          <w:snapToGrid w:val="0"/>
          <w:color w:val="auto"/>
          <w:kern w:val="0"/>
          <w:szCs w:val="21"/>
          <w:highlight w:val="none"/>
        </w:rPr>
      </w:pPr>
      <w:bookmarkStart w:id="60" w:name="_Toc415578067"/>
      <w:bookmarkStart w:id="61" w:name="_Toc415814132"/>
      <w:bookmarkStart w:id="62" w:name="_Toc506358602"/>
      <w:bookmarkStart w:id="63" w:name="_Toc504215346"/>
      <w:r>
        <w:rPr>
          <w:rFonts w:hint="eastAsia" w:cs="宋体"/>
          <w:snapToGrid w:val="0"/>
          <w:color w:val="auto"/>
          <w:kern w:val="0"/>
          <w:szCs w:val="21"/>
          <w:highlight w:val="none"/>
        </w:rPr>
        <w:t>28.2.1供应商认为采购文件、采购过程、中标或者成交结果使自己的权益受到损害的，可以在知道或者应知其权益受到损害之日起7个工作日内，以书面形式向采购人、采购代理机构提出质疑。</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本项目要求供应商在法定质疑期内一次性提出针对同一采购程序环节的质疑。</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28.2.2提出质疑的供应商（以下简称质疑供应商）应当是参与所质疑项目采购活动的供应商。</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潜在供应商已依法获取其可质疑的采购文件的，可以对该文件提出质疑。对采购文件提出质疑的，应当在获取采购文件或者采购文件公告期限届满之日起7个工作日内提出。</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28.2.3供应商提出质疑应当提交质疑函和必要的证明材料。质疑函应当包括下列内容：</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（一）供应商的姓名或者名称、地址、邮编、联系人及联系电话；</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（二）质疑项目的名称、编号；</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（三）具体、明确的质疑事项和与质疑事项相关的请求；</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（四）事实依据；</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（五）必要的法律依据；</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（六）提出质疑的日期。</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供应商为自然人的，应当由本人签字；供应商为法人或者其他组织的，应当由法定代表人、主要负责人，或者其授权代表签字或者盖章，并加盖公章。</w:t>
      </w:r>
    </w:p>
    <w:p>
      <w:pPr>
        <w:adjustRightInd w:val="0"/>
        <w:snapToGrid w:val="0"/>
        <w:ind w:firstLine="420"/>
        <w:jc w:val="left"/>
        <w:rPr>
          <w:rFonts w:cs="宋体"/>
          <w:snapToGrid w:val="0"/>
          <w:color w:val="auto"/>
          <w:kern w:val="0"/>
          <w:highlight w:val="none"/>
        </w:rPr>
      </w:pPr>
      <w:r>
        <w:rPr>
          <w:rFonts w:hint="eastAsia" w:cs="宋体"/>
          <w:snapToGrid w:val="0"/>
          <w:color w:val="auto"/>
          <w:kern w:val="0"/>
          <w:szCs w:val="21"/>
          <w:highlight w:val="none"/>
        </w:rPr>
        <w:t>28.2.4采购人、采购代理机构在收到法定质疑期内发出的质疑函后7个工作日内作出答复，并以书面形式通知质疑供应商和其他有关供应商。质疑答复的内容不得涉及商业秘密。</w:t>
      </w:r>
    </w:p>
    <w:p>
      <w:pPr>
        <w:adjustRightInd w:val="0"/>
        <w:snapToGrid w:val="0"/>
        <w:ind w:firstLine="422"/>
        <w:jc w:val="left"/>
        <w:outlineLvl w:val="1"/>
        <w:rPr>
          <w:rFonts w:cs="宋体"/>
          <w:b/>
          <w:color w:val="auto"/>
          <w:highlight w:val="none"/>
        </w:rPr>
      </w:pPr>
      <w:bookmarkStart w:id="64" w:name="_Toc25185"/>
      <w:r>
        <w:rPr>
          <w:rFonts w:hint="eastAsia" w:cs="宋体"/>
          <w:b/>
          <w:color w:val="auto"/>
          <w:highlight w:val="none"/>
        </w:rPr>
        <w:t>九、</w:t>
      </w:r>
      <w:bookmarkEnd w:id="60"/>
      <w:bookmarkEnd w:id="61"/>
      <w:r>
        <w:rPr>
          <w:rFonts w:hint="eastAsia" w:cs="宋体"/>
          <w:b/>
          <w:color w:val="auto"/>
          <w:highlight w:val="none"/>
        </w:rPr>
        <w:t>其他</w:t>
      </w:r>
      <w:bookmarkEnd w:id="62"/>
      <w:bookmarkEnd w:id="63"/>
      <w:bookmarkEnd w:id="64"/>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29．采购结束</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29.1中标人与招标人签订合同生效后即为采购结束。</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29.2本项目的投标文件不予退回。</w:t>
      </w:r>
    </w:p>
    <w:p>
      <w:pPr>
        <w:adjustRightInd w:val="0"/>
        <w:snapToGrid w:val="0"/>
        <w:ind w:firstLine="422"/>
        <w:rPr>
          <w:rFonts w:cs="宋体"/>
          <w:b/>
          <w:color w:val="auto"/>
          <w:szCs w:val="21"/>
          <w:highlight w:val="none"/>
        </w:rPr>
      </w:pPr>
      <w:r>
        <w:rPr>
          <w:rFonts w:hint="eastAsia" w:cs="宋体"/>
          <w:b/>
          <w:color w:val="auto"/>
          <w:szCs w:val="21"/>
          <w:highlight w:val="none"/>
        </w:rPr>
        <w:t>30. 售后服务考核</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招标代理机构和招标人将按照采购相关法律法规，对供应商进行考核，招标代理机构和招标人不定期对合同的履约情况进行检查，发现弄虚作假，偷工减料，以次充好，达不到国家、行业有关标准和技术文件规定的，一经查实，招标代理机构和招标人将视情况提请罚没履约保证金，终止合同，并给予网上通报，禁止其在一至三年内参与市本级政府采购活动，给招标人造成损失的，供应商须承担赔偿责任。</w:t>
      </w:r>
    </w:p>
    <w:p>
      <w:pPr>
        <w:adjustRightInd w:val="0"/>
        <w:snapToGrid w:val="0"/>
        <w:ind w:firstLine="422"/>
        <w:rPr>
          <w:rFonts w:cs="宋体"/>
          <w:b/>
          <w:snapToGrid w:val="0"/>
          <w:color w:val="auto"/>
          <w:kern w:val="0"/>
          <w:szCs w:val="21"/>
          <w:highlight w:val="none"/>
        </w:rPr>
      </w:pPr>
      <w:r>
        <w:rPr>
          <w:rFonts w:hint="eastAsia" w:cs="宋体"/>
          <w:b/>
          <w:snapToGrid w:val="0"/>
          <w:color w:val="auto"/>
          <w:kern w:val="0"/>
          <w:szCs w:val="21"/>
          <w:highlight w:val="none"/>
        </w:rPr>
        <w:t>31.解释权</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凡涉及本次招标文件的解释权均属于浙江出入境边防检查总站。</w:t>
      </w:r>
    </w:p>
    <w:p>
      <w:pPr>
        <w:pStyle w:val="4"/>
        <w:ind w:firstLine="643"/>
        <w:rPr>
          <w:rFonts w:cs="宋体"/>
          <w:color w:val="auto"/>
          <w:sz w:val="32"/>
          <w:szCs w:val="32"/>
          <w:highlight w:val="none"/>
        </w:rPr>
        <w:sectPr>
          <w:pgSz w:w="11906" w:h="16838"/>
          <w:pgMar w:top="1418" w:right="1588" w:bottom="1418" w:left="1588" w:header="567" w:footer="567" w:gutter="0"/>
          <w:cols w:space="720" w:num="1"/>
          <w:docGrid w:linePitch="312" w:charSpace="0"/>
        </w:sectPr>
      </w:pPr>
      <w:bookmarkStart w:id="65" w:name="_Toc227057959"/>
      <w:bookmarkStart w:id="66" w:name="_Toc226969353"/>
      <w:bookmarkStart w:id="67" w:name="_Toc107822570"/>
      <w:bookmarkStart w:id="68" w:name="_Toc506358603"/>
      <w:bookmarkStart w:id="69" w:name="_Toc32532"/>
      <w:bookmarkStart w:id="70" w:name="_Toc415814133"/>
      <w:bookmarkStart w:id="71" w:name="_Toc107822520"/>
      <w:bookmarkStart w:id="72" w:name="_Toc226969316"/>
      <w:bookmarkStart w:id="73" w:name="_Toc227057922"/>
    </w:p>
    <w:p>
      <w:pPr>
        <w:pStyle w:val="4"/>
        <w:ind w:firstLine="643"/>
        <w:rPr>
          <w:rFonts w:cs="宋体"/>
          <w:color w:val="auto"/>
          <w:sz w:val="32"/>
          <w:szCs w:val="32"/>
          <w:highlight w:val="none"/>
        </w:rPr>
      </w:pPr>
      <w:r>
        <w:rPr>
          <w:rFonts w:hint="eastAsia" w:cs="宋体"/>
          <w:color w:val="auto"/>
          <w:sz w:val="32"/>
          <w:szCs w:val="32"/>
          <w:highlight w:val="none"/>
        </w:rPr>
        <w:t xml:space="preserve">第三章  </w:t>
      </w:r>
      <w:bookmarkEnd w:id="65"/>
      <w:bookmarkEnd w:id="66"/>
      <w:bookmarkEnd w:id="67"/>
      <w:r>
        <w:rPr>
          <w:rFonts w:hint="eastAsia" w:cs="宋体"/>
          <w:color w:val="auto"/>
          <w:sz w:val="32"/>
          <w:szCs w:val="32"/>
          <w:highlight w:val="none"/>
        </w:rPr>
        <w:t>采购需求</w:t>
      </w:r>
      <w:bookmarkEnd w:id="68"/>
      <w:bookmarkEnd w:id="69"/>
      <w:bookmarkEnd w:id="70"/>
      <w:bookmarkStart w:id="74" w:name="_Toc515222961"/>
    </w:p>
    <w:bookmarkEnd w:id="74"/>
    <w:p>
      <w:pPr>
        <w:pStyle w:val="5"/>
        <w:ind w:firstLine="482"/>
        <w:rPr>
          <w:rFonts w:ascii="宋体" w:hAnsi="宋体" w:cs="宋体"/>
          <w:color w:val="auto"/>
          <w:highlight w:val="none"/>
        </w:rPr>
      </w:pPr>
      <w:bookmarkStart w:id="75" w:name="_Toc1738"/>
      <w:bookmarkStart w:id="76" w:name="_Toc426996356"/>
      <w:bookmarkStart w:id="77" w:name="_Toc415814137"/>
      <w:bookmarkStart w:id="78" w:name="_Toc506358623"/>
      <w:r>
        <w:rPr>
          <w:rFonts w:hint="eastAsia" w:ascii="宋体" w:hAnsi="宋体" w:cs="宋体"/>
          <w:color w:val="auto"/>
          <w:highlight w:val="none"/>
        </w:rPr>
        <w:t>一、项目概述</w:t>
      </w:r>
      <w:bookmarkEnd w:id="75"/>
    </w:p>
    <w:p>
      <w:pPr>
        <w:ind w:firstLine="422"/>
        <w:rPr>
          <w:rFonts w:cs="宋体"/>
          <w:b/>
          <w:bCs/>
          <w:color w:val="auto"/>
          <w:szCs w:val="21"/>
          <w:highlight w:val="none"/>
        </w:rPr>
      </w:pPr>
      <w:r>
        <w:rPr>
          <w:rFonts w:hint="eastAsia" w:cs="宋体"/>
          <w:b/>
          <w:bCs/>
          <w:color w:val="auto"/>
          <w:szCs w:val="21"/>
          <w:highlight w:val="none"/>
        </w:rPr>
        <w:t>1、项目简介</w:t>
      </w:r>
    </w:p>
    <w:p>
      <w:pPr>
        <w:ind w:firstLine="420"/>
        <w:rPr>
          <w:rFonts w:cs="宋体"/>
          <w:color w:val="auto"/>
          <w:szCs w:val="21"/>
          <w:highlight w:val="none"/>
        </w:rPr>
      </w:pPr>
      <w:r>
        <w:rPr>
          <w:rFonts w:hint="eastAsia" w:cs="宋体"/>
          <w:color w:val="auto"/>
          <w:szCs w:val="21"/>
          <w:highlight w:val="none"/>
        </w:rPr>
        <w:t>本工程为</w:t>
      </w:r>
      <w:r>
        <w:rPr>
          <w:rFonts w:hint="eastAsia" w:cs="宋体"/>
          <w:color w:val="auto"/>
          <w:kern w:val="0"/>
          <w:szCs w:val="21"/>
          <w:highlight w:val="none"/>
          <w:shd w:val="clear" w:color="auto" w:fill="FFFFFF"/>
          <w:lang w:bidi="ar"/>
        </w:rPr>
        <w:t>浙江出入境边防检查总站储备地块围墙改建工程</w:t>
      </w:r>
      <w:r>
        <w:rPr>
          <w:rFonts w:hint="eastAsia" w:cs="宋体"/>
          <w:color w:val="auto"/>
          <w:szCs w:val="21"/>
          <w:highlight w:val="none"/>
        </w:rPr>
        <w:t>，建设地点位于浙江出入境边防检查总站营区西北侧,主要内容为浙江边防检查总站营区西侧、北侧围墙改建，沥青道路修复，围墙安防监控系统安装等。项目总预算</w:t>
      </w:r>
      <w:r>
        <w:rPr>
          <w:rFonts w:hint="eastAsia" w:cs="宋体"/>
          <w:color w:val="auto"/>
          <w:szCs w:val="21"/>
          <w:highlight w:val="none"/>
          <w:shd w:val="clear" w:color="auto" w:fill="FFFFFF"/>
        </w:rPr>
        <w:t>938942元。</w:t>
      </w:r>
    </w:p>
    <w:p>
      <w:pPr>
        <w:ind w:firstLine="422"/>
        <w:rPr>
          <w:rFonts w:cs="宋体"/>
          <w:b/>
          <w:bCs/>
          <w:color w:val="auto"/>
          <w:szCs w:val="21"/>
          <w:highlight w:val="none"/>
        </w:rPr>
      </w:pPr>
      <w:r>
        <w:rPr>
          <w:rFonts w:hint="eastAsia" w:cs="宋体"/>
          <w:b/>
          <w:bCs/>
          <w:color w:val="auto"/>
          <w:szCs w:val="21"/>
          <w:highlight w:val="none"/>
        </w:rPr>
        <w:t>2、施工工期</w:t>
      </w:r>
    </w:p>
    <w:p>
      <w:pPr>
        <w:ind w:firstLine="420"/>
        <w:rPr>
          <w:rFonts w:cs="宋体"/>
          <w:color w:val="auto"/>
          <w:szCs w:val="21"/>
          <w:highlight w:val="none"/>
        </w:rPr>
      </w:pPr>
      <w:r>
        <w:rPr>
          <w:rFonts w:hint="eastAsia" w:cs="宋体"/>
          <w:color w:val="auto"/>
          <w:szCs w:val="21"/>
          <w:highlight w:val="none"/>
        </w:rPr>
        <w:t>工期为80日历天。</w:t>
      </w:r>
    </w:p>
    <w:p>
      <w:pPr>
        <w:ind w:firstLine="422"/>
        <w:rPr>
          <w:rFonts w:cs="宋体"/>
          <w:b/>
          <w:bCs/>
          <w:color w:val="auto"/>
          <w:szCs w:val="21"/>
          <w:highlight w:val="none"/>
        </w:rPr>
      </w:pPr>
      <w:r>
        <w:rPr>
          <w:rFonts w:hint="eastAsia" w:cs="宋体"/>
          <w:b/>
          <w:bCs/>
          <w:color w:val="auto"/>
          <w:szCs w:val="21"/>
          <w:highlight w:val="none"/>
        </w:rPr>
        <w:t>3、工程内容</w:t>
      </w:r>
    </w:p>
    <w:p>
      <w:pPr>
        <w:ind w:firstLine="420"/>
        <w:rPr>
          <w:rFonts w:cs="宋体"/>
          <w:color w:val="auto"/>
          <w:szCs w:val="21"/>
          <w:highlight w:val="none"/>
        </w:rPr>
      </w:pPr>
      <w:r>
        <w:rPr>
          <w:rFonts w:hint="eastAsia" w:cs="宋体"/>
          <w:color w:val="auto"/>
          <w:szCs w:val="21"/>
          <w:highlight w:val="none"/>
        </w:rPr>
        <w:t>详见图纸及工程量清单。</w:t>
      </w:r>
    </w:p>
    <w:p>
      <w:pPr>
        <w:ind w:firstLine="422"/>
        <w:rPr>
          <w:rFonts w:cs="宋体"/>
          <w:b/>
          <w:bCs/>
          <w:color w:val="auto"/>
          <w:szCs w:val="21"/>
          <w:highlight w:val="none"/>
        </w:rPr>
      </w:pPr>
      <w:r>
        <w:rPr>
          <w:rFonts w:hint="eastAsia" w:cs="宋体"/>
          <w:b/>
          <w:bCs/>
          <w:color w:val="auto"/>
          <w:szCs w:val="21"/>
          <w:highlight w:val="none"/>
        </w:rPr>
        <w:t>4、质保期</w:t>
      </w:r>
    </w:p>
    <w:p>
      <w:pPr>
        <w:ind w:firstLine="420"/>
        <w:rPr>
          <w:rFonts w:cs="宋体"/>
          <w:color w:val="auto"/>
          <w:szCs w:val="21"/>
          <w:highlight w:val="none"/>
        </w:rPr>
      </w:pPr>
      <w:r>
        <w:rPr>
          <w:rFonts w:hint="eastAsia" w:cs="宋体"/>
          <w:color w:val="auto"/>
          <w:szCs w:val="21"/>
          <w:highlight w:val="none"/>
        </w:rPr>
        <w:t>（1）工程质保期：2年（技术要求里另有注明的以技术要求为准）</w:t>
      </w:r>
    </w:p>
    <w:p>
      <w:pPr>
        <w:ind w:firstLine="420"/>
        <w:rPr>
          <w:rFonts w:cs="宋体"/>
          <w:color w:val="auto"/>
          <w:highlight w:val="none"/>
        </w:rPr>
      </w:pPr>
      <w:r>
        <w:rPr>
          <w:rFonts w:hint="eastAsia" w:cs="宋体"/>
          <w:color w:val="auto"/>
          <w:szCs w:val="21"/>
          <w:highlight w:val="none"/>
        </w:rPr>
        <w:t>（2）设备质保期：本项目所需要安装的各项设备质保期应不少于3年。</w:t>
      </w:r>
    </w:p>
    <w:p>
      <w:pPr>
        <w:ind w:firstLine="422"/>
        <w:rPr>
          <w:rFonts w:cs="宋体"/>
          <w:b/>
          <w:bCs/>
          <w:color w:val="auto"/>
          <w:szCs w:val="21"/>
          <w:highlight w:val="none"/>
        </w:rPr>
      </w:pPr>
      <w:r>
        <w:rPr>
          <w:rFonts w:hint="eastAsia" w:cs="宋体"/>
          <w:b/>
          <w:bCs/>
          <w:color w:val="auto"/>
          <w:szCs w:val="21"/>
          <w:highlight w:val="none"/>
        </w:rPr>
        <w:t>5、履约保证金</w:t>
      </w:r>
    </w:p>
    <w:p>
      <w:pPr>
        <w:ind w:firstLine="420"/>
        <w:rPr>
          <w:rFonts w:cs="宋体"/>
          <w:color w:val="auto"/>
          <w:szCs w:val="21"/>
          <w:highlight w:val="none"/>
        </w:rPr>
      </w:pPr>
      <w:r>
        <w:rPr>
          <w:rFonts w:hint="eastAsia" w:cs="宋体"/>
          <w:color w:val="auto"/>
          <w:szCs w:val="21"/>
          <w:highlight w:val="none"/>
        </w:rPr>
        <w:t>履约保证金：中标人提供金额为合同总价的5%；</w:t>
      </w:r>
    </w:p>
    <w:p>
      <w:pPr>
        <w:ind w:firstLine="420"/>
        <w:rPr>
          <w:rFonts w:hint="eastAsia" w:eastAsia="宋体" w:cs="宋体"/>
          <w:color w:val="auto"/>
          <w:szCs w:val="21"/>
          <w:highlight w:val="none"/>
          <w:lang w:val="en-US" w:eastAsia="zh-CN"/>
        </w:rPr>
      </w:pPr>
      <w:r>
        <w:rPr>
          <w:rFonts w:hint="eastAsia" w:cs="宋体"/>
          <w:color w:val="auto"/>
          <w:szCs w:val="21"/>
          <w:highlight w:val="none"/>
        </w:rPr>
        <w:t>形式：银行转帐</w:t>
      </w:r>
      <w:r>
        <w:rPr>
          <w:rFonts w:hint="eastAsia"/>
          <w:color w:val="auto"/>
          <w:highlight w:val="none"/>
          <w:lang w:eastAsia="zh-CN"/>
        </w:rPr>
        <w:t>或银行保函</w:t>
      </w:r>
    </w:p>
    <w:p>
      <w:pPr>
        <w:ind w:firstLine="420"/>
        <w:rPr>
          <w:rFonts w:cs="宋体"/>
          <w:color w:val="auto"/>
          <w:szCs w:val="21"/>
          <w:highlight w:val="none"/>
        </w:rPr>
      </w:pPr>
      <w:r>
        <w:rPr>
          <w:rFonts w:hint="eastAsia" w:cs="宋体"/>
          <w:color w:val="auto"/>
          <w:szCs w:val="21"/>
          <w:highlight w:val="none"/>
        </w:rPr>
        <w:t>（1）中标方在收到</w:t>
      </w:r>
      <w:r>
        <w:rPr>
          <w:rFonts w:hint="eastAsia" w:cs="宋体"/>
          <w:b/>
          <w:color w:val="auto"/>
          <w:highlight w:val="none"/>
          <w:u w:val="single"/>
        </w:rPr>
        <w:t>合同签订后7日内</w:t>
      </w:r>
      <w:r>
        <w:rPr>
          <w:rFonts w:hint="eastAsia" w:cs="宋体"/>
          <w:color w:val="auto"/>
          <w:szCs w:val="21"/>
          <w:highlight w:val="none"/>
        </w:rPr>
        <w:t>，应按合同规定向招标方提交履约保证金。</w:t>
      </w:r>
    </w:p>
    <w:p>
      <w:pPr>
        <w:ind w:firstLine="420"/>
        <w:rPr>
          <w:rFonts w:cs="宋体"/>
          <w:color w:val="auto"/>
          <w:szCs w:val="21"/>
          <w:highlight w:val="none"/>
        </w:rPr>
      </w:pPr>
      <w:r>
        <w:rPr>
          <w:rFonts w:hint="eastAsia" w:cs="宋体"/>
          <w:color w:val="auto"/>
          <w:szCs w:val="21"/>
          <w:highlight w:val="none"/>
        </w:rPr>
        <w:t>（2）双方约定的其他担保事项：无</w:t>
      </w:r>
    </w:p>
    <w:p>
      <w:pPr>
        <w:ind w:firstLine="420"/>
        <w:rPr>
          <w:rFonts w:cs="宋体"/>
          <w:color w:val="auto"/>
          <w:szCs w:val="21"/>
          <w:highlight w:val="none"/>
        </w:rPr>
      </w:pPr>
      <w:r>
        <w:rPr>
          <w:rFonts w:hint="eastAsia" w:cs="宋体"/>
          <w:color w:val="auto"/>
          <w:szCs w:val="21"/>
          <w:highlight w:val="none"/>
        </w:rPr>
        <w:t>（3）如中标方原因造成合同中止，履约保证金不返还。</w:t>
      </w:r>
    </w:p>
    <w:p>
      <w:pPr>
        <w:ind w:firstLine="420"/>
        <w:rPr>
          <w:rFonts w:cs="宋体"/>
          <w:color w:val="auto"/>
          <w:szCs w:val="21"/>
          <w:highlight w:val="none"/>
        </w:rPr>
      </w:pPr>
      <w:r>
        <w:rPr>
          <w:rFonts w:hint="eastAsia" w:cs="宋体"/>
          <w:color w:val="auto"/>
          <w:szCs w:val="21"/>
          <w:highlight w:val="none"/>
        </w:rPr>
        <w:t>（4）如中标方不能按投标承诺和合同要求履约，招标方将有权扣除相应甚至全部履约保证金。</w:t>
      </w:r>
    </w:p>
    <w:p>
      <w:pPr>
        <w:ind w:firstLine="420"/>
        <w:rPr>
          <w:rFonts w:cs="宋体"/>
          <w:color w:val="auto"/>
          <w:szCs w:val="21"/>
          <w:highlight w:val="none"/>
        </w:rPr>
      </w:pPr>
      <w:r>
        <w:rPr>
          <w:rFonts w:hint="eastAsia" w:cs="宋体"/>
          <w:color w:val="auto"/>
          <w:szCs w:val="21"/>
          <w:highlight w:val="none"/>
        </w:rPr>
        <w:t>（5）质量保证金将从履约保证金扣除，在2年保修期满后一次性结清（无息），剩余部分履约保证金在工程结算经审计通过后15天内退还承包人（无息）。</w:t>
      </w:r>
    </w:p>
    <w:p>
      <w:pPr>
        <w:pStyle w:val="2"/>
        <w:rPr>
          <w:rFonts w:ascii="宋体" w:hAnsi="宋体" w:eastAsia="宋体" w:cs="宋体"/>
          <w:color w:val="auto"/>
          <w:highlight w:val="none"/>
        </w:rPr>
      </w:pPr>
    </w:p>
    <w:p>
      <w:pPr>
        <w:ind w:firstLine="422"/>
        <w:rPr>
          <w:rFonts w:cs="宋体"/>
          <w:b/>
          <w:bCs/>
          <w:color w:val="auto"/>
          <w:szCs w:val="21"/>
          <w:highlight w:val="none"/>
        </w:rPr>
      </w:pPr>
      <w:r>
        <w:rPr>
          <w:rFonts w:hint="eastAsia" w:cs="宋体"/>
          <w:b/>
          <w:bCs/>
          <w:color w:val="auto"/>
          <w:szCs w:val="21"/>
          <w:highlight w:val="none"/>
        </w:rPr>
        <w:t>6、付款方式</w:t>
      </w:r>
    </w:p>
    <w:p>
      <w:pPr>
        <w:ind w:firstLine="420"/>
        <w:rPr>
          <w:rFonts w:cs="宋体"/>
          <w:color w:val="auto"/>
          <w:szCs w:val="21"/>
          <w:highlight w:val="none"/>
        </w:rPr>
      </w:pPr>
      <w:r>
        <w:rPr>
          <w:rFonts w:hint="eastAsia" w:cs="宋体"/>
          <w:color w:val="auto"/>
          <w:szCs w:val="21"/>
          <w:highlight w:val="none"/>
        </w:rPr>
        <w:t>（1）合同签订后7个工作日内,承包人支付合同总价5%的履约保证金给发包人，工程量完成额达到50%时，发包人支付合同总价的50%；</w:t>
      </w:r>
    </w:p>
    <w:p>
      <w:pPr>
        <w:ind w:firstLine="420"/>
        <w:rPr>
          <w:rFonts w:cs="宋体"/>
          <w:color w:val="auto"/>
          <w:szCs w:val="21"/>
          <w:highlight w:val="none"/>
        </w:rPr>
      </w:pPr>
      <w:r>
        <w:rPr>
          <w:rFonts w:hint="eastAsia" w:cs="宋体"/>
          <w:color w:val="auto"/>
          <w:szCs w:val="21"/>
          <w:highlight w:val="none"/>
        </w:rPr>
        <w:t>（3）工程竣工验收合格后7个工作日内，支付至合同总价的85%；</w:t>
      </w:r>
    </w:p>
    <w:p>
      <w:pPr>
        <w:ind w:firstLine="420"/>
        <w:rPr>
          <w:rFonts w:cs="宋体"/>
          <w:color w:val="auto"/>
          <w:szCs w:val="21"/>
          <w:highlight w:val="none"/>
        </w:rPr>
      </w:pPr>
      <w:r>
        <w:rPr>
          <w:rFonts w:hint="eastAsia" w:cs="宋体"/>
          <w:color w:val="auto"/>
          <w:szCs w:val="21"/>
          <w:highlight w:val="none"/>
        </w:rPr>
        <w:t>（4）工程结算经审计通过后15天内付至审定价的100%；</w:t>
      </w:r>
    </w:p>
    <w:p>
      <w:pPr>
        <w:ind w:firstLine="420"/>
        <w:rPr>
          <w:rFonts w:cs="宋体"/>
          <w:color w:val="auto"/>
          <w:szCs w:val="21"/>
          <w:highlight w:val="none"/>
        </w:rPr>
      </w:pPr>
      <w:r>
        <w:rPr>
          <w:rFonts w:hint="eastAsia" w:cs="宋体"/>
          <w:color w:val="auto"/>
          <w:szCs w:val="21"/>
          <w:highlight w:val="none"/>
        </w:rPr>
        <w:t>（5）审定价的2.5%作为质量保证金，从承包人缴纳的履约保证金中扣除，在2年保修期满后一次性结清（无息），剩余部分履约保证金在工程结算经审计通过后15天内退还承包人（无息）。</w:t>
      </w:r>
    </w:p>
    <w:p>
      <w:pPr>
        <w:ind w:firstLine="420"/>
        <w:rPr>
          <w:rFonts w:cs="宋体"/>
          <w:color w:val="auto"/>
          <w:szCs w:val="21"/>
          <w:highlight w:val="none"/>
        </w:rPr>
      </w:pPr>
      <w:r>
        <w:rPr>
          <w:rFonts w:hint="eastAsia" w:cs="宋体"/>
          <w:color w:val="auto"/>
          <w:szCs w:val="21"/>
          <w:highlight w:val="none"/>
        </w:rPr>
        <w:t>（6）承包人现场管理混乱，工程质量、进度、现场文明施工和安全生产达不到预定计划，发包人有权不支付或不全额支付工程款。</w:t>
      </w:r>
    </w:p>
    <w:p>
      <w:pPr>
        <w:ind w:firstLine="420"/>
        <w:rPr>
          <w:rFonts w:cs="宋体"/>
          <w:color w:val="auto"/>
          <w:szCs w:val="21"/>
          <w:highlight w:val="none"/>
        </w:rPr>
      </w:pPr>
      <w:r>
        <w:rPr>
          <w:rFonts w:hint="eastAsia" w:cs="宋体"/>
          <w:color w:val="auto"/>
          <w:szCs w:val="21"/>
          <w:highlight w:val="none"/>
        </w:rPr>
        <w:t>（7）上述各项费用的每笔款项支付前，承包人必须提供收款单位与本合同签订单位一致的正规、等额、合法、有效的发票。</w:t>
      </w:r>
    </w:p>
    <w:bookmarkEnd w:id="76"/>
    <w:p>
      <w:pPr>
        <w:pStyle w:val="5"/>
        <w:ind w:firstLine="482"/>
        <w:rPr>
          <w:rFonts w:ascii="宋体" w:hAnsi="宋体" w:cs="宋体"/>
          <w:color w:val="auto"/>
          <w:highlight w:val="none"/>
        </w:rPr>
      </w:pPr>
      <w:bookmarkStart w:id="79" w:name="_Toc25066"/>
      <w:r>
        <w:rPr>
          <w:rFonts w:hint="eastAsia" w:ascii="宋体" w:hAnsi="宋体" w:cs="宋体"/>
          <w:color w:val="auto"/>
          <w:highlight w:val="none"/>
        </w:rPr>
        <w:t>二、规范要求</w:t>
      </w:r>
      <w:bookmarkEnd w:id="79"/>
    </w:p>
    <w:p>
      <w:pPr>
        <w:widowControl/>
        <w:ind w:firstLine="420"/>
        <w:rPr>
          <w:rFonts w:cs="宋体"/>
          <w:color w:val="auto"/>
          <w:szCs w:val="21"/>
          <w:highlight w:val="none"/>
        </w:rPr>
      </w:pPr>
      <w:r>
        <w:rPr>
          <w:rFonts w:hint="eastAsia" w:cs="宋体"/>
          <w:color w:val="auto"/>
          <w:szCs w:val="21"/>
          <w:highlight w:val="none"/>
        </w:rPr>
        <w:t>依据设计施工图纸和技术文件要求，本工程项目的材料、设备、施工必须达到现行中华人民共和国及省、市、行业的一切有关法规、规范的要求。</w:t>
      </w:r>
    </w:p>
    <w:p>
      <w:pPr>
        <w:widowControl/>
        <w:ind w:firstLine="420"/>
        <w:rPr>
          <w:rFonts w:cs="宋体"/>
          <w:color w:val="auto"/>
          <w:szCs w:val="21"/>
          <w:highlight w:val="none"/>
        </w:rPr>
      </w:pPr>
      <w:r>
        <w:rPr>
          <w:rFonts w:hint="eastAsia" w:cs="宋体"/>
          <w:color w:val="auto"/>
          <w:szCs w:val="21"/>
          <w:highlight w:val="none"/>
        </w:rPr>
        <w:t>各技术规范由投标人自备，如有不足之处或未能达到国家最新标准时，投标人应使施工及选用的设备和材料符合最新版本的国家标准、规范。</w:t>
      </w:r>
    </w:p>
    <w:p>
      <w:pPr>
        <w:pStyle w:val="5"/>
        <w:ind w:firstLine="482"/>
        <w:rPr>
          <w:rFonts w:ascii="宋体" w:hAnsi="宋体" w:cs="宋体"/>
          <w:color w:val="auto"/>
          <w:highlight w:val="none"/>
        </w:rPr>
      </w:pPr>
      <w:bookmarkStart w:id="80" w:name="_Toc5812"/>
      <w:r>
        <w:rPr>
          <w:rFonts w:hint="eastAsia" w:ascii="宋体" w:hAnsi="宋体" w:cs="宋体"/>
          <w:color w:val="auto"/>
          <w:highlight w:val="none"/>
        </w:rPr>
        <w:t>三、施工要求</w:t>
      </w:r>
      <w:bookmarkEnd w:id="80"/>
    </w:p>
    <w:p>
      <w:pPr>
        <w:widowControl/>
        <w:ind w:firstLine="420"/>
        <w:rPr>
          <w:rFonts w:cs="宋体"/>
          <w:color w:val="auto"/>
          <w:szCs w:val="21"/>
          <w:highlight w:val="none"/>
        </w:rPr>
      </w:pPr>
      <w:r>
        <w:rPr>
          <w:rFonts w:hint="eastAsia" w:cs="宋体"/>
          <w:color w:val="auto"/>
          <w:szCs w:val="21"/>
          <w:highlight w:val="none"/>
        </w:rPr>
        <w:t>1、本工程施工严格按照规范要求进行施工，达到各项拟定的设计指标。</w:t>
      </w:r>
    </w:p>
    <w:p>
      <w:pPr>
        <w:widowControl/>
        <w:ind w:firstLine="420"/>
        <w:rPr>
          <w:rFonts w:cs="宋体"/>
          <w:color w:val="auto"/>
          <w:szCs w:val="21"/>
          <w:highlight w:val="none"/>
        </w:rPr>
      </w:pPr>
      <w:r>
        <w:rPr>
          <w:rFonts w:hint="eastAsia" w:cs="宋体"/>
          <w:color w:val="auto"/>
          <w:szCs w:val="21"/>
          <w:highlight w:val="none"/>
        </w:rPr>
        <w:t>2、本工程施工按《建筑工程施工质量验收统一标准》（GB50300-2013）、《建筑装饰装修工程质量验收规范》（GB50210-2001）等进行施工和验收</w:t>
      </w:r>
    </w:p>
    <w:p>
      <w:pPr>
        <w:widowControl/>
        <w:ind w:firstLine="420"/>
        <w:rPr>
          <w:rFonts w:cs="宋体"/>
          <w:color w:val="auto"/>
          <w:szCs w:val="21"/>
          <w:highlight w:val="none"/>
        </w:rPr>
      </w:pPr>
      <w:r>
        <w:rPr>
          <w:rFonts w:hint="eastAsia" w:cs="宋体"/>
          <w:color w:val="auto"/>
          <w:szCs w:val="21"/>
          <w:highlight w:val="none"/>
        </w:rPr>
        <w:t>3、在免费保修期内，中标人对有缺陷的部位必须无偿地给予修理与更换，并承担一切由此引起的对招标人或第三者的直接损失，除非该缺陷是由于人为破坏或合同规定的不可抗因素造成的损坏。</w:t>
      </w:r>
    </w:p>
    <w:p>
      <w:pPr>
        <w:widowControl/>
        <w:ind w:firstLine="420"/>
        <w:rPr>
          <w:rFonts w:cs="宋体"/>
          <w:color w:val="auto"/>
          <w:szCs w:val="21"/>
          <w:highlight w:val="none"/>
        </w:rPr>
      </w:pPr>
      <w:r>
        <w:rPr>
          <w:rFonts w:hint="eastAsia" w:cs="宋体"/>
          <w:color w:val="auto"/>
          <w:szCs w:val="21"/>
          <w:highlight w:val="none"/>
        </w:rPr>
        <w:t>4、中标人必须对所承包的工程的质量负全部责任，其责任不因其他材料生产商提供的保证书而减轻或更改。</w:t>
      </w:r>
    </w:p>
    <w:p>
      <w:pPr>
        <w:widowControl/>
        <w:ind w:firstLine="420"/>
        <w:rPr>
          <w:rFonts w:cs="宋体"/>
          <w:color w:val="auto"/>
          <w:szCs w:val="21"/>
          <w:highlight w:val="none"/>
        </w:rPr>
      </w:pPr>
      <w:r>
        <w:rPr>
          <w:rFonts w:hint="eastAsia" w:cs="宋体"/>
          <w:color w:val="auto"/>
          <w:szCs w:val="21"/>
          <w:highlight w:val="none"/>
        </w:rPr>
        <w:t>5、施工时注意做好必要的劳动保护工作。</w:t>
      </w:r>
    </w:p>
    <w:p>
      <w:pPr>
        <w:widowControl/>
        <w:ind w:firstLine="420"/>
        <w:rPr>
          <w:rFonts w:cs="宋体"/>
          <w:color w:val="auto"/>
          <w:szCs w:val="21"/>
          <w:highlight w:val="none"/>
        </w:rPr>
      </w:pPr>
      <w:r>
        <w:rPr>
          <w:rFonts w:hint="eastAsia" w:cs="宋体"/>
          <w:color w:val="auto"/>
          <w:szCs w:val="21"/>
          <w:highlight w:val="none"/>
        </w:rPr>
        <w:t>6、本项目产生工人除夜间值班人员外不得住宿在项目所在地。</w:t>
      </w:r>
    </w:p>
    <w:p>
      <w:pPr>
        <w:widowControl/>
        <w:ind w:firstLine="422"/>
        <w:rPr>
          <w:rFonts w:cs="宋体"/>
          <w:b/>
          <w:bCs/>
          <w:color w:val="auto"/>
          <w:szCs w:val="21"/>
          <w:highlight w:val="none"/>
        </w:rPr>
      </w:pPr>
      <w:r>
        <w:rPr>
          <w:rFonts w:hint="eastAsia" w:cs="宋体"/>
          <w:b/>
          <w:bCs/>
          <w:color w:val="auto"/>
          <w:szCs w:val="21"/>
          <w:highlight w:val="none"/>
        </w:rPr>
        <w:t>▲7、本项目围墙施工场地下有国防光缆、天然气管道、通讯、电视等综合管线埋设，中标单位必须提前了解管线情况，现场踏勘，部分施工采用人工开挖，谨慎小心，确保不对各类管线造成破坏。由此产生的人工、材料等费用请投标单位在报价中充分考虑，后期不做调整。</w:t>
      </w:r>
    </w:p>
    <w:p>
      <w:pPr>
        <w:pStyle w:val="5"/>
        <w:ind w:firstLine="482"/>
        <w:rPr>
          <w:rFonts w:ascii="宋体" w:hAnsi="宋体" w:cs="宋体"/>
          <w:color w:val="auto"/>
          <w:highlight w:val="none"/>
        </w:rPr>
      </w:pPr>
      <w:bookmarkStart w:id="81" w:name="_Toc3852"/>
      <w:r>
        <w:rPr>
          <w:rFonts w:hint="eastAsia" w:ascii="宋体" w:hAnsi="宋体" w:cs="宋体"/>
          <w:color w:val="auto"/>
          <w:highlight w:val="none"/>
        </w:rPr>
        <w:t>四、材料</w:t>
      </w:r>
      <w:r>
        <w:rPr>
          <w:rFonts w:hint="eastAsia" w:ascii="宋体" w:hAnsi="宋体" w:cs="宋体"/>
          <w:color w:val="auto"/>
          <w:highlight w:val="none"/>
          <w:lang w:eastAsia="zh-CN"/>
        </w:rPr>
        <w:t>、设备</w:t>
      </w:r>
      <w:r>
        <w:rPr>
          <w:rFonts w:hint="eastAsia" w:ascii="宋体" w:hAnsi="宋体" w:cs="宋体"/>
          <w:color w:val="auto"/>
          <w:highlight w:val="none"/>
        </w:rPr>
        <w:t>质量要求</w:t>
      </w:r>
      <w:bookmarkEnd w:id="81"/>
    </w:p>
    <w:p>
      <w:pPr>
        <w:widowControl/>
        <w:ind w:firstLine="420"/>
        <w:rPr>
          <w:rFonts w:cs="宋体"/>
          <w:color w:val="auto"/>
          <w:sz w:val="20"/>
          <w:szCs w:val="20"/>
          <w:highlight w:val="none"/>
        </w:rPr>
      </w:pPr>
      <w:r>
        <w:rPr>
          <w:rFonts w:hint="eastAsia" w:cs="宋体"/>
          <w:color w:val="auto"/>
          <w:szCs w:val="21"/>
          <w:highlight w:val="none"/>
        </w:rPr>
        <w:t>1、材料选择</w:t>
      </w:r>
    </w:p>
    <w:p>
      <w:pPr>
        <w:widowControl/>
        <w:ind w:firstLine="420"/>
        <w:rPr>
          <w:rFonts w:cs="宋体"/>
          <w:color w:val="auto"/>
          <w:sz w:val="20"/>
          <w:szCs w:val="20"/>
          <w:highlight w:val="none"/>
        </w:rPr>
      </w:pPr>
      <w:r>
        <w:rPr>
          <w:rFonts w:hint="eastAsia" w:cs="宋体"/>
          <w:color w:val="auto"/>
          <w:szCs w:val="21"/>
          <w:highlight w:val="none"/>
        </w:rPr>
        <w:t>本工程使用的原材料必须符合设计要求和施工规范的规定。实际施工过程中，甲方将严格检查验收进场原材料的合格证及质保书，如发现实样与质保书不符，应立即取样进行复查，对不合格的材料严禁用于本工程。</w:t>
      </w:r>
    </w:p>
    <w:p>
      <w:pPr>
        <w:widowControl/>
        <w:ind w:firstLine="422"/>
        <w:rPr>
          <w:rFonts w:cs="宋体"/>
          <w:b/>
          <w:bCs/>
          <w:color w:val="auto"/>
          <w:szCs w:val="21"/>
          <w:highlight w:val="none"/>
          <w:u w:val="single"/>
        </w:rPr>
      </w:pPr>
      <w:r>
        <w:rPr>
          <w:rFonts w:hint="eastAsia" w:cs="宋体"/>
          <w:b/>
          <w:bCs/>
          <w:color w:val="auto"/>
          <w:szCs w:val="21"/>
          <w:highlight w:val="none"/>
          <w:u w:val="single"/>
        </w:rPr>
        <w:t>本工程涉及的主要材料及零星材料，各供应商须根据招标人要求及规范进行选材并报价，所有材料要求采用在行业内有一定知名度的品牌(招标文件已定品牌的按招标文件)，材料生产厂家必须通过 ISO 质量认证，并符合环保要求，严禁选择不合设计要求的低档材料进行投标报价及组织施工实施。</w:t>
      </w:r>
    </w:p>
    <w:p>
      <w:pPr>
        <w:widowControl/>
        <w:ind w:firstLine="422"/>
        <w:rPr>
          <w:rFonts w:cs="宋体"/>
          <w:color w:val="auto"/>
          <w:sz w:val="20"/>
          <w:szCs w:val="20"/>
          <w:highlight w:val="none"/>
        </w:rPr>
      </w:pPr>
      <w:r>
        <w:rPr>
          <w:rFonts w:hint="eastAsia" w:cs="宋体"/>
          <w:b/>
          <w:bCs/>
          <w:color w:val="auto"/>
          <w:szCs w:val="21"/>
          <w:highlight w:val="none"/>
          <w:u w:val="single"/>
        </w:rPr>
        <w:t>清单中计量单位为“项”的子目请投标单位自行踏勘现场综合报价，作为专业承包商</w:t>
      </w:r>
      <w:bookmarkStart w:id="82" w:name="page23"/>
      <w:bookmarkEnd w:id="82"/>
      <w:r>
        <w:rPr>
          <w:rFonts w:hint="eastAsia" w:cs="宋体"/>
          <w:b/>
          <w:bCs/>
          <w:color w:val="auto"/>
          <w:szCs w:val="21"/>
          <w:highlight w:val="none"/>
          <w:u w:val="single"/>
        </w:rPr>
        <w:t>投标时有义务和责任认真踏勘施工现场，认真核对工程量清单中施工内容和工程量，对项目需求进行深化、细化、完善和调整，中标后任何因现场勘查不足、图纸、工程量清单等不足或深化后的方案而造成的额外工程量变更均不得调整中标金额。</w:t>
      </w:r>
    </w:p>
    <w:p>
      <w:pPr>
        <w:widowControl/>
        <w:ind w:firstLine="420"/>
        <w:rPr>
          <w:rFonts w:cs="宋体"/>
          <w:color w:val="auto"/>
          <w:sz w:val="20"/>
          <w:szCs w:val="20"/>
          <w:highlight w:val="none"/>
        </w:rPr>
      </w:pPr>
      <w:r>
        <w:rPr>
          <w:rFonts w:hint="eastAsia" w:cs="宋体"/>
          <w:color w:val="auto"/>
          <w:szCs w:val="21"/>
          <w:highlight w:val="none"/>
        </w:rPr>
        <w:t>2、材料的质量保证</w:t>
      </w:r>
    </w:p>
    <w:p>
      <w:pPr>
        <w:widowControl/>
        <w:ind w:left="199" w:leftChars="95" w:firstLine="210" w:firstLineChars="100"/>
        <w:rPr>
          <w:rFonts w:cs="宋体"/>
          <w:color w:val="auto"/>
          <w:sz w:val="20"/>
          <w:szCs w:val="20"/>
          <w:highlight w:val="none"/>
        </w:rPr>
      </w:pPr>
      <w:r>
        <w:rPr>
          <w:rFonts w:hint="eastAsia" w:cs="宋体"/>
          <w:color w:val="auto"/>
          <w:szCs w:val="21"/>
          <w:highlight w:val="none"/>
        </w:rPr>
        <w:t>（1）在免费保修期内，中标人对有缺陷的部位必须无偿地给予修理与更换，并承担一切由此引起的对招标人或第三者的直接损失，除非该缺陷是由于人为破坏或合同规定的不可抗因素造成的损坏。</w:t>
      </w:r>
    </w:p>
    <w:p>
      <w:pPr>
        <w:widowControl/>
        <w:ind w:firstLine="420"/>
        <w:rPr>
          <w:rFonts w:cs="宋体"/>
          <w:color w:val="auto"/>
          <w:szCs w:val="21"/>
          <w:highlight w:val="none"/>
        </w:rPr>
      </w:pPr>
      <w:r>
        <w:rPr>
          <w:rFonts w:hint="eastAsia" w:cs="宋体"/>
          <w:color w:val="auto"/>
          <w:szCs w:val="21"/>
          <w:highlight w:val="none"/>
        </w:rPr>
        <w:t>（2）中标人必须对所承包工程的质量负全部责任，其责任不因其他材料生产商提供的保证书而减轻或更改。</w:t>
      </w:r>
    </w:p>
    <w:p>
      <w:pPr>
        <w:widowControl/>
        <w:ind w:firstLine="420"/>
        <w:rPr>
          <w:rFonts w:hint="eastAsia" w:cs="宋体"/>
          <w:color w:val="auto"/>
          <w:szCs w:val="21"/>
          <w:highlight w:val="none"/>
        </w:rPr>
      </w:pPr>
      <w:r>
        <w:rPr>
          <w:rFonts w:hint="eastAsia" w:cs="宋体"/>
          <w:color w:val="auto"/>
          <w:szCs w:val="21"/>
          <w:highlight w:val="none"/>
        </w:rPr>
        <w:t>（3）产品本体、零部件、配件产品质量应符合中华人民共和国及产品品牌所在国的有关质量标准。</w:t>
      </w:r>
    </w:p>
    <w:p>
      <w:pPr>
        <w:bidi w:val="0"/>
        <w:rPr>
          <w:rFonts w:hint="eastAsia" w:eastAsia="宋体"/>
          <w:color w:val="auto"/>
          <w:highlight w:val="none"/>
          <w:lang w:val="en-US" w:eastAsia="zh-CN"/>
        </w:rPr>
      </w:pPr>
      <w:r>
        <w:rPr>
          <w:rFonts w:hint="eastAsia"/>
          <w:color w:val="auto"/>
          <w:highlight w:val="none"/>
          <w:lang w:val="en-US" w:eastAsia="zh-CN"/>
        </w:rPr>
        <w:t>3、设备参数要求</w:t>
      </w:r>
    </w:p>
    <w:tbl>
      <w:tblPr>
        <w:tblStyle w:val="21"/>
        <w:tblW w:w="4997" w:type="pct"/>
        <w:tblInd w:w="0" w:type="dxa"/>
        <w:shd w:val="clear" w:color="auto" w:fill="auto"/>
        <w:tblLayout w:type="autofit"/>
        <w:tblCellMar>
          <w:top w:w="0" w:type="dxa"/>
          <w:left w:w="108" w:type="dxa"/>
          <w:bottom w:w="0" w:type="dxa"/>
          <w:right w:w="108" w:type="dxa"/>
        </w:tblCellMar>
      </w:tblPr>
      <w:tblGrid>
        <w:gridCol w:w="835"/>
        <w:gridCol w:w="1596"/>
        <w:gridCol w:w="4837"/>
        <w:gridCol w:w="835"/>
        <w:gridCol w:w="838"/>
      </w:tblGrid>
      <w:tr>
        <w:tblPrEx>
          <w:shd w:val="clear" w:color="auto" w:fill="auto"/>
          <w:tblCellMar>
            <w:top w:w="0" w:type="dxa"/>
            <w:left w:w="108" w:type="dxa"/>
            <w:bottom w:w="0" w:type="dxa"/>
            <w:right w:w="108" w:type="dxa"/>
          </w:tblCellMar>
        </w:tblPrEx>
        <w:trPr>
          <w:trHeight w:val="300" w:hRule="atLeast"/>
        </w:trPr>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名称</w:t>
            </w:r>
          </w:p>
        </w:tc>
        <w:tc>
          <w:tcPr>
            <w:tcW w:w="270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型号及描述</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数量</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单位</w:t>
            </w:r>
          </w:p>
        </w:tc>
      </w:tr>
      <w:tr>
        <w:tblPrEx>
          <w:shd w:val="clear" w:color="auto" w:fill="auto"/>
          <w:tblCellMar>
            <w:top w:w="0" w:type="dxa"/>
            <w:left w:w="108" w:type="dxa"/>
            <w:bottom w:w="0" w:type="dxa"/>
            <w:right w:w="108" w:type="dxa"/>
          </w:tblCellMar>
        </w:tblPrEx>
        <w:trPr>
          <w:trHeight w:val="4520" w:hRule="atLeast"/>
        </w:trPr>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网络摄像机</w:t>
            </w:r>
          </w:p>
        </w:tc>
        <w:tc>
          <w:tcPr>
            <w:tcW w:w="270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r>
              <w:rPr>
                <w:rFonts w:hint="eastAsia" w:cs="宋体"/>
                <w:i w:val="0"/>
                <w:iCs w:val="0"/>
                <w:color w:val="auto"/>
                <w:kern w:val="0"/>
                <w:sz w:val="20"/>
                <w:szCs w:val="20"/>
                <w:highlight w:val="none"/>
                <w:u w:val="none"/>
                <w:lang w:val="en-US" w:eastAsia="zh-CN" w:bidi="ar"/>
              </w:rPr>
              <w:t>不低于</w:t>
            </w:r>
            <w:r>
              <w:rPr>
                <w:rFonts w:hint="eastAsia" w:ascii="宋体" w:hAnsi="宋体" w:eastAsia="宋体" w:cs="宋体"/>
                <w:i w:val="0"/>
                <w:iCs w:val="0"/>
                <w:color w:val="auto"/>
                <w:kern w:val="0"/>
                <w:sz w:val="20"/>
                <w:szCs w:val="20"/>
                <w:highlight w:val="none"/>
                <w:u w:val="none"/>
                <w:lang w:val="en-US" w:eastAsia="zh-CN" w:bidi="ar"/>
              </w:rPr>
              <w:t>200万1/2.7"CMOS</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采用深度学习硬件及算法,提供精准的人车分类报警及人脸抓拍功能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智能警戒:支持越界侦测,区域入侵侦测,进入/离开区域侦测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人脸抓拍:支持人脸跟踪及评分,自动筛选输出最优人脸图,同时可对≧10张人脸进行检测及抓拍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支持两种智能资源切换:人脸抓拍(默认)、</w:t>
            </w:r>
            <w:r>
              <w:rPr>
                <w:rFonts w:hint="eastAsia" w:cs="宋体"/>
                <w:i w:val="0"/>
                <w:iCs w:val="0"/>
                <w:color w:val="auto"/>
                <w:kern w:val="0"/>
                <w:sz w:val="20"/>
                <w:szCs w:val="20"/>
                <w:highlight w:val="none"/>
                <w:u w:val="none"/>
                <w:lang w:val="en-US" w:eastAsia="zh-CN" w:bidi="ar"/>
              </w:rPr>
              <w:t>警戒状态</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（6）</w:t>
            </w:r>
            <w:r>
              <w:rPr>
                <w:rFonts w:hint="eastAsia" w:ascii="宋体" w:hAnsi="宋体" w:eastAsia="宋体" w:cs="宋体"/>
                <w:i w:val="0"/>
                <w:iCs w:val="0"/>
                <w:color w:val="auto"/>
                <w:kern w:val="0"/>
                <w:sz w:val="20"/>
                <w:szCs w:val="20"/>
                <w:highlight w:val="none"/>
                <w:u w:val="none"/>
                <w:lang w:val="en-US" w:eastAsia="zh-CN" w:bidi="ar"/>
              </w:rPr>
              <w:t>支持联动声音报警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（7）</w:t>
            </w:r>
            <w:r>
              <w:rPr>
                <w:rFonts w:hint="eastAsia" w:ascii="宋体" w:hAnsi="宋体" w:eastAsia="宋体" w:cs="宋体"/>
                <w:i w:val="0"/>
                <w:iCs w:val="0"/>
                <w:color w:val="auto"/>
                <w:kern w:val="0"/>
                <w:sz w:val="20"/>
                <w:szCs w:val="20"/>
                <w:highlight w:val="none"/>
                <w:u w:val="none"/>
                <w:lang w:val="en-US" w:eastAsia="zh-CN" w:bidi="ar"/>
              </w:rPr>
              <w:t>内置麦克风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（8）</w:t>
            </w:r>
            <w:r>
              <w:rPr>
                <w:rFonts w:hint="eastAsia" w:ascii="宋体" w:hAnsi="宋体" w:eastAsia="宋体" w:cs="宋体"/>
                <w:i w:val="0"/>
                <w:iCs w:val="0"/>
                <w:color w:val="auto"/>
                <w:kern w:val="0"/>
                <w:sz w:val="20"/>
                <w:szCs w:val="20"/>
                <w:highlight w:val="none"/>
                <w:u w:val="none"/>
                <w:lang w:val="en-US" w:eastAsia="zh-CN" w:bidi="ar"/>
              </w:rPr>
              <w:t>内置喇叭</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（9）</w:t>
            </w:r>
            <w:r>
              <w:rPr>
                <w:rFonts w:hint="eastAsia" w:ascii="宋体" w:hAnsi="宋体" w:eastAsia="宋体" w:cs="宋体"/>
                <w:i w:val="0"/>
                <w:iCs w:val="0"/>
                <w:color w:val="auto"/>
                <w:kern w:val="0"/>
                <w:sz w:val="20"/>
                <w:szCs w:val="20"/>
                <w:highlight w:val="none"/>
                <w:u w:val="none"/>
                <w:lang w:val="en-US" w:eastAsia="zh-CN" w:bidi="ar"/>
              </w:rPr>
              <w:t>支持1路两线式DC12V 100mA电源输出,用于给拾音器供电</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（10）</w:t>
            </w:r>
            <w:r>
              <w:rPr>
                <w:rFonts w:hint="eastAsia" w:ascii="宋体" w:hAnsi="宋体" w:eastAsia="宋体" w:cs="宋体"/>
                <w:i w:val="0"/>
                <w:iCs w:val="0"/>
                <w:color w:val="auto"/>
                <w:kern w:val="0"/>
                <w:sz w:val="20"/>
                <w:szCs w:val="20"/>
                <w:highlight w:val="none"/>
                <w:u w:val="none"/>
                <w:lang w:val="en-US" w:eastAsia="zh-CN" w:bidi="ar"/>
              </w:rPr>
              <w:t>最小照度:0.002Lux @(F1.2,AGC ON) ,0 Lux with IR</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（11）</w:t>
            </w:r>
            <w:r>
              <w:rPr>
                <w:rFonts w:hint="eastAsia" w:ascii="宋体" w:hAnsi="宋体" w:eastAsia="宋体" w:cs="宋体"/>
                <w:i w:val="0"/>
                <w:iCs w:val="0"/>
                <w:color w:val="auto"/>
                <w:kern w:val="0"/>
                <w:sz w:val="20"/>
                <w:szCs w:val="20"/>
                <w:highlight w:val="none"/>
                <w:u w:val="none"/>
                <w:lang w:val="en-US" w:eastAsia="zh-CN" w:bidi="ar"/>
              </w:rPr>
              <w:t>镜头:7-35mm @ F1.6,水平视场角：31°~10°</w:t>
            </w:r>
            <w:r>
              <w:rPr>
                <w:rFonts w:hint="eastAsia"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电动镜头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（12）</w:t>
            </w:r>
            <w:r>
              <w:rPr>
                <w:rFonts w:hint="eastAsia" w:ascii="宋体" w:hAnsi="宋体" w:eastAsia="宋体" w:cs="宋体"/>
                <w:i w:val="0"/>
                <w:iCs w:val="0"/>
                <w:color w:val="auto"/>
                <w:kern w:val="0"/>
                <w:sz w:val="20"/>
                <w:szCs w:val="20"/>
                <w:highlight w:val="none"/>
                <w:u w:val="none"/>
                <w:lang w:val="en-US" w:eastAsia="zh-CN" w:bidi="ar"/>
              </w:rPr>
              <w:t>宽动态范围:≧120dB</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（13）</w:t>
            </w:r>
            <w:r>
              <w:rPr>
                <w:rFonts w:hint="eastAsia" w:ascii="宋体" w:hAnsi="宋体" w:eastAsia="宋体" w:cs="宋体"/>
                <w:i w:val="0"/>
                <w:iCs w:val="0"/>
                <w:color w:val="auto"/>
                <w:kern w:val="0"/>
                <w:sz w:val="20"/>
                <w:szCs w:val="20"/>
                <w:highlight w:val="none"/>
                <w:u w:val="none"/>
                <w:lang w:val="en-US" w:eastAsia="zh-CN" w:bidi="ar"/>
              </w:rPr>
              <w:t>视频压缩标准:H.265 / H.264 / MJPEG</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（14）</w:t>
            </w:r>
            <w:r>
              <w:rPr>
                <w:rFonts w:hint="eastAsia" w:ascii="宋体" w:hAnsi="宋体" w:eastAsia="宋体" w:cs="宋体"/>
                <w:i w:val="0"/>
                <w:iCs w:val="0"/>
                <w:color w:val="auto"/>
                <w:kern w:val="0"/>
                <w:sz w:val="20"/>
                <w:szCs w:val="20"/>
                <w:highlight w:val="none"/>
                <w:u w:val="none"/>
                <w:lang w:val="en-US" w:eastAsia="zh-CN" w:bidi="ar"/>
              </w:rPr>
              <w:t>最大图像尺寸:1920×1080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（15）</w:t>
            </w:r>
            <w:r>
              <w:rPr>
                <w:rFonts w:hint="eastAsia" w:ascii="宋体" w:hAnsi="宋体" w:eastAsia="宋体" w:cs="宋体"/>
                <w:i w:val="0"/>
                <w:iCs w:val="0"/>
                <w:color w:val="auto"/>
                <w:kern w:val="0"/>
                <w:sz w:val="20"/>
                <w:szCs w:val="20"/>
                <w:highlight w:val="none"/>
                <w:u w:val="none"/>
                <w:lang w:val="en-US" w:eastAsia="zh-CN" w:bidi="ar"/>
              </w:rPr>
              <w:t>存储功能:支持Micro SD(即TF卡)/Micro SDHC/Micro SDXC卡(256G)断网本地存储及断网续传,NAS(NFS,SMB/CIFS均支持),支持SD卡加密及SD状态检测功能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（16）</w:t>
            </w:r>
            <w:r>
              <w:rPr>
                <w:rFonts w:hint="eastAsia" w:ascii="宋体" w:hAnsi="宋体" w:eastAsia="宋体" w:cs="宋体"/>
                <w:i w:val="0"/>
                <w:iCs w:val="0"/>
                <w:color w:val="auto"/>
                <w:kern w:val="0"/>
                <w:sz w:val="20"/>
                <w:szCs w:val="20"/>
                <w:highlight w:val="none"/>
                <w:u w:val="none"/>
                <w:lang w:val="en-US" w:eastAsia="zh-CN" w:bidi="ar"/>
              </w:rPr>
              <w:t>通讯接口:1个RJ45 10M / 100M自适应以太网口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音频接口:1对音频输入(Line in)/输出(Line out)外部接口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（17）</w:t>
            </w:r>
            <w:r>
              <w:rPr>
                <w:rFonts w:hint="eastAsia" w:ascii="宋体" w:hAnsi="宋体" w:eastAsia="宋体" w:cs="宋体"/>
                <w:i w:val="0"/>
                <w:iCs w:val="0"/>
                <w:color w:val="auto"/>
                <w:kern w:val="0"/>
                <w:sz w:val="20"/>
                <w:szCs w:val="20"/>
                <w:highlight w:val="none"/>
                <w:u w:val="none"/>
                <w:lang w:val="en-US" w:eastAsia="zh-CN" w:bidi="ar"/>
              </w:rPr>
              <w:t>报警输入:1路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（18）</w:t>
            </w:r>
            <w:r>
              <w:rPr>
                <w:rFonts w:hint="eastAsia" w:ascii="宋体" w:hAnsi="宋体" w:eastAsia="宋体" w:cs="宋体"/>
                <w:i w:val="0"/>
                <w:iCs w:val="0"/>
                <w:color w:val="auto"/>
                <w:kern w:val="0"/>
                <w:sz w:val="20"/>
                <w:szCs w:val="20"/>
                <w:highlight w:val="none"/>
                <w:u w:val="none"/>
                <w:lang w:val="en-US" w:eastAsia="zh-CN" w:bidi="ar"/>
              </w:rPr>
              <w:t>报警输出:1路(报警输出最大支持AC24V/DC24V, 500mA)</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（19）</w:t>
            </w:r>
            <w:r>
              <w:rPr>
                <w:rFonts w:hint="eastAsia" w:ascii="宋体" w:hAnsi="宋体" w:eastAsia="宋体" w:cs="宋体"/>
                <w:i w:val="0"/>
                <w:iCs w:val="0"/>
                <w:color w:val="auto"/>
                <w:kern w:val="0"/>
                <w:sz w:val="20"/>
                <w:szCs w:val="20"/>
                <w:highlight w:val="none"/>
                <w:u w:val="none"/>
                <w:lang w:val="en-US" w:eastAsia="zh-CN" w:bidi="ar"/>
              </w:rPr>
              <w:t>工作温度和湿度:-30℃~60℃,湿度小于95%(无凝结)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（20）</w:t>
            </w:r>
            <w:r>
              <w:rPr>
                <w:rFonts w:hint="eastAsia" w:ascii="宋体" w:hAnsi="宋体" w:eastAsia="宋体" w:cs="宋体"/>
                <w:i w:val="0"/>
                <w:iCs w:val="0"/>
                <w:color w:val="auto"/>
                <w:kern w:val="0"/>
                <w:sz w:val="20"/>
                <w:szCs w:val="20"/>
                <w:highlight w:val="none"/>
                <w:u w:val="none"/>
                <w:lang w:val="en-US" w:eastAsia="zh-CN" w:bidi="ar"/>
              </w:rPr>
              <w:t xml:space="preserve">电源供应:DC12V±20% / PoE(802.3at)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（21）</w:t>
            </w:r>
            <w:r>
              <w:rPr>
                <w:rFonts w:hint="eastAsia" w:ascii="宋体" w:hAnsi="宋体" w:eastAsia="宋体" w:cs="宋体"/>
                <w:i w:val="0"/>
                <w:iCs w:val="0"/>
                <w:color w:val="auto"/>
                <w:kern w:val="0"/>
                <w:sz w:val="20"/>
                <w:szCs w:val="20"/>
                <w:highlight w:val="none"/>
                <w:u w:val="none"/>
                <w:lang w:val="en-US" w:eastAsia="zh-CN" w:bidi="ar"/>
              </w:rPr>
              <w:t>电源接口类型:Φ5.5mm圆头电源接口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（22）</w:t>
            </w:r>
            <w:r>
              <w:rPr>
                <w:rFonts w:hint="eastAsia" w:ascii="宋体" w:hAnsi="宋体" w:eastAsia="宋体" w:cs="宋体"/>
                <w:i w:val="0"/>
                <w:iCs w:val="0"/>
                <w:color w:val="auto"/>
                <w:kern w:val="0"/>
                <w:sz w:val="20"/>
                <w:szCs w:val="20"/>
                <w:highlight w:val="none"/>
                <w:u w:val="none"/>
                <w:lang w:val="en-US" w:eastAsia="zh-CN" w:bidi="ar"/>
              </w:rPr>
              <w:t>功耗:DC12V: 14.4W Max;PoE: 18 W Max</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（23）</w:t>
            </w:r>
            <w:r>
              <w:rPr>
                <w:rFonts w:hint="eastAsia" w:ascii="宋体" w:hAnsi="宋体" w:eastAsia="宋体" w:cs="宋体"/>
                <w:i w:val="0"/>
                <w:iCs w:val="0"/>
                <w:color w:val="auto"/>
                <w:kern w:val="0"/>
                <w:sz w:val="20"/>
                <w:szCs w:val="20"/>
                <w:highlight w:val="none"/>
                <w:u w:val="none"/>
                <w:lang w:val="en-US" w:eastAsia="zh-CN" w:bidi="ar"/>
              </w:rPr>
              <w:t>红外照射距离:最远可≧50米</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（24）</w:t>
            </w:r>
            <w:r>
              <w:rPr>
                <w:rFonts w:hint="eastAsia" w:ascii="宋体" w:hAnsi="宋体" w:eastAsia="宋体" w:cs="宋体"/>
                <w:i w:val="0"/>
                <w:iCs w:val="0"/>
                <w:color w:val="auto"/>
                <w:kern w:val="0"/>
                <w:sz w:val="20"/>
                <w:szCs w:val="20"/>
                <w:highlight w:val="none"/>
                <w:u w:val="none"/>
                <w:lang w:val="en-US" w:eastAsia="zh-CN" w:bidi="ar"/>
              </w:rPr>
              <w:t>防护等级:</w:t>
            </w:r>
            <w:r>
              <w:rPr>
                <w:rFonts w:hint="eastAsia" w:cs="宋体"/>
                <w:i w:val="0"/>
                <w:iCs w:val="0"/>
                <w:color w:val="auto"/>
                <w:kern w:val="0"/>
                <w:sz w:val="20"/>
                <w:szCs w:val="20"/>
                <w:highlight w:val="none"/>
                <w:u w:val="none"/>
                <w:lang w:val="en-US" w:eastAsia="zh-CN" w:bidi="ar"/>
              </w:rPr>
              <w:t>不低于</w:t>
            </w:r>
            <w:r>
              <w:rPr>
                <w:rFonts w:hint="eastAsia" w:ascii="宋体" w:hAnsi="宋体" w:eastAsia="宋体" w:cs="宋体"/>
                <w:i w:val="0"/>
                <w:iCs w:val="0"/>
                <w:color w:val="auto"/>
                <w:kern w:val="0"/>
                <w:sz w:val="20"/>
                <w:szCs w:val="20"/>
                <w:highlight w:val="none"/>
                <w:u w:val="none"/>
                <w:lang w:val="en-US" w:eastAsia="zh-CN" w:bidi="ar"/>
              </w:rPr>
              <w:t>IP67</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r>
      <w:tr>
        <w:tblPrEx>
          <w:shd w:val="clear" w:color="auto" w:fill="auto"/>
          <w:tblCellMar>
            <w:top w:w="0" w:type="dxa"/>
            <w:left w:w="108" w:type="dxa"/>
            <w:bottom w:w="0" w:type="dxa"/>
            <w:right w:w="108" w:type="dxa"/>
          </w:tblCellMar>
        </w:tblPrEx>
        <w:trPr>
          <w:trHeight w:val="300" w:hRule="atLeast"/>
        </w:trPr>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cs="宋体"/>
                <w:i w:val="0"/>
                <w:iCs w:val="0"/>
                <w:color w:val="auto"/>
                <w:kern w:val="0"/>
                <w:sz w:val="20"/>
                <w:szCs w:val="20"/>
                <w:highlight w:val="none"/>
                <w:u w:val="none"/>
                <w:lang w:val="en-US" w:eastAsia="zh-CN" w:bidi="ar"/>
              </w:rPr>
              <w:t>2</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8口交换机</w:t>
            </w:r>
          </w:p>
        </w:tc>
        <w:tc>
          <w:tcPr>
            <w:tcW w:w="270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left"/>
              <w:textAlignment w:val="center"/>
              <w:rPr>
                <w:rFonts w:hint="eastAsia"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≧8个10/100Base-TX以太网端口</w:t>
            </w:r>
            <w:r>
              <w:rPr>
                <w:rFonts w:hint="eastAsia" w:cs="宋体"/>
                <w:i w:val="0"/>
                <w:iCs w:val="0"/>
                <w:color w:val="auto"/>
                <w:kern w:val="0"/>
                <w:sz w:val="20"/>
                <w:szCs w:val="20"/>
                <w:highlight w:val="none"/>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≧2个10/100/1000Base-T以太网端口</w:t>
            </w:r>
          </w:p>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≧2个复用的100/1000Base-X SFP端口</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r>
      <w:tr>
        <w:tblPrEx>
          <w:shd w:val="clear" w:color="auto" w:fill="auto"/>
          <w:tblCellMar>
            <w:top w:w="0" w:type="dxa"/>
            <w:left w:w="108" w:type="dxa"/>
            <w:bottom w:w="0" w:type="dxa"/>
            <w:right w:w="108" w:type="dxa"/>
          </w:tblCellMar>
        </w:tblPrEx>
        <w:trPr>
          <w:trHeight w:val="300" w:hRule="atLeast"/>
        </w:trPr>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cs="宋体"/>
                <w:i w:val="0"/>
                <w:iCs w:val="0"/>
                <w:color w:val="auto"/>
                <w:kern w:val="0"/>
                <w:sz w:val="20"/>
                <w:szCs w:val="20"/>
                <w:highlight w:val="none"/>
                <w:u w:val="none"/>
                <w:lang w:val="en-US" w:eastAsia="zh-CN" w:bidi="ar"/>
              </w:rPr>
              <w:t>3</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硬盘录像机</w:t>
            </w:r>
          </w:p>
        </w:tc>
        <w:tc>
          <w:tcPr>
            <w:tcW w:w="270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硬件规格：</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3U标准机架式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2个HDMI，2个VGA,HDMI+VGA组内同源</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16盘位，内置16块6T盘</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2个千兆网口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2个USB2.0接口、1个USB3.0接口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（6）</w:t>
            </w:r>
            <w:r>
              <w:rPr>
                <w:rFonts w:hint="eastAsia" w:ascii="宋体" w:hAnsi="宋体" w:eastAsia="宋体" w:cs="宋体"/>
                <w:i w:val="0"/>
                <w:iCs w:val="0"/>
                <w:color w:val="auto"/>
                <w:kern w:val="0"/>
                <w:sz w:val="20"/>
                <w:szCs w:val="20"/>
                <w:highlight w:val="none"/>
                <w:u w:val="none"/>
                <w:lang w:val="en-US" w:eastAsia="zh-CN" w:bidi="ar"/>
              </w:rPr>
              <w:t>1个eSATA接口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（7）</w:t>
            </w:r>
            <w:r>
              <w:rPr>
                <w:rFonts w:hint="eastAsia" w:ascii="宋体" w:hAnsi="宋体" w:eastAsia="宋体" w:cs="宋体"/>
                <w:i w:val="0"/>
                <w:iCs w:val="0"/>
                <w:color w:val="auto"/>
                <w:kern w:val="0"/>
                <w:sz w:val="20"/>
                <w:szCs w:val="20"/>
                <w:highlight w:val="none"/>
                <w:u w:val="none"/>
                <w:lang w:val="en-US" w:eastAsia="zh-CN" w:bidi="ar"/>
              </w:rPr>
              <w:t>报警IO：16进8出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（8）</w:t>
            </w:r>
            <w:r>
              <w:rPr>
                <w:rFonts w:hint="eastAsia" w:ascii="宋体" w:hAnsi="宋体" w:eastAsia="宋体" w:cs="宋体"/>
                <w:i w:val="0"/>
                <w:iCs w:val="0"/>
                <w:color w:val="auto"/>
                <w:kern w:val="0"/>
                <w:sz w:val="20"/>
                <w:szCs w:val="20"/>
                <w:highlight w:val="none"/>
                <w:u w:val="none"/>
                <w:lang w:val="en-US" w:eastAsia="zh-CN" w:bidi="ar"/>
              </w:rPr>
              <w:t>支持RAID0、1、5、10，支持全局热备盘</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软件性能：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输入带宽：≧320M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64路H.264、H.265混合接入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最大支持16×1080P解码</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支持H.265、H.264解码</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（5）支持</w:t>
            </w:r>
            <w:r>
              <w:rPr>
                <w:rFonts w:hint="eastAsia" w:ascii="宋体" w:hAnsi="宋体" w:eastAsia="宋体" w:cs="宋体"/>
                <w:i w:val="0"/>
                <w:iCs w:val="0"/>
                <w:color w:val="auto"/>
                <w:kern w:val="0"/>
                <w:sz w:val="20"/>
                <w:szCs w:val="20"/>
                <w:highlight w:val="none"/>
                <w:u w:val="none"/>
                <w:lang w:val="en-US" w:eastAsia="zh-CN" w:bidi="ar"/>
              </w:rPr>
              <w:t>整机热备/ANR/智能检索/智能回放/车牌检索/人脸检索/热度图/客流量统计/分时段回放/超高倍速回放/双系统备份</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r>
      <w:tr>
        <w:tblPrEx>
          <w:shd w:val="clear" w:color="auto" w:fill="auto"/>
          <w:tblCellMar>
            <w:top w:w="0" w:type="dxa"/>
            <w:left w:w="108" w:type="dxa"/>
            <w:bottom w:w="0" w:type="dxa"/>
            <w:right w:w="108" w:type="dxa"/>
          </w:tblCellMar>
        </w:tblPrEx>
        <w:trPr>
          <w:trHeight w:val="300" w:hRule="atLeast"/>
        </w:trPr>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4</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人脸考勤识别一体机</w:t>
            </w:r>
          </w:p>
        </w:tc>
        <w:tc>
          <w:tcPr>
            <w:tcW w:w="270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采用7英寸LCD触摸显示屏，≧200万像素双目摄像头，面部识别距离0.2-3m，支持照片视频防假；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设备容量：支持≧50000张人脸白名单，1：N人脸比对时间＜0.2S/人，支持≧50000张卡片，≧100000条记录；</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认证方式：支持人脸、刷卡、密码（超级密码）及其组合的认证方式；可读取Mifare卡（IC卡）卡号、CPU序列号、身份证序列号；</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通讯方式：上行通讯为TCP/IP，支持Ehome跨公网传输；支持外接RS485，Wiegand副读卡器（不支持外接指纹读卡器）；基线支持标准韦根34/26；</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视频对讲：支持与视频对讲功能；支持远程视频预览功能，可以通过RTSP协议输出视频码流，编码格式H.264；</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（6）</w:t>
            </w:r>
            <w:r>
              <w:rPr>
                <w:rFonts w:hint="eastAsia" w:ascii="宋体" w:hAnsi="宋体" w:eastAsia="宋体" w:cs="宋体"/>
                <w:i w:val="0"/>
                <w:iCs w:val="0"/>
                <w:color w:val="auto"/>
                <w:kern w:val="0"/>
                <w:sz w:val="20"/>
                <w:szCs w:val="20"/>
                <w:highlight w:val="none"/>
                <w:u w:val="none"/>
                <w:lang w:val="en-US" w:eastAsia="zh-CN" w:bidi="ar"/>
              </w:rPr>
              <w:t>输入接口：LAN*1、RS485*1、wiegand * 1、USB*1、门磁*1、报警输入*2、防拆*1、开门按钮*1；</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（7）</w:t>
            </w:r>
            <w:r>
              <w:rPr>
                <w:rFonts w:hint="eastAsia" w:ascii="宋体" w:hAnsi="宋体" w:eastAsia="宋体" w:cs="宋体"/>
                <w:i w:val="0"/>
                <w:iCs w:val="0"/>
                <w:color w:val="auto"/>
                <w:kern w:val="0"/>
                <w:sz w:val="20"/>
                <w:szCs w:val="20"/>
                <w:highlight w:val="none"/>
                <w:u w:val="none"/>
                <w:lang w:val="en-US" w:eastAsia="zh-CN" w:bidi="ar"/>
              </w:rPr>
              <w:t>输出接口：电锁*1个，报警输出*1个；</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（8）</w:t>
            </w:r>
            <w:r>
              <w:rPr>
                <w:rFonts w:hint="eastAsia" w:ascii="宋体" w:hAnsi="宋体" w:eastAsia="宋体" w:cs="宋体"/>
                <w:i w:val="0"/>
                <w:iCs w:val="0"/>
                <w:color w:val="auto"/>
                <w:kern w:val="0"/>
                <w:sz w:val="20"/>
                <w:szCs w:val="20"/>
                <w:highlight w:val="none"/>
                <w:u w:val="none"/>
                <w:lang w:val="en-US" w:eastAsia="zh-CN" w:bidi="ar"/>
              </w:rPr>
              <w:t>工作电压： DC 12V/2A，不自带电源；</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（9）</w:t>
            </w:r>
            <w:r>
              <w:rPr>
                <w:rFonts w:hint="eastAsia" w:ascii="宋体" w:hAnsi="宋体" w:eastAsia="宋体" w:cs="宋体"/>
                <w:i w:val="0"/>
                <w:iCs w:val="0"/>
                <w:color w:val="auto"/>
                <w:kern w:val="0"/>
                <w:sz w:val="20"/>
                <w:szCs w:val="20"/>
                <w:highlight w:val="none"/>
                <w:u w:val="none"/>
                <w:lang w:val="en-US" w:eastAsia="zh-CN" w:bidi="ar"/>
              </w:rPr>
              <w:t>使用环境：室内外环境</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台</w:t>
            </w:r>
          </w:p>
        </w:tc>
      </w:tr>
      <w:tr>
        <w:tblPrEx>
          <w:shd w:val="clear" w:color="auto" w:fill="auto"/>
          <w:tblCellMar>
            <w:top w:w="0" w:type="dxa"/>
            <w:left w:w="108" w:type="dxa"/>
            <w:bottom w:w="0" w:type="dxa"/>
            <w:right w:w="108" w:type="dxa"/>
          </w:tblCellMar>
        </w:tblPrEx>
        <w:trPr>
          <w:trHeight w:val="300" w:hRule="atLeast"/>
        </w:trPr>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5</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磁力锁</w:t>
            </w:r>
          </w:p>
        </w:tc>
        <w:tc>
          <w:tcPr>
            <w:tcW w:w="270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left"/>
              <w:textAlignment w:val="center"/>
              <w:rPr>
                <w:rFonts w:hint="eastAsia"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≧360公斤拉力</w:t>
            </w:r>
            <w:r>
              <w:rPr>
                <w:rFonts w:hint="eastAsia" w:cs="宋体"/>
                <w:i w:val="0"/>
                <w:iCs w:val="0"/>
                <w:color w:val="auto"/>
                <w:kern w:val="0"/>
                <w:sz w:val="20"/>
                <w:szCs w:val="20"/>
                <w:highlight w:val="none"/>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双门磁力锁,带信号反馈</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台</w:t>
            </w:r>
          </w:p>
        </w:tc>
      </w:tr>
      <w:tr>
        <w:tblPrEx>
          <w:shd w:val="clear" w:color="auto" w:fill="auto"/>
          <w:tblCellMar>
            <w:top w:w="0" w:type="dxa"/>
            <w:left w:w="108" w:type="dxa"/>
            <w:bottom w:w="0" w:type="dxa"/>
            <w:right w:w="108" w:type="dxa"/>
          </w:tblCellMar>
        </w:tblPrEx>
        <w:trPr>
          <w:trHeight w:val="300" w:hRule="atLeast"/>
        </w:trPr>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6</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开门按钮</w:t>
            </w:r>
          </w:p>
        </w:tc>
        <w:tc>
          <w:tcPr>
            <w:tcW w:w="270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left"/>
              <w:textAlignment w:val="center"/>
              <w:rPr>
                <w:rFonts w:hint="eastAsia"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PVC材质</w:t>
            </w:r>
            <w:r>
              <w:rPr>
                <w:rFonts w:hint="eastAsia" w:cs="宋体"/>
                <w:i w:val="0"/>
                <w:iCs w:val="0"/>
                <w:color w:val="auto"/>
                <w:kern w:val="0"/>
                <w:sz w:val="20"/>
                <w:szCs w:val="20"/>
                <w:highlight w:val="none"/>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≧10000次无故障</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台</w:t>
            </w:r>
          </w:p>
        </w:tc>
      </w:tr>
      <w:tr>
        <w:tblPrEx>
          <w:shd w:val="clear" w:color="auto" w:fill="auto"/>
          <w:tblCellMar>
            <w:top w:w="0" w:type="dxa"/>
            <w:left w:w="108" w:type="dxa"/>
            <w:bottom w:w="0" w:type="dxa"/>
            <w:right w:w="108" w:type="dxa"/>
          </w:tblCellMar>
        </w:tblPrEx>
        <w:trPr>
          <w:trHeight w:val="300" w:hRule="atLeast"/>
        </w:trPr>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7</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单防区脉冲探测器</w:t>
            </w:r>
          </w:p>
        </w:tc>
        <w:tc>
          <w:tcPr>
            <w:tcW w:w="270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left"/>
              <w:textAlignment w:val="center"/>
              <w:rPr>
                <w:rFonts w:hint="eastAsia"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中文液晶显示输出高压脉冲峰值实际电压</w:t>
            </w:r>
            <w:r>
              <w:rPr>
                <w:rFonts w:hint="eastAsia" w:cs="宋体"/>
                <w:i w:val="0"/>
                <w:iCs w:val="0"/>
                <w:color w:val="auto"/>
                <w:kern w:val="0"/>
                <w:sz w:val="20"/>
                <w:szCs w:val="20"/>
                <w:highlight w:val="none"/>
                <w:u w:val="none"/>
                <w:lang w:val="en-US" w:eastAsia="zh-CN" w:bidi="ar"/>
              </w:rPr>
              <w:t>；</w:t>
            </w:r>
          </w:p>
          <w:p>
            <w:pPr>
              <w:keepNext w:val="0"/>
              <w:keepLines w:val="0"/>
              <w:widowControl/>
              <w:suppressLineNumbers w:val="0"/>
              <w:ind w:left="0" w:leftChars="0" w:firstLine="0" w:firstLineChars="0"/>
              <w:jc w:val="left"/>
              <w:textAlignment w:val="center"/>
              <w:rPr>
                <w:rFonts w:hint="eastAsia"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脉冲能量≤5焦耳</w:t>
            </w:r>
            <w:r>
              <w:rPr>
                <w:rFonts w:hint="eastAsia" w:cs="宋体"/>
                <w:i w:val="0"/>
                <w:iCs w:val="0"/>
                <w:color w:val="auto"/>
                <w:kern w:val="0"/>
                <w:sz w:val="20"/>
                <w:szCs w:val="20"/>
                <w:highlight w:val="none"/>
                <w:u w:val="none"/>
                <w:lang w:val="en-US" w:eastAsia="zh-CN" w:bidi="ar"/>
              </w:rPr>
              <w:t>；</w:t>
            </w:r>
          </w:p>
          <w:p>
            <w:pPr>
              <w:keepNext w:val="0"/>
              <w:keepLines w:val="0"/>
              <w:widowControl/>
              <w:suppressLineNumbers w:val="0"/>
              <w:ind w:left="0" w:leftChars="0" w:firstLine="0" w:firstLineChars="0"/>
              <w:jc w:val="left"/>
              <w:textAlignment w:val="center"/>
              <w:rPr>
                <w:rFonts w:hint="eastAsia"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总线控制、键盘、计算机、网络等多种远程集中管理方案</w:t>
            </w:r>
            <w:r>
              <w:rPr>
                <w:rFonts w:hint="eastAsia" w:cs="宋体"/>
                <w:i w:val="0"/>
                <w:iCs w:val="0"/>
                <w:color w:val="auto"/>
                <w:kern w:val="0"/>
                <w:sz w:val="20"/>
                <w:szCs w:val="20"/>
                <w:highlight w:val="none"/>
                <w:u w:val="none"/>
                <w:lang w:val="en-US" w:eastAsia="zh-CN" w:bidi="ar"/>
              </w:rPr>
              <w:t>；</w:t>
            </w:r>
          </w:p>
          <w:p>
            <w:pPr>
              <w:keepNext w:val="0"/>
              <w:keepLines w:val="0"/>
              <w:widowControl/>
              <w:suppressLineNumbers w:val="0"/>
              <w:ind w:left="0" w:leftChars="0" w:firstLine="0" w:firstLineChars="0"/>
              <w:jc w:val="left"/>
              <w:textAlignment w:val="center"/>
              <w:rPr>
                <w:rFonts w:hint="eastAsia"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供电方式AC220/DC12V，短路和断线、防拆、失电多种报警方式</w:t>
            </w:r>
            <w:r>
              <w:rPr>
                <w:rFonts w:hint="eastAsia" w:cs="宋体"/>
                <w:i w:val="0"/>
                <w:iCs w:val="0"/>
                <w:color w:val="auto"/>
                <w:kern w:val="0"/>
                <w:sz w:val="20"/>
                <w:szCs w:val="20"/>
                <w:highlight w:val="none"/>
                <w:u w:val="none"/>
                <w:lang w:val="en-US" w:eastAsia="zh-CN" w:bidi="ar"/>
              </w:rPr>
              <w:t>；</w:t>
            </w:r>
          </w:p>
          <w:p>
            <w:pPr>
              <w:keepNext w:val="0"/>
              <w:keepLines w:val="0"/>
              <w:widowControl/>
              <w:suppressLineNumbers w:val="0"/>
              <w:ind w:left="0" w:leftChars="0" w:firstLine="0" w:firstLineChars="0"/>
              <w:jc w:val="left"/>
              <w:textAlignment w:val="center"/>
              <w:rPr>
                <w:rFonts w:hint="eastAsia"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多级联网，通过控制键盘或控制软件，可实现多级联网</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台</w:t>
            </w:r>
          </w:p>
        </w:tc>
      </w:tr>
      <w:tr>
        <w:tblPrEx>
          <w:shd w:val="clear" w:color="auto" w:fill="auto"/>
          <w:tblCellMar>
            <w:top w:w="0" w:type="dxa"/>
            <w:left w:w="108" w:type="dxa"/>
            <w:bottom w:w="0" w:type="dxa"/>
            <w:right w:w="108" w:type="dxa"/>
          </w:tblCellMar>
        </w:tblPrEx>
        <w:trPr>
          <w:trHeight w:val="300" w:hRule="atLeast"/>
        </w:trPr>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8</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双防区脉冲探测器</w:t>
            </w:r>
          </w:p>
        </w:tc>
        <w:tc>
          <w:tcPr>
            <w:tcW w:w="270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left"/>
              <w:textAlignment w:val="center"/>
              <w:rPr>
                <w:rFonts w:hint="eastAsia"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中文液晶显示输出高压脉冲峰值实际电压</w:t>
            </w:r>
            <w:r>
              <w:rPr>
                <w:rFonts w:hint="eastAsia" w:cs="宋体"/>
                <w:i w:val="0"/>
                <w:iCs w:val="0"/>
                <w:color w:val="auto"/>
                <w:kern w:val="0"/>
                <w:sz w:val="20"/>
                <w:szCs w:val="20"/>
                <w:highlight w:val="none"/>
                <w:u w:val="none"/>
                <w:lang w:val="en-US" w:eastAsia="zh-CN" w:bidi="ar"/>
              </w:rPr>
              <w:t>；</w:t>
            </w:r>
          </w:p>
          <w:p>
            <w:pPr>
              <w:keepNext w:val="0"/>
              <w:keepLines w:val="0"/>
              <w:widowControl/>
              <w:suppressLineNumbers w:val="0"/>
              <w:ind w:left="0" w:leftChars="0" w:firstLine="0" w:firstLineChars="0"/>
              <w:jc w:val="left"/>
              <w:textAlignment w:val="center"/>
              <w:rPr>
                <w:rFonts w:hint="eastAsia"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脉冲能量≤5焦耳</w:t>
            </w:r>
            <w:r>
              <w:rPr>
                <w:rFonts w:hint="eastAsia" w:cs="宋体"/>
                <w:i w:val="0"/>
                <w:iCs w:val="0"/>
                <w:color w:val="auto"/>
                <w:kern w:val="0"/>
                <w:sz w:val="20"/>
                <w:szCs w:val="20"/>
                <w:highlight w:val="none"/>
                <w:u w:val="none"/>
                <w:lang w:val="en-US" w:eastAsia="zh-CN" w:bidi="ar"/>
              </w:rPr>
              <w:t>；</w:t>
            </w:r>
          </w:p>
          <w:p>
            <w:pPr>
              <w:keepNext w:val="0"/>
              <w:keepLines w:val="0"/>
              <w:widowControl/>
              <w:suppressLineNumbers w:val="0"/>
              <w:ind w:left="0" w:leftChars="0" w:firstLine="0" w:firstLineChars="0"/>
              <w:jc w:val="left"/>
              <w:textAlignment w:val="center"/>
              <w:rPr>
                <w:rFonts w:hint="eastAsia"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RS485总线控制、键盘、计算机、网络等多种远程集中管理方案</w:t>
            </w:r>
            <w:r>
              <w:rPr>
                <w:rFonts w:hint="eastAsia" w:cs="宋体"/>
                <w:i w:val="0"/>
                <w:iCs w:val="0"/>
                <w:color w:val="auto"/>
                <w:kern w:val="0"/>
                <w:sz w:val="20"/>
                <w:szCs w:val="20"/>
                <w:highlight w:val="none"/>
                <w:u w:val="none"/>
                <w:lang w:val="en-US" w:eastAsia="zh-CN" w:bidi="ar"/>
              </w:rPr>
              <w:t>；</w:t>
            </w:r>
          </w:p>
          <w:p>
            <w:pPr>
              <w:keepNext w:val="0"/>
              <w:keepLines w:val="0"/>
              <w:widowControl/>
              <w:suppressLineNumbers w:val="0"/>
              <w:ind w:left="0" w:leftChars="0" w:firstLine="0" w:firstLineChars="0"/>
              <w:jc w:val="left"/>
              <w:textAlignment w:val="center"/>
              <w:rPr>
                <w:rFonts w:hint="eastAsia"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供电方式AC220/DC12V，短路和断线、防拆、失电多种报警方式</w:t>
            </w:r>
            <w:r>
              <w:rPr>
                <w:rFonts w:hint="eastAsia" w:cs="宋体"/>
                <w:i w:val="0"/>
                <w:iCs w:val="0"/>
                <w:color w:val="auto"/>
                <w:kern w:val="0"/>
                <w:sz w:val="20"/>
                <w:szCs w:val="20"/>
                <w:highlight w:val="none"/>
                <w:u w:val="none"/>
                <w:lang w:val="en-US" w:eastAsia="zh-CN" w:bidi="ar"/>
              </w:rPr>
              <w:t>；</w:t>
            </w:r>
          </w:p>
          <w:p>
            <w:pPr>
              <w:keepNext w:val="0"/>
              <w:keepLines w:val="0"/>
              <w:widowControl/>
              <w:suppressLineNumbers w:val="0"/>
              <w:ind w:left="0" w:leftChars="0" w:firstLine="0" w:firstLineChars="0"/>
              <w:jc w:val="left"/>
              <w:textAlignment w:val="center"/>
              <w:rPr>
                <w:rFonts w:hint="eastAsia"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多级联网，通过控制键盘或控制软件，可实现多级联网</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台</w:t>
            </w:r>
          </w:p>
        </w:tc>
      </w:tr>
      <w:tr>
        <w:tblPrEx>
          <w:shd w:val="clear" w:color="auto" w:fill="auto"/>
          <w:tblCellMar>
            <w:top w:w="0" w:type="dxa"/>
            <w:left w:w="108" w:type="dxa"/>
            <w:bottom w:w="0" w:type="dxa"/>
            <w:right w:w="108" w:type="dxa"/>
          </w:tblCellMar>
        </w:tblPrEx>
        <w:trPr>
          <w:trHeight w:val="300" w:hRule="atLeast"/>
        </w:trPr>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9</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总线制报警主机</w:t>
            </w:r>
          </w:p>
        </w:tc>
        <w:tc>
          <w:tcPr>
            <w:tcW w:w="270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≧64个防区：自带 ≧8个有线防区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可接≧4个LCD控制键盘</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所有防区以分区的形式管理，最多有≧4个分区，通过编程任意控制一个或所有防区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主机可以对单个分区、防区独立进行布防、撤防操作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可通过电脑任意更改设备、防区的汉字名称</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（6）</w:t>
            </w:r>
            <w:r>
              <w:rPr>
                <w:rFonts w:hint="eastAsia" w:ascii="宋体" w:hAnsi="宋体" w:eastAsia="宋体" w:cs="宋体"/>
                <w:i w:val="0"/>
                <w:iCs w:val="0"/>
                <w:color w:val="auto"/>
                <w:kern w:val="0"/>
                <w:sz w:val="20"/>
                <w:szCs w:val="20"/>
                <w:highlight w:val="none"/>
                <w:u w:val="none"/>
                <w:lang w:val="en-US" w:eastAsia="zh-CN" w:bidi="ar"/>
              </w:rPr>
              <w:t>通讯总线上可带≧2个联动设备，最多≧32路联动输出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（7）</w:t>
            </w:r>
            <w:r>
              <w:rPr>
                <w:rFonts w:hint="eastAsia" w:ascii="宋体" w:hAnsi="宋体" w:eastAsia="宋体" w:cs="宋体"/>
                <w:i w:val="0"/>
                <w:iCs w:val="0"/>
                <w:color w:val="auto"/>
                <w:kern w:val="0"/>
                <w:sz w:val="20"/>
                <w:szCs w:val="20"/>
                <w:highlight w:val="none"/>
                <w:u w:val="none"/>
                <w:lang w:val="en-US" w:eastAsia="zh-CN" w:bidi="ar"/>
              </w:rPr>
              <w:t>支持电话报警，≧1组中心号码（CID协议）,≧8组用户号码</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（8）</w:t>
            </w:r>
            <w:r>
              <w:rPr>
                <w:rFonts w:hint="eastAsia" w:ascii="宋体" w:hAnsi="宋体" w:eastAsia="宋体" w:cs="宋体"/>
                <w:i w:val="0"/>
                <w:iCs w:val="0"/>
                <w:color w:val="auto"/>
                <w:kern w:val="0"/>
                <w:sz w:val="20"/>
                <w:szCs w:val="20"/>
                <w:highlight w:val="none"/>
                <w:u w:val="none"/>
                <w:lang w:val="en-US" w:eastAsia="zh-CN" w:bidi="ar"/>
              </w:rPr>
              <w:t xml:space="preserve">≧28个密码。密码的权限可以任意编程，包括：安装密码、键盘密码、分区密码、防区密码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（9）</w:t>
            </w:r>
            <w:r>
              <w:rPr>
                <w:rFonts w:hint="eastAsia" w:ascii="宋体" w:hAnsi="宋体" w:eastAsia="宋体" w:cs="宋体"/>
                <w:i w:val="0"/>
                <w:iCs w:val="0"/>
                <w:color w:val="auto"/>
                <w:kern w:val="0"/>
                <w:sz w:val="20"/>
                <w:szCs w:val="20"/>
                <w:highlight w:val="none"/>
                <w:u w:val="none"/>
                <w:lang w:val="en-US" w:eastAsia="zh-CN" w:bidi="ar"/>
              </w:rPr>
              <w:t>通过键盘密码、遥控器、中心电脑对主机进行布撤防</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（10）</w:t>
            </w:r>
            <w:r>
              <w:rPr>
                <w:rFonts w:hint="eastAsia" w:ascii="宋体" w:hAnsi="宋体" w:eastAsia="宋体" w:cs="宋体"/>
                <w:i w:val="0"/>
                <w:iCs w:val="0"/>
                <w:color w:val="auto"/>
                <w:kern w:val="0"/>
                <w:sz w:val="20"/>
                <w:szCs w:val="20"/>
                <w:highlight w:val="none"/>
                <w:u w:val="none"/>
                <w:lang w:val="en-US" w:eastAsia="zh-CN" w:bidi="ar"/>
              </w:rPr>
              <w:t>可以分别存储各≧30条的报警和操作纪录，掉电保存</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1</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台</w:t>
            </w:r>
          </w:p>
        </w:tc>
      </w:tr>
      <w:tr>
        <w:tblPrEx>
          <w:shd w:val="clear" w:color="auto" w:fill="auto"/>
          <w:tblCellMar>
            <w:top w:w="0" w:type="dxa"/>
            <w:left w:w="108" w:type="dxa"/>
            <w:bottom w:w="0" w:type="dxa"/>
            <w:right w:w="108" w:type="dxa"/>
          </w:tblCellMar>
        </w:tblPrEx>
        <w:trPr>
          <w:trHeight w:val="300" w:hRule="atLeast"/>
        </w:trPr>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10</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1防区扩展模块</w:t>
            </w:r>
          </w:p>
        </w:tc>
        <w:tc>
          <w:tcPr>
            <w:tcW w:w="270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可接入1个常闭NC防区，使用线末电阻监控防止破坏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采用总线通讯方式，可与报警主机配套使用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 xml:space="preserve">当所连接的探测设备被非法断开时，会发出报警信息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体积小，可嵌入各种类型的探测器中</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带有地址编码设置开关</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（6）</w:t>
            </w:r>
            <w:r>
              <w:rPr>
                <w:rFonts w:hint="eastAsia" w:ascii="宋体" w:hAnsi="宋体" w:eastAsia="宋体" w:cs="宋体"/>
                <w:i w:val="0"/>
                <w:iCs w:val="0"/>
                <w:color w:val="auto"/>
                <w:kern w:val="0"/>
                <w:sz w:val="20"/>
                <w:szCs w:val="20"/>
                <w:highlight w:val="none"/>
                <w:u w:val="none"/>
                <w:lang w:val="en-US" w:eastAsia="zh-CN" w:bidi="ar"/>
              </w:rPr>
              <w:t>带有总线通讯保护电路</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只</w:t>
            </w:r>
          </w:p>
        </w:tc>
      </w:tr>
      <w:tr>
        <w:tblPrEx>
          <w:shd w:val="clear" w:color="auto" w:fill="auto"/>
          <w:tblCellMar>
            <w:top w:w="0" w:type="dxa"/>
            <w:left w:w="108" w:type="dxa"/>
            <w:bottom w:w="0" w:type="dxa"/>
            <w:right w:w="108" w:type="dxa"/>
          </w:tblCellMar>
        </w:tblPrEx>
        <w:trPr>
          <w:trHeight w:val="300" w:hRule="atLeast"/>
        </w:trPr>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11</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2防区扩展模块</w:t>
            </w:r>
          </w:p>
        </w:tc>
        <w:tc>
          <w:tcPr>
            <w:tcW w:w="270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可接入</w:t>
            </w:r>
            <w:r>
              <w:rPr>
                <w:rFonts w:hint="eastAsia"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个常闭NC防区，使用线末电阻监控防止破坏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采用总线通讯方式，可与报警主机配套使用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 xml:space="preserve">当所连接的探测设备被非法断开时，会发出报警信息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体积小，可嵌入各种类型的探测器中</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带有地址编码设置开关</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（6）</w:t>
            </w:r>
            <w:r>
              <w:rPr>
                <w:rFonts w:hint="eastAsia" w:ascii="宋体" w:hAnsi="宋体" w:eastAsia="宋体" w:cs="宋体"/>
                <w:i w:val="0"/>
                <w:iCs w:val="0"/>
                <w:color w:val="auto"/>
                <w:kern w:val="0"/>
                <w:sz w:val="20"/>
                <w:szCs w:val="20"/>
                <w:highlight w:val="none"/>
                <w:u w:val="none"/>
                <w:lang w:val="en-US" w:eastAsia="zh-CN" w:bidi="ar"/>
              </w:rPr>
              <w:t>带有总线通讯保护电路</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只</w:t>
            </w:r>
          </w:p>
        </w:tc>
      </w:tr>
      <w:tr>
        <w:tblPrEx>
          <w:shd w:val="clear" w:color="auto" w:fill="auto"/>
          <w:tblCellMar>
            <w:top w:w="0" w:type="dxa"/>
            <w:left w:w="108" w:type="dxa"/>
            <w:bottom w:w="0" w:type="dxa"/>
            <w:right w:w="108" w:type="dxa"/>
          </w:tblCellMar>
        </w:tblPrEx>
        <w:trPr>
          <w:trHeight w:val="300" w:hRule="atLeast"/>
        </w:trPr>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12</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联动继电器模块</w:t>
            </w:r>
          </w:p>
        </w:tc>
        <w:tc>
          <w:tcPr>
            <w:tcW w:w="270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联动继电器模块是具有网络和总线通讯功能的设备，报警主机可以按预定条件(报警触发等)控制它打开或闭合某一个或多个继电器，从而达到联动灯光、警号等各种设备的控制。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主板带16路继电器输出，每增加一块扩展板，即可增加16路继电器输出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支持RS485总线通讯或IP网络通讯两种模式（IP通讯要另配IP网络模块）</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只</w:t>
            </w:r>
          </w:p>
        </w:tc>
      </w:tr>
      <w:tr>
        <w:tblPrEx>
          <w:shd w:val="clear" w:color="auto" w:fill="auto"/>
          <w:tblCellMar>
            <w:top w:w="0" w:type="dxa"/>
            <w:left w:w="108" w:type="dxa"/>
            <w:bottom w:w="0" w:type="dxa"/>
            <w:right w:w="108" w:type="dxa"/>
          </w:tblCellMar>
        </w:tblPrEx>
        <w:trPr>
          <w:trHeight w:val="300" w:hRule="atLeast"/>
        </w:trPr>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cs="宋体"/>
                <w:i w:val="0"/>
                <w:iCs w:val="0"/>
                <w:color w:val="auto"/>
                <w:kern w:val="0"/>
                <w:sz w:val="20"/>
                <w:szCs w:val="20"/>
                <w:highlight w:val="none"/>
                <w:u w:val="none"/>
                <w:lang w:val="en-US" w:eastAsia="zh-CN" w:bidi="ar"/>
              </w:rPr>
              <w:t>13</w:t>
            </w:r>
          </w:p>
        </w:tc>
        <w:tc>
          <w:tcPr>
            <w:tcW w:w="15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中心管理软件</w:t>
            </w:r>
          </w:p>
        </w:tc>
        <w:tc>
          <w:tcPr>
            <w:tcW w:w="4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兼容三种网络结构(电话联网型、总线联网型、IP联网型)接警中心软件,带加密狗。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兼容</w:t>
            </w:r>
            <w:r>
              <w:rPr>
                <w:rFonts w:hint="eastAsia" w:cs="宋体"/>
                <w:i w:val="0"/>
                <w:iCs w:val="0"/>
                <w:color w:val="auto"/>
                <w:kern w:val="0"/>
                <w:sz w:val="20"/>
                <w:szCs w:val="20"/>
                <w:highlight w:val="none"/>
                <w:u w:val="none"/>
                <w:lang w:val="en-US" w:eastAsia="zh-CN" w:bidi="ar"/>
              </w:rPr>
              <w:t>原有管理软件</w:t>
            </w:r>
            <w:r>
              <w:rPr>
                <w:rFonts w:hint="eastAsia" w:ascii="宋体" w:hAnsi="宋体" w:eastAsia="宋体" w:cs="宋体"/>
                <w:i w:val="0"/>
                <w:iCs w:val="0"/>
                <w:color w:val="auto"/>
                <w:kern w:val="0"/>
                <w:sz w:val="20"/>
                <w:szCs w:val="20"/>
                <w:highlight w:val="none"/>
                <w:u w:val="none"/>
                <w:lang w:val="en-US" w:eastAsia="zh-CN" w:bidi="ar"/>
              </w:rPr>
              <w:t>所有功能。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增加刷卡器设备，每个通讯机最多支持≧16台刷卡器，每台刷卡器最多支持≧2000张卡。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开关控制部分，</w:t>
            </w:r>
            <w:r>
              <w:rPr>
                <w:rFonts w:hint="eastAsia" w:cs="宋体"/>
                <w:i w:val="0"/>
                <w:iCs w:val="0"/>
                <w:color w:val="auto"/>
                <w:kern w:val="0"/>
                <w:sz w:val="20"/>
                <w:szCs w:val="20"/>
                <w:highlight w:val="none"/>
                <w:u w:val="none"/>
                <w:lang w:val="en-US" w:eastAsia="zh-CN" w:bidi="ar"/>
              </w:rPr>
              <w:t>原有管理软件</w:t>
            </w:r>
            <w:r>
              <w:rPr>
                <w:rFonts w:hint="eastAsia" w:ascii="宋体" w:hAnsi="宋体" w:eastAsia="宋体" w:cs="宋体"/>
                <w:i w:val="0"/>
                <w:iCs w:val="0"/>
                <w:color w:val="auto"/>
                <w:kern w:val="0"/>
                <w:sz w:val="20"/>
                <w:szCs w:val="20"/>
                <w:highlight w:val="none"/>
                <w:u w:val="none"/>
                <w:lang w:val="en-US" w:eastAsia="zh-CN" w:bidi="ar"/>
              </w:rPr>
              <w:t>手动的基础上每个开关增加3个时间段的自动控制。手动和自动的每个开关的名称可修改、每个操作时间可以0-5000秒修改、操作记录写入数据库。联动的时间生效后，软件自动减少每一开关的时间（0秒不用），实时更新开关状态。</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开关控制面板，每张面板最多支持≧100个开关组，每个开关组最多支持≧100个开关，可以同时对该组中的所有开关同时开合，并通过灯的颜色显示部分、全部开关的实时状态。最多支持≧10张开关控制面板</w:t>
            </w:r>
          </w:p>
        </w:tc>
        <w:tc>
          <w:tcPr>
            <w:tcW w:w="8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p>
        </w:tc>
        <w:tc>
          <w:tcPr>
            <w:tcW w:w="8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套</w:t>
            </w:r>
          </w:p>
        </w:tc>
      </w:tr>
    </w:tbl>
    <w:p>
      <w:pPr>
        <w:bidi w:val="0"/>
        <w:rPr>
          <w:rFonts w:hint="eastAsia"/>
          <w:color w:val="auto"/>
          <w:highlight w:val="none"/>
        </w:rPr>
      </w:pPr>
    </w:p>
    <w:p>
      <w:pPr>
        <w:pStyle w:val="5"/>
        <w:ind w:firstLine="482"/>
        <w:rPr>
          <w:rFonts w:ascii="宋体" w:hAnsi="宋体" w:cs="宋体"/>
          <w:color w:val="auto"/>
          <w:highlight w:val="none"/>
        </w:rPr>
      </w:pPr>
      <w:bookmarkStart w:id="83" w:name="_Toc26193"/>
      <w:r>
        <w:rPr>
          <w:rFonts w:hint="eastAsia" w:ascii="宋体" w:hAnsi="宋体" w:cs="宋体"/>
          <w:color w:val="auto"/>
          <w:highlight w:val="none"/>
        </w:rPr>
        <w:t>五、工程管理的要求</w:t>
      </w:r>
      <w:bookmarkEnd w:id="83"/>
    </w:p>
    <w:p>
      <w:pPr>
        <w:widowControl/>
        <w:ind w:firstLine="420"/>
        <w:rPr>
          <w:rFonts w:cs="宋体"/>
          <w:color w:val="auto"/>
          <w:szCs w:val="21"/>
          <w:highlight w:val="none"/>
        </w:rPr>
      </w:pPr>
      <w:r>
        <w:rPr>
          <w:rFonts w:hint="eastAsia" w:cs="宋体"/>
          <w:color w:val="auto"/>
          <w:szCs w:val="21"/>
          <w:highlight w:val="none"/>
        </w:rPr>
        <w:t>1、本工程发包范围内的工程项目，除前附表中提到的分包范围之后的其它工程量均未经招标人同意一律不得分包。一经发现立即取消承包资格，作违约处理，并承担由此引起的一切经济损失。</w:t>
      </w:r>
    </w:p>
    <w:p>
      <w:pPr>
        <w:widowControl/>
        <w:ind w:firstLine="420"/>
        <w:rPr>
          <w:rFonts w:cs="宋体"/>
          <w:color w:val="auto"/>
          <w:szCs w:val="21"/>
          <w:highlight w:val="none"/>
        </w:rPr>
      </w:pPr>
      <w:r>
        <w:rPr>
          <w:rFonts w:hint="eastAsia" w:cs="宋体"/>
          <w:color w:val="auto"/>
          <w:szCs w:val="21"/>
          <w:highlight w:val="none"/>
        </w:rPr>
        <w:t>2、中标人应严格按已确认施工技术方案组织施工，并无条件地接受招标人代表对施工质量的监督和管理。</w:t>
      </w:r>
    </w:p>
    <w:p>
      <w:pPr>
        <w:widowControl/>
        <w:ind w:firstLine="420"/>
        <w:rPr>
          <w:rFonts w:cs="宋体"/>
          <w:color w:val="auto"/>
          <w:szCs w:val="21"/>
          <w:highlight w:val="none"/>
        </w:rPr>
      </w:pPr>
      <w:r>
        <w:rPr>
          <w:rFonts w:hint="eastAsia" w:cs="宋体"/>
          <w:color w:val="auto"/>
          <w:szCs w:val="21"/>
          <w:highlight w:val="none"/>
        </w:rPr>
        <w:t>3、中标人在工程施工全过程中要认真做好产品保护、施工场地设施保护以及现场周边和内部临界区域安全防护措施。因失窃或失火造成的损失均由承包方负责，凡由此而损及招标人利益时，招标人将向中标施工单位索赔。</w:t>
      </w:r>
    </w:p>
    <w:p>
      <w:pPr>
        <w:pStyle w:val="5"/>
        <w:ind w:firstLine="482"/>
        <w:rPr>
          <w:rFonts w:ascii="宋体" w:hAnsi="宋体" w:cs="宋体"/>
          <w:color w:val="auto"/>
          <w:highlight w:val="none"/>
        </w:rPr>
      </w:pPr>
      <w:bookmarkStart w:id="84" w:name="_Toc21067"/>
      <w:r>
        <w:rPr>
          <w:rFonts w:hint="eastAsia" w:ascii="宋体" w:hAnsi="宋体" w:cs="宋体"/>
          <w:color w:val="auto"/>
          <w:highlight w:val="none"/>
        </w:rPr>
        <w:t>六、</w:t>
      </w:r>
      <w:bookmarkEnd w:id="84"/>
      <w:bookmarkStart w:id="85" w:name="_Toc24817"/>
      <w:r>
        <w:rPr>
          <w:rFonts w:hint="eastAsia" w:ascii="宋体" w:hAnsi="宋体" w:cs="宋体"/>
          <w:color w:val="auto"/>
          <w:highlight w:val="none"/>
        </w:rPr>
        <w:t>保修的要求</w:t>
      </w:r>
      <w:bookmarkEnd w:id="85"/>
    </w:p>
    <w:p>
      <w:pPr>
        <w:widowControl/>
        <w:ind w:firstLine="420"/>
        <w:rPr>
          <w:rFonts w:cs="宋体"/>
          <w:color w:val="auto"/>
          <w:sz w:val="20"/>
          <w:szCs w:val="20"/>
          <w:highlight w:val="none"/>
        </w:rPr>
      </w:pPr>
      <w:r>
        <w:rPr>
          <w:rFonts w:hint="eastAsia" w:cs="宋体"/>
          <w:color w:val="auto"/>
          <w:szCs w:val="21"/>
          <w:highlight w:val="none"/>
        </w:rPr>
        <w:t>1、承包方施工完毕，并在工程竣工验收合格办理移交手续之日，在签订的工程质量保修书期限内，为发包方提供免费服务。</w:t>
      </w:r>
    </w:p>
    <w:p>
      <w:pPr>
        <w:widowControl/>
        <w:ind w:firstLine="420"/>
        <w:rPr>
          <w:rFonts w:cs="宋体"/>
          <w:color w:val="auto"/>
          <w:sz w:val="20"/>
          <w:szCs w:val="20"/>
          <w:highlight w:val="none"/>
        </w:rPr>
      </w:pPr>
      <w:r>
        <w:rPr>
          <w:rFonts w:hint="eastAsia" w:cs="宋体"/>
          <w:color w:val="auto"/>
          <w:szCs w:val="21"/>
          <w:highlight w:val="none"/>
        </w:rPr>
        <w:t>2、质量保证金为结算价的2.5%,待保修期结束，按合同约定结清。</w:t>
      </w:r>
    </w:p>
    <w:p>
      <w:pPr>
        <w:widowControl/>
        <w:ind w:firstLine="420"/>
        <w:rPr>
          <w:rFonts w:cs="宋体"/>
          <w:color w:val="auto"/>
          <w:sz w:val="20"/>
          <w:szCs w:val="20"/>
          <w:highlight w:val="none"/>
        </w:rPr>
      </w:pPr>
      <w:r>
        <w:rPr>
          <w:rFonts w:hint="eastAsia" w:cs="宋体"/>
          <w:color w:val="auto"/>
          <w:szCs w:val="21"/>
          <w:highlight w:val="none"/>
        </w:rPr>
        <w:t>3、中标后承包方应与发包人签订工程质量保修书，承包人在质量保修期内，按照有关法律、法规、规章的管理规定和双方约定，承担本项目质量保修责任。</w:t>
      </w:r>
    </w:p>
    <w:p>
      <w:pPr>
        <w:widowControl/>
        <w:ind w:firstLine="420"/>
        <w:rPr>
          <w:rFonts w:cs="宋体"/>
          <w:color w:val="auto"/>
          <w:sz w:val="20"/>
          <w:szCs w:val="20"/>
          <w:highlight w:val="none"/>
        </w:rPr>
      </w:pPr>
      <w:r>
        <w:rPr>
          <w:rFonts w:hint="eastAsia" w:cs="宋体"/>
          <w:color w:val="auto"/>
          <w:szCs w:val="21"/>
          <w:highlight w:val="none"/>
        </w:rPr>
        <w:t>4、承包方要对其所提供的施工、材料、设备及其内在工程质量负全部责任。</w:t>
      </w:r>
    </w:p>
    <w:p>
      <w:pPr>
        <w:pStyle w:val="5"/>
        <w:ind w:firstLine="482"/>
        <w:rPr>
          <w:rFonts w:ascii="宋体" w:hAnsi="宋体" w:cs="宋体"/>
          <w:color w:val="auto"/>
          <w:highlight w:val="none"/>
        </w:rPr>
      </w:pPr>
      <w:bookmarkStart w:id="86" w:name="_Toc1394"/>
      <w:r>
        <w:rPr>
          <w:rFonts w:hint="eastAsia" w:ascii="宋体" w:hAnsi="宋体" w:cs="宋体"/>
          <w:color w:val="auto"/>
          <w:highlight w:val="none"/>
        </w:rPr>
        <w:t>七、其他要求</w:t>
      </w:r>
      <w:bookmarkEnd w:id="86"/>
    </w:p>
    <w:p>
      <w:pPr>
        <w:widowControl/>
        <w:ind w:firstLine="420"/>
        <w:rPr>
          <w:rFonts w:cs="宋体"/>
          <w:color w:val="auto"/>
          <w:szCs w:val="21"/>
          <w:highlight w:val="none"/>
        </w:rPr>
      </w:pPr>
      <w:r>
        <w:rPr>
          <w:rFonts w:hint="eastAsia" w:cs="宋体"/>
          <w:color w:val="auto"/>
          <w:szCs w:val="21"/>
          <w:highlight w:val="none"/>
        </w:rPr>
        <w:t>1、中标人施工前，要制定详细的施工方案和进度计划，经建设单位批准后方可开工。否则不允许开工，造成工期延误由施工方负责。</w:t>
      </w:r>
    </w:p>
    <w:p>
      <w:pPr>
        <w:widowControl/>
        <w:ind w:firstLine="420"/>
        <w:rPr>
          <w:rFonts w:cs="宋体"/>
          <w:color w:val="auto"/>
          <w:szCs w:val="21"/>
          <w:highlight w:val="none"/>
        </w:rPr>
      </w:pPr>
      <w:r>
        <w:rPr>
          <w:rFonts w:hint="eastAsia" w:cs="宋体"/>
          <w:color w:val="auto"/>
          <w:szCs w:val="21"/>
          <w:highlight w:val="none"/>
        </w:rPr>
        <w:t>2、施工过程做好隐蔽工程的验收，每个分项工程、检验批经建设单位验收合格后方可隐蔽。未经隐蔽工程验收就擅自隐蔽，建设单位有权进行剥露检查，发生费用由施工方负责。</w:t>
      </w:r>
    </w:p>
    <w:p>
      <w:pPr>
        <w:widowControl/>
        <w:ind w:firstLine="420"/>
        <w:rPr>
          <w:rFonts w:cs="宋体"/>
          <w:color w:val="auto"/>
          <w:szCs w:val="21"/>
          <w:highlight w:val="none"/>
        </w:rPr>
      </w:pPr>
      <w:r>
        <w:rPr>
          <w:rFonts w:hint="eastAsia" w:cs="宋体"/>
          <w:color w:val="auto"/>
          <w:szCs w:val="21"/>
          <w:highlight w:val="none"/>
        </w:rPr>
        <w:t>3、工程中使用材料必须是环保无污染材料，并进行防火处理。进场必须提供合格证和检测报告，按照验收规范要求进行材料复试的，由建设单位抽样进行复试，确保材料符合设计要求，达到防火、环保要求。电气使用管、盒、线等应符合设计防火 A 级要求，确保材料达到阻燃要求。</w:t>
      </w:r>
    </w:p>
    <w:p>
      <w:pPr>
        <w:widowControl/>
        <w:ind w:left="199" w:leftChars="95" w:firstLine="210" w:firstLineChars="100"/>
        <w:rPr>
          <w:rFonts w:cs="宋体"/>
          <w:color w:val="auto"/>
          <w:szCs w:val="21"/>
          <w:highlight w:val="none"/>
        </w:rPr>
      </w:pPr>
      <w:r>
        <w:rPr>
          <w:rFonts w:hint="eastAsia" w:cs="宋体"/>
          <w:color w:val="auto"/>
          <w:szCs w:val="21"/>
          <w:highlight w:val="none"/>
        </w:rPr>
        <w:t>4、工程中使用装饰材料在施工前，必须向建设单位提供样品、做样板，经建设单位确认后方可施工。否则返工发生费用施工方自付。</w:t>
      </w:r>
    </w:p>
    <w:p>
      <w:pPr>
        <w:widowControl/>
        <w:ind w:firstLine="420"/>
        <w:rPr>
          <w:rFonts w:cs="宋体"/>
          <w:color w:val="auto"/>
          <w:sz w:val="20"/>
          <w:szCs w:val="20"/>
          <w:highlight w:val="none"/>
        </w:rPr>
      </w:pPr>
      <w:r>
        <w:rPr>
          <w:rFonts w:hint="eastAsia" w:cs="宋体"/>
          <w:color w:val="auto"/>
          <w:szCs w:val="21"/>
          <w:highlight w:val="none"/>
        </w:rPr>
        <w:t>5、工程使用材料、设备要建立档案，分部分项工程建立工程验收档案。工程完工后，向建设单位移交工程档案，档案资料不齐全、不符合要求，工程不予结算。</w:t>
      </w:r>
    </w:p>
    <w:p>
      <w:pPr>
        <w:widowControl/>
        <w:ind w:firstLine="420"/>
        <w:rPr>
          <w:rFonts w:cs="宋体"/>
          <w:color w:val="auto"/>
          <w:szCs w:val="21"/>
          <w:highlight w:val="none"/>
        </w:rPr>
      </w:pPr>
      <w:bookmarkStart w:id="87" w:name="page25"/>
      <w:bookmarkEnd w:id="87"/>
      <w:r>
        <w:rPr>
          <w:rFonts w:hint="eastAsia" w:cs="宋体"/>
          <w:color w:val="auto"/>
          <w:szCs w:val="21"/>
          <w:highlight w:val="none"/>
        </w:rPr>
        <w:t>6、工程结束后施工方在自检合格基础上，报建设单位验收。建设单位组织设计、施工相关参与方进行验收，相关设备、仪器等功能检测要求进行现场试验和检测，验收合格方可投入使用。</w:t>
      </w:r>
    </w:p>
    <w:p>
      <w:pPr>
        <w:pStyle w:val="2"/>
        <w:spacing w:line="360" w:lineRule="auto"/>
        <w:ind w:firstLine="403"/>
        <w:rPr>
          <w:rFonts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7、本工程需根据招标人工程要求按步推进，具体工序及工期要求按照采购方根据现场实际情况确定，因须配合设备安装要求而造成的工期延误，招标人将不进行任何形式的索赔。</w:t>
      </w:r>
    </w:p>
    <w:p>
      <w:pPr>
        <w:pStyle w:val="31"/>
        <w:adjustRightInd w:val="0"/>
        <w:snapToGrid w:val="0"/>
        <w:spacing w:before="0"/>
        <w:ind w:firstLine="422"/>
        <w:rPr>
          <w:rFonts w:ascii="宋体" w:hAnsi="宋体" w:cs="宋体"/>
          <w:color w:val="auto"/>
          <w:szCs w:val="21"/>
          <w:highlight w:val="none"/>
        </w:rPr>
      </w:pPr>
      <w:r>
        <w:rPr>
          <w:rFonts w:hint="eastAsia" w:ascii="宋体" w:hAnsi="宋体" w:cs="宋体"/>
          <w:b/>
          <w:color w:val="auto"/>
          <w:sz w:val="21"/>
          <w:szCs w:val="21"/>
          <w:highlight w:val="none"/>
          <w:u w:val="single"/>
        </w:rPr>
        <w:t>投标人应先到工地踏勘以充分了解工地位置、周边环境、需拆除部分情况、道路、储存空间、装卸限制及任何其它足以影响承包价的情况，任何因忽视或误解工地情况而导致的索赔或工期延长申请将不获批准。</w:t>
      </w:r>
    </w:p>
    <w:p>
      <w:pPr>
        <w:pStyle w:val="5"/>
        <w:ind w:firstLine="482"/>
        <w:rPr>
          <w:rFonts w:ascii="宋体" w:hAnsi="宋体" w:cs="宋体"/>
          <w:color w:val="auto"/>
          <w:highlight w:val="none"/>
        </w:rPr>
      </w:pPr>
      <w:bookmarkStart w:id="88" w:name="_Toc3589"/>
      <w:r>
        <w:rPr>
          <w:rFonts w:hint="eastAsia" w:ascii="宋体" w:hAnsi="宋体" w:cs="宋体"/>
          <w:color w:val="auto"/>
          <w:highlight w:val="none"/>
        </w:rPr>
        <w:t>八、图纸、工程量清单、工程量清单编制说明另附；</w:t>
      </w:r>
      <w:bookmarkEnd w:id="88"/>
    </w:p>
    <w:p>
      <w:pPr>
        <w:pStyle w:val="5"/>
        <w:ind w:firstLine="482"/>
        <w:rPr>
          <w:rFonts w:ascii="宋体" w:hAnsi="宋体" w:cs="宋体"/>
          <w:color w:val="auto"/>
          <w:highlight w:val="none"/>
        </w:rPr>
      </w:pPr>
      <w:bookmarkStart w:id="89" w:name="_Toc7097"/>
      <w:r>
        <w:rPr>
          <w:rFonts w:hint="eastAsia" w:ascii="宋体" w:hAnsi="宋体" w:cs="宋体"/>
          <w:color w:val="auto"/>
          <w:highlight w:val="none"/>
        </w:rPr>
        <w:t>九、部分主要材料设备推荐品牌表</w:t>
      </w:r>
      <w:bookmarkEnd w:id="89"/>
    </w:p>
    <w:tbl>
      <w:tblPr>
        <w:tblStyle w:val="21"/>
        <w:tblW w:w="8712" w:type="dxa"/>
        <w:jc w:val="center"/>
        <w:tblLayout w:type="fixed"/>
        <w:tblCellMar>
          <w:top w:w="0" w:type="dxa"/>
          <w:left w:w="108" w:type="dxa"/>
          <w:bottom w:w="0" w:type="dxa"/>
          <w:right w:w="108" w:type="dxa"/>
        </w:tblCellMar>
      </w:tblPr>
      <w:tblGrid>
        <w:gridCol w:w="600"/>
        <w:gridCol w:w="2384"/>
        <w:gridCol w:w="3795"/>
        <w:gridCol w:w="985"/>
        <w:gridCol w:w="948"/>
      </w:tblGrid>
      <w:tr>
        <w:tblPrEx>
          <w:tblCellMar>
            <w:top w:w="0" w:type="dxa"/>
            <w:left w:w="108" w:type="dxa"/>
            <w:bottom w:w="0" w:type="dxa"/>
            <w:right w:w="108" w:type="dxa"/>
          </w:tblCellMar>
        </w:tblPrEx>
        <w:trPr>
          <w:trHeight w:val="600" w:hRule="atLeast"/>
          <w:jc w:val="center"/>
        </w:trPr>
        <w:tc>
          <w:tcPr>
            <w:tcW w:w="6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left="0" w:leftChars="0" w:right="0" w:rightChars="0" w:firstLine="0" w:firstLineChars="0"/>
              <w:jc w:val="center"/>
              <w:rPr>
                <w:rFonts w:cs="宋体"/>
                <w:color w:val="auto"/>
                <w:kern w:val="0"/>
                <w:sz w:val="21"/>
                <w:szCs w:val="21"/>
                <w:highlight w:val="none"/>
              </w:rPr>
            </w:pPr>
            <w:r>
              <w:rPr>
                <w:rFonts w:hint="eastAsia" w:cs="宋体"/>
                <w:color w:val="auto"/>
                <w:kern w:val="0"/>
                <w:sz w:val="21"/>
                <w:szCs w:val="21"/>
                <w:highlight w:val="none"/>
              </w:rPr>
              <w:t>序号</w:t>
            </w:r>
          </w:p>
        </w:tc>
        <w:tc>
          <w:tcPr>
            <w:tcW w:w="2384"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ind w:left="0" w:leftChars="0" w:right="0" w:rightChars="0" w:firstLine="0" w:firstLineChars="0"/>
              <w:jc w:val="center"/>
              <w:rPr>
                <w:rFonts w:cs="宋体"/>
                <w:color w:val="auto"/>
                <w:kern w:val="0"/>
                <w:sz w:val="21"/>
                <w:szCs w:val="21"/>
                <w:highlight w:val="none"/>
              </w:rPr>
            </w:pPr>
            <w:r>
              <w:rPr>
                <w:rFonts w:hint="eastAsia" w:cs="宋体"/>
                <w:color w:val="auto"/>
                <w:kern w:val="0"/>
                <w:sz w:val="21"/>
                <w:szCs w:val="21"/>
                <w:highlight w:val="none"/>
              </w:rPr>
              <w:t>材料（设备）名称</w:t>
            </w:r>
          </w:p>
        </w:tc>
        <w:tc>
          <w:tcPr>
            <w:tcW w:w="3795" w:type="dxa"/>
            <w:tcBorders>
              <w:top w:val="single" w:color="auto" w:sz="4" w:space="0"/>
              <w:left w:val="nil"/>
              <w:bottom w:val="nil"/>
              <w:right w:val="single" w:color="auto" w:sz="4" w:space="0"/>
            </w:tcBorders>
            <w:shd w:val="clear" w:color="auto" w:fill="auto"/>
            <w:vAlign w:val="center"/>
          </w:tcPr>
          <w:p>
            <w:pPr>
              <w:widowControl/>
              <w:spacing w:line="240" w:lineRule="auto"/>
              <w:ind w:left="0" w:leftChars="0" w:right="0" w:rightChars="0" w:firstLine="0" w:firstLineChars="0"/>
              <w:jc w:val="center"/>
              <w:rPr>
                <w:rFonts w:cs="宋体"/>
                <w:color w:val="auto"/>
                <w:kern w:val="0"/>
                <w:sz w:val="21"/>
                <w:szCs w:val="21"/>
                <w:highlight w:val="none"/>
              </w:rPr>
            </w:pPr>
            <w:r>
              <w:rPr>
                <w:rFonts w:hint="eastAsia" w:cs="宋体"/>
                <w:color w:val="auto"/>
                <w:kern w:val="0"/>
                <w:sz w:val="21"/>
                <w:szCs w:val="21"/>
                <w:highlight w:val="none"/>
              </w:rPr>
              <w:t>材料品牌或型号</w:t>
            </w:r>
          </w:p>
        </w:tc>
        <w:tc>
          <w:tcPr>
            <w:tcW w:w="985"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ind w:left="0" w:leftChars="0" w:right="0" w:rightChars="0" w:firstLine="0" w:firstLineChars="0"/>
              <w:jc w:val="center"/>
              <w:rPr>
                <w:rFonts w:cs="宋体"/>
                <w:color w:val="auto"/>
                <w:kern w:val="0"/>
                <w:sz w:val="21"/>
                <w:szCs w:val="21"/>
                <w:highlight w:val="none"/>
              </w:rPr>
            </w:pPr>
            <w:r>
              <w:rPr>
                <w:rFonts w:hint="eastAsia" w:cs="宋体"/>
                <w:color w:val="auto"/>
                <w:kern w:val="0"/>
                <w:sz w:val="21"/>
                <w:szCs w:val="21"/>
                <w:highlight w:val="none"/>
              </w:rPr>
              <w:t>等级</w:t>
            </w:r>
          </w:p>
        </w:tc>
        <w:tc>
          <w:tcPr>
            <w:tcW w:w="948" w:type="dxa"/>
            <w:tcBorders>
              <w:top w:val="single" w:color="auto" w:sz="4" w:space="0"/>
              <w:left w:val="nil"/>
              <w:bottom w:val="nil"/>
              <w:right w:val="single" w:color="auto" w:sz="4" w:space="0"/>
            </w:tcBorders>
            <w:shd w:val="clear" w:color="auto" w:fill="auto"/>
            <w:vAlign w:val="center"/>
          </w:tcPr>
          <w:p>
            <w:pPr>
              <w:widowControl/>
              <w:spacing w:line="240" w:lineRule="auto"/>
              <w:ind w:left="0" w:leftChars="0" w:right="0" w:rightChars="0" w:firstLine="0" w:firstLineChars="0"/>
              <w:jc w:val="center"/>
              <w:rPr>
                <w:rFonts w:cs="宋体"/>
                <w:color w:val="auto"/>
                <w:kern w:val="0"/>
                <w:sz w:val="21"/>
                <w:szCs w:val="21"/>
                <w:highlight w:val="none"/>
              </w:rPr>
            </w:pPr>
            <w:r>
              <w:rPr>
                <w:rFonts w:hint="eastAsia" w:ascii="宋体" w:hAnsi="宋体" w:eastAsia="宋体" w:cs="宋体"/>
                <w:color w:val="auto"/>
                <w:kern w:val="0"/>
                <w:sz w:val="21"/>
                <w:szCs w:val="21"/>
                <w:highlight w:val="none"/>
              </w:rPr>
              <w:t>备注</w:t>
            </w:r>
          </w:p>
        </w:tc>
      </w:tr>
      <w:tr>
        <w:tblPrEx>
          <w:tblCellMar>
            <w:top w:w="0" w:type="dxa"/>
            <w:left w:w="108" w:type="dxa"/>
            <w:bottom w:w="0" w:type="dxa"/>
            <w:right w:w="108" w:type="dxa"/>
          </w:tblCellMar>
        </w:tblPrEx>
        <w:trPr>
          <w:trHeight w:val="600" w:hRule="atLeast"/>
          <w:jc w:val="center"/>
        </w:trPr>
        <w:tc>
          <w:tcPr>
            <w:tcW w:w="600" w:type="dxa"/>
            <w:tcBorders>
              <w:top w:val="nil"/>
              <w:left w:val="single" w:color="auto" w:sz="4" w:space="0"/>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eastAsia="宋体" w:cs="宋体"/>
                <w:color w:val="auto"/>
                <w:kern w:val="0"/>
                <w:sz w:val="21"/>
                <w:szCs w:val="21"/>
                <w:highlight w:val="none"/>
                <w:lang w:val="en-US" w:eastAsia="zh-CN"/>
              </w:rPr>
            </w:pPr>
            <w:r>
              <w:rPr>
                <w:rFonts w:hint="eastAsia" w:cs="宋体"/>
                <w:color w:val="auto"/>
                <w:kern w:val="0"/>
                <w:sz w:val="21"/>
                <w:szCs w:val="21"/>
                <w:highlight w:val="none"/>
                <w:lang w:val="en-US" w:eastAsia="zh-CN"/>
              </w:rPr>
              <w:t>1</w:t>
            </w:r>
          </w:p>
        </w:tc>
        <w:tc>
          <w:tcPr>
            <w:tcW w:w="2384" w:type="dxa"/>
            <w:tcBorders>
              <w:top w:val="nil"/>
              <w:left w:val="nil"/>
              <w:bottom w:val="single" w:color="auto" w:sz="4" w:space="0"/>
              <w:right w:val="single" w:color="auto" w:sz="4" w:space="0"/>
            </w:tcBorders>
            <w:shd w:val="clear" w:color="auto" w:fill="auto"/>
            <w:noWrap/>
            <w:vAlign w:val="center"/>
          </w:tcPr>
          <w:p>
            <w:pPr>
              <w:widowControl/>
              <w:spacing w:line="240" w:lineRule="auto"/>
              <w:ind w:left="0" w:leftChars="0" w:right="0" w:rightChars="0" w:firstLine="0" w:firstLineChars="0"/>
              <w:jc w:val="center"/>
              <w:rPr>
                <w:rFonts w:hint="eastAsia" w:eastAsia="宋体" w:cs="宋体"/>
                <w:color w:val="auto"/>
                <w:kern w:val="0"/>
                <w:sz w:val="21"/>
                <w:szCs w:val="21"/>
                <w:highlight w:val="none"/>
                <w:lang w:eastAsia="zh-CN"/>
              </w:rPr>
            </w:pPr>
            <w:r>
              <w:rPr>
                <w:rFonts w:hint="eastAsia" w:cs="宋体"/>
                <w:color w:val="auto"/>
                <w:kern w:val="0"/>
                <w:sz w:val="21"/>
                <w:szCs w:val="21"/>
                <w:highlight w:val="none"/>
                <w:lang w:eastAsia="zh-CN"/>
              </w:rPr>
              <w:t>网络摄像机</w:t>
            </w:r>
          </w:p>
        </w:tc>
        <w:tc>
          <w:tcPr>
            <w:tcW w:w="3795"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ind w:left="0" w:leftChars="0" w:right="0" w:rightChars="0" w:firstLine="0" w:firstLineChars="0"/>
              <w:jc w:val="center"/>
              <w:rPr>
                <w:rFonts w:cs="宋体"/>
                <w:color w:val="auto"/>
                <w:kern w:val="0"/>
                <w:sz w:val="21"/>
                <w:szCs w:val="21"/>
                <w:highlight w:val="none"/>
              </w:rPr>
            </w:pPr>
            <w:r>
              <w:rPr>
                <w:rFonts w:hint="eastAsia" w:cs="宋体"/>
                <w:color w:val="auto"/>
                <w:kern w:val="0"/>
                <w:sz w:val="21"/>
                <w:szCs w:val="21"/>
                <w:highlight w:val="none"/>
                <w:lang w:eastAsia="zh-CN"/>
              </w:rPr>
              <w:t>海康威视、大华、宇视</w:t>
            </w:r>
          </w:p>
        </w:tc>
        <w:tc>
          <w:tcPr>
            <w:tcW w:w="985" w:type="dxa"/>
            <w:tcBorders>
              <w:top w:val="nil"/>
              <w:left w:val="nil"/>
              <w:bottom w:val="single" w:color="auto" w:sz="4" w:space="0"/>
              <w:right w:val="single" w:color="auto" w:sz="4" w:space="0"/>
            </w:tcBorders>
            <w:shd w:val="clear" w:color="auto" w:fill="auto"/>
            <w:vAlign w:val="center"/>
          </w:tcPr>
          <w:p>
            <w:pPr>
              <w:widowControl/>
              <w:spacing w:line="240" w:lineRule="auto"/>
              <w:ind w:left="0" w:leftChars="0" w:right="0" w:rightChars="0" w:firstLine="0" w:firstLineChars="0"/>
              <w:jc w:val="center"/>
              <w:rPr>
                <w:rFonts w:cs="宋体"/>
                <w:color w:val="auto"/>
                <w:kern w:val="0"/>
                <w:sz w:val="21"/>
                <w:szCs w:val="21"/>
                <w:highlight w:val="none"/>
              </w:rPr>
            </w:pPr>
          </w:p>
        </w:tc>
        <w:tc>
          <w:tcPr>
            <w:tcW w:w="948"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ind w:left="0" w:leftChars="0" w:right="0" w:rightChars="0" w:firstLine="0" w:firstLineChars="0"/>
              <w:jc w:val="center"/>
              <w:rPr>
                <w:rFonts w:cs="宋体"/>
                <w:color w:val="auto"/>
                <w:kern w:val="0"/>
                <w:sz w:val="21"/>
                <w:szCs w:val="21"/>
                <w:highlight w:val="none"/>
              </w:rPr>
            </w:pPr>
          </w:p>
        </w:tc>
      </w:tr>
      <w:tr>
        <w:tblPrEx>
          <w:tblCellMar>
            <w:top w:w="0" w:type="dxa"/>
            <w:left w:w="108" w:type="dxa"/>
            <w:bottom w:w="0" w:type="dxa"/>
            <w:right w:w="108" w:type="dxa"/>
          </w:tblCellMar>
        </w:tblPrEx>
        <w:trPr>
          <w:trHeight w:val="600" w:hRule="atLeast"/>
          <w:jc w:val="center"/>
        </w:trPr>
        <w:tc>
          <w:tcPr>
            <w:tcW w:w="600" w:type="dxa"/>
            <w:tcBorders>
              <w:top w:val="nil"/>
              <w:left w:val="single" w:color="auto" w:sz="4" w:space="0"/>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eastAsia="宋体" w:cs="宋体"/>
                <w:color w:val="auto"/>
                <w:kern w:val="0"/>
                <w:sz w:val="21"/>
                <w:szCs w:val="21"/>
                <w:highlight w:val="none"/>
                <w:lang w:val="en-US" w:eastAsia="zh-CN"/>
              </w:rPr>
            </w:pPr>
            <w:r>
              <w:rPr>
                <w:rFonts w:hint="eastAsia" w:cs="宋体"/>
                <w:color w:val="auto"/>
                <w:kern w:val="0"/>
                <w:sz w:val="21"/>
                <w:szCs w:val="21"/>
                <w:highlight w:val="none"/>
                <w:lang w:val="en-US" w:eastAsia="zh-CN"/>
              </w:rPr>
              <w:t>2</w:t>
            </w:r>
          </w:p>
        </w:tc>
        <w:tc>
          <w:tcPr>
            <w:tcW w:w="2384" w:type="dxa"/>
            <w:tcBorders>
              <w:top w:val="nil"/>
              <w:left w:val="nil"/>
              <w:bottom w:val="single" w:color="auto" w:sz="4" w:space="0"/>
              <w:right w:val="single" w:color="auto" w:sz="4" w:space="0"/>
            </w:tcBorders>
            <w:shd w:val="clear" w:color="auto" w:fill="auto"/>
            <w:noWrap/>
            <w:vAlign w:val="center"/>
          </w:tcPr>
          <w:p>
            <w:pPr>
              <w:widowControl/>
              <w:spacing w:line="240" w:lineRule="auto"/>
              <w:ind w:left="0" w:leftChars="0" w:right="0" w:rightChars="0" w:firstLine="0" w:firstLineChars="0"/>
              <w:jc w:val="center"/>
              <w:rPr>
                <w:rFonts w:hint="eastAsia" w:eastAsia="宋体" w:cs="宋体"/>
                <w:color w:val="auto"/>
                <w:kern w:val="0"/>
                <w:sz w:val="21"/>
                <w:szCs w:val="21"/>
                <w:highlight w:val="none"/>
                <w:lang w:eastAsia="zh-CN"/>
              </w:rPr>
            </w:pPr>
            <w:r>
              <w:rPr>
                <w:rFonts w:hint="eastAsia" w:cs="宋体"/>
                <w:color w:val="auto"/>
                <w:kern w:val="0"/>
                <w:sz w:val="21"/>
                <w:szCs w:val="21"/>
                <w:highlight w:val="none"/>
                <w:lang w:eastAsia="zh-CN"/>
              </w:rPr>
              <w:t>交换机</w:t>
            </w:r>
          </w:p>
        </w:tc>
        <w:tc>
          <w:tcPr>
            <w:tcW w:w="3795"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eastAsia="宋体" w:cs="宋体"/>
                <w:color w:val="auto"/>
                <w:kern w:val="0"/>
                <w:sz w:val="21"/>
                <w:szCs w:val="21"/>
                <w:highlight w:val="none"/>
                <w:lang w:eastAsia="zh-CN"/>
              </w:rPr>
            </w:pPr>
            <w:r>
              <w:rPr>
                <w:rFonts w:hint="eastAsia" w:eastAsia="宋体" w:cs="宋体"/>
                <w:color w:val="auto"/>
                <w:kern w:val="0"/>
                <w:sz w:val="21"/>
                <w:szCs w:val="21"/>
                <w:highlight w:val="none"/>
                <w:lang w:eastAsia="zh-CN"/>
              </w:rPr>
              <w:t>华为、思科、华三</w:t>
            </w:r>
          </w:p>
        </w:tc>
        <w:tc>
          <w:tcPr>
            <w:tcW w:w="985" w:type="dxa"/>
            <w:tcBorders>
              <w:top w:val="nil"/>
              <w:left w:val="nil"/>
              <w:bottom w:val="single" w:color="auto" w:sz="4" w:space="0"/>
              <w:right w:val="single" w:color="auto" w:sz="4" w:space="0"/>
            </w:tcBorders>
            <w:shd w:val="clear" w:color="auto" w:fill="auto"/>
            <w:noWrap/>
            <w:vAlign w:val="center"/>
          </w:tcPr>
          <w:p>
            <w:pPr>
              <w:widowControl/>
              <w:spacing w:line="240" w:lineRule="auto"/>
              <w:ind w:left="0" w:leftChars="0" w:right="0" w:rightChars="0" w:firstLine="0" w:firstLineChars="0"/>
              <w:jc w:val="center"/>
              <w:rPr>
                <w:rFonts w:cs="宋体"/>
                <w:color w:val="auto"/>
                <w:kern w:val="0"/>
                <w:sz w:val="21"/>
                <w:szCs w:val="21"/>
                <w:highlight w:val="none"/>
              </w:rPr>
            </w:pPr>
          </w:p>
        </w:tc>
        <w:tc>
          <w:tcPr>
            <w:tcW w:w="948" w:type="dxa"/>
            <w:tcBorders>
              <w:top w:val="nil"/>
              <w:left w:val="nil"/>
              <w:bottom w:val="single" w:color="auto" w:sz="4" w:space="0"/>
              <w:right w:val="single" w:color="auto" w:sz="4" w:space="0"/>
            </w:tcBorders>
            <w:shd w:val="clear" w:color="auto" w:fill="auto"/>
            <w:vAlign w:val="center"/>
          </w:tcPr>
          <w:p>
            <w:pPr>
              <w:widowControl/>
              <w:spacing w:line="240" w:lineRule="auto"/>
              <w:ind w:left="0" w:leftChars="0" w:right="0" w:rightChars="0" w:firstLine="0" w:firstLineChars="0"/>
              <w:jc w:val="center"/>
              <w:rPr>
                <w:rFonts w:cs="宋体"/>
                <w:color w:val="auto"/>
                <w:kern w:val="0"/>
                <w:sz w:val="21"/>
                <w:szCs w:val="21"/>
                <w:highlight w:val="none"/>
              </w:rPr>
            </w:pPr>
          </w:p>
        </w:tc>
      </w:tr>
      <w:tr>
        <w:tblPrEx>
          <w:tblCellMar>
            <w:top w:w="0" w:type="dxa"/>
            <w:left w:w="108" w:type="dxa"/>
            <w:bottom w:w="0" w:type="dxa"/>
            <w:right w:w="108" w:type="dxa"/>
          </w:tblCellMar>
        </w:tblPrEx>
        <w:trPr>
          <w:trHeight w:val="600" w:hRule="atLeast"/>
          <w:jc w:val="center"/>
        </w:trPr>
        <w:tc>
          <w:tcPr>
            <w:tcW w:w="600" w:type="dxa"/>
            <w:tcBorders>
              <w:top w:val="nil"/>
              <w:left w:val="single" w:color="auto" w:sz="4" w:space="0"/>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eastAsia="宋体" w:cs="宋体"/>
                <w:color w:val="auto"/>
                <w:kern w:val="0"/>
                <w:sz w:val="21"/>
                <w:szCs w:val="21"/>
                <w:highlight w:val="none"/>
                <w:lang w:val="en-US" w:eastAsia="zh-CN"/>
              </w:rPr>
            </w:pPr>
            <w:r>
              <w:rPr>
                <w:rFonts w:hint="eastAsia" w:cs="宋体"/>
                <w:color w:val="auto"/>
                <w:kern w:val="0"/>
                <w:sz w:val="21"/>
                <w:szCs w:val="21"/>
                <w:highlight w:val="none"/>
                <w:lang w:val="en-US" w:eastAsia="zh-CN"/>
              </w:rPr>
              <w:t>3</w:t>
            </w:r>
          </w:p>
        </w:tc>
        <w:tc>
          <w:tcPr>
            <w:tcW w:w="2384" w:type="dxa"/>
            <w:tcBorders>
              <w:top w:val="nil"/>
              <w:left w:val="nil"/>
              <w:bottom w:val="single" w:color="auto" w:sz="4" w:space="0"/>
              <w:right w:val="single" w:color="auto" w:sz="4" w:space="0"/>
            </w:tcBorders>
            <w:shd w:val="clear" w:color="auto" w:fill="auto"/>
            <w:noWrap/>
            <w:vAlign w:val="center"/>
          </w:tcPr>
          <w:p>
            <w:pPr>
              <w:widowControl/>
              <w:spacing w:line="240" w:lineRule="auto"/>
              <w:ind w:left="0" w:leftChars="0" w:right="0" w:rightChars="0" w:firstLine="0" w:firstLineChars="0"/>
              <w:jc w:val="center"/>
              <w:rPr>
                <w:rFonts w:hint="eastAsia" w:eastAsia="宋体" w:cs="宋体"/>
                <w:color w:val="auto"/>
                <w:kern w:val="0"/>
                <w:sz w:val="21"/>
                <w:szCs w:val="21"/>
                <w:highlight w:val="none"/>
                <w:lang w:eastAsia="zh-CN"/>
              </w:rPr>
            </w:pPr>
            <w:r>
              <w:rPr>
                <w:rFonts w:hint="eastAsia" w:cs="宋体"/>
                <w:color w:val="auto"/>
                <w:kern w:val="0"/>
                <w:sz w:val="21"/>
                <w:szCs w:val="21"/>
                <w:highlight w:val="none"/>
                <w:lang w:eastAsia="zh-CN"/>
              </w:rPr>
              <w:t>存储设备</w:t>
            </w:r>
          </w:p>
        </w:tc>
        <w:tc>
          <w:tcPr>
            <w:tcW w:w="3795"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eastAsia="宋体" w:cs="宋体"/>
                <w:color w:val="auto"/>
                <w:kern w:val="0"/>
                <w:sz w:val="21"/>
                <w:szCs w:val="21"/>
                <w:highlight w:val="none"/>
                <w:lang w:eastAsia="zh-CN"/>
              </w:rPr>
            </w:pPr>
            <w:r>
              <w:rPr>
                <w:rFonts w:hint="eastAsia" w:cs="宋体"/>
                <w:color w:val="auto"/>
                <w:kern w:val="0"/>
                <w:sz w:val="21"/>
                <w:szCs w:val="21"/>
                <w:highlight w:val="none"/>
                <w:lang w:eastAsia="zh-CN"/>
              </w:rPr>
              <w:t>希捷、西数、三星、东芝</w:t>
            </w:r>
          </w:p>
        </w:tc>
        <w:tc>
          <w:tcPr>
            <w:tcW w:w="985" w:type="dxa"/>
            <w:tcBorders>
              <w:top w:val="nil"/>
              <w:left w:val="nil"/>
              <w:bottom w:val="single" w:color="auto" w:sz="4" w:space="0"/>
              <w:right w:val="single" w:color="auto" w:sz="4" w:space="0"/>
            </w:tcBorders>
            <w:shd w:val="clear" w:color="auto" w:fill="auto"/>
            <w:noWrap/>
            <w:vAlign w:val="center"/>
          </w:tcPr>
          <w:p>
            <w:pPr>
              <w:widowControl/>
              <w:spacing w:line="240" w:lineRule="auto"/>
              <w:ind w:left="0" w:leftChars="0" w:right="0" w:rightChars="0" w:firstLine="0" w:firstLineChars="0"/>
              <w:jc w:val="center"/>
              <w:rPr>
                <w:rFonts w:cs="宋体"/>
                <w:color w:val="auto"/>
                <w:kern w:val="0"/>
                <w:sz w:val="21"/>
                <w:szCs w:val="21"/>
                <w:highlight w:val="none"/>
              </w:rPr>
            </w:pPr>
          </w:p>
        </w:tc>
        <w:tc>
          <w:tcPr>
            <w:tcW w:w="948" w:type="dxa"/>
            <w:tcBorders>
              <w:top w:val="nil"/>
              <w:left w:val="nil"/>
              <w:bottom w:val="single" w:color="auto" w:sz="4" w:space="0"/>
              <w:right w:val="single" w:color="auto" w:sz="4" w:space="0"/>
            </w:tcBorders>
            <w:shd w:val="clear" w:color="auto" w:fill="auto"/>
            <w:noWrap/>
            <w:vAlign w:val="center"/>
          </w:tcPr>
          <w:p>
            <w:pPr>
              <w:widowControl/>
              <w:spacing w:line="240" w:lineRule="auto"/>
              <w:ind w:left="0" w:leftChars="0" w:right="0" w:rightChars="0" w:firstLine="0" w:firstLineChars="0"/>
              <w:jc w:val="center"/>
              <w:rPr>
                <w:rFonts w:cs="宋体"/>
                <w:color w:val="auto"/>
                <w:kern w:val="0"/>
                <w:sz w:val="21"/>
                <w:szCs w:val="21"/>
                <w:highlight w:val="none"/>
              </w:rPr>
            </w:pPr>
          </w:p>
        </w:tc>
      </w:tr>
      <w:tr>
        <w:tblPrEx>
          <w:tblCellMar>
            <w:top w:w="0" w:type="dxa"/>
            <w:left w:w="108" w:type="dxa"/>
            <w:bottom w:w="0" w:type="dxa"/>
            <w:right w:w="108" w:type="dxa"/>
          </w:tblCellMar>
        </w:tblPrEx>
        <w:trPr>
          <w:trHeight w:val="600" w:hRule="atLeast"/>
          <w:jc w:val="center"/>
        </w:trPr>
        <w:tc>
          <w:tcPr>
            <w:tcW w:w="600" w:type="dxa"/>
            <w:tcBorders>
              <w:top w:val="nil"/>
              <w:left w:val="single" w:color="auto" w:sz="4" w:space="0"/>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eastAsia="宋体" w:cs="宋体"/>
                <w:color w:val="auto"/>
                <w:kern w:val="0"/>
                <w:sz w:val="21"/>
                <w:szCs w:val="21"/>
                <w:highlight w:val="none"/>
                <w:lang w:val="en-US" w:eastAsia="zh-CN"/>
              </w:rPr>
            </w:pPr>
            <w:r>
              <w:rPr>
                <w:rFonts w:hint="eastAsia" w:cs="宋体"/>
                <w:color w:val="auto"/>
                <w:kern w:val="0"/>
                <w:sz w:val="21"/>
                <w:szCs w:val="21"/>
                <w:highlight w:val="none"/>
                <w:lang w:val="en-US" w:eastAsia="zh-CN"/>
              </w:rPr>
              <w:t>5</w:t>
            </w:r>
          </w:p>
        </w:tc>
        <w:tc>
          <w:tcPr>
            <w:tcW w:w="2384"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val="0"/>
              <w:snapToGrid w:val="0"/>
              <w:ind w:left="0" w:leftChars="0" w:right="0" w:rightChars="0" w:firstLine="0" w:firstLineChars="0"/>
              <w:jc w:val="center"/>
              <w:textAlignment w:val="auto"/>
              <w:rPr>
                <w:rFonts w:cs="宋体"/>
                <w:color w:val="auto"/>
                <w:kern w:val="0"/>
                <w:sz w:val="21"/>
                <w:szCs w:val="21"/>
                <w:highlight w:val="none"/>
              </w:rPr>
            </w:pPr>
            <w:r>
              <w:rPr>
                <w:rFonts w:hint="eastAsia"/>
                <w:color w:val="auto"/>
                <w:sz w:val="22"/>
                <w:szCs w:val="22"/>
                <w:highlight w:val="none"/>
              </w:rPr>
              <w:t>水泥</w:t>
            </w:r>
          </w:p>
        </w:tc>
        <w:tc>
          <w:tcPr>
            <w:tcW w:w="3795" w:type="dxa"/>
            <w:tcBorders>
              <w:top w:val="nil"/>
              <w:left w:val="nil"/>
              <w:bottom w:val="single" w:color="auto" w:sz="4" w:space="0"/>
              <w:right w:val="single" w:color="auto" w:sz="4" w:space="0"/>
            </w:tcBorders>
            <w:shd w:val="clear" w:color="auto" w:fill="auto"/>
            <w:noWrap/>
            <w:vAlign w:val="center"/>
          </w:tcPr>
          <w:p>
            <w:pPr>
              <w:keepNext w:val="0"/>
              <w:keepLines w:val="0"/>
              <w:pageBreakBefore w:val="0"/>
              <w:kinsoku/>
              <w:wordWrap/>
              <w:overflowPunct/>
              <w:topLinePunct w:val="0"/>
              <w:autoSpaceDE/>
              <w:autoSpaceDN/>
              <w:bidi w:val="0"/>
              <w:adjustRightInd w:val="0"/>
              <w:snapToGrid w:val="0"/>
              <w:ind w:left="0" w:leftChars="0" w:right="0" w:rightChars="0" w:firstLine="0" w:firstLineChars="0"/>
              <w:jc w:val="center"/>
              <w:textAlignment w:val="auto"/>
              <w:rPr>
                <w:rFonts w:cs="宋体"/>
                <w:color w:val="auto"/>
                <w:kern w:val="0"/>
                <w:sz w:val="21"/>
                <w:szCs w:val="21"/>
                <w:highlight w:val="none"/>
              </w:rPr>
            </w:pPr>
            <w:r>
              <w:rPr>
                <w:rFonts w:hint="eastAsia" w:ascii="宋体" w:hAnsi="宋体"/>
                <w:color w:val="auto"/>
                <w:sz w:val="22"/>
                <w:szCs w:val="22"/>
                <w:highlight w:val="none"/>
              </w:rPr>
              <w:t>钱江、金隅、华润、海螺、红狮、钱潮、三狮</w:t>
            </w:r>
            <w:r>
              <w:rPr>
                <w:rFonts w:hint="eastAsia"/>
                <w:color w:val="auto"/>
                <w:highlight w:val="none"/>
              </w:rPr>
              <w:t>、南方</w:t>
            </w:r>
          </w:p>
        </w:tc>
        <w:tc>
          <w:tcPr>
            <w:tcW w:w="985" w:type="dxa"/>
            <w:tcBorders>
              <w:top w:val="nil"/>
              <w:left w:val="nil"/>
              <w:bottom w:val="single" w:color="auto" w:sz="4" w:space="0"/>
              <w:right w:val="single" w:color="auto" w:sz="4" w:space="0"/>
            </w:tcBorders>
            <w:shd w:val="clear" w:color="auto" w:fill="auto"/>
            <w:noWrap/>
            <w:vAlign w:val="center"/>
          </w:tcPr>
          <w:p>
            <w:pPr>
              <w:widowControl/>
              <w:spacing w:line="240" w:lineRule="auto"/>
              <w:ind w:left="0" w:leftChars="0" w:right="0" w:rightChars="0" w:firstLine="0" w:firstLineChars="0"/>
              <w:jc w:val="center"/>
              <w:rPr>
                <w:rFonts w:cs="宋体"/>
                <w:color w:val="auto"/>
                <w:kern w:val="0"/>
                <w:sz w:val="21"/>
                <w:szCs w:val="21"/>
                <w:highlight w:val="none"/>
              </w:rPr>
            </w:pPr>
          </w:p>
        </w:tc>
        <w:tc>
          <w:tcPr>
            <w:tcW w:w="948" w:type="dxa"/>
            <w:tcBorders>
              <w:top w:val="nil"/>
              <w:left w:val="nil"/>
              <w:bottom w:val="single" w:color="auto" w:sz="4" w:space="0"/>
              <w:right w:val="single" w:color="auto" w:sz="4" w:space="0"/>
            </w:tcBorders>
            <w:shd w:val="clear" w:color="auto" w:fill="auto"/>
            <w:noWrap/>
            <w:vAlign w:val="center"/>
          </w:tcPr>
          <w:p>
            <w:pPr>
              <w:widowControl/>
              <w:spacing w:line="240" w:lineRule="auto"/>
              <w:ind w:left="0" w:leftChars="0" w:right="0" w:rightChars="0" w:firstLine="0" w:firstLineChars="0"/>
              <w:jc w:val="center"/>
              <w:rPr>
                <w:rFonts w:cs="宋体"/>
                <w:color w:val="auto"/>
                <w:kern w:val="0"/>
                <w:sz w:val="21"/>
                <w:szCs w:val="21"/>
                <w:highlight w:val="none"/>
              </w:rPr>
            </w:pPr>
          </w:p>
        </w:tc>
      </w:tr>
      <w:tr>
        <w:tblPrEx>
          <w:tblCellMar>
            <w:top w:w="0" w:type="dxa"/>
            <w:left w:w="108" w:type="dxa"/>
            <w:bottom w:w="0" w:type="dxa"/>
            <w:right w:w="108" w:type="dxa"/>
          </w:tblCellMar>
        </w:tblPrEx>
        <w:trPr>
          <w:trHeight w:val="600" w:hRule="atLeast"/>
          <w:jc w:val="center"/>
        </w:trPr>
        <w:tc>
          <w:tcPr>
            <w:tcW w:w="600" w:type="dxa"/>
            <w:tcBorders>
              <w:top w:val="nil"/>
              <w:left w:val="single" w:color="auto" w:sz="4" w:space="0"/>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eastAsia="宋体" w:cs="宋体"/>
                <w:color w:val="auto"/>
                <w:kern w:val="0"/>
                <w:sz w:val="21"/>
                <w:szCs w:val="21"/>
                <w:highlight w:val="none"/>
                <w:lang w:val="en-US" w:eastAsia="zh-CN"/>
              </w:rPr>
            </w:pPr>
            <w:r>
              <w:rPr>
                <w:rFonts w:hint="eastAsia" w:cs="宋体"/>
                <w:color w:val="auto"/>
                <w:kern w:val="0"/>
                <w:sz w:val="21"/>
                <w:szCs w:val="21"/>
                <w:highlight w:val="none"/>
                <w:lang w:val="en-US" w:eastAsia="zh-CN"/>
              </w:rPr>
              <w:t>6</w:t>
            </w:r>
          </w:p>
        </w:tc>
        <w:tc>
          <w:tcPr>
            <w:tcW w:w="2384"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val="0"/>
              <w:snapToGrid w:val="0"/>
              <w:ind w:left="0" w:leftChars="0" w:right="0" w:rightChars="0" w:firstLine="0" w:firstLineChars="0"/>
              <w:jc w:val="center"/>
              <w:textAlignment w:val="auto"/>
              <w:rPr>
                <w:rFonts w:cs="宋体"/>
                <w:color w:val="auto"/>
                <w:kern w:val="0"/>
                <w:sz w:val="21"/>
                <w:szCs w:val="21"/>
                <w:highlight w:val="none"/>
              </w:rPr>
            </w:pPr>
            <w:r>
              <w:rPr>
                <w:rFonts w:hint="eastAsia"/>
                <w:color w:val="auto"/>
                <w:sz w:val="22"/>
                <w:szCs w:val="22"/>
                <w:highlight w:val="none"/>
              </w:rPr>
              <w:t>钢材</w:t>
            </w:r>
          </w:p>
        </w:tc>
        <w:tc>
          <w:tcPr>
            <w:tcW w:w="3795" w:type="dxa"/>
            <w:tcBorders>
              <w:top w:val="nil"/>
              <w:left w:val="nil"/>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val="0"/>
              <w:snapToGrid w:val="0"/>
              <w:ind w:left="0" w:leftChars="0" w:right="0" w:rightChars="0" w:firstLine="0" w:firstLineChars="0"/>
              <w:jc w:val="center"/>
              <w:textAlignment w:val="auto"/>
              <w:rPr>
                <w:rFonts w:cs="宋体"/>
                <w:color w:val="auto"/>
                <w:kern w:val="0"/>
                <w:sz w:val="21"/>
                <w:szCs w:val="21"/>
                <w:highlight w:val="none"/>
              </w:rPr>
            </w:pPr>
            <w:r>
              <w:rPr>
                <w:rFonts w:hint="eastAsia"/>
                <w:color w:val="auto"/>
                <w:sz w:val="22"/>
                <w:szCs w:val="22"/>
                <w:highlight w:val="none"/>
              </w:rPr>
              <w:t>宝武、沙钢、马钢、杭钢、太钢</w:t>
            </w:r>
          </w:p>
        </w:tc>
        <w:tc>
          <w:tcPr>
            <w:tcW w:w="985" w:type="dxa"/>
            <w:tcBorders>
              <w:top w:val="nil"/>
              <w:left w:val="nil"/>
              <w:bottom w:val="single" w:color="auto" w:sz="4" w:space="0"/>
              <w:right w:val="single" w:color="auto" w:sz="4" w:space="0"/>
            </w:tcBorders>
            <w:shd w:val="clear" w:color="auto" w:fill="auto"/>
            <w:noWrap/>
            <w:vAlign w:val="center"/>
          </w:tcPr>
          <w:p>
            <w:pPr>
              <w:widowControl/>
              <w:spacing w:line="240" w:lineRule="auto"/>
              <w:ind w:left="0" w:leftChars="0" w:right="0" w:rightChars="0" w:firstLine="0" w:firstLineChars="0"/>
              <w:jc w:val="center"/>
              <w:rPr>
                <w:rFonts w:cs="宋体"/>
                <w:color w:val="auto"/>
                <w:kern w:val="0"/>
                <w:sz w:val="21"/>
                <w:szCs w:val="21"/>
                <w:highlight w:val="none"/>
              </w:rPr>
            </w:pPr>
          </w:p>
        </w:tc>
        <w:tc>
          <w:tcPr>
            <w:tcW w:w="948" w:type="dxa"/>
            <w:tcBorders>
              <w:top w:val="nil"/>
              <w:left w:val="nil"/>
              <w:bottom w:val="single" w:color="auto" w:sz="4" w:space="0"/>
              <w:right w:val="single" w:color="auto" w:sz="4" w:space="0"/>
            </w:tcBorders>
            <w:shd w:val="clear" w:color="auto" w:fill="auto"/>
            <w:noWrap/>
            <w:vAlign w:val="center"/>
          </w:tcPr>
          <w:p>
            <w:pPr>
              <w:widowControl/>
              <w:spacing w:line="240" w:lineRule="auto"/>
              <w:ind w:left="0" w:leftChars="0" w:right="0" w:rightChars="0" w:firstLine="0" w:firstLineChars="0"/>
              <w:jc w:val="center"/>
              <w:rPr>
                <w:rFonts w:cs="宋体"/>
                <w:color w:val="auto"/>
                <w:kern w:val="0"/>
                <w:sz w:val="21"/>
                <w:szCs w:val="21"/>
                <w:highlight w:val="none"/>
              </w:rPr>
            </w:pPr>
          </w:p>
        </w:tc>
      </w:tr>
      <w:tr>
        <w:tblPrEx>
          <w:tblCellMar>
            <w:top w:w="0" w:type="dxa"/>
            <w:left w:w="108" w:type="dxa"/>
            <w:bottom w:w="0" w:type="dxa"/>
            <w:right w:w="108" w:type="dxa"/>
          </w:tblCellMar>
        </w:tblPrEx>
        <w:trPr>
          <w:trHeight w:val="600" w:hRule="atLeast"/>
          <w:jc w:val="center"/>
        </w:trPr>
        <w:tc>
          <w:tcPr>
            <w:tcW w:w="600" w:type="dxa"/>
            <w:tcBorders>
              <w:top w:val="nil"/>
              <w:left w:val="single" w:color="auto" w:sz="4" w:space="0"/>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default" w:cs="宋体"/>
                <w:color w:val="auto"/>
                <w:kern w:val="0"/>
                <w:sz w:val="21"/>
                <w:szCs w:val="21"/>
                <w:highlight w:val="none"/>
                <w:lang w:val="en-US" w:eastAsia="zh-CN"/>
              </w:rPr>
            </w:pPr>
            <w:r>
              <w:rPr>
                <w:rFonts w:hint="eastAsia" w:cs="宋体"/>
                <w:color w:val="auto"/>
                <w:kern w:val="0"/>
                <w:sz w:val="21"/>
                <w:szCs w:val="21"/>
                <w:highlight w:val="none"/>
                <w:lang w:val="en-US" w:eastAsia="zh-CN"/>
              </w:rPr>
              <w:t>7</w:t>
            </w:r>
          </w:p>
        </w:tc>
        <w:tc>
          <w:tcPr>
            <w:tcW w:w="2384"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ascii="宋体" w:hAnsi="宋体" w:eastAsia="宋体" w:cs="宋体"/>
                <w:color w:val="auto"/>
                <w:kern w:val="0"/>
                <w:sz w:val="21"/>
                <w:szCs w:val="21"/>
                <w:highlight w:val="none"/>
                <w:lang w:val="en-US" w:eastAsia="zh-CN" w:bidi="ar-SA"/>
              </w:rPr>
            </w:pPr>
            <w:r>
              <w:rPr>
                <w:rFonts w:hint="eastAsia" w:cs="宋体"/>
                <w:color w:val="auto"/>
                <w:kern w:val="0"/>
                <w:sz w:val="21"/>
                <w:szCs w:val="21"/>
                <w:highlight w:val="none"/>
                <w:lang w:val="en-US" w:eastAsia="zh-CN"/>
              </w:rPr>
              <w:t>真石漆</w:t>
            </w:r>
          </w:p>
        </w:tc>
        <w:tc>
          <w:tcPr>
            <w:tcW w:w="3795"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ascii="宋体" w:hAnsi="宋体" w:eastAsia="宋体" w:cs="宋体"/>
                <w:color w:val="auto"/>
                <w:kern w:val="0"/>
                <w:sz w:val="21"/>
                <w:szCs w:val="21"/>
                <w:highlight w:val="none"/>
                <w:lang w:val="en-US" w:eastAsia="zh-CN" w:bidi="ar-SA"/>
              </w:rPr>
            </w:pPr>
            <w:r>
              <w:rPr>
                <w:rFonts w:hint="eastAsia" w:cs="宋体"/>
                <w:color w:val="auto"/>
                <w:kern w:val="0"/>
                <w:sz w:val="21"/>
                <w:szCs w:val="21"/>
                <w:highlight w:val="none"/>
                <w:lang w:val="en-US" w:eastAsia="zh-CN"/>
              </w:rPr>
              <w:t>立邦、多乐士、三棵树</w:t>
            </w:r>
          </w:p>
        </w:tc>
        <w:tc>
          <w:tcPr>
            <w:tcW w:w="985" w:type="dxa"/>
            <w:tcBorders>
              <w:top w:val="nil"/>
              <w:left w:val="nil"/>
              <w:bottom w:val="single" w:color="auto" w:sz="4" w:space="0"/>
              <w:right w:val="single" w:color="auto" w:sz="4" w:space="0"/>
            </w:tcBorders>
            <w:shd w:val="clear" w:color="auto" w:fill="auto"/>
            <w:noWrap/>
            <w:vAlign w:val="center"/>
          </w:tcPr>
          <w:p>
            <w:pPr>
              <w:widowControl/>
              <w:spacing w:line="240" w:lineRule="auto"/>
              <w:ind w:left="0" w:leftChars="0" w:right="0" w:rightChars="0" w:firstLine="0" w:firstLineChars="0"/>
              <w:jc w:val="center"/>
              <w:rPr>
                <w:rFonts w:cs="宋体"/>
                <w:color w:val="auto"/>
                <w:kern w:val="0"/>
                <w:sz w:val="21"/>
                <w:szCs w:val="21"/>
                <w:highlight w:val="none"/>
              </w:rPr>
            </w:pPr>
          </w:p>
        </w:tc>
        <w:tc>
          <w:tcPr>
            <w:tcW w:w="948" w:type="dxa"/>
            <w:tcBorders>
              <w:top w:val="nil"/>
              <w:left w:val="nil"/>
              <w:bottom w:val="single" w:color="auto" w:sz="4" w:space="0"/>
              <w:right w:val="single" w:color="auto" w:sz="4" w:space="0"/>
            </w:tcBorders>
            <w:shd w:val="clear" w:color="auto" w:fill="auto"/>
            <w:noWrap/>
            <w:vAlign w:val="center"/>
          </w:tcPr>
          <w:p>
            <w:pPr>
              <w:widowControl/>
              <w:spacing w:line="240" w:lineRule="auto"/>
              <w:ind w:left="0" w:leftChars="0" w:right="0" w:rightChars="0" w:firstLine="0" w:firstLineChars="0"/>
              <w:jc w:val="center"/>
              <w:rPr>
                <w:rFonts w:cs="宋体"/>
                <w:color w:val="auto"/>
                <w:kern w:val="0"/>
                <w:sz w:val="21"/>
                <w:szCs w:val="21"/>
                <w:highlight w:val="none"/>
              </w:rPr>
            </w:pPr>
          </w:p>
        </w:tc>
      </w:tr>
      <w:tr>
        <w:tblPrEx>
          <w:tblCellMar>
            <w:top w:w="0" w:type="dxa"/>
            <w:left w:w="108" w:type="dxa"/>
            <w:bottom w:w="0" w:type="dxa"/>
            <w:right w:w="108" w:type="dxa"/>
          </w:tblCellMar>
        </w:tblPrEx>
        <w:trPr>
          <w:trHeight w:val="600" w:hRule="atLeast"/>
          <w:jc w:val="center"/>
        </w:trPr>
        <w:tc>
          <w:tcPr>
            <w:tcW w:w="600" w:type="dxa"/>
            <w:tcBorders>
              <w:top w:val="nil"/>
              <w:left w:val="single" w:color="auto" w:sz="4" w:space="0"/>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default" w:cs="宋体"/>
                <w:color w:val="auto"/>
                <w:kern w:val="0"/>
                <w:sz w:val="21"/>
                <w:szCs w:val="21"/>
                <w:highlight w:val="none"/>
                <w:lang w:val="en-US" w:eastAsia="zh-CN"/>
              </w:rPr>
            </w:pPr>
            <w:r>
              <w:rPr>
                <w:rFonts w:hint="eastAsia" w:cs="宋体"/>
                <w:color w:val="auto"/>
                <w:kern w:val="0"/>
                <w:sz w:val="21"/>
                <w:szCs w:val="21"/>
                <w:highlight w:val="none"/>
                <w:lang w:val="en-US" w:eastAsia="zh-CN"/>
              </w:rPr>
              <w:t>8</w:t>
            </w:r>
          </w:p>
        </w:tc>
        <w:tc>
          <w:tcPr>
            <w:tcW w:w="2384"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ascii="宋体" w:hAnsi="宋体" w:eastAsia="宋体" w:cs="宋体"/>
                <w:color w:val="auto"/>
                <w:kern w:val="0"/>
                <w:sz w:val="21"/>
                <w:szCs w:val="21"/>
                <w:highlight w:val="none"/>
                <w:lang w:val="en-US" w:eastAsia="zh-CN" w:bidi="ar-SA"/>
              </w:rPr>
            </w:pPr>
            <w:r>
              <w:rPr>
                <w:rFonts w:hint="eastAsia" w:cs="宋体"/>
                <w:color w:val="auto"/>
                <w:kern w:val="0"/>
                <w:sz w:val="21"/>
                <w:szCs w:val="21"/>
                <w:highlight w:val="none"/>
                <w:lang w:val="en-US" w:eastAsia="zh-CN"/>
              </w:rPr>
              <w:t>半硬质塑料管</w:t>
            </w:r>
          </w:p>
        </w:tc>
        <w:tc>
          <w:tcPr>
            <w:tcW w:w="3795"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ascii="宋体" w:hAnsi="宋体" w:eastAsia="宋体" w:cs="宋体"/>
                <w:color w:val="auto"/>
                <w:kern w:val="0"/>
                <w:sz w:val="21"/>
                <w:szCs w:val="21"/>
                <w:highlight w:val="none"/>
                <w:lang w:val="en-US" w:eastAsia="zh-CN" w:bidi="ar-SA"/>
              </w:rPr>
            </w:pPr>
            <w:r>
              <w:rPr>
                <w:rFonts w:hint="eastAsia" w:cs="宋体"/>
                <w:color w:val="auto"/>
                <w:kern w:val="0"/>
                <w:sz w:val="21"/>
                <w:szCs w:val="21"/>
                <w:highlight w:val="none"/>
                <w:lang w:val="en-US" w:eastAsia="zh-CN"/>
              </w:rPr>
              <w:t>伟星、中财、皮尔萨、金德、公元</w:t>
            </w:r>
          </w:p>
        </w:tc>
        <w:tc>
          <w:tcPr>
            <w:tcW w:w="985" w:type="dxa"/>
            <w:tcBorders>
              <w:top w:val="nil"/>
              <w:left w:val="nil"/>
              <w:bottom w:val="single" w:color="auto" w:sz="4" w:space="0"/>
              <w:right w:val="single" w:color="auto" w:sz="4" w:space="0"/>
            </w:tcBorders>
            <w:shd w:val="clear" w:color="auto" w:fill="auto"/>
            <w:noWrap/>
            <w:vAlign w:val="center"/>
          </w:tcPr>
          <w:p>
            <w:pPr>
              <w:widowControl/>
              <w:spacing w:line="240" w:lineRule="auto"/>
              <w:ind w:left="0" w:leftChars="0" w:right="0" w:rightChars="0" w:firstLine="0" w:firstLineChars="0"/>
              <w:jc w:val="center"/>
              <w:rPr>
                <w:rFonts w:cs="宋体"/>
                <w:color w:val="auto"/>
                <w:kern w:val="0"/>
                <w:sz w:val="21"/>
                <w:szCs w:val="21"/>
                <w:highlight w:val="none"/>
              </w:rPr>
            </w:pPr>
          </w:p>
        </w:tc>
        <w:tc>
          <w:tcPr>
            <w:tcW w:w="948" w:type="dxa"/>
            <w:tcBorders>
              <w:top w:val="nil"/>
              <w:left w:val="nil"/>
              <w:bottom w:val="single" w:color="auto" w:sz="4" w:space="0"/>
              <w:right w:val="single" w:color="auto" w:sz="4" w:space="0"/>
            </w:tcBorders>
            <w:shd w:val="clear" w:color="auto" w:fill="auto"/>
            <w:noWrap/>
            <w:vAlign w:val="center"/>
          </w:tcPr>
          <w:p>
            <w:pPr>
              <w:widowControl/>
              <w:spacing w:line="240" w:lineRule="auto"/>
              <w:ind w:left="0" w:leftChars="0" w:right="0" w:rightChars="0" w:firstLine="0" w:firstLineChars="0"/>
              <w:jc w:val="center"/>
              <w:rPr>
                <w:rFonts w:cs="宋体"/>
                <w:color w:val="auto"/>
                <w:kern w:val="0"/>
                <w:sz w:val="21"/>
                <w:szCs w:val="21"/>
                <w:highlight w:val="none"/>
              </w:rPr>
            </w:pPr>
          </w:p>
        </w:tc>
      </w:tr>
      <w:tr>
        <w:tblPrEx>
          <w:tblCellMar>
            <w:top w:w="0" w:type="dxa"/>
            <w:left w:w="108" w:type="dxa"/>
            <w:bottom w:w="0" w:type="dxa"/>
            <w:right w:w="108" w:type="dxa"/>
          </w:tblCellMar>
        </w:tblPrEx>
        <w:trPr>
          <w:trHeight w:val="600" w:hRule="atLeast"/>
          <w:jc w:val="center"/>
        </w:trPr>
        <w:tc>
          <w:tcPr>
            <w:tcW w:w="600" w:type="dxa"/>
            <w:tcBorders>
              <w:top w:val="nil"/>
              <w:left w:val="single" w:color="auto" w:sz="4" w:space="0"/>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default" w:cs="宋体"/>
                <w:color w:val="auto"/>
                <w:kern w:val="0"/>
                <w:sz w:val="21"/>
                <w:szCs w:val="21"/>
                <w:highlight w:val="none"/>
                <w:lang w:val="en-US" w:eastAsia="zh-CN"/>
              </w:rPr>
            </w:pPr>
            <w:r>
              <w:rPr>
                <w:rFonts w:hint="eastAsia" w:cs="宋体"/>
                <w:color w:val="auto"/>
                <w:kern w:val="0"/>
                <w:sz w:val="21"/>
                <w:szCs w:val="21"/>
                <w:highlight w:val="none"/>
                <w:lang w:val="en-US" w:eastAsia="zh-CN"/>
              </w:rPr>
              <w:t>9</w:t>
            </w:r>
          </w:p>
        </w:tc>
        <w:tc>
          <w:tcPr>
            <w:tcW w:w="2384"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default" w:cs="宋体"/>
                <w:color w:val="auto"/>
                <w:kern w:val="0"/>
                <w:sz w:val="21"/>
                <w:szCs w:val="21"/>
                <w:highlight w:val="none"/>
                <w:lang w:val="en-US" w:eastAsia="zh-CN"/>
              </w:rPr>
            </w:pPr>
            <w:r>
              <w:rPr>
                <w:rFonts w:hint="eastAsia" w:cs="宋体"/>
                <w:color w:val="auto"/>
                <w:kern w:val="0"/>
                <w:sz w:val="21"/>
                <w:szCs w:val="21"/>
                <w:highlight w:val="none"/>
                <w:lang w:val="en-US" w:eastAsia="zh-CN"/>
              </w:rPr>
              <w:t>双绞线缆</w:t>
            </w:r>
          </w:p>
        </w:tc>
        <w:tc>
          <w:tcPr>
            <w:tcW w:w="3795"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default" w:cs="宋体"/>
                <w:color w:val="auto"/>
                <w:kern w:val="0"/>
                <w:sz w:val="21"/>
                <w:szCs w:val="21"/>
                <w:highlight w:val="none"/>
                <w:lang w:val="en-US" w:eastAsia="zh-CN"/>
              </w:rPr>
            </w:pPr>
            <w:r>
              <w:rPr>
                <w:rFonts w:hint="eastAsia" w:cs="宋体"/>
                <w:color w:val="auto"/>
                <w:kern w:val="0"/>
                <w:sz w:val="21"/>
                <w:szCs w:val="21"/>
                <w:highlight w:val="none"/>
                <w:lang w:val="en-US" w:eastAsia="zh-CN"/>
              </w:rPr>
              <w:t>西蒙、丽特、安普、IBM</w:t>
            </w:r>
          </w:p>
        </w:tc>
        <w:tc>
          <w:tcPr>
            <w:tcW w:w="985"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cs="宋体"/>
                <w:color w:val="auto"/>
                <w:kern w:val="0"/>
                <w:sz w:val="21"/>
                <w:szCs w:val="21"/>
                <w:highlight w:val="none"/>
                <w:lang w:val="en-US" w:eastAsia="zh-CN"/>
              </w:rPr>
            </w:pPr>
          </w:p>
        </w:tc>
        <w:tc>
          <w:tcPr>
            <w:tcW w:w="948"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cs="宋体"/>
                <w:color w:val="auto"/>
                <w:kern w:val="0"/>
                <w:sz w:val="21"/>
                <w:szCs w:val="21"/>
                <w:highlight w:val="none"/>
                <w:lang w:val="en-US" w:eastAsia="zh-CN"/>
              </w:rPr>
            </w:pPr>
          </w:p>
        </w:tc>
      </w:tr>
      <w:tr>
        <w:tblPrEx>
          <w:tblCellMar>
            <w:top w:w="0" w:type="dxa"/>
            <w:left w:w="108" w:type="dxa"/>
            <w:bottom w:w="0" w:type="dxa"/>
            <w:right w:w="108" w:type="dxa"/>
          </w:tblCellMar>
        </w:tblPrEx>
        <w:trPr>
          <w:trHeight w:val="600" w:hRule="atLeast"/>
          <w:jc w:val="center"/>
        </w:trPr>
        <w:tc>
          <w:tcPr>
            <w:tcW w:w="600" w:type="dxa"/>
            <w:tcBorders>
              <w:top w:val="nil"/>
              <w:left w:val="single" w:color="auto" w:sz="4" w:space="0"/>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default" w:cs="宋体"/>
                <w:color w:val="auto"/>
                <w:kern w:val="0"/>
                <w:sz w:val="21"/>
                <w:szCs w:val="21"/>
                <w:highlight w:val="none"/>
                <w:lang w:val="en-US" w:eastAsia="zh-CN"/>
              </w:rPr>
            </w:pPr>
            <w:r>
              <w:rPr>
                <w:rFonts w:hint="eastAsia" w:cs="宋体"/>
                <w:color w:val="auto"/>
                <w:kern w:val="0"/>
                <w:sz w:val="21"/>
                <w:szCs w:val="21"/>
                <w:highlight w:val="none"/>
                <w:lang w:val="en-US" w:eastAsia="zh-CN"/>
              </w:rPr>
              <w:t>10</w:t>
            </w:r>
          </w:p>
        </w:tc>
        <w:tc>
          <w:tcPr>
            <w:tcW w:w="2384"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cs="宋体"/>
                <w:color w:val="auto"/>
                <w:kern w:val="0"/>
                <w:sz w:val="21"/>
                <w:szCs w:val="21"/>
                <w:highlight w:val="none"/>
                <w:lang w:val="en-US" w:eastAsia="zh-CN"/>
              </w:rPr>
            </w:pPr>
            <w:r>
              <w:rPr>
                <w:rFonts w:hint="eastAsia" w:cs="宋体"/>
                <w:color w:val="auto"/>
                <w:kern w:val="0"/>
                <w:sz w:val="21"/>
                <w:szCs w:val="21"/>
                <w:highlight w:val="none"/>
                <w:lang w:val="en-US" w:eastAsia="zh-CN"/>
              </w:rPr>
              <w:t>光缆</w:t>
            </w:r>
          </w:p>
        </w:tc>
        <w:tc>
          <w:tcPr>
            <w:tcW w:w="3795"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cs="宋体"/>
                <w:color w:val="auto"/>
                <w:kern w:val="0"/>
                <w:sz w:val="21"/>
                <w:szCs w:val="21"/>
                <w:highlight w:val="none"/>
                <w:lang w:val="en-US" w:eastAsia="zh-CN"/>
              </w:rPr>
            </w:pPr>
            <w:r>
              <w:rPr>
                <w:rFonts w:hint="eastAsia" w:cs="宋体"/>
                <w:color w:val="auto"/>
                <w:kern w:val="0"/>
                <w:sz w:val="21"/>
                <w:szCs w:val="21"/>
                <w:highlight w:val="none"/>
                <w:lang w:val="en-US" w:eastAsia="zh-CN"/>
              </w:rPr>
              <w:t>长飞、富通、亨通、中天</w:t>
            </w:r>
          </w:p>
        </w:tc>
        <w:tc>
          <w:tcPr>
            <w:tcW w:w="985"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cs="宋体"/>
                <w:color w:val="auto"/>
                <w:kern w:val="0"/>
                <w:sz w:val="21"/>
                <w:szCs w:val="21"/>
                <w:highlight w:val="none"/>
                <w:lang w:val="en-US" w:eastAsia="zh-CN"/>
              </w:rPr>
            </w:pPr>
          </w:p>
        </w:tc>
        <w:tc>
          <w:tcPr>
            <w:tcW w:w="948"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cs="宋体"/>
                <w:color w:val="auto"/>
                <w:kern w:val="0"/>
                <w:sz w:val="21"/>
                <w:szCs w:val="21"/>
                <w:highlight w:val="none"/>
                <w:lang w:val="en-US" w:eastAsia="zh-CN"/>
              </w:rPr>
            </w:pPr>
          </w:p>
        </w:tc>
      </w:tr>
      <w:tr>
        <w:tblPrEx>
          <w:tblCellMar>
            <w:top w:w="0" w:type="dxa"/>
            <w:left w:w="108" w:type="dxa"/>
            <w:bottom w:w="0" w:type="dxa"/>
            <w:right w:w="108" w:type="dxa"/>
          </w:tblCellMar>
        </w:tblPrEx>
        <w:trPr>
          <w:trHeight w:val="600" w:hRule="atLeast"/>
          <w:jc w:val="center"/>
        </w:trPr>
        <w:tc>
          <w:tcPr>
            <w:tcW w:w="600" w:type="dxa"/>
            <w:tcBorders>
              <w:top w:val="nil"/>
              <w:left w:val="single" w:color="auto" w:sz="4" w:space="0"/>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default" w:cs="宋体"/>
                <w:color w:val="auto"/>
                <w:kern w:val="0"/>
                <w:sz w:val="21"/>
                <w:szCs w:val="21"/>
                <w:highlight w:val="none"/>
                <w:lang w:val="en-US" w:eastAsia="zh-CN"/>
              </w:rPr>
            </w:pPr>
            <w:r>
              <w:rPr>
                <w:rFonts w:hint="eastAsia" w:cs="宋体"/>
                <w:color w:val="auto"/>
                <w:kern w:val="0"/>
                <w:sz w:val="21"/>
                <w:szCs w:val="21"/>
                <w:highlight w:val="none"/>
                <w:lang w:val="en-US" w:eastAsia="zh-CN"/>
              </w:rPr>
              <w:t>11</w:t>
            </w:r>
          </w:p>
        </w:tc>
        <w:tc>
          <w:tcPr>
            <w:tcW w:w="2384"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cs="宋体"/>
                <w:color w:val="auto"/>
                <w:kern w:val="0"/>
                <w:sz w:val="21"/>
                <w:szCs w:val="21"/>
                <w:highlight w:val="none"/>
                <w:lang w:val="en-US" w:eastAsia="zh-CN"/>
              </w:rPr>
            </w:pPr>
            <w:r>
              <w:rPr>
                <w:rFonts w:hint="eastAsia" w:cs="宋体"/>
                <w:color w:val="auto"/>
                <w:kern w:val="0"/>
                <w:sz w:val="21"/>
                <w:szCs w:val="21"/>
                <w:highlight w:val="none"/>
                <w:lang w:val="en-US" w:eastAsia="zh-CN"/>
              </w:rPr>
              <w:t>光纤收发器</w:t>
            </w:r>
          </w:p>
        </w:tc>
        <w:tc>
          <w:tcPr>
            <w:tcW w:w="3795"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cs="宋体"/>
                <w:color w:val="auto"/>
                <w:kern w:val="0"/>
                <w:sz w:val="21"/>
                <w:szCs w:val="21"/>
                <w:highlight w:val="none"/>
                <w:lang w:val="en-US" w:eastAsia="zh-CN"/>
              </w:rPr>
            </w:pPr>
            <w:r>
              <w:rPr>
                <w:rFonts w:hint="eastAsia" w:cs="宋体"/>
                <w:color w:val="auto"/>
                <w:kern w:val="0"/>
                <w:sz w:val="21"/>
                <w:szCs w:val="21"/>
                <w:highlight w:val="none"/>
                <w:lang w:val="en-US" w:eastAsia="zh-CN"/>
              </w:rPr>
              <w:t>爱谱华顿、瑞斯康达、海硕</w:t>
            </w:r>
          </w:p>
        </w:tc>
        <w:tc>
          <w:tcPr>
            <w:tcW w:w="985"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cs="宋体"/>
                <w:color w:val="auto"/>
                <w:kern w:val="0"/>
                <w:sz w:val="21"/>
                <w:szCs w:val="21"/>
                <w:highlight w:val="none"/>
                <w:lang w:val="en-US" w:eastAsia="zh-CN"/>
              </w:rPr>
            </w:pPr>
          </w:p>
        </w:tc>
        <w:tc>
          <w:tcPr>
            <w:tcW w:w="948"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cs="宋体"/>
                <w:color w:val="auto"/>
                <w:kern w:val="0"/>
                <w:sz w:val="21"/>
                <w:szCs w:val="21"/>
                <w:highlight w:val="none"/>
                <w:lang w:val="en-US" w:eastAsia="zh-CN"/>
              </w:rPr>
            </w:pPr>
          </w:p>
        </w:tc>
      </w:tr>
      <w:tr>
        <w:tblPrEx>
          <w:tblCellMar>
            <w:top w:w="0" w:type="dxa"/>
            <w:left w:w="108" w:type="dxa"/>
            <w:bottom w:w="0" w:type="dxa"/>
            <w:right w:w="108" w:type="dxa"/>
          </w:tblCellMar>
        </w:tblPrEx>
        <w:trPr>
          <w:trHeight w:val="600" w:hRule="atLeast"/>
          <w:jc w:val="center"/>
        </w:trPr>
        <w:tc>
          <w:tcPr>
            <w:tcW w:w="600" w:type="dxa"/>
            <w:tcBorders>
              <w:top w:val="nil"/>
              <w:left w:val="single" w:color="auto" w:sz="4" w:space="0"/>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default" w:cs="宋体"/>
                <w:color w:val="auto"/>
                <w:kern w:val="0"/>
                <w:sz w:val="21"/>
                <w:szCs w:val="21"/>
                <w:highlight w:val="none"/>
                <w:lang w:val="en-US" w:eastAsia="zh-CN"/>
              </w:rPr>
            </w:pPr>
            <w:r>
              <w:rPr>
                <w:rFonts w:hint="eastAsia" w:cs="宋体"/>
                <w:color w:val="auto"/>
                <w:kern w:val="0"/>
                <w:sz w:val="21"/>
                <w:szCs w:val="21"/>
                <w:highlight w:val="none"/>
                <w:lang w:val="en-US" w:eastAsia="zh-CN"/>
              </w:rPr>
              <w:t>12</w:t>
            </w:r>
          </w:p>
        </w:tc>
        <w:tc>
          <w:tcPr>
            <w:tcW w:w="2384"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cs="宋体"/>
                <w:color w:val="auto"/>
                <w:kern w:val="0"/>
                <w:sz w:val="21"/>
                <w:szCs w:val="21"/>
                <w:highlight w:val="none"/>
                <w:lang w:val="en-US" w:eastAsia="zh-CN"/>
              </w:rPr>
            </w:pPr>
            <w:r>
              <w:rPr>
                <w:rFonts w:hint="eastAsia" w:cs="宋体"/>
                <w:color w:val="auto"/>
                <w:kern w:val="0"/>
                <w:sz w:val="21"/>
                <w:szCs w:val="21"/>
                <w:highlight w:val="none"/>
                <w:lang w:val="en-US" w:eastAsia="zh-CN"/>
              </w:rPr>
              <w:t>网线</w:t>
            </w:r>
          </w:p>
        </w:tc>
        <w:tc>
          <w:tcPr>
            <w:tcW w:w="3795"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cs="宋体"/>
                <w:color w:val="auto"/>
                <w:kern w:val="0"/>
                <w:sz w:val="21"/>
                <w:szCs w:val="21"/>
                <w:highlight w:val="none"/>
                <w:lang w:val="en-US" w:eastAsia="zh-CN"/>
              </w:rPr>
            </w:pPr>
            <w:r>
              <w:rPr>
                <w:rFonts w:hint="eastAsia" w:cs="宋体"/>
                <w:color w:val="auto"/>
                <w:kern w:val="0"/>
                <w:sz w:val="21"/>
                <w:szCs w:val="21"/>
                <w:highlight w:val="none"/>
                <w:lang w:val="en-US" w:eastAsia="zh-CN"/>
              </w:rPr>
              <w:t>普天、西蒙、爱谱华顿、一舟、安普</w:t>
            </w:r>
          </w:p>
        </w:tc>
        <w:tc>
          <w:tcPr>
            <w:tcW w:w="985"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cs="宋体"/>
                <w:color w:val="auto"/>
                <w:kern w:val="0"/>
                <w:sz w:val="21"/>
                <w:szCs w:val="21"/>
                <w:highlight w:val="none"/>
                <w:lang w:val="en-US" w:eastAsia="zh-CN"/>
              </w:rPr>
            </w:pPr>
          </w:p>
        </w:tc>
        <w:tc>
          <w:tcPr>
            <w:tcW w:w="948"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cs="宋体"/>
                <w:color w:val="auto"/>
                <w:kern w:val="0"/>
                <w:sz w:val="21"/>
                <w:szCs w:val="21"/>
                <w:highlight w:val="none"/>
                <w:lang w:val="en-US" w:eastAsia="zh-CN"/>
              </w:rPr>
            </w:pPr>
          </w:p>
        </w:tc>
      </w:tr>
      <w:tr>
        <w:tblPrEx>
          <w:tblCellMar>
            <w:top w:w="0" w:type="dxa"/>
            <w:left w:w="108" w:type="dxa"/>
            <w:bottom w:w="0" w:type="dxa"/>
            <w:right w:w="108" w:type="dxa"/>
          </w:tblCellMar>
        </w:tblPrEx>
        <w:trPr>
          <w:trHeight w:val="600" w:hRule="atLeast"/>
          <w:jc w:val="center"/>
        </w:trPr>
        <w:tc>
          <w:tcPr>
            <w:tcW w:w="600" w:type="dxa"/>
            <w:tcBorders>
              <w:top w:val="nil"/>
              <w:left w:val="single" w:color="auto" w:sz="4" w:space="0"/>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default" w:cs="宋体"/>
                <w:color w:val="auto"/>
                <w:kern w:val="0"/>
                <w:sz w:val="21"/>
                <w:szCs w:val="21"/>
                <w:highlight w:val="none"/>
                <w:lang w:val="en-US" w:eastAsia="zh-CN"/>
              </w:rPr>
            </w:pPr>
            <w:r>
              <w:rPr>
                <w:rFonts w:hint="eastAsia" w:cs="宋体"/>
                <w:color w:val="auto"/>
                <w:kern w:val="0"/>
                <w:sz w:val="21"/>
                <w:szCs w:val="21"/>
                <w:highlight w:val="none"/>
                <w:lang w:val="en-US" w:eastAsia="zh-CN"/>
              </w:rPr>
              <w:t>13</w:t>
            </w:r>
          </w:p>
        </w:tc>
        <w:tc>
          <w:tcPr>
            <w:tcW w:w="2384"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cs="宋体"/>
                <w:color w:val="auto"/>
                <w:kern w:val="0"/>
                <w:sz w:val="21"/>
                <w:szCs w:val="21"/>
                <w:highlight w:val="none"/>
                <w:lang w:val="en-US" w:eastAsia="zh-CN"/>
              </w:rPr>
            </w:pPr>
            <w:r>
              <w:rPr>
                <w:rFonts w:hint="eastAsia" w:cs="宋体"/>
                <w:color w:val="auto"/>
                <w:kern w:val="0"/>
                <w:sz w:val="21"/>
                <w:szCs w:val="21"/>
                <w:highlight w:val="none"/>
                <w:lang w:val="en-US" w:eastAsia="zh-CN"/>
              </w:rPr>
              <w:t>人脸考勤识别一体机</w:t>
            </w:r>
          </w:p>
        </w:tc>
        <w:tc>
          <w:tcPr>
            <w:tcW w:w="3795"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cs="宋体"/>
                <w:color w:val="auto"/>
                <w:kern w:val="0"/>
                <w:sz w:val="21"/>
                <w:szCs w:val="21"/>
                <w:highlight w:val="none"/>
                <w:lang w:val="en-US" w:eastAsia="zh-CN"/>
              </w:rPr>
            </w:pPr>
            <w:r>
              <w:rPr>
                <w:rFonts w:hint="eastAsia" w:cs="宋体"/>
                <w:color w:val="auto"/>
                <w:kern w:val="0"/>
                <w:sz w:val="21"/>
                <w:szCs w:val="21"/>
                <w:highlight w:val="none"/>
                <w:lang w:val="en-US" w:eastAsia="zh-CN"/>
              </w:rPr>
              <w:t>海康威视、汉王、科密</w:t>
            </w:r>
          </w:p>
        </w:tc>
        <w:tc>
          <w:tcPr>
            <w:tcW w:w="985"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cs="宋体"/>
                <w:color w:val="auto"/>
                <w:kern w:val="0"/>
                <w:sz w:val="21"/>
                <w:szCs w:val="21"/>
                <w:highlight w:val="none"/>
                <w:lang w:val="en-US" w:eastAsia="zh-CN"/>
              </w:rPr>
            </w:pPr>
          </w:p>
        </w:tc>
        <w:tc>
          <w:tcPr>
            <w:tcW w:w="948"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cs="宋体"/>
                <w:color w:val="auto"/>
                <w:kern w:val="0"/>
                <w:sz w:val="21"/>
                <w:szCs w:val="21"/>
                <w:highlight w:val="none"/>
                <w:lang w:val="en-US" w:eastAsia="zh-CN"/>
              </w:rPr>
            </w:pPr>
          </w:p>
        </w:tc>
      </w:tr>
      <w:tr>
        <w:tblPrEx>
          <w:tblCellMar>
            <w:top w:w="0" w:type="dxa"/>
            <w:left w:w="108" w:type="dxa"/>
            <w:bottom w:w="0" w:type="dxa"/>
            <w:right w:w="108" w:type="dxa"/>
          </w:tblCellMar>
        </w:tblPrEx>
        <w:trPr>
          <w:trHeight w:val="600" w:hRule="atLeast"/>
          <w:jc w:val="center"/>
        </w:trPr>
        <w:tc>
          <w:tcPr>
            <w:tcW w:w="600" w:type="dxa"/>
            <w:tcBorders>
              <w:top w:val="nil"/>
              <w:left w:val="single" w:color="auto" w:sz="4" w:space="0"/>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default" w:cs="宋体"/>
                <w:color w:val="auto"/>
                <w:kern w:val="0"/>
                <w:sz w:val="21"/>
                <w:szCs w:val="21"/>
                <w:highlight w:val="none"/>
                <w:lang w:val="en-US" w:eastAsia="zh-CN"/>
              </w:rPr>
            </w:pPr>
            <w:r>
              <w:rPr>
                <w:rFonts w:hint="eastAsia" w:cs="宋体"/>
                <w:color w:val="auto"/>
                <w:kern w:val="0"/>
                <w:sz w:val="21"/>
                <w:szCs w:val="21"/>
                <w:highlight w:val="none"/>
                <w:lang w:val="en-US" w:eastAsia="zh-CN"/>
              </w:rPr>
              <w:t>14</w:t>
            </w:r>
          </w:p>
        </w:tc>
        <w:tc>
          <w:tcPr>
            <w:tcW w:w="2384"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cs="宋体"/>
                <w:color w:val="auto"/>
                <w:kern w:val="0"/>
                <w:sz w:val="21"/>
                <w:szCs w:val="21"/>
                <w:highlight w:val="none"/>
                <w:lang w:val="en-US" w:eastAsia="zh-CN"/>
              </w:rPr>
            </w:pPr>
            <w:r>
              <w:rPr>
                <w:rFonts w:hint="eastAsia" w:cs="宋体"/>
                <w:color w:val="auto"/>
                <w:kern w:val="0"/>
                <w:sz w:val="21"/>
                <w:szCs w:val="21"/>
                <w:highlight w:val="none"/>
                <w:lang w:val="en-US" w:eastAsia="zh-CN"/>
              </w:rPr>
              <w:t>周界报警系统</w:t>
            </w:r>
          </w:p>
        </w:tc>
        <w:tc>
          <w:tcPr>
            <w:tcW w:w="3795"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cs="宋体"/>
                <w:color w:val="auto"/>
                <w:kern w:val="0"/>
                <w:sz w:val="21"/>
                <w:szCs w:val="21"/>
                <w:highlight w:val="none"/>
                <w:lang w:val="en-US" w:eastAsia="zh-CN"/>
              </w:rPr>
            </w:pPr>
            <w:r>
              <w:rPr>
                <w:rFonts w:hint="eastAsia" w:cs="宋体"/>
                <w:color w:val="auto"/>
                <w:kern w:val="0"/>
                <w:sz w:val="21"/>
                <w:szCs w:val="21"/>
                <w:highlight w:val="none"/>
                <w:lang w:val="en-US" w:eastAsia="zh-CN"/>
              </w:rPr>
              <w:t>迪凡德、博世、艾礼富</w:t>
            </w:r>
          </w:p>
        </w:tc>
        <w:tc>
          <w:tcPr>
            <w:tcW w:w="985"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cs="宋体"/>
                <w:color w:val="auto"/>
                <w:kern w:val="0"/>
                <w:sz w:val="21"/>
                <w:szCs w:val="21"/>
                <w:highlight w:val="none"/>
                <w:lang w:val="en-US" w:eastAsia="zh-CN"/>
              </w:rPr>
            </w:pPr>
          </w:p>
        </w:tc>
        <w:tc>
          <w:tcPr>
            <w:tcW w:w="948" w:type="dxa"/>
            <w:tcBorders>
              <w:top w:val="nil"/>
              <w:left w:val="nil"/>
              <w:bottom w:val="single" w:color="auto" w:sz="4" w:space="0"/>
              <w:right w:val="single" w:color="auto" w:sz="4" w:space="0"/>
            </w:tcBorders>
            <w:shd w:val="clear" w:color="auto" w:fill="auto"/>
            <w:noWrap/>
            <w:vAlign w:val="center"/>
          </w:tcPr>
          <w:p>
            <w:pPr>
              <w:widowControl/>
              <w:spacing w:line="240" w:lineRule="auto"/>
              <w:ind w:firstLine="0" w:firstLineChars="0"/>
              <w:jc w:val="center"/>
              <w:rPr>
                <w:rFonts w:hint="eastAsia" w:cs="宋体"/>
                <w:color w:val="auto"/>
                <w:kern w:val="0"/>
                <w:sz w:val="21"/>
                <w:szCs w:val="21"/>
                <w:highlight w:val="none"/>
                <w:lang w:val="en-US" w:eastAsia="zh-CN"/>
              </w:rPr>
            </w:pPr>
          </w:p>
        </w:tc>
      </w:tr>
      <w:tr>
        <w:tblPrEx>
          <w:tblCellMar>
            <w:top w:w="0" w:type="dxa"/>
            <w:left w:w="108" w:type="dxa"/>
            <w:bottom w:w="0" w:type="dxa"/>
            <w:right w:w="108" w:type="dxa"/>
          </w:tblCellMar>
        </w:tblPrEx>
        <w:trPr>
          <w:trHeight w:val="330" w:hRule="atLeast"/>
          <w:jc w:val="center"/>
        </w:trPr>
        <w:tc>
          <w:tcPr>
            <w:tcW w:w="8712"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240" w:lineRule="auto"/>
              <w:ind w:firstLine="0" w:firstLineChars="0"/>
              <w:jc w:val="left"/>
              <w:rPr>
                <w:rFonts w:cs="宋体"/>
                <w:color w:val="auto"/>
                <w:kern w:val="0"/>
                <w:sz w:val="21"/>
                <w:szCs w:val="21"/>
                <w:highlight w:val="none"/>
              </w:rPr>
            </w:pPr>
            <w:r>
              <w:rPr>
                <w:rFonts w:hint="eastAsia" w:cs="宋体"/>
                <w:color w:val="auto"/>
                <w:kern w:val="0"/>
                <w:sz w:val="21"/>
                <w:szCs w:val="21"/>
                <w:highlight w:val="none"/>
              </w:rPr>
              <w:t>注：需选用质量好、价格中等的材料，进场前经监理和甲方认可。</w:t>
            </w:r>
          </w:p>
        </w:tc>
      </w:tr>
    </w:tbl>
    <w:p>
      <w:pPr>
        <w:widowControl/>
        <w:spacing w:line="320" w:lineRule="exact"/>
        <w:ind w:firstLine="402"/>
        <w:rPr>
          <w:rFonts w:cs="宋体"/>
          <w:b/>
          <w:bCs/>
          <w:color w:val="auto"/>
          <w:sz w:val="20"/>
          <w:szCs w:val="20"/>
          <w:highlight w:val="none"/>
          <w:u w:val="single"/>
        </w:rPr>
      </w:pPr>
      <w:r>
        <w:rPr>
          <w:rFonts w:hint="eastAsia" w:cs="宋体"/>
          <w:b/>
          <w:bCs/>
          <w:color w:val="auto"/>
          <w:sz w:val="20"/>
          <w:szCs w:val="20"/>
          <w:highlight w:val="none"/>
          <w:u w:val="single"/>
        </w:rPr>
        <w:t>关于推荐品牌：</w:t>
      </w:r>
    </w:p>
    <w:p>
      <w:pPr>
        <w:widowControl/>
        <w:spacing w:line="320" w:lineRule="exact"/>
        <w:ind w:firstLine="402"/>
        <w:rPr>
          <w:rFonts w:cs="宋体"/>
          <w:b/>
          <w:bCs/>
          <w:color w:val="auto"/>
          <w:sz w:val="20"/>
          <w:szCs w:val="20"/>
          <w:highlight w:val="none"/>
          <w:u w:val="single"/>
        </w:rPr>
      </w:pPr>
      <w:r>
        <w:rPr>
          <w:rFonts w:hint="eastAsia" w:cs="宋体"/>
          <w:b/>
          <w:bCs/>
          <w:color w:val="auto"/>
          <w:sz w:val="20"/>
          <w:szCs w:val="20"/>
          <w:highlight w:val="none"/>
          <w:u w:val="single"/>
        </w:rPr>
        <w:t xml:space="preserve"> ①招标文件中对主要材料设备品牌、厂家、规格、型号有推荐的，投标人应采用并选用其中高档产品，或选用与招标人推荐的品牌相当及以上的中高档产品，如投标人所选材料设备的材质、规格、颜色、档次与招标文件及施工图纸要求的存在明显差别，或虽按招标文件推荐的材料品牌选择但该材料因某种原因停产或其他原因而不能供应的，则实际施工过程中招标人有权在招标文件推荐的材料品牌中自行确定，且投标价格不予调整。</w:t>
      </w:r>
    </w:p>
    <w:p>
      <w:pPr>
        <w:widowControl/>
        <w:spacing w:line="320" w:lineRule="exact"/>
        <w:ind w:firstLine="402"/>
        <w:rPr>
          <w:rFonts w:cs="宋体"/>
          <w:b/>
          <w:bCs/>
          <w:color w:val="auto"/>
          <w:sz w:val="20"/>
          <w:szCs w:val="20"/>
          <w:highlight w:val="none"/>
          <w:u w:val="single"/>
        </w:rPr>
      </w:pPr>
      <w:r>
        <w:rPr>
          <w:rFonts w:hint="eastAsia" w:cs="宋体"/>
          <w:b/>
          <w:bCs/>
          <w:color w:val="auto"/>
          <w:sz w:val="20"/>
          <w:szCs w:val="20"/>
          <w:highlight w:val="none"/>
          <w:u w:val="single"/>
        </w:rPr>
        <w:t>②招标文件中对材料的品牌、规格、型号没有具体规定的，由投标人按招标文件及施工图的要求按中高档进行投标报价，并在“ 主要材料品牌一览表“的投标品牌一栏里注明所选材料设备的品牌、规格、型号，若投标人没有进行注明的，则招标人有权指定品牌，投标价格不调整。</w:t>
      </w:r>
    </w:p>
    <w:p>
      <w:pPr>
        <w:widowControl/>
        <w:spacing w:line="320" w:lineRule="exact"/>
        <w:ind w:firstLine="402"/>
        <w:rPr>
          <w:rFonts w:cs="宋体"/>
          <w:b/>
          <w:bCs/>
          <w:color w:val="auto"/>
          <w:sz w:val="20"/>
          <w:szCs w:val="20"/>
          <w:highlight w:val="none"/>
          <w:u w:val="single"/>
        </w:rPr>
      </w:pPr>
      <w:r>
        <w:rPr>
          <w:rFonts w:hint="eastAsia" w:cs="宋体"/>
          <w:b/>
          <w:bCs/>
          <w:color w:val="auto"/>
          <w:sz w:val="20"/>
          <w:szCs w:val="20"/>
          <w:highlight w:val="none"/>
          <w:u w:val="single"/>
        </w:rPr>
        <w:t>③发包人有权根据实际情况在发包人推荐的供应商（厂家）或品牌范围内进行调整，承包人须接受调整，并不得因此而要求调价。</w:t>
      </w:r>
    </w:p>
    <w:p>
      <w:pPr>
        <w:widowControl/>
        <w:spacing w:line="320" w:lineRule="exact"/>
        <w:ind w:firstLine="402"/>
        <w:rPr>
          <w:rFonts w:cs="宋体"/>
          <w:b/>
          <w:bCs/>
          <w:color w:val="auto"/>
          <w:sz w:val="20"/>
          <w:szCs w:val="20"/>
          <w:highlight w:val="none"/>
          <w:u w:val="single"/>
        </w:rPr>
      </w:pPr>
      <w:r>
        <w:rPr>
          <w:rFonts w:hint="eastAsia" w:cs="宋体"/>
          <w:b/>
          <w:bCs/>
          <w:color w:val="auto"/>
          <w:sz w:val="20"/>
          <w:szCs w:val="20"/>
          <w:highlight w:val="none"/>
          <w:u w:val="single"/>
        </w:rPr>
        <w:t>④若投标人未明确品牌，招标人将在此表 “推荐品牌或厂家”中指定品牌及型号，投标报价不予调整。</w:t>
      </w:r>
    </w:p>
    <w:p>
      <w:pPr>
        <w:widowControl/>
        <w:spacing w:line="320" w:lineRule="exact"/>
        <w:ind w:firstLine="402"/>
        <w:rPr>
          <w:rFonts w:cs="宋体"/>
          <w:b/>
          <w:bCs/>
          <w:color w:val="auto"/>
          <w:sz w:val="20"/>
          <w:szCs w:val="20"/>
          <w:highlight w:val="none"/>
          <w:u w:val="single"/>
        </w:rPr>
      </w:pPr>
      <w:r>
        <w:rPr>
          <w:rFonts w:hint="eastAsia" w:cs="宋体"/>
          <w:b/>
          <w:bCs/>
          <w:color w:val="auto"/>
          <w:sz w:val="20"/>
          <w:szCs w:val="20"/>
          <w:highlight w:val="none"/>
          <w:u w:val="single"/>
        </w:rPr>
        <w:t>⑤本工程选用的材料必须达到国家质量标准及环保要求，若承包人采用的材料未达到该要求，发包人有权要求承包人进行改正，而不予费用补偿。</w:t>
      </w:r>
    </w:p>
    <w:p>
      <w:pPr>
        <w:ind w:firstLine="0" w:firstLineChars="0"/>
        <w:rPr>
          <w:rFonts w:cs="宋体"/>
          <w:color w:val="auto"/>
          <w:highlight w:val="none"/>
        </w:rPr>
        <w:sectPr>
          <w:footerReference r:id="rId14" w:type="default"/>
          <w:pgSz w:w="11906" w:h="16838"/>
          <w:pgMar w:top="1418" w:right="1588" w:bottom="1418" w:left="1588" w:header="567" w:footer="567" w:gutter="0"/>
          <w:cols w:space="720" w:num="1"/>
          <w:docGrid w:linePitch="312" w:charSpace="0"/>
        </w:sectPr>
      </w:pPr>
    </w:p>
    <w:p>
      <w:pPr>
        <w:pStyle w:val="4"/>
        <w:ind w:firstLine="562"/>
        <w:rPr>
          <w:rFonts w:cs="宋体"/>
          <w:color w:val="auto"/>
          <w:sz w:val="28"/>
          <w:szCs w:val="28"/>
          <w:highlight w:val="none"/>
        </w:rPr>
      </w:pPr>
      <w:bookmarkStart w:id="90" w:name="_Toc8008"/>
      <w:r>
        <w:rPr>
          <w:rFonts w:hint="eastAsia" w:cs="宋体"/>
          <w:color w:val="auto"/>
          <w:sz w:val="28"/>
          <w:szCs w:val="28"/>
          <w:highlight w:val="none"/>
        </w:rPr>
        <w:t>第四章  合同条款</w:t>
      </w:r>
      <w:bookmarkEnd w:id="71"/>
      <w:bookmarkEnd w:id="72"/>
      <w:bookmarkEnd w:id="73"/>
      <w:bookmarkEnd w:id="77"/>
      <w:bookmarkEnd w:id="78"/>
      <w:bookmarkEnd w:id="90"/>
    </w:p>
    <w:p>
      <w:pPr>
        <w:pStyle w:val="5"/>
        <w:ind w:firstLine="0" w:firstLineChars="0"/>
        <w:jc w:val="center"/>
        <w:rPr>
          <w:rFonts w:ascii="宋体" w:hAnsi="宋体" w:cs="宋体"/>
          <w:color w:val="auto"/>
          <w:highlight w:val="none"/>
        </w:rPr>
      </w:pPr>
      <w:bookmarkStart w:id="91" w:name="_Toc26054"/>
      <w:bookmarkStart w:id="92" w:name="_Toc296503025"/>
      <w:bookmarkStart w:id="93" w:name="_Toc296890982"/>
      <w:bookmarkStart w:id="94" w:name="_Toc351203480"/>
      <w:bookmarkStart w:id="95" w:name="_Toc163484941"/>
      <w:bookmarkStart w:id="96" w:name="_Toc163484939"/>
      <w:bookmarkStart w:id="97" w:name="_Toc237694779"/>
      <w:bookmarkStart w:id="98" w:name="_Toc237695004"/>
      <w:bookmarkStart w:id="99" w:name="_Toc415814138"/>
      <w:bookmarkStart w:id="100" w:name="_Toc226969356"/>
      <w:bookmarkStart w:id="101" w:name="_Toc506358624"/>
      <w:bookmarkStart w:id="102" w:name="_Toc227057962"/>
      <w:r>
        <w:rPr>
          <w:rFonts w:hint="eastAsia" w:ascii="宋体" w:hAnsi="宋体" w:cs="宋体"/>
          <w:color w:val="auto"/>
          <w:highlight w:val="none"/>
        </w:rPr>
        <w:t>第一部分 合同协议书</w:t>
      </w:r>
      <w:bookmarkEnd w:id="91"/>
      <w:bookmarkEnd w:id="92"/>
      <w:bookmarkEnd w:id="93"/>
      <w:bookmarkEnd w:id="94"/>
    </w:p>
    <w:p>
      <w:pPr>
        <w:widowControl/>
        <w:adjustRightInd w:val="0"/>
        <w:snapToGrid w:val="0"/>
        <w:ind w:firstLine="422"/>
        <w:rPr>
          <w:rFonts w:cs="宋体"/>
          <w:b/>
          <w:color w:val="auto"/>
          <w:highlight w:val="none"/>
          <w:u w:val="single"/>
        </w:rPr>
      </w:pPr>
      <w:r>
        <w:rPr>
          <w:rFonts w:hint="eastAsia" w:cs="宋体"/>
          <w:b/>
          <w:color w:val="auto"/>
          <w:highlight w:val="none"/>
        </w:rPr>
        <w:t>发包人（全称）：</w:t>
      </w:r>
      <w:r>
        <w:rPr>
          <w:rFonts w:hint="eastAsia" w:cs="宋体"/>
          <w:b/>
          <w:color w:val="auto"/>
          <w:highlight w:val="none"/>
          <w:u w:val="single"/>
        </w:rPr>
        <w:t>浙江出入境边防检查总站</w:t>
      </w:r>
    </w:p>
    <w:p>
      <w:pPr>
        <w:widowControl/>
        <w:adjustRightInd w:val="0"/>
        <w:snapToGrid w:val="0"/>
        <w:ind w:firstLine="422"/>
        <w:rPr>
          <w:rFonts w:cs="宋体"/>
          <w:b/>
          <w:color w:val="auto"/>
          <w:highlight w:val="none"/>
          <w:u w:val="single"/>
        </w:rPr>
      </w:pPr>
      <w:r>
        <w:rPr>
          <w:rFonts w:hint="eastAsia" w:cs="宋体"/>
          <w:b/>
          <w:color w:val="auto"/>
          <w:highlight w:val="none"/>
        </w:rPr>
        <w:t>承包人（全称）：</w:t>
      </w:r>
    </w:p>
    <w:p>
      <w:pPr>
        <w:adjustRightInd w:val="0"/>
        <w:snapToGrid w:val="0"/>
        <w:spacing w:line="264" w:lineRule="auto"/>
        <w:ind w:firstLine="420"/>
        <w:rPr>
          <w:rFonts w:cs="宋体"/>
          <w:color w:val="auto"/>
          <w:kern w:val="0"/>
          <w:highlight w:val="none"/>
        </w:rPr>
      </w:pPr>
      <w:r>
        <w:rPr>
          <w:rFonts w:hint="eastAsia" w:cs="宋体"/>
          <w:color w:val="auto"/>
          <w:kern w:val="0"/>
          <w:highlight w:val="none"/>
        </w:rPr>
        <w:t>根据《中华人民共和国合同法》、《中华人民共和国建筑法》及其他有关法律规定，遵循平等、自愿、公平和诚实信用的原则，双方就</w:t>
      </w:r>
      <w:r>
        <w:rPr>
          <w:rFonts w:hint="eastAsia" w:cs="宋体"/>
          <w:color w:val="auto"/>
          <w:kern w:val="0"/>
          <w:szCs w:val="21"/>
          <w:highlight w:val="none"/>
          <w:u w:val="single"/>
          <w:shd w:val="clear" w:color="auto" w:fill="FFFFFF"/>
          <w:lang w:bidi="ar"/>
        </w:rPr>
        <w:t>浙江出入境边防检查总站储备地块围墙改建</w:t>
      </w:r>
      <w:r>
        <w:rPr>
          <w:rFonts w:hint="eastAsia" w:cs="宋体"/>
          <w:color w:val="auto"/>
          <w:highlight w:val="none"/>
          <w:u w:val="single"/>
        </w:rPr>
        <w:t>工程</w:t>
      </w:r>
      <w:r>
        <w:rPr>
          <w:rFonts w:hint="eastAsia" w:cs="宋体"/>
          <w:color w:val="auto"/>
          <w:kern w:val="0"/>
          <w:highlight w:val="none"/>
        </w:rPr>
        <w:t>施工及有关事项协商一致，共同达成如下协议:</w:t>
      </w:r>
    </w:p>
    <w:p>
      <w:pPr>
        <w:adjustRightInd w:val="0"/>
        <w:snapToGrid w:val="0"/>
        <w:spacing w:line="264" w:lineRule="auto"/>
        <w:ind w:firstLine="422"/>
        <w:rPr>
          <w:rFonts w:cs="宋体"/>
          <w:b/>
          <w:color w:val="auto"/>
          <w:highlight w:val="none"/>
        </w:rPr>
      </w:pPr>
      <w:r>
        <w:rPr>
          <w:rFonts w:hint="eastAsia" w:cs="宋体"/>
          <w:b/>
          <w:color w:val="auto"/>
          <w:highlight w:val="none"/>
        </w:rPr>
        <w:t>一、工程概况</w:t>
      </w:r>
    </w:p>
    <w:p>
      <w:pPr>
        <w:adjustRightInd w:val="0"/>
        <w:snapToGrid w:val="0"/>
        <w:spacing w:line="264" w:lineRule="auto"/>
        <w:ind w:firstLine="525" w:firstLineChars="250"/>
        <w:rPr>
          <w:rFonts w:cs="宋体"/>
          <w:color w:val="auto"/>
          <w:highlight w:val="none"/>
          <w:u w:val="single"/>
        </w:rPr>
      </w:pPr>
      <w:r>
        <w:rPr>
          <w:rFonts w:hint="eastAsia" w:cs="宋体"/>
          <w:color w:val="auto"/>
          <w:highlight w:val="none"/>
        </w:rPr>
        <w:t>1.工程名称：</w:t>
      </w:r>
      <w:r>
        <w:rPr>
          <w:rFonts w:hint="eastAsia" w:cs="宋体"/>
          <w:color w:val="auto"/>
          <w:kern w:val="0"/>
          <w:szCs w:val="21"/>
          <w:highlight w:val="none"/>
          <w:u w:val="single"/>
          <w:shd w:val="clear" w:color="auto" w:fill="FFFFFF"/>
          <w:lang w:bidi="ar"/>
        </w:rPr>
        <w:t>浙江出入境边防检查总站储备地块围墙改建工程</w:t>
      </w:r>
    </w:p>
    <w:p>
      <w:pPr>
        <w:adjustRightInd w:val="0"/>
        <w:snapToGrid w:val="0"/>
        <w:spacing w:line="264" w:lineRule="auto"/>
        <w:ind w:firstLine="525" w:firstLineChars="250"/>
        <w:rPr>
          <w:rFonts w:cs="宋体"/>
          <w:color w:val="auto"/>
          <w:highlight w:val="none"/>
          <w:u w:val="single"/>
        </w:rPr>
      </w:pPr>
      <w:r>
        <w:rPr>
          <w:rFonts w:hint="eastAsia" w:cs="宋体"/>
          <w:color w:val="auto"/>
          <w:highlight w:val="none"/>
        </w:rPr>
        <w:t>2.工程地点：</w:t>
      </w:r>
      <w:r>
        <w:rPr>
          <w:rFonts w:hint="eastAsia" w:cs="宋体"/>
          <w:color w:val="auto"/>
          <w:highlight w:val="none"/>
          <w:u w:val="single"/>
        </w:rPr>
        <w:t xml:space="preserve"> 杭州市北干街道风情大道239号浙江边检总站</w:t>
      </w:r>
    </w:p>
    <w:p>
      <w:pPr>
        <w:adjustRightInd w:val="0"/>
        <w:snapToGrid w:val="0"/>
        <w:spacing w:line="264" w:lineRule="auto"/>
        <w:ind w:firstLine="525" w:firstLineChars="250"/>
        <w:rPr>
          <w:rFonts w:cs="宋体"/>
          <w:color w:val="auto"/>
          <w:highlight w:val="none"/>
        </w:rPr>
      </w:pPr>
      <w:r>
        <w:rPr>
          <w:rFonts w:hint="eastAsia" w:cs="宋体"/>
          <w:color w:val="auto"/>
          <w:highlight w:val="none"/>
        </w:rPr>
        <w:t>3.工程立项批准文号：</w:t>
      </w:r>
      <w:r>
        <w:rPr>
          <w:rFonts w:hint="eastAsia" w:cs="宋体"/>
          <w:color w:val="auto"/>
          <w:highlight w:val="none"/>
          <w:u w:val="single"/>
        </w:rPr>
        <w:t xml:space="preserve">      /       </w:t>
      </w:r>
    </w:p>
    <w:p>
      <w:pPr>
        <w:adjustRightInd w:val="0"/>
        <w:snapToGrid w:val="0"/>
        <w:spacing w:line="264" w:lineRule="auto"/>
        <w:ind w:firstLine="525" w:firstLineChars="250"/>
        <w:rPr>
          <w:rFonts w:cs="宋体"/>
          <w:color w:val="auto"/>
          <w:highlight w:val="none"/>
          <w:u w:val="single"/>
        </w:rPr>
      </w:pPr>
      <w:r>
        <w:rPr>
          <w:rFonts w:hint="eastAsia" w:cs="宋体"/>
          <w:color w:val="auto"/>
          <w:highlight w:val="none"/>
        </w:rPr>
        <w:t>4.资金来源：</w:t>
      </w:r>
    </w:p>
    <w:p>
      <w:pPr>
        <w:adjustRightInd w:val="0"/>
        <w:snapToGrid w:val="0"/>
        <w:spacing w:line="264" w:lineRule="auto"/>
        <w:ind w:firstLine="525" w:firstLineChars="250"/>
        <w:rPr>
          <w:rFonts w:cs="宋体"/>
          <w:color w:val="auto"/>
          <w:highlight w:val="none"/>
          <w:u w:val="single"/>
        </w:rPr>
      </w:pPr>
      <w:r>
        <w:rPr>
          <w:rFonts w:hint="eastAsia" w:cs="宋体"/>
          <w:color w:val="auto"/>
          <w:highlight w:val="none"/>
        </w:rPr>
        <w:t>5.工程内容：</w:t>
      </w:r>
      <w:r>
        <w:rPr>
          <w:rFonts w:hint="eastAsia" w:cs="宋体"/>
          <w:color w:val="auto"/>
          <w:highlight w:val="none"/>
          <w:u w:val="single"/>
        </w:rPr>
        <w:t>招标文件、图纸及工程量清单范围内包含的工程内容</w:t>
      </w:r>
    </w:p>
    <w:p>
      <w:pPr>
        <w:adjustRightInd w:val="0"/>
        <w:snapToGrid w:val="0"/>
        <w:spacing w:line="264" w:lineRule="auto"/>
        <w:ind w:firstLine="735" w:firstLineChars="350"/>
        <w:rPr>
          <w:rFonts w:cs="宋体"/>
          <w:color w:val="auto"/>
          <w:highlight w:val="none"/>
        </w:rPr>
      </w:pPr>
      <w:r>
        <w:rPr>
          <w:rFonts w:hint="eastAsia" w:cs="宋体"/>
          <w:color w:val="auto"/>
          <w:highlight w:val="none"/>
        </w:rPr>
        <w:t>群体工程应附承包人承揽工程项目一览表（附件1）</w:t>
      </w:r>
    </w:p>
    <w:p>
      <w:pPr>
        <w:adjustRightInd w:val="0"/>
        <w:snapToGrid w:val="0"/>
        <w:spacing w:line="264" w:lineRule="auto"/>
        <w:ind w:firstLine="525" w:firstLineChars="250"/>
        <w:rPr>
          <w:rFonts w:cs="宋体"/>
          <w:color w:val="auto"/>
          <w:highlight w:val="none"/>
          <w:u w:val="single"/>
        </w:rPr>
      </w:pPr>
      <w:r>
        <w:rPr>
          <w:rFonts w:hint="eastAsia" w:cs="宋体"/>
          <w:color w:val="auto"/>
          <w:highlight w:val="none"/>
        </w:rPr>
        <w:t>6.工程承包范围：</w:t>
      </w:r>
      <w:bookmarkStart w:id="103" w:name="SOA_hhxys_gccbfw"/>
      <w:r>
        <w:rPr>
          <w:rFonts w:hint="eastAsia" w:cs="宋体"/>
          <w:color w:val="auto"/>
          <w:highlight w:val="none"/>
          <w:u w:val="single"/>
        </w:rPr>
        <w:t>施工图范围内的维修工程，具体以提供的施工图、工程量清单及其编制说明、招标文件中明确的内容为准，可能出现的施工图设计变更及根据发包人明确指令需在施工图范围外增加的工程量及施工图范围内减少的工程量</w:t>
      </w:r>
      <w:bookmarkEnd w:id="103"/>
      <w:r>
        <w:rPr>
          <w:rFonts w:hint="eastAsia" w:cs="宋体"/>
          <w:color w:val="auto"/>
          <w:highlight w:val="none"/>
          <w:u w:val="single"/>
        </w:rPr>
        <w:t>。</w:t>
      </w:r>
    </w:p>
    <w:p>
      <w:pPr>
        <w:adjustRightInd w:val="0"/>
        <w:snapToGrid w:val="0"/>
        <w:spacing w:line="264" w:lineRule="auto"/>
        <w:ind w:firstLine="422"/>
        <w:rPr>
          <w:rFonts w:cs="宋体"/>
          <w:b/>
          <w:color w:val="auto"/>
          <w:highlight w:val="none"/>
        </w:rPr>
      </w:pPr>
      <w:r>
        <w:rPr>
          <w:rFonts w:hint="eastAsia" w:cs="宋体"/>
          <w:b/>
          <w:color w:val="auto"/>
          <w:highlight w:val="none"/>
        </w:rPr>
        <w:t>二、合同工期</w:t>
      </w:r>
    </w:p>
    <w:p>
      <w:pPr>
        <w:adjustRightInd w:val="0"/>
        <w:snapToGrid w:val="0"/>
        <w:spacing w:line="264" w:lineRule="auto"/>
        <w:ind w:firstLine="420"/>
        <w:rPr>
          <w:rFonts w:cs="宋体"/>
          <w:color w:val="auto"/>
          <w:highlight w:val="none"/>
        </w:rPr>
      </w:pPr>
      <w:r>
        <w:rPr>
          <w:rFonts w:hint="eastAsia" w:cs="宋体"/>
          <w:color w:val="auto"/>
          <w:highlight w:val="none"/>
        </w:rPr>
        <w:t xml:space="preserve">开工日期： </w:t>
      </w:r>
      <w:r>
        <w:rPr>
          <w:rFonts w:hint="eastAsia" w:cs="宋体"/>
          <w:color w:val="auto"/>
          <w:highlight w:val="none"/>
          <w:u w:val="single"/>
        </w:rPr>
        <w:t xml:space="preserve"> 2021 年 月  日  </w:t>
      </w:r>
    </w:p>
    <w:p>
      <w:pPr>
        <w:adjustRightInd w:val="0"/>
        <w:snapToGrid w:val="0"/>
        <w:spacing w:line="264" w:lineRule="auto"/>
        <w:ind w:firstLine="420"/>
        <w:rPr>
          <w:rFonts w:cs="宋体"/>
          <w:color w:val="auto"/>
          <w:highlight w:val="none"/>
          <w:u w:val="single"/>
        </w:rPr>
      </w:pPr>
      <w:r>
        <w:rPr>
          <w:rFonts w:hint="eastAsia" w:cs="宋体"/>
          <w:color w:val="auto"/>
          <w:highlight w:val="none"/>
        </w:rPr>
        <w:t>竣工日期：</w:t>
      </w:r>
      <w:r>
        <w:rPr>
          <w:rFonts w:hint="eastAsia" w:cs="宋体"/>
          <w:color w:val="auto"/>
          <w:highlight w:val="none"/>
          <w:u w:val="single"/>
        </w:rPr>
        <w:t xml:space="preserve">  2021 年 月  日</w:t>
      </w:r>
    </w:p>
    <w:p>
      <w:pPr>
        <w:adjustRightInd w:val="0"/>
        <w:snapToGrid w:val="0"/>
        <w:spacing w:line="264" w:lineRule="auto"/>
        <w:ind w:firstLine="420"/>
        <w:rPr>
          <w:rFonts w:cs="宋体"/>
          <w:color w:val="auto"/>
          <w:sz w:val="24"/>
          <w:highlight w:val="none"/>
        </w:rPr>
      </w:pPr>
      <w:r>
        <w:rPr>
          <w:rFonts w:hint="eastAsia" w:cs="宋体"/>
          <w:color w:val="auto"/>
          <w:highlight w:val="none"/>
        </w:rPr>
        <w:t>工期总日历天数</w:t>
      </w:r>
      <w:r>
        <w:rPr>
          <w:rFonts w:hint="eastAsia" w:cs="宋体"/>
          <w:color w:val="auto"/>
          <w:highlight w:val="none"/>
          <w:u w:val="single"/>
        </w:rPr>
        <w:t xml:space="preserve">  80  日历</w:t>
      </w:r>
      <w:r>
        <w:rPr>
          <w:rFonts w:hint="eastAsia" w:cs="宋体"/>
          <w:color w:val="auto"/>
          <w:highlight w:val="none"/>
        </w:rPr>
        <w:t>天。工期总日历天数与根据前述计划开竣工日期计算的工期天数不一致的，以工期总日历天数为准。</w:t>
      </w:r>
    </w:p>
    <w:p>
      <w:pPr>
        <w:adjustRightInd w:val="0"/>
        <w:snapToGrid w:val="0"/>
        <w:spacing w:line="264" w:lineRule="auto"/>
        <w:ind w:firstLine="422"/>
        <w:rPr>
          <w:rFonts w:cs="宋体"/>
          <w:b/>
          <w:color w:val="auto"/>
          <w:highlight w:val="none"/>
        </w:rPr>
      </w:pPr>
      <w:r>
        <w:rPr>
          <w:rFonts w:hint="eastAsia" w:cs="宋体"/>
          <w:b/>
          <w:color w:val="auto"/>
          <w:highlight w:val="none"/>
        </w:rPr>
        <w:t>三、质量标准</w:t>
      </w:r>
    </w:p>
    <w:p>
      <w:pPr>
        <w:adjustRightInd w:val="0"/>
        <w:snapToGrid w:val="0"/>
        <w:spacing w:line="264" w:lineRule="auto"/>
        <w:ind w:firstLine="420"/>
        <w:rPr>
          <w:rFonts w:cs="宋体"/>
          <w:color w:val="auto"/>
          <w:highlight w:val="none"/>
          <w:u w:val="single"/>
        </w:rPr>
      </w:pPr>
      <w:r>
        <w:rPr>
          <w:rFonts w:hint="eastAsia" w:cs="宋体"/>
          <w:color w:val="auto"/>
          <w:highlight w:val="none"/>
        </w:rPr>
        <w:t>工程质量符合：</w:t>
      </w:r>
      <w:r>
        <w:rPr>
          <w:rFonts w:hint="eastAsia" w:cs="宋体"/>
          <w:color w:val="auto"/>
          <w:highlight w:val="none"/>
          <w:u w:val="single"/>
        </w:rPr>
        <w:t xml:space="preserve">    合格   </w:t>
      </w:r>
      <w:r>
        <w:rPr>
          <w:rFonts w:hint="eastAsia" w:cs="宋体"/>
          <w:color w:val="auto"/>
          <w:highlight w:val="none"/>
        </w:rPr>
        <w:t>标准。</w:t>
      </w:r>
    </w:p>
    <w:p>
      <w:pPr>
        <w:adjustRightInd w:val="0"/>
        <w:snapToGrid w:val="0"/>
        <w:spacing w:line="264" w:lineRule="auto"/>
        <w:ind w:firstLine="422"/>
        <w:rPr>
          <w:rFonts w:cs="宋体"/>
          <w:b/>
          <w:color w:val="auto"/>
          <w:highlight w:val="none"/>
        </w:rPr>
      </w:pPr>
      <w:r>
        <w:rPr>
          <w:rFonts w:hint="eastAsia" w:cs="宋体"/>
          <w:b/>
          <w:color w:val="auto"/>
          <w:highlight w:val="none"/>
        </w:rPr>
        <w:t>四、签约合同价与合同价格形式</w:t>
      </w:r>
    </w:p>
    <w:p>
      <w:pPr>
        <w:adjustRightInd w:val="0"/>
        <w:snapToGrid w:val="0"/>
        <w:spacing w:line="264" w:lineRule="auto"/>
        <w:ind w:firstLine="420"/>
        <w:rPr>
          <w:rFonts w:cs="宋体"/>
          <w:color w:val="auto"/>
          <w:highlight w:val="none"/>
        </w:rPr>
      </w:pPr>
      <w:r>
        <w:rPr>
          <w:rFonts w:hint="eastAsia" w:cs="宋体"/>
          <w:color w:val="auto"/>
          <w:highlight w:val="none"/>
        </w:rPr>
        <w:t>1.签约合同价为：</w:t>
      </w:r>
    </w:p>
    <w:p>
      <w:pPr>
        <w:widowControl/>
        <w:adjustRightInd w:val="0"/>
        <w:snapToGrid w:val="0"/>
        <w:spacing w:line="264" w:lineRule="auto"/>
        <w:ind w:firstLine="420"/>
        <w:jc w:val="left"/>
        <w:rPr>
          <w:rFonts w:cs="宋体"/>
          <w:color w:val="auto"/>
          <w:highlight w:val="none"/>
        </w:rPr>
      </w:pPr>
      <w:r>
        <w:rPr>
          <w:rFonts w:hint="eastAsia" w:cs="宋体"/>
          <w:color w:val="auto"/>
          <w:highlight w:val="none"/>
        </w:rPr>
        <w:t>人民币（大写）：人民币（大写）(¥元)；</w:t>
      </w:r>
    </w:p>
    <w:p>
      <w:pPr>
        <w:adjustRightInd w:val="0"/>
        <w:snapToGrid w:val="0"/>
        <w:spacing w:line="264" w:lineRule="auto"/>
        <w:ind w:firstLine="420"/>
        <w:rPr>
          <w:rFonts w:cs="宋体"/>
          <w:color w:val="auto"/>
          <w:highlight w:val="none"/>
        </w:rPr>
      </w:pPr>
      <w:r>
        <w:rPr>
          <w:rFonts w:hint="eastAsia" w:cs="宋体"/>
          <w:color w:val="auto"/>
          <w:highlight w:val="none"/>
        </w:rPr>
        <w:t>其中：</w:t>
      </w:r>
    </w:p>
    <w:p>
      <w:pPr>
        <w:adjustRightInd w:val="0"/>
        <w:snapToGrid w:val="0"/>
        <w:spacing w:line="264" w:lineRule="auto"/>
        <w:ind w:firstLine="420"/>
        <w:rPr>
          <w:rFonts w:cs="宋体"/>
          <w:color w:val="auto"/>
          <w:highlight w:val="none"/>
        </w:rPr>
      </w:pPr>
      <w:r>
        <w:rPr>
          <w:rFonts w:hint="eastAsia" w:cs="宋体"/>
          <w:color w:val="auto"/>
          <w:highlight w:val="none"/>
        </w:rPr>
        <w:t>（1）安全文明施工费：</w:t>
      </w:r>
    </w:p>
    <w:p>
      <w:pPr>
        <w:adjustRightInd w:val="0"/>
        <w:snapToGrid w:val="0"/>
        <w:spacing w:line="264" w:lineRule="auto"/>
        <w:ind w:firstLine="420"/>
        <w:rPr>
          <w:rFonts w:cs="宋体"/>
          <w:color w:val="auto"/>
          <w:highlight w:val="none"/>
        </w:rPr>
      </w:pPr>
      <w:r>
        <w:rPr>
          <w:rFonts w:hint="eastAsia" w:cs="宋体"/>
          <w:color w:val="auto"/>
          <w:highlight w:val="none"/>
        </w:rPr>
        <w:t>人民币（大写）</w:t>
      </w:r>
      <w:r>
        <w:rPr>
          <w:rFonts w:hint="eastAsia" w:cs="宋体"/>
          <w:color w:val="auto"/>
          <w:highlight w:val="none"/>
          <w:u w:val="single"/>
        </w:rPr>
        <w:t xml:space="preserve">            </w:t>
      </w:r>
      <w:r>
        <w:rPr>
          <w:rFonts w:hint="eastAsia" w:cs="宋体"/>
          <w:color w:val="auto"/>
          <w:highlight w:val="none"/>
        </w:rPr>
        <w:t>（￥：</w:t>
      </w:r>
      <w:r>
        <w:rPr>
          <w:rFonts w:hint="eastAsia" w:cs="宋体"/>
          <w:color w:val="auto"/>
          <w:highlight w:val="none"/>
          <w:u w:val="single"/>
        </w:rPr>
        <w:t xml:space="preserve">         </w:t>
      </w:r>
      <w:r>
        <w:rPr>
          <w:rFonts w:hint="eastAsia" w:cs="宋体"/>
          <w:color w:val="auto"/>
          <w:highlight w:val="none"/>
        </w:rPr>
        <w:t>元）；</w:t>
      </w:r>
    </w:p>
    <w:p>
      <w:pPr>
        <w:adjustRightInd w:val="0"/>
        <w:snapToGrid w:val="0"/>
        <w:spacing w:line="264" w:lineRule="auto"/>
        <w:ind w:firstLine="420"/>
        <w:rPr>
          <w:rFonts w:cs="宋体"/>
          <w:color w:val="auto"/>
          <w:highlight w:val="none"/>
        </w:rPr>
      </w:pPr>
      <w:r>
        <w:rPr>
          <w:rFonts w:hint="eastAsia" w:cs="宋体"/>
          <w:color w:val="auto"/>
          <w:highlight w:val="none"/>
        </w:rPr>
        <w:t>（2）材料和工程设备暂估价金额：</w:t>
      </w:r>
    </w:p>
    <w:p>
      <w:pPr>
        <w:adjustRightInd w:val="0"/>
        <w:snapToGrid w:val="0"/>
        <w:spacing w:line="264" w:lineRule="auto"/>
        <w:ind w:firstLine="420"/>
        <w:rPr>
          <w:rFonts w:cs="宋体"/>
          <w:color w:val="auto"/>
          <w:highlight w:val="none"/>
        </w:rPr>
      </w:pPr>
      <w:r>
        <w:rPr>
          <w:rFonts w:hint="eastAsia" w:cs="宋体"/>
          <w:color w:val="auto"/>
          <w:highlight w:val="none"/>
        </w:rPr>
        <w:t>人民币（大写）</w:t>
      </w:r>
      <w:r>
        <w:rPr>
          <w:rFonts w:hint="eastAsia" w:cs="宋体"/>
          <w:color w:val="auto"/>
          <w:highlight w:val="none"/>
          <w:u w:val="single"/>
        </w:rPr>
        <w:t xml:space="preserve">              </w:t>
      </w:r>
      <w:r>
        <w:rPr>
          <w:rFonts w:hint="eastAsia" w:cs="宋体"/>
          <w:color w:val="auto"/>
          <w:highlight w:val="none"/>
        </w:rPr>
        <w:t>（￥：</w:t>
      </w:r>
      <w:r>
        <w:rPr>
          <w:rFonts w:hint="eastAsia" w:cs="宋体"/>
          <w:color w:val="auto"/>
          <w:highlight w:val="none"/>
          <w:u w:val="single"/>
        </w:rPr>
        <w:t xml:space="preserve">           </w:t>
      </w:r>
      <w:r>
        <w:rPr>
          <w:rFonts w:hint="eastAsia" w:cs="宋体"/>
          <w:color w:val="auto"/>
          <w:highlight w:val="none"/>
        </w:rPr>
        <w:t>元）；</w:t>
      </w:r>
    </w:p>
    <w:p>
      <w:pPr>
        <w:adjustRightInd w:val="0"/>
        <w:snapToGrid w:val="0"/>
        <w:spacing w:line="264" w:lineRule="auto"/>
        <w:ind w:firstLine="420"/>
        <w:rPr>
          <w:rFonts w:cs="宋体"/>
          <w:color w:val="auto"/>
          <w:highlight w:val="none"/>
        </w:rPr>
      </w:pPr>
      <w:r>
        <w:rPr>
          <w:rFonts w:hint="eastAsia" w:cs="宋体"/>
          <w:color w:val="auto"/>
          <w:highlight w:val="none"/>
        </w:rPr>
        <w:t>（3）专业工程暂估价金额：</w:t>
      </w:r>
    </w:p>
    <w:p>
      <w:pPr>
        <w:adjustRightInd w:val="0"/>
        <w:snapToGrid w:val="0"/>
        <w:spacing w:line="264" w:lineRule="auto"/>
        <w:ind w:firstLine="420"/>
        <w:rPr>
          <w:rFonts w:cs="宋体"/>
          <w:color w:val="auto"/>
          <w:highlight w:val="none"/>
        </w:rPr>
      </w:pPr>
      <w:r>
        <w:rPr>
          <w:rFonts w:hint="eastAsia" w:cs="宋体"/>
          <w:color w:val="auto"/>
          <w:highlight w:val="none"/>
        </w:rPr>
        <w:t>人民币（大写）</w:t>
      </w:r>
      <w:r>
        <w:rPr>
          <w:rFonts w:hint="eastAsia" w:cs="宋体"/>
          <w:color w:val="auto"/>
          <w:highlight w:val="none"/>
          <w:u w:val="single"/>
        </w:rPr>
        <w:t xml:space="preserve">             </w:t>
      </w:r>
      <w:r>
        <w:rPr>
          <w:rFonts w:hint="eastAsia" w:cs="宋体"/>
          <w:color w:val="auto"/>
          <w:highlight w:val="none"/>
        </w:rPr>
        <w:t>（￥：</w:t>
      </w:r>
      <w:r>
        <w:rPr>
          <w:rFonts w:hint="eastAsia" w:cs="宋体"/>
          <w:color w:val="auto"/>
          <w:highlight w:val="none"/>
          <w:u w:val="single"/>
        </w:rPr>
        <w:t xml:space="preserve">             </w:t>
      </w:r>
      <w:r>
        <w:rPr>
          <w:rFonts w:hint="eastAsia" w:cs="宋体"/>
          <w:color w:val="auto"/>
          <w:highlight w:val="none"/>
        </w:rPr>
        <w:t>元）；</w:t>
      </w:r>
    </w:p>
    <w:p>
      <w:pPr>
        <w:adjustRightInd w:val="0"/>
        <w:snapToGrid w:val="0"/>
        <w:spacing w:line="264" w:lineRule="auto"/>
        <w:ind w:firstLine="420"/>
        <w:rPr>
          <w:rFonts w:cs="宋体"/>
          <w:color w:val="auto"/>
          <w:highlight w:val="none"/>
        </w:rPr>
      </w:pPr>
      <w:r>
        <w:rPr>
          <w:rFonts w:hint="eastAsia" w:cs="宋体"/>
          <w:color w:val="auto"/>
          <w:highlight w:val="none"/>
        </w:rPr>
        <w:t>（4）暂列金额：</w:t>
      </w:r>
    </w:p>
    <w:p>
      <w:pPr>
        <w:adjustRightInd w:val="0"/>
        <w:snapToGrid w:val="0"/>
        <w:spacing w:line="264" w:lineRule="auto"/>
        <w:ind w:firstLine="420"/>
        <w:rPr>
          <w:rFonts w:cs="宋体"/>
          <w:color w:val="auto"/>
          <w:highlight w:val="none"/>
        </w:rPr>
      </w:pPr>
      <w:r>
        <w:rPr>
          <w:rFonts w:hint="eastAsia" w:cs="宋体"/>
          <w:color w:val="auto"/>
          <w:highlight w:val="none"/>
        </w:rPr>
        <w:t>人民币（大写）</w:t>
      </w:r>
      <w:r>
        <w:rPr>
          <w:rFonts w:hint="eastAsia" w:cs="宋体"/>
          <w:color w:val="auto"/>
          <w:highlight w:val="none"/>
          <w:u w:val="single"/>
        </w:rPr>
        <w:t xml:space="preserve">            </w:t>
      </w:r>
      <w:r>
        <w:rPr>
          <w:rFonts w:hint="eastAsia" w:cs="宋体"/>
          <w:color w:val="auto"/>
          <w:highlight w:val="none"/>
        </w:rPr>
        <w:t>（￥：</w:t>
      </w:r>
      <w:r>
        <w:rPr>
          <w:rFonts w:hint="eastAsia" w:cs="宋体"/>
          <w:color w:val="auto"/>
          <w:highlight w:val="none"/>
          <w:u w:val="single"/>
        </w:rPr>
        <w:t xml:space="preserve">          </w:t>
      </w:r>
      <w:r>
        <w:rPr>
          <w:rFonts w:hint="eastAsia" w:cs="宋体"/>
          <w:color w:val="auto"/>
          <w:highlight w:val="none"/>
        </w:rPr>
        <w:t>元）；</w:t>
      </w:r>
    </w:p>
    <w:p>
      <w:pPr>
        <w:adjustRightInd w:val="0"/>
        <w:snapToGrid w:val="0"/>
        <w:spacing w:line="264" w:lineRule="auto"/>
        <w:ind w:firstLine="420"/>
        <w:rPr>
          <w:rFonts w:cs="宋体"/>
          <w:color w:val="auto"/>
          <w:highlight w:val="none"/>
        </w:rPr>
      </w:pPr>
      <w:r>
        <w:rPr>
          <w:rFonts w:hint="eastAsia" w:cs="宋体"/>
          <w:color w:val="auto"/>
          <w:highlight w:val="none"/>
        </w:rPr>
        <w:t>（5）部分结构加固涉及的所有费用：人民币（大写）</w:t>
      </w:r>
      <w:r>
        <w:rPr>
          <w:rFonts w:hint="eastAsia" w:cs="宋体"/>
          <w:color w:val="auto"/>
          <w:highlight w:val="none"/>
          <w:u w:val="single"/>
        </w:rPr>
        <w:t xml:space="preserve">          </w:t>
      </w:r>
      <w:r>
        <w:rPr>
          <w:rFonts w:hint="eastAsia" w:cs="宋体"/>
          <w:color w:val="auto"/>
          <w:highlight w:val="none"/>
        </w:rPr>
        <w:t>（￥：</w:t>
      </w:r>
      <w:r>
        <w:rPr>
          <w:rFonts w:hint="eastAsia" w:cs="宋体"/>
          <w:color w:val="auto"/>
          <w:highlight w:val="none"/>
          <w:u w:val="single"/>
        </w:rPr>
        <w:t xml:space="preserve">             </w:t>
      </w:r>
      <w:r>
        <w:rPr>
          <w:rFonts w:hint="eastAsia" w:cs="宋体"/>
          <w:color w:val="auto"/>
          <w:highlight w:val="none"/>
        </w:rPr>
        <w:t>元）；</w:t>
      </w:r>
    </w:p>
    <w:p>
      <w:pPr>
        <w:numPr>
          <w:ilvl w:val="0"/>
          <w:numId w:val="4"/>
        </w:numPr>
        <w:adjustRightInd w:val="0"/>
        <w:snapToGrid w:val="0"/>
        <w:spacing w:line="264" w:lineRule="auto"/>
        <w:ind w:firstLine="420"/>
        <w:rPr>
          <w:rFonts w:cs="宋体"/>
          <w:color w:val="auto"/>
          <w:highlight w:val="none"/>
          <w:u w:val="single"/>
        </w:rPr>
      </w:pPr>
      <w:r>
        <w:rPr>
          <w:rFonts w:hint="eastAsia" w:cs="宋体"/>
          <w:color w:val="auto"/>
          <w:highlight w:val="none"/>
        </w:rPr>
        <w:t>合同价格形式：</w:t>
      </w:r>
      <w:r>
        <w:rPr>
          <w:rFonts w:hint="eastAsia" w:cs="宋体"/>
          <w:color w:val="auto"/>
          <w:highlight w:val="none"/>
          <w:u w:val="single"/>
        </w:rPr>
        <w:t xml:space="preserve">        固定单价合同          。</w:t>
      </w:r>
    </w:p>
    <w:p>
      <w:pPr>
        <w:adjustRightInd w:val="0"/>
        <w:snapToGrid w:val="0"/>
        <w:spacing w:line="264" w:lineRule="auto"/>
        <w:ind w:firstLine="422"/>
        <w:rPr>
          <w:rFonts w:cs="宋体"/>
          <w:b/>
          <w:color w:val="auto"/>
          <w:highlight w:val="none"/>
        </w:rPr>
      </w:pPr>
      <w:r>
        <w:rPr>
          <w:rFonts w:hint="eastAsia" w:cs="宋体"/>
          <w:b/>
          <w:color w:val="auto"/>
          <w:highlight w:val="none"/>
        </w:rPr>
        <w:t>五、项目经理</w:t>
      </w:r>
    </w:p>
    <w:p>
      <w:pPr>
        <w:adjustRightInd w:val="0"/>
        <w:snapToGrid w:val="0"/>
        <w:spacing w:line="264" w:lineRule="auto"/>
        <w:ind w:firstLine="420"/>
        <w:rPr>
          <w:rFonts w:cs="宋体"/>
          <w:color w:val="auto"/>
          <w:sz w:val="24"/>
          <w:highlight w:val="none"/>
        </w:rPr>
      </w:pPr>
      <w:r>
        <w:rPr>
          <w:rFonts w:hint="eastAsia" w:cs="宋体"/>
          <w:color w:val="auto"/>
          <w:highlight w:val="none"/>
        </w:rPr>
        <w:t>承包人项目经理</w:t>
      </w:r>
      <w:r>
        <w:rPr>
          <w:rFonts w:hint="eastAsia" w:cs="宋体"/>
          <w:color w:val="auto"/>
          <w:highlight w:val="none"/>
          <w:u w:val="single"/>
        </w:rPr>
        <w:t xml:space="preserve">        。</w:t>
      </w:r>
    </w:p>
    <w:p>
      <w:pPr>
        <w:adjustRightInd w:val="0"/>
        <w:snapToGrid w:val="0"/>
        <w:spacing w:line="264" w:lineRule="auto"/>
        <w:ind w:firstLine="420"/>
        <w:rPr>
          <w:rFonts w:cs="宋体"/>
          <w:color w:val="auto"/>
          <w:highlight w:val="none"/>
        </w:rPr>
      </w:pPr>
      <w:r>
        <w:rPr>
          <w:rFonts w:hint="eastAsia" w:cs="宋体"/>
          <w:color w:val="auto"/>
          <w:highlight w:val="none"/>
        </w:rPr>
        <w:t>六、合同文件构成</w:t>
      </w:r>
    </w:p>
    <w:p>
      <w:pPr>
        <w:adjustRightInd w:val="0"/>
        <w:snapToGrid w:val="0"/>
        <w:spacing w:line="264" w:lineRule="auto"/>
        <w:ind w:firstLine="420"/>
        <w:rPr>
          <w:rFonts w:cs="宋体"/>
          <w:color w:val="auto"/>
          <w:highlight w:val="none"/>
        </w:rPr>
      </w:pPr>
      <w:r>
        <w:rPr>
          <w:rFonts w:hint="eastAsia" w:cs="宋体"/>
          <w:color w:val="auto"/>
          <w:highlight w:val="none"/>
        </w:rPr>
        <w:t>本协议书与下列文件一起构成合同文件：</w:t>
      </w:r>
    </w:p>
    <w:p>
      <w:pPr>
        <w:adjustRightInd w:val="0"/>
        <w:snapToGrid w:val="0"/>
        <w:spacing w:line="264" w:lineRule="auto"/>
        <w:ind w:firstLine="420"/>
        <w:rPr>
          <w:rFonts w:cs="宋体"/>
          <w:color w:val="auto"/>
          <w:highlight w:val="none"/>
        </w:rPr>
      </w:pPr>
      <w:r>
        <w:rPr>
          <w:rFonts w:hint="eastAsia" w:cs="宋体"/>
          <w:color w:val="auto"/>
          <w:highlight w:val="none"/>
        </w:rPr>
        <w:t>1、中标通知书（如果有）；</w:t>
      </w:r>
    </w:p>
    <w:p>
      <w:pPr>
        <w:adjustRightInd w:val="0"/>
        <w:snapToGrid w:val="0"/>
        <w:spacing w:line="264" w:lineRule="auto"/>
        <w:ind w:firstLine="420"/>
        <w:rPr>
          <w:rFonts w:cs="宋体"/>
          <w:color w:val="auto"/>
          <w:highlight w:val="none"/>
        </w:rPr>
      </w:pPr>
      <w:r>
        <w:rPr>
          <w:rFonts w:hint="eastAsia" w:cs="宋体"/>
          <w:color w:val="auto"/>
          <w:highlight w:val="none"/>
        </w:rPr>
        <w:t>2、投标函及其附录（如果有）；</w:t>
      </w:r>
    </w:p>
    <w:p>
      <w:pPr>
        <w:adjustRightInd w:val="0"/>
        <w:snapToGrid w:val="0"/>
        <w:spacing w:line="264" w:lineRule="auto"/>
        <w:ind w:firstLine="420"/>
        <w:rPr>
          <w:rFonts w:cs="宋体"/>
          <w:color w:val="auto"/>
          <w:highlight w:val="none"/>
        </w:rPr>
      </w:pPr>
      <w:r>
        <w:rPr>
          <w:rFonts w:hint="eastAsia" w:cs="宋体"/>
          <w:color w:val="auto"/>
          <w:highlight w:val="none"/>
        </w:rPr>
        <w:t>3、专用合同条款及其附件；</w:t>
      </w:r>
    </w:p>
    <w:p>
      <w:pPr>
        <w:adjustRightInd w:val="0"/>
        <w:snapToGrid w:val="0"/>
        <w:spacing w:line="264" w:lineRule="auto"/>
        <w:ind w:firstLine="420"/>
        <w:rPr>
          <w:rFonts w:cs="宋体"/>
          <w:color w:val="auto"/>
          <w:highlight w:val="none"/>
        </w:rPr>
      </w:pPr>
      <w:r>
        <w:rPr>
          <w:rFonts w:hint="eastAsia" w:cs="宋体"/>
          <w:color w:val="auto"/>
          <w:highlight w:val="none"/>
        </w:rPr>
        <w:t>4、通用合同条款；</w:t>
      </w:r>
    </w:p>
    <w:p>
      <w:pPr>
        <w:adjustRightInd w:val="0"/>
        <w:snapToGrid w:val="0"/>
        <w:spacing w:line="264" w:lineRule="auto"/>
        <w:ind w:firstLine="420"/>
        <w:rPr>
          <w:rFonts w:cs="宋体"/>
          <w:color w:val="auto"/>
          <w:highlight w:val="none"/>
        </w:rPr>
      </w:pPr>
      <w:r>
        <w:rPr>
          <w:rFonts w:hint="eastAsia" w:cs="宋体"/>
          <w:color w:val="auto"/>
          <w:highlight w:val="none"/>
        </w:rPr>
        <w:t>5、技术标准和要求；</w:t>
      </w:r>
    </w:p>
    <w:p>
      <w:pPr>
        <w:adjustRightInd w:val="0"/>
        <w:snapToGrid w:val="0"/>
        <w:spacing w:line="264" w:lineRule="auto"/>
        <w:ind w:firstLine="420"/>
        <w:rPr>
          <w:rFonts w:cs="宋体"/>
          <w:color w:val="auto"/>
          <w:highlight w:val="none"/>
        </w:rPr>
      </w:pPr>
      <w:r>
        <w:rPr>
          <w:rFonts w:hint="eastAsia" w:cs="宋体"/>
          <w:color w:val="auto"/>
          <w:highlight w:val="none"/>
        </w:rPr>
        <w:t>6、图纸；</w:t>
      </w:r>
    </w:p>
    <w:p>
      <w:pPr>
        <w:adjustRightInd w:val="0"/>
        <w:snapToGrid w:val="0"/>
        <w:spacing w:line="264" w:lineRule="auto"/>
        <w:ind w:firstLine="420"/>
        <w:rPr>
          <w:rFonts w:cs="宋体"/>
          <w:color w:val="auto"/>
          <w:highlight w:val="none"/>
        </w:rPr>
      </w:pPr>
      <w:r>
        <w:rPr>
          <w:rFonts w:hint="eastAsia" w:cs="宋体"/>
          <w:color w:val="auto"/>
          <w:highlight w:val="none"/>
        </w:rPr>
        <w:t>7、已标价工程量清单或预算书；</w:t>
      </w:r>
    </w:p>
    <w:p>
      <w:pPr>
        <w:adjustRightInd w:val="0"/>
        <w:snapToGrid w:val="0"/>
        <w:spacing w:line="264" w:lineRule="auto"/>
        <w:ind w:firstLine="420"/>
        <w:rPr>
          <w:rFonts w:cs="宋体"/>
          <w:color w:val="auto"/>
          <w:highlight w:val="none"/>
        </w:rPr>
      </w:pPr>
      <w:r>
        <w:rPr>
          <w:rFonts w:hint="eastAsia" w:cs="宋体"/>
          <w:color w:val="auto"/>
          <w:highlight w:val="none"/>
        </w:rPr>
        <w:t>8、其他合同文件</w:t>
      </w:r>
    </w:p>
    <w:p>
      <w:pPr>
        <w:adjustRightInd w:val="0"/>
        <w:snapToGrid w:val="0"/>
        <w:spacing w:line="264" w:lineRule="auto"/>
        <w:ind w:firstLine="420"/>
        <w:rPr>
          <w:rFonts w:cs="宋体"/>
          <w:color w:val="auto"/>
          <w:highlight w:val="none"/>
        </w:rPr>
      </w:pPr>
      <w:r>
        <w:rPr>
          <w:rFonts w:hint="eastAsia" w:cs="宋体"/>
          <w:color w:val="auto"/>
          <w:highlight w:val="none"/>
        </w:rPr>
        <w:t>在合同订立及履行过程中形成的与合同有关的文件均构成合同文件组成部分。</w:t>
      </w:r>
    </w:p>
    <w:p>
      <w:pPr>
        <w:adjustRightInd w:val="0"/>
        <w:snapToGrid w:val="0"/>
        <w:spacing w:line="264" w:lineRule="auto"/>
        <w:ind w:firstLine="420"/>
        <w:rPr>
          <w:rFonts w:cs="宋体"/>
          <w:color w:val="auto"/>
          <w:sz w:val="24"/>
          <w:highlight w:val="none"/>
        </w:rPr>
      </w:pPr>
      <w:r>
        <w:rPr>
          <w:rFonts w:hint="eastAsia" w:cs="宋体"/>
          <w:color w:val="auto"/>
          <w:highlight w:val="none"/>
        </w:rPr>
        <w:t>上述各项合同文件包括合同当事人就该项合同文件所作出的补充和修改，属于同一类内容的文件，应以最新签署的为准。专用合同条款及其附件须经合同当事人签字或盖章。</w:t>
      </w:r>
    </w:p>
    <w:p>
      <w:pPr>
        <w:adjustRightInd w:val="0"/>
        <w:snapToGrid w:val="0"/>
        <w:spacing w:line="264" w:lineRule="auto"/>
        <w:ind w:firstLine="422"/>
        <w:rPr>
          <w:rFonts w:cs="宋体"/>
          <w:b/>
          <w:color w:val="auto"/>
          <w:kern w:val="0"/>
          <w:highlight w:val="none"/>
        </w:rPr>
      </w:pPr>
      <w:r>
        <w:rPr>
          <w:rFonts w:hint="eastAsia" w:cs="宋体"/>
          <w:b/>
          <w:color w:val="auto"/>
          <w:kern w:val="0"/>
          <w:highlight w:val="none"/>
        </w:rPr>
        <w:t>七、承诺</w:t>
      </w:r>
    </w:p>
    <w:p>
      <w:pPr>
        <w:adjustRightInd w:val="0"/>
        <w:snapToGrid w:val="0"/>
        <w:spacing w:line="264" w:lineRule="auto"/>
        <w:ind w:firstLine="420"/>
        <w:rPr>
          <w:rFonts w:cs="宋体"/>
          <w:color w:val="auto"/>
          <w:kern w:val="0"/>
          <w:highlight w:val="none"/>
        </w:rPr>
      </w:pPr>
      <w:r>
        <w:rPr>
          <w:rFonts w:hint="eastAsia" w:cs="宋体"/>
          <w:color w:val="auto"/>
          <w:kern w:val="0"/>
          <w:highlight w:val="none"/>
        </w:rPr>
        <w:t>1．发包人承诺按照法律规定履行项目审批手续、筹集工程建设资金并按照合同约定的期限和方式支付合同价款。</w:t>
      </w:r>
    </w:p>
    <w:p>
      <w:pPr>
        <w:adjustRightInd w:val="0"/>
        <w:snapToGrid w:val="0"/>
        <w:spacing w:line="264" w:lineRule="auto"/>
        <w:ind w:firstLine="420"/>
        <w:rPr>
          <w:rFonts w:cs="宋体"/>
          <w:color w:val="auto"/>
          <w:kern w:val="0"/>
          <w:highlight w:val="none"/>
        </w:rPr>
      </w:pPr>
      <w:r>
        <w:rPr>
          <w:rFonts w:hint="eastAsia" w:cs="宋体"/>
          <w:color w:val="auto"/>
          <w:kern w:val="0"/>
          <w:highlight w:val="none"/>
        </w:rPr>
        <w:t>2.承包人承诺按照法律规定及合同约定组织完成工程施工，确保工程质量和安全，不进行转包及违法分包，并在缺陷责任期及保修期内承担相应的工程维修责任。</w:t>
      </w:r>
    </w:p>
    <w:p>
      <w:pPr>
        <w:adjustRightInd w:val="0"/>
        <w:snapToGrid w:val="0"/>
        <w:spacing w:line="264" w:lineRule="auto"/>
        <w:ind w:firstLine="420"/>
        <w:rPr>
          <w:rFonts w:cs="宋体"/>
          <w:color w:val="auto"/>
          <w:kern w:val="0"/>
          <w:sz w:val="24"/>
          <w:highlight w:val="none"/>
        </w:rPr>
      </w:pPr>
      <w:r>
        <w:rPr>
          <w:rFonts w:hint="eastAsia" w:cs="宋体"/>
          <w:color w:val="auto"/>
          <w:kern w:val="0"/>
          <w:highlight w:val="none"/>
        </w:rPr>
        <w:t>3.发包人和承包人通过招投标形式签订合同的，双方理解并承诺不再就同一工程另行签订与合同实质性内容相背离的协议。</w:t>
      </w:r>
    </w:p>
    <w:p>
      <w:pPr>
        <w:adjustRightInd w:val="0"/>
        <w:snapToGrid w:val="0"/>
        <w:spacing w:line="264" w:lineRule="auto"/>
        <w:ind w:firstLine="422"/>
        <w:rPr>
          <w:rFonts w:cs="宋体"/>
          <w:b/>
          <w:color w:val="auto"/>
          <w:highlight w:val="none"/>
        </w:rPr>
      </w:pPr>
      <w:bookmarkStart w:id="104" w:name="_Toc361220417"/>
      <w:r>
        <w:rPr>
          <w:rFonts w:hint="eastAsia" w:cs="宋体"/>
          <w:b/>
          <w:color w:val="auto"/>
          <w:highlight w:val="none"/>
        </w:rPr>
        <w:t>八、词语含义</w:t>
      </w:r>
      <w:bookmarkEnd w:id="104"/>
    </w:p>
    <w:p>
      <w:pPr>
        <w:adjustRightInd w:val="0"/>
        <w:snapToGrid w:val="0"/>
        <w:spacing w:line="264" w:lineRule="auto"/>
        <w:ind w:firstLine="420"/>
        <w:rPr>
          <w:rFonts w:cs="宋体"/>
          <w:bCs/>
          <w:color w:val="auto"/>
          <w:highlight w:val="none"/>
        </w:rPr>
      </w:pPr>
      <w:r>
        <w:rPr>
          <w:rFonts w:hint="eastAsia" w:cs="宋体"/>
          <w:bCs/>
          <w:color w:val="auto"/>
          <w:highlight w:val="none"/>
        </w:rPr>
        <w:t>本协议书中词语含义与第二部分通用合同条款中赋予的含义相同。</w:t>
      </w:r>
    </w:p>
    <w:p>
      <w:pPr>
        <w:adjustRightInd w:val="0"/>
        <w:snapToGrid w:val="0"/>
        <w:spacing w:line="264" w:lineRule="auto"/>
        <w:ind w:firstLine="422"/>
        <w:rPr>
          <w:rFonts w:cs="宋体"/>
          <w:b/>
          <w:color w:val="auto"/>
          <w:highlight w:val="none"/>
        </w:rPr>
      </w:pPr>
      <w:bookmarkStart w:id="105" w:name="_Toc361220418"/>
      <w:r>
        <w:rPr>
          <w:rFonts w:hint="eastAsia" w:cs="宋体"/>
          <w:b/>
          <w:color w:val="auto"/>
          <w:highlight w:val="none"/>
        </w:rPr>
        <w:t>九、签订时间</w:t>
      </w:r>
      <w:bookmarkEnd w:id="105"/>
    </w:p>
    <w:p>
      <w:pPr>
        <w:adjustRightInd w:val="0"/>
        <w:snapToGrid w:val="0"/>
        <w:spacing w:line="264" w:lineRule="auto"/>
        <w:ind w:firstLine="420"/>
        <w:rPr>
          <w:rFonts w:cs="宋体"/>
          <w:bCs/>
          <w:color w:val="auto"/>
          <w:highlight w:val="none"/>
        </w:rPr>
      </w:pPr>
      <w:r>
        <w:rPr>
          <w:rFonts w:hint="eastAsia" w:cs="宋体"/>
          <w:bCs/>
          <w:color w:val="auto"/>
          <w:highlight w:val="none"/>
        </w:rPr>
        <w:t>本合同于</w:t>
      </w:r>
      <w:bookmarkStart w:id="106" w:name="SOA_hhxys_htqdn"/>
      <w:bookmarkEnd w:id="106"/>
      <w:r>
        <w:rPr>
          <w:rFonts w:hint="eastAsia" w:cs="宋体"/>
          <w:bCs/>
          <w:color w:val="auto"/>
          <w:highlight w:val="none"/>
        </w:rPr>
        <w:t>年月日签订。</w:t>
      </w:r>
    </w:p>
    <w:p>
      <w:pPr>
        <w:adjustRightInd w:val="0"/>
        <w:snapToGrid w:val="0"/>
        <w:spacing w:line="264" w:lineRule="auto"/>
        <w:ind w:firstLine="422"/>
        <w:rPr>
          <w:rFonts w:cs="宋体"/>
          <w:b/>
          <w:color w:val="auto"/>
          <w:highlight w:val="none"/>
        </w:rPr>
      </w:pPr>
      <w:bookmarkStart w:id="107" w:name="_Toc361220419"/>
      <w:r>
        <w:rPr>
          <w:rFonts w:hint="eastAsia" w:cs="宋体"/>
          <w:b/>
          <w:color w:val="auto"/>
          <w:highlight w:val="none"/>
        </w:rPr>
        <w:t>十、签订地点</w:t>
      </w:r>
      <w:bookmarkEnd w:id="107"/>
    </w:p>
    <w:p>
      <w:pPr>
        <w:adjustRightInd w:val="0"/>
        <w:snapToGrid w:val="0"/>
        <w:spacing w:line="264" w:lineRule="auto"/>
        <w:ind w:firstLine="420"/>
        <w:rPr>
          <w:rFonts w:cs="宋体"/>
          <w:bCs/>
          <w:color w:val="auto"/>
          <w:highlight w:val="none"/>
        </w:rPr>
      </w:pPr>
      <w:r>
        <w:rPr>
          <w:rFonts w:hint="eastAsia" w:cs="宋体"/>
          <w:bCs/>
          <w:color w:val="auto"/>
          <w:highlight w:val="none"/>
        </w:rPr>
        <w:t xml:space="preserve">    本合同在</w:t>
      </w:r>
      <w:r>
        <w:rPr>
          <w:rFonts w:hint="eastAsia" w:cs="宋体"/>
          <w:bCs/>
          <w:color w:val="auto"/>
          <w:highlight w:val="none"/>
          <w:u w:val="single"/>
        </w:rPr>
        <w:t xml:space="preserve">   杭州市  </w:t>
      </w:r>
      <w:r>
        <w:rPr>
          <w:rFonts w:hint="eastAsia" w:cs="宋体"/>
          <w:bCs/>
          <w:color w:val="auto"/>
          <w:highlight w:val="none"/>
        </w:rPr>
        <w:t>签订。</w:t>
      </w:r>
    </w:p>
    <w:p>
      <w:pPr>
        <w:adjustRightInd w:val="0"/>
        <w:snapToGrid w:val="0"/>
        <w:spacing w:line="264" w:lineRule="auto"/>
        <w:ind w:firstLine="422"/>
        <w:rPr>
          <w:rFonts w:cs="宋体"/>
          <w:b/>
          <w:color w:val="auto"/>
          <w:highlight w:val="none"/>
        </w:rPr>
      </w:pPr>
      <w:bookmarkStart w:id="108" w:name="_Toc361220420"/>
      <w:r>
        <w:rPr>
          <w:rFonts w:hint="eastAsia" w:cs="宋体"/>
          <w:b/>
          <w:color w:val="auto"/>
          <w:highlight w:val="none"/>
        </w:rPr>
        <w:t>十一、补充协议</w:t>
      </w:r>
      <w:bookmarkEnd w:id="108"/>
    </w:p>
    <w:p>
      <w:pPr>
        <w:adjustRightInd w:val="0"/>
        <w:snapToGrid w:val="0"/>
        <w:spacing w:line="264" w:lineRule="auto"/>
        <w:ind w:firstLine="420"/>
        <w:rPr>
          <w:rFonts w:cs="宋体"/>
          <w:b/>
          <w:bCs/>
          <w:color w:val="auto"/>
          <w:highlight w:val="none"/>
        </w:rPr>
      </w:pPr>
      <w:r>
        <w:rPr>
          <w:rFonts w:hint="eastAsia" w:cs="宋体"/>
          <w:bCs/>
          <w:color w:val="auto"/>
          <w:highlight w:val="none"/>
        </w:rPr>
        <w:t>合同未尽事宜，合同当事人另行签订补充协议，补充协议是合同的组成部分。</w:t>
      </w:r>
    </w:p>
    <w:p>
      <w:pPr>
        <w:adjustRightInd w:val="0"/>
        <w:snapToGrid w:val="0"/>
        <w:spacing w:line="264" w:lineRule="auto"/>
        <w:ind w:firstLine="422"/>
        <w:rPr>
          <w:rFonts w:cs="宋体"/>
          <w:b/>
          <w:color w:val="auto"/>
          <w:highlight w:val="none"/>
        </w:rPr>
      </w:pPr>
      <w:bookmarkStart w:id="109" w:name="_Toc361220421"/>
      <w:r>
        <w:rPr>
          <w:rFonts w:hint="eastAsia" w:cs="宋体"/>
          <w:b/>
          <w:color w:val="auto"/>
          <w:highlight w:val="none"/>
        </w:rPr>
        <w:t>十二、合同生效</w:t>
      </w:r>
      <w:bookmarkEnd w:id="109"/>
    </w:p>
    <w:p>
      <w:pPr>
        <w:adjustRightInd w:val="0"/>
        <w:snapToGrid w:val="0"/>
        <w:spacing w:line="264" w:lineRule="auto"/>
        <w:ind w:firstLine="420"/>
        <w:rPr>
          <w:rFonts w:cs="宋体"/>
          <w:bCs/>
          <w:color w:val="auto"/>
          <w:highlight w:val="none"/>
        </w:rPr>
      </w:pPr>
      <w:r>
        <w:rPr>
          <w:rFonts w:hint="eastAsia" w:cs="宋体"/>
          <w:bCs/>
          <w:color w:val="auto"/>
          <w:highlight w:val="none"/>
        </w:rPr>
        <w:t>本合同自</w:t>
      </w:r>
      <w:r>
        <w:rPr>
          <w:rFonts w:hint="eastAsia" w:cs="宋体"/>
          <w:bCs/>
          <w:color w:val="auto"/>
          <w:highlight w:val="none"/>
          <w:u w:val="single"/>
        </w:rPr>
        <w:t>双方盖章，承包人按投标须知前附表提交履约保证金后</w:t>
      </w:r>
      <w:r>
        <w:rPr>
          <w:rFonts w:hint="eastAsia" w:cs="宋体"/>
          <w:bCs/>
          <w:color w:val="auto"/>
          <w:highlight w:val="none"/>
        </w:rPr>
        <w:t>生效。</w:t>
      </w:r>
    </w:p>
    <w:p>
      <w:pPr>
        <w:adjustRightInd w:val="0"/>
        <w:snapToGrid w:val="0"/>
        <w:spacing w:line="264" w:lineRule="auto"/>
        <w:ind w:firstLine="422"/>
        <w:rPr>
          <w:rFonts w:cs="宋体"/>
          <w:b/>
          <w:color w:val="auto"/>
          <w:highlight w:val="none"/>
        </w:rPr>
      </w:pPr>
      <w:bookmarkStart w:id="110" w:name="_Toc361220422"/>
      <w:r>
        <w:rPr>
          <w:rFonts w:hint="eastAsia" w:cs="宋体"/>
          <w:b/>
          <w:color w:val="auto"/>
          <w:highlight w:val="none"/>
        </w:rPr>
        <w:t>十三、合同份数</w:t>
      </w:r>
      <w:bookmarkEnd w:id="110"/>
    </w:p>
    <w:p>
      <w:pPr>
        <w:adjustRightInd w:val="0"/>
        <w:snapToGrid w:val="0"/>
        <w:spacing w:line="264" w:lineRule="auto"/>
        <w:ind w:firstLine="420"/>
        <w:rPr>
          <w:rFonts w:cs="宋体"/>
          <w:bCs/>
          <w:color w:val="auto"/>
          <w:sz w:val="24"/>
          <w:highlight w:val="none"/>
        </w:rPr>
      </w:pPr>
      <w:r>
        <w:rPr>
          <w:rFonts w:hint="eastAsia" w:cs="宋体"/>
          <w:bCs/>
          <w:color w:val="auto"/>
          <w:highlight w:val="none"/>
        </w:rPr>
        <w:t>本合同一式</w:t>
      </w:r>
      <w:bookmarkStart w:id="111" w:name="SOA_hhxys_htfs"/>
      <w:r>
        <w:rPr>
          <w:rFonts w:hint="eastAsia" w:cs="宋体"/>
          <w:bCs/>
          <w:color w:val="auto"/>
          <w:highlight w:val="none"/>
          <w:u w:val="single"/>
        </w:rPr>
        <w:t xml:space="preserve">   捌   </w:t>
      </w:r>
      <w:bookmarkEnd w:id="111"/>
      <w:r>
        <w:rPr>
          <w:rFonts w:hint="eastAsia" w:cs="宋体"/>
          <w:bCs/>
          <w:color w:val="auto"/>
          <w:highlight w:val="none"/>
        </w:rPr>
        <w:t>份，均具有同等法律效力，发包人执</w:t>
      </w:r>
      <w:bookmarkStart w:id="112" w:name="SOA_hhxys_fbrfs"/>
      <w:r>
        <w:rPr>
          <w:rFonts w:hint="eastAsia" w:cs="宋体"/>
          <w:bCs/>
          <w:color w:val="auto"/>
          <w:highlight w:val="none"/>
          <w:u w:val="single"/>
        </w:rPr>
        <w:t xml:space="preserve">  陆    </w:t>
      </w:r>
      <w:bookmarkEnd w:id="112"/>
      <w:r>
        <w:rPr>
          <w:rFonts w:hint="eastAsia" w:cs="宋体"/>
          <w:bCs/>
          <w:color w:val="auto"/>
          <w:highlight w:val="none"/>
        </w:rPr>
        <w:t>份，承包人执</w:t>
      </w:r>
      <w:bookmarkStart w:id="113" w:name="SOA_hhxys_cbrfs"/>
      <w:r>
        <w:rPr>
          <w:rFonts w:hint="eastAsia" w:cs="宋体"/>
          <w:bCs/>
          <w:color w:val="auto"/>
          <w:highlight w:val="none"/>
          <w:u w:val="single"/>
        </w:rPr>
        <w:t xml:space="preserve">   贰   </w:t>
      </w:r>
      <w:bookmarkEnd w:id="113"/>
      <w:r>
        <w:rPr>
          <w:rFonts w:hint="eastAsia" w:cs="宋体"/>
          <w:bCs/>
          <w:color w:val="auto"/>
          <w:highlight w:val="none"/>
        </w:rPr>
        <w:t>份。</w:t>
      </w:r>
    </w:p>
    <w:p>
      <w:pPr>
        <w:adjustRightInd w:val="0"/>
        <w:snapToGrid w:val="0"/>
        <w:spacing w:line="264" w:lineRule="auto"/>
        <w:ind w:firstLine="420"/>
        <w:rPr>
          <w:rFonts w:cs="宋体"/>
          <w:color w:val="auto"/>
          <w:highlight w:val="none"/>
        </w:rPr>
      </w:pPr>
    </w:p>
    <w:p>
      <w:pPr>
        <w:adjustRightInd w:val="0"/>
        <w:snapToGrid w:val="0"/>
        <w:spacing w:line="264" w:lineRule="auto"/>
        <w:ind w:firstLine="420"/>
        <w:rPr>
          <w:rFonts w:cs="宋体"/>
          <w:color w:val="auto"/>
          <w:highlight w:val="none"/>
        </w:rPr>
      </w:pPr>
      <w:r>
        <w:rPr>
          <w:rFonts w:hint="eastAsia" w:cs="宋体"/>
          <w:color w:val="auto"/>
          <w:highlight w:val="none"/>
        </w:rPr>
        <w:t>发包人：  (公章)                    承包人：  (公章)</w:t>
      </w:r>
    </w:p>
    <w:p>
      <w:pPr>
        <w:adjustRightInd w:val="0"/>
        <w:snapToGrid w:val="0"/>
        <w:spacing w:line="264" w:lineRule="auto"/>
        <w:ind w:firstLine="420"/>
        <w:rPr>
          <w:rFonts w:cs="宋体"/>
          <w:bCs/>
          <w:color w:val="auto"/>
          <w:highlight w:val="none"/>
        </w:rPr>
      </w:pPr>
      <w:r>
        <w:rPr>
          <w:rFonts w:hint="eastAsia" w:cs="宋体"/>
          <w:color w:val="auto"/>
          <w:highlight w:val="none"/>
        </w:rPr>
        <w:t>法定代表人或其委托代理人：          法定代表人或其委托代理人：</w:t>
      </w:r>
    </w:p>
    <w:p>
      <w:pPr>
        <w:adjustRightInd w:val="0"/>
        <w:snapToGrid w:val="0"/>
        <w:spacing w:line="264" w:lineRule="auto"/>
        <w:ind w:firstLine="420"/>
        <w:rPr>
          <w:rFonts w:cs="宋体"/>
          <w:color w:val="auto"/>
          <w:highlight w:val="none"/>
        </w:rPr>
      </w:pPr>
      <w:r>
        <w:rPr>
          <w:rFonts w:hint="eastAsia" w:cs="宋体"/>
          <w:color w:val="auto"/>
          <w:highlight w:val="none"/>
        </w:rPr>
        <w:t>（签字）                           （签字）</w:t>
      </w:r>
    </w:p>
    <w:p>
      <w:pPr>
        <w:adjustRightInd w:val="0"/>
        <w:snapToGrid w:val="0"/>
        <w:spacing w:line="264" w:lineRule="auto"/>
        <w:ind w:firstLine="420"/>
        <w:rPr>
          <w:rFonts w:cs="宋体"/>
          <w:color w:val="auto"/>
          <w:highlight w:val="none"/>
        </w:rPr>
      </w:pPr>
      <w:r>
        <w:rPr>
          <w:rFonts w:hint="eastAsia" w:cs="宋体"/>
          <w:color w:val="auto"/>
          <w:highlight w:val="none"/>
        </w:rPr>
        <w:t>组织机构代码：</w:t>
      </w:r>
      <w:bookmarkStart w:id="114" w:name="SOA_hhxys_zjjgdm"/>
      <w:bookmarkEnd w:id="114"/>
      <w:r>
        <w:rPr>
          <w:rFonts w:hint="eastAsia" w:cs="宋体"/>
          <w:color w:val="auto"/>
          <w:highlight w:val="none"/>
        </w:rPr>
        <w:t xml:space="preserve">         组织机构代码：</w:t>
      </w:r>
      <w:bookmarkStart w:id="115" w:name="SOA_hhxys_zjjgdm1"/>
      <w:bookmarkEnd w:id="115"/>
    </w:p>
    <w:p>
      <w:pPr>
        <w:adjustRightInd w:val="0"/>
        <w:snapToGrid w:val="0"/>
        <w:spacing w:line="264" w:lineRule="auto"/>
        <w:ind w:firstLine="420"/>
        <w:rPr>
          <w:rFonts w:cs="宋体"/>
          <w:color w:val="auto"/>
          <w:highlight w:val="none"/>
          <w:u w:val="single"/>
        </w:rPr>
      </w:pPr>
      <w:r>
        <w:rPr>
          <w:rFonts w:hint="eastAsia" w:cs="宋体"/>
          <w:color w:val="auto"/>
          <w:highlight w:val="none"/>
        </w:rPr>
        <w:t>地  址：       地  址：</w:t>
      </w:r>
      <w:bookmarkStart w:id="116" w:name="SOA_hhxys_cbrdz"/>
      <w:bookmarkEnd w:id="116"/>
      <w:r>
        <w:rPr>
          <w:rFonts w:hint="eastAsia" w:cs="宋体"/>
          <w:color w:val="auto"/>
          <w:highlight w:val="none"/>
          <w:u w:val="single"/>
        </w:rPr>
        <w:t xml:space="preserve">                               </w:t>
      </w:r>
    </w:p>
    <w:p>
      <w:pPr>
        <w:adjustRightInd w:val="0"/>
        <w:snapToGrid w:val="0"/>
        <w:spacing w:line="264" w:lineRule="auto"/>
        <w:ind w:firstLine="420"/>
        <w:rPr>
          <w:rFonts w:cs="宋体"/>
          <w:color w:val="auto"/>
          <w:highlight w:val="none"/>
          <w:u w:val="single"/>
        </w:rPr>
      </w:pPr>
      <w:r>
        <w:rPr>
          <w:rFonts w:hint="eastAsia" w:cs="宋体"/>
          <w:color w:val="auto"/>
          <w:highlight w:val="none"/>
        </w:rPr>
        <w:t>邮政编码：</w:t>
      </w:r>
      <w:bookmarkStart w:id="117" w:name="SOA_hhxys_fbryb"/>
      <w:bookmarkEnd w:id="117"/>
      <w:r>
        <w:rPr>
          <w:rFonts w:hint="eastAsia" w:cs="宋体"/>
          <w:color w:val="auto"/>
          <w:highlight w:val="none"/>
          <w:u w:val="single"/>
        </w:rPr>
        <w:t></w:t>
      </w:r>
      <w:r>
        <w:rPr>
          <w:rFonts w:hint="eastAsia" w:cs="宋体"/>
          <w:color w:val="auto"/>
          <w:highlight w:val="none"/>
        </w:rPr>
        <w:t xml:space="preserve">            邮政编码：</w:t>
      </w:r>
      <w:bookmarkStart w:id="118" w:name="SOA_hhxys_cbryb"/>
      <w:bookmarkEnd w:id="118"/>
    </w:p>
    <w:p>
      <w:pPr>
        <w:adjustRightInd w:val="0"/>
        <w:snapToGrid w:val="0"/>
        <w:spacing w:line="264" w:lineRule="auto"/>
        <w:ind w:firstLine="420"/>
        <w:rPr>
          <w:rFonts w:cs="宋体"/>
          <w:color w:val="auto"/>
          <w:highlight w:val="none"/>
          <w:u w:val="single"/>
        </w:rPr>
      </w:pPr>
      <w:r>
        <w:rPr>
          <w:rFonts w:hint="eastAsia" w:cs="宋体"/>
          <w:color w:val="auto"/>
          <w:highlight w:val="none"/>
        </w:rPr>
        <w:t>法定代表人：</w:t>
      </w:r>
      <w:bookmarkStart w:id="119" w:name="SOA_hhxys_fddbr"/>
      <w:bookmarkEnd w:id="119"/>
      <w:r>
        <w:rPr>
          <w:rFonts w:hint="eastAsia" w:cs="宋体"/>
          <w:color w:val="auto"/>
          <w:highlight w:val="none"/>
        </w:rPr>
        <w:t xml:space="preserve">           法定代表人：</w:t>
      </w:r>
      <w:bookmarkStart w:id="120" w:name="SOA_hhxys_fddbr1"/>
      <w:bookmarkEnd w:id="120"/>
    </w:p>
    <w:p>
      <w:pPr>
        <w:adjustRightInd w:val="0"/>
        <w:snapToGrid w:val="0"/>
        <w:spacing w:line="264" w:lineRule="auto"/>
        <w:ind w:firstLine="420"/>
        <w:rPr>
          <w:rFonts w:cs="宋体"/>
          <w:color w:val="auto"/>
          <w:highlight w:val="none"/>
          <w:u w:val="single"/>
        </w:rPr>
      </w:pPr>
      <w:r>
        <w:rPr>
          <w:rFonts w:hint="eastAsia" w:cs="宋体"/>
          <w:color w:val="auto"/>
          <w:highlight w:val="none"/>
        </w:rPr>
        <w:t>委托代理人：</w:t>
      </w:r>
      <w:bookmarkStart w:id="121" w:name="SOA_hhxys_wtdlr"/>
      <w:bookmarkEnd w:id="121"/>
      <w:r>
        <w:rPr>
          <w:rFonts w:hint="eastAsia" w:cs="宋体"/>
          <w:color w:val="auto"/>
          <w:highlight w:val="none"/>
          <w:u w:val="single"/>
        </w:rPr>
        <w:t></w:t>
      </w:r>
      <w:r>
        <w:rPr>
          <w:rFonts w:hint="eastAsia" w:cs="宋体"/>
          <w:color w:val="auto"/>
          <w:highlight w:val="none"/>
        </w:rPr>
        <w:t xml:space="preserve">           委托代理人：</w:t>
      </w:r>
      <w:bookmarkStart w:id="122" w:name="SOA_hhxys_wtdlr1"/>
      <w:bookmarkEnd w:id="122"/>
    </w:p>
    <w:p>
      <w:pPr>
        <w:adjustRightInd w:val="0"/>
        <w:snapToGrid w:val="0"/>
        <w:spacing w:line="264" w:lineRule="auto"/>
        <w:ind w:firstLine="420"/>
        <w:rPr>
          <w:rFonts w:cs="宋体"/>
          <w:color w:val="auto"/>
          <w:highlight w:val="none"/>
          <w:u w:val="single"/>
        </w:rPr>
      </w:pPr>
      <w:r>
        <w:rPr>
          <w:rFonts w:hint="eastAsia" w:cs="宋体"/>
          <w:color w:val="auto"/>
          <w:highlight w:val="none"/>
        </w:rPr>
        <w:t>电  话：</w:t>
      </w:r>
      <w:bookmarkStart w:id="123" w:name="SOA_hhxys_fbrdh"/>
      <w:bookmarkEnd w:id="123"/>
      <w:r>
        <w:rPr>
          <w:rFonts w:hint="eastAsia" w:cs="宋体"/>
          <w:color w:val="auto"/>
          <w:highlight w:val="none"/>
        </w:rPr>
        <w:t>            电  话：</w:t>
      </w:r>
      <w:bookmarkStart w:id="124" w:name="SOA_hhxys_cbrdh"/>
      <w:bookmarkEnd w:id="124"/>
    </w:p>
    <w:p>
      <w:pPr>
        <w:adjustRightInd w:val="0"/>
        <w:snapToGrid w:val="0"/>
        <w:spacing w:line="264" w:lineRule="auto"/>
        <w:ind w:firstLine="420"/>
        <w:rPr>
          <w:rFonts w:cs="宋体"/>
          <w:color w:val="auto"/>
          <w:highlight w:val="none"/>
          <w:u w:val="single"/>
        </w:rPr>
      </w:pPr>
      <w:r>
        <w:rPr>
          <w:rFonts w:hint="eastAsia" w:cs="宋体"/>
          <w:color w:val="auto"/>
          <w:highlight w:val="none"/>
        </w:rPr>
        <w:t>传  真：</w:t>
      </w:r>
      <w:bookmarkStart w:id="125" w:name="SOA_hhxys_fbrcz"/>
      <w:bookmarkEnd w:id="125"/>
      <w:r>
        <w:rPr>
          <w:rFonts w:hint="eastAsia" w:cs="宋体"/>
          <w:color w:val="auto"/>
          <w:highlight w:val="none"/>
        </w:rPr>
        <w:t xml:space="preserve">              传  真：</w:t>
      </w:r>
      <w:bookmarkStart w:id="126" w:name="SOA_hhxys_cbrcz"/>
      <w:bookmarkEnd w:id="126"/>
    </w:p>
    <w:p>
      <w:pPr>
        <w:adjustRightInd w:val="0"/>
        <w:snapToGrid w:val="0"/>
        <w:spacing w:line="264" w:lineRule="auto"/>
        <w:ind w:firstLine="420"/>
        <w:rPr>
          <w:rFonts w:cs="宋体"/>
          <w:color w:val="auto"/>
          <w:highlight w:val="none"/>
          <w:u w:val="single"/>
        </w:rPr>
      </w:pPr>
      <w:r>
        <w:rPr>
          <w:rFonts w:hint="eastAsia" w:cs="宋体"/>
          <w:color w:val="auto"/>
          <w:highlight w:val="none"/>
        </w:rPr>
        <w:t>电子信箱：</w:t>
      </w:r>
      <w:bookmarkStart w:id="127" w:name="SOA_hhxys_fbrdzxx"/>
      <w:bookmarkEnd w:id="127"/>
      <w:r>
        <w:rPr>
          <w:rFonts w:hint="eastAsia" w:cs="宋体"/>
          <w:color w:val="auto"/>
          <w:highlight w:val="none"/>
        </w:rPr>
        <w:t xml:space="preserve">              电子信箱：</w:t>
      </w:r>
      <w:bookmarkStart w:id="128" w:name="SOA_hhxys_cbrdzxx"/>
      <w:bookmarkEnd w:id="128"/>
    </w:p>
    <w:p>
      <w:pPr>
        <w:adjustRightInd w:val="0"/>
        <w:snapToGrid w:val="0"/>
        <w:spacing w:line="264" w:lineRule="auto"/>
        <w:ind w:firstLine="420"/>
        <w:rPr>
          <w:rFonts w:cs="宋体"/>
          <w:color w:val="auto"/>
          <w:highlight w:val="none"/>
          <w:u w:val="single"/>
        </w:rPr>
      </w:pPr>
      <w:r>
        <w:rPr>
          <w:rFonts w:hint="eastAsia" w:cs="宋体"/>
          <w:color w:val="auto"/>
          <w:highlight w:val="none"/>
        </w:rPr>
        <w:t>开户银行：</w:t>
      </w:r>
      <w:bookmarkStart w:id="129" w:name="SOA_hhxys_fbrkhyh"/>
      <w:bookmarkEnd w:id="129"/>
      <w:r>
        <w:rPr>
          <w:rFonts w:hint="eastAsia" w:cs="宋体"/>
          <w:color w:val="auto"/>
          <w:highlight w:val="none"/>
        </w:rPr>
        <w:t xml:space="preserve">              开户银行：</w:t>
      </w:r>
      <w:bookmarkStart w:id="130" w:name="SOA_hhxys_cbrkhyh"/>
      <w:bookmarkEnd w:id="130"/>
    </w:p>
    <w:p>
      <w:pPr>
        <w:adjustRightInd w:val="0"/>
        <w:snapToGrid w:val="0"/>
        <w:spacing w:line="264" w:lineRule="auto"/>
        <w:ind w:firstLine="420"/>
        <w:rPr>
          <w:rFonts w:cs="宋体"/>
          <w:color w:val="auto"/>
          <w:highlight w:val="none"/>
          <w:u w:val="single"/>
        </w:rPr>
        <w:sectPr>
          <w:pgSz w:w="11906" w:h="16838"/>
          <w:pgMar w:top="1418" w:right="1588" w:bottom="1418" w:left="1588" w:header="567" w:footer="567" w:gutter="0"/>
          <w:cols w:space="720" w:num="1"/>
          <w:docGrid w:linePitch="312" w:charSpace="0"/>
        </w:sectPr>
      </w:pPr>
      <w:r>
        <w:rPr>
          <w:rFonts w:hint="eastAsia" w:cs="宋体"/>
          <w:color w:val="auto"/>
          <w:highlight w:val="none"/>
        </w:rPr>
        <w:t>账  号：</w:t>
      </w:r>
      <w:bookmarkStart w:id="131" w:name="SOA_hhxys_fbrzh"/>
      <w:bookmarkEnd w:id="131"/>
      <w:r>
        <w:rPr>
          <w:rFonts w:hint="eastAsia" w:cs="宋体"/>
          <w:color w:val="auto"/>
          <w:highlight w:val="none"/>
          <w:u w:val="single"/>
        </w:rPr>
        <w:t></w:t>
      </w:r>
      <w:r>
        <w:rPr>
          <w:rFonts w:hint="eastAsia" w:cs="宋体"/>
          <w:color w:val="auto"/>
          <w:highlight w:val="none"/>
        </w:rPr>
        <w:t xml:space="preserve">               账  号：</w:t>
      </w:r>
      <w:r>
        <w:rPr>
          <w:rFonts w:hint="eastAsia" w:cs="宋体"/>
          <w:color w:val="auto"/>
          <w:highlight w:val="none"/>
          <w:u w:val="single"/>
        </w:rPr>
        <w:t xml:space="preserve">                              </w:t>
      </w:r>
      <w:bookmarkStart w:id="132" w:name="_Toc22840"/>
    </w:p>
    <w:bookmarkEnd w:id="132"/>
    <w:p>
      <w:pPr>
        <w:pStyle w:val="5"/>
        <w:ind w:firstLine="0" w:firstLineChars="0"/>
        <w:jc w:val="center"/>
        <w:rPr>
          <w:rFonts w:ascii="宋体" w:hAnsi="宋体" w:cs="宋体"/>
          <w:color w:val="auto"/>
          <w:highlight w:val="none"/>
        </w:rPr>
      </w:pPr>
      <w:r>
        <w:rPr>
          <w:rFonts w:hint="eastAsia" w:ascii="宋体" w:hAnsi="宋体" w:cs="宋体"/>
          <w:color w:val="auto"/>
          <w:highlight w:val="none"/>
        </w:rPr>
        <w:t>第二部分 通用合同条款</w:t>
      </w:r>
    </w:p>
    <w:p>
      <w:pPr>
        <w:pStyle w:val="7"/>
        <w:spacing w:line="288" w:lineRule="auto"/>
        <w:ind w:firstLine="420"/>
        <w:rPr>
          <w:rFonts w:ascii="宋体" w:hAnsi="宋体" w:cs="宋体"/>
          <w:b w:val="0"/>
          <w:color w:val="auto"/>
          <w:szCs w:val="21"/>
          <w:highlight w:val="none"/>
        </w:rPr>
      </w:pPr>
      <w:bookmarkStart w:id="133" w:name="_Toc351203495"/>
      <w:r>
        <w:rPr>
          <w:rFonts w:hint="eastAsia" w:ascii="宋体" w:hAnsi="宋体" w:cs="宋体"/>
          <w:b w:val="0"/>
          <w:color w:val="auto"/>
          <w:szCs w:val="21"/>
          <w:highlight w:val="none"/>
        </w:rPr>
        <w:t>1.</w:t>
      </w:r>
      <w:bookmarkStart w:id="134" w:name="_Toc303538974"/>
      <w:bookmarkEnd w:id="134"/>
      <w:bookmarkStart w:id="135" w:name="_Toc303538973"/>
      <w:bookmarkEnd w:id="135"/>
      <w:bookmarkStart w:id="136" w:name="_Toc303538975"/>
      <w:bookmarkEnd w:id="136"/>
      <w:bookmarkStart w:id="137" w:name="_Toc303538972"/>
      <w:bookmarkEnd w:id="137"/>
      <w:bookmarkStart w:id="138" w:name="_Toc303538976"/>
      <w:bookmarkEnd w:id="138"/>
      <w:bookmarkStart w:id="139" w:name="_Toc296346528"/>
      <w:bookmarkStart w:id="140" w:name="_Toc296503027"/>
      <w:r>
        <w:rPr>
          <w:rFonts w:hint="eastAsia" w:ascii="宋体" w:hAnsi="宋体" w:cs="宋体"/>
          <w:b w:val="0"/>
          <w:color w:val="auto"/>
          <w:szCs w:val="21"/>
          <w:highlight w:val="none"/>
        </w:rPr>
        <w:t xml:space="preserve"> 一般约定</w:t>
      </w:r>
      <w:bookmarkEnd w:id="133"/>
      <w:bookmarkEnd w:id="139"/>
      <w:bookmarkEnd w:id="140"/>
    </w:p>
    <w:p>
      <w:pPr>
        <w:pStyle w:val="8"/>
        <w:spacing w:before="0" w:after="0" w:line="288" w:lineRule="auto"/>
        <w:ind w:firstLine="420"/>
        <w:rPr>
          <w:rFonts w:cs="宋体"/>
          <w:b w:val="0"/>
          <w:color w:val="auto"/>
          <w:sz w:val="21"/>
          <w:szCs w:val="21"/>
          <w:highlight w:val="none"/>
        </w:rPr>
      </w:pPr>
      <w:bookmarkStart w:id="141" w:name="_Toc296346529"/>
      <w:bookmarkStart w:id="142" w:name="_Toc296503028"/>
      <w:bookmarkStart w:id="143" w:name="_Toc337558728"/>
      <w:bookmarkStart w:id="144" w:name="_Toc351203496"/>
      <w:r>
        <w:rPr>
          <w:rFonts w:hint="eastAsia" w:cs="宋体"/>
          <w:b w:val="0"/>
          <w:color w:val="auto"/>
          <w:sz w:val="21"/>
          <w:szCs w:val="21"/>
          <w:highlight w:val="none"/>
        </w:rPr>
        <w:t>1.1词语定义</w:t>
      </w:r>
      <w:bookmarkEnd w:id="141"/>
      <w:bookmarkEnd w:id="142"/>
      <w:bookmarkEnd w:id="143"/>
      <w:r>
        <w:rPr>
          <w:rFonts w:hint="eastAsia" w:cs="宋体"/>
          <w:b w:val="0"/>
          <w:color w:val="auto"/>
          <w:sz w:val="21"/>
          <w:szCs w:val="21"/>
          <w:highlight w:val="none"/>
        </w:rPr>
        <w:t>与解释</w:t>
      </w:r>
      <w:bookmarkEnd w:id="144"/>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合同协议书、通用合同条款、专用合同条款中的下列词语具有本款所赋予的含义：</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 xml:space="preserve">    1.1.1 合同</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1.1.1.1 合同：是指根据法律规定和合同当事人约定具有约束力的文件，构成合同的文件包括合同协议书、中标通知书（如果有）、投标函及其附录（如果有）、专用合同条款</w:t>
      </w:r>
      <w:r>
        <w:rPr>
          <w:rFonts w:hint="eastAsia" w:cs="宋体"/>
          <w:color w:val="auto"/>
          <w:szCs w:val="21"/>
          <w:highlight w:val="none"/>
        </w:rPr>
        <w:t>及其附件</w:t>
      </w:r>
      <w:r>
        <w:rPr>
          <w:rFonts w:hint="eastAsia" w:cs="宋体"/>
          <w:color w:val="auto"/>
          <w:kern w:val="0"/>
          <w:szCs w:val="21"/>
          <w:highlight w:val="none"/>
        </w:rPr>
        <w:t>、通用合同条款、技术标准和要求、图纸、已标价工程量清单或预算书以及其他合同文件。</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1.1.1.2 合同协议书：是指构成合同的由发包人和承包人共同签署的称为“合同协议书”的书面文件。</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1.1.1.3 中标通知书：是指构成合同的由发包人通知承包人中标的书面文件。</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1.1.1.4 投标函：是指构成合同的由承包人填写并签署的用于投标的称为“投标函”的文件。</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1.1.1.5 投标函附录：是指构成合同的附在投标函后的称为“投标函附录”的文件。</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1.1.1.6 技术标准和要求：是指构成合同的施工应当遵守的或指导施工的国家、行业或地方的技术标准和要求，以及合同约定的技术标准和要求。</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1.1.1.7 图纸：是指构成合同的图纸，包括由发包人按照合同约定提供或经发包人批准的设计文件、施工图、鸟瞰图及模型等，以及在合同履行过程中形成的图纸文件。图纸应当按照法律规定审查合格。</w:t>
      </w:r>
    </w:p>
    <w:p>
      <w:pPr>
        <w:autoSpaceDE w:val="0"/>
        <w:autoSpaceDN w:val="0"/>
        <w:adjustRightInd w:val="0"/>
        <w:spacing w:line="288" w:lineRule="auto"/>
        <w:ind w:firstLine="409" w:firstLineChars="195"/>
        <w:jc w:val="left"/>
        <w:rPr>
          <w:rFonts w:cs="宋体"/>
          <w:color w:val="auto"/>
          <w:kern w:val="0"/>
          <w:szCs w:val="21"/>
          <w:highlight w:val="none"/>
        </w:rPr>
      </w:pPr>
      <w:r>
        <w:rPr>
          <w:rFonts w:hint="eastAsia" w:cs="宋体"/>
          <w:color w:val="auto"/>
          <w:kern w:val="0"/>
          <w:szCs w:val="21"/>
          <w:highlight w:val="none"/>
        </w:rPr>
        <w:t>1.1.1.8 已标价工程量清单：是指构成合同的由承包人按照规定的格式和要求填写并标明价格的工程量清单，包括说明和表格。</w:t>
      </w:r>
    </w:p>
    <w:p>
      <w:pPr>
        <w:autoSpaceDE w:val="0"/>
        <w:autoSpaceDN w:val="0"/>
        <w:adjustRightInd w:val="0"/>
        <w:spacing w:line="288" w:lineRule="auto"/>
        <w:ind w:firstLine="409" w:firstLineChars="195"/>
        <w:jc w:val="left"/>
        <w:rPr>
          <w:rFonts w:cs="宋体"/>
          <w:color w:val="auto"/>
          <w:kern w:val="0"/>
          <w:szCs w:val="21"/>
          <w:highlight w:val="none"/>
        </w:rPr>
      </w:pPr>
      <w:r>
        <w:rPr>
          <w:rFonts w:hint="eastAsia" w:cs="宋体"/>
          <w:color w:val="auto"/>
          <w:kern w:val="0"/>
          <w:szCs w:val="21"/>
          <w:highlight w:val="none"/>
        </w:rPr>
        <w:t>1.1.1.9 预算书：是指构成合同的由承包人按照发包人规定的格式和要求编制的工程预算文件。</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1.1.1.10 其他合同文件：是指经合同当事人约定的与工程施工有关的具有合同约束力的文件或书面协议。合同当事人可以在专用合同条款中进行约定。</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 xml:space="preserve">    1.1.2 合同当事人及其他相关方</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1.1.2.1 合同当事人：是指发包人和（或）承包人。</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1.1.2.2 发包人：是指与承包人签订合同协议书的当事人及取得该当事人资格的合法继承人。</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1.1.2.3 承包人：是指与发包人签订合同协议书的，具有相应工程施工承包资质的当事人及取得该当事人资格的合法继承人。</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1.1.2.4 监理人：是指在专用合同条款中指明的，受发包人委托按照法律规定进行工程监督管理的法人或其他组织。</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1.1.2.5 设计人：是指在专用合同条款中指明的，受发包人委托负责工程设计并具备相应工程设计资质的法人或其他组织。</w:t>
      </w:r>
    </w:p>
    <w:p>
      <w:pPr>
        <w:spacing w:line="288" w:lineRule="auto"/>
        <w:ind w:firstLine="409" w:firstLineChars="195"/>
        <w:jc w:val="left"/>
        <w:rPr>
          <w:rFonts w:cs="宋体"/>
          <w:color w:val="auto"/>
          <w:kern w:val="0"/>
          <w:szCs w:val="21"/>
          <w:highlight w:val="none"/>
        </w:rPr>
      </w:pPr>
      <w:r>
        <w:rPr>
          <w:rFonts w:hint="eastAsia" w:cs="宋体"/>
          <w:color w:val="auto"/>
          <w:kern w:val="0"/>
          <w:szCs w:val="21"/>
          <w:highlight w:val="none"/>
        </w:rPr>
        <w:t>1.1.2.6 分包人：</w:t>
      </w:r>
      <w:bookmarkStart w:id="145" w:name="#go5"/>
      <w:bookmarkEnd w:id="145"/>
      <w:r>
        <w:rPr>
          <w:rFonts w:hint="eastAsia" w:cs="宋体"/>
          <w:color w:val="auto"/>
          <w:kern w:val="0"/>
          <w:szCs w:val="21"/>
          <w:highlight w:val="none"/>
        </w:rPr>
        <w:t>是指按照法律规定和合同约定，分包部分工程或工作，并与承包人签订分包合同的具有相应资质的法人。</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1.1.2.7 发包人代表：是指由发包人任命并派驻施工现场在发包人授权范围内行使发包人权利的人。</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1.1.2.8 项目经理：是指由承包人任命并派驻施工现场，在承包人授权范围内负责合同履行，且按照法律规定具有相应资格的项目负责人。</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1.1.2.9 总监理工程师：是指由监理人任命并派驻施工现场进行工程监理的总负责人。</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1.1.3 工程和设备</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1.1.3.1 工程：是指与合同协议书中工程承包范围对应的永久工程和（或）临时工程。</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1.1.3.2 永久工程：是指按合同约定建造并移交给发包人的工程，包括工程设备。</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1.1.3.3 临时工程：是指为完成合同约定的永久工程所修建的各类临时性工程，不包括施工设备。</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1.1.3.4 单位工程：是指在合同协议书中指明的，具备独立施工条件并能形成独立使用功能的永久工程。</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1.1.3.5 工程设备：是指构成永久工程的机电设备、金属结构设备、仪器及其他类似的设备和装置。</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1.1.3.6 施工设备：是指为完成合同约定的各项工作所需的设备、器具和其他物品，但不包括工程设备、临时工程和材料。</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1.1.3.7 施工现场：是指用于工程施工的场所，以及在专用合同条款中指明作为施工场所组成部分的其他场所，包括永久占地和临时占地。</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1.1.3.8临时设施：是指为完成合同约定的各项工作所服务的临时性生产和生活设施。</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1.1.3.9 永久占地：是指专用合同条款中指明为实施工程需永久占用的土地。</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1.1.3.10 临时占地：是指专用合同条款中指明为实施工程需要临时占用的土地。</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1.1.4 日期和期限</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1.1.4.1 开工日期：包括计划开工日期和实际开工日期。计划开工日期是指合同协议书约定的开工日期；实际开工日期是指监理人按照第7.3.2项〔开工通知〕约定发出的符合法律规定的开工通知中载明的开工日期。</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 xml:space="preserve">1.1.4.2 竣工日期：包括计划竣工日期和实际竣工日期。计划竣工日期是指合同协议书约定的竣工日期；实际竣工日期按照第13.2.3项〔竣工日期〕的约定确定。 </w:t>
      </w:r>
    </w:p>
    <w:p>
      <w:pPr>
        <w:spacing w:line="288" w:lineRule="auto"/>
        <w:ind w:firstLine="426" w:firstLineChars="203"/>
        <w:rPr>
          <w:rFonts w:cs="宋体"/>
          <w:color w:val="auto"/>
          <w:szCs w:val="21"/>
          <w:highlight w:val="none"/>
        </w:rPr>
      </w:pPr>
      <w:r>
        <w:rPr>
          <w:rFonts w:hint="eastAsia" w:cs="宋体"/>
          <w:color w:val="auto"/>
          <w:kern w:val="0"/>
          <w:szCs w:val="21"/>
          <w:highlight w:val="none"/>
        </w:rPr>
        <w:t>1.1.4.3 工期：是指在合同协议书约定的承包人完成工程所需的期限，包括按照合同约定所作的期限变更。</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1.1.4.4 缺陷责任期：是指承包人按照合同约定承担缺陷修复义务，且发包人预留质量保证金（已缴纳履约保证金的除外）的期限，自工程实际竣工日期起计算。</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1.1.4.5 保修期：是指承包人按照合同约定对工程承担保修责任的期限，从工程竣工验收合格之日起计算。</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1.1.4.6 基准日期：招标发包的工程以投标截止日前28天的日期为基准日期，直接发包的工程以合同签订日前28天的日期为基准日期。</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1.1.4.7 天：除特别指明外，均指日历天。合同中按天计算时间的，开始当天不计入，从次日开始计算，期限最后一天的截止时间为当天24:00时。</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1.1.5 合同价格和费用</w:t>
      </w:r>
    </w:p>
    <w:p>
      <w:pPr>
        <w:spacing w:line="288" w:lineRule="auto"/>
        <w:ind w:firstLine="420"/>
        <w:jc w:val="left"/>
        <w:rPr>
          <w:rFonts w:cs="宋体"/>
          <w:color w:val="auto"/>
          <w:szCs w:val="21"/>
          <w:highlight w:val="none"/>
        </w:rPr>
      </w:pPr>
      <w:r>
        <w:rPr>
          <w:rFonts w:hint="eastAsia" w:cs="宋体"/>
          <w:color w:val="auto"/>
          <w:kern w:val="0"/>
          <w:szCs w:val="21"/>
          <w:highlight w:val="none"/>
        </w:rPr>
        <w:t>1.1.5.1 签约合同价：是指</w:t>
      </w:r>
      <w:r>
        <w:rPr>
          <w:rFonts w:hint="eastAsia" w:cs="宋体"/>
          <w:color w:val="auto"/>
          <w:szCs w:val="21"/>
          <w:highlight w:val="none"/>
        </w:rPr>
        <w:t>发包人和承包人在合同协议书中确定的总金额，包括安全文明施工费、暂估价及暂列金额等。</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1.1.5.2 合同价格：是指发包人用于支付承包人按照合同约定完成承包范围内全部工作的金额，包括合同履行过程中按合同约定发生的价格变化。</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1.1.5.3 费用：是指为履行合同所发生的或将要发生的所有必需的开支，包括管理费和应分摊的其他费用，但不包括利润。</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1.1.5.4 暂估价：是指发包人在工程量清单或预算书中提供的用于支付必然发生但暂时不能确定价格的材料、工程设备的单价、专业工程以及服务工作的金额。</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1.1.5.6 计日工：是指合同履行过程中，承包人完成发包人提出的零星工作或需要采用计日工计价的变更工作时，按合同中约定的单价计价的一种方式。</w:t>
      </w:r>
    </w:p>
    <w:p>
      <w:pPr>
        <w:spacing w:line="288" w:lineRule="auto"/>
        <w:ind w:firstLine="420"/>
        <w:jc w:val="left"/>
        <w:rPr>
          <w:rFonts w:cs="宋体"/>
          <w:color w:val="auto"/>
          <w:szCs w:val="21"/>
          <w:highlight w:val="none"/>
        </w:rPr>
      </w:pPr>
      <w:r>
        <w:rPr>
          <w:rFonts w:hint="eastAsia" w:cs="宋体"/>
          <w:color w:val="auto"/>
          <w:kern w:val="0"/>
          <w:szCs w:val="21"/>
          <w:highlight w:val="none"/>
        </w:rPr>
        <w:t>1.1.5.7 质量保证金</w:t>
      </w:r>
      <w:bookmarkStart w:id="146" w:name="#go2"/>
      <w:bookmarkEnd w:id="146"/>
      <w:r>
        <w:rPr>
          <w:rFonts w:hint="eastAsia" w:cs="宋体"/>
          <w:color w:val="auto"/>
          <w:kern w:val="0"/>
          <w:szCs w:val="21"/>
          <w:highlight w:val="none"/>
        </w:rPr>
        <w:t>：是指按照第15.3款〔质量保证金〕约定承包人用于保证其在缺陷责任期内履行缺陷修补义务的担保</w:t>
      </w:r>
      <w:r>
        <w:rPr>
          <w:rFonts w:hint="eastAsia" w:cs="宋体"/>
          <w:color w:val="auto"/>
          <w:szCs w:val="21"/>
          <w:highlight w:val="none"/>
        </w:rPr>
        <w:t>。</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1.1.5.8 总价项目：是指在现行国家、行业以及地方的计量规则中无工程量计算规则，在已标价工程量清单或预算书中以总价或以费率形式计算的项目。</w:t>
      </w:r>
    </w:p>
    <w:p>
      <w:pPr>
        <w:spacing w:line="288" w:lineRule="auto"/>
        <w:ind w:firstLine="420"/>
        <w:jc w:val="left"/>
        <w:rPr>
          <w:rFonts w:cs="宋体"/>
          <w:color w:val="auto"/>
          <w:szCs w:val="21"/>
          <w:highlight w:val="none"/>
        </w:rPr>
      </w:pPr>
      <w:r>
        <w:rPr>
          <w:rFonts w:hint="eastAsia" w:cs="宋体"/>
          <w:color w:val="auto"/>
          <w:szCs w:val="21"/>
          <w:highlight w:val="none"/>
        </w:rPr>
        <w:t>1.1.6 其他</w:t>
      </w:r>
    </w:p>
    <w:p>
      <w:pPr>
        <w:spacing w:line="288" w:lineRule="auto"/>
        <w:ind w:firstLine="420"/>
        <w:jc w:val="left"/>
        <w:rPr>
          <w:rFonts w:cs="宋体"/>
          <w:color w:val="auto"/>
          <w:szCs w:val="21"/>
          <w:highlight w:val="none"/>
        </w:rPr>
      </w:pPr>
      <w:r>
        <w:rPr>
          <w:rFonts w:hint="eastAsia" w:cs="宋体"/>
          <w:color w:val="auto"/>
          <w:szCs w:val="21"/>
          <w:highlight w:val="none"/>
        </w:rPr>
        <w:t>1.1.6.1 书面形式：是指合同文件、信函、电报、传真等可以有形地表现所载内容的形式。</w:t>
      </w:r>
    </w:p>
    <w:p>
      <w:pPr>
        <w:pStyle w:val="8"/>
        <w:spacing w:before="0" w:after="0" w:line="288" w:lineRule="auto"/>
        <w:ind w:firstLine="420"/>
        <w:rPr>
          <w:rFonts w:cs="宋体"/>
          <w:b w:val="0"/>
          <w:color w:val="auto"/>
          <w:sz w:val="21"/>
          <w:szCs w:val="21"/>
          <w:highlight w:val="none"/>
        </w:rPr>
      </w:pPr>
      <w:r>
        <w:rPr>
          <w:rFonts w:hint="eastAsia" w:cs="宋体"/>
          <w:b w:val="0"/>
          <w:color w:val="auto"/>
          <w:sz w:val="21"/>
          <w:szCs w:val="21"/>
          <w:highlight w:val="none"/>
        </w:rPr>
        <w:t xml:space="preserve">    </w:t>
      </w:r>
      <w:bookmarkStart w:id="147" w:name="_Toc296346530"/>
      <w:bookmarkStart w:id="148" w:name="_Toc351203497"/>
      <w:bookmarkStart w:id="149" w:name="_Toc337558729"/>
      <w:bookmarkStart w:id="150" w:name="_Toc296503029"/>
      <w:r>
        <w:rPr>
          <w:rFonts w:hint="eastAsia" w:cs="宋体"/>
          <w:b w:val="0"/>
          <w:color w:val="auto"/>
          <w:sz w:val="21"/>
          <w:szCs w:val="21"/>
          <w:highlight w:val="none"/>
        </w:rPr>
        <w:t>1.2语言文字</w:t>
      </w:r>
      <w:bookmarkEnd w:id="147"/>
      <w:bookmarkEnd w:id="148"/>
      <w:bookmarkEnd w:id="149"/>
      <w:bookmarkEnd w:id="150"/>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合同以中国的汉语简体文字编写、解释和说明。合同当事人在专用合同条款中约定使用两种以上语言时，汉语为优先解释和说明合同的语言。</w:t>
      </w:r>
    </w:p>
    <w:p>
      <w:pPr>
        <w:pStyle w:val="8"/>
        <w:spacing w:before="0" w:after="0" w:line="288" w:lineRule="auto"/>
        <w:ind w:firstLine="420"/>
        <w:rPr>
          <w:rFonts w:cs="宋体"/>
          <w:b w:val="0"/>
          <w:color w:val="auto"/>
          <w:sz w:val="21"/>
          <w:szCs w:val="21"/>
          <w:highlight w:val="none"/>
        </w:rPr>
      </w:pPr>
      <w:bookmarkStart w:id="151" w:name="_Toc337558730"/>
      <w:bookmarkStart w:id="152" w:name="_Toc296503030"/>
      <w:bookmarkStart w:id="153" w:name="_Toc296346531"/>
      <w:bookmarkStart w:id="154" w:name="_Toc351203498"/>
      <w:r>
        <w:rPr>
          <w:rFonts w:hint="eastAsia" w:cs="宋体"/>
          <w:b w:val="0"/>
          <w:color w:val="auto"/>
          <w:sz w:val="21"/>
          <w:szCs w:val="21"/>
          <w:highlight w:val="none"/>
        </w:rPr>
        <w:t>1.3法律</w:t>
      </w:r>
      <w:bookmarkEnd w:id="151"/>
      <w:bookmarkEnd w:id="152"/>
      <w:bookmarkEnd w:id="153"/>
      <w:bookmarkEnd w:id="154"/>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合同所称法律是指中华人民共和国法律、行政法规、部门规章，以及工程所在地的地方性法规、自治条例、单行条例和地方政府规章等。</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合同当事人可以在专用合同条款中约定合同适用的其他规范性文件。</w:t>
      </w:r>
    </w:p>
    <w:p>
      <w:pPr>
        <w:pStyle w:val="8"/>
        <w:spacing w:before="0" w:after="0" w:line="288" w:lineRule="auto"/>
        <w:ind w:firstLine="420"/>
        <w:rPr>
          <w:rFonts w:cs="宋体"/>
          <w:b w:val="0"/>
          <w:color w:val="auto"/>
          <w:sz w:val="21"/>
          <w:szCs w:val="21"/>
          <w:highlight w:val="none"/>
        </w:rPr>
      </w:pPr>
      <w:bookmarkStart w:id="155" w:name="_Toc351203499"/>
      <w:r>
        <w:rPr>
          <w:rFonts w:hint="eastAsia" w:cs="宋体"/>
          <w:b w:val="0"/>
          <w:color w:val="auto"/>
          <w:sz w:val="21"/>
          <w:szCs w:val="21"/>
          <w:highlight w:val="none"/>
        </w:rPr>
        <w:t>1.4 标准和规范</w:t>
      </w:r>
      <w:bookmarkEnd w:id="155"/>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1.4.1 适用于工程的国家标准、行业标准、工程所在地的地方性标准，以及相应的规范、规程等，合同当事人有特别要求的，应在专用合同条款中约定。</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1.4.2 发包人要求使用国外标准、规范的，发包人负责提供原文版本和中文译本，并在专用合同条款中约定提供标准规范的名称、份数和时间。</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pPr>
        <w:pStyle w:val="8"/>
        <w:spacing w:before="0" w:after="0" w:line="288" w:lineRule="auto"/>
        <w:ind w:firstLine="420"/>
        <w:rPr>
          <w:rFonts w:cs="宋体"/>
          <w:b w:val="0"/>
          <w:color w:val="auto"/>
          <w:sz w:val="21"/>
          <w:szCs w:val="21"/>
          <w:highlight w:val="none"/>
        </w:rPr>
      </w:pPr>
      <w:bookmarkStart w:id="156" w:name="_Toc351203500"/>
      <w:r>
        <w:rPr>
          <w:rFonts w:hint="eastAsia" w:cs="宋体"/>
          <w:b w:val="0"/>
          <w:color w:val="auto"/>
          <w:sz w:val="21"/>
          <w:szCs w:val="21"/>
          <w:highlight w:val="none"/>
        </w:rPr>
        <w:t>1</w:t>
      </w:r>
      <w:bookmarkStart w:id="157" w:name="_Toc337558731"/>
      <w:bookmarkStart w:id="158" w:name="_Toc296346532"/>
      <w:bookmarkStart w:id="159" w:name="_Toc296503031"/>
      <w:r>
        <w:rPr>
          <w:rFonts w:hint="eastAsia" w:cs="宋体"/>
          <w:b w:val="0"/>
          <w:color w:val="auto"/>
          <w:sz w:val="21"/>
          <w:szCs w:val="21"/>
          <w:highlight w:val="none"/>
        </w:rPr>
        <w:t>.5 合同文件的优先顺序</w:t>
      </w:r>
      <w:bookmarkEnd w:id="156"/>
    </w:p>
    <w:bookmarkEnd w:id="157"/>
    <w:bookmarkEnd w:id="158"/>
    <w:bookmarkEnd w:id="159"/>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组成合同的各项文件应互相解释，互为说明。除专用合同条款另有约定外，解释合同文件的优先顺序如下：</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（1）合同协议书；</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（2）中标通知书（如果有）；</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（3）投标函及其附录（如果有）；</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（4）专用合同条款</w:t>
      </w:r>
      <w:r>
        <w:rPr>
          <w:rFonts w:hint="eastAsia" w:cs="宋体"/>
          <w:color w:val="auto"/>
          <w:szCs w:val="21"/>
          <w:highlight w:val="none"/>
        </w:rPr>
        <w:t>及其附件</w:t>
      </w:r>
      <w:r>
        <w:rPr>
          <w:rFonts w:hint="eastAsia" w:cs="宋体"/>
          <w:color w:val="auto"/>
          <w:kern w:val="0"/>
          <w:szCs w:val="21"/>
          <w:highlight w:val="none"/>
        </w:rPr>
        <w:t>；</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（5）通用合同条款；</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（6）技术标准和要求；</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（7）图纸；</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（8）已标价工程量清单或预算书；</w:t>
      </w:r>
    </w:p>
    <w:p>
      <w:pPr>
        <w:autoSpaceDE w:val="0"/>
        <w:autoSpaceDN w:val="0"/>
        <w:adjustRightInd w:val="0"/>
        <w:spacing w:line="288" w:lineRule="auto"/>
        <w:ind w:firstLine="420"/>
        <w:jc w:val="left"/>
        <w:rPr>
          <w:rFonts w:cs="宋体"/>
          <w:color w:val="auto"/>
          <w:szCs w:val="21"/>
          <w:highlight w:val="none"/>
        </w:rPr>
      </w:pPr>
      <w:r>
        <w:rPr>
          <w:rFonts w:hint="eastAsia" w:cs="宋体"/>
          <w:color w:val="auto"/>
          <w:kern w:val="0"/>
          <w:szCs w:val="21"/>
          <w:highlight w:val="none"/>
        </w:rPr>
        <w:t>（9）其他合同文件。</w:t>
      </w:r>
    </w:p>
    <w:p>
      <w:pPr>
        <w:spacing w:line="288" w:lineRule="auto"/>
        <w:ind w:firstLine="447" w:firstLineChars="213"/>
        <w:rPr>
          <w:rFonts w:cs="宋体"/>
          <w:color w:val="auto"/>
          <w:szCs w:val="21"/>
          <w:highlight w:val="none"/>
        </w:rPr>
      </w:pPr>
      <w:r>
        <w:rPr>
          <w:rFonts w:hint="eastAsia" w:cs="宋体"/>
          <w:color w:val="auto"/>
          <w:szCs w:val="21"/>
          <w:highlight w:val="none"/>
        </w:rPr>
        <w:t>上述各项合同文件包括合同当事人就该项合同文件所作出的补充和修改，属于同一类内容的文件，应以最新签署的为准。</w:t>
      </w:r>
    </w:p>
    <w:p>
      <w:pPr>
        <w:spacing w:line="288" w:lineRule="auto"/>
        <w:ind w:firstLine="447" w:firstLineChars="213"/>
        <w:rPr>
          <w:rFonts w:cs="宋体"/>
          <w:color w:val="auto"/>
          <w:szCs w:val="21"/>
          <w:highlight w:val="none"/>
        </w:rPr>
      </w:pPr>
      <w:r>
        <w:rPr>
          <w:rFonts w:hint="eastAsia" w:cs="宋体"/>
          <w:color w:val="auto"/>
          <w:szCs w:val="21"/>
          <w:highlight w:val="none"/>
        </w:rPr>
        <w:t>在合同订立及履行过程中形成的与合同有关的文件均构成合同文件组成部分，并根据其性质确定优先解释顺序。</w:t>
      </w:r>
    </w:p>
    <w:p>
      <w:pPr>
        <w:pStyle w:val="8"/>
        <w:spacing w:before="0" w:after="0" w:line="288" w:lineRule="auto"/>
        <w:ind w:firstLine="420"/>
        <w:rPr>
          <w:rFonts w:cs="宋体"/>
          <w:b w:val="0"/>
          <w:color w:val="auto"/>
          <w:sz w:val="21"/>
          <w:szCs w:val="21"/>
          <w:highlight w:val="none"/>
        </w:rPr>
      </w:pPr>
      <w:bookmarkStart w:id="160" w:name="_Toc351203501"/>
      <w:r>
        <w:rPr>
          <w:rFonts w:hint="eastAsia" w:cs="宋体"/>
          <w:b w:val="0"/>
          <w:color w:val="auto"/>
          <w:sz w:val="21"/>
          <w:szCs w:val="21"/>
          <w:highlight w:val="none"/>
        </w:rPr>
        <w:t>1</w:t>
      </w:r>
      <w:bookmarkStart w:id="161" w:name="_Toc337558732"/>
      <w:bookmarkStart w:id="162" w:name="_Toc296346533"/>
      <w:bookmarkStart w:id="163" w:name="_Toc296503032"/>
      <w:r>
        <w:rPr>
          <w:rFonts w:hint="eastAsia" w:cs="宋体"/>
          <w:b w:val="0"/>
          <w:color w:val="auto"/>
          <w:sz w:val="21"/>
          <w:szCs w:val="21"/>
          <w:highlight w:val="none"/>
        </w:rPr>
        <w:t>.6图纸和承包人文件</w:t>
      </w:r>
      <w:bookmarkEnd w:id="160"/>
    </w:p>
    <w:bookmarkEnd w:id="161"/>
    <w:bookmarkEnd w:id="162"/>
    <w:bookmarkEnd w:id="163"/>
    <w:p>
      <w:pPr>
        <w:spacing w:line="288" w:lineRule="auto"/>
        <w:ind w:firstLine="420"/>
        <w:jc w:val="left"/>
        <w:rPr>
          <w:rFonts w:cs="宋体"/>
          <w:color w:val="auto"/>
          <w:kern w:val="0"/>
          <w:szCs w:val="21"/>
          <w:highlight w:val="none"/>
        </w:rPr>
      </w:pPr>
      <w:r>
        <w:rPr>
          <w:rFonts w:hint="eastAsia" w:cs="宋体"/>
          <w:color w:val="auto"/>
          <w:kern w:val="0"/>
          <w:szCs w:val="21"/>
          <w:highlight w:val="none"/>
        </w:rPr>
        <w:t>1.6.1 图纸的提供和交底</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因发包人未按合同约定提供图纸导致承包人费用增加和（或）工期延误的，按照第7.5.1项〔因发包人原因导致工期延误〕约定办理。</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1.6.2 图纸的错误</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1.6.3 图纸的修改和补充</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图纸需要修改和补充的，应经图纸原设计人及审批部门同意，并由监理人在工程或工程相应部位施工前将修改后的图纸或补充图纸提交给承包人，承包人应按修改或补充后的图纸施工。</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1.6.4 承包人文件</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承包人应按照专用合同条款的约定提供应当由其编制的与工程施工有关的文件，并按照专用合同条款约定的期限、数量和形式提交监理人，并由监理人报送发包人。</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1.6.5 图纸和承包人文件的保管</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除专用合同条款另有约定外，承包人应在施工现场另外保存一套完整的图纸和承包人文件，供发包人、监理人及有关人员进行工程检查时使用。</w:t>
      </w:r>
    </w:p>
    <w:p>
      <w:pPr>
        <w:pStyle w:val="8"/>
        <w:spacing w:before="0" w:after="0" w:line="288" w:lineRule="auto"/>
        <w:ind w:firstLine="420"/>
        <w:rPr>
          <w:rFonts w:cs="宋体"/>
          <w:b w:val="0"/>
          <w:color w:val="auto"/>
          <w:sz w:val="21"/>
          <w:szCs w:val="21"/>
          <w:highlight w:val="none"/>
        </w:rPr>
      </w:pPr>
      <w:bookmarkStart w:id="164" w:name="_Toc351203502"/>
      <w:r>
        <w:rPr>
          <w:rFonts w:hint="eastAsia" w:cs="宋体"/>
          <w:b w:val="0"/>
          <w:color w:val="auto"/>
          <w:sz w:val="21"/>
          <w:szCs w:val="21"/>
          <w:highlight w:val="none"/>
        </w:rPr>
        <w:t>1</w:t>
      </w:r>
      <w:bookmarkStart w:id="165" w:name="_Toc337558733"/>
      <w:bookmarkStart w:id="166" w:name="_Toc296503033"/>
      <w:bookmarkStart w:id="167" w:name="_Toc296346534"/>
      <w:r>
        <w:rPr>
          <w:rFonts w:hint="eastAsia" w:cs="宋体"/>
          <w:b w:val="0"/>
          <w:color w:val="auto"/>
          <w:sz w:val="21"/>
          <w:szCs w:val="21"/>
          <w:highlight w:val="none"/>
        </w:rPr>
        <w:t>.7联络</w:t>
      </w:r>
      <w:bookmarkEnd w:id="164"/>
    </w:p>
    <w:bookmarkEnd w:id="165"/>
    <w:bookmarkEnd w:id="166"/>
    <w:bookmarkEnd w:id="167"/>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1.7.1 与合同有关的通知、批准、证明、证书、指示、指令、要求、请求、同意、意见、确定和决定等，均应采用书面形式，并应在合同约定的期限内送达接收人和送达地点。</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1.7.2 发包人和承包人应在专用合同条款中约定各自的送达接收人和送达地点。任何一方合同当事人指定的接收人或送达地点发生变动的，应提前3天以书面形式通知对方。</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1.7.3 发包人和承包人应当及时签收另一方送达至送达地点和指定接收人的来往信函。拒不签收的，由此增加的费用和（或）延误的工期由拒绝接收一方承担。</w:t>
      </w:r>
    </w:p>
    <w:p>
      <w:pPr>
        <w:pStyle w:val="8"/>
        <w:spacing w:before="0" w:after="0" w:line="288" w:lineRule="auto"/>
        <w:ind w:firstLine="420"/>
        <w:rPr>
          <w:rFonts w:cs="宋体"/>
          <w:b w:val="0"/>
          <w:color w:val="auto"/>
          <w:sz w:val="21"/>
          <w:szCs w:val="21"/>
          <w:highlight w:val="none"/>
        </w:rPr>
      </w:pPr>
      <w:bookmarkStart w:id="168" w:name="_Toc351203503"/>
      <w:r>
        <w:rPr>
          <w:rFonts w:hint="eastAsia" w:cs="宋体"/>
          <w:b w:val="0"/>
          <w:color w:val="auto"/>
          <w:sz w:val="21"/>
          <w:szCs w:val="21"/>
          <w:highlight w:val="none"/>
        </w:rPr>
        <w:t>1</w:t>
      </w:r>
      <w:bookmarkStart w:id="169" w:name="_Toc296346536"/>
      <w:bookmarkStart w:id="170" w:name="_Toc296503035"/>
      <w:bookmarkStart w:id="171" w:name="_Toc337558734"/>
      <w:r>
        <w:rPr>
          <w:rFonts w:hint="eastAsia" w:cs="宋体"/>
          <w:b w:val="0"/>
          <w:color w:val="auto"/>
          <w:sz w:val="21"/>
          <w:szCs w:val="21"/>
          <w:highlight w:val="none"/>
        </w:rPr>
        <w:t>.8严禁贿赂</w:t>
      </w:r>
      <w:bookmarkEnd w:id="168"/>
    </w:p>
    <w:bookmarkEnd w:id="169"/>
    <w:bookmarkEnd w:id="170"/>
    <w:bookmarkEnd w:id="171"/>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合同当事人不得以贿赂或变相贿赂的方式，谋取非法利益或损害对方权益。因一方合同当事人的贿赂造成对方损失的，应赔偿损失，并承担相应的法律责任。</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承包人不得与监理人或发包人聘请的第三方串通损害发包人利益。未经发包人书面同意，承包人不得为监理人提供合同约定以外的通讯设备、交通工具及其他任何形式的利益，不得向监理人支付报酬。</w:t>
      </w:r>
    </w:p>
    <w:p>
      <w:pPr>
        <w:pStyle w:val="8"/>
        <w:spacing w:before="0" w:after="0" w:line="288" w:lineRule="auto"/>
        <w:ind w:firstLine="420"/>
        <w:rPr>
          <w:rFonts w:cs="宋体"/>
          <w:b w:val="0"/>
          <w:color w:val="auto"/>
          <w:sz w:val="21"/>
          <w:szCs w:val="21"/>
          <w:highlight w:val="none"/>
        </w:rPr>
      </w:pPr>
      <w:bookmarkStart w:id="172" w:name="_Toc351203504"/>
      <w:r>
        <w:rPr>
          <w:rFonts w:hint="eastAsia" w:cs="宋体"/>
          <w:b w:val="0"/>
          <w:color w:val="auto"/>
          <w:sz w:val="21"/>
          <w:szCs w:val="21"/>
          <w:highlight w:val="none"/>
        </w:rPr>
        <w:t>1</w:t>
      </w:r>
      <w:bookmarkStart w:id="173" w:name="_Toc296503036"/>
      <w:bookmarkStart w:id="174" w:name="_Toc296346537"/>
      <w:bookmarkStart w:id="175" w:name="_Toc337558735"/>
      <w:r>
        <w:rPr>
          <w:rFonts w:hint="eastAsia" w:cs="宋体"/>
          <w:b w:val="0"/>
          <w:color w:val="auto"/>
          <w:sz w:val="21"/>
          <w:szCs w:val="21"/>
          <w:highlight w:val="none"/>
        </w:rPr>
        <w:t>.9化石、文物</w:t>
      </w:r>
      <w:bookmarkEnd w:id="172"/>
    </w:p>
    <w:bookmarkEnd w:id="173"/>
    <w:bookmarkEnd w:id="174"/>
    <w:bookmarkEnd w:id="175"/>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发包人、监理人和承包人应按有关政府行政管理部门要求采取妥善的保护措施，由此增加的费用和（或）延误的工期由发包人承担。</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承包人发现文物后不及时报告或隐瞒不报，致使文物丢失或损坏的，应赔偿损失，并承担相应的法律责任。</w:t>
      </w:r>
    </w:p>
    <w:p>
      <w:pPr>
        <w:pStyle w:val="8"/>
        <w:spacing w:before="0" w:after="0" w:line="288" w:lineRule="auto"/>
        <w:ind w:firstLine="420"/>
        <w:rPr>
          <w:rFonts w:cs="宋体"/>
          <w:b w:val="0"/>
          <w:color w:val="auto"/>
          <w:sz w:val="21"/>
          <w:szCs w:val="21"/>
          <w:highlight w:val="none"/>
        </w:rPr>
      </w:pPr>
      <w:bookmarkStart w:id="176" w:name="_Toc351203505"/>
      <w:r>
        <w:rPr>
          <w:rFonts w:hint="eastAsia" w:cs="宋体"/>
          <w:b w:val="0"/>
          <w:color w:val="auto"/>
          <w:sz w:val="21"/>
          <w:szCs w:val="21"/>
          <w:highlight w:val="none"/>
        </w:rPr>
        <w:t>1</w:t>
      </w:r>
      <w:bookmarkStart w:id="177" w:name="_Toc337558736"/>
      <w:r>
        <w:rPr>
          <w:rFonts w:hint="eastAsia" w:cs="宋体"/>
          <w:b w:val="0"/>
          <w:color w:val="auto"/>
          <w:sz w:val="21"/>
          <w:szCs w:val="21"/>
          <w:highlight w:val="none"/>
        </w:rPr>
        <w:t>.10交通运输</w:t>
      </w:r>
      <w:bookmarkEnd w:id="176"/>
    </w:p>
    <w:bookmarkEnd w:id="177"/>
    <w:p>
      <w:pPr>
        <w:spacing w:line="288" w:lineRule="auto"/>
        <w:ind w:firstLine="420"/>
        <w:jc w:val="left"/>
        <w:rPr>
          <w:rFonts w:cs="宋体"/>
          <w:color w:val="auto"/>
          <w:kern w:val="0"/>
          <w:szCs w:val="21"/>
          <w:highlight w:val="none"/>
        </w:rPr>
      </w:pPr>
      <w:r>
        <w:rPr>
          <w:rFonts w:hint="eastAsia" w:cs="宋体"/>
          <w:color w:val="auto"/>
          <w:kern w:val="0"/>
          <w:szCs w:val="21"/>
          <w:highlight w:val="none"/>
        </w:rPr>
        <w:t>1.10.1 出入现场的权利</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承包人应在订立合同前查勘施工现场，并根据工程规模及技术参数合理预见工程施工所需的进出施工现场的方式、手段、路径等。因承包人未合理预见所增加的费用和（或）延误的工期由承包人承担。</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1.10.2 场外交通</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1.10.3场内交通</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场外交通和场内交通的边界由合同当事人在专用合同条款中约定。</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1.10.4 超大件和超重件的运输</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1.10.5 道路和桥梁的损坏责任</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因承包人运输造成施工场地内外公共道路和桥梁损坏的，由承包人承担修复损坏的全部费用和可能引起的赔偿。</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1.10.6 水路和航空运输</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本款前述各项的内容适用于水路运输和航空运输，其中“道路”一词的涵义包括河道、航线、船闸、机场、码头、堤防以及水路或航空运输中其他相似结构物；“车辆”一词的涵义包括船舶和飞机等。</w:t>
      </w:r>
    </w:p>
    <w:p>
      <w:pPr>
        <w:pStyle w:val="8"/>
        <w:spacing w:before="0" w:after="0" w:line="288" w:lineRule="auto"/>
        <w:ind w:firstLine="420"/>
        <w:rPr>
          <w:rFonts w:cs="宋体"/>
          <w:b w:val="0"/>
          <w:color w:val="auto"/>
          <w:sz w:val="21"/>
          <w:szCs w:val="21"/>
          <w:highlight w:val="none"/>
        </w:rPr>
      </w:pPr>
      <w:bookmarkStart w:id="178" w:name="_Toc351203506"/>
      <w:r>
        <w:rPr>
          <w:rFonts w:hint="eastAsia" w:cs="宋体"/>
          <w:b w:val="0"/>
          <w:color w:val="auto"/>
          <w:sz w:val="21"/>
          <w:szCs w:val="21"/>
          <w:highlight w:val="none"/>
        </w:rPr>
        <w:t>1</w:t>
      </w:r>
      <w:bookmarkStart w:id="179" w:name="_Toc337558737"/>
      <w:bookmarkStart w:id="180" w:name="_Toc296346538"/>
      <w:bookmarkStart w:id="181" w:name="_Toc296503037"/>
      <w:r>
        <w:rPr>
          <w:rFonts w:hint="eastAsia" w:cs="宋体"/>
          <w:b w:val="0"/>
          <w:color w:val="auto"/>
          <w:sz w:val="21"/>
          <w:szCs w:val="21"/>
          <w:highlight w:val="none"/>
        </w:rPr>
        <w:t>.11知识产权</w:t>
      </w:r>
      <w:bookmarkEnd w:id="178"/>
      <w:r>
        <w:rPr>
          <w:rFonts w:hint="eastAsia" w:cs="宋体"/>
          <w:b w:val="0"/>
          <w:color w:val="auto"/>
          <w:sz w:val="21"/>
          <w:szCs w:val="21"/>
          <w:highlight w:val="none"/>
        </w:rPr>
        <w:t xml:space="preserve"> </w:t>
      </w:r>
      <w:bookmarkEnd w:id="179"/>
    </w:p>
    <w:bookmarkEnd w:id="180"/>
    <w:bookmarkEnd w:id="181"/>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pPr>
        <w:spacing w:line="288" w:lineRule="auto"/>
        <w:ind w:firstLine="420"/>
        <w:rPr>
          <w:rFonts w:cs="宋体"/>
          <w:color w:val="auto"/>
          <w:szCs w:val="21"/>
          <w:highlight w:val="none"/>
        </w:rPr>
      </w:pPr>
      <w:r>
        <w:rPr>
          <w:rFonts w:hint="eastAsia" w:cs="宋体"/>
          <w:color w:val="auto"/>
          <w:kern w:val="0"/>
          <w:szCs w:val="21"/>
          <w:highlight w:val="none"/>
        </w:rPr>
        <w:t xml:space="preserve">    </w:t>
      </w:r>
      <w:r>
        <w:rPr>
          <w:rFonts w:hint="eastAsia" w:cs="宋体"/>
          <w:color w:val="auto"/>
          <w:szCs w:val="21"/>
          <w:highlight w:val="none"/>
        </w:rPr>
        <w:t>1.11.4 除专用合同条款另有约定外，承包人在合同签订前和签订时已确定采用的专利、专有技术、技术秘密的使用费已包含在签约合同价中。</w:t>
      </w:r>
    </w:p>
    <w:p>
      <w:pPr>
        <w:pStyle w:val="8"/>
        <w:spacing w:before="0" w:after="0" w:line="288" w:lineRule="auto"/>
        <w:ind w:firstLine="420"/>
        <w:rPr>
          <w:rFonts w:cs="宋体"/>
          <w:b w:val="0"/>
          <w:color w:val="auto"/>
          <w:sz w:val="21"/>
          <w:szCs w:val="21"/>
          <w:highlight w:val="none"/>
        </w:rPr>
      </w:pPr>
      <w:bookmarkStart w:id="182" w:name="_Toc351203507"/>
      <w:r>
        <w:rPr>
          <w:rFonts w:hint="eastAsia" w:cs="宋体"/>
          <w:b w:val="0"/>
          <w:color w:val="auto"/>
          <w:sz w:val="21"/>
          <w:szCs w:val="21"/>
          <w:highlight w:val="none"/>
        </w:rPr>
        <w:t>1</w:t>
      </w:r>
      <w:bookmarkStart w:id="183" w:name="_Toc337558738"/>
      <w:r>
        <w:rPr>
          <w:rFonts w:hint="eastAsia" w:cs="宋体"/>
          <w:b w:val="0"/>
          <w:color w:val="auto"/>
          <w:sz w:val="21"/>
          <w:szCs w:val="21"/>
          <w:highlight w:val="none"/>
        </w:rPr>
        <w:t>.12保密</w:t>
      </w:r>
      <w:bookmarkEnd w:id="182"/>
    </w:p>
    <w:bookmarkEnd w:id="183"/>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除法律规定或合同另有约定外，未经发包人同意，承包人不得将发包人提供的图纸、文件以及声明需要保密的资料信息等商业秘密泄露给第三方。</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除法律规定或合同另有约定外，未经承包人同意，发包人不得将承包人提供的技术秘密及声明需要保密的资料信息等商业秘密泄露给第三方。</w:t>
      </w:r>
    </w:p>
    <w:p>
      <w:pPr>
        <w:pStyle w:val="8"/>
        <w:spacing w:before="0" w:after="0" w:line="288" w:lineRule="auto"/>
        <w:ind w:firstLine="420"/>
        <w:rPr>
          <w:rFonts w:cs="宋体"/>
          <w:b w:val="0"/>
          <w:color w:val="auto"/>
          <w:sz w:val="21"/>
          <w:szCs w:val="21"/>
          <w:highlight w:val="none"/>
        </w:rPr>
      </w:pPr>
      <w:bookmarkStart w:id="184" w:name="_Toc351203508"/>
      <w:r>
        <w:rPr>
          <w:rFonts w:hint="eastAsia" w:cs="宋体"/>
          <w:b w:val="0"/>
          <w:color w:val="auto"/>
          <w:sz w:val="21"/>
          <w:szCs w:val="21"/>
          <w:highlight w:val="none"/>
        </w:rPr>
        <w:t>1.13工程量清单错误的修正</w:t>
      </w:r>
      <w:bookmarkEnd w:id="184"/>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除专用合同条款另有约定外，发包人提供的工程量清单，应被认为是准确的和完整的。出现下列情形之一时，发包人应予以修正，并相应调整合同价格：</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（1）工程量清单存在缺项、漏项的；</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（2）工程量清单偏差超出专用合同条款约定的工程量偏差范围的；</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（3）未按照国家现行计量规范强制性规定计量的。</w:t>
      </w:r>
    </w:p>
    <w:p>
      <w:pPr>
        <w:pStyle w:val="7"/>
        <w:spacing w:line="288" w:lineRule="auto"/>
        <w:ind w:firstLine="420"/>
        <w:rPr>
          <w:rFonts w:ascii="宋体" w:hAnsi="宋体" w:cs="宋体"/>
          <w:b w:val="0"/>
          <w:color w:val="auto"/>
          <w:szCs w:val="21"/>
          <w:highlight w:val="none"/>
        </w:rPr>
      </w:pPr>
      <w:bookmarkStart w:id="185" w:name="_Toc351203509"/>
      <w:r>
        <w:rPr>
          <w:rFonts w:hint="eastAsia" w:ascii="宋体" w:hAnsi="宋体" w:cs="宋体"/>
          <w:b w:val="0"/>
          <w:color w:val="auto"/>
          <w:szCs w:val="21"/>
          <w:highlight w:val="none"/>
        </w:rPr>
        <w:t>2</w:t>
      </w:r>
      <w:bookmarkStart w:id="186" w:name="_Toc296346539"/>
      <w:bookmarkStart w:id="187" w:name="_Toc337558739"/>
      <w:bookmarkStart w:id="188" w:name="_Toc296503038"/>
      <w:bookmarkStart w:id="189" w:name="OLE_LINK2"/>
      <w:bookmarkStart w:id="190" w:name="OLE_LINK1"/>
      <w:r>
        <w:rPr>
          <w:rFonts w:hint="eastAsia" w:ascii="宋体" w:hAnsi="宋体" w:cs="宋体"/>
          <w:b w:val="0"/>
          <w:color w:val="auto"/>
          <w:szCs w:val="21"/>
          <w:highlight w:val="none"/>
        </w:rPr>
        <w:t>. 发包人</w:t>
      </w:r>
      <w:bookmarkEnd w:id="185"/>
    </w:p>
    <w:bookmarkEnd w:id="186"/>
    <w:bookmarkEnd w:id="187"/>
    <w:bookmarkEnd w:id="188"/>
    <w:p>
      <w:pPr>
        <w:pStyle w:val="8"/>
        <w:spacing w:before="0" w:after="0" w:line="288" w:lineRule="auto"/>
        <w:ind w:firstLine="420"/>
        <w:rPr>
          <w:rFonts w:cs="宋体"/>
          <w:b w:val="0"/>
          <w:color w:val="auto"/>
          <w:sz w:val="21"/>
          <w:szCs w:val="21"/>
          <w:highlight w:val="none"/>
        </w:rPr>
      </w:pPr>
      <w:bookmarkStart w:id="191" w:name="_Toc351203510"/>
      <w:r>
        <w:rPr>
          <w:rFonts w:hint="eastAsia" w:cs="宋体"/>
          <w:b w:val="0"/>
          <w:color w:val="auto"/>
          <w:sz w:val="21"/>
          <w:szCs w:val="21"/>
          <w:highlight w:val="none"/>
        </w:rPr>
        <w:t>2</w:t>
      </w:r>
      <w:bookmarkStart w:id="192" w:name="_Toc296346540"/>
      <w:bookmarkStart w:id="193" w:name="_Toc296503039"/>
      <w:bookmarkStart w:id="194" w:name="_Toc337558740"/>
      <w:r>
        <w:rPr>
          <w:rFonts w:hint="eastAsia" w:cs="宋体"/>
          <w:b w:val="0"/>
          <w:color w:val="auto"/>
          <w:sz w:val="21"/>
          <w:szCs w:val="21"/>
          <w:highlight w:val="none"/>
        </w:rPr>
        <w:t>.1 许可或批准</w:t>
      </w:r>
      <w:bookmarkEnd w:id="191"/>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因发包人原因未能及时办理完毕前述许可、批准或备案，由发包人承担由此增加的费用和（或）延误的工期，并支付承包人合理的利润。</w:t>
      </w:r>
    </w:p>
    <w:p>
      <w:pPr>
        <w:pStyle w:val="8"/>
        <w:spacing w:before="0" w:after="0" w:line="288" w:lineRule="auto"/>
        <w:ind w:firstLine="420"/>
        <w:rPr>
          <w:rFonts w:cs="宋体"/>
          <w:b w:val="0"/>
          <w:color w:val="auto"/>
          <w:sz w:val="21"/>
          <w:szCs w:val="21"/>
          <w:highlight w:val="none"/>
        </w:rPr>
      </w:pPr>
      <w:bookmarkStart w:id="195" w:name="_Toc351203511"/>
      <w:r>
        <w:rPr>
          <w:rFonts w:hint="eastAsia" w:cs="宋体"/>
          <w:b w:val="0"/>
          <w:color w:val="auto"/>
          <w:sz w:val="21"/>
          <w:szCs w:val="21"/>
          <w:highlight w:val="none"/>
        </w:rPr>
        <w:t>2.2 发包人代表</w:t>
      </w:r>
      <w:bookmarkEnd w:id="195"/>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pPr>
        <w:spacing w:line="288" w:lineRule="auto"/>
        <w:ind w:firstLine="420"/>
        <w:rPr>
          <w:rFonts w:cs="宋体"/>
          <w:color w:val="auto"/>
          <w:kern w:val="0"/>
          <w:szCs w:val="21"/>
          <w:highlight w:val="none"/>
        </w:rPr>
      </w:pPr>
      <w:r>
        <w:rPr>
          <w:rFonts w:hint="eastAsia" w:cs="宋体"/>
          <w:color w:val="auto"/>
          <w:kern w:val="0"/>
          <w:szCs w:val="21"/>
          <w:highlight w:val="none"/>
        </w:rPr>
        <w:t>发包人代表不能按照合同约定履行其职责及义务，并导致合同无法继续正常履行的，承包人可以要求发包人撤换发包人代表。</w:t>
      </w:r>
    </w:p>
    <w:p>
      <w:pPr>
        <w:spacing w:line="288" w:lineRule="auto"/>
        <w:ind w:firstLine="420"/>
        <w:rPr>
          <w:rFonts w:cs="宋体"/>
          <w:color w:val="auto"/>
          <w:szCs w:val="21"/>
          <w:highlight w:val="none"/>
        </w:rPr>
      </w:pPr>
      <w:r>
        <w:rPr>
          <w:rFonts w:hint="eastAsia" w:cs="宋体"/>
          <w:color w:val="auto"/>
          <w:kern w:val="0"/>
          <w:szCs w:val="21"/>
          <w:highlight w:val="none"/>
        </w:rPr>
        <w:t>不属于法定必须监理的工程，监理人的职权可以由发包人代表或发包人指定的其他人员行使。</w:t>
      </w:r>
    </w:p>
    <w:p>
      <w:pPr>
        <w:pStyle w:val="8"/>
        <w:spacing w:before="0" w:after="0" w:line="288" w:lineRule="auto"/>
        <w:ind w:firstLine="420"/>
        <w:rPr>
          <w:rFonts w:cs="宋体"/>
          <w:b w:val="0"/>
          <w:color w:val="auto"/>
          <w:sz w:val="21"/>
          <w:szCs w:val="21"/>
          <w:highlight w:val="none"/>
        </w:rPr>
      </w:pPr>
      <w:bookmarkStart w:id="196" w:name="_Toc351203512"/>
      <w:r>
        <w:rPr>
          <w:rFonts w:hint="eastAsia" w:cs="宋体"/>
          <w:b w:val="0"/>
          <w:color w:val="auto"/>
          <w:sz w:val="21"/>
          <w:szCs w:val="21"/>
          <w:highlight w:val="none"/>
        </w:rPr>
        <w:t>2.3 发包人人员</w:t>
      </w:r>
      <w:bookmarkEnd w:id="196"/>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发包人应要求在施工现场的发包人人员遵守法律及有关安全、质量、环境保护、文明施工等规定，并保障承包人免于承受因发包人人员未遵守上述要求给承包人造成的损失和责任。</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发包人人员包括发包人代表及其他由发包人派驻施工现场的人员。</w:t>
      </w:r>
      <w:bookmarkEnd w:id="192"/>
      <w:bookmarkEnd w:id="193"/>
      <w:bookmarkEnd w:id="194"/>
    </w:p>
    <w:p>
      <w:pPr>
        <w:pStyle w:val="8"/>
        <w:spacing w:before="0" w:after="0" w:line="288" w:lineRule="auto"/>
        <w:ind w:firstLine="420"/>
        <w:rPr>
          <w:rFonts w:cs="宋体"/>
          <w:b w:val="0"/>
          <w:color w:val="auto"/>
          <w:sz w:val="21"/>
          <w:szCs w:val="21"/>
          <w:highlight w:val="none"/>
        </w:rPr>
      </w:pPr>
      <w:bookmarkStart w:id="197" w:name="_Toc351203513"/>
      <w:r>
        <w:rPr>
          <w:rFonts w:hint="eastAsia" w:cs="宋体"/>
          <w:b w:val="0"/>
          <w:color w:val="auto"/>
          <w:sz w:val="21"/>
          <w:szCs w:val="21"/>
          <w:highlight w:val="none"/>
        </w:rPr>
        <w:t>2</w:t>
      </w:r>
      <w:bookmarkStart w:id="198" w:name="_Toc296503040"/>
      <w:bookmarkStart w:id="199" w:name="_Toc296346541"/>
      <w:bookmarkStart w:id="200" w:name="_Toc337558741"/>
      <w:r>
        <w:rPr>
          <w:rFonts w:hint="eastAsia" w:cs="宋体"/>
          <w:b w:val="0"/>
          <w:color w:val="auto"/>
          <w:sz w:val="21"/>
          <w:szCs w:val="21"/>
          <w:highlight w:val="none"/>
        </w:rPr>
        <w:t>.4 施工现场、施工条件和基础资料的提供</w:t>
      </w:r>
      <w:bookmarkEnd w:id="197"/>
      <w:r>
        <w:rPr>
          <w:rFonts w:hint="eastAsia" w:cs="宋体"/>
          <w:b w:val="0"/>
          <w:color w:val="auto"/>
          <w:sz w:val="21"/>
          <w:szCs w:val="21"/>
          <w:highlight w:val="none"/>
        </w:rPr>
        <w:t xml:space="preserve"> </w:t>
      </w:r>
      <w:bookmarkEnd w:id="198"/>
      <w:bookmarkEnd w:id="199"/>
      <w:bookmarkEnd w:id="200"/>
      <w:r>
        <w:rPr>
          <w:rFonts w:hint="eastAsia" w:cs="宋体"/>
          <w:b w:val="0"/>
          <w:color w:val="auto"/>
          <w:sz w:val="21"/>
          <w:szCs w:val="21"/>
          <w:highlight w:val="none"/>
        </w:rPr>
        <w:t xml:space="preserve"> </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2.4.1 提供施工现场</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除</w:t>
      </w:r>
      <w:bookmarkEnd w:id="189"/>
      <w:bookmarkEnd w:id="190"/>
      <w:r>
        <w:rPr>
          <w:rFonts w:hint="eastAsia" w:cs="宋体"/>
          <w:color w:val="auto"/>
          <w:kern w:val="0"/>
          <w:szCs w:val="21"/>
          <w:highlight w:val="none"/>
        </w:rPr>
        <w:t>专用合同条款另有约定外，发包人应最迟于开工日期7天前向承包人移交施工现场。</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2.4.2 提供施工条件</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除专用合同条款另有约定外，发包人应负责提供施工所需要的条件，包括：</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（1）将施工用水、电力、通讯线路等施工所必需的条件接至施工现场内；</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（2）保证向承包人提供正常施工所需要的进入施工现场的交通条件；</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（3）协调处理施工现场周围地下管线和邻近建筑物、构筑物、古树名木的保护工作，并承担相关费用；</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（4）按照专用合同条款约定应提供的其他设施和条件。</w:t>
      </w:r>
    </w:p>
    <w:p>
      <w:pPr>
        <w:autoSpaceDE w:val="0"/>
        <w:autoSpaceDN w:val="0"/>
        <w:adjustRightInd w:val="0"/>
        <w:spacing w:line="288" w:lineRule="auto"/>
        <w:ind w:firstLine="420"/>
        <w:jc w:val="left"/>
        <w:rPr>
          <w:rFonts w:cs="宋体"/>
          <w:color w:val="auto"/>
          <w:szCs w:val="21"/>
          <w:highlight w:val="none"/>
        </w:rPr>
      </w:pPr>
      <w:r>
        <w:rPr>
          <w:rFonts w:hint="eastAsia" w:cs="宋体"/>
          <w:color w:val="auto"/>
          <w:kern w:val="0"/>
          <w:szCs w:val="21"/>
          <w:highlight w:val="none"/>
        </w:rPr>
        <w:t>2.4.3 提供基础资料</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按照法律规定确需在开工后方能提供的基础资料，发包人应尽其努力及时地在相应工程施工前的合理期限内提供，合理期限应以不影响承包人的正常施工为限。</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2.4.4 逾期提供的责任</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因发包人原因未能按合同约定及时向承包人提供施工现场、施工条件、基础资料的，由发包人承担由此增加的费用和（或）延误的工期。</w:t>
      </w:r>
    </w:p>
    <w:p>
      <w:pPr>
        <w:pStyle w:val="8"/>
        <w:spacing w:before="0" w:after="0" w:line="288" w:lineRule="auto"/>
        <w:ind w:firstLine="420"/>
        <w:rPr>
          <w:rFonts w:cs="宋体"/>
          <w:b w:val="0"/>
          <w:color w:val="auto"/>
          <w:sz w:val="21"/>
          <w:szCs w:val="21"/>
          <w:highlight w:val="none"/>
        </w:rPr>
      </w:pPr>
      <w:bookmarkStart w:id="201" w:name="_Toc351203514"/>
      <w:r>
        <w:rPr>
          <w:rFonts w:hint="eastAsia" w:cs="宋体"/>
          <w:b w:val="0"/>
          <w:color w:val="auto"/>
          <w:sz w:val="21"/>
          <w:szCs w:val="21"/>
          <w:highlight w:val="none"/>
        </w:rPr>
        <w:t>2</w:t>
      </w:r>
      <w:bookmarkStart w:id="202" w:name="_Toc296503042"/>
      <w:bookmarkStart w:id="203" w:name="_Toc296346543"/>
      <w:bookmarkStart w:id="204" w:name="_Toc337558745"/>
      <w:r>
        <w:rPr>
          <w:rFonts w:hint="eastAsia" w:cs="宋体"/>
          <w:b w:val="0"/>
          <w:color w:val="auto"/>
          <w:sz w:val="21"/>
          <w:szCs w:val="21"/>
          <w:highlight w:val="none"/>
        </w:rPr>
        <w:t>.5 资</w:t>
      </w:r>
      <w:bookmarkEnd w:id="202"/>
      <w:bookmarkEnd w:id="203"/>
      <w:bookmarkEnd w:id="204"/>
      <w:r>
        <w:rPr>
          <w:rFonts w:hint="eastAsia" w:cs="宋体"/>
          <w:b w:val="0"/>
          <w:color w:val="auto"/>
          <w:sz w:val="21"/>
          <w:szCs w:val="21"/>
          <w:highlight w:val="none"/>
        </w:rPr>
        <w:t>金来源证明及支付担保</w:t>
      </w:r>
      <w:bookmarkEnd w:id="201"/>
    </w:p>
    <w:p>
      <w:pPr>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除专用合同条款另有约定外，发包人应在收到承包人要求提供资金来源证明的书面通知后28天内，向承包人提供能够按照合同约定支付合同价款的相应资金来源证明。</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除专用合同条款另有约定外，发包人要求承包人提供履约担保的，发包人应当向承包人提供支付担保。支付担保可以采用银行保函或担保公司担保等形式，具体由合同当事人在专用合同条款中约定。</w:t>
      </w:r>
    </w:p>
    <w:p>
      <w:pPr>
        <w:pStyle w:val="8"/>
        <w:spacing w:before="0" w:after="0" w:line="288" w:lineRule="auto"/>
        <w:ind w:firstLine="420"/>
        <w:rPr>
          <w:rFonts w:cs="宋体"/>
          <w:b w:val="0"/>
          <w:color w:val="auto"/>
          <w:sz w:val="21"/>
          <w:szCs w:val="21"/>
          <w:highlight w:val="none"/>
        </w:rPr>
      </w:pPr>
      <w:bookmarkStart w:id="205" w:name="_Toc351203515"/>
      <w:r>
        <w:rPr>
          <w:rFonts w:hint="eastAsia" w:cs="宋体"/>
          <w:b w:val="0"/>
          <w:color w:val="auto"/>
          <w:sz w:val="21"/>
          <w:szCs w:val="21"/>
          <w:highlight w:val="none"/>
        </w:rPr>
        <w:t>2.6 支付合同价款</w:t>
      </w:r>
      <w:bookmarkEnd w:id="205"/>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发包人应按合同约定向承包人及时支付合同价款。</w:t>
      </w:r>
    </w:p>
    <w:p>
      <w:pPr>
        <w:pStyle w:val="8"/>
        <w:spacing w:before="0" w:after="0" w:line="288" w:lineRule="auto"/>
        <w:ind w:firstLine="420"/>
        <w:rPr>
          <w:rFonts w:cs="宋体"/>
          <w:b w:val="0"/>
          <w:color w:val="auto"/>
          <w:sz w:val="21"/>
          <w:szCs w:val="21"/>
          <w:highlight w:val="none"/>
        </w:rPr>
      </w:pPr>
      <w:bookmarkStart w:id="206" w:name="_Toc351203516"/>
      <w:r>
        <w:rPr>
          <w:rFonts w:hint="eastAsia" w:cs="宋体"/>
          <w:b w:val="0"/>
          <w:color w:val="auto"/>
          <w:sz w:val="21"/>
          <w:szCs w:val="21"/>
          <w:highlight w:val="none"/>
        </w:rPr>
        <w:t>2.7 组织竣工验收</w:t>
      </w:r>
      <w:bookmarkEnd w:id="206"/>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发包人应按合同约定及时组织竣工验收。</w:t>
      </w:r>
    </w:p>
    <w:p>
      <w:pPr>
        <w:pStyle w:val="8"/>
        <w:spacing w:before="0" w:after="0" w:line="288" w:lineRule="auto"/>
        <w:ind w:firstLine="420"/>
        <w:rPr>
          <w:rFonts w:cs="宋体"/>
          <w:b w:val="0"/>
          <w:color w:val="auto"/>
          <w:sz w:val="21"/>
          <w:szCs w:val="21"/>
          <w:highlight w:val="none"/>
        </w:rPr>
      </w:pPr>
      <w:bookmarkStart w:id="207" w:name="_Toc351203517"/>
      <w:r>
        <w:rPr>
          <w:rFonts w:hint="eastAsia" w:cs="宋体"/>
          <w:b w:val="0"/>
          <w:color w:val="auto"/>
          <w:sz w:val="21"/>
          <w:szCs w:val="21"/>
          <w:highlight w:val="none"/>
        </w:rPr>
        <w:t>2.8 现场统一管理协议</w:t>
      </w:r>
      <w:bookmarkEnd w:id="207"/>
    </w:p>
    <w:p>
      <w:pPr>
        <w:spacing w:line="288" w:lineRule="auto"/>
        <w:ind w:firstLine="420"/>
        <w:jc w:val="left"/>
        <w:rPr>
          <w:rFonts w:cs="宋体"/>
          <w:color w:val="auto"/>
          <w:kern w:val="0"/>
          <w:szCs w:val="21"/>
          <w:highlight w:val="none"/>
        </w:rPr>
      </w:pPr>
      <w:r>
        <w:rPr>
          <w:rFonts w:hint="eastAsia" w:cs="宋体"/>
          <w:color w:val="auto"/>
          <w:kern w:val="0"/>
          <w:szCs w:val="21"/>
          <w:highlight w:val="none"/>
        </w:rPr>
        <w:t>发包人应与承包人、由发包人直接发包的专业工程的承包人签订施工现场统一管理协议，明确各方的权利义务。施工现场统一管理协议作为专用合同条款的附件。</w:t>
      </w:r>
    </w:p>
    <w:p>
      <w:pPr>
        <w:pStyle w:val="7"/>
        <w:spacing w:line="288" w:lineRule="auto"/>
        <w:ind w:firstLine="420"/>
        <w:rPr>
          <w:rFonts w:ascii="宋体" w:hAnsi="宋体" w:cs="宋体"/>
          <w:b w:val="0"/>
          <w:color w:val="auto"/>
          <w:szCs w:val="21"/>
          <w:highlight w:val="none"/>
        </w:rPr>
      </w:pPr>
      <w:bookmarkStart w:id="208" w:name="_Toc351203518"/>
      <w:r>
        <w:rPr>
          <w:rFonts w:hint="eastAsia" w:ascii="宋体" w:hAnsi="宋体" w:cs="宋体"/>
          <w:b w:val="0"/>
          <w:color w:val="auto"/>
          <w:szCs w:val="21"/>
          <w:highlight w:val="none"/>
        </w:rPr>
        <w:t>3</w:t>
      </w:r>
      <w:bookmarkStart w:id="209" w:name="_Toc296346546"/>
      <w:bookmarkStart w:id="210" w:name="_Toc337558746"/>
      <w:bookmarkStart w:id="211" w:name="_Toc296503045"/>
      <w:r>
        <w:rPr>
          <w:rFonts w:hint="eastAsia" w:ascii="宋体" w:hAnsi="宋体" w:cs="宋体"/>
          <w:b w:val="0"/>
          <w:color w:val="auto"/>
          <w:szCs w:val="21"/>
          <w:highlight w:val="none"/>
        </w:rPr>
        <w:t>. 承包人</w:t>
      </w:r>
      <w:bookmarkEnd w:id="208"/>
    </w:p>
    <w:bookmarkEnd w:id="209"/>
    <w:bookmarkEnd w:id="210"/>
    <w:bookmarkEnd w:id="211"/>
    <w:p>
      <w:pPr>
        <w:pStyle w:val="8"/>
        <w:spacing w:before="0" w:after="0" w:line="288" w:lineRule="auto"/>
        <w:ind w:firstLine="420"/>
        <w:rPr>
          <w:rFonts w:cs="宋体"/>
          <w:b w:val="0"/>
          <w:color w:val="auto"/>
          <w:sz w:val="21"/>
          <w:szCs w:val="21"/>
          <w:highlight w:val="none"/>
        </w:rPr>
      </w:pPr>
      <w:bookmarkStart w:id="212" w:name="_Toc351203519"/>
      <w:r>
        <w:rPr>
          <w:rFonts w:hint="eastAsia" w:cs="宋体"/>
          <w:b w:val="0"/>
          <w:color w:val="auto"/>
          <w:sz w:val="21"/>
          <w:szCs w:val="21"/>
          <w:highlight w:val="none"/>
        </w:rPr>
        <w:t>3</w:t>
      </w:r>
      <w:bookmarkStart w:id="213" w:name="_Toc296503046"/>
      <w:bookmarkStart w:id="214" w:name="_Toc337558747"/>
      <w:bookmarkStart w:id="215" w:name="_Toc296346547"/>
      <w:r>
        <w:rPr>
          <w:rFonts w:hint="eastAsia" w:cs="宋体"/>
          <w:b w:val="0"/>
          <w:color w:val="auto"/>
          <w:sz w:val="21"/>
          <w:szCs w:val="21"/>
          <w:highlight w:val="none"/>
        </w:rPr>
        <w:t>.1 承包人的一般义务</w:t>
      </w:r>
      <w:bookmarkEnd w:id="212"/>
    </w:p>
    <w:bookmarkEnd w:id="213"/>
    <w:bookmarkEnd w:id="214"/>
    <w:bookmarkEnd w:id="215"/>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承包人在履行合同过程中应遵守法律和工程建设标准规范，并履行以下义务：</w:t>
      </w:r>
    </w:p>
    <w:p>
      <w:pPr>
        <w:numPr>
          <w:ilvl w:val="0"/>
          <w:numId w:val="5"/>
        </w:num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办理法律规定应由承包人办理的许可和批准，并将办理结果书面报送发包人留存；</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（2）按法律规定和合同约定完成工程，并在保修期内承担保修义务；</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（3）按法律规定和合同约定采取施工安全和环境保护措施，办理工伤保险，确保工程及人员、材料、设备和设施的安全；</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（4）按合同约定的工作内容和施工进度要求，编制施工组织设计和施工措施计划，并对所有施工作业和施工方法的完备性和安全可靠性负责；</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（6）按照第6.3款〔环境保护〕约定负责施工场地及其周边环境与生态的保护工作；</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（7）按第6.1款〔安全文明施工〕约定采取施工安全措施，确保工程及其人员、材料、设备和设施的安全，防止因工程施工造成的人身伤害和财产损失；</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（8）将发包人按合同约定支付的各项价款专用于合同工程，且应及时支付其雇用人员工资，并及时向分包人支付合同价款；</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（9）按照法律规定和合同约定编制竣工资料，完成竣工资料立卷及归档，并按专用合同条款约定的竣工资料的套数、内容、时间等要求移交发包人；</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（10）应履行的其他义务。</w:t>
      </w:r>
    </w:p>
    <w:p>
      <w:pPr>
        <w:pStyle w:val="8"/>
        <w:spacing w:before="0" w:after="0" w:line="288" w:lineRule="auto"/>
        <w:ind w:firstLine="420"/>
        <w:rPr>
          <w:rFonts w:cs="宋体"/>
          <w:b w:val="0"/>
          <w:color w:val="auto"/>
          <w:sz w:val="21"/>
          <w:szCs w:val="21"/>
          <w:highlight w:val="none"/>
        </w:rPr>
      </w:pPr>
      <w:bookmarkStart w:id="216" w:name="_Toc351203520"/>
      <w:r>
        <w:rPr>
          <w:rFonts w:hint="eastAsia" w:cs="宋体"/>
          <w:b w:val="0"/>
          <w:color w:val="auto"/>
          <w:sz w:val="21"/>
          <w:szCs w:val="21"/>
          <w:highlight w:val="none"/>
        </w:rPr>
        <w:t>3</w:t>
      </w:r>
      <w:bookmarkStart w:id="217" w:name="_Toc296346548"/>
      <w:bookmarkStart w:id="218" w:name="_Toc337558748"/>
      <w:bookmarkStart w:id="219" w:name="_Toc296503047"/>
      <w:r>
        <w:rPr>
          <w:rFonts w:hint="eastAsia" w:cs="宋体"/>
          <w:b w:val="0"/>
          <w:color w:val="auto"/>
          <w:sz w:val="21"/>
          <w:szCs w:val="21"/>
          <w:highlight w:val="none"/>
        </w:rPr>
        <w:t xml:space="preserve">.2 </w:t>
      </w:r>
      <w:bookmarkEnd w:id="216"/>
      <w:r>
        <w:rPr>
          <w:rFonts w:hint="eastAsia" w:cs="宋体"/>
          <w:b w:val="0"/>
          <w:color w:val="auto"/>
          <w:sz w:val="21"/>
          <w:szCs w:val="21"/>
          <w:highlight w:val="none"/>
        </w:rPr>
        <w:t>项目经理</w:t>
      </w:r>
    </w:p>
    <w:bookmarkEnd w:id="217"/>
    <w:bookmarkEnd w:id="218"/>
    <w:bookmarkEnd w:id="219"/>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承包人违反上述约定的，应按照专用合同条款的约定，承担违约责任。</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3.2.5 项目经理因特殊情况授权其下属人员履行其某项工作职责的，该下属人员应具备履行相应职责的能力，并应提前7天将上述人员的姓名和授权范围书面通知监理人，并征得发包人书面同意。</w:t>
      </w:r>
    </w:p>
    <w:p>
      <w:pPr>
        <w:pStyle w:val="8"/>
        <w:spacing w:before="0" w:after="0" w:line="288" w:lineRule="auto"/>
        <w:ind w:firstLine="420"/>
        <w:rPr>
          <w:rFonts w:cs="宋体"/>
          <w:b w:val="0"/>
          <w:color w:val="auto"/>
          <w:sz w:val="21"/>
          <w:szCs w:val="21"/>
          <w:highlight w:val="none"/>
        </w:rPr>
      </w:pPr>
      <w:bookmarkStart w:id="220" w:name="_Toc351203521"/>
      <w:r>
        <w:rPr>
          <w:rFonts w:hint="eastAsia" w:cs="宋体"/>
          <w:b w:val="0"/>
          <w:color w:val="auto"/>
          <w:sz w:val="21"/>
          <w:szCs w:val="21"/>
          <w:highlight w:val="none"/>
        </w:rPr>
        <w:t>3</w:t>
      </w:r>
      <w:bookmarkStart w:id="221" w:name="_Toc296346549"/>
      <w:bookmarkStart w:id="222" w:name="_Toc296503048"/>
      <w:bookmarkStart w:id="223" w:name="_Toc337558749"/>
      <w:r>
        <w:rPr>
          <w:rFonts w:hint="eastAsia" w:cs="宋体"/>
          <w:b w:val="0"/>
          <w:color w:val="auto"/>
          <w:sz w:val="21"/>
          <w:szCs w:val="21"/>
          <w:highlight w:val="none"/>
        </w:rPr>
        <w:t xml:space="preserve">.3 </w:t>
      </w:r>
      <w:bookmarkEnd w:id="221"/>
      <w:bookmarkEnd w:id="222"/>
      <w:r>
        <w:rPr>
          <w:rFonts w:hint="eastAsia" w:cs="宋体"/>
          <w:b w:val="0"/>
          <w:color w:val="auto"/>
          <w:sz w:val="21"/>
          <w:szCs w:val="21"/>
          <w:highlight w:val="none"/>
        </w:rPr>
        <w:t>承包人人员</w:t>
      </w:r>
      <w:bookmarkEnd w:id="220"/>
    </w:p>
    <w:bookmarkEnd w:id="223"/>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特殊工种作业人员均应持有相应的资格证明，监理人可以随时检查。</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3.3.5 承包人擅自更换主要施工管理人员，或前述人员未经监理人或发包人同意擅自离开施工现场的，应按照专用合同条款约定承担违约责任。</w:t>
      </w:r>
    </w:p>
    <w:p>
      <w:pPr>
        <w:pStyle w:val="8"/>
        <w:spacing w:before="0" w:after="0" w:line="288" w:lineRule="auto"/>
        <w:ind w:firstLine="420"/>
        <w:rPr>
          <w:rFonts w:cs="宋体"/>
          <w:b w:val="0"/>
          <w:color w:val="auto"/>
          <w:sz w:val="21"/>
          <w:szCs w:val="21"/>
          <w:highlight w:val="none"/>
        </w:rPr>
      </w:pPr>
      <w:bookmarkStart w:id="224" w:name="_Toc351203522"/>
      <w:r>
        <w:rPr>
          <w:rFonts w:hint="eastAsia" w:cs="宋体"/>
          <w:b w:val="0"/>
          <w:color w:val="auto"/>
          <w:sz w:val="21"/>
          <w:szCs w:val="21"/>
          <w:highlight w:val="none"/>
        </w:rPr>
        <w:t>3</w:t>
      </w:r>
      <w:bookmarkStart w:id="225" w:name="_Toc337558750"/>
      <w:bookmarkStart w:id="226" w:name="_Toc296503050"/>
      <w:bookmarkStart w:id="227" w:name="_Toc296346551"/>
      <w:r>
        <w:rPr>
          <w:rFonts w:hint="eastAsia" w:cs="宋体"/>
          <w:b w:val="0"/>
          <w:color w:val="auto"/>
          <w:sz w:val="21"/>
          <w:szCs w:val="21"/>
          <w:highlight w:val="none"/>
        </w:rPr>
        <w:t>.4 承包人现场查勘</w:t>
      </w:r>
      <w:bookmarkEnd w:id="224"/>
    </w:p>
    <w:bookmarkEnd w:id="225"/>
    <w:bookmarkEnd w:id="226"/>
    <w:bookmarkEnd w:id="227"/>
    <w:p>
      <w:pPr>
        <w:autoSpaceDE w:val="0"/>
        <w:autoSpaceDN w:val="0"/>
        <w:adjustRightInd w:val="0"/>
        <w:spacing w:line="288" w:lineRule="auto"/>
        <w:ind w:firstLine="420"/>
        <w:jc w:val="left"/>
        <w:rPr>
          <w:rFonts w:cs="宋体"/>
          <w:color w:val="auto"/>
          <w:szCs w:val="21"/>
          <w:highlight w:val="none"/>
        </w:rPr>
      </w:pPr>
      <w:r>
        <w:rPr>
          <w:rFonts w:hint="eastAsia" w:cs="宋体"/>
          <w:color w:val="auto"/>
          <w:kern w:val="0"/>
          <w:szCs w:val="21"/>
          <w:highlight w:val="none"/>
        </w:rPr>
        <w:t>承包人应对基于发包人按照第2.4.3项〔提供基础资料〕提交的基础资料所做出的解释和推断负责，但因基础资料存在错误、遗漏导致承包人解释或推断失实的，由发包人承担责任。</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pPr>
        <w:pStyle w:val="8"/>
        <w:spacing w:before="0" w:after="0" w:line="288" w:lineRule="auto"/>
        <w:ind w:firstLine="420"/>
        <w:rPr>
          <w:rFonts w:cs="宋体"/>
          <w:b w:val="0"/>
          <w:color w:val="auto"/>
          <w:sz w:val="21"/>
          <w:szCs w:val="21"/>
          <w:highlight w:val="none"/>
        </w:rPr>
      </w:pPr>
      <w:bookmarkStart w:id="228" w:name="_Toc351203523"/>
      <w:r>
        <w:rPr>
          <w:rFonts w:hint="eastAsia" w:cs="宋体"/>
          <w:b w:val="0"/>
          <w:color w:val="auto"/>
          <w:sz w:val="21"/>
          <w:szCs w:val="21"/>
          <w:highlight w:val="none"/>
        </w:rPr>
        <w:t>3</w:t>
      </w:r>
      <w:bookmarkStart w:id="229" w:name="_Toc296503051"/>
      <w:bookmarkStart w:id="230" w:name="_Toc337558751"/>
      <w:bookmarkStart w:id="231" w:name="_Toc296346552"/>
      <w:r>
        <w:rPr>
          <w:rFonts w:hint="eastAsia" w:cs="宋体"/>
          <w:b w:val="0"/>
          <w:color w:val="auto"/>
          <w:sz w:val="21"/>
          <w:szCs w:val="21"/>
          <w:highlight w:val="none"/>
        </w:rPr>
        <w:t>.5 分包</w:t>
      </w:r>
      <w:bookmarkEnd w:id="228"/>
    </w:p>
    <w:bookmarkEnd w:id="229"/>
    <w:bookmarkEnd w:id="230"/>
    <w:bookmarkEnd w:id="231"/>
    <w:p>
      <w:pPr>
        <w:spacing w:line="288" w:lineRule="auto"/>
        <w:ind w:firstLine="420"/>
        <w:jc w:val="left"/>
        <w:rPr>
          <w:rFonts w:cs="宋体"/>
          <w:color w:val="auto"/>
          <w:kern w:val="0"/>
          <w:szCs w:val="21"/>
          <w:highlight w:val="none"/>
        </w:rPr>
      </w:pPr>
      <w:r>
        <w:rPr>
          <w:rFonts w:hint="eastAsia" w:cs="宋体"/>
          <w:color w:val="auto"/>
          <w:kern w:val="0"/>
          <w:szCs w:val="21"/>
          <w:highlight w:val="none"/>
        </w:rPr>
        <w:t>3.5.1 分包的一般约定</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承包人不得以劳务分包的名义转包或违法分包工程。</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3.5.2 分包的确定</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3.5.3 分包管理</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承包人应向监理人提交分包人的主要施工管理人员表，并对分包人的施工人员进行实名制管理，包括但不限于进出场管理、登记造册以及各种证照的办理。</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3.5.4 分包合同价款</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（1）除本项第（2）目约定的情况或专用合同条款另有约定外，分包合同价款由承包人与分包人结算，未经承包人同意，发包人不得向分包人支付分包工程价款；</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（2）生效法律文书要求发包人向分包人支付分包合同价款的，发包人有权从应付承包人工程款中扣除该部分款项。</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3.5.5 分包合同权益的转让</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32" w:name="_Toc351203524"/>
    </w:p>
    <w:p>
      <w:pPr>
        <w:pStyle w:val="8"/>
        <w:spacing w:before="0" w:after="0" w:line="288" w:lineRule="auto"/>
        <w:ind w:firstLine="420"/>
        <w:rPr>
          <w:rFonts w:cs="宋体"/>
          <w:b w:val="0"/>
          <w:color w:val="auto"/>
          <w:sz w:val="21"/>
          <w:szCs w:val="21"/>
          <w:highlight w:val="none"/>
        </w:rPr>
      </w:pPr>
      <w:r>
        <w:rPr>
          <w:rFonts w:hint="eastAsia" w:cs="宋体"/>
          <w:b w:val="0"/>
          <w:color w:val="auto"/>
          <w:sz w:val="21"/>
          <w:szCs w:val="21"/>
          <w:highlight w:val="none"/>
        </w:rPr>
        <w:t>3.6 工程照管与成品、半成品保护</w:t>
      </w:r>
      <w:bookmarkEnd w:id="232"/>
    </w:p>
    <w:p>
      <w:pPr>
        <w:spacing w:line="288" w:lineRule="auto"/>
        <w:ind w:firstLine="420"/>
        <w:jc w:val="left"/>
        <w:rPr>
          <w:rFonts w:cs="宋体"/>
          <w:color w:val="auto"/>
          <w:kern w:val="0"/>
          <w:szCs w:val="21"/>
          <w:highlight w:val="none"/>
        </w:rPr>
      </w:pPr>
      <w:r>
        <w:rPr>
          <w:rFonts w:hint="eastAsia" w:cs="宋体"/>
          <w:color w:val="auto"/>
          <w:kern w:val="0"/>
          <w:szCs w:val="21"/>
          <w:highlight w:val="none"/>
        </w:rPr>
        <w:t>（1）除专用合同条款另有约定外，自发包人向承包人移交施工现场之日起，承包人应负责照管工程及工程相关的材料、工程设备，直到颁发工程接收证书之日止。</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（2）在承包人负责照管期间，因承包人原因造成工程、材料、工程设备损坏的，由承包人负责修复或更换，并承担由此增加的费用和（或）延误的工期。</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（3）对合同内分期完成的成品和半成品，在工程接收证书颁发前，由承包人承担保护责任。因承包人原因造成成品或半成品损坏的，由承包人负责修复或更换，并承担由此增加的费用和（或）延误的工期。</w:t>
      </w:r>
    </w:p>
    <w:p>
      <w:pPr>
        <w:pStyle w:val="8"/>
        <w:spacing w:before="0" w:after="0" w:line="288" w:lineRule="auto"/>
        <w:ind w:firstLine="420"/>
        <w:rPr>
          <w:rFonts w:cs="宋体"/>
          <w:b w:val="0"/>
          <w:color w:val="auto"/>
          <w:sz w:val="21"/>
          <w:szCs w:val="21"/>
          <w:highlight w:val="none"/>
        </w:rPr>
      </w:pPr>
      <w:bookmarkStart w:id="233" w:name="_Toc351203525"/>
      <w:r>
        <w:rPr>
          <w:rFonts w:hint="eastAsia" w:cs="宋体"/>
          <w:b w:val="0"/>
          <w:color w:val="auto"/>
          <w:sz w:val="21"/>
          <w:szCs w:val="21"/>
          <w:highlight w:val="none"/>
        </w:rPr>
        <w:t>3</w:t>
      </w:r>
      <w:bookmarkStart w:id="234" w:name="_Toc296346553"/>
      <w:bookmarkStart w:id="235" w:name="_Toc337558752"/>
      <w:bookmarkStart w:id="236" w:name="_Toc296503052"/>
      <w:r>
        <w:rPr>
          <w:rFonts w:hint="eastAsia" w:cs="宋体"/>
          <w:b w:val="0"/>
          <w:color w:val="auto"/>
          <w:sz w:val="21"/>
          <w:szCs w:val="21"/>
          <w:highlight w:val="none"/>
        </w:rPr>
        <w:t>.7 履约担保</w:t>
      </w:r>
      <w:bookmarkEnd w:id="233"/>
    </w:p>
    <w:bookmarkEnd w:id="234"/>
    <w:bookmarkEnd w:id="235"/>
    <w:bookmarkEnd w:id="236"/>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发包人需要承包人提供履约担保的，由合同当事人在专用合同条款中约定履约担保的方式、金额及期限等。履约担保可以采用银行保函或担保公司担保等形式，具体由合同当事人在专用合同条款中约定。</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因承包人原因导致工期延长的，继续提供履约担保所增加的费用由承包人承担；非因承包人原因导致工期延长的，继续提供履约担保所增加的费用由发包人承担。</w:t>
      </w:r>
    </w:p>
    <w:p>
      <w:pPr>
        <w:pStyle w:val="8"/>
        <w:spacing w:before="0" w:after="0" w:line="288" w:lineRule="auto"/>
        <w:ind w:firstLine="420"/>
        <w:rPr>
          <w:rFonts w:cs="宋体"/>
          <w:b w:val="0"/>
          <w:color w:val="auto"/>
          <w:sz w:val="21"/>
          <w:szCs w:val="21"/>
          <w:highlight w:val="none"/>
        </w:rPr>
      </w:pPr>
      <w:bookmarkStart w:id="237" w:name="_Toc351203526"/>
      <w:r>
        <w:rPr>
          <w:rFonts w:hint="eastAsia" w:cs="宋体"/>
          <w:b w:val="0"/>
          <w:color w:val="auto"/>
          <w:sz w:val="21"/>
          <w:szCs w:val="21"/>
          <w:highlight w:val="none"/>
        </w:rPr>
        <w:t>3.8 联合体</w:t>
      </w:r>
      <w:bookmarkEnd w:id="237"/>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3.8.1 联合体各方应共同与发包人签订合同协议书。联合体各方应为履行合同向发包人承担连带责任。</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3.8.2 联合体协议经发包人确认后作为合同附件。在履行合同过程中，未经发包人同意，不得修改联合体协议。</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3.8.3 联合体牵头人负责与发包人和监理人联系，并接受指示，负责组织联合体各成员全面履行合同。</w:t>
      </w:r>
    </w:p>
    <w:p>
      <w:pPr>
        <w:pStyle w:val="7"/>
        <w:spacing w:line="288" w:lineRule="auto"/>
        <w:ind w:firstLine="420"/>
        <w:rPr>
          <w:rFonts w:ascii="宋体" w:hAnsi="宋体" w:cs="宋体"/>
          <w:b w:val="0"/>
          <w:color w:val="auto"/>
          <w:szCs w:val="21"/>
          <w:highlight w:val="none"/>
        </w:rPr>
      </w:pPr>
      <w:bookmarkStart w:id="238" w:name="_Toc351203527"/>
      <w:r>
        <w:rPr>
          <w:rFonts w:hint="eastAsia" w:ascii="宋体" w:hAnsi="宋体" w:cs="宋体"/>
          <w:b w:val="0"/>
          <w:color w:val="auto"/>
          <w:szCs w:val="21"/>
          <w:highlight w:val="none"/>
        </w:rPr>
        <w:t>4</w:t>
      </w:r>
      <w:bookmarkStart w:id="239" w:name="_Toc296346554"/>
      <w:bookmarkStart w:id="240" w:name="_Toc296503053"/>
      <w:bookmarkStart w:id="241" w:name="_Toc337558753"/>
      <w:r>
        <w:rPr>
          <w:rFonts w:hint="eastAsia" w:ascii="宋体" w:hAnsi="宋体" w:cs="宋体"/>
          <w:b w:val="0"/>
          <w:color w:val="auto"/>
          <w:szCs w:val="21"/>
          <w:highlight w:val="none"/>
        </w:rPr>
        <w:t>. 监</w:t>
      </w:r>
      <w:bookmarkEnd w:id="239"/>
      <w:bookmarkEnd w:id="240"/>
      <w:r>
        <w:rPr>
          <w:rFonts w:hint="eastAsia" w:ascii="宋体" w:hAnsi="宋体" w:cs="宋体"/>
          <w:b w:val="0"/>
          <w:color w:val="auto"/>
          <w:szCs w:val="21"/>
          <w:highlight w:val="none"/>
        </w:rPr>
        <w:t>理人</w:t>
      </w:r>
      <w:bookmarkEnd w:id="238"/>
    </w:p>
    <w:bookmarkEnd w:id="241"/>
    <w:p>
      <w:pPr>
        <w:pStyle w:val="8"/>
        <w:spacing w:before="0" w:after="0" w:line="288" w:lineRule="auto"/>
        <w:ind w:firstLine="420"/>
        <w:rPr>
          <w:rFonts w:cs="宋体"/>
          <w:b w:val="0"/>
          <w:color w:val="auto"/>
          <w:sz w:val="21"/>
          <w:szCs w:val="21"/>
          <w:highlight w:val="none"/>
        </w:rPr>
      </w:pPr>
      <w:bookmarkStart w:id="242" w:name="_Toc351203528"/>
      <w:r>
        <w:rPr>
          <w:rFonts w:hint="eastAsia" w:cs="宋体"/>
          <w:b w:val="0"/>
          <w:color w:val="auto"/>
          <w:sz w:val="21"/>
          <w:szCs w:val="21"/>
          <w:highlight w:val="none"/>
        </w:rPr>
        <w:t>4</w:t>
      </w:r>
      <w:bookmarkStart w:id="243" w:name="_Toc296346555"/>
      <w:bookmarkStart w:id="244" w:name="_Toc296503054"/>
      <w:bookmarkStart w:id="245" w:name="_Toc337558754"/>
      <w:r>
        <w:rPr>
          <w:rFonts w:hint="eastAsia" w:cs="宋体"/>
          <w:b w:val="0"/>
          <w:color w:val="auto"/>
          <w:sz w:val="21"/>
          <w:szCs w:val="21"/>
          <w:highlight w:val="none"/>
        </w:rPr>
        <w:t>.1监理人的一般规定</w:t>
      </w:r>
      <w:bookmarkEnd w:id="242"/>
    </w:p>
    <w:bookmarkEnd w:id="243"/>
    <w:bookmarkEnd w:id="244"/>
    <w:bookmarkEnd w:id="245"/>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除专用合同条款另有约定外，监理人在施工现场的办公场所、生活场所由承包人提供，所发生的费用由发包人承担。</w:t>
      </w:r>
    </w:p>
    <w:p>
      <w:pPr>
        <w:pStyle w:val="8"/>
        <w:spacing w:before="0" w:after="0" w:line="288" w:lineRule="auto"/>
        <w:ind w:firstLine="420"/>
        <w:rPr>
          <w:rFonts w:cs="宋体"/>
          <w:b w:val="0"/>
          <w:color w:val="auto"/>
          <w:sz w:val="21"/>
          <w:szCs w:val="21"/>
          <w:highlight w:val="none"/>
        </w:rPr>
      </w:pPr>
      <w:bookmarkStart w:id="246" w:name="_Toc351203529"/>
      <w:r>
        <w:rPr>
          <w:rFonts w:hint="eastAsia" w:cs="宋体"/>
          <w:b w:val="0"/>
          <w:color w:val="auto"/>
          <w:sz w:val="21"/>
          <w:szCs w:val="21"/>
          <w:highlight w:val="none"/>
        </w:rPr>
        <w:t>4</w:t>
      </w:r>
      <w:bookmarkStart w:id="247" w:name="_Toc337558755"/>
      <w:r>
        <w:rPr>
          <w:rFonts w:hint="eastAsia" w:cs="宋体"/>
          <w:b w:val="0"/>
          <w:color w:val="auto"/>
          <w:sz w:val="21"/>
          <w:szCs w:val="21"/>
          <w:highlight w:val="none"/>
        </w:rPr>
        <w:t>.2监理人员</w:t>
      </w:r>
      <w:bookmarkEnd w:id="246"/>
    </w:p>
    <w:bookmarkEnd w:id="247"/>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pPr>
        <w:pStyle w:val="8"/>
        <w:spacing w:before="0" w:after="0" w:line="288" w:lineRule="auto"/>
        <w:ind w:firstLine="420"/>
        <w:rPr>
          <w:rFonts w:cs="宋体"/>
          <w:b w:val="0"/>
          <w:color w:val="auto"/>
          <w:sz w:val="21"/>
          <w:szCs w:val="21"/>
          <w:highlight w:val="none"/>
        </w:rPr>
      </w:pPr>
      <w:bookmarkStart w:id="248" w:name="_Toc351203530"/>
      <w:r>
        <w:rPr>
          <w:rFonts w:hint="eastAsia" w:cs="宋体"/>
          <w:b w:val="0"/>
          <w:color w:val="auto"/>
          <w:sz w:val="21"/>
          <w:szCs w:val="21"/>
          <w:highlight w:val="none"/>
        </w:rPr>
        <w:t>4</w:t>
      </w:r>
      <w:bookmarkStart w:id="249" w:name="_Toc296503055"/>
      <w:bookmarkStart w:id="250" w:name="_Toc296346556"/>
      <w:bookmarkStart w:id="251" w:name="_Toc337558756"/>
      <w:r>
        <w:rPr>
          <w:rFonts w:hint="eastAsia" w:cs="宋体"/>
          <w:b w:val="0"/>
          <w:color w:val="auto"/>
          <w:sz w:val="21"/>
          <w:szCs w:val="21"/>
          <w:highlight w:val="none"/>
        </w:rPr>
        <w:t>.3</w:t>
      </w:r>
      <w:bookmarkEnd w:id="249"/>
      <w:bookmarkEnd w:id="250"/>
      <w:r>
        <w:rPr>
          <w:rFonts w:hint="eastAsia" w:cs="宋体"/>
          <w:b w:val="0"/>
          <w:color w:val="auto"/>
          <w:sz w:val="21"/>
          <w:szCs w:val="21"/>
          <w:highlight w:val="none"/>
        </w:rPr>
        <w:t>监理人的指</w:t>
      </w:r>
      <w:bookmarkEnd w:id="251"/>
      <w:r>
        <w:rPr>
          <w:rFonts w:hint="eastAsia" w:cs="宋体"/>
          <w:b w:val="0"/>
          <w:color w:val="auto"/>
          <w:sz w:val="21"/>
          <w:szCs w:val="21"/>
          <w:highlight w:val="none"/>
        </w:rPr>
        <w:t>示</w:t>
      </w:r>
      <w:bookmarkEnd w:id="248"/>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承包人对监理人发出的指示有疑问的，应向监理人提出书面异议，监理人应在48小时内对该指示予以确认、更改或撤销，监理人逾期未回复的，承包人有权拒绝执行上述指示。</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监理人对承包人的任何工作、工程或其采用的材料和工程设备未在约定的或合理期限内提出意见的，视为批准，但不免除或减轻承包人对该工作、工程、材料、工程设备等应承担的责任和义务。</w:t>
      </w:r>
    </w:p>
    <w:p>
      <w:pPr>
        <w:pStyle w:val="7"/>
        <w:spacing w:line="288" w:lineRule="auto"/>
        <w:ind w:firstLine="420"/>
        <w:rPr>
          <w:rFonts w:ascii="宋体" w:hAnsi="宋体" w:cs="宋体"/>
          <w:b w:val="0"/>
          <w:color w:val="auto"/>
          <w:szCs w:val="21"/>
          <w:highlight w:val="none"/>
        </w:rPr>
      </w:pPr>
      <w:bookmarkStart w:id="252" w:name="_Toc351203531"/>
      <w:r>
        <w:rPr>
          <w:rFonts w:hint="eastAsia" w:ascii="宋体" w:hAnsi="宋体" w:cs="宋体"/>
          <w:b w:val="0"/>
          <w:color w:val="auto"/>
          <w:szCs w:val="21"/>
          <w:highlight w:val="none"/>
        </w:rPr>
        <w:t>4</w:t>
      </w:r>
      <w:bookmarkStart w:id="253" w:name="_Toc337558757"/>
      <w:bookmarkStart w:id="254" w:name="_Toc296503057"/>
      <w:bookmarkStart w:id="255" w:name="_Toc296346558"/>
      <w:r>
        <w:rPr>
          <w:rFonts w:hint="eastAsia" w:ascii="宋体" w:hAnsi="宋体" w:cs="宋体"/>
          <w:b w:val="0"/>
          <w:color w:val="auto"/>
          <w:szCs w:val="21"/>
          <w:highlight w:val="none"/>
        </w:rPr>
        <w:t>.4 商定或确定</w:t>
      </w:r>
      <w:bookmarkEnd w:id="252"/>
    </w:p>
    <w:bookmarkEnd w:id="253"/>
    <w:bookmarkEnd w:id="254"/>
    <w:bookmarkEnd w:id="255"/>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合同当事人进行商定或确定时，总监理工程师应当会同合同当事人尽量通过协商达成一致，不能达成一致的，由总监理工程师按照合同约定审慎做出公正的确定。</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pPr>
        <w:pStyle w:val="7"/>
        <w:spacing w:line="288" w:lineRule="auto"/>
        <w:ind w:firstLine="420"/>
        <w:rPr>
          <w:rFonts w:ascii="宋体" w:hAnsi="宋体" w:cs="宋体"/>
          <w:b w:val="0"/>
          <w:color w:val="auto"/>
          <w:szCs w:val="21"/>
          <w:highlight w:val="none"/>
        </w:rPr>
      </w:pPr>
      <w:bookmarkStart w:id="256" w:name="_Toc351203532"/>
      <w:r>
        <w:rPr>
          <w:rFonts w:hint="eastAsia" w:ascii="宋体" w:hAnsi="宋体" w:cs="宋体"/>
          <w:b w:val="0"/>
          <w:color w:val="auto"/>
          <w:szCs w:val="21"/>
          <w:highlight w:val="none"/>
        </w:rPr>
        <w:t>5</w:t>
      </w:r>
      <w:bookmarkStart w:id="257" w:name="_Toc337558758"/>
      <w:r>
        <w:rPr>
          <w:rFonts w:hint="eastAsia" w:ascii="宋体" w:hAnsi="宋体" w:cs="宋体"/>
          <w:b w:val="0"/>
          <w:color w:val="auto"/>
          <w:szCs w:val="21"/>
          <w:highlight w:val="none"/>
        </w:rPr>
        <w:t>. 工程质量</w:t>
      </w:r>
      <w:bookmarkEnd w:id="256"/>
    </w:p>
    <w:bookmarkEnd w:id="257"/>
    <w:p>
      <w:pPr>
        <w:pStyle w:val="8"/>
        <w:spacing w:before="0" w:after="0" w:line="288" w:lineRule="auto"/>
        <w:ind w:firstLine="420"/>
        <w:rPr>
          <w:rFonts w:cs="宋体"/>
          <w:b w:val="0"/>
          <w:color w:val="auto"/>
          <w:sz w:val="21"/>
          <w:szCs w:val="21"/>
          <w:highlight w:val="none"/>
        </w:rPr>
      </w:pPr>
      <w:bookmarkStart w:id="258" w:name="_Toc351203533"/>
      <w:r>
        <w:rPr>
          <w:rFonts w:hint="eastAsia" w:cs="宋体"/>
          <w:b w:val="0"/>
          <w:color w:val="auto"/>
          <w:sz w:val="21"/>
          <w:szCs w:val="21"/>
          <w:highlight w:val="none"/>
        </w:rPr>
        <w:t>5</w:t>
      </w:r>
      <w:bookmarkStart w:id="259" w:name="_Toc337558759"/>
      <w:r>
        <w:rPr>
          <w:rFonts w:hint="eastAsia" w:cs="宋体"/>
          <w:b w:val="0"/>
          <w:color w:val="auto"/>
          <w:sz w:val="21"/>
          <w:szCs w:val="21"/>
          <w:highlight w:val="none"/>
        </w:rPr>
        <w:t>.1质量要求</w:t>
      </w:r>
      <w:bookmarkEnd w:id="258"/>
    </w:p>
    <w:bookmarkEnd w:id="259"/>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5.1.1 工程质量标准必须符合现行国家有关工程施工质量验收规范和标准的要求。有关工程质量的特殊标准或要求由合同当事人在专用合同条款中约定。</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5.1.2 因发包人原因造成工程质量未达到合同约定标准的，由发包人承担由此增加的费用和（或）延误的工期，并支付承包人合理的利润。</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5.1.3 因承包人原因造成工程质量未达到合同约定标准的，发包人有权要求承包人返工直至工程质量达到合同约定的标准为止，并由承包人承担由此增加的费用和（或）延误的工期。</w:t>
      </w:r>
    </w:p>
    <w:p>
      <w:pPr>
        <w:pStyle w:val="8"/>
        <w:spacing w:before="0" w:after="0" w:line="288" w:lineRule="auto"/>
        <w:ind w:firstLine="420"/>
        <w:rPr>
          <w:rFonts w:cs="宋体"/>
          <w:b w:val="0"/>
          <w:color w:val="auto"/>
          <w:sz w:val="21"/>
          <w:szCs w:val="21"/>
          <w:highlight w:val="none"/>
        </w:rPr>
      </w:pPr>
      <w:bookmarkStart w:id="260" w:name="_Toc351203534"/>
      <w:r>
        <w:rPr>
          <w:rFonts w:hint="eastAsia" w:cs="宋体"/>
          <w:b w:val="0"/>
          <w:color w:val="auto"/>
          <w:sz w:val="21"/>
          <w:szCs w:val="21"/>
          <w:highlight w:val="none"/>
        </w:rPr>
        <w:t>5</w:t>
      </w:r>
      <w:bookmarkStart w:id="261" w:name="_Toc337558760"/>
      <w:r>
        <w:rPr>
          <w:rFonts w:hint="eastAsia" w:cs="宋体"/>
          <w:b w:val="0"/>
          <w:color w:val="auto"/>
          <w:sz w:val="21"/>
          <w:szCs w:val="21"/>
          <w:highlight w:val="none"/>
        </w:rPr>
        <w:t>.2质量保证措施</w:t>
      </w:r>
      <w:bookmarkEnd w:id="260"/>
    </w:p>
    <w:bookmarkEnd w:id="261"/>
    <w:p>
      <w:pPr>
        <w:autoSpaceDE w:val="0"/>
        <w:autoSpaceDN w:val="0"/>
        <w:adjustRightInd w:val="0"/>
        <w:spacing w:line="288" w:lineRule="auto"/>
        <w:ind w:firstLine="420"/>
        <w:jc w:val="left"/>
        <w:outlineLvl w:val="0"/>
        <w:rPr>
          <w:rFonts w:cs="宋体"/>
          <w:color w:val="auto"/>
          <w:kern w:val="0"/>
          <w:szCs w:val="21"/>
          <w:highlight w:val="none"/>
        </w:rPr>
      </w:pPr>
      <w:r>
        <w:rPr>
          <w:rFonts w:hint="eastAsia" w:cs="宋体"/>
          <w:color w:val="auto"/>
          <w:kern w:val="0"/>
          <w:szCs w:val="21"/>
          <w:highlight w:val="none"/>
        </w:rPr>
        <w:t>5.2.1 发包人的质量管理</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发包人应按照法律规定及合同约定完成与工程质量有关的各项工作。</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5.2.2 承包人的质量管理</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承包人应对施工人员进行质量教育和技术培训，定期考核施工人员的劳动技能，严格执行施工规范和操作规程。</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pPr>
        <w:autoSpaceDE w:val="0"/>
        <w:autoSpaceDN w:val="0"/>
        <w:adjustRightInd w:val="0"/>
        <w:spacing w:line="288" w:lineRule="auto"/>
        <w:ind w:firstLine="420"/>
        <w:jc w:val="left"/>
        <w:outlineLvl w:val="0"/>
        <w:rPr>
          <w:rFonts w:cs="宋体"/>
          <w:color w:val="auto"/>
          <w:kern w:val="0"/>
          <w:szCs w:val="21"/>
          <w:highlight w:val="none"/>
        </w:rPr>
      </w:pPr>
      <w:r>
        <w:rPr>
          <w:rFonts w:hint="eastAsia" w:cs="宋体"/>
          <w:color w:val="auto"/>
          <w:kern w:val="0"/>
          <w:szCs w:val="21"/>
          <w:highlight w:val="none"/>
        </w:rPr>
        <w:t>5.2.3 监理人的质量检查和检验</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pPr>
        <w:pStyle w:val="8"/>
        <w:spacing w:before="0" w:after="0" w:line="288" w:lineRule="auto"/>
        <w:ind w:firstLine="420"/>
        <w:rPr>
          <w:rFonts w:cs="宋体"/>
          <w:b w:val="0"/>
          <w:color w:val="auto"/>
          <w:sz w:val="21"/>
          <w:szCs w:val="21"/>
          <w:highlight w:val="none"/>
        </w:rPr>
      </w:pPr>
      <w:bookmarkStart w:id="262" w:name="_Toc351203535"/>
      <w:r>
        <w:rPr>
          <w:rFonts w:hint="eastAsia" w:cs="宋体"/>
          <w:b w:val="0"/>
          <w:color w:val="auto"/>
          <w:sz w:val="21"/>
          <w:szCs w:val="21"/>
          <w:highlight w:val="none"/>
        </w:rPr>
        <w:t>5</w:t>
      </w:r>
      <w:bookmarkStart w:id="263" w:name="_Toc337558761"/>
      <w:r>
        <w:rPr>
          <w:rFonts w:hint="eastAsia" w:cs="宋体"/>
          <w:b w:val="0"/>
          <w:color w:val="auto"/>
          <w:sz w:val="21"/>
          <w:szCs w:val="21"/>
          <w:highlight w:val="none"/>
        </w:rPr>
        <w:t>.3 隐蔽工程检查</w:t>
      </w:r>
      <w:bookmarkEnd w:id="262"/>
    </w:p>
    <w:bookmarkEnd w:id="263"/>
    <w:p>
      <w:pPr>
        <w:spacing w:line="288" w:lineRule="auto"/>
        <w:ind w:firstLine="420"/>
        <w:jc w:val="left"/>
        <w:rPr>
          <w:rFonts w:cs="宋体"/>
          <w:color w:val="auto"/>
          <w:kern w:val="0"/>
          <w:szCs w:val="21"/>
          <w:highlight w:val="none"/>
        </w:rPr>
      </w:pPr>
      <w:r>
        <w:rPr>
          <w:rFonts w:hint="eastAsia" w:cs="宋体"/>
          <w:color w:val="auto"/>
          <w:kern w:val="0"/>
          <w:szCs w:val="21"/>
          <w:highlight w:val="none"/>
        </w:rPr>
        <w:t>5.3.1承包人自检</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承包人应当对工程隐蔽部位进行自检，并经自检确认是否具备覆盖条件。</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5.3.2检查程序</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5.3.3 重新检查</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5.3.4 承包人私自覆盖</w:t>
      </w:r>
    </w:p>
    <w:p>
      <w:pPr>
        <w:spacing w:line="288" w:lineRule="auto"/>
        <w:ind w:firstLine="420"/>
        <w:jc w:val="left"/>
        <w:rPr>
          <w:rFonts w:cs="宋体"/>
          <w:color w:val="auto"/>
          <w:szCs w:val="21"/>
          <w:highlight w:val="none"/>
        </w:rPr>
      </w:pPr>
      <w:r>
        <w:rPr>
          <w:rFonts w:hint="eastAsia" w:cs="宋体"/>
          <w:color w:val="auto"/>
          <w:kern w:val="0"/>
          <w:szCs w:val="21"/>
          <w:highlight w:val="none"/>
        </w:rPr>
        <w:t>承包人未通知监理人到场检查，私自将工程隐蔽部位覆盖的，监理人有权指示承包人钻孔探测或揭开检查，无论工程隐蔽部位质量是否合格，由此增加的费用和（或）延误的工期均由承包人承担。</w:t>
      </w:r>
    </w:p>
    <w:p>
      <w:pPr>
        <w:pStyle w:val="8"/>
        <w:spacing w:before="0" w:after="0" w:line="288" w:lineRule="auto"/>
        <w:ind w:firstLine="420"/>
        <w:rPr>
          <w:rFonts w:cs="宋体"/>
          <w:b w:val="0"/>
          <w:color w:val="auto"/>
          <w:sz w:val="21"/>
          <w:szCs w:val="21"/>
          <w:highlight w:val="none"/>
        </w:rPr>
      </w:pPr>
      <w:bookmarkStart w:id="264" w:name="_Toc351203536"/>
      <w:r>
        <w:rPr>
          <w:rFonts w:hint="eastAsia" w:cs="宋体"/>
          <w:b w:val="0"/>
          <w:color w:val="auto"/>
          <w:sz w:val="21"/>
          <w:szCs w:val="21"/>
          <w:highlight w:val="none"/>
        </w:rPr>
        <w:t>5</w:t>
      </w:r>
      <w:bookmarkStart w:id="265" w:name="_Toc337558762"/>
      <w:r>
        <w:rPr>
          <w:rFonts w:hint="eastAsia" w:cs="宋体"/>
          <w:b w:val="0"/>
          <w:color w:val="auto"/>
          <w:sz w:val="21"/>
          <w:szCs w:val="21"/>
          <w:highlight w:val="none"/>
        </w:rPr>
        <w:t>.4不合格工程的处理</w:t>
      </w:r>
      <w:bookmarkEnd w:id="264"/>
    </w:p>
    <w:bookmarkEnd w:id="265"/>
    <w:p>
      <w:pPr>
        <w:spacing w:line="288" w:lineRule="auto"/>
        <w:ind w:firstLine="420"/>
        <w:jc w:val="left"/>
        <w:rPr>
          <w:rFonts w:cs="宋体"/>
          <w:color w:val="auto"/>
          <w:kern w:val="0"/>
          <w:szCs w:val="21"/>
          <w:highlight w:val="none"/>
        </w:rPr>
      </w:pPr>
      <w:r>
        <w:rPr>
          <w:rFonts w:hint="eastAsia" w:cs="宋体"/>
          <w:color w:val="auto"/>
          <w:kern w:val="0"/>
          <w:szCs w:val="21"/>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5.4.2 因发包人原因造成工程不合格的，由此增加的费用和（或）延误的工期由发包人承担，并支付承包人合理的利润。</w:t>
      </w:r>
    </w:p>
    <w:p>
      <w:pPr>
        <w:pStyle w:val="8"/>
        <w:spacing w:before="0" w:after="0" w:line="288" w:lineRule="auto"/>
        <w:ind w:firstLine="420"/>
        <w:rPr>
          <w:rFonts w:cs="宋体"/>
          <w:b w:val="0"/>
          <w:color w:val="auto"/>
          <w:sz w:val="21"/>
          <w:szCs w:val="21"/>
          <w:highlight w:val="none"/>
        </w:rPr>
      </w:pPr>
      <w:bookmarkStart w:id="266" w:name="_Toc351203537"/>
      <w:r>
        <w:rPr>
          <w:rFonts w:hint="eastAsia" w:cs="宋体"/>
          <w:b w:val="0"/>
          <w:color w:val="auto"/>
          <w:sz w:val="21"/>
          <w:szCs w:val="21"/>
          <w:highlight w:val="none"/>
        </w:rPr>
        <w:t>5.5 质量争议检测</w:t>
      </w:r>
      <w:bookmarkEnd w:id="266"/>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合同当事人对工程质量有争议的，由双方协商确定的工程质量检测机构鉴定，由此产生的费用及因此造成的损失，由责任方承担。</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合同当事人均有责任的，由双方根据其责任分别承担。合同当事人无法达成一致的，按照第4.4款〔商定或确定〕执行。</w:t>
      </w:r>
    </w:p>
    <w:p>
      <w:pPr>
        <w:pStyle w:val="7"/>
        <w:spacing w:line="288" w:lineRule="auto"/>
        <w:ind w:firstLine="420"/>
        <w:rPr>
          <w:rFonts w:ascii="宋体" w:hAnsi="宋体" w:cs="宋体"/>
          <w:b w:val="0"/>
          <w:color w:val="auto"/>
          <w:szCs w:val="21"/>
          <w:highlight w:val="none"/>
        </w:rPr>
      </w:pPr>
      <w:bookmarkStart w:id="267" w:name="_Toc351203538"/>
      <w:r>
        <w:rPr>
          <w:rFonts w:hint="eastAsia" w:ascii="宋体" w:hAnsi="宋体" w:cs="宋体"/>
          <w:b w:val="0"/>
          <w:color w:val="auto"/>
          <w:szCs w:val="21"/>
          <w:highlight w:val="none"/>
        </w:rPr>
        <w:t>6</w:t>
      </w:r>
      <w:bookmarkStart w:id="268" w:name="_Toc337558763"/>
      <w:r>
        <w:rPr>
          <w:rFonts w:hint="eastAsia" w:ascii="宋体" w:hAnsi="宋体" w:cs="宋体"/>
          <w:b w:val="0"/>
          <w:color w:val="auto"/>
          <w:szCs w:val="21"/>
          <w:highlight w:val="none"/>
        </w:rPr>
        <w:t>. 安全文明施工与环境保护</w:t>
      </w:r>
      <w:bookmarkEnd w:id="267"/>
    </w:p>
    <w:bookmarkEnd w:id="268"/>
    <w:p>
      <w:pPr>
        <w:pStyle w:val="8"/>
        <w:spacing w:before="0" w:after="0" w:line="288" w:lineRule="auto"/>
        <w:ind w:firstLine="420"/>
        <w:rPr>
          <w:rFonts w:cs="宋体"/>
          <w:b w:val="0"/>
          <w:color w:val="auto"/>
          <w:sz w:val="21"/>
          <w:szCs w:val="21"/>
          <w:highlight w:val="none"/>
        </w:rPr>
      </w:pPr>
      <w:bookmarkStart w:id="269" w:name="_Toc351203539"/>
      <w:r>
        <w:rPr>
          <w:rFonts w:hint="eastAsia" w:cs="宋体"/>
          <w:b w:val="0"/>
          <w:color w:val="auto"/>
          <w:sz w:val="21"/>
          <w:szCs w:val="21"/>
          <w:highlight w:val="none"/>
        </w:rPr>
        <w:t>6</w:t>
      </w:r>
      <w:bookmarkStart w:id="270" w:name="_Toc337558764"/>
      <w:r>
        <w:rPr>
          <w:rFonts w:hint="eastAsia" w:cs="宋体"/>
          <w:b w:val="0"/>
          <w:color w:val="auto"/>
          <w:sz w:val="21"/>
          <w:szCs w:val="21"/>
          <w:highlight w:val="none"/>
        </w:rPr>
        <w:t>.1安全文明施工</w:t>
      </w:r>
      <w:bookmarkEnd w:id="269"/>
    </w:p>
    <w:bookmarkEnd w:id="270"/>
    <w:p>
      <w:pPr>
        <w:spacing w:line="288" w:lineRule="auto"/>
        <w:ind w:firstLine="420"/>
        <w:rPr>
          <w:rFonts w:cs="宋体"/>
          <w:color w:val="auto"/>
          <w:szCs w:val="21"/>
          <w:highlight w:val="none"/>
        </w:rPr>
      </w:pPr>
      <w:r>
        <w:rPr>
          <w:rFonts w:hint="eastAsia" w:cs="宋体"/>
          <w:color w:val="auto"/>
          <w:szCs w:val="21"/>
          <w:highlight w:val="none"/>
        </w:rPr>
        <w:t>6.1.1安全生产要求</w:t>
      </w:r>
    </w:p>
    <w:p>
      <w:pPr>
        <w:spacing w:line="288" w:lineRule="auto"/>
        <w:ind w:firstLine="420"/>
        <w:rPr>
          <w:rFonts w:cs="宋体"/>
          <w:color w:val="auto"/>
          <w:szCs w:val="21"/>
          <w:highlight w:val="none"/>
        </w:rPr>
      </w:pPr>
      <w:r>
        <w:rPr>
          <w:rFonts w:hint="eastAsia" w:cs="宋体"/>
          <w:color w:val="auto"/>
          <w:szCs w:val="21"/>
          <w:highlight w:val="none"/>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pPr>
        <w:spacing w:line="288" w:lineRule="auto"/>
        <w:ind w:firstLine="420"/>
        <w:rPr>
          <w:rFonts w:cs="宋体"/>
          <w:color w:val="auto"/>
          <w:szCs w:val="21"/>
          <w:highlight w:val="none"/>
        </w:rPr>
      </w:pPr>
      <w:r>
        <w:rPr>
          <w:rFonts w:hint="eastAsia" w:cs="宋体"/>
          <w:color w:val="auto"/>
          <w:szCs w:val="21"/>
          <w:highlight w:val="none"/>
        </w:rPr>
        <w:t>在施工过程中，如遇到突发的地质变动、事先未知的地下施工障碍等影响施工安全的紧急情况，承包人应及时报告监理人和发包人，发包人应当及时下令停工并报</w:t>
      </w:r>
      <w:r>
        <w:rPr>
          <w:rFonts w:hint="eastAsia" w:cs="宋体"/>
          <w:color w:val="auto"/>
          <w:kern w:val="0"/>
          <w:szCs w:val="21"/>
          <w:highlight w:val="none"/>
        </w:rPr>
        <w:t>政府有关行政管理部门</w:t>
      </w:r>
      <w:r>
        <w:rPr>
          <w:rFonts w:hint="eastAsia" w:cs="宋体"/>
          <w:color w:val="auto"/>
          <w:szCs w:val="21"/>
          <w:highlight w:val="none"/>
        </w:rPr>
        <w:t>采取应急措施。</w:t>
      </w:r>
    </w:p>
    <w:p>
      <w:pPr>
        <w:spacing w:line="288" w:lineRule="auto"/>
        <w:ind w:firstLine="420"/>
        <w:rPr>
          <w:rFonts w:cs="宋体"/>
          <w:color w:val="auto"/>
          <w:szCs w:val="21"/>
          <w:highlight w:val="none"/>
        </w:rPr>
      </w:pPr>
      <w:r>
        <w:rPr>
          <w:rFonts w:hint="eastAsia" w:cs="宋体"/>
          <w:color w:val="auto"/>
          <w:szCs w:val="21"/>
          <w:highlight w:val="none"/>
        </w:rPr>
        <w:t>因安全生产需要暂停施工的，按照第7.8款〔暂停施工〕的约定执行。</w:t>
      </w:r>
    </w:p>
    <w:p>
      <w:pPr>
        <w:spacing w:line="288" w:lineRule="auto"/>
        <w:ind w:firstLine="420"/>
        <w:rPr>
          <w:rFonts w:cs="宋体"/>
          <w:color w:val="auto"/>
          <w:szCs w:val="21"/>
          <w:highlight w:val="none"/>
        </w:rPr>
      </w:pPr>
      <w:r>
        <w:rPr>
          <w:rFonts w:hint="eastAsia" w:cs="宋体"/>
          <w:color w:val="auto"/>
          <w:szCs w:val="21"/>
          <w:highlight w:val="none"/>
        </w:rPr>
        <w:t>6.1.2 安全生产保证措施</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szCs w:val="21"/>
          <w:highlight w:val="none"/>
        </w:rPr>
        <w:t>承包人应当按照有关</w:t>
      </w:r>
      <w:r>
        <w:rPr>
          <w:rFonts w:hint="eastAsia" w:cs="宋体"/>
          <w:color w:val="auto"/>
          <w:kern w:val="0"/>
          <w:szCs w:val="21"/>
          <w:highlight w:val="none"/>
        </w:rPr>
        <w:t>规定编制安全技术措施或者专项施工方案，</w:t>
      </w:r>
      <w:r>
        <w:rPr>
          <w:rFonts w:hint="eastAsia" w:cs="宋体"/>
          <w:color w:val="auto"/>
          <w:szCs w:val="21"/>
          <w:highlight w:val="none"/>
        </w:rPr>
        <w:t>建立安全生产责任制度、治安保卫制度及安全生产教育培训制度，并</w:t>
      </w:r>
      <w:r>
        <w:rPr>
          <w:rFonts w:hint="eastAsia" w:cs="宋体"/>
          <w:color w:val="auto"/>
          <w:kern w:val="0"/>
          <w:szCs w:val="21"/>
          <w:highlight w:val="none"/>
        </w:rPr>
        <w:t>按安全生产法律规定及合同约定履行安全职责，如实</w:t>
      </w:r>
      <w:r>
        <w:rPr>
          <w:rFonts w:hint="eastAsia" w:cs="宋体"/>
          <w:color w:val="auto"/>
          <w:szCs w:val="21"/>
          <w:highlight w:val="none"/>
        </w:rPr>
        <w:t>编制工程安全生产的有关记录，</w:t>
      </w:r>
      <w:r>
        <w:rPr>
          <w:rFonts w:hint="eastAsia" w:cs="宋体"/>
          <w:color w:val="auto"/>
          <w:kern w:val="0"/>
          <w:szCs w:val="21"/>
          <w:highlight w:val="none"/>
        </w:rPr>
        <w:t>接受发包人、监理人及政府安全监督部门的检查与监督。</w:t>
      </w:r>
    </w:p>
    <w:p>
      <w:pPr>
        <w:spacing w:line="288" w:lineRule="auto"/>
        <w:ind w:firstLine="420"/>
        <w:rPr>
          <w:rFonts w:cs="宋体"/>
          <w:color w:val="auto"/>
          <w:szCs w:val="21"/>
          <w:highlight w:val="none"/>
        </w:rPr>
      </w:pPr>
      <w:r>
        <w:rPr>
          <w:rFonts w:hint="eastAsia" w:cs="宋体"/>
          <w:color w:val="auto"/>
          <w:szCs w:val="21"/>
          <w:highlight w:val="none"/>
        </w:rPr>
        <w:t>6.1.3特别安全生产事项</w:t>
      </w:r>
    </w:p>
    <w:p>
      <w:pPr>
        <w:spacing w:line="288" w:lineRule="auto"/>
        <w:ind w:firstLine="420"/>
        <w:rPr>
          <w:rFonts w:cs="宋体"/>
          <w:color w:val="auto"/>
          <w:szCs w:val="21"/>
          <w:highlight w:val="none"/>
        </w:rPr>
      </w:pPr>
      <w:r>
        <w:rPr>
          <w:rFonts w:hint="eastAsia" w:cs="宋体"/>
          <w:color w:val="auto"/>
          <w:szCs w:val="21"/>
          <w:highlight w:val="none"/>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pPr>
        <w:spacing w:line="288" w:lineRule="auto"/>
        <w:ind w:firstLine="420"/>
        <w:rPr>
          <w:rFonts w:cs="宋体"/>
          <w:color w:val="auto"/>
          <w:szCs w:val="21"/>
          <w:highlight w:val="none"/>
        </w:rPr>
      </w:pPr>
      <w:r>
        <w:rPr>
          <w:rFonts w:hint="eastAsia" w:cs="宋体"/>
          <w:color w:val="auto"/>
          <w:szCs w:val="21"/>
          <w:highlight w:val="none"/>
        </w:rPr>
        <w:t xml:space="preserve">承包人在动力设备、输电线路、地下管道、密封防震车间、易燃易爆地段以及临街交通要道附近施工时，施工开始前应向发包人和监理人提出安全防护措施，经发包人认可后实施。 </w:t>
      </w:r>
    </w:p>
    <w:p>
      <w:pPr>
        <w:spacing w:line="288" w:lineRule="auto"/>
        <w:ind w:firstLine="420"/>
        <w:rPr>
          <w:rFonts w:cs="宋体"/>
          <w:color w:val="auto"/>
          <w:szCs w:val="21"/>
          <w:highlight w:val="none"/>
        </w:rPr>
      </w:pPr>
      <w:r>
        <w:rPr>
          <w:rFonts w:hint="eastAsia" w:cs="宋体"/>
          <w:color w:val="auto"/>
          <w:szCs w:val="21"/>
          <w:highlight w:val="none"/>
        </w:rPr>
        <w:t>实施爆破作业，在放射、毒害性环境中施工（含储存、运输、使用）及使用毒害性、腐蚀性物品施工时，承包人应在施工前7天以书面通知发包人和监理人，并报送相应的安全防护措施，经发包人认可后实施。</w:t>
      </w:r>
    </w:p>
    <w:p>
      <w:pPr>
        <w:spacing w:line="288" w:lineRule="auto"/>
        <w:ind w:firstLine="420"/>
        <w:rPr>
          <w:rFonts w:cs="宋体"/>
          <w:color w:val="auto"/>
          <w:szCs w:val="21"/>
          <w:highlight w:val="none"/>
        </w:rPr>
      </w:pPr>
      <w:r>
        <w:rPr>
          <w:rFonts w:hint="eastAsia" w:cs="宋体"/>
          <w:color w:val="auto"/>
          <w:szCs w:val="21"/>
          <w:highlight w:val="none"/>
        </w:rPr>
        <w:t>需单独编制危险性较大分部分项专项工程施工方案的，及要求进行专家论证的超过一定规模的危险性较大的分部分项工程，承包人应及时编制和组织论证。</w:t>
      </w:r>
    </w:p>
    <w:p>
      <w:pPr>
        <w:spacing w:line="288" w:lineRule="auto"/>
        <w:ind w:firstLine="420"/>
        <w:rPr>
          <w:rFonts w:cs="宋体"/>
          <w:color w:val="auto"/>
          <w:szCs w:val="21"/>
          <w:highlight w:val="none"/>
        </w:rPr>
      </w:pPr>
      <w:r>
        <w:rPr>
          <w:rFonts w:hint="eastAsia" w:cs="宋体"/>
          <w:color w:val="auto"/>
          <w:szCs w:val="21"/>
          <w:highlight w:val="none"/>
        </w:rPr>
        <w:t>6.1.4 治安保卫</w:t>
      </w:r>
    </w:p>
    <w:p>
      <w:pPr>
        <w:spacing w:line="288" w:lineRule="auto"/>
        <w:ind w:firstLine="420"/>
        <w:rPr>
          <w:rFonts w:cs="宋体"/>
          <w:color w:val="auto"/>
          <w:szCs w:val="21"/>
          <w:highlight w:val="none"/>
        </w:rPr>
      </w:pPr>
      <w:r>
        <w:rPr>
          <w:rFonts w:hint="eastAsia" w:cs="宋体"/>
          <w:color w:val="auto"/>
          <w:szCs w:val="21"/>
          <w:highlight w:val="none"/>
        </w:rPr>
        <w:t>除专用合同条款另有约定外，发包人应与当地公安部门协商，在现场建立治安管理机构或联防组织，统一管理施工场地的治安保卫事项，履行合同工程的治安保卫职责。</w:t>
      </w:r>
    </w:p>
    <w:p>
      <w:pPr>
        <w:spacing w:line="288" w:lineRule="auto"/>
        <w:ind w:firstLine="420"/>
        <w:rPr>
          <w:rFonts w:cs="宋体"/>
          <w:color w:val="auto"/>
          <w:szCs w:val="21"/>
          <w:highlight w:val="none"/>
        </w:rPr>
      </w:pPr>
      <w:r>
        <w:rPr>
          <w:rFonts w:hint="eastAsia" w:cs="宋体"/>
          <w:color w:val="auto"/>
          <w:szCs w:val="21"/>
          <w:highlight w:val="none"/>
        </w:rPr>
        <w:t>发包人和承包人除应协助现场治安管理机构或联防组织维护施工场地的社会治安外，还应做好包括生活区在内的各自管辖区的治安保卫工作。</w:t>
      </w:r>
    </w:p>
    <w:p>
      <w:pPr>
        <w:spacing w:line="288" w:lineRule="auto"/>
        <w:ind w:firstLine="420"/>
        <w:rPr>
          <w:rFonts w:cs="宋体"/>
          <w:color w:val="auto"/>
          <w:szCs w:val="21"/>
          <w:highlight w:val="none"/>
        </w:rPr>
      </w:pPr>
      <w:r>
        <w:rPr>
          <w:rFonts w:hint="eastAsia" w:cs="宋体"/>
          <w:color w:val="auto"/>
          <w:szCs w:val="21"/>
          <w:highlight w:val="none"/>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pPr>
        <w:spacing w:line="288" w:lineRule="auto"/>
        <w:ind w:firstLine="420"/>
        <w:rPr>
          <w:rFonts w:cs="宋体"/>
          <w:color w:val="auto"/>
          <w:kern w:val="0"/>
          <w:szCs w:val="21"/>
          <w:highlight w:val="none"/>
        </w:rPr>
      </w:pPr>
      <w:r>
        <w:rPr>
          <w:rFonts w:hint="eastAsia" w:cs="宋体"/>
          <w:color w:val="auto"/>
          <w:szCs w:val="21"/>
          <w:highlight w:val="none"/>
        </w:rPr>
        <w:t>6.1.5 文明施工</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承包人在工程施工期间，应当采取措施保持施工现场平整，物料堆放整齐。工程所在地有关政府行政管理部门有特殊要求的，按照其要求执行。合同当事人对文明施工有其他要求的，可以在专用合同条款中明确。</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pPr>
        <w:spacing w:line="288" w:lineRule="auto"/>
        <w:ind w:firstLine="420"/>
        <w:rPr>
          <w:rFonts w:cs="宋体"/>
          <w:color w:val="auto"/>
          <w:szCs w:val="21"/>
          <w:highlight w:val="none"/>
        </w:rPr>
      </w:pPr>
      <w:r>
        <w:rPr>
          <w:rFonts w:hint="eastAsia" w:cs="宋体"/>
          <w:color w:val="auto"/>
          <w:szCs w:val="21"/>
          <w:highlight w:val="none"/>
        </w:rPr>
        <w:t>6.1.6 安全文明施工费</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安全文明施工费由发包人承担，发包人不得以任何形式扣减该部分费用。因基准日期后合同所适用的法律或政府有关规定发生变化，增加的安全文明施工费由发包人承担。</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6.1.7 紧急情况处理</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6.1.8 事故处理</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6.1.9 安全生产责任</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6.1.9.1 发包人的安全责任</w:t>
      </w:r>
    </w:p>
    <w:p>
      <w:pPr>
        <w:spacing w:line="288" w:lineRule="auto"/>
        <w:ind w:firstLine="420"/>
        <w:rPr>
          <w:rFonts w:cs="宋体"/>
          <w:color w:val="auto"/>
          <w:szCs w:val="21"/>
          <w:highlight w:val="none"/>
        </w:rPr>
      </w:pPr>
      <w:r>
        <w:rPr>
          <w:rFonts w:hint="eastAsia" w:cs="宋体"/>
          <w:color w:val="auto"/>
          <w:szCs w:val="21"/>
          <w:highlight w:val="none"/>
        </w:rPr>
        <w:t>发包人应负责赔偿以下各种情况造成的损失：</w:t>
      </w:r>
    </w:p>
    <w:p>
      <w:pPr>
        <w:spacing w:line="288" w:lineRule="auto"/>
        <w:ind w:firstLine="420"/>
        <w:rPr>
          <w:rFonts w:cs="宋体"/>
          <w:color w:val="auto"/>
          <w:szCs w:val="21"/>
          <w:highlight w:val="none"/>
        </w:rPr>
      </w:pPr>
      <w:r>
        <w:rPr>
          <w:rFonts w:hint="eastAsia" w:cs="宋体"/>
          <w:color w:val="auto"/>
          <w:szCs w:val="21"/>
          <w:highlight w:val="none"/>
        </w:rPr>
        <w:t>（1）工程或工程的任何部分对土地的占用所造成的第三者财产损失；</w:t>
      </w:r>
    </w:p>
    <w:p>
      <w:pPr>
        <w:spacing w:line="288" w:lineRule="auto"/>
        <w:ind w:firstLine="420"/>
        <w:rPr>
          <w:rFonts w:cs="宋体"/>
          <w:color w:val="auto"/>
          <w:szCs w:val="21"/>
          <w:highlight w:val="none"/>
        </w:rPr>
      </w:pPr>
      <w:r>
        <w:rPr>
          <w:rFonts w:hint="eastAsia" w:cs="宋体"/>
          <w:color w:val="auto"/>
          <w:szCs w:val="21"/>
          <w:highlight w:val="none"/>
        </w:rPr>
        <w:t>（2）由于发包人原因在施工场地及其毗邻地带造成的第三者人身伤亡和财产损失；</w:t>
      </w:r>
    </w:p>
    <w:p>
      <w:pPr>
        <w:spacing w:line="288" w:lineRule="auto"/>
        <w:ind w:firstLine="420"/>
        <w:rPr>
          <w:rFonts w:cs="宋体"/>
          <w:color w:val="auto"/>
          <w:szCs w:val="21"/>
          <w:highlight w:val="none"/>
        </w:rPr>
      </w:pPr>
      <w:r>
        <w:rPr>
          <w:rFonts w:hint="eastAsia" w:cs="宋体"/>
          <w:color w:val="auto"/>
          <w:szCs w:val="21"/>
          <w:highlight w:val="none"/>
        </w:rPr>
        <w:t>（3）由于发包人原因对承包人、监理人造成的人员人身伤亡和财产损失；</w:t>
      </w:r>
    </w:p>
    <w:p>
      <w:pPr>
        <w:spacing w:line="288" w:lineRule="auto"/>
        <w:ind w:firstLine="420"/>
        <w:rPr>
          <w:rFonts w:cs="宋体"/>
          <w:color w:val="auto"/>
          <w:szCs w:val="21"/>
          <w:highlight w:val="none"/>
        </w:rPr>
      </w:pPr>
      <w:r>
        <w:rPr>
          <w:rFonts w:hint="eastAsia" w:cs="宋体"/>
          <w:color w:val="auto"/>
          <w:szCs w:val="21"/>
          <w:highlight w:val="none"/>
        </w:rPr>
        <w:t>（4）由于发包人原因造成的发包人自身人员的人身伤害以及财产损失。</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6.1.9.2 承包人的安全责任</w:t>
      </w:r>
    </w:p>
    <w:p>
      <w:pPr>
        <w:spacing w:line="288" w:lineRule="auto"/>
        <w:ind w:firstLine="420"/>
        <w:rPr>
          <w:rFonts w:cs="宋体"/>
          <w:color w:val="auto"/>
          <w:kern w:val="0"/>
          <w:szCs w:val="21"/>
          <w:highlight w:val="none"/>
        </w:rPr>
      </w:pPr>
      <w:r>
        <w:rPr>
          <w:rFonts w:hint="eastAsia" w:cs="宋体"/>
          <w:color w:val="auto"/>
          <w:szCs w:val="21"/>
          <w:highlight w:val="none"/>
        </w:rPr>
        <w:t>由于承包人原因在施工场地内及其毗邻地带造成的发包人、监理人以及第三者人员伤亡和财产损失，由承包人负责赔偿。</w:t>
      </w:r>
    </w:p>
    <w:p>
      <w:pPr>
        <w:pStyle w:val="8"/>
        <w:spacing w:before="0" w:after="0" w:line="288" w:lineRule="auto"/>
        <w:ind w:firstLine="420"/>
        <w:rPr>
          <w:rFonts w:cs="宋体"/>
          <w:b w:val="0"/>
          <w:color w:val="auto"/>
          <w:sz w:val="21"/>
          <w:szCs w:val="21"/>
          <w:highlight w:val="none"/>
        </w:rPr>
      </w:pPr>
      <w:bookmarkStart w:id="271" w:name="_Toc351203540"/>
      <w:r>
        <w:rPr>
          <w:rFonts w:hint="eastAsia" w:cs="宋体"/>
          <w:b w:val="0"/>
          <w:color w:val="auto"/>
          <w:sz w:val="21"/>
          <w:szCs w:val="21"/>
          <w:highlight w:val="none"/>
        </w:rPr>
        <w:t>6</w:t>
      </w:r>
      <w:bookmarkStart w:id="272" w:name="_Toc337558765"/>
      <w:r>
        <w:rPr>
          <w:rFonts w:hint="eastAsia" w:cs="宋体"/>
          <w:b w:val="0"/>
          <w:color w:val="auto"/>
          <w:sz w:val="21"/>
          <w:szCs w:val="21"/>
          <w:highlight w:val="none"/>
        </w:rPr>
        <w:t>.2 职业健康</w:t>
      </w:r>
      <w:bookmarkEnd w:id="271"/>
    </w:p>
    <w:bookmarkEnd w:id="272"/>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6.2.1 劳动保护</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承包人应按法律规定安排工作时间，保证其雇佣人员享有休息和休假的权利。因工程施工的特殊需要占用休假日或延长工作时间的，应不超过法律规定的限度，并按法律规定给予补休或付酬。</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6.2.2 生活条件</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pPr>
        <w:pStyle w:val="8"/>
        <w:spacing w:before="0" w:after="0" w:line="288" w:lineRule="auto"/>
        <w:ind w:firstLine="420"/>
        <w:rPr>
          <w:rFonts w:cs="宋体"/>
          <w:b w:val="0"/>
          <w:color w:val="auto"/>
          <w:sz w:val="21"/>
          <w:szCs w:val="21"/>
          <w:highlight w:val="none"/>
        </w:rPr>
      </w:pPr>
      <w:bookmarkStart w:id="273" w:name="_Toc351203541"/>
      <w:r>
        <w:rPr>
          <w:rFonts w:hint="eastAsia" w:cs="宋体"/>
          <w:b w:val="0"/>
          <w:color w:val="auto"/>
          <w:sz w:val="21"/>
          <w:szCs w:val="21"/>
          <w:highlight w:val="none"/>
        </w:rPr>
        <w:t>6</w:t>
      </w:r>
      <w:bookmarkStart w:id="274" w:name="_Toc337558766"/>
      <w:r>
        <w:rPr>
          <w:rFonts w:hint="eastAsia" w:cs="宋体"/>
          <w:b w:val="0"/>
          <w:color w:val="auto"/>
          <w:sz w:val="21"/>
          <w:szCs w:val="21"/>
          <w:highlight w:val="none"/>
        </w:rPr>
        <w:t>.3 环境保护</w:t>
      </w:r>
      <w:bookmarkEnd w:id="273"/>
    </w:p>
    <w:bookmarkEnd w:id="274"/>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承包人应在施工组织设计中列明环境保护的具体措施。在合同履行期间，承包人应采取合理措施保护施工现场环境。对施工作业过程中可能引起的大气、水、噪音以及固体废物污染采取具体可行的防范措施。</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承包人应当承担因其原因引起的环境污染侵权损害赔偿责任，因上述环境污染引起纠纷而导致暂停施工的，由此增加的费用和（或）延误的工期由承包人承担。</w:t>
      </w:r>
    </w:p>
    <w:p>
      <w:pPr>
        <w:pStyle w:val="7"/>
        <w:spacing w:line="288" w:lineRule="auto"/>
        <w:ind w:firstLine="420"/>
        <w:rPr>
          <w:rFonts w:ascii="宋体" w:hAnsi="宋体" w:cs="宋体"/>
          <w:b w:val="0"/>
          <w:color w:val="auto"/>
          <w:szCs w:val="21"/>
          <w:highlight w:val="none"/>
        </w:rPr>
      </w:pPr>
      <w:bookmarkStart w:id="275" w:name="_Toc351203542"/>
      <w:r>
        <w:rPr>
          <w:rFonts w:hint="eastAsia" w:ascii="宋体" w:hAnsi="宋体" w:cs="宋体"/>
          <w:b w:val="0"/>
          <w:color w:val="auto"/>
          <w:szCs w:val="21"/>
          <w:highlight w:val="none"/>
        </w:rPr>
        <w:t>7</w:t>
      </w:r>
      <w:bookmarkStart w:id="276" w:name="_Toc337558767"/>
      <w:r>
        <w:rPr>
          <w:rFonts w:hint="eastAsia" w:ascii="宋体" w:hAnsi="宋体" w:cs="宋体"/>
          <w:b w:val="0"/>
          <w:color w:val="auto"/>
          <w:szCs w:val="21"/>
          <w:highlight w:val="none"/>
        </w:rPr>
        <w:t>. 工期和进度</w:t>
      </w:r>
      <w:bookmarkEnd w:id="275"/>
    </w:p>
    <w:bookmarkEnd w:id="276"/>
    <w:p>
      <w:pPr>
        <w:pStyle w:val="8"/>
        <w:spacing w:before="0" w:after="0" w:line="288" w:lineRule="auto"/>
        <w:ind w:firstLine="420"/>
        <w:rPr>
          <w:rFonts w:cs="宋体"/>
          <w:b w:val="0"/>
          <w:color w:val="auto"/>
          <w:sz w:val="21"/>
          <w:szCs w:val="21"/>
          <w:highlight w:val="none"/>
        </w:rPr>
      </w:pPr>
      <w:bookmarkStart w:id="277" w:name="_Toc351203543"/>
      <w:r>
        <w:rPr>
          <w:rFonts w:hint="eastAsia" w:cs="宋体"/>
          <w:b w:val="0"/>
          <w:color w:val="auto"/>
          <w:sz w:val="21"/>
          <w:szCs w:val="21"/>
          <w:highlight w:val="none"/>
        </w:rPr>
        <w:t>7</w:t>
      </w:r>
      <w:bookmarkStart w:id="278" w:name="_Toc337558768"/>
      <w:bookmarkStart w:id="279" w:name="_Toc296503066"/>
      <w:bookmarkStart w:id="280" w:name="_Toc296346567"/>
      <w:r>
        <w:rPr>
          <w:rFonts w:hint="eastAsia" w:cs="宋体"/>
          <w:b w:val="0"/>
          <w:color w:val="auto"/>
          <w:sz w:val="21"/>
          <w:szCs w:val="21"/>
          <w:highlight w:val="none"/>
        </w:rPr>
        <w:t>.1施工组织设计</w:t>
      </w:r>
      <w:bookmarkEnd w:id="277"/>
    </w:p>
    <w:bookmarkEnd w:id="278"/>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szCs w:val="21"/>
          <w:highlight w:val="none"/>
        </w:rPr>
        <w:t xml:space="preserve">7.1.1 </w:t>
      </w:r>
      <w:r>
        <w:rPr>
          <w:rFonts w:hint="eastAsia" w:cs="宋体"/>
          <w:color w:val="auto"/>
          <w:kern w:val="0"/>
          <w:szCs w:val="21"/>
          <w:highlight w:val="none"/>
        </w:rPr>
        <w:t>施工组织设计的内容</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施工组织设计应包含以下内容：</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 xml:space="preserve">（1）施工方案； </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（2）施工现场平面布置图；</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 xml:space="preserve">（3）施工进度计划和保证措施； </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（4）劳动力及材料供应计划；</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（5）施工机械设备的选用；</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（6）质量保证体系及措施；</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（7）安全生产、文明施工措施；</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（8）环境保护、成本控制措施；</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（9）合同当事人约定的其他内容。</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szCs w:val="21"/>
          <w:highlight w:val="none"/>
        </w:rPr>
        <w:t xml:space="preserve">7.1.2 </w:t>
      </w:r>
      <w:r>
        <w:rPr>
          <w:rFonts w:hint="eastAsia" w:cs="宋体"/>
          <w:color w:val="auto"/>
          <w:kern w:val="0"/>
          <w:szCs w:val="21"/>
          <w:highlight w:val="none"/>
        </w:rPr>
        <w:t>施工组织设计的提交和修改</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施工进度计划的编制和修改按照第7.2款〔施工进度计划〕执行。</w:t>
      </w:r>
    </w:p>
    <w:p>
      <w:pPr>
        <w:pStyle w:val="8"/>
        <w:spacing w:before="0" w:after="0" w:line="288" w:lineRule="auto"/>
        <w:ind w:firstLine="420"/>
        <w:rPr>
          <w:rFonts w:cs="宋体"/>
          <w:b w:val="0"/>
          <w:color w:val="auto"/>
          <w:sz w:val="21"/>
          <w:szCs w:val="21"/>
          <w:highlight w:val="none"/>
        </w:rPr>
      </w:pPr>
      <w:bookmarkStart w:id="281" w:name="_Toc351203544"/>
      <w:r>
        <w:rPr>
          <w:rFonts w:hint="eastAsia" w:cs="宋体"/>
          <w:b w:val="0"/>
          <w:color w:val="auto"/>
          <w:sz w:val="21"/>
          <w:szCs w:val="21"/>
          <w:highlight w:val="none"/>
        </w:rPr>
        <w:t>7</w:t>
      </w:r>
      <w:bookmarkStart w:id="282" w:name="_Toc337558769"/>
      <w:r>
        <w:rPr>
          <w:rFonts w:hint="eastAsia" w:cs="宋体"/>
          <w:b w:val="0"/>
          <w:color w:val="auto"/>
          <w:sz w:val="21"/>
          <w:szCs w:val="21"/>
          <w:highlight w:val="none"/>
        </w:rPr>
        <w:t>.2 施工进度计划</w:t>
      </w:r>
      <w:bookmarkEnd w:id="281"/>
    </w:p>
    <w:bookmarkEnd w:id="282"/>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7.2.1 施工进度计划的编制</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szCs w:val="21"/>
          <w:highlight w:val="none"/>
        </w:rPr>
        <w:t>7.2.2 施工进度计划的修订</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pPr>
        <w:pStyle w:val="8"/>
        <w:spacing w:before="0" w:after="0" w:line="288" w:lineRule="auto"/>
        <w:ind w:firstLine="420"/>
        <w:rPr>
          <w:rFonts w:cs="宋体"/>
          <w:b w:val="0"/>
          <w:color w:val="auto"/>
          <w:sz w:val="21"/>
          <w:szCs w:val="21"/>
          <w:highlight w:val="none"/>
        </w:rPr>
      </w:pPr>
      <w:bookmarkStart w:id="283" w:name="_Toc351203545"/>
      <w:r>
        <w:rPr>
          <w:rFonts w:hint="eastAsia" w:cs="宋体"/>
          <w:b w:val="0"/>
          <w:color w:val="auto"/>
          <w:sz w:val="21"/>
          <w:szCs w:val="21"/>
          <w:highlight w:val="none"/>
        </w:rPr>
        <w:t>7</w:t>
      </w:r>
      <w:bookmarkStart w:id="284" w:name="_Toc337558770"/>
      <w:r>
        <w:rPr>
          <w:rFonts w:hint="eastAsia" w:cs="宋体"/>
          <w:b w:val="0"/>
          <w:color w:val="auto"/>
          <w:sz w:val="21"/>
          <w:szCs w:val="21"/>
          <w:highlight w:val="none"/>
        </w:rPr>
        <w:t>.3 开工</w:t>
      </w:r>
      <w:bookmarkEnd w:id="283"/>
    </w:p>
    <w:p>
      <w:pPr>
        <w:spacing w:line="288" w:lineRule="auto"/>
        <w:ind w:firstLine="420"/>
        <w:rPr>
          <w:rFonts w:cs="宋体"/>
          <w:color w:val="auto"/>
          <w:szCs w:val="21"/>
          <w:highlight w:val="none"/>
        </w:rPr>
      </w:pPr>
      <w:r>
        <w:rPr>
          <w:rFonts w:hint="eastAsia" w:cs="宋体"/>
          <w:color w:val="auto"/>
          <w:kern w:val="0"/>
          <w:szCs w:val="21"/>
          <w:highlight w:val="none"/>
        </w:rPr>
        <w:t>7.3.1 开工准备</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除专用合同条款另有约定外，合同当事人应按约定完成开工准备工作。</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7.3.2 开工通知</w:t>
      </w:r>
    </w:p>
    <w:bookmarkEnd w:id="284"/>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发包人应按照法律规定获得工程施工所需的许可。经发包人同意后，监理人发出的开工通知应符合法律规定。监理人应在计划开工日期7天前向承包人发出开工通知，工期自开工通知中载明的开工日期起算。</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pPr>
        <w:pStyle w:val="8"/>
        <w:spacing w:before="0" w:after="0" w:line="288" w:lineRule="auto"/>
        <w:ind w:firstLine="420"/>
        <w:rPr>
          <w:rFonts w:cs="宋体"/>
          <w:b w:val="0"/>
          <w:color w:val="auto"/>
          <w:sz w:val="21"/>
          <w:szCs w:val="21"/>
          <w:highlight w:val="none"/>
        </w:rPr>
      </w:pPr>
      <w:bookmarkStart w:id="285" w:name="_Toc351203546"/>
      <w:r>
        <w:rPr>
          <w:rFonts w:hint="eastAsia" w:cs="宋体"/>
          <w:b w:val="0"/>
          <w:color w:val="auto"/>
          <w:sz w:val="21"/>
          <w:szCs w:val="21"/>
          <w:highlight w:val="none"/>
        </w:rPr>
        <w:t>7.4测量放线</w:t>
      </w:r>
      <w:bookmarkEnd w:id="285"/>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7.4.2 承包人负责施工过程中的全部施工测量放线工作，并配置具有相应资质的人员、合格的仪器、设备和其他物品。承包人应矫正工程的位置、标高、尺寸或准线中出现的任何差错，并对工程各部分的定位负责。</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施工过程中对施工现场内水准点等测量标志物的保护工作由承包人负责。</w:t>
      </w:r>
      <w:bookmarkStart w:id="286" w:name="_Toc351203547"/>
    </w:p>
    <w:p>
      <w:pPr>
        <w:pStyle w:val="8"/>
        <w:spacing w:before="0" w:after="0" w:line="288" w:lineRule="auto"/>
        <w:ind w:firstLine="420"/>
        <w:rPr>
          <w:rFonts w:cs="宋体"/>
          <w:b w:val="0"/>
          <w:color w:val="auto"/>
          <w:sz w:val="21"/>
          <w:szCs w:val="21"/>
          <w:highlight w:val="none"/>
        </w:rPr>
      </w:pPr>
      <w:r>
        <w:rPr>
          <w:rFonts w:hint="eastAsia" w:cs="宋体"/>
          <w:b w:val="0"/>
          <w:color w:val="auto"/>
          <w:sz w:val="21"/>
          <w:szCs w:val="21"/>
          <w:highlight w:val="none"/>
        </w:rPr>
        <w:t>7</w:t>
      </w:r>
      <w:bookmarkEnd w:id="279"/>
      <w:bookmarkEnd w:id="280"/>
      <w:bookmarkStart w:id="287" w:name="_Toc296346574"/>
      <w:bookmarkStart w:id="288" w:name="_Toc296503073"/>
      <w:bookmarkStart w:id="289" w:name="_Toc337558772"/>
      <w:r>
        <w:rPr>
          <w:rFonts w:hint="eastAsia" w:cs="宋体"/>
          <w:b w:val="0"/>
          <w:color w:val="auto"/>
          <w:sz w:val="21"/>
          <w:szCs w:val="21"/>
          <w:highlight w:val="none"/>
        </w:rPr>
        <w:t>.5 工期延误</w:t>
      </w:r>
      <w:bookmarkEnd w:id="286"/>
    </w:p>
    <w:bookmarkEnd w:id="287"/>
    <w:bookmarkEnd w:id="288"/>
    <w:bookmarkEnd w:id="289"/>
    <w:p>
      <w:pPr>
        <w:spacing w:line="288" w:lineRule="auto"/>
        <w:ind w:firstLine="420"/>
        <w:jc w:val="left"/>
        <w:rPr>
          <w:rFonts w:cs="宋体"/>
          <w:color w:val="auto"/>
          <w:kern w:val="0"/>
          <w:szCs w:val="21"/>
          <w:highlight w:val="none"/>
        </w:rPr>
      </w:pPr>
      <w:r>
        <w:rPr>
          <w:rFonts w:hint="eastAsia" w:cs="宋体"/>
          <w:color w:val="auto"/>
          <w:kern w:val="0"/>
          <w:szCs w:val="21"/>
          <w:highlight w:val="none"/>
        </w:rPr>
        <w:t>7.5.1 因发包人原因导致工期延误</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 xml:space="preserve">在合同履行过程中，因下列情况导致工期延误和（或）费用增加的，由发包人承担由此延误的工期和（或）增加的费用，且发包人应支付承包人合理的利润： </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（1）发包人未能按合同约定提供图纸或所提供图纸不符合合同约定的；</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（2）发包人未能按合同约定提供施工现场、施工条件、基础资料、许可、批准等开工条件的；</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（3）发包人提供的测量基准点、基准线和水准点及其书面资料存在错误或疏漏的；</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（4）发包人未能在计划开工日期之日起7天内同意下达开工通知的；</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（5）发包人未能按合同约定日期支付工程预付款、进度款或竣工结算款的；</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（6）监理人未按合同约定发出指示、批准等文件的；</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（7）专用合同条款中约定的其他情形。</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pPr>
        <w:autoSpaceDE w:val="0"/>
        <w:autoSpaceDN w:val="0"/>
        <w:adjustRightInd w:val="0"/>
        <w:spacing w:line="288" w:lineRule="auto"/>
        <w:ind w:firstLine="420"/>
        <w:jc w:val="left"/>
        <w:rPr>
          <w:rFonts w:cs="宋体"/>
          <w:color w:val="auto"/>
          <w:szCs w:val="21"/>
          <w:highlight w:val="none"/>
        </w:rPr>
      </w:pPr>
      <w:r>
        <w:rPr>
          <w:rFonts w:hint="eastAsia" w:cs="宋体"/>
          <w:color w:val="auto"/>
          <w:kern w:val="0"/>
          <w:szCs w:val="21"/>
          <w:highlight w:val="none"/>
        </w:rPr>
        <w:t>7.5.2 因承包人原因导致工期延误</w:t>
      </w:r>
    </w:p>
    <w:p>
      <w:pPr>
        <w:autoSpaceDE w:val="0"/>
        <w:autoSpaceDN w:val="0"/>
        <w:adjustRightInd w:val="0"/>
        <w:spacing w:line="288" w:lineRule="auto"/>
        <w:ind w:firstLine="420"/>
        <w:jc w:val="left"/>
        <w:rPr>
          <w:rFonts w:cs="宋体"/>
          <w:color w:val="auto"/>
          <w:kern w:val="0"/>
          <w:szCs w:val="21"/>
          <w:highlight w:val="none"/>
        </w:rPr>
      </w:pPr>
      <w:bookmarkStart w:id="290" w:name="_Toc296346577"/>
      <w:bookmarkStart w:id="291" w:name="_Toc296503076"/>
      <w:r>
        <w:rPr>
          <w:rFonts w:hint="eastAsia" w:cs="宋体"/>
          <w:color w:val="auto"/>
          <w:kern w:val="0"/>
          <w:szCs w:val="21"/>
          <w:highlight w:val="none"/>
        </w:rPr>
        <w:t>因</w:t>
      </w:r>
      <w:bookmarkEnd w:id="290"/>
      <w:bookmarkEnd w:id="291"/>
      <w:r>
        <w:rPr>
          <w:rFonts w:hint="eastAsia" w:cs="宋体"/>
          <w:color w:val="auto"/>
          <w:kern w:val="0"/>
          <w:szCs w:val="21"/>
          <w:highlight w:val="none"/>
        </w:rPr>
        <w:t>承包人原因造成工期延误的，可以在专用合同条款中约定逾期竣工违约金的计算方法和逾期竣工违约金的上限。承包人支付逾期竣工违约金后，不免除承包人继续完成工程及修补缺陷的义务。</w:t>
      </w:r>
    </w:p>
    <w:p>
      <w:pPr>
        <w:pStyle w:val="8"/>
        <w:spacing w:before="0" w:after="0" w:line="288" w:lineRule="auto"/>
        <w:ind w:firstLine="420"/>
        <w:rPr>
          <w:rFonts w:cs="宋体"/>
          <w:b w:val="0"/>
          <w:color w:val="auto"/>
          <w:sz w:val="21"/>
          <w:szCs w:val="21"/>
          <w:highlight w:val="none"/>
        </w:rPr>
      </w:pPr>
      <w:bookmarkStart w:id="292" w:name="_Toc351203548"/>
      <w:r>
        <w:rPr>
          <w:rFonts w:hint="eastAsia" w:cs="宋体"/>
          <w:b w:val="0"/>
          <w:color w:val="auto"/>
          <w:sz w:val="21"/>
          <w:szCs w:val="21"/>
          <w:highlight w:val="none"/>
        </w:rPr>
        <w:t>7</w:t>
      </w:r>
      <w:bookmarkStart w:id="293" w:name="_Toc296503074"/>
      <w:bookmarkStart w:id="294" w:name="_Toc296346575"/>
      <w:bookmarkStart w:id="295" w:name="_Toc337558773"/>
      <w:bookmarkStart w:id="296" w:name="_Toc296346578"/>
      <w:bookmarkStart w:id="297" w:name="_Toc296503077"/>
      <w:r>
        <w:rPr>
          <w:rFonts w:hint="eastAsia" w:cs="宋体"/>
          <w:b w:val="0"/>
          <w:color w:val="auto"/>
          <w:sz w:val="21"/>
          <w:szCs w:val="21"/>
          <w:highlight w:val="none"/>
        </w:rPr>
        <w:t>.6 不利物质条件</w:t>
      </w:r>
      <w:bookmarkEnd w:id="292"/>
    </w:p>
    <w:bookmarkEnd w:id="293"/>
    <w:bookmarkEnd w:id="294"/>
    <w:bookmarkEnd w:id="295"/>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不利物质条件是指有经验的承包人在施工现场遇到的不可预见的自然物质条件、非自然的物质障碍和污染物，包括地表以下物质条件和水文条件以及专用合同条款约定的其他情形，但不包括气候条件。</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pPr>
        <w:pStyle w:val="8"/>
        <w:spacing w:before="0" w:after="0" w:line="288" w:lineRule="auto"/>
        <w:ind w:firstLine="420"/>
        <w:rPr>
          <w:rFonts w:cs="宋体"/>
          <w:b w:val="0"/>
          <w:color w:val="auto"/>
          <w:sz w:val="21"/>
          <w:szCs w:val="21"/>
          <w:highlight w:val="none"/>
        </w:rPr>
      </w:pPr>
      <w:bookmarkStart w:id="298" w:name="_Toc351203549"/>
      <w:r>
        <w:rPr>
          <w:rFonts w:hint="eastAsia" w:cs="宋体"/>
          <w:b w:val="0"/>
          <w:color w:val="auto"/>
          <w:sz w:val="21"/>
          <w:szCs w:val="21"/>
          <w:highlight w:val="none"/>
        </w:rPr>
        <w:t>7</w:t>
      </w:r>
      <w:bookmarkStart w:id="299" w:name="_Toc337558774"/>
      <w:bookmarkStart w:id="300" w:name="_Toc296346576"/>
      <w:bookmarkStart w:id="301" w:name="_Toc296503075"/>
      <w:r>
        <w:rPr>
          <w:rFonts w:hint="eastAsia" w:cs="宋体"/>
          <w:b w:val="0"/>
          <w:color w:val="auto"/>
          <w:sz w:val="21"/>
          <w:szCs w:val="21"/>
          <w:highlight w:val="none"/>
        </w:rPr>
        <w:t>.7 异常恶劣的气候条件</w:t>
      </w:r>
      <w:bookmarkEnd w:id="298"/>
    </w:p>
    <w:bookmarkEnd w:id="299"/>
    <w:bookmarkEnd w:id="300"/>
    <w:bookmarkEnd w:id="301"/>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302" w:name="_Toc351203550"/>
    </w:p>
    <w:p>
      <w:pPr>
        <w:autoSpaceDE w:val="0"/>
        <w:autoSpaceDN w:val="0"/>
        <w:adjustRightInd w:val="0"/>
        <w:spacing w:line="288" w:lineRule="auto"/>
        <w:ind w:firstLine="420"/>
        <w:jc w:val="left"/>
        <w:outlineLvl w:val="0"/>
        <w:rPr>
          <w:rFonts w:cs="宋体"/>
          <w:bCs/>
          <w:color w:val="auto"/>
          <w:szCs w:val="21"/>
          <w:highlight w:val="none"/>
        </w:rPr>
      </w:pPr>
      <w:r>
        <w:rPr>
          <w:rFonts w:hint="eastAsia" w:cs="宋体"/>
          <w:bCs/>
          <w:color w:val="auto"/>
          <w:szCs w:val="21"/>
          <w:highlight w:val="none"/>
        </w:rPr>
        <w:t>7</w:t>
      </w:r>
      <w:bookmarkStart w:id="303" w:name="_Toc337558775"/>
      <w:r>
        <w:rPr>
          <w:rFonts w:hint="eastAsia" w:cs="宋体"/>
          <w:bCs/>
          <w:color w:val="auto"/>
          <w:szCs w:val="21"/>
          <w:highlight w:val="none"/>
        </w:rPr>
        <w:t>.8 暂停施工</w:t>
      </w:r>
      <w:bookmarkEnd w:id="302"/>
    </w:p>
    <w:bookmarkEnd w:id="296"/>
    <w:bookmarkEnd w:id="297"/>
    <w:bookmarkEnd w:id="303"/>
    <w:p>
      <w:pPr>
        <w:spacing w:line="288" w:lineRule="auto"/>
        <w:ind w:firstLine="420"/>
        <w:jc w:val="left"/>
        <w:rPr>
          <w:rFonts w:cs="宋体"/>
          <w:color w:val="auto"/>
          <w:kern w:val="0"/>
          <w:szCs w:val="21"/>
          <w:highlight w:val="none"/>
        </w:rPr>
      </w:pPr>
      <w:r>
        <w:rPr>
          <w:rFonts w:hint="eastAsia" w:cs="宋体"/>
          <w:color w:val="auto"/>
          <w:kern w:val="0"/>
          <w:szCs w:val="21"/>
          <w:highlight w:val="none"/>
        </w:rPr>
        <w:t>7.8.1发包人原因引起的暂停施工</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因发包人原因引起暂停施工的，监理人经发包人同意后，应及时下达暂停施工指示。情况紧急且监理人未及时下达暂停施工指示的，按照第7.8.4项〔紧急情况下的暂停施工〕执行。</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因发包人原因引起的暂停施工，发包人应承担由此增加的费用和（或）延误的工期，并支付承包人合理的利润。</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7.8.2 承包人原因引起的暂停施工</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7.8.3 指示暂停施工</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监理人认为有必要时，并经发包人批准后，可向承包人作出暂停施工的指示，承包人应按监理人指示暂停施工。</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7.8.4 紧急情况下的暂停施工</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7.8.5 暂停施工后的复工</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承包人无故拖延和拒绝复工的，承包人承担由此增加的费用和（或）延误的工期；因发包人原因无法按时复工的，按照第7.5.1项〔因发包人原因导致工期延误〕约定办理。</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7.8.6 暂停施工持续56天以上</w:t>
      </w:r>
    </w:p>
    <w:p>
      <w:pPr>
        <w:spacing w:line="288" w:lineRule="auto"/>
        <w:ind w:firstLine="409" w:firstLineChars="195"/>
        <w:jc w:val="left"/>
        <w:rPr>
          <w:rFonts w:cs="宋体"/>
          <w:color w:val="auto"/>
          <w:kern w:val="0"/>
          <w:szCs w:val="21"/>
          <w:highlight w:val="none"/>
        </w:rPr>
      </w:pPr>
      <w:r>
        <w:rPr>
          <w:rFonts w:hint="eastAsia" w:cs="宋体"/>
          <w:color w:val="auto"/>
          <w:kern w:val="0"/>
          <w:szCs w:val="21"/>
          <w:highlight w:val="none"/>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pPr>
        <w:spacing w:line="288" w:lineRule="auto"/>
        <w:ind w:firstLine="409" w:firstLineChars="195"/>
        <w:jc w:val="left"/>
        <w:rPr>
          <w:rFonts w:cs="宋体"/>
          <w:color w:val="auto"/>
          <w:kern w:val="0"/>
          <w:szCs w:val="21"/>
          <w:highlight w:val="none"/>
        </w:rPr>
      </w:pPr>
      <w:r>
        <w:rPr>
          <w:rFonts w:hint="eastAsia" w:cs="宋体"/>
          <w:color w:val="auto"/>
          <w:kern w:val="0"/>
          <w:szCs w:val="21"/>
          <w:highlight w:val="none"/>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pPr>
        <w:spacing w:line="288" w:lineRule="auto"/>
        <w:ind w:left="16" w:firstLine="409" w:firstLineChars="195"/>
        <w:jc w:val="left"/>
        <w:rPr>
          <w:rFonts w:cs="宋体"/>
          <w:color w:val="auto"/>
          <w:kern w:val="0"/>
          <w:szCs w:val="21"/>
          <w:highlight w:val="none"/>
        </w:rPr>
      </w:pPr>
      <w:r>
        <w:rPr>
          <w:rFonts w:hint="eastAsia" w:cs="宋体"/>
          <w:color w:val="auto"/>
          <w:kern w:val="0"/>
          <w:szCs w:val="21"/>
          <w:highlight w:val="none"/>
        </w:rPr>
        <w:t>7.8.7 暂停施工期间的工程照管</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暂停施工期间，承包人应负责妥善照管工程并提供安全保障，由此增加的费用由责任方承担。</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7.8.8 暂停施工的措施</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暂停施工期间，发包人和承包人均应采取必要的措施确保工程质量及安全，防止因暂停施工扩大损失。</w:t>
      </w:r>
    </w:p>
    <w:p>
      <w:pPr>
        <w:pStyle w:val="8"/>
        <w:spacing w:before="0" w:after="0" w:line="288" w:lineRule="auto"/>
        <w:ind w:firstLine="420"/>
        <w:rPr>
          <w:rFonts w:cs="宋体"/>
          <w:b w:val="0"/>
          <w:color w:val="auto"/>
          <w:sz w:val="21"/>
          <w:szCs w:val="21"/>
          <w:highlight w:val="none"/>
        </w:rPr>
      </w:pPr>
      <w:bookmarkStart w:id="304" w:name="_Toc351203551"/>
      <w:r>
        <w:rPr>
          <w:rFonts w:hint="eastAsia" w:cs="宋体"/>
          <w:b w:val="0"/>
          <w:color w:val="auto"/>
          <w:sz w:val="21"/>
          <w:szCs w:val="21"/>
          <w:highlight w:val="none"/>
        </w:rPr>
        <w:t>7.9提前竣工</w:t>
      </w:r>
      <w:bookmarkEnd w:id="304"/>
    </w:p>
    <w:p>
      <w:pPr>
        <w:spacing w:line="288" w:lineRule="auto"/>
        <w:ind w:firstLine="420"/>
        <w:jc w:val="left"/>
        <w:rPr>
          <w:rFonts w:cs="宋体"/>
          <w:color w:val="auto"/>
          <w:kern w:val="0"/>
          <w:szCs w:val="21"/>
          <w:highlight w:val="none"/>
        </w:rPr>
      </w:pPr>
      <w:r>
        <w:rPr>
          <w:rFonts w:hint="eastAsia" w:cs="宋体"/>
          <w:color w:val="auto"/>
          <w:kern w:val="0"/>
          <w:szCs w:val="21"/>
          <w:highlight w:val="none"/>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7.9.2 发包人要求承包人提前竣工，或承包人提出提前竣工的建议能够给发包人带来效益的，合同当事人可以在专用合同条款中约定提前竣工的奖励。</w:t>
      </w:r>
    </w:p>
    <w:p>
      <w:pPr>
        <w:pStyle w:val="7"/>
        <w:spacing w:line="288" w:lineRule="auto"/>
        <w:ind w:firstLine="420"/>
        <w:rPr>
          <w:rFonts w:ascii="宋体" w:hAnsi="宋体" w:cs="宋体"/>
          <w:b w:val="0"/>
          <w:color w:val="auto"/>
          <w:szCs w:val="21"/>
          <w:highlight w:val="none"/>
        </w:rPr>
      </w:pPr>
      <w:bookmarkStart w:id="305" w:name="_Toc351203552"/>
      <w:r>
        <w:rPr>
          <w:rFonts w:hint="eastAsia" w:ascii="宋体" w:hAnsi="宋体" w:cs="宋体"/>
          <w:b w:val="0"/>
          <w:color w:val="auto"/>
          <w:szCs w:val="21"/>
          <w:highlight w:val="none"/>
        </w:rPr>
        <w:t>8</w:t>
      </w:r>
      <w:bookmarkStart w:id="306" w:name="_Toc296346559"/>
      <w:bookmarkStart w:id="307" w:name="_Toc296503058"/>
      <w:bookmarkStart w:id="308" w:name="_Toc337558776"/>
      <w:r>
        <w:rPr>
          <w:rFonts w:hint="eastAsia" w:ascii="宋体" w:hAnsi="宋体" w:cs="宋体"/>
          <w:b w:val="0"/>
          <w:color w:val="auto"/>
          <w:szCs w:val="21"/>
          <w:highlight w:val="none"/>
        </w:rPr>
        <w:t>. 材料与设备</w:t>
      </w:r>
      <w:bookmarkEnd w:id="305"/>
    </w:p>
    <w:bookmarkEnd w:id="306"/>
    <w:bookmarkEnd w:id="307"/>
    <w:bookmarkEnd w:id="308"/>
    <w:p>
      <w:pPr>
        <w:pStyle w:val="8"/>
        <w:spacing w:before="0" w:after="0" w:line="288" w:lineRule="auto"/>
        <w:ind w:firstLine="420"/>
        <w:rPr>
          <w:rFonts w:cs="宋体"/>
          <w:b w:val="0"/>
          <w:color w:val="auto"/>
          <w:sz w:val="21"/>
          <w:szCs w:val="21"/>
          <w:highlight w:val="none"/>
        </w:rPr>
      </w:pPr>
      <w:bookmarkStart w:id="309" w:name="_Toc351203553"/>
      <w:r>
        <w:rPr>
          <w:rFonts w:hint="eastAsia" w:cs="宋体"/>
          <w:b w:val="0"/>
          <w:color w:val="auto"/>
          <w:sz w:val="21"/>
          <w:szCs w:val="21"/>
          <w:highlight w:val="none"/>
        </w:rPr>
        <w:t>8</w:t>
      </w:r>
      <w:bookmarkStart w:id="310" w:name="_Toc296346560"/>
      <w:bookmarkStart w:id="311" w:name="_Toc296503059"/>
      <w:bookmarkStart w:id="312" w:name="_Toc337558777"/>
      <w:bookmarkStart w:id="313" w:name="_Toc468936960"/>
      <w:r>
        <w:rPr>
          <w:rFonts w:hint="eastAsia" w:cs="宋体"/>
          <w:b w:val="0"/>
          <w:color w:val="auto"/>
          <w:sz w:val="21"/>
          <w:szCs w:val="21"/>
          <w:highlight w:val="none"/>
        </w:rPr>
        <w:t>.1发包人供应材料与工程设备</w:t>
      </w:r>
      <w:bookmarkEnd w:id="309"/>
    </w:p>
    <w:bookmarkEnd w:id="310"/>
    <w:bookmarkEnd w:id="311"/>
    <w:bookmarkEnd w:id="312"/>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发包人自行供应材料、工程设备的，应在签订合同时在专用合同条款的附件《发包人供应材料设备一览表》中明确材料、工程设备的品种、规格、型号、数量、单价、质量等级和送达地点。</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pPr>
        <w:pStyle w:val="8"/>
        <w:spacing w:before="0" w:after="0" w:line="288" w:lineRule="auto"/>
        <w:ind w:firstLine="420"/>
        <w:rPr>
          <w:rFonts w:cs="宋体"/>
          <w:color w:val="auto"/>
          <w:sz w:val="21"/>
          <w:szCs w:val="21"/>
          <w:highlight w:val="none"/>
        </w:rPr>
      </w:pPr>
      <w:bookmarkStart w:id="314" w:name="_Toc351203554"/>
      <w:r>
        <w:rPr>
          <w:rFonts w:hint="eastAsia" w:cs="宋体"/>
          <w:b w:val="0"/>
          <w:color w:val="auto"/>
          <w:sz w:val="21"/>
          <w:szCs w:val="21"/>
          <w:highlight w:val="none"/>
        </w:rPr>
        <w:t>8</w:t>
      </w:r>
      <w:bookmarkStart w:id="315" w:name="_Toc337558778"/>
      <w:bookmarkStart w:id="316" w:name="_Toc296503060"/>
      <w:bookmarkStart w:id="317" w:name="_Toc296346561"/>
      <w:r>
        <w:rPr>
          <w:rFonts w:hint="eastAsia" w:cs="宋体"/>
          <w:b w:val="0"/>
          <w:color w:val="auto"/>
          <w:sz w:val="21"/>
          <w:szCs w:val="21"/>
          <w:highlight w:val="none"/>
        </w:rPr>
        <w:t>.2承包人采购材料与工程设备</w:t>
      </w:r>
      <w:bookmarkEnd w:id="314"/>
    </w:p>
    <w:bookmarkEnd w:id="315"/>
    <w:bookmarkEnd w:id="316"/>
    <w:bookmarkEnd w:id="317"/>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pPr>
        <w:pStyle w:val="8"/>
        <w:spacing w:before="0" w:after="0" w:line="288" w:lineRule="auto"/>
        <w:ind w:firstLine="420"/>
        <w:rPr>
          <w:rFonts w:cs="宋体"/>
          <w:b w:val="0"/>
          <w:color w:val="auto"/>
          <w:sz w:val="21"/>
          <w:szCs w:val="21"/>
          <w:highlight w:val="none"/>
        </w:rPr>
      </w:pPr>
      <w:bookmarkStart w:id="318" w:name="_Toc351203555"/>
      <w:r>
        <w:rPr>
          <w:rFonts w:hint="eastAsia" w:cs="宋体"/>
          <w:b w:val="0"/>
          <w:color w:val="auto"/>
          <w:sz w:val="21"/>
          <w:szCs w:val="21"/>
          <w:highlight w:val="none"/>
        </w:rPr>
        <w:t>8</w:t>
      </w:r>
      <w:bookmarkStart w:id="319" w:name="_Toc337558779"/>
      <w:bookmarkStart w:id="320" w:name="_Toc296503061"/>
      <w:bookmarkStart w:id="321" w:name="_Toc296346562"/>
      <w:r>
        <w:rPr>
          <w:rFonts w:hint="eastAsia" w:cs="宋体"/>
          <w:b w:val="0"/>
          <w:color w:val="auto"/>
          <w:sz w:val="21"/>
          <w:szCs w:val="21"/>
          <w:highlight w:val="none"/>
        </w:rPr>
        <w:t>.3材料与工程设备的接收与拒收</w:t>
      </w:r>
      <w:bookmarkEnd w:id="318"/>
    </w:p>
    <w:bookmarkEnd w:id="319"/>
    <w:bookmarkEnd w:id="320"/>
    <w:bookmarkEnd w:id="321"/>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发包人提供的材料和工程设备的规格、数量或质量不符合合同约定的，或因发包人原因导致交货日期延误或交货地点变更等情况的，按照第16.1款〔发包人违约〕约定办理。</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8.3.2 承包人采购的材料和工程设备，应保证产品质量合格，承包人应在材料和工程设备到货前24小时通知监理人检验。承</w:t>
      </w:r>
      <w:bookmarkStart w:id="322" w:name="_Toc250655469"/>
      <w:r>
        <w:rPr>
          <w:rFonts w:hint="eastAsia" w:cs="宋体"/>
          <w:color w:val="auto"/>
          <w:kern w:val="0"/>
          <w:szCs w:val="21"/>
          <w:highlight w:val="none"/>
        </w:rPr>
        <w:t>包人进行永久设备、材料的制造和生产的，应符合相关质量标准，并向监理人提交材料的样本以及有关资料，并应在使用该材料或工程设备之前获得监理人同意。</w:t>
      </w:r>
    </w:p>
    <w:bookmarkEnd w:id="322"/>
    <w:p>
      <w:pPr>
        <w:autoSpaceDE w:val="0"/>
        <w:autoSpaceDN w:val="0"/>
        <w:adjustRightInd w:val="0"/>
        <w:spacing w:line="288" w:lineRule="auto"/>
        <w:ind w:firstLine="315" w:firstLineChars="150"/>
        <w:jc w:val="left"/>
        <w:rPr>
          <w:rFonts w:cs="宋体"/>
          <w:color w:val="auto"/>
          <w:kern w:val="0"/>
          <w:szCs w:val="21"/>
          <w:highlight w:val="none"/>
        </w:rPr>
      </w:pPr>
      <w:r>
        <w:rPr>
          <w:rFonts w:hint="eastAsia" w:cs="宋体"/>
          <w:color w:val="auto"/>
          <w:kern w:val="0"/>
          <w:szCs w:val="21"/>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pPr>
        <w:pStyle w:val="8"/>
        <w:spacing w:before="0" w:after="0" w:line="288" w:lineRule="auto"/>
        <w:ind w:firstLine="420"/>
        <w:rPr>
          <w:rFonts w:cs="宋体"/>
          <w:b w:val="0"/>
          <w:color w:val="auto"/>
          <w:sz w:val="21"/>
          <w:szCs w:val="21"/>
          <w:highlight w:val="none"/>
        </w:rPr>
      </w:pPr>
      <w:bookmarkStart w:id="323" w:name="_Toc351203556"/>
      <w:r>
        <w:rPr>
          <w:rFonts w:hint="eastAsia" w:cs="宋体"/>
          <w:b w:val="0"/>
          <w:color w:val="auto"/>
          <w:sz w:val="21"/>
          <w:szCs w:val="21"/>
          <w:highlight w:val="none"/>
        </w:rPr>
        <w:t>8</w:t>
      </w:r>
      <w:bookmarkStart w:id="324" w:name="_Toc296503062"/>
      <w:bookmarkStart w:id="325" w:name="_Toc296346563"/>
      <w:bookmarkStart w:id="326" w:name="_Toc337558780"/>
      <w:r>
        <w:rPr>
          <w:rFonts w:hint="eastAsia" w:cs="宋体"/>
          <w:b w:val="0"/>
          <w:color w:val="auto"/>
          <w:sz w:val="21"/>
          <w:szCs w:val="21"/>
          <w:highlight w:val="none"/>
        </w:rPr>
        <w:t>.4材料与工程设备的保管与使用</w:t>
      </w:r>
      <w:bookmarkEnd w:id="323"/>
    </w:p>
    <w:bookmarkEnd w:id="324"/>
    <w:bookmarkEnd w:id="325"/>
    <w:bookmarkEnd w:id="326"/>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8.4.1 发包人供应</w:t>
      </w:r>
      <w:r>
        <w:rPr>
          <w:rFonts w:hint="eastAsia" w:cs="宋体"/>
          <w:color w:val="auto"/>
          <w:szCs w:val="21"/>
          <w:highlight w:val="none"/>
        </w:rPr>
        <w:t>材料与</w:t>
      </w:r>
      <w:r>
        <w:rPr>
          <w:rFonts w:hint="eastAsia" w:cs="宋体"/>
          <w:color w:val="auto"/>
          <w:kern w:val="0"/>
          <w:szCs w:val="21"/>
          <w:highlight w:val="none"/>
        </w:rPr>
        <w:t>工程</w:t>
      </w:r>
      <w:r>
        <w:rPr>
          <w:rFonts w:hint="eastAsia" w:cs="宋体"/>
          <w:color w:val="auto"/>
          <w:szCs w:val="21"/>
          <w:highlight w:val="none"/>
        </w:rPr>
        <w:t>设备的保管与使用</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发包人供应的材料和工程设备使用前，由承包人负责检验，检验费用由发包人承担，不合格的不得使用。</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8.4.2 承包人采购</w:t>
      </w:r>
      <w:r>
        <w:rPr>
          <w:rFonts w:hint="eastAsia" w:cs="宋体"/>
          <w:color w:val="auto"/>
          <w:szCs w:val="21"/>
          <w:highlight w:val="none"/>
        </w:rPr>
        <w:t>材料与</w:t>
      </w:r>
      <w:r>
        <w:rPr>
          <w:rFonts w:hint="eastAsia" w:cs="宋体"/>
          <w:color w:val="auto"/>
          <w:kern w:val="0"/>
          <w:szCs w:val="21"/>
          <w:highlight w:val="none"/>
        </w:rPr>
        <w:t>工程</w:t>
      </w:r>
      <w:r>
        <w:rPr>
          <w:rFonts w:hint="eastAsia" w:cs="宋体"/>
          <w:color w:val="auto"/>
          <w:szCs w:val="21"/>
          <w:highlight w:val="none"/>
        </w:rPr>
        <w:t>设备的保管与使用</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发包人或监理人发现承包人使用不符合设计或有关标准要求的材料和工程设备时，有权要求承包人进行修复、拆除或重新采购，由此增加的费用和（或）延误的工期，由承包人承担。</w:t>
      </w:r>
    </w:p>
    <w:p>
      <w:pPr>
        <w:pStyle w:val="8"/>
        <w:spacing w:before="0" w:after="0" w:line="288" w:lineRule="auto"/>
        <w:ind w:firstLine="420"/>
        <w:rPr>
          <w:rFonts w:cs="宋体"/>
          <w:b w:val="0"/>
          <w:color w:val="auto"/>
          <w:sz w:val="21"/>
          <w:szCs w:val="21"/>
          <w:highlight w:val="none"/>
        </w:rPr>
      </w:pPr>
      <w:bookmarkStart w:id="327" w:name="_Toc351203557"/>
      <w:r>
        <w:rPr>
          <w:rFonts w:hint="eastAsia" w:cs="宋体"/>
          <w:b w:val="0"/>
          <w:color w:val="auto"/>
          <w:sz w:val="21"/>
          <w:szCs w:val="21"/>
          <w:highlight w:val="none"/>
        </w:rPr>
        <w:t>8.5禁止使用不合格的材料和工程设备</w:t>
      </w:r>
      <w:bookmarkEnd w:id="327"/>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8.5.1 监理人有权拒绝承包人提供的不合格材料或工程设备，并要求承包人立即进行更换。监理人应在更换后再次进行检查和检验，由此增加的费用和（或）延误的工期由承包人承担。</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8.5.2 监理人发现承包人使用了不合格的材料和工程设备，承包人应按照监理人的指示立即改正，并禁止在工程中继续使用不合格的材料和工程设备。</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8.5.3 发包人提供的材料或工程设备不符合合同要求的，承包人有权拒绝，并可要求发包人更换，由此增加的费用和（或）延误的工期由发包人承担，并支付承包人合理的利润。</w:t>
      </w:r>
    </w:p>
    <w:p>
      <w:pPr>
        <w:pStyle w:val="8"/>
        <w:spacing w:before="0" w:after="0" w:line="288" w:lineRule="auto"/>
        <w:ind w:firstLine="420"/>
        <w:rPr>
          <w:rFonts w:cs="宋体"/>
          <w:b w:val="0"/>
          <w:color w:val="auto"/>
          <w:sz w:val="21"/>
          <w:szCs w:val="21"/>
          <w:highlight w:val="none"/>
        </w:rPr>
      </w:pPr>
      <w:bookmarkStart w:id="328" w:name="_Toc351203558"/>
      <w:r>
        <w:rPr>
          <w:rFonts w:hint="eastAsia" w:cs="宋体"/>
          <w:b w:val="0"/>
          <w:color w:val="auto"/>
          <w:sz w:val="21"/>
          <w:szCs w:val="21"/>
          <w:highlight w:val="none"/>
        </w:rPr>
        <w:t>8.6 样品</w:t>
      </w:r>
      <w:bookmarkEnd w:id="328"/>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8.6.1</w:t>
      </w:r>
      <w:r>
        <w:rPr>
          <w:rFonts w:hint="eastAsia" w:cs="宋体"/>
          <w:color w:val="auto"/>
          <w:kern w:val="0"/>
          <w:szCs w:val="21"/>
          <w:highlight w:val="none"/>
        </w:rPr>
        <w:tab/>
      </w:r>
      <w:r>
        <w:rPr>
          <w:rFonts w:hint="eastAsia" w:cs="宋体"/>
          <w:color w:val="auto"/>
          <w:kern w:val="0"/>
          <w:szCs w:val="21"/>
          <w:highlight w:val="none"/>
        </w:rPr>
        <w:t>样品的报送与封存</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需要承包人报送样品的材料或工程设备，样品的种类、名称、规格、数量等要求均应在专用合同条款中约定。样品的报送程序如下：</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（3）经发包人和监理人审批确认的样品应按约定的方法封样，封存的样品作为检验工程相关部分的标准之一。承包人在施工过程中不得使用与样品不符的材料或工程设备。</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8.6.2 样品的保管</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经批准的样品应由监理人负责封存于现场，承包人应在现场为保存样品提供适当和固定的场所并保持适当和良好的存储环境条件。</w:t>
      </w:r>
    </w:p>
    <w:p>
      <w:pPr>
        <w:pStyle w:val="8"/>
        <w:spacing w:before="0" w:after="0" w:line="288" w:lineRule="auto"/>
        <w:ind w:firstLine="420"/>
        <w:rPr>
          <w:rFonts w:cs="宋体"/>
          <w:b w:val="0"/>
          <w:color w:val="auto"/>
          <w:sz w:val="21"/>
          <w:szCs w:val="21"/>
          <w:highlight w:val="none"/>
        </w:rPr>
      </w:pPr>
      <w:bookmarkStart w:id="329" w:name="_Toc351203559"/>
      <w:r>
        <w:rPr>
          <w:rFonts w:hint="eastAsia" w:cs="宋体"/>
          <w:b w:val="0"/>
          <w:color w:val="auto"/>
          <w:sz w:val="21"/>
          <w:szCs w:val="21"/>
          <w:highlight w:val="none"/>
        </w:rPr>
        <w:t>8.7材料与工程设备的替代</w:t>
      </w:r>
      <w:bookmarkEnd w:id="329"/>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8.7.1 出现下列情况需要使用替代材料和工程设备的，承包人应按照第8.7.2项约定的程序执行：</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（1）基准日期后生效的法律规定禁止使用的；</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（2）发包人要求使用替代品的；</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（3）因其他原因必须使用替代品的。</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8.7.2 承包人应在使用替代材料和工程设备28天前书面通知监理人，并附下列文件：</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（1）被替代的材料和工程设备的名称、数量、规格、型号、品牌、性能、价格及其他相关资料；</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（2）替代品的名称、数量、规格、型号、品牌、性能、价格及其他相关资料；</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（3）替代品与被替代产品之间的差异以及使用替代品可能对工程产生的影响；</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（4）替代品与被替代产品的价格差异；</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（5）使用替代品的理由和原因说明；</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（6）监理人要求的其他文件。</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监理人应在收到通知后14天内向承包人发出经发包人签认的书面指示；监理人逾期发出书面指示的，视为发包人和监理人同意使用替代品。</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pPr>
        <w:pStyle w:val="8"/>
        <w:spacing w:before="0" w:after="0" w:line="288" w:lineRule="auto"/>
        <w:ind w:firstLine="420"/>
        <w:rPr>
          <w:rFonts w:cs="宋体"/>
          <w:b w:val="0"/>
          <w:color w:val="auto"/>
          <w:sz w:val="21"/>
          <w:szCs w:val="21"/>
          <w:highlight w:val="none"/>
        </w:rPr>
      </w:pPr>
      <w:bookmarkStart w:id="330" w:name="_Toc351203560"/>
      <w:r>
        <w:rPr>
          <w:rFonts w:hint="eastAsia" w:cs="宋体"/>
          <w:b w:val="0"/>
          <w:color w:val="auto"/>
          <w:sz w:val="21"/>
          <w:szCs w:val="21"/>
          <w:highlight w:val="none"/>
        </w:rPr>
        <w:t>8.8施工设备和临时设施</w:t>
      </w:r>
      <w:bookmarkEnd w:id="330"/>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8.8.1 承包人提供的施工设备和临时设施</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承包人应按合同进度计划的要求，及时配置施工设备和修建临时设施。进入施工场地的承包人设备需经监理人核查后才能投入使用。承包人更换合同约定的承包人设备的，应报监理人批准。</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除专用合同条款另有约定外，承包人应自行承担修建临时设施的费用，需要临时占地的，应由发包人办理申请手续并承担相应费用。</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8.8.2发包人提供的施工设备和临时设施</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发包人提供的施工设备或临时设施在专用合同条款中约定。</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8.8.3要求承包人增加或更换施工设备</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承包人使用的施工设备不能满足合同进度计划和（或）质量要求时，监理人有权要求承包人增加或更换施工设备，承包人应及时增加或更换，由此增加的费用和（或）延误的工期由承包人承担。</w:t>
      </w:r>
    </w:p>
    <w:p>
      <w:pPr>
        <w:pStyle w:val="8"/>
        <w:spacing w:before="0" w:after="0" w:line="288" w:lineRule="auto"/>
        <w:ind w:firstLine="420"/>
        <w:rPr>
          <w:rFonts w:cs="宋体"/>
          <w:b w:val="0"/>
          <w:color w:val="auto"/>
          <w:sz w:val="21"/>
          <w:szCs w:val="21"/>
          <w:highlight w:val="none"/>
        </w:rPr>
      </w:pPr>
      <w:bookmarkStart w:id="331" w:name="_Toc351203561"/>
      <w:r>
        <w:rPr>
          <w:rFonts w:hint="eastAsia" w:cs="宋体"/>
          <w:b w:val="0"/>
          <w:color w:val="auto"/>
          <w:sz w:val="21"/>
          <w:szCs w:val="21"/>
          <w:highlight w:val="none"/>
        </w:rPr>
        <w:t>8</w:t>
      </w:r>
      <w:bookmarkStart w:id="332" w:name="_Toc296346564"/>
      <w:bookmarkStart w:id="333" w:name="_Toc296503063"/>
      <w:bookmarkStart w:id="334" w:name="_Toc337558781"/>
      <w:r>
        <w:rPr>
          <w:rFonts w:hint="eastAsia" w:cs="宋体"/>
          <w:b w:val="0"/>
          <w:color w:val="auto"/>
          <w:sz w:val="21"/>
          <w:szCs w:val="21"/>
          <w:highlight w:val="none"/>
        </w:rPr>
        <w:t>.9材料与设备专用</w:t>
      </w:r>
      <w:bookmarkEnd w:id="331"/>
      <w:r>
        <w:rPr>
          <w:rFonts w:hint="eastAsia" w:cs="宋体"/>
          <w:b w:val="0"/>
          <w:color w:val="auto"/>
          <w:sz w:val="21"/>
          <w:szCs w:val="21"/>
          <w:highlight w:val="none"/>
        </w:rPr>
        <w:t>要求</w:t>
      </w:r>
    </w:p>
    <w:bookmarkEnd w:id="332"/>
    <w:bookmarkEnd w:id="333"/>
    <w:bookmarkEnd w:id="334"/>
    <w:p>
      <w:pPr>
        <w:spacing w:line="288" w:lineRule="auto"/>
        <w:ind w:firstLine="420"/>
        <w:jc w:val="left"/>
        <w:rPr>
          <w:rFonts w:cs="宋体"/>
          <w:color w:val="auto"/>
          <w:kern w:val="0"/>
          <w:szCs w:val="21"/>
          <w:highlight w:val="none"/>
        </w:rPr>
      </w:pPr>
      <w:r>
        <w:rPr>
          <w:rFonts w:hint="eastAsia" w:cs="宋体"/>
          <w:color w:val="auto"/>
          <w:kern w:val="0"/>
          <w:szCs w:val="21"/>
          <w:highlight w:val="none"/>
        </w:rPr>
        <w:t>承包人运入施工现场的材料、工程设备、施工设备以及在施工场地建设的临时设施，包括备品备件、安装工具与资料，必须专用于工程。未经发包人批准，承包人不得运出施工现场或挪作他用；</w:t>
      </w:r>
      <w:bookmarkEnd w:id="313"/>
      <w:r>
        <w:rPr>
          <w:rFonts w:hint="eastAsia" w:cs="宋体"/>
          <w:color w:val="auto"/>
          <w:kern w:val="0"/>
          <w:szCs w:val="21"/>
          <w:highlight w:val="none"/>
        </w:rPr>
        <w:t>经发包人批准，承包人可以根据施工进度计划撤走闲置的施工设备和其他物品。</w:t>
      </w:r>
    </w:p>
    <w:p>
      <w:pPr>
        <w:pStyle w:val="7"/>
        <w:spacing w:line="288" w:lineRule="auto"/>
        <w:ind w:firstLine="420"/>
        <w:rPr>
          <w:rFonts w:ascii="宋体" w:hAnsi="宋体" w:cs="宋体"/>
          <w:b w:val="0"/>
          <w:color w:val="auto"/>
          <w:szCs w:val="21"/>
          <w:highlight w:val="none"/>
        </w:rPr>
      </w:pPr>
      <w:bookmarkStart w:id="335" w:name="_Toc351203562"/>
      <w:r>
        <w:rPr>
          <w:rFonts w:hint="eastAsia" w:ascii="宋体" w:hAnsi="宋体" w:cs="宋体"/>
          <w:b w:val="0"/>
          <w:color w:val="auto"/>
          <w:szCs w:val="21"/>
          <w:highlight w:val="none"/>
        </w:rPr>
        <w:t>9</w:t>
      </w:r>
      <w:bookmarkStart w:id="336" w:name="_Toc337558782"/>
      <w:bookmarkStart w:id="337" w:name="_Toc296346584"/>
      <w:bookmarkStart w:id="338" w:name="_Toc296503083"/>
      <w:r>
        <w:rPr>
          <w:rFonts w:hint="eastAsia" w:ascii="宋体" w:hAnsi="宋体" w:cs="宋体"/>
          <w:b w:val="0"/>
          <w:color w:val="auto"/>
          <w:szCs w:val="21"/>
          <w:highlight w:val="none"/>
        </w:rPr>
        <w:t>. 试验与检验</w:t>
      </w:r>
      <w:bookmarkEnd w:id="335"/>
    </w:p>
    <w:bookmarkEnd w:id="336"/>
    <w:p>
      <w:pPr>
        <w:pStyle w:val="8"/>
        <w:spacing w:before="0" w:after="0" w:line="288" w:lineRule="auto"/>
        <w:ind w:firstLine="420"/>
        <w:rPr>
          <w:rFonts w:cs="宋体"/>
          <w:b w:val="0"/>
          <w:color w:val="auto"/>
          <w:sz w:val="21"/>
          <w:szCs w:val="21"/>
          <w:highlight w:val="none"/>
        </w:rPr>
      </w:pPr>
      <w:bookmarkStart w:id="339" w:name="_Toc351203563"/>
      <w:r>
        <w:rPr>
          <w:rFonts w:hint="eastAsia" w:cs="宋体"/>
          <w:b w:val="0"/>
          <w:color w:val="auto"/>
          <w:sz w:val="21"/>
          <w:szCs w:val="21"/>
          <w:highlight w:val="none"/>
        </w:rPr>
        <w:t>9</w:t>
      </w:r>
      <w:bookmarkStart w:id="340" w:name="_Toc337558783"/>
      <w:r>
        <w:rPr>
          <w:rFonts w:hint="eastAsia" w:cs="宋体"/>
          <w:b w:val="0"/>
          <w:color w:val="auto"/>
          <w:sz w:val="21"/>
          <w:szCs w:val="21"/>
          <w:highlight w:val="none"/>
        </w:rPr>
        <w:t>.1试验设备与试验人员</w:t>
      </w:r>
      <w:bookmarkEnd w:id="339"/>
    </w:p>
    <w:bookmarkEnd w:id="340"/>
    <w:p>
      <w:pPr>
        <w:spacing w:line="288" w:lineRule="auto"/>
        <w:ind w:firstLine="420"/>
        <w:jc w:val="left"/>
        <w:rPr>
          <w:rFonts w:cs="宋体"/>
          <w:color w:val="auto"/>
          <w:kern w:val="0"/>
          <w:szCs w:val="21"/>
          <w:highlight w:val="none"/>
        </w:rPr>
      </w:pPr>
      <w:r>
        <w:rPr>
          <w:rFonts w:hint="eastAsia" w:cs="宋体"/>
          <w:color w:val="auto"/>
          <w:kern w:val="0"/>
          <w:szCs w:val="21"/>
          <w:highlight w:val="none"/>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9.1.2 承包人应按专用合同条款的约定提供试验设备、取样装置、试验场所和试验条件，并向监理人提交相应进场计划表。</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承包人配置的试验设备要符合相应试验规程的要求并经过具有资质的检测单位检测，且在正式使用该试验设备前，需要经过监理人与承包人共同校定。</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9.1.3 承包人应向监理人提交试验人员的名单及其岗位、资格等证明资料，试验人员必须能够熟练进行相应的检测试验，承包人对试验人员的试验程序和试验结果的正确性负责。</w:t>
      </w:r>
    </w:p>
    <w:p>
      <w:pPr>
        <w:pStyle w:val="8"/>
        <w:spacing w:before="0" w:after="0" w:line="288" w:lineRule="auto"/>
        <w:ind w:firstLine="420"/>
        <w:rPr>
          <w:rFonts w:cs="宋体"/>
          <w:b w:val="0"/>
          <w:color w:val="auto"/>
          <w:sz w:val="21"/>
          <w:szCs w:val="21"/>
          <w:highlight w:val="none"/>
        </w:rPr>
      </w:pPr>
      <w:bookmarkStart w:id="341" w:name="_Toc351203564"/>
      <w:r>
        <w:rPr>
          <w:rFonts w:hint="eastAsia" w:cs="宋体"/>
          <w:b w:val="0"/>
          <w:color w:val="auto"/>
          <w:sz w:val="21"/>
          <w:szCs w:val="21"/>
          <w:highlight w:val="none"/>
        </w:rPr>
        <w:t>9</w:t>
      </w:r>
      <w:bookmarkStart w:id="342" w:name="_Toc337558784"/>
      <w:r>
        <w:rPr>
          <w:rFonts w:hint="eastAsia" w:cs="宋体"/>
          <w:b w:val="0"/>
          <w:color w:val="auto"/>
          <w:sz w:val="21"/>
          <w:szCs w:val="21"/>
          <w:highlight w:val="none"/>
        </w:rPr>
        <w:t>.2取样</w:t>
      </w:r>
      <w:bookmarkEnd w:id="341"/>
    </w:p>
    <w:bookmarkEnd w:id="342"/>
    <w:p>
      <w:pPr>
        <w:spacing w:line="288" w:lineRule="auto"/>
        <w:ind w:firstLine="420"/>
        <w:jc w:val="left"/>
        <w:rPr>
          <w:rFonts w:cs="宋体"/>
          <w:color w:val="auto"/>
          <w:kern w:val="0"/>
          <w:szCs w:val="21"/>
          <w:highlight w:val="none"/>
        </w:rPr>
      </w:pPr>
      <w:r>
        <w:rPr>
          <w:rFonts w:hint="eastAsia" w:cs="宋体"/>
          <w:color w:val="auto"/>
          <w:kern w:val="0"/>
          <w:szCs w:val="21"/>
          <w:highlight w:val="none"/>
        </w:rPr>
        <w:t>试验属于自检性质的，承包人可以单独取样。试验属于监理人抽检性质的，可由监理人取样，也可由承包人的试验人员在监理人的监督下取样。</w:t>
      </w:r>
    </w:p>
    <w:p>
      <w:pPr>
        <w:pStyle w:val="8"/>
        <w:spacing w:before="0" w:after="0" w:line="288" w:lineRule="auto"/>
        <w:ind w:firstLine="420"/>
        <w:rPr>
          <w:rFonts w:cs="宋体"/>
          <w:b w:val="0"/>
          <w:color w:val="auto"/>
          <w:sz w:val="21"/>
          <w:szCs w:val="21"/>
          <w:highlight w:val="none"/>
        </w:rPr>
      </w:pPr>
      <w:bookmarkStart w:id="343" w:name="_Toc351203565"/>
      <w:r>
        <w:rPr>
          <w:rFonts w:hint="eastAsia" w:cs="宋体"/>
          <w:b w:val="0"/>
          <w:color w:val="auto"/>
          <w:sz w:val="21"/>
          <w:szCs w:val="21"/>
          <w:highlight w:val="none"/>
        </w:rPr>
        <w:t>9</w:t>
      </w:r>
      <w:bookmarkStart w:id="344" w:name="_Toc337558785"/>
      <w:r>
        <w:rPr>
          <w:rFonts w:hint="eastAsia" w:cs="宋体"/>
          <w:b w:val="0"/>
          <w:color w:val="auto"/>
          <w:sz w:val="21"/>
          <w:szCs w:val="21"/>
          <w:highlight w:val="none"/>
        </w:rPr>
        <w:t>.3材料、工程设备和工程的试验和检验</w:t>
      </w:r>
      <w:bookmarkEnd w:id="343"/>
    </w:p>
    <w:bookmarkEnd w:id="344"/>
    <w:p>
      <w:pPr>
        <w:spacing w:line="288" w:lineRule="auto"/>
        <w:ind w:firstLine="420"/>
        <w:jc w:val="left"/>
        <w:rPr>
          <w:rFonts w:cs="宋体"/>
          <w:color w:val="auto"/>
          <w:kern w:val="0"/>
          <w:szCs w:val="21"/>
          <w:highlight w:val="none"/>
        </w:rPr>
      </w:pPr>
      <w:r>
        <w:rPr>
          <w:rFonts w:hint="eastAsia" w:cs="宋体"/>
          <w:color w:val="auto"/>
          <w:kern w:val="0"/>
          <w:szCs w:val="21"/>
          <w:highlight w:val="none"/>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pPr>
        <w:pStyle w:val="8"/>
        <w:spacing w:before="0" w:after="0" w:line="288" w:lineRule="auto"/>
        <w:ind w:firstLine="420"/>
        <w:rPr>
          <w:rFonts w:cs="宋体"/>
          <w:b w:val="0"/>
          <w:color w:val="auto"/>
          <w:sz w:val="21"/>
          <w:szCs w:val="21"/>
          <w:highlight w:val="none"/>
        </w:rPr>
      </w:pPr>
      <w:bookmarkStart w:id="345" w:name="_Toc351203566"/>
      <w:r>
        <w:rPr>
          <w:rFonts w:hint="eastAsia" w:cs="宋体"/>
          <w:b w:val="0"/>
          <w:color w:val="auto"/>
          <w:sz w:val="21"/>
          <w:szCs w:val="21"/>
          <w:highlight w:val="none"/>
        </w:rPr>
        <w:t>9</w:t>
      </w:r>
      <w:bookmarkStart w:id="346" w:name="_Toc337558786"/>
      <w:r>
        <w:rPr>
          <w:rFonts w:hint="eastAsia" w:cs="宋体"/>
          <w:b w:val="0"/>
          <w:color w:val="auto"/>
          <w:sz w:val="21"/>
          <w:szCs w:val="21"/>
          <w:highlight w:val="none"/>
        </w:rPr>
        <w:t>.4现场工艺试验</w:t>
      </w:r>
      <w:bookmarkEnd w:id="345"/>
    </w:p>
    <w:bookmarkEnd w:id="346"/>
    <w:p>
      <w:pPr>
        <w:spacing w:line="288" w:lineRule="auto"/>
        <w:ind w:firstLine="420"/>
        <w:jc w:val="left"/>
        <w:rPr>
          <w:rFonts w:cs="宋体"/>
          <w:color w:val="auto"/>
          <w:kern w:val="0"/>
          <w:szCs w:val="21"/>
          <w:highlight w:val="none"/>
        </w:rPr>
      </w:pPr>
      <w:r>
        <w:rPr>
          <w:rFonts w:hint="eastAsia" w:cs="宋体"/>
          <w:color w:val="auto"/>
          <w:kern w:val="0"/>
          <w:szCs w:val="21"/>
          <w:highlight w:val="none"/>
        </w:rPr>
        <w:t>承包人应按合同约定或监理人指示进行现场工艺试验。对大型的现场工艺试验，监理人认为必要时，承包人应根据监理人提出的工艺试验要求，编制工艺试验措施计划，报送监理人审查。</w:t>
      </w:r>
    </w:p>
    <w:p>
      <w:pPr>
        <w:pStyle w:val="7"/>
        <w:spacing w:line="288" w:lineRule="auto"/>
        <w:ind w:firstLine="420"/>
        <w:rPr>
          <w:rFonts w:ascii="宋体" w:hAnsi="宋体" w:cs="宋体"/>
          <w:b w:val="0"/>
          <w:color w:val="auto"/>
          <w:szCs w:val="21"/>
          <w:highlight w:val="none"/>
        </w:rPr>
      </w:pPr>
      <w:bookmarkStart w:id="347" w:name="_Toc351203567"/>
      <w:r>
        <w:rPr>
          <w:rFonts w:hint="eastAsia" w:ascii="宋体" w:hAnsi="宋体" w:cs="宋体"/>
          <w:b w:val="0"/>
          <w:color w:val="auto"/>
          <w:szCs w:val="21"/>
          <w:highlight w:val="none"/>
        </w:rPr>
        <w:t>1</w:t>
      </w:r>
      <w:bookmarkStart w:id="348" w:name="_Toc337558787"/>
      <w:r>
        <w:rPr>
          <w:rFonts w:hint="eastAsia" w:ascii="宋体" w:hAnsi="宋体" w:cs="宋体"/>
          <w:b w:val="0"/>
          <w:color w:val="auto"/>
          <w:szCs w:val="21"/>
          <w:highlight w:val="none"/>
        </w:rPr>
        <w:t>0. 变更</w:t>
      </w:r>
      <w:bookmarkEnd w:id="337"/>
      <w:bookmarkEnd w:id="338"/>
      <w:bookmarkEnd w:id="347"/>
    </w:p>
    <w:bookmarkEnd w:id="348"/>
    <w:p>
      <w:pPr>
        <w:pStyle w:val="8"/>
        <w:spacing w:before="0" w:after="0" w:line="288" w:lineRule="auto"/>
        <w:ind w:firstLine="420"/>
        <w:rPr>
          <w:rFonts w:cs="宋体"/>
          <w:b w:val="0"/>
          <w:color w:val="auto"/>
          <w:sz w:val="21"/>
          <w:szCs w:val="21"/>
          <w:highlight w:val="none"/>
        </w:rPr>
      </w:pPr>
      <w:bookmarkStart w:id="349" w:name="_Toc351203568"/>
      <w:r>
        <w:rPr>
          <w:rFonts w:hint="eastAsia" w:cs="宋体"/>
          <w:b w:val="0"/>
          <w:color w:val="auto"/>
          <w:sz w:val="21"/>
          <w:szCs w:val="21"/>
          <w:highlight w:val="none"/>
        </w:rPr>
        <w:t>1</w:t>
      </w:r>
      <w:bookmarkStart w:id="350" w:name="_Toc296346585"/>
      <w:bookmarkStart w:id="351" w:name="_Toc337558788"/>
      <w:bookmarkStart w:id="352" w:name="_Toc296503084"/>
      <w:r>
        <w:rPr>
          <w:rFonts w:hint="eastAsia" w:cs="宋体"/>
          <w:b w:val="0"/>
          <w:color w:val="auto"/>
          <w:sz w:val="21"/>
          <w:szCs w:val="21"/>
          <w:highlight w:val="none"/>
        </w:rPr>
        <w:t>0.1变更的范围</w:t>
      </w:r>
      <w:bookmarkEnd w:id="349"/>
    </w:p>
    <w:bookmarkEnd w:id="350"/>
    <w:bookmarkEnd w:id="351"/>
    <w:bookmarkEnd w:id="352"/>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除专用合同条款另有约定外，合同履行过程中发生以下情形的，应按照本条约定进行变更：</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（1）增加或减少合同中任何工作，或追加额外的工作；</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（2）取消合同中任何工作，但转由他人实施的工作除外；</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（3）改变合同中任何工作的质量标准或其他特性；</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（4）改变工程的基线、标高、位置和尺寸；</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（5）改变工程的时间安排或实施顺序。</w:t>
      </w:r>
    </w:p>
    <w:p>
      <w:pPr>
        <w:pStyle w:val="8"/>
        <w:spacing w:before="0" w:after="0" w:line="288" w:lineRule="auto"/>
        <w:ind w:firstLine="420"/>
        <w:rPr>
          <w:rFonts w:cs="宋体"/>
          <w:b w:val="0"/>
          <w:color w:val="auto"/>
          <w:sz w:val="21"/>
          <w:szCs w:val="21"/>
          <w:highlight w:val="none"/>
        </w:rPr>
      </w:pPr>
      <w:bookmarkStart w:id="353" w:name="_Toc351203569"/>
      <w:r>
        <w:rPr>
          <w:rFonts w:hint="eastAsia" w:cs="宋体"/>
          <w:b w:val="0"/>
          <w:color w:val="auto"/>
          <w:sz w:val="21"/>
          <w:szCs w:val="21"/>
          <w:highlight w:val="none"/>
        </w:rPr>
        <w:t>1</w:t>
      </w:r>
      <w:bookmarkStart w:id="354" w:name="_Toc296503085"/>
      <w:bookmarkStart w:id="355" w:name="_Toc296346586"/>
      <w:bookmarkStart w:id="356" w:name="_Toc337558789"/>
      <w:r>
        <w:rPr>
          <w:rFonts w:hint="eastAsia" w:cs="宋体"/>
          <w:b w:val="0"/>
          <w:color w:val="auto"/>
          <w:sz w:val="21"/>
          <w:szCs w:val="21"/>
          <w:highlight w:val="none"/>
        </w:rPr>
        <w:t>0.2变更权</w:t>
      </w:r>
      <w:bookmarkEnd w:id="353"/>
    </w:p>
    <w:bookmarkEnd w:id="354"/>
    <w:bookmarkEnd w:id="355"/>
    <w:bookmarkEnd w:id="356"/>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涉及设计变更的，应由设计人提供变更后的图纸和说明。如变更超过原设计标准或批准的建设规模时，发包人应及时办理规划、设计变更等审批手续。</w:t>
      </w:r>
    </w:p>
    <w:p>
      <w:pPr>
        <w:pStyle w:val="8"/>
        <w:spacing w:before="0" w:after="0" w:line="288" w:lineRule="auto"/>
        <w:ind w:firstLine="420"/>
        <w:rPr>
          <w:rFonts w:cs="宋体"/>
          <w:b w:val="0"/>
          <w:color w:val="auto"/>
          <w:sz w:val="21"/>
          <w:szCs w:val="21"/>
          <w:highlight w:val="none"/>
        </w:rPr>
      </w:pPr>
      <w:bookmarkStart w:id="357" w:name="_Toc351203570"/>
      <w:r>
        <w:rPr>
          <w:rFonts w:hint="eastAsia" w:cs="宋体"/>
          <w:b w:val="0"/>
          <w:color w:val="auto"/>
          <w:sz w:val="21"/>
          <w:szCs w:val="21"/>
          <w:highlight w:val="none"/>
        </w:rPr>
        <w:t>1</w:t>
      </w:r>
      <w:bookmarkStart w:id="358" w:name="_Toc296503086"/>
      <w:bookmarkStart w:id="359" w:name="_Toc337558790"/>
      <w:bookmarkStart w:id="360" w:name="_Toc296346587"/>
      <w:r>
        <w:rPr>
          <w:rFonts w:hint="eastAsia" w:cs="宋体"/>
          <w:b w:val="0"/>
          <w:color w:val="auto"/>
          <w:sz w:val="21"/>
          <w:szCs w:val="21"/>
          <w:highlight w:val="none"/>
        </w:rPr>
        <w:t>0.3变更程序</w:t>
      </w:r>
      <w:bookmarkEnd w:id="357"/>
    </w:p>
    <w:bookmarkEnd w:id="358"/>
    <w:bookmarkEnd w:id="359"/>
    <w:bookmarkEnd w:id="360"/>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szCs w:val="21"/>
          <w:highlight w:val="none"/>
        </w:rPr>
        <w:t>10</w:t>
      </w:r>
      <w:r>
        <w:rPr>
          <w:rFonts w:hint="eastAsia" w:cs="宋体"/>
          <w:color w:val="auto"/>
          <w:kern w:val="0"/>
          <w:szCs w:val="21"/>
          <w:highlight w:val="none"/>
        </w:rPr>
        <w:t>.3.1 发包人提出变更</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发包人提出变更的，应通过监理人向承包人发出变更指示，变更指示应说明计划变更的工程范围和变更的内容。</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szCs w:val="21"/>
          <w:highlight w:val="none"/>
        </w:rPr>
        <w:t>10</w:t>
      </w:r>
      <w:r>
        <w:rPr>
          <w:rFonts w:hint="eastAsia" w:cs="宋体"/>
          <w:color w:val="auto"/>
          <w:kern w:val="0"/>
          <w:szCs w:val="21"/>
          <w:highlight w:val="none"/>
        </w:rPr>
        <w:t>.3.2 监理人提出变更建议</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pPr>
        <w:autoSpaceDE w:val="0"/>
        <w:autoSpaceDN w:val="0"/>
        <w:adjustRightInd w:val="0"/>
        <w:spacing w:line="288" w:lineRule="auto"/>
        <w:ind w:firstLine="420"/>
        <w:jc w:val="left"/>
        <w:rPr>
          <w:rFonts w:cs="宋体"/>
          <w:color w:val="auto"/>
          <w:szCs w:val="21"/>
          <w:highlight w:val="none"/>
        </w:rPr>
      </w:pPr>
      <w:r>
        <w:rPr>
          <w:rFonts w:hint="eastAsia" w:cs="宋体"/>
          <w:color w:val="auto"/>
          <w:szCs w:val="21"/>
          <w:highlight w:val="none"/>
        </w:rPr>
        <w:t>10.3.3 变更执行</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pPr>
        <w:pStyle w:val="8"/>
        <w:spacing w:before="0" w:after="0" w:line="288" w:lineRule="auto"/>
        <w:ind w:firstLine="420"/>
        <w:rPr>
          <w:rFonts w:cs="宋体"/>
          <w:b w:val="0"/>
          <w:color w:val="auto"/>
          <w:sz w:val="21"/>
          <w:szCs w:val="21"/>
          <w:highlight w:val="none"/>
        </w:rPr>
      </w:pPr>
      <w:bookmarkStart w:id="361" w:name="_Toc351203571"/>
      <w:r>
        <w:rPr>
          <w:rFonts w:hint="eastAsia" w:cs="宋体"/>
          <w:b w:val="0"/>
          <w:color w:val="auto"/>
          <w:sz w:val="21"/>
          <w:szCs w:val="21"/>
          <w:highlight w:val="none"/>
        </w:rPr>
        <w:t>1</w:t>
      </w:r>
      <w:bookmarkStart w:id="362" w:name="_Toc296503087"/>
      <w:bookmarkStart w:id="363" w:name="_Toc296346588"/>
      <w:bookmarkStart w:id="364" w:name="_Toc337558791"/>
      <w:r>
        <w:rPr>
          <w:rFonts w:hint="eastAsia" w:cs="宋体"/>
          <w:b w:val="0"/>
          <w:color w:val="auto"/>
          <w:sz w:val="21"/>
          <w:szCs w:val="21"/>
          <w:highlight w:val="none"/>
        </w:rPr>
        <w:t>0.4变更估价</w:t>
      </w:r>
      <w:bookmarkEnd w:id="361"/>
    </w:p>
    <w:bookmarkEnd w:id="362"/>
    <w:bookmarkEnd w:id="363"/>
    <w:bookmarkEnd w:id="364"/>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10.4.1 变更估价原则</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除专用合同条款另有约定外，变更估价按照本款约定处理：</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（1）已标价工程量清单或预算书有相同项目的，按照相同项目单价认定；</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（2）已标价工程量清单或预算书中无相同项目，但有类似项目的，参照类似项目的单价认定；</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10.4.2 变更估价程序</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因变更引起的价格调整应计入最近一期的进度款中支付。</w:t>
      </w:r>
    </w:p>
    <w:p>
      <w:pPr>
        <w:pStyle w:val="8"/>
        <w:spacing w:before="0" w:after="0" w:line="288" w:lineRule="auto"/>
        <w:ind w:firstLine="420"/>
        <w:rPr>
          <w:rFonts w:cs="宋体"/>
          <w:b w:val="0"/>
          <w:color w:val="auto"/>
          <w:sz w:val="21"/>
          <w:szCs w:val="21"/>
          <w:highlight w:val="none"/>
        </w:rPr>
      </w:pPr>
      <w:bookmarkStart w:id="365" w:name="_Toc351203572"/>
      <w:r>
        <w:rPr>
          <w:rFonts w:hint="eastAsia" w:cs="宋体"/>
          <w:b w:val="0"/>
          <w:color w:val="auto"/>
          <w:sz w:val="21"/>
          <w:szCs w:val="21"/>
          <w:highlight w:val="none"/>
        </w:rPr>
        <w:t>1</w:t>
      </w:r>
      <w:bookmarkStart w:id="366" w:name="_Toc296346595"/>
      <w:bookmarkStart w:id="367" w:name="_Toc296503094"/>
      <w:bookmarkStart w:id="368" w:name="_Toc337558792"/>
      <w:r>
        <w:rPr>
          <w:rFonts w:hint="eastAsia" w:cs="宋体"/>
          <w:b w:val="0"/>
          <w:color w:val="auto"/>
          <w:sz w:val="21"/>
          <w:szCs w:val="21"/>
          <w:highlight w:val="none"/>
        </w:rPr>
        <w:t>0.5承包人的合理化建议</w:t>
      </w:r>
      <w:bookmarkEnd w:id="365"/>
    </w:p>
    <w:bookmarkEnd w:id="366"/>
    <w:bookmarkEnd w:id="367"/>
    <w:bookmarkEnd w:id="368"/>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承包人提出合理化建议的，应向监理人提交合理化建议说明，说明建议的内容和理由，以及实施该建议对合同价格和工期的影响。</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合理化建议降低了合同价格或者提高了工程经济效益的，发包人可对承包人给予奖励，奖励的方法和金额在专用合同条款中约定。</w:t>
      </w:r>
    </w:p>
    <w:p>
      <w:pPr>
        <w:pStyle w:val="8"/>
        <w:spacing w:before="0" w:after="0" w:line="288" w:lineRule="auto"/>
        <w:ind w:firstLine="420"/>
        <w:rPr>
          <w:rFonts w:cs="宋体"/>
          <w:color w:val="auto"/>
          <w:sz w:val="21"/>
          <w:szCs w:val="21"/>
          <w:highlight w:val="none"/>
        </w:rPr>
      </w:pPr>
      <w:bookmarkStart w:id="369" w:name="_Toc351203573"/>
      <w:r>
        <w:rPr>
          <w:rFonts w:hint="eastAsia" w:cs="宋体"/>
          <w:b w:val="0"/>
          <w:color w:val="auto"/>
          <w:sz w:val="21"/>
          <w:szCs w:val="21"/>
          <w:highlight w:val="none"/>
        </w:rPr>
        <w:t>1</w:t>
      </w:r>
      <w:bookmarkStart w:id="370" w:name="_Toc337558793"/>
      <w:r>
        <w:rPr>
          <w:rFonts w:hint="eastAsia" w:cs="宋体"/>
          <w:b w:val="0"/>
          <w:color w:val="auto"/>
          <w:sz w:val="21"/>
          <w:szCs w:val="21"/>
          <w:highlight w:val="none"/>
        </w:rPr>
        <w:t>0.6变更引起的工期调整</w:t>
      </w:r>
      <w:bookmarkEnd w:id="369"/>
      <w:r>
        <w:rPr>
          <w:rFonts w:hint="eastAsia" w:cs="宋体"/>
          <w:b w:val="0"/>
          <w:color w:val="auto"/>
          <w:sz w:val="21"/>
          <w:szCs w:val="21"/>
          <w:highlight w:val="none"/>
        </w:rPr>
        <w:t xml:space="preserve"> </w:t>
      </w:r>
      <w:bookmarkEnd w:id="370"/>
      <w:r>
        <w:rPr>
          <w:rFonts w:hint="eastAsia" w:cs="宋体"/>
          <w:b w:val="0"/>
          <w:color w:val="auto"/>
          <w:sz w:val="21"/>
          <w:szCs w:val="21"/>
          <w:highlight w:val="none"/>
        </w:rPr>
        <w:t xml:space="preserve"> </w:t>
      </w:r>
      <w:r>
        <w:rPr>
          <w:rFonts w:hint="eastAsia" w:cs="宋体"/>
          <w:color w:val="auto"/>
          <w:sz w:val="21"/>
          <w:szCs w:val="21"/>
          <w:highlight w:val="none"/>
        </w:rPr>
        <w:t xml:space="preserve"> </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因变更引起工期变化的，合同当事人均可要求调整合同工期，由合同当事人按照第4.4款〔商定或确定〕并参考工程所在地的工期定额标准确定增减工期天数。</w:t>
      </w:r>
    </w:p>
    <w:p>
      <w:pPr>
        <w:pStyle w:val="8"/>
        <w:spacing w:before="0" w:after="0" w:line="288" w:lineRule="auto"/>
        <w:ind w:firstLine="420"/>
        <w:rPr>
          <w:rFonts w:cs="宋体"/>
          <w:b w:val="0"/>
          <w:color w:val="auto"/>
          <w:sz w:val="21"/>
          <w:szCs w:val="21"/>
          <w:highlight w:val="none"/>
        </w:rPr>
      </w:pPr>
      <w:bookmarkStart w:id="371" w:name="_Toc351203574"/>
      <w:r>
        <w:rPr>
          <w:rFonts w:hint="eastAsia" w:cs="宋体"/>
          <w:b w:val="0"/>
          <w:color w:val="auto"/>
          <w:sz w:val="21"/>
          <w:szCs w:val="21"/>
          <w:highlight w:val="none"/>
        </w:rPr>
        <w:t>10.7暂估价</w:t>
      </w:r>
      <w:bookmarkEnd w:id="371"/>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暂估价专业分包工程、服务、材料和工程设备的明细由合同当事人在专用合同条款中约定。</w:t>
      </w:r>
    </w:p>
    <w:p>
      <w:pPr>
        <w:spacing w:line="288" w:lineRule="auto"/>
        <w:ind w:firstLine="420"/>
        <w:jc w:val="left"/>
        <w:rPr>
          <w:rFonts w:cs="宋体"/>
          <w:color w:val="auto"/>
          <w:kern w:val="0"/>
          <w:szCs w:val="21"/>
          <w:highlight w:val="none"/>
        </w:rPr>
      </w:pPr>
      <w:r>
        <w:rPr>
          <w:rFonts w:hint="eastAsia" w:cs="宋体"/>
          <w:color w:val="auto"/>
          <w:szCs w:val="21"/>
          <w:highlight w:val="none"/>
        </w:rPr>
        <w:t>10.7.1</w:t>
      </w:r>
      <w:r>
        <w:rPr>
          <w:rFonts w:hint="eastAsia" w:cs="宋体"/>
          <w:color w:val="auto"/>
          <w:kern w:val="0"/>
          <w:szCs w:val="21"/>
          <w:highlight w:val="none"/>
        </w:rPr>
        <w:t xml:space="preserve"> 依法必须招标的暂估价项目</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对于依法必须招标的暂估价项目，采取以下第1种方式确定。合同当事人也可以在专用合同条款中选择其他招标方式。</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第1种方式：对于依法必须招标的暂估价项目，由承包人招标，对该暂估价项目的确认和批准按照以下约定执行：</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pPr>
        <w:spacing w:line="288" w:lineRule="auto"/>
        <w:ind w:firstLine="420"/>
        <w:jc w:val="left"/>
        <w:rPr>
          <w:rFonts w:cs="宋体"/>
          <w:color w:val="auto"/>
          <w:kern w:val="0"/>
          <w:szCs w:val="21"/>
          <w:highlight w:val="none"/>
        </w:rPr>
      </w:pPr>
      <w:r>
        <w:rPr>
          <w:rFonts w:hint="eastAsia" w:cs="宋体"/>
          <w:color w:val="auto"/>
          <w:szCs w:val="21"/>
          <w:highlight w:val="none"/>
        </w:rPr>
        <w:t>10.7.2</w:t>
      </w:r>
      <w:r>
        <w:rPr>
          <w:rFonts w:hint="eastAsia" w:cs="宋体"/>
          <w:color w:val="auto"/>
          <w:kern w:val="0"/>
          <w:szCs w:val="21"/>
          <w:highlight w:val="none"/>
        </w:rPr>
        <w:t>不属于依法必须招标的暂估价项目</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 xml:space="preserve">除专用合同条款另有约定外，对于不属于依法必须招标的暂估价项目，采取以下第1种方式确定： </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第1种方式：对于不属于依法必须招标的暂估价项目，按本项约定确认和批准：</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（2）发包人认为承包人确定的供应商、分包人无法满足工程质量或合同要求的，发包人可以要求承包人重新确定暂估价项目的供应商、分包人;</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（3）承包人应当在签订暂估价合同后7天内，将暂估价合同副本报送发包人留存。</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第2种方式：承包人按照第10.7.1项〔依法必须招标的暂估价项目〕约定的第1种方式确定暂估价项目。</w:t>
      </w:r>
    </w:p>
    <w:p>
      <w:pPr>
        <w:spacing w:line="288" w:lineRule="auto"/>
        <w:ind w:firstLine="420"/>
        <w:jc w:val="left"/>
        <w:rPr>
          <w:rFonts w:cs="宋体"/>
          <w:color w:val="auto"/>
          <w:kern w:val="0"/>
          <w:szCs w:val="21"/>
          <w:highlight w:val="none"/>
        </w:rPr>
      </w:pPr>
      <w:r>
        <w:rPr>
          <w:rFonts w:hint="eastAsia" w:cs="宋体"/>
          <w:color w:val="auto"/>
          <w:szCs w:val="21"/>
          <w:highlight w:val="none"/>
        </w:rPr>
        <w:t>第3种方式：</w:t>
      </w:r>
      <w:r>
        <w:rPr>
          <w:rFonts w:hint="eastAsia" w:cs="宋体"/>
          <w:color w:val="auto"/>
          <w:kern w:val="0"/>
          <w:szCs w:val="21"/>
          <w:highlight w:val="none"/>
        </w:rPr>
        <w:t>承包人直接实施的暂估价项目</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承包人具备实施暂估价项目的资格和条件的，经发包人和承包人协商一致后，可由承包人自行实施暂估价项目，合同当事人可以在专用合同条款约定具体事项。</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pPr>
        <w:pStyle w:val="8"/>
        <w:spacing w:before="0" w:after="0" w:line="288" w:lineRule="auto"/>
        <w:ind w:firstLine="420"/>
        <w:rPr>
          <w:rFonts w:cs="宋体"/>
          <w:b w:val="0"/>
          <w:color w:val="auto"/>
          <w:sz w:val="21"/>
          <w:szCs w:val="21"/>
          <w:highlight w:val="none"/>
        </w:rPr>
      </w:pPr>
      <w:bookmarkStart w:id="372" w:name="_Toc351203575"/>
      <w:r>
        <w:rPr>
          <w:rFonts w:hint="eastAsia" w:cs="宋体"/>
          <w:b w:val="0"/>
          <w:color w:val="auto"/>
          <w:sz w:val="21"/>
          <w:szCs w:val="21"/>
          <w:highlight w:val="none"/>
        </w:rPr>
        <w:t>1</w:t>
      </w:r>
      <w:bookmarkStart w:id="373" w:name="_Toc337558794"/>
      <w:bookmarkStart w:id="374" w:name="_Toc296346591"/>
      <w:bookmarkStart w:id="375" w:name="_Toc296503090"/>
      <w:bookmarkStart w:id="376" w:name="_Toc322522561"/>
      <w:r>
        <w:rPr>
          <w:rFonts w:hint="eastAsia" w:cs="宋体"/>
          <w:b w:val="0"/>
          <w:color w:val="auto"/>
          <w:sz w:val="21"/>
          <w:szCs w:val="21"/>
          <w:highlight w:val="none"/>
        </w:rPr>
        <w:t>0.8暂列金额</w:t>
      </w:r>
      <w:bookmarkEnd w:id="372"/>
    </w:p>
    <w:bookmarkEnd w:id="373"/>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暂列金额应按照发包人的要求使用，发包人的要求应通过监理人发出。合同当事人可以在专用合同条款中协商确定有关事项。</w:t>
      </w:r>
    </w:p>
    <w:bookmarkEnd w:id="374"/>
    <w:bookmarkEnd w:id="375"/>
    <w:bookmarkEnd w:id="376"/>
    <w:p>
      <w:pPr>
        <w:pStyle w:val="8"/>
        <w:spacing w:before="0" w:after="0" w:line="288" w:lineRule="auto"/>
        <w:ind w:firstLine="420"/>
        <w:rPr>
          <w:rFonts w:cs="宋体"/>
          <w:b w:val="0"/>
          <w:color w:val="auto"/>
          <w:sz w:val="21"/>
          <w:szCs w:val="21"/>
          <w:highlight w:val="none"/>
        </w:rPr>
      </w:pPr>
      <w:bookmarkStart w:id="377" w:name="_Toc351203576"/>
      <w:r>
        <w:rPr>
          <w:rFonts w:hint="eastAsia" w:cs="宋体"/>
          <w:b w:val="0"/>
          <w:color w:val="auto"/>
          <w:sz w:val="21"/>
          <w:szCs w:val="21"/>
          <w:highlight w:val="none"/>
        </w:rPr>
        <w:t>1</w:t>
      </w:r>
      <w:bookmarkStart w:id="378" w:name="_Toc296346592"/>
      <w:bookmarkStart w:id="379" w:name="_Toc296503091"/>
      <w:bookmarkStart w:id="380" w:name="_Toc337558796"/>
      <w:r>
        <w:rPr>
          <w:rFonts w:hint="eastAsia" w:cs="宋体"/>
          <w:b w:val="0"/>
          <w:color w:val="auto"/>
          <w:sz w:val="21"/>
          <w:szCs w:val="21"/>
          <w:highlight w:val="none"/>
        </w:rPr>
        <w:t>0.9计日工</w:t>
      </w:r>
      <w:bookmarkEnd w:id="377"/>
      <w:r>
        <w:rPr>
          <w:rFonts w:hint="eastAsia" w:cs="宋体"/>
          <w:b w:val="0"/>
          <w:color w:val="auto"/>
          <w:sz w:val="21"/>
          <w:szCs w:val="21"/>
          <w:highlight w:val="none"/>
        </w:rPr>
        <w:t xml:space="preserve"> </w:t>
      </w:r>
      <w:bookmarkEnd w:id="378"/>
      <w:bookmarkEnd w:id="379"/>
      <w:bookmarkEnd w:id="380"/>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采用计日工计价的任何一项工作，承包人应在该项工作实施过程中，每天提交以下报表和有关凭证报送监理人审查：</w:t>
      </w:r>
    </w:p>
    <w:p>
      <w:pPr>
        <w:spacing w:line="288" w:lineRule="auto"/>
        <w:ind w:firstLine="315" w:firstLineChars="150"/>
        <w:jc w:val="left"/>
        <w:rPr>
          <w:rFonts w:cs="宋体"/>
          <w:color w:val="auto"/>
          <w:kern w:val="0"/>
          <w:szCs w:val="21"/>
          <w:highlight w:val="none"/>
        </w:rPr>
      </w:pPr>
      <w:r>
        <w:rPr>
          <w:rFonts w:hint="eastAsia" w:cs="宋体"/>
          <w:color w:val="auto"/>
          <w:kern w:val="0"/>
          <w:szCs w:val="21"/>
          <w:highlight w:val="none"/>
        </w:rPr>
        <w:t>（1）工作名称、内容和数量；</w:t>
      </w:r>
    </w:p>
    <w:p>
      <w:pPr>
        <w:spacing w:line="288" w:lineRule="auto"/>
        <w:ind w:firstLine="315" w:firstLineChars="150"/>
        <w:jc w:val="left"/>
        <w:rPr>
          <w:rFonts w:cs="宋体"/>
          <w:color w:val="auto"/>
          <w:kern w:val="0"/>
          <w:szCs w:val="21"/>
          <w:highlight w:val="none"/>
        </w:rPr>
      </w:pPr>
      <w:r>
        <w:rPr>
          <w:rFonts w:hint="eastAsia" w:cs="宋体"/>
          <w:color w:val="auto"/>
          <w:kern w:val="0"/>
          <w:szCs w:val="21"/>
          <w:highlight w:val="none"/>
        </w:rPr>
        <w:t>（2）投入该工作的所有人员的姓名、专业、工种、级别和耗用工时；</w:t>
      </w:r>
    </w:p>
    <w:p>
      <w:pPr>
        <w:spacing w:line="288" w:lineRule="auto"/>
        <w:ind w:firstLine="315" w:firstLineChars="150"/>
        <w:jc w:val="left"/>
        <w:rPr>
          <w:rFonts w:cs="宋体"/>
          <w:color w:val="auto"/>
          <w:kern w:val="0"/>
          <w:szCs w:val="21"/>
          <w:highlight w:val="none"/>
        </w:rPr>
      </w:pPr>
      <w:r>
        <w:rPr>
          <w:rFonts w:hint="eastAsia" w:cs="宋体"/>
          <w:color w:val="auto"/>
          <w:kern w:val="0"/>
          <w:szCs w:val="21"/>
          <w:highlight w:val="none"/>
        </w:rPr>
        <w:t>（3）投入该工作的材料类别和数量；</w:t>
      </w:r>
    </w:p>
    <w:p>
      <w:pPr>
        <w:spacing w:line="288" w:lineRule="auto"/>
        <w:ind w:firstLine="315" w:firstLineChars="150"/>
        <w:jc w:val="left"/>
        <w:rPr>
          <w:rFonts w:cs="宋体"/>
          <w:color w:val="auto"/>
          <w:kern w:val="0"/>
          <w:szCs w:val="21"/>
          <w:highlight w:val="none"/>
        </w:rPr>
      </w:pPr>
      <w:r>
        <w:rPr>
          <w:rFonts w:hint="eastAsia" w:cs="宋体"/>
          <w:color w:val="auto"/>
          <w:kern w:val="0"/>
          <w:szCs w:val="21"/>
          <w:highlight w:val="none"/>
        </w:rPr>
        <w:t>（4）投入该工作的施工设备型号、台数和耗用台时；</w:t>
      </w:r>
    </w:p>
    <w:p>
      <w:pPr>
        <w:spacing w:line="288" w:lineRule="auto"/>
        <w:ind w:firstLine="315" w:firstLineChars="150"/>
        <w:jc w:val="left"/>
        <w:rPr>
          <w:rFonts w:cs="宋体"/>
          <w:color w:val="auto"/>
          <w:kern w:val="0"/>
          <w:szCs w:val="21"/>
          <w:highlight w:val="none"/>
        </w:rPr>
      </w:pPr>
      <w:r>
        <w:rPr>
          <w:rFonts w:hint="eastAsia" w:cs="宋体"/>
          <w:color w:val="auto"/>
          <w:kern w:val="0"/>
          <w:szCs w:val="21"/>
          <w:highlight w:val="none"/>
        </w:rPr>
        <w:t>（5）其他有关资料和凭证。</w:t>
      </w:r>
    </w:p>
    <w:p>
      <w:pPr>
        <w:spacing w:line="288" w:lineRule="auto"/>
        <w:ind w:firstLine="315" w:firstLineChars="150"/>
        <w:jc w:val="left"/>
        <w:rPr>
          <w:rFonts w:cs="宋体"/>
          <w:color w:val="auto"/>
          <w:kern w:val="0"/>
          <w:szCs w:val="21"/>
          <w:highlight w:val="none"/>
        </w:rPr>
      </w:pPr>
      <w:r>
        <w:rPr>
          <w:rFonts w:hint="eastAsia" w:cs="宋体"/>
          <w:color w:val="auto"/>
          <w:kern w:val="0"/>
          <w:szCs w:val="21"/>
          <w:highlight w:val="none"/>
        </w:rPr>
        <w:t xml:space="preserve"> 计日工由承包人汇总后，列入最近一期进度付款申请单，由监理人审查并经发包人批准后列入进度付款。</w:t>
      </w:r>
    </w:p>
    <w:p>
      <w:pPr>
        <w:pStyle w:val="7"/>
        <w:spacing w:line="288" w:lineRule="auto"/>
        <w:ind w:firstLine="420"/>
        <w:rPr>
          <w:rFonts w:ascii="宋体" w:hAnsi="宋体" w:cs="宋体"/>
          <w:b w:val="0"/>
          <w:color w:val="auto"/>
          <w:szCs w:val="21"/>
          <w:highlight w:val="none"/>
        </w:rPr>
      </w:pPr>
      <w:bookmarkStart w:id="381" w:name="_Toc351203577"/>
      <w:r>
        <w:rPr>
          <w:rFonts w:hint="eastAsia" w:ascii="宋体" w:hAnsi="宋体" w:cs="宋体"/>
          <w:b w:val="0"/>
          <w:color w:val="auto"/>
          <w:szCs w:val="21"/>
          <w:highlight w:val="none"/>
        </w:rPr>
        <w:t>11. 价格调整</w:t>
      </w:r>
      <w:bookmarkEnd w:id="381"/>
    </w:p>
    <w:p>
      <w:pPr>
        <w:pStyle w:val="8"/>
        <w:spacing w:before="0" w:after="0" w:line="288" w:lineRule="auto"/>
        <w:ind w:firstLine="420"/>
        <w:rPr>
          <w:rFonts w:cs="宋体"/>
          <w:b w:val="0"/>
          <w:color w:val="auto"/>
          <w:sz w:val="21"/>
          <w:szCs w:val="21"/>
          <w:highlight w:val="none"/>
        </w:rPr>
      </w:pPr>
      <w:bookmarkStart w:id="382" w:name="_Toc351203578"/>
      <w:bookmarkStart w:id="383" w:name="_Toc337558797"/>
      <w:bookmarkStart w:id="384" w:name="_Toc296503092"/>
      <w:bookmarkStart w:id="385" w:name="_Toc296346593"/>
      <w:r>
        <w:rPr>
          <w:rFonts w:hint="eastAsia" w:cs="宋体"/>
          <w:b w:val="0"/>
          <w:color w:val="auto"/>
          <w:sz w:val="21"/>
          <w:szCs w:val="21"/>
          <w:highlight w:val="none"/>
        </w:rPr>
        <w:t>11.1市场价格波动引起的调整</w:t>
      </w:r>
      <w:bookmarkEnd w:id="382"/>
    </w:p>
    <w:bookmarkEnd w:id="383"/>
    <w:bookmarkEnd w:id="384"/>
    <w:bookmarkEnd w:id="385"/>
    <w:p>
      <w:pPr>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除专用合同条款另有约定外，市场价格波动超过合同当事人约定的范围，合同价格应当调整。合同当事人可以在专用合同条款中约定选择以下一种方式对合同价格进行调整：</w:t>
      </w:r>
    </w:p>
    <w:p>
      <w:pPr>
        <w:spacing w:line="288" w:lineRule="auto"/>
        <w:ind w:firstLine="420"/>
        <w:rPr>
          <w:rFonts w:cs="宋体"/>
          <w:color w:val="auto"/>
          <w:szCs w:val="21"/>
          <w:highlight w:val="none"/>
        </w:rPr>
      </w:pPr>
      <w:r>
        <w:rPr>
          <w:rFonts w:hint="eastAsia" w:cs="宋体"/>
          <w:color w:val="auto"/>
          <w:szCs w:val="21"/>
          <w:highlight w:val="none"/>
        </w:rPr>
        <w:t>第1种方式：采用价格指数进行价格调整。</w:t>
      </w:r>
    </w:p>
    <w:p>
      <w:pPr>
        <w:tabs>
          <w:tab w:val="left" w:pos="0"/>
          <w:tab w:val="left" w:pos="360"/>
          <w:tab w:val="left" w:pos="540"/>
        </w:tabs>
        <w:spacing w:line="288" w:lineRule="auto"/>
        <w:ind w:firstLine="420"/>
        <w:rPr>
          <w:rFonts w:cs="宋体"/>
          <w:color w:val="auto"/>
          <w:szCs w:val="21"/>
          <w:highlight w:val="none"/>
        </w:rPr>
      </w:pPr>
      <w:r>
        <w:rPr>
          <w:rFonts w:hint="eastAsia" w:cs="宋体"/>
          <w:color w:val="auto"/>
          <w:szCs w:val="21"/>
          <w:highlight w:val="none"/>
        </w:rPr>
        <w:t>（1）价格调整公式</w:t>
      </w:r>
    </w:p>
    <w:p>
      <w:pPr>
        <w:tabs>
          <w:tab w:val="left" w:pos="0"/>
          <w:tab w:val="left" w:pos="360"/>
          <w:tab w:val="left" w:pos="540"/>
        </w:tabs>
        <w:spacing w:line="288" w:lineRule="auto"/>
        <w:ind w:firstLine="420"/>
        <w:rPr>
          <w:rFonts w:cs="宋体"/>
          <w:color w:val="auto"/>
          <w:szCs w:val="21"/>
          <w:highlight w:val="none"/>
        </w:rPr>
      </w:pPr>
      <w:r>
        <w:rPr>
          <w:rFonts w:hint="eastAsia" w:cs="宋体"/>
          <w:color w:val="auto"/>
          <w:szCs w:val="21"/>
          <w:highlight w:val="none"/>
        </w:rPr>
        <w:t>因人工、材料和设备等价格波动影响合同价格时，根据专用合同条款中约定的数据，按以下公式计算差额并调整合同价格：</w:t>
      </w:r>
    </w:p>
    <w:p>
      <w:pPr>
        <w:tabs>
          <w:tab w:val="left" w:pos="0"/>
          <w:tab w:val="left" w:pos="360"/>
          <w:tab w:val="left" w:pos="540"/>
        </w:tabs>
        <w:spacing w:line="288" w:lineRule="auto"/>
        <w:ind w:firstLine="420"/>
        <w:rPr>
          <w:rFonts w:cs="宋体"/>
          <w:color w:val="auto"/>
          <w:szCs w:val="21"/>
          <w:highlight w:val="none"/>
        </w:rPr>
      </w:pPr>
      <w:r>
        <w:rPr>
          <w:rFonts w:hint="eastAsia" w:cs="宋体"/>
          <w:color w:val="auto"/>
          <w:position w:val="-30"/>
          <w:szCs w:val="21"/>
          <w:highlight w:val="none"/>
        </w:rPr>
        <w:object>
          <v:shape id="_x0000_i1025" o:spt="75" type="#_x0000_t75" style="height:43.9pt;width:359.85pt;" o:ole="t" filled="f" o:preferrelative="t" stroked="f" coordsize="21600,21600">
            <v:path/>
            <v:fill on="f" focussize="0,0"/>
            <v:stroke on="f" joinstyle="miter"/>
            <v:imagedata r:id="rId22" o:title=""/>
            <o:lock v:ext="edit" aspectratio="t"/>
            <w10:wrap type="none"/>
            <w10:anchorlock/>
          </v:shape>
          <o:OLEObject Type="Embed" ProgID="Equation.3" ShapeID="_x0000_i1025" DrawAspect="Content" ObjectID="_1468075725" r:id="rId21">
            <o:LockedField>false</o:LockedField>
          </o:OLEObject>
        </w:object>
      </w:r>
    </w:p>
    <w:p>
      <w:pPr>
        <w:tabs>
          <w:tab w:val="left" w:pos="0"/>
          <w:tab w:val="left" w:pos="360"/>
          <w:tab w:val="left" w:pos="540"/>
        </w:tabs>
        <w:spacing w:line="288" w:lineRule="auto"/>
        <w:ind w:firstLine="420"/>
        <w:rPr>
          <w:rFonts w:cs="宋体"/>
          <w:color w:val="auto"/>
          <w:szCs w:val="21"/>
          <w:highlight w:val="none"/>
        </w:rPr>
      </w:pPr>
      <w:r>
        <w:rPr>
          <w:rFonts w:hint="eastAsia" w:cs="宋体"/>
          <w:color w:val="auto"/>
          <w:szCs w:val="21"/>
          <w:highlight w:val="none"/>
        </w:rPr>
        <w:t>公式中：ΔP——需调整的价格差额；</w:t>
      </w:r>
    </w:p>
    <w:p>
      <w:pPr>
        <w:tabs>
          <w:tab w:val="left" w:pos="0"/>
          <w:tab w:val="left" w:pos="360"/>
          <w:tab w:val="left" w:pos="540"/>
        </w:tabs>
        <w:spacing w:line="288" w:lineRule="auto"/>
        <w:ind w:firstLine="1260" w:firstLineChars="600"/>
        <w:rPr>
          <w:rFonts w:cs="宋体"/>
          <w:color w:val="auto"/>
          <w:szCs w:val="21"/>
          <w:highlight w:val="none"/>
        </w:rPr>
      </w:pPr>
      <w:r>
        <w:rPr>
          <w:rFonts w:hint="eastAsia" w:cs="宋体"/>
          <w:color w:val="auto"/>
          <w:position w:val="-6"/>
          <w:szCs w:val="21"/>
          <w:highlight w:val="none"/>
        </w:rPr>
        <w:object>
          <v:shape id="_x0000_i1026" o:spt="75" type="#_x0000_t75" style="height:17.95pt;width:17.95pt;" o:ole="t" filled="f" o:preferrelative="t" stroked="f" coordsize="21600,21600">
            <v:path/>
            <v:fill on="f" focussize="0,0"/>
            <v:stroke on="f" joinstyle="miter"/>
            <v:imagedata r:id="rId24" o:title=""/>
            <o:lock v:ext="edit" aspectratio="t"/>
            <w10:wrap type="none"/>
            <w10:anchorlock/>
          </v:shape>
          <o:OLEObject Type="Embed" ProgID="Equation.3" ShapeID="_x0000_i1026" DrawAspect="Content" ObjectID="_1468075726" r:id="rId23">
            <o:LockedField>false</o:LockedField>
          </o:OLEObject>
        </w:object>
      </w:r>
      <w:r>
        <w:rPr>
          <w:rFonts w:hint="eastAsia" w:cs="宋体"/>
          <w:color w:val="auto"/>
          <w:szCs w:val="21"/>
          <w:highlight w:val="none"/>
        </w:rPr>
        <w:t>——约定的付款证书中承包人应得到的已完成工程量的金额。此项金额应不包括价格调整、不计质量保证金的扣留和支付、预付款的支付和扣回。约定的变更及其他金额已按现行价格计价的，也不计在内；</w:t>
      </w:r>
    </w:p>
    <w:p>
      <w:pPr>
        <w:tabs>
          <w:tab w:val="left" w:pos="0"/>
          <w:tab w:val="left" w:pos="360"/>
          <w:tab w:val="left" w:pos="540"/>
        </w:tabs>
        <w:spacing w:line="288" w:lineRule="auto"/>
        <w:ind w:firstLine="420"/>
        <w:rPr>
          <w:rFonts w:cs="宋体"/>
          <w:color w:val="auto"/>
          <w:szCs w:val="21"/>
          <w:highlight w:val="none"/>
        </w:rPr>
      </w:pPr>
      <w:r>
        <w:rPr>
          <w:rFonts w:hint="eastAsia" w:cs="宋体"/>
          <w:color w:val="auto"/>
          <w:szCs w:val="21"/>
          <w:highlight w:val="none"/>
        </w:rPr>
        <w:t>A——定值权重（即不调部分的权重）；</w:t>
      </w:r>
    </w:p>
    <w:p>
      <w:pPr>
        <w:tabs>
          <w:tab w:val="left" w:pos="0"/>
          <w:tab w:val="left" w:pos="360"/>
          <w:tab w:val="left" w:pos="540"/>
        </w:tabs>
        <w:spacing w:line="288" w:lineRule="auto"/>
        <w:ind w:firstLine="420"/>
        <w:rPr>
          <w:rFonts w:cs="宋体"/>
          <w:color w:val="auto"/>
          <w:szCs w:val="21"/>
          <w:highlight w:val="none"/>
        </w:rPr>
      </w:pPr>
      <w:r>
        <w:rPr>
          <w:rFonts w:hint="eastAsia" w:cs="宋体"/>
          <w:color w:val="auto"/>
          <w:position w:val="-10"/>
          <w:szCs w:val="21"/>
          <w:highlight w:val="none"/>
        </w:rPr>
        <w:object>
          <v:shape id="_x0000_i1027" o:spt="75" type="#_x0000_t75" style="height:21.05pt;width:101pt;" o:ole="t" filled="f" o:preferrelative="t" stroked="f" coordsize="21600,21600">
            <v:path/>
            <v:fill on="f" focussize="0,0"/>
            <v:stroke on="f" joinstyle="miter"/>
            <v:imagedata r:id="rId26" o:title=""/>
            <o:lock v:ext="edit" aspectratio="t"/>
            <w10:wrap type="none"/>
            <w10:anchorlock/>
          </v:shape>
          <o:OLEObject Type="Embed" ProgID="Equation.3" ShapeID="_x0000_i1027" DrawAspect="Content" ObjectID="_1468075727" r:id="rId25">
            <o:LockedField>false</o:LockedField>
          </o:OLEObject>
        </w:object>
      </w:r>
      <w:r>
        <w:rPr>
          <w:rFonts w:hint="eastAsia" w:cs="宋体"/>
          <w:color w:val="auto"/>
          <w:szCs w:val="21"/>
          <w:highlight w:val="none"/>
        </w:rPr>
        <w:t>——各可调因子的变值权重（即可调部分的权重），为各可调因子在签约合同价中所占的比例；</w:t>
      </w:r>
    </w:p>
    <w:p>
      <w:pPr>
        <w:tabs>
          <w:tab w:val="left" w:pos="0"/>
          <w:tab w:val="left" w:pos="360"/>
          <w:tab w:val="left" w:pos="540"/>
        </w:tabs>
        <w:spacing w:line="288" w:lineRule="auto"/>
        <w:ind w:firstLine="420"/>
        <w:rPr>
          <w:rFonts w:cs="宋体"/>
          <w:color w:val="auto"/>
          <w:szCs w:val="21"/>
          <w:highlight w:val="none"/>
        </w:rPr>
      </w:pPr>
      <w:r>
        <w:rPr>
          <w:rFonts w:hint="eastAsia" w:cs="宋体"/>
          <w:color w:val="auto"/>
          <w:position w:val="-10"/>
          <w:szCs w:val="21"/>
          <w:highlight w:val="none"/>
        </w:rPr>
        <w:object>
          <v:shape id="_x0000_i1028" o:spt="75" type="#_x0000_t75" style="height:20.6pt;width:102.05pt;" o:ole="t" filled="f" o:preferrelative="t" stroked="f" coordsize="21600,21600">
            <v:path/>
            <v:fill on="f" focussize="0,0"/>
            <v:stroke on="f" joinstyle="miter"/>
            <v:imagedata r:id="rId28" o:title=""/>
            <o:lock v:ext="edit" aspectratio="t"/>
            <w10:wrap type="none"/>
            <w10:anchorlock/>
          </v:shape>
          <o:OLEObject Type="Embed" ProgID="Equation.3" ShapeID="_x0000_i1028" DrawAspect="Content" ObjectID="_1468075728" r:id="rId27">
            <o:LockedField>false</o:LockedField>
          </o:OLEObject>
        </w:object>
      </w:r>
      <w:r>
        <w:rPr>
          <w:rFonts w:hint="eastAsia" w:cs="宋体"/>
          <w:color w:val="auto"/>
          <w:szCs w:val="21"/>
          <w:highlight w:val="none"/>
        </w:rPr>
        <w:t>——各可调因子的现行价格指数，指约定的付款证书相关周期最后一天的前42天的各可调因子的价格指数；</w:t>
      </w:r>
    </w:p>
    <w:p>
      <w:pPr>
        <w:tabs>
          <w:tab w:val="left" w:pos="0"/>
          <w:tab w:val="left" w:pos="360"/>
          <w:tab w:val="left" w:pos="540"/>
        </w:tabs>
        <w:spacing w:line="288" w:lineRule="auto"/>
        <w:ind w:firstLine="420"/>
        <w:rPr>
          <w:rFonts w:cs="宋体"/>
          <w:color w:val="auto"/>
          <w:szCs w:val="21"/>
          <w:highlight w:val="none"/>
        </w:rPr>
      </w:pPr>
      <w:r>
        <w:rPr>
          <w:rFonts w:hint="eastAsia" w:cs="宋体"/>
          <w:color w:val="auto"/>
          <w:position w:val="-10"/>
          <w:szCs w:val="21"/>
          <w:highlight w:val="none"/>
        </w:rPr>
        <w:object>
          <v:shape id="_x0000_i1029" o:spt="75" type="#_x0000_t75" style="height:20.2pt;width:108pt;" o:ole="t" filled="f" o:preferrelative="t" stroked="f" coordsize="21600,21600">
            <v:path/>
            <v:fill on="f" focussize="0,0"/>
            <v:stroke on="f" joinstyle="miter"/>
            <v:imagedata r:id="rId30" o:title=""/>
            <o:lock v:ext="edit" aspectratio="t"/>
            <w10:wrap type="none"/>
            <w10:anchorlock/>
          </v:shape>
          <o:OLEObject Type="Embed" ProgID="Equation.3" ShapeID="_x0000_i1029" DrawAspect="Content" ObjectID="_1468075729" r:id="rId29">
            <o:LockedField>false</o:LockedField>
          </o:OLEObject>
        </w:object>
      </w:r>
      <w:r>
        <w:rPr>
          <w:rFonts w:hint="eastAsia" w:cs="宋体"/>
          <w:color w:val="auto"/>
          <w:szCs w:val="21"/>
          <w:highlight w:val="none"/>
        </w:rPr>
        <w:t>——各可调因子的基本价格指数，指基准日期的各可调因子的价格指数。</w:t>
      </w:r>
    </w:p>
    <w:p>
      <w:pPr>
        <w:tabs>
          <w:tab w:val="left" w:pos="0"/>
          <w:tab w:val="left" w:pos="360"/>
          <w:tab w:val="left" w:pos="540"/>
        </w:tabs>
        <w:spacing w:line="288" w:lineRule="auto"/>
        <w:ind w:firstLine="420"/>
        <w:rPr>
          <w:rFonts w:cs="宋体"/>
          <w:color w:val="auto"/>
          <w:szCs w:val="21"/>
          <w:highlight w:val="none"/>
        </w:rPr>
      </w:pPr>
      <w:r>
        <w:rPr>
          <w:rFonts w:hint="eastAsia" w:cs="宋体"/>
          <w:color w:val="auto"/>
          <w:szCs w:val="21"/>
          <w:highlight w:val="none"/>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pPr>
        <w:tabs>
          <w:tab w:val="left" w:pos="0"/>
          <w:tab w:val="left" w:pos="360"/>
          <w:tab w:val="left" w:pos="540"/>
        </w:tabs>
        <w:spacing w:line="288" w:lineRule="auto"/>
        <w:ind w:firstLine="420"/>
        <w:rPr>
          <w:rFonts w:cs="宋体"/>
          <w:color w:val="auto"/>
          <w:szCs w:val="21"/>
          <w:highlight w:val="none"/>
        </w:rPr>
      </w:pPr>
      <w:r>
        <w:rPr>
          <w:rFonts w:hint="eastAsia" w:cs="宋体"/>
          <w:color w:val="auto"/>
          <w:szCs w:val="21"/>
          <w:highlight w:val="none"/>
        </w:rPr>
        <w:t>（2）暂时确定调整差额</w:t>
      </w:r>
    </w:p>
    <w:p>
      <w:pPr>
        <w:tabs>
          <w:tab w:val="left" w:pos="0"/>
          <w:tab w:val="left" w:pos="360"/>
          <w:tab w:val="left" w:pos="540"/>
        </w:tabs>
        <w:spacing w:line="288" w:lineRule="auto"/>
        <w:ind w:firstLine="420"/>
        <w:rPr>
          <w:rFonts w:cs="宋体"/>
          <w:color w:val="auto"/>
          <w:szCs w:val="21"/>
          <w:highlight w:val="none"/>
        </w:rPr>
      </w:pPr>
      <w:r>
        <w:rPr>
          <w:rFonts w:hint="eastAsia" w:cs="宋体"/>
          <w:color w:val="auto"/>
          <w:szCs w:val="21"/>
          <w:highlight w:val="none"/>
        </w:rPr>
        <w:t>在计算调整差额时无现行价格指数的，合同当事人同意暂用前次价格指数计算。实际价格指数有调整的，合同当事人进行相应调整。</w:t>
      </w:r>
    </w:p>
    <w:p>
      <w:pPr>
        <w:tabs>
          <w:tab w:val="left" w:pos="0"/>
          <w:tab w:val="left" w:pos="360"/>
          <w:tab w:val="left" w:pos="540"/>
        </w:tabs>
        <w:spacing w:line="288" w:lineRule="auto"/>
        <w:ind w:firstLine="420"/>
        <w:rPr>
          <w:rFonts w:cs="宋体"/>
          <w:color w:val="auto"/>
          <w:szCs w:val="21"/>
          <w:highlight w:val="none"/>
        </w:rPr>
      </w:pPr>
      <w:r>
        <w:rPr>
          <w:rFonts w:hint="eastAsia" w:cs="宋体"/>
          <w:color w:val="auto"/>
          <w:szCs w:val="21"/>
          <w:highlight w:val="none"/>
        </w:rPr>
        <w:t>（3）权重的调整</w:t>
      </w:r>
    </w:p>
    <w:p>
      <w:pPr>
        <w:tabs>
          <w:tab w:val="left" w:pos="0"/>
          <w:tab w:val="left" w:pos="360"/>
          <w:tab w:val="left" w:pos="540"/>
        </w:tabs>
        <w:spacing w:line="288" w:lineRule="auto"/>
        <w:ind w:firstLine="420"/>
        <w:rPr>
          <w:rFonts w:cs="宋体"/>
          <w:color w:val="auto"/>
          <w:szCs w:val="21"/>
          <w:highlight w:val="none"/>
        </w:rPr>
      </w:pPr>
      <w:r>
        <w:rPr>
          <w:rFonts w:hint="eastAsia" w:cs="宋体"/>
          <w:color w:val="auto"/>
          <w:szCs w:val="21"/>
          <w:highlight w:val="none"/>
        </w:rPr>
        <w:t>因变更导致合同约定的权重不合理时，按照第4.4款〔商定或确定〕执行。</w:t>
      </w:r>
    </w:p>
    <w:p>
      <w:pPr>
        <w:tabs>
          <w:tab w:val="left" w:pos="0"/>
          <w:tab w:val="left" w:pos="360"/>
          <w:tab w:val="left" w:pos="540"/>
        </w:tabs>
        <w:spacing w:line="288" w:lineRule="auto"/>
        <w:ind w:firstLine="420"/>
        <w:rPr>
          <w:rFonts w:cs="宋体"/>
          <w:color w:val="auto"/>
          <w:szCs w:val="21"/>
          <w:highlight w:val="none"/>
        </w:rPr>
      </w:pPr>
      <w:r>
        <w:rPr>
          <w:rFonts w:hint="eastAsia" w:cs="宋体"/>
          <w:color w:val="auto"/>
          <w:szCs w:val="21"/>
          <w:highlight w:val="none"/>
        </w:rPr>
        <w:t>（4）因承包人原因工期延误后的价格调整</w:t>
      </w:r>
    </w:p>
    <w:p>
      <w:pPr>
        <w:tabs>
          <w:tab w:val="left" w:pos="0"/>
          <w:tab w:val="left" w:pos="360"/>
          <w:tab w:val="left" w:pos="540"/>
        </w:tabs>
        <w:spacing w:line="288" w:lineRule="auto"/>
        <w:ind w:firstLine="420"/>
        <w:rPr>
          <w:rFonts w:cs="宋体"/>
          <w:color w:val="auto"/>
          <w:szCs w:val="21"/>
          <w:highlight w:val="none"/>
        </w:rPr>
      </w:pPr>
      <w:r>
        <w:rPr>
          <w:rFonts w:hint="eastAsia" w:cs="宋体"/>
          <w:color w:val="auto"/>
          <w:szCs w:val="21"/>
          <w:highlight w:val="none"/>
        </w:rPr>
        <w:t>因承包人原因未按期竣工的，对合同约定的竣工日期后继续施工的工程，在使用价格调整公式时，应采用计划竣工日期与实际竣工日期的两个价格指数中较低的一个作为现行价格指数。</w:t>
      </w:r>
    </w:p>
    <w:p>
      <w:pPr>
        <w:spacing w:line="288" w:lineRule="auto"/>
        <w:ind w:firstLine="420"/>
        <w:rPr>
          <w:rFonts w:cs="宋体"/>
          <w:color w:val="auto"/>
          <w:szCs w:val="21"/>
          <w:highlight w:val="none"/>
        </w:rPr>
      </w:pPr>
      <w:r>
        <w:rPr>
          <w:rFonts w:hint="eastAsia" w:cs="宋体"/>
          <w:color w:val="auto"/>
          <w:szCs w:val="21"/>
          <w:highlight w:val="none"/>
        </w:rPr>
        <w:t>第2种方式：采用造价信息进行价格调整。</w:t>
      </w:r>
    </w:p>
    <w:p>
      <w:pPr>
        <w:spacing w:line="288" w:lineRule="auto"/>
        <w:ind w:firstLine="420"/>
        <w:rPr>
          <w:rFonts w:cs="宋体"/>
          <w:color w:val="auto"/>
          <w:szCs w:val="21"/>
          <w:highlight w:val="none"/>
        </w:rPr>
      </w:pPr>
      <w:r>
        <w:rPr>
          <w:rFonts w:hint="eastAsia" w:cs="宋体"/>
          <w:color w:val="auto"/>
          <w:szCs w:val="21"/>
          <w:highlight w:val="none"/>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pPr>
        <w:spacing w:line="288" w:lineRule="auto"/>
        <w:ind w:firstLine="420"/>
        <w:rPr>
          <w:rFonts w:cs="宋体"/>
          <w:color w:val="auto"/>
          <w:szCs w:val="21"/>
          <w:highlight w:val="none"/>
        </w:rPr>
      </w:pPr>
      <w:r>
        <w:rPr>
          <w:rFonts w:hint="eastAsia" w:cs="宋体"/>
          <w:color w:val="auto"/>
          <w:szCs w:val="21"/>
          <w:highlight w:val="none"/>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pPr>
        <w:spacing w:line="288" w:lineRule="auto"/>
        <w:ind w:firstLine="420"/>
        <w:rPr>
          <w:rFonts w:cs="宋体"/>
          <w:color w:val="auto"/>
          <w:szCs w:val="21"/>
          <w:highlight w:val="none"/>
        </w:rPr>
      </w:pPr>
      <w:r>
        <w:rPr>
          <w:rFonts w:hint="eastAsia" w:cs="宋体"/>
          <w:color w:val="auto"/>
          <w:szCs w:val="21"/>
          <w:highlight w:val="none"/>
        </w:rPr>
        <w:t>（2）材料、工程设备价格变化的价款调整按照发包人提供的基准价格，按以下风险范围规定执行:</w:t>
      </w:r>
    </w:p>
    <w:p>
      <w:pPr>
        <w:spacing w:line="288" w:lineRule="auto"/>
        <w:ind w:firstLine="420"/>
        <w:rPr>
          <w:rFonts w:cs="宋体"/>
          <w:color w:val="auto"/>
          <w:szCs w:val="21"/>
          <w:highlight w:val="none"/>
        </w:rPr>
      </w:pPr>
      <w:r>
        <w:rPr>
          <w:rFonts w:hint="eastAsia" w:cs="宋体"/>
          <w:color w:val="auto"/>
          <w:szCs w:val="21"/>
          <w:highlight w:val="none"/>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pPr>
        <w:spacing w:line="288" w:lineRule="auto"/>
        <w:ind w:firstLine="420"/>
        <w:rPr>
          <w:rFonts w:cs="宋体"/>
          <w:color w:val="auto"/>
          <w:szCs w:val="21"/>
          <w:highlight w:val="none"/>
        </w:rPr>
      </w:pPr>
      <w:r>
        <w:rPr>
          <w:rFonts w:hint="eastAsia" w:cs="宋体"/>
          <w:color w:val="auto"/>
          <w:szCs w:val="21"/>
          <w:highlight w:val="none"/>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pPr>
        <w:spacing w:line="288" w:lineRule="auto"/>
        <w:ind w:firstLine="420"/>
        <w:rPr>
          <w:rFonts w:cs="宋体"/>
          <w:color w:val="auto"/>
          <w:szCs w:val="21"/>
          <w:highlight w:val="none"/>
        </w:rPr>
      </w:pPr>
      <w:r>
        <w:rPr>
          <w:rFonts w:hint="eastAsia" w:cs="宋体"/>
          <w:color w:val="auto"/>
          <w:szCs w:val="21"/>
          <w:highlight w:val="none"/>
        </w:rPr>
        <w:t>③承包人在已标价工程量清单或预算书中载明材料单价等于基准价格的：除专用合同条款另有约定外，合同履行期间材料单价涨跌幅以基准价格为基础超过±5%时，其超过部分据实调整。</w:t>
      </w:r>
    </w:p>
    <w:p>
      <w:pPr>
        <w:spacing w:line="288" w:lineRule="auto"/>
        <w:ind w:firstLine="420"/>
        <w:rPr>
          <w:rFonts w:cs="宋体"/>
          <w:color w:val="auto"/>
          <w:szCs w:val="21"/>
          <w:highlight w:val="none"/>
        </w:rPr>
      </w:pPr>
      <w:r>
        <w:rPr>
          <w:rFonts w:hint="eastAsia" w:cs="宋体"/>
          <w:color w:val="auto"/>
          <w:szCs w:val="21"/>
          <w:highlight w:val="none"/>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pPr>
        <w:spacing w:line="288" w:lineRule="auto"/>
        <w:ind w:firstLine="420"/>
        <w:rPr>
          <w:rFonts w:cs="宋体"/>
          <w:color w:val="auto"/>
          <w:szCs w:val="21"/>
          <w:highlight w:val="none"/>
        </w:rPr>
      </w:pPr>
      <w:bookmarkStart w:id="386" w:name="OLE_LINK3"/>
      <w:r>
        <w:rPr>
          <w:rFonts w:hint="eastAsia" w:cs="宋体"/>
          <w:color w:val="auto"/>
          <w:szCs w:val="21"/>
          <w:highlight w:val="none"/>
        </w:rPr>
        <w:t>前述基准价格是指由发包人在招标文件或专用合同条款中给定的材料、工程设备的价格，该价格原则上应当按照省级或行业建设主管部门或其授权的工程造价管理机构发布的信息价编制。</w:t>
      </w:r>
    </w:p>
    <w:p>
      <w:pPr>
        <w:spacing w:line="288" w:lineRule="auto"/>
        <w:ind w:firstLine="420"/>
        <w:rPr>
          <w:rFonts w:cs="宋体"/>
          <w:color w:val="auto"/>
          <w:szCs w:val="21"/>
          <w:highlight w:val="none"/>
        </w:rPr>
      </w:pPr>
      <w:r>
        <w:rPr>
          <w:rFonts w:hint="eastAsia" w:cs="宋体"/>
          <w:color w:val="auto"/>
          <w:szCs w:val="21"/>
          <w:highlight w:val="none"/>
        </w:rPr>
        <w:t>（3）施工机械台班单价或施工机械使用费发生变化超过省级或行业建设主管部门或其授权的工程造价管理机构规定的范围时，按规定调整合同价格。</w:t>
      </w:r>
    </w:p>
    <w:p>
      <w:pPr>
        <w:spacing w:line="288" w:lineRule="auto"/>
        <w:ind w:firstLine="420"/>
        <w:rPr>
          <w:rFonts w:cs="宋体"/>
          <w:color w:val="auto"/>
          <w:szCs w:val="21"/>
          <w:highlight w:val="none"/>
        </w:rPr>
      </w:pPr>
      <w:r>
        <w:rPr>
          <w:rFonts w:hint="eastAsia" w:cs="宋体"/>
          <w:color w:val="auto"/>
          <w:szCs w:val="21"/>
          <w:highlight w:val="none"/>
        </w:rPr>
        <w:t>第3种方式：专用合同条款约定的其他方式。</w:t>
      </w:r>
    </w:p>
    <w:p>
      <w:pPr>
        <w:pStyle w:val="8"/>
        <w:spacing w:before="0" w:after="0" w:line="288" w:lineRule="auto"/>
        <w:ind w:firstLine="420"/>
        <w:rPr>
          <w:rFonts w:cs="宋体"/>
          <w:b w:val="0"/>
          <w:color w:val="auto"/>
          <w:sz w:val="21"/>
          <w:szCs w:val="21"/>
          <w:highlight w:val="none"/>
        </w:rPr>
      </w:pPr>
      <w:bookmarkStart w:id="387" w:name="_Toc351203579"/>
      <w:bookmarkStart w:id="388" w:name="_Toc296503093"/>
      <w:bookmarkStart w:id="389" w:name="_Toc296346594"/>
      <w:bookmarkStart w:id="390" w:name="_Toc337558798"/>
      <w:r>
        <w:rPr>
          <w:rFonts w:hint="eastAsia" w:cs="宋体"/>
          <w:b w:val="0"/>
          <w:color w:val="auto"/>
          <w:sz w:val="21"/>
          <w:szCs w:val="21"/>
          <w:highlight w:val="none"/>
        </w:rPr>
        <w:t>11.2法律变化引起的调整</w:t>
      </w:r>
      <w:bookmarkEnd w:id="387"/>
    </w:p>
    <w:bookmarkEnd w:id="388"/>
    <w:bookmarkEnd w:id="389"/>
    <w:bookmarkEnd w:id="390"/>
    <w:p>
      <w:pPr>
        <w:spacing w:line="288" w:lineRule="auto"/>
        <w:ind w:firstLine="420"/>
        <w:rPr>
          <w:rFonts w:cs="宋体"/>
          <w:color w:val="auto"/>
          <w:szCs w:val="21"/>
          <w:highlight w:val="none"/>
        </w:rPr>
      </w:pPr>
      <w:r>
        <w:rPr>
          <w:rFonts w:hint="eastAsia" w:cs="宋体"/>
          <w:color w:val="auto"/>
          <w:szCs w:val="21"/>
          <w:highlight w:val="none"/>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pPr>
        <w:spacing w:line="288" w:lineRule="auto"/>
        <w:ind w:firstLine="420"/>
        <w:rPr>
          <w:rFonts w:cs="宋体"/>
          <w:color w:val="auto"/>
          <w:szCs w:val="21"/>
          <w:highlight w:val="none"/>
        </w:rPr>
      </w:pPr>
      <w:r>
        <w:rPr>
          <w:rFonts w:hint="eastAsia" w:cs="宋体"/>
          <w:color w:val="auto"/>
          <w:szCs w:val="21"/>
          <w:highlight w:val="none"/>
        </w:rPr>
        <w:t>因法律变化引起的合同价格和工期调整，合同当事人无法达成一致的，由总监理工程师按第4.4款〔商定或确定〕的约定处理。</w:t>
      </w:r>
    </w:p>
    <w:p>
      <w:pPr>
        <w:spacing w:line="288" w:lineRule="auto"/>
        <w:ind w:firstLine="420"/>
        <w:rPr>
          <w:rFonts w:cs="宋体"/>
          <w:color w:val="auto"/>
          <w:szCs w:val="21"/>
          <w:highlight w:val="none"/>
        </w:rPr>
      </w:pPr>
      <w:r>
        <w:rPr>
          <w:rFonts w:hint="eastAsia" w:cs="宋体"/>
          <w:color w:val="auto"/>
          <w:kern w:val="0"/>
          <w:szCs w:val="21"/>
          <w:highlight w:val="none"/>
        </w:rPr>
        <w:t>因承包人原因造成工期延误，在工期延误期间出现法律变化的，由此增加的费用和（或）延误的工期由承包人承担。</w:t>
      </w:r>
    </w:p>
    <w:p>
      <w:pPr>
        <w:pStyle w:val="7"/>
        <w:spacing w:line="288" w:lineRule="auto"/>
        <w:ind w:firstLine="420"/>
        <w:rPr>
          <w:rFonts w:ascii="宋体" w:hAnsi="宋体" w:cs="宋体"/>
          <w:b w:val="0"/>
          <w:color w:val="auto"/>
          <w:szCs w:val="21"/>
          <w:highlight w:val="none"/>
        </w:rPr>
      </w:pPr>
      <w:bookmarkStart w:id="391" w:name="_Toc351203580"/>
      <w:bookmarkStart w:id="392" w:name="_Toc337558799"/>
      <w:bookmarkStart w:id="393" w:name="_Toc296503096"/>
      <w:bookmarkStart w:id="394" w:name="_Toc296346597"/>
      <w:r>
        <w:rPr>
          <w:rFonts w:hint="eastAsia" w:ascii="宋体" w:hAnsi="宋体" w:cs="宋体"/>
          <w:b w:val="0"/>
          <w:color w:val="auto"/>
          <w:szCs w:val="21"/>
          <w:highlight w:val="none"/>
        </w:rPr>
        <w:t>12. 合同价格、计量与支付</w:t>
      </w:r>
      <w:bookmarkEnd w:id="391"/>
    </w:p>
    <w:bookmarkEnd w:id="392"/>
    <w:p>
      <w:pPr>
        <w:pStyle w:val="8"/>
        <w:spacing w:before="0" w:after="0" w:line="288" w:lineRule="auto"/>
        <w:ind w:firstLine="420"/>
        <w:rPr>
          <w:rFonts w:cs="宋体"/>
          <w:b w:val="0"/>
          <w:color w:val="auto"/>
          <w:sz w:val="21"/>
          <w:szCs w:val="21"/>
          <w:highlight w:val="none"/>
        </w:rPr>
      </w:pPr>
      <w:bookmarkStart w:id="395" w:name="_Toc351203581"/>
      <w:bookmarkStart w:id="396" w:name="_Toc337558800"/>
      <w:r>
        <w:rPr>
          <w:rFonts w:hint="eastAsia" w:cs="宋体"/>
          <w:b w:val="0"/>
          <w:color w:val="auto"/>
          <w:sz w:val="21"/>
          <w:szCs w:val="21"/>
          <w:highlight w:val="none"/>
        </w:rPr>
        <w:t>12.1 合同价</w:t>
      </w:r>
      <w:bookmarkEnd w:id="393"/>
      <w:bookmarkEnd w:id="394"/>
      <w:r>
        <w:rPr>
          <w:rFonts w:hint="eastAsia" w:cs="宋体"/>
          <w:b w:val="0"/>
          <w:color w:val="auto"/>
          <w:sz w:val="21"/>
          <w:szCs w:val="21"/>
          <w:highlight w:val="none"/>
        </w:rPr>
        <w:t>格形式</w:t>
      </w:r>
      <w:bookmarkEnd w:id="395"/>
    </w:p>
    <w:bookmarkEnd w:id="396"/>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 xml:space="preserve">发包人和承包人应在合同协议书中选择下列一种合同价格形式： </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1.单价合同</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单价合同是指合同当事人约定以工程量清单及其综合单价进行合同价格计算、调整和确认的建设工程施工合同，</w:t>
      </w:r>
      <w:r>
        <w:rPr>
          <w:rFonts w:hint="eastAsia" w:cs="宋体"/>
          <w:color w:val="auto"/>
          <w:szCs w:val="21"/>
          <w:highlight w:val="none"/>
        </w:rPr>
        <w:t>在约定的范围内合同单价不作调整</w:t>
      </w:r>
      <w:r>
        <w:rPr>
          <w:rFonts w:hint="eastAsia" w:cs="宋体"/>
          <w:color w:val="auto"/>
          <w:kern w:val="0"/>
          <w:szCs w:val="21"/>
          <w:highlight w:val="none"/>
        </w:rPr>
        <w:t>。合同当事人应在专用合同条款中约定综合单价包含的风险范围和风险费用的计算方法</w:t>
      </w:r>
      <w:r>
        <w:rPr>
          <w:rFonts w:hint="eastAsia" w:cs="宋体"/>
          <w:color w:val="auto"/>
          <w:szCs w:val="21"/>
          <w:highlight w:val="none"/>
        </w:rPr>
        <w:t>，</w:t>
      </w:r>
      <w:r>
        <w:rPr>
          <w:rFonts w:hint="eastAsia" w:cs="宋体"/>
          <w:color w:val="auto"/>
          <w:kern w:val="0"/>
          <w:szCs w:val="21"/>
          <w:highlight w:val="none"/>
        </w:rPr>
        <w:t>并约定风险范围以外的合同价格的调整方法，其中因市场价格波动引起的调整按第11.1款〔市场价格波动引起的调整〕约定执行。</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2.总价合同</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总价合同是指合同当事人约定以施工图、已标价工程量清单或预算书及有关条件进行合同价格计算、调整和确认的建设工程施工合同，</w:t>
      </w:r>
      <w:r>
        <w:rPr>
          <w:rFonts w:hint="eastAsia" w:cs="宋体"/>
          <w:color w:val="auto"/>
          <w:szCs w:val="21"/>
          <w:highlight w:val="none"/>
        </w:rPr>
        <w:t>在约定的范围内合同总价不作调整</w:t>
      </w:r>
      <w:r>
        <w:rPr>
          <w:rFonts w:hint="eastAsia" w:cs="宋体"/>
          <w:color w:val="auto"/>
          <w:kern w:val="0"/>
          <w:szCs w:val="21"/>
          <w:highlight w:val="none"/>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3.其它价格形式</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合同当事人可在专用合同条款中约定其他合同价格形式。</w:t>
      </w:r>
    </w:p>
    <w:p>
      <w:pPr>
        <w:pStyle w:val="8"/>
        <w:spacing w:before="0" w:after="0" w:line="288" w:lineRule="auto"/>
        <w:ind w:firstLine="420"/>
        <w:rPr>
          <w:rFonts w:cs="宋体"/>
          <w:b w:val="0"/>
          <w:color w:val="auto"/>
          <w:sz w:val="21"/>
          <w:szCs w:val="21"/>
          <w:highlight w:val="none"/>
        </w:rPr>
      </w:pPr>
      <w:bookmarkStart w:id="397" w:name="_Toc296503097"/>
      <w:bookmarkStart w:id="398" w:name="_Toc296346598"/>
      <w:bookmarkStart w:id="399" w:name="_Toc351203582"/>
      <w:bookmarkStart w:id="400" w:name="_Toc337558801"/>
      <w:r>
        <w:rPr>
          <w:rFonts w:hint="eastAsia" w:cs="宋体"/>
          <w:b w:val="0"/>
          <w:color w:val="auto"/>
          <w:sz w:val="21"/>
          <w:szCs w:val="21"/>
          <w:highlight w:val="none"/>
        </w:rPr>
        <w:t>12.2预</w:t>
      </w:r>
      <w:bookmarkEnd w:id="397"/>
      <w:bookmarkEnd w:id="398"/>
      <w:bookmarkStart w:id="401" w:name="_Toc296503100"/>
      <w:bookmarkStart w:id="402" w:name="_Toc296346601"/>
      <w:r>
        <w:rPr>
          <w:rFonts w:hint="eastAsia" w:cs="宋体"/>
          <w:b w:val="0"/>
          <w:color w:val="auto"/>
          <w:sz w:val="21"/>
          <w:szCs w:val="21"/>
          <w:highlight w:val="none"/>
        </w:rPr>
        <w:t>付款</w:t>
      </w:r>
      <w:bookmarkEnd w:id="399"/>
    </w:p>
    <w:bookmarkEnd w:id="400"/>
    <w:bookmarkEnd w:id="401"/>
    <w:bookmarkEnd w:id="402"/>
    <w:p>
      <w:pPr>
        <w:spacing w:line="288" w:lineRule="auto"/>
        <w:ind w:firstLine="420"/>
        <w:jc w:val="left"/>
        <w:rPr>
          <w:rFonts w:cs="宋体"/>
          <w:color w:val="auto"/>
          <w:kern w:val="0"/>
          <w:szCs w:val="21"/>
          <w:highlight w:val="none"/>
        </w:rPr>
      </w:pPr>
      <w:r>
        <w:rPr>
          <w:rFonts w:hint="eastAsia" w:cs="宋体"/>
          <w:color w:val="auto"/>
          <w:szCs w:val="21"/>
          <w:highlight w:val="none"/>
        </w:rPr>
        <w:t>12.2.</w:t>
      </w:r>
      <w:r>
        <w:rPr>
          <w:rFonts w:hint="eastAsia" w:cs="宋体"/>
          <w:color w:val="auto"/>
          <w:kern w:val="0"/>
          <w:szCs w:val="21"/>
          <w:highlight w:val="none"/>
        </w:rPr>
        <w:t>1预付款的支付</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预付款的支付按照专用合同条款约定执行，但至迟应在开工通知载明的开工日期7天前支付。预付款应当用于材料、工程设备、施工设备的采购及修建临时工程、组织施工队伍进场等。</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除专用合同条款另有约定外，预付款在进度付款中同比例扣回。</w:t>
      </w:r>
      <w:bookmarkEnd w:id="386"/>
      <w:r>
        <w:rPr>
          <w:rFonts w:hint="eastAsia" w:cs="宋体"/>
          <w:color w:val="auto"/>
          <w:kern w:val="0"/>
          <w:szCs w:val="21"/>
          <w:highlight w:val="none"/>
        </w:rPr>
        <w:t>在颁发工程接收证书前，提前解除合同的，尚未扣完的预付款应与合同价款一并结算。</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发包人逾期支付预付款超过7天的，承包人有权向发包人发出要求预付的催告通知，发包人收到通知后7天内仍未支付的，承包人有权暂停施工，并按第16.1.1项〔发包人违约的情形〕执行。</w:t>
      </w:r>
    </w:p>
    <w:p>
      <w:pPr>
        <w:spacing w:line="288" w:lineRule="auto"/>
        <w:ind w:firstLine="420"/>
        <w:jc w:val="left"/>
        <w:rPr>
          <w:rFonts w:cs="宋体"/>
          <w:color w:val="auto"/>
          <w:szCs w:val="21"/>
          <w:highlight w:val="none"/>
        </w:rPr>
      </w:pPr>
      <w:r>
        <w:rPr>
          <w:rFonts w:hint="eastAsia" w:cs="宋体"/>
          <w:color w:val="auto"/>
          <w:szCs w:val="21"/>
          <w:highlight w:val="none"/>
        </w:rPr>
        <w:t>12.2.2 预付款担保</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发包人在工程款中逐期扣回预付款后，预付款担保额度应相应减少，但剩余的预付款担保金额不得低于未被扣回的预付款金额。</w:t>
      </w:r>
    </w:p>
    <w:p>
      <w:pPr>
        <w:pStyle w:val="8"/>
        <w:spacing w:before="0" w:after="0" w:line="288" w:lineRule="auto"/>
        <w:ind w:firstLine="420"/>
        <w:rPr>
          <w:rFonts w:cs="宋体"/>
          <w:b w:val="0"/>
          <w:color w:val="auto"/>
          <w:sz w:val="21"/>
          <w:szCs w:val="21"/>
          <w:highlight w:val="none"/>
        </w:rPr>
      </w:pPr>
      <w:bookmarkStart w:id="403" w:name="_Toc351203583"/>
      <w:bookmarkStart w:id="404" w:name="_Toc337558802"/>
      <w:r>
        <w:rPr>
          <w:rFonts w:hint="eastAsia" w:cs="宋体"/>
          <w:b w:val="0"/>
          <w:color w:val="auto"/>
          <w:sz w:val="21"/>
          <w:szCs w:val="21"/>
          <w:highlight w:val="none"/>
        </w:rPr>
        <w:t>12.3计量</w:t>
      </w:r>
      <w:bookmarkEnd w:id="403"/>
    </w:p>
    <w:bookmarkEnd w:id="404"/>
    <w:p>
      <w:pPr>
        <w:spacing w:line="288" w:lineRule="auto"/>
        <w:ind w:firstLine="420"/>
        <w:jc w:val="left"/>
        <w:rPr>
          <w:rFonts w:cs="宋体"/>
          <w:color w:val="auto"/>
          <w:kern w:val="0"/>
          <w:szCs w:val="21"/>
          <w:highlight w:val="none"/>
        </w:rPr>
      </w:pPr>
      <w:r>
        <w:rPr>
          <w:rFonts w:hint="eastAsia" w:cs="宋体"/>
          <w:color w:val="auto"/>
          <w:kern w:val="0"/>
          <w:szCs w:val="21"/>
          <w:highlight w:val="none"/>
        </w:rPr>
        <w:t>12.3.1 计量原则</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工程量计量按照合同约定的工程量计算规则、图纸及变更指示等进行计量。工程量计算规则应以相关的国家标准、行业标准等为依据，由合同当事人在专用合同条款中约定。</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12.3.2 计量周期</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除专用合同条款另有约定外，工程量的计量按月进行。</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12.3.3 单价合同的计量</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除专用合同条款另有约定外，单价合同的计量按照本项约定执行：</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（1）承包人应于每月25日向监理人报送上月20日至当月19日已完成的工程量报告，并附具进度付款申请单、已完成工程量报表和有关资料。</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（3）监理人未在收到承包人提交的工程量报表后的7天内完成审核的，承包人报送的工程量报告中的工程量视为承包人实际完成的工程量，据此计算工程价款。</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12.3.4 总价合同的计量</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除专用合同条款另有约定外，按月计量支付的总价合同，按照本项约定执行：</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（1）承包人应于每月25日向监理人报送上月20日至当月19日已完成的工程量报告，并附具进度付款申请单、已完成工程量报表和有关资料。</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（3）监理人未在收到承包人提交的工程量报表后的7天内完成复核的，承包人提交的工程量报告中的工程量视为承包人实际完成的工程量。</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12.3.5 总价合同采用支付分解表计量支付的，可以按照第12.3.4项〔总价合同的计量〕约定进行计量，但合同价款按照支付分解表进行支付。</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12.3.6 其他价格形式合同的计量</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合同当事人可在专用合同条款中约定其他价格形式合同的计量方式和程序。</w:t>
      </w:r>
    </w:p>
    <w:p>
      <w:pPr>
        <w:pStyle w:val="8"/>
        <w:spacing w:before="0" w:after="0" w:line="288" w:lineRule="auto"/>
        <w:ind w:firstLine="420"/>
        <w:rPr>
          <w:rFonts w:cs="宋体"/>
          <w:b w:val="0"/>
          <w:color w:val="auto"/>
          <w:sz w:val="21"/>
          <w:szCs w:val="21"/>
          <w:highlight w:val="none"/>
        </w:rPr>
      </w:pPr>
      <w:bookmarkStart w:id="405" w:name="_Toc296503101"/>
      <w:bookmarkStart w:id="406" w:name="_Toc296346602"/>
      <w:bookmarkStart w:id="407" w:name="_Toc351203584"/>
      <w:bookmarkStart w:id="408" w:name="_Toc337558803"/>
      <w:r>
        <w:rPr>
          <w:rFonts w:hint="eastAsia" w:cs="宋体"/>
          <w:b w:val="0"/>
          <w:color w:val="auto"/>
          <w:sz w:val="21"/>
          <w:szCs w:val="21"/>
          <w:highlight w:val="none"/>
        </w:rPr>
        <w:t>12.4工程进度款支</w:t>
      </w:r>
      <w:bookmarkEnd w:id="405"/>
      <w:bookmarkEnd w:id="406"/>
      <w:r>
        <w:rPr>
          <w:rFonts w:hint="eastAsia" w:cs="宋体"/>
          <w:b w:val="0"/>
          <w:color w:val="auto"/>
          <w:sz w:val="21"/>
          <w:szCs w:val="21"/>
          <w:highlight w:val="none"/>
        </w:rPr>
        <w:t>付</w:t>
      </w:r>
      <w:bookmarkEnd w:id="407"/>
    </w:p>
    <w:bookmarkEnd w:id="408"/>
    <w:p>
      <w:pPr>
        <w:autoSpaceDE w:val="0"/>
        <w:autoSpaceDN w:val="0"/>
        <w:adjustRightInd w:val="0"/>
        <w:spacing w:line="288" w:lineRule="auto"/>
        <w:ind w:firstLine="420"/>
        <w:jc w:val="left"/>
        <w:outlineLvl w:val="0"/>
        <w:rPr>
          <w:rFonts w:cs="宋体"/>
          <w:color w:val="auto"/>
          <w:kern w:val="0"/>
          <w:szCs w:val="21"/>
          <w:highlight w:val="none"/>
        </w:rPr>
      </w:pPr>
      <w:r>
        <w:rPr>
          <w:rFonts w:hint="eastAsia" w:cs="宋体"/>
          <w:color w:val="auto"/>
          <w:szCs w:val="21"/>
          <w:highlight w:val="none"/>
        </w:rPr>
        <w:t>12.4</w:t>
      </w:r>
      <w:r>
        <w:rPr>
          <w:rFonts w:hint="eastAsia" w:cs="宋体"/>
          <w:color w:val="auto"/>
          <w:kern w:val="0"/>
          <w:szCs w:val="21"/>
          <w:highlight w:val="none"/>
        </w:rPr>
        <w:t>.1 付款周期</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除专用合同条款另有约定外，付款周期应按照第12.3.2项〔计量周期〕的约定与计量周期保持一致。</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szCs w:val="21"/>
          <w:highlight w:val="none"/>
        </w:rPr>
        <w:t>12.4</w:t>
      </w:r>
      <w:r>
        <w:rPr>
          <w:rFonts w:hint="eastAsia" w:cs="宋体"/>
          <w:color w:val="auto"/>
          <w:kern w:val="0"/>
          <w:szCs w:val="21"/>
          <w:highlight w:val="none"/>
        </w:rPr>
        <w:t>.2 进度付款申请单的编制</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除专用合同条款另有约定外，进度付款申请单应包括下列内容：</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（1）截至本次付款周期已完成工作对应的金额；</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（2）根据第10条〔变更〕应增加和扣减的变更金额；</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（3）根据第12.2款〔预付款〕约定应支付的预付款和扣减的返还预付款；</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（4）根据第15.3款〔质量保证金〕约定应扣减的质量保证金；</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（5）根据第19条〔索赔〕应增加和扣减的索赔金额；</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（6）对已签发的进度款支付证书中出现错误的修正，应在本次进度付款中支付或扣除的金额；</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（7）根据合同约定应增加和扣减的其他金额。</w:t>
      </w:r>
    </w:p>
    <w:p>
      <w:pPr>
        <w:autoSpaceDE w:val="0"/>
        <w:autoSpaceDN w:val="0"/>
        <w:adjustRightInd w:val="0"/>
        <w:spacing w:line="288" w:lineRule="auto"/>
        <w:ind w:firstLine="420"/>
        <w:jc w:val="left"/>
        <w:outlineLvl w:val="0"/>
        <w:rPr>
          <w:rFonts w:cs="宋体"/>
          <w:color w:val="auto"/>
          <w:kern w:val="0"/>
          <w:szCs w:val="21"/>
          <w:highlight w:val="none"/>
        </w:rPr>
      </w:pPr>
      <w:r>
        <w:rPr>
          <w:rFonts w:hint="eastAsia" w:cs="宋体"/>
          <w:color w:val="auto"/>
          <w:kern w:val="0"/>
          <w:szCs w:val="21"/>
          <w:highlight w:val="none"/>
        </w:rPr>
        <w:t>12.4.3 进度付款申请单的提交</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（1）单价合同进度付款申请单的提交</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单价合同的进度付款申请单，按照第12.3.3项〔单价合同的计量〕约定的时间按月向监理人提交，并附上已完成工程量报表和有关资料。单价合同中的总价项目按月进行支付分解，并汇总列入当期进度付款申请单。</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（2）总价合同进度付款申请单的提交</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总价合同按月计量支付的，承包人按照第12.3.4项〔总价合同的计量〕约定的时间按月向监理人提交进度付款申请单，并附上已完成工程量报表和有关资料。</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总价合同按支付分解表支付的，承包人应按照第12.4.6项〔支付分解表〕及第12.4.2项〔进度付款申请单的编制〕的约定向监理人提交进度付款申请单。</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（3）其他价格形式合同的进度付款申请单的提交</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合同当事人可在专用合同条款中约定其他价格形式合同的进度付款申请单的编制和提交程序。</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szCs w:val="21"/>
          <w:highlight w:val="none"/>
        </w:rPr>
        <w:t>12.4</w:t>
      </w:r>
      <w:r>
        <w:rPr>
          <w:rFonts w:hint="eastAsia" w:cs="宋体"/>
          <w:color w:val="auto"/>
          <w:kern w:val="0"/>
          <w:szCs w:val="21"/>
          <w:highlight w:val="none"/>
        </w:rPr>
        <w:t>.4 进度款审核和支付</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（2）除专用合同条款另有约定外，发包人应在进度款支付证书或临时进度款支付证书签发后14天内完成支付，发包人逾期支付进度款的，应按照中国人民银行发布的同期同类贷款基准利率支付违约金。</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（3）发包人签发进度款支付证书或临时进度款支付证书，不表明发包人已同意、批准或接受了承包人完成的相应部分的工作。</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12.4.5 进度付款的修正</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在对已签发的进度款支付证书进行阶段汇总和复核中发现错误、遗漏或重复的，发包人和承包人均有权提出修正申请。经发包人和承包人同意的修正，应在下期进度付款中支付或扣除。</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12.4.6 支付分解表</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1.支付分解表的编制要求</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（1）支付分解表中所列的每期付款金额，应为第12.4.2项〔进度付款申请单的编制〕第（1）目的估算金额；</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（2）实际进度与施工进度计划不一致的，合同当事人可按照第4.4款〔商定或确定〕修改支付分解表；</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（3）不采用支付分解表的，承包人应向发包人和监理人提交按季度编制的支付估算分解表，用于支付参考。</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2.总价合同支付分解表的编制与审批</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（2）监理人应在收到支付分解表后7天内完成审核并报送发包人。发包人应在收到经监理人审核的支付分解表后7天内完成审批，经发包人批准的支付分解表为有约束力的支付分解表。</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（3）发包人逾期未完成支付分解表审批的，也未及时要求承包人进行修正和提供补充资料的，则承包人提交的支付分解表视为已经获得发包人批准。</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3.单价合同的总价项目支付分解表的编制与审批</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pPr>
        <w:pStyle w:val="8"/>
        <w:spacing w:before="0" w:after="0" w:line="288" w:lineRule="auto"/>
        <w:ind w:firstLine="420"/>
        <w:rPr>
          <w:rFonts w:cs="宋体"/>
          <w:b w:val="0"/>
          <w:color w:val="auto"/>
          <w:sz w:val="21"/>
          <w:szCs w:val="21"/>
          <w:highlight w:val="none"/>
        </w:rPr>
      </w:pPr>
      <w:bookmarkStart w:id="409" w:name="_Toc351203585"/>
      <w:r>
        <w:rPr>
          <w:rFonts w:hint="eastAsia" w:cs="宋体"/>
          <w:b w:val="0"/>
          <w:color w:val="auto"/>
          <w:sz w:val="21"/>
          <w:szCs w:val="21"/>
          <w:highlight w:val="none"/>
        </w:rPr>
        <w:t>12.5支付账户</w:t>
      </w:r>
      <w:bookmarkEnd w:id="409"/>
    </w:p>
    <w:p>
      <w:pPr>
        <w:spacing w:line="288" w:lineRule="auto"/>
        <w:ind w:firstLine="420"/>
        <w:jc w:val="left"/>
        <w:rPr>
          <w:rFonts w:cs="宋体"/>
          <w:color w:val="auto"/>
          <w:kern w:val="0"/>
          <w:szCs w:val="21"/>
          <w:highlight w:val="none"/>
        </w:rPr>
      </w:pPr>
      <w:r>
        <w:rPr>
          <w:rFonts w:hint="eastAsia" w:cs="宋体"/>
          <w:color w:val="auto"/>
          <w:kern w:val="0"/>
          <w:szCs w:val="21"/>
          <w:highlight w:val="none"/>
        </w:rPr>
        <w:t>发包人应将合同价款支付至合同协议书中约定的承包人账户。</w:t>
      </w:r>
    </w:p>
    <w:p>
      <w:pPr>
        <w:pStyle w:val="7"/>
        <w:spacing w:line="288" w:lineRule="auto"/>
        <w:ind w:firstLine="420"/>
        <w:rPr>
          <w:rFonts w:ascii="宋体" w:hAnsi="宋体" w:cs="宋体"/>
          <w:b w:val="0"/>
          <w:color w:val="auto"/>
          <w:szCs w:val="21"/>
          <w:highlight w:val="none"/>
        </w:rPr>
      </w:pPr>
      <w:bookmarkStart w:id="410" w:name="_Toc351203586"/>
      <w:bookmarkStart w:id="411" w:name="_Toc296346607"/>
      <w:bookmarkStart w:id="412" w:name="_Toc337558804"/>
      <w:bookmarkStart w:id="413" w:name="_Toc322522574"/>
      <w:bookmarkStart w:id="414" w:name="_Toc296503106"/>
      <w:r>
        <w:rPr>
          <w:rFonts w:hint="eastAsia" w:ascii="宋体" w:hAnsi="宋体" w:cs="宋体"/>
          <w:b w:val="0"/>
          <w:color w:val="auto"/>
          <w:szCs w:val="21"/>
          <w:highlight w:val="none"/>
        </w:rPr>
        <w:t>13. 验收和工程试车</w:t>
      </w:r>
      <w:bookmarkEnd w:id="410"/>
    </w:p>
    <w:bookmarkEnd w:id="411"/>
    <w:bookmarkEnd w:id="412"/>
    <w:bookmarkEnd w:id="413"/>
    <w:bookmarkEnd w:id="414"/>
    <w:p>
      <w:pPr>
        <w:pStyle w:val="8"/>
        <w:spacing w:before="0" w:after="0" w:line="288" w:lineRule="auto"/>
        <w:ind w:firstLine="420"/>
        <w:rPr>
          <w:rFonts w:cs="宋体"/>
          <w:b w:val="0"/>
          <w:color w:val="auto"/>
          <w:sz w:val="21"/>
          <w:szCs w:val="21"/>
          <w:highlight w:val="none"/>
        </w:rPr>
      </w:pPr>
      <w:bookmarkStart w:id="415" w:name="_Toc351203587"/>
      <w:bookmarkStart w:id="416" w:name="_Toc337558805"/>
      <w:bookmarkStart w:id="417" w:name="_Toc296503110"/>
      <w:bookmarkStart w:id="418" w:name="_Toc296346611"/>
      <w:r>
        <w:rPr>
          <w:rFonts w:hint="eastAsia" w:cs="宋体"/>
          <w:b w:val="0"/>
          <w:color w:val="auto"/>
          <w:sz w:val="21"/>
          <w:szCs w:val="21"/>
          <w:highlight w:val="none"/>
        </w:rPr>
        <w:t>13.1分部分项工程验收</w:t>
      </w:r>
      <w:bookmarkEnd w:id="415"/>
    </w:p>
    <w:bookmarkEnd w:id="416"/>
    <w:p>
      <w:pPr>
        <w:spacing w:line="288" w:lineRule="auto"/>
        <w:ind w:firstLine="420"/>
        <w:rPr>
          <w:rFonts w:cs="宋体"/>
          <w:color w:val="auto"/>
          <w:szCs w:val="21"/>
          <w:highlight w:val="none"/>
        </w:rPr>
      </w:pPr>
      <w:r>
        <w:rPr>
          <w:rFonts w:hint="eastAsia" w:cs="宋体"/>
          <w:color w:val="auto"/>
          <w:szCs w:val="21"/>
          <w:highlight w:val="none"/>
        </w:rPr>
        <w:t>13.1.1 分部分项工程质量应符合国家有关工程施工验收规范、标准及合同约定，承包人应按照施工组织设计的要求完成分部分项工程施工。</w:t>
      </w:r>
    </w:p>
    <w:p>
      <w:pPr>
        <w:spacing w:line="288" w:lineRule="auto"/>
        <w:ind w:firstLine="420"/>
        <w:rPr>
          <w:rFonts w:cs="宋体"/>
          <w:color w:val="auto"/>
          <w:szCs w:val="21"/>
          <w:highlight w:val="none"/>
        </w:rPr>
      </w:pPr>
      <w:r>
        <w:rPr>
          <w:rFonts w:hint="eastAsia" w:cs="宋体"/>
          <w:color w:val="auto"/>
          <w:szCs w:val="21"/>
          <w:highlight w:val="none"/>
        </w:rPr>
        <w:t>13.1.2 除专用合同条款另有约定外，分部分项工程经承包人自检合格并具备验收条件的，承包人应提前48小时通知监理人进行验收。</w:t>
      </w:r>
      <w:r>
        <w:rPr>
          <w:rFonts w:hint="eastAsia" w:cs="宋体"/>
          <w:color w:val="auto"/>
          <w:kern w:val="0"/>
          <w:szCs w:val="21"/>
          <w:highlight w:val="none"/>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cs="宋体"/>
          <w:color w:val="auto"/>
          <w:szCs w:val="21"/>
          <w:highlight w:val="none"/>
        </w:rPr>
        <w:t>分部分项工程未经验收的，不得进入下一道工序施工。</w:t>
      </w:r>
    </w:p>
    <w:p>
      <w:pPr>
        <w:spacing w:line="288" w:lineRule="auto"/>
        <w:ind w:firstLine="420"/>
        <w:rPr>
          <w:rFonts w:cs="宋体"/>
          <w:color w:val="auto"/>
          <w:szCs w:val="21"/>
          <w:highlight w:val="none"/>
        </w:rPr>
      </w:pPr>
      <w:r>
        <w:rPr>
          <w:rFonts w:hint="eastAsia" w:cs="宋体"/>
          <w:color w:val="auto"/>
          <w:szCs w:val="21"/>
          <w:highlight w:val="none"/>
        </w:rPr>
        <w:t>分部分项工程的验收资料应当作为竣工资料的组成部分。</w:t>
      </w:r>
    </w:p>
    <w:p>
      <w:pPr>
        <w:pStyle w:val="8"/>
        <w:spacing w:before="0" w:after="0" w:line="288" w:lineRule="auto"/>
        <w:ind w:firstLine="420"/>
        <w:rPr>
          <w:rFonts w:cs="宋体"/>
          <w:b w:val="0"/>
          <w:color w:val="auto"/>
          <w:sz w:val="21"/>
          <w:szCs w:val="21"/>
          <w:highlight w:val="none"/>
        </w:rPr>
      </w:pPr>
      <w:bookmarkStart w:id="419" w:name="_Toc351203588"/>
      <w:bookmarkStart w:id="420" w:name="_Toc337558806"/>
      <w:r>
        <w:rPr>
          <w:rFonts w:hint="eastAsia" w:cs="宋体"/>
          <w:b w:val="0"/>
          <w:color w:val="auto"/>
          <w:sz w:val="21"/>
          <w:szCs w:val="21"/>
          <w:highlight w:val="none"/>
        </w:rPr>
        <w:t>13.2竣工验收</w:t>
      </w:r>
      <w:bookmarkEnd w:id="419"/>
    </w:p>
    <w:bookmarkEnd w:id="417"/>
    <w:bookmarkEnd w:id="418"/>
    <w:bookmarkEnd w:id="420"/>
    <w:p>
      <w:pPr>
        <w:spacing w:line="288" w:lineRule="auto"/>
        <w:ind w:firstLine="420"/>
        <w:jc w:val="left"/>
        <w:rPr>
          <w:rFonts w:cs="宋体"/>
          <w:color w:val="auto"/>
          <w:kern w:val="0"/>
          <w:szCs w:val="21"/>
          <w:highlight w:val="none"/>
        </w:rPr>
      </w:pPr>
      <w:r>
        <w:rPr>
          <w:rFonts w:hint="eastAsia" w:cs="宋体"/>
          <w:color w:val="auto"/>
          <w:kern w:val="0"/>
          <w:szCs w:val="21"/>
          <w:highlight w:val="none"/>
        </w:rPr>
        <w:t>13.2.1竣工验收条件</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工程具备以下条件的，承包人可以申请竣工验收：</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（1）除发包人同意的甩项工作和缺陷修补工作外，合同范围内的全部工程以及有关工作，包括合同要求的试验、试运行以及检验均已完成，并符合合同要求；</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（2）已按合同约定编制了甩项工作和缺陷修补工作清单以及相应的施工计划；</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（3）已按合同约定的内容和份数备齐竣工资料。</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13.2.2竣工验收程序</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除专用合同条款另有约定外，承包人申请竣工验收的，应当按照以下程序进行：</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（2）监理人审查后认为已具备竣工验收条件的，应将竣工验收申请报告提交发包人，发包人应在收到经监理人审核的竣工验收申请报告后28天内审批完毕并组织监理人、承包人、设计人等相关单位完成竣工验收。</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（3）竣工验收合格的，发包人应在验收合格后14天内向承包人签发工程接收证书。发包人无正当理由逾期不颁发工程接收证书的，自验收合格后第15天起视为已颁发工程接收证书。</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（5）工程未经验收或验收不合格，发包人擅自使用的，应在转移占有工程后7天内向承包人颁发工程接收证书；发包人无正当理由逾期不颁发工程接收证书的，自转移占有后第15天起视为已颁发工程接收证书。</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除专用合同条款另有约定外，发包人不按照本项约定组织竣工验收、颁发工程接收证书的，每逾期一天，应以签约合同价为基数，按照中国人民银行发布的同期同类贷款基准利率支付违约金。</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13.2.3竣工日期</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421" w:name="#go14"/>
      <w:bookmarkEnd w:id="421"/>
      <w:r>
        <w:rPr>
          <w:rFonts w:hint="eastAsia" w:cs="宋体"/>
          <w:color w:val="auto"/>
          <w:kern w:val="0"/>
          <w:szCs w:val="21"/>
          <w:highlight w:val="none"/>
        </w:rPr>
        <w:t>收申请报告的日期为实际竣工日期；工程未经竣工验收，发包人擅自使用的，以转移占有工程之日为实际竣工日期。</w:t>
      </w:r>
    </w:p>
    <w:p>
      <w:pPr>
        <w:spacing w:line="288" w:lineRule="auto"/>
        <w:ind w:firstLine="420"/>
        <w:jc w:val="left"/>
        <w:outlineLvl w:val="0"/>
        <w:rPr>
          <w:rFonts w:cs="宋体"/>
          <w:color w:val="auto"/>
          <w:kern w:val="0"/>
          <w:szCs w:val="21"/>
          <w:highlight w:val="none"/>
        </w:rPr>
      </w:pPr>
      <w:r>
        <w:rPr>
          <w:rFonts w:hint="eastAsia" w:cs="宋体"/>
          <w:color w:val="auto"/>
          <w:kern w:val="0"/>
          <w:szCs w:val="21"/>
          <w:highlight w:val="none"/>
        </w:rPr>
        <w:t>13.2.4 拒绝接收全部或部分工程</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13.2.5 移交、接收全部与部分工程</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除专用合同条款另有约定外，合同当事人应当在颁发工程接收证书后7天内完成工程的移交。</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发包人无正当理由不接收工程的，发包人自应当接收工程之日起，承担工程照管、成品保护、保管等与工程有关的各项费用，合同当事人可以在专用合同条款中另行约定发包人逾期接收工程的违约责任。</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承包人无正当理由不移交工程的，承包人应承担工程照管、成品保护、保管等与工程有关的各项费用，合同当事人可以在专用合同条款中另行约定承包人无正当理由不移交工程的违约责任。</w:t>
      </w:r>
    </w:p>
    <w:p>
      <w:pPr>
        <w:pStyle w:val="8"/>
        <w:spacing w:before="0" w:after="0" w:line="288" w:lineRule="auto"/>
        <w:ind w:firstLine="420"/>
        <w:rPr>
          <w:rFonts w:cs="宋体"/>
          <w:b w:val="0"/>
          <w:color w:val="auto"/>
          <w:sz w:val="21"/>
          <w:szCs w:val="21"/>
          <w:highlight w:val="none"/>
        </w:rPr>
      </w:pPr>
      <w:bookmarkStart w:id="422" w:name="_Toc351203589"/>
      <w:bookmarkStart w:id="423" w:name="_Toc296346612"/>
      <w:bookmarkStart w:id="424" w:name="_Toc337558807"/>
      <w:bookmarkStart w:id="425" w:name="_Toc296503111"/>
      <w:r>
        <w:rPr>
          <w:rFonts w:hint="eastAsia" w:cs="宋体"/>
          <w:b w:val="0"/>
          <w:color w:val="auto"/>
          <w:sz w:val="21"/>
          <w:szCs w:val="21"/>
          <w:highlight w:val="none"/>
        </w:rPr>
        <w:t>13.3工程试车</w:t>
      </w:r>
      <w:bookmarkEnd w:id="422"/>
    </w:p>
    <w:bookmarkEnd w:id="423"/>
    <w:bookmarkEnd w:id="424"/>
    <w:bookmarkEnd w:id="425"/>
    <w:p>
      <w:pPr>
        <w:spacing w:line="288" w:lineRule="auto"/>
        <w:ind w:firstLine="420"/>
        <w:jc w:val="left"/>
        <w:rPr>
          <w:rFonts w:cs="宋体"/>
          <w:color w:val="auto"/>
          <w:kern w:val="0"/>
          <w:szCs w:val="21"/>
          <w:highlight w:val="none"/>
        </w:rPr>
      </w:pPr>
      <w:r>
        <w:rPr>
          <w:rFonts w:hint="eastAsia" w:cs="宋体"/>
          <w:color w:val="auto"/>
          <w:kern w:val="0"/>
          <w:szCs w:val="21"/>
          <w:highlight w:val="none"/>
        </w:rPr>
        <w:t>13.3.1试车程序</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工程需要试车的，除专用合同条款另有约定外，试车内容应与承包人承包范围相一致，试车费用由承包人承担。工程试车应按如下程序进行：</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13.3.2 试车中的责任</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13.3.3 投料试车</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如需进行投料试车的，发包人应在工程竣工验收后组织投料试车。发包人要求在工程竣工验收前进行或需要承包人配合时，应征得承包人同意，并在专用合同条款中约定有关事项。</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pPr>
        <w:pStyle w:val="8"/>
        <w:spacing w:before="0" w:after="0" w:line="288" w:lineRule="auto"/>
        <w:ind w:firstLine="420"/>
        <w:rPr>
          <w:rFonts w:cs="宋体"/>
          <w:b w:val="0"/>
          <w:color w:val="auto"/>
          <w:sz w:val="21"/>
          <w:szCs w:val="21"/>
          <w:highlight w:val="none"/>
        </w:rPr>
      </w:pPr>
      <w:bookmarkStart w:id="426" w:name="_Toc351203590"/>
      <w:bookmarkStart w:id="427" w:name="_Toc337558808"/>
      <w:r>
        <w:rPr>
          <w:rFonts w:hint="eastAsia" w:cs="宋体"/>
          <w:b w:val="0"/>
          <w:color w:val="auto"/>
          <w:sz w:val="21"/>
          <w:szCs w:val="21"/>
          <w:highlight w:val="none"/>
        </w:rPr>
        <w:t>13.4提前交付单位工程的验收</w:t>
      </w:r>
      <w:bookmarkEnd w:id="426"/>
    </w:p>
    <w:bookmarkEnd w:id="427"/>
    <w:p>
      <w:pPr>
        <w:spacing w:line="288" w:lineRule="auto"/>
        <w:ind w:firstLine="420"/>
        <w:jc w:val="left"/>
        <w:rPr>
          <w:rFonts w:cs="宋体"/>
          <w:color w:val="auto"/>
          <w:kern w:val="0"/>
          <w:szCs w:val="21"/>
          <w:highlight w:val="none"/>
        </w:rPr>
      </w:pPr>
      <w:r>
        <w:rPr>
          <w:rFonts w:hint="eastAsia" w:cs="宋体"/>
          <w:color w:val="auto"/>
          <w:kern w:val="0"/>
          <w:szCs w:val="21"/>
          <w:highlight w:val="none"/>
        </w:rPr>
        <w:t>13.4.1 发包人需要在工程竣工前使用单位工程的，或承包人提出提前交付已经竣工的单位工程且经发包人同意的，可进行单位工程验收，验收的程序按照第13.2款〔竣工验收〕的约定进行。</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验收合格后，由监理人向承包人出具经发包人签认的单位工程接收证书。已签发单位工程接收证书的单位工程由发包人负责照管。单位工程的验收成果和结论作为整体工程竣工验收申请报告的附件。</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13.4.2 发包人要求在工程竣工前交付单位工程，由此导致承包人费用增加和（或）工期延误的，由发包人承担由此增加的费用和（或）延误的工期，并支付承包人合理的利润。</w:t>
      </w:r>
    </w:p>
    <w:p>
      <w:pPr>
        <w:pStyle w:val="8"/>
        <w:spacing w:before="0" w:after="0" w:line="288" w:lineRule="auto"/>
        <w:ind w:firstLine="420"/>
        <w:rPr>
          <w:rFonts w:cs="宋体"/>
          <w:b w:val="0"/>
          <w:color w:val="auto"/>
          <w:sz w:val="21"/>
          <w:szCs w:val="21"/>
          <w:highlight w:val="none"/>
        </w:rPr>
      </w:pPr>
      <w:bookmarkStart w:id="428" w:name="_Toc351203591"/>
      <w:r>
        <w:rPr>
          <w:rFonts w:hint="eastAsia" w:cs="宋体"/>
          <w:b w:val="0"/>
          <w:color w:val="auto"/>
          <w:sz w:val="21"/>
          <w:szCs w:val="21"/>
          <w:highlight w:val="none"/>
        </w:rPr>
        <w:t>13.5 施工期运行</w:t>
      </w:r>
      <w:bookmarkEnd w:id="428"/>
    </w:p>
    <w:p>
      <w:pPr>
        <w:spacing w:line="288" w:lineRule="auto"/>
        <w:ind w:firstLine="420"/>
        <w:jc w:val="left"/>
        <w:rPr>
          <w:rFonts w:cs="宋体"/>
          <w:color w:val="auto"/>
          <w:kern w:val="0"/>
          <w:szCs w:val="21"/>
          <w:highlight w:val="none"/>
        </w:rPr>
      </w:pPr>
      <w:r>
        <w:rPr>
          <w:rFonts w:hint="eastAsia" w:cs="宋体"/>
          <w:color w:val="auto"/>
          <w:kern w:val="0"/>
          <w:szCs w:val="21"/>
          <w:highlight w:val="none"/>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13.5.2 在施工期运行中发现工程或工程设备损坏或存在缺陷的，由承包人按第15.2款〔缺陷责任期〕约定进行修复。</w:t>
      </w:r>
    </w:p>
    <w:p>
      <w:pPr>
        <w:pStyle w:val="8"/>
        <w:spacing w:before="0" w:after="0" w:line="288" w:lineRule="auto"/>
        <w:ind w:firstLine="420"/>
        <w:rPr>
          <w:rFonts w:cs="宋体"/>
          <w:b w:val="0"/>
          <w:color w:val="auto"/>
          <w:sz w:val="21"/>
          <w:szCs w:val="21"/>
          <w:highlight w:val="none"/>
        </w:rPr>
      </w:pPr>
      <w:bookmarkStart w:id="429" w:name="_Toc296503112"/>
      <w:bookmarkStart w:id="430" w:name="_Toc296346613"/>
      <w:bookmarkStart w:id="431" w:name="_Toc351203592"/>
      <w:bookmarkStart w:id="432" w:name="_Toc337558809"/>
      <w:r>
        <w:rPr>
          <w:rFonts w:hint="eastAsia" w:cs="宋体"/>
          <w:b w:val="0"/>
          <w:color w:val="auto"/>
          <w:sz w:val="21"/>
          <w:szCs w:val="21"/>
          <w:highlight w:val="none"/>
        </w:rPr>
        <w:t>13.6 竣工退</w:t>
      </w:r>
      <w:bookmarkEnd w:id="429"/>
      <w:bookmarkEnd w:id="430"/>
      <w:r>
        <w:rPr>
          <w:rFonts w:hint="eastAsia" w:cs="宋体"/>
          <w:b w:val="0"/>
          <w:color w:val="auto"/>
          <w:sz w:val="21"/>
          <w:szCs w:val="21"/>
          <w:highlight w:val="none"/>
        </w:rPr>
        <w:t>场</w:t>
      </w:r>
      <w:bookmarkEnd w:id="431"/>
    </w:p>
    <w:bookmarkEnd w:id="432"/>
    <w:p>
      <w:pPr>
        <w:spacing w:line="288" w:lineRule="auto"/>
        <w:ind w:firstLine="420"/>
        <w:jc w:val="left"/>
        <w:rPr>
          <w:rFonts w:cs="宋体"/>
          <w:color w:val="auto"/>
          <w:kern w:val="0"/>
          <w:szCs w:val="21"/>
          <w:highlight w:val="none"/>
        </w:rPr>
      </w:pPr>
      <w:r>
        <w:rPr>
          <w:rFonts w:hint="eastAsia" w:cs="宋体"/>
          <w:color w:val="auto"/>
          <w:kern w:val="0"/>
          <w:szCs w:val="21"/>
          <w:highlight w:val="none"/>
        </w:rPr>
        <w:t>13.6.1 竣工退场</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颁发工程接收证书后，承包人应按以下要求对施工现场进行清理：</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（1）施工现场内残留的垃圾已全部清除出场；</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（2）临时工程已拆除，场地已进行清理、平整或复原；</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（3）按合同约定应撤离的人员、承包人施工设备和剩余的材料，包括废弃的施工设备和材料，已按计划撤离施工现场；</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（4）施工现场周边及其附近道路、河道的施工堆积物，已全部清理；</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（5）施工现场其他场地清理工作已全部完成。</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13.6.2 地表还原</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pPr>
        <w:pStyle w:val="7"/>
        <w:spacing w:line="288" w:lineRule="auto"/>
        <w:ind w:firstLine="420"/>
        <w:rPr>
          <w:rFonts w:ascii="宋体" w:hAnsi="宋体" w:cs="宋体"/>
          <w:b w:val="0"/>
          <w:color w:val="auto"/>
          <w:szCs w:val="21"/>
          <w:highlight w:val="none"/>
        </w:rPr>
      </w:pPr>
      <w:bookmarkStart w:id="433" w:name="_Toc351203593"/>
      <w:bookmarkStart w:id="434" w:name="_Toc337558810"/>
      <w:bookmarkStart w:id="435" w:name="_Toc296346614"/>
      <w:bookmarkStart w:id="436" w:name="_Toc296503113"/>
      <w:r>
        <w:rPr>
          <w:rFonts w:hint="eastAsia" w:ascii="宋体" w:hAnsi="宋体" w:cs="宋体"/>
          <w:b w:val="0"/>
          <w:color w:val="auto"/>
          <w:szCs w:val="21"/>
          <w:highlight w:val="none"/>
        </w:rPr>
        <w:t>14. 竣工结算</w:t>
      </w:r>
      <w:bookmarkEnd w:id="433"/>
    </w:p>
    <w:bookmarkEnd w:id="434"/>
    <w:p>
      <w:pPr>
        <w:pStyle w:val="8"/>
        <w:spacing w:before="0" w:after="0" w:line="288" w:lineRule="auto"/>
        <w:ind w:firstLine="420"/>
        <w:rPr>
          <w:rFonts w:cs="宋体"/>
          <w:b w:val="0"/>
          <w:color w:val="auto"/>
          <w:sz w:val="21"/>
          <w:szCs w:val="21"/>
          <w:highlight w:val="none"/>
        </w:rPr>
      </w:pPr>
      <w:bookmarkStart w:id="437" w:name="_Toc351203594"/>
      <w:bookmarkStart w:id="438" w:name="_Toc337558811"/>
      <w:r>
        <w:rPr>
          <w:rFonts w:hint="eastAsia" w:cs="宋体"/>
          <w:b w:val="0"/>
          <w:color w:val="auto"/>
          <w:sz w:val="21"/>
          <w:szCs w:val="21"/>
          <w:highlight w:val="none"/>
        </w:rPr>
        <w:t>14.1 竣工结算申请</w:t>
      </w:r>
      <w:bookmarkEnd w:id="437"/>
    </w:p>
    <w:bookmarkEnd w:id="438"/>
    <w:p>
      <w:pPr>
        <w:autoSpaceDE w:val="0"/>
        <w:autoSpaceDN w:val="0"/>
        <w:adjustRightInd w:val="0"/>
        <w:spacing w:line="288" w:lineRule="auto"/>
        <w:ind w:firstLine="420"/>
        <w:jc w:val="left"/>
        <w:rPr>
          <w:rFonts w:cs="宋体"/>
          <w:color w:val="auto"/>
          <w:szCs w:val="21"/>
          <w:highlight w:val="none"/>
        </w:rPr>
      </w:pPr>
      <w:r>
        <w:rPr>
          <w:rFonts w:hint="eastAsia" w:cs="宋体"/>
          <w:color w:val="auto"/>
          <w:kern w:val="0"/>
          <w:szCs w:val="21"/>
          <w:highlight w:val="none"/>
        </w:rPr>
        <w:t>除专用合同条款另有约定外，</w:t>
      </w:r>
      <w:r>
        <w:rPr>
          <w:rFonts w:hint="eastAsia" w:cs="宋体"/>
          <w:color w:val="auto"/>
          <w:szCs w:val="21"/>
          <w:highlight w:val="none"/>
        </w:rPr>
        <w:t>承包人应在工程竣工验收合格后28天内向发包人和监理人提交竣工结算申请单，并提交完整的结算资料，有关竣工结算申请单的资料清单和份数等要求由合同当事人在专用合同条款中约定。</w:t>
      </w:r>
    </w:p>
    <w:p>
      <w:pPr>
        <w:autoSpaceDE w:val="0"/>
        <w:autoSpaceDN w:val="0"/>
        <w:adjustRightInd w:val="0"/>
        <w:spacing w:line="288" w:lineRule="auto"/>
        <w:ind w:firstLine="420"/>
        <w:jc w:val="left"/>
        <w:rPr>
          <w:rFonts w:cs="宋体"/>
          <w:color w:val="auto"/>
          <w:szCs w:val="21"/>
          <w:highlight w:val="none"/>
        </w:rPr>
      </w:pPr>
      <w:r>
        <w:rPr>
          <w:rFonts w:hint="eastAsia" w:cs="宋体"/>
          <w:color w:val="auto"/>
          <w:szCs w:val="21"/>
          <w:highlight w:val="none"/>
        </w:rPr>
        <w:t>除专用合同条款另有约定外，竣工结算申请单应包括以下内容：</w:t>
      </w:r>
    </w:p>
    <w:p>
      <w:pPr>
        <w:autoSpaceDE w:val="0"/>
        <w:autoSpaceDN w:val="0"/>
        <w:adjustRightInd w:val="0"/>
        <w:spacing w:line="288" w:lineRule="auto"/>
        <w:ind w:firstLine="420"/>
        <w:jc w:val="left"/>
        <w:rPr>
          <w:rFonts w:cs="宋体"/>
          <w:color w:val="auto"/>
          <w:szCs w:val="21"/>
          <w:highlight w:val="none"/>
        </w:rPr>
      </w:pPr>
      <w:r>
        <w:rPr>
          <w:rFonts w:hint="eastAsia" w:cs="宋体"/>
          <w:color w:val="auto"/>
          <w:szCs w:val="21"/>
          <w:highlight w:val="none"/>
        </w:rPr>
        <w:t>（1）竣工结算合同价格；</w:t>
      </w:r>
    </w:p>
    <w:p>
      <w:pPr>
        <w:autoSpaceDE w:val="0"/>
        <w:autoSpaceDN w:val="0"/>
        <w:adjustRightInd w:val="0"/>
        <w:spacing w:line="288" w:lineRule="auto"/>
        <w:ind w:firstLine="420"/>
        <w:jc w:val="left"/>
        <w:rPr>
          <w:rFonts w:cs="宋体"/>
          <w:color w:val="auto"/>
          <w:szCs w:val="21"/>
          <w:highlight w:val="none"/>
        </w:rPr>
      </w:pPr>
      <w:r>
        <w:rPr>
          <w:rFonts w:hint="eastAsia" w:cs="宋体"/>
          <w:color w:val="auto"/>
          <w:szCs w:val="21"/>
          <w:highlight w:val="none"/>
        </w:rPr>
        <w:t>（2）发包人已支付承包人的款项；</w:t>
      </w:r>
    </w:p>
    <w:p>
      <w:pPr>
        <w:autoSpaceDE w:val="0"/>
        <w:autoSpaceDN w:val="0"/>
        <w:adjustRightInd w:val="0"/>
        <w:spacing w:line="288" w:lineRule="auto"/>
        <w:ind w:firstLine="420"/>
        <w:jc w:val="left"/>
        <w:rPr>
          <w:rFonts w:cs="宋体"/>
          <w:color w:val="auto"/>
          <w:szCs w:val="21"/>
          <w:highlight w:val="none"/>
        </w:rPr>
      </w:pPr>
      <w:r>
        <w:rPr>
          <w:rFonts w:hint="eastAsia" w:cs="宋体"/>
          <w:color w:val="auto"/>
          <w:szCs w:val="21"/>
          <w:highlight w:val="none"/>
        </w:rPr>
        <w:t xml:space="preserve">（3）应扣留的质量保证金。已缴纳履约保证金的或提供其他工程质量担保方式的除外； </w:t>
      </w:r>
    </w:p>
    <w:p>
      <w:pPr>
        <w:autoSpaceDE w:val="0"/>
        <w:autoSpaceDN w:val="0"/>
        <w:adjustRightInd w:val="0"/>
        <w:spacing w:line="288" w:lineRule="auto"/>
        <w:ind w:firstLine="420"/>
        <w:jc w:val="left"/>
        <w:rPr>
          <w:rFonts w:cs="宋体"/>
          <w:color w:val="auto"/>
          <w:szCs w:val="21"/>
          <w:highlight w:val="none"/>
        </w:rPr>
      </w:pPr>
      <w:r>
        <w:rPr>
          <w:rFonts w:hint="eastAsia" w:cs="宋体"/>
          <w:color w:val="auto"/>
          <w:szCs w:val="21"/>
          <w:highlight w:val="none"/>
        </w:rPr>
        <w:t>（4）发包人应支付承包人的合同价款。</w:t>
      </w:r>
    </w:p>
    <w:p>
      <w:pPr>
        <w:pStyle w:val="8"/>
        <w:spacing w:before="0" w:after="0" w:line="288" w:lineRule="auto"/>
        <w:ind w:firstLine="420"/>
        <w:rPr>
          <w:rFonts w:cs="宋体"/>
          <w:b w:val="0"/>
          <w:color w:val="auto"/>
          <w:sz w:val="21"/>
          <w:szCs w:val="21"/>
          <w:highlight w:val="none"/>
        </w:rPr>
      </w:pPr>
      <w:bookmarkStart w:id="439" w:name="_Toc351203595"/>
      <w:bookmarkStart w:id="440" w:name="_Toc337558812"/>
      <w:r>
        <w:rPr>
          <w:rFonts w:hint="eastAsia" w:cs="宋体"/>
          <w:b w:val="0"/>
          <w:color w:val="auto"/>
          <w:sz w:val="21"/>
          <w:szCs w:val="21"/>
          <w:highlight w:val="none"/>
        </w:rPr>
        <w:t>14.2 竣工结算审核</w:t>
      </w:r>
      <w:bookmarkEnd w:id="439"/>
    </w:p>
    <w:bookmarkEnd w:id="440"/>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cs="宋体"/>
          <w:color w:val="auto"/>
          <w:szCs w:val="21"/>
          <w:highlight w:val="none"/>
        </w:rPr>
        <w:t>发包人对竣工</w:t>
      </w:r>
      <w:r>
        <w:rPr>
          <w:rFonts w:hint="eastAsia" w:cs="宋体"/>
          <w:color w:val="auto"/>
          <w:kern w:val="0"/>
          <w:szCs w:val="21"/>
          <w:highlight w:val="none"/>
        </w:rPr>
        <w:t>结算</w:t>
      </w:r>
      <w:r>
        <w:rPr>
          <w:rFonts w:hint="eastAsia" w:cs="宋体"/>
          <w:color w:val="auto"/>
          <w:szCs w:val="21"/>
          <w:highlight w:val="none"/>
        </w:rPr>
        <w:t>申请单有异议的，有权要求承包人进行修正和提供补充资料，承包人应提交修正后的竣工</w:t>
      </w:r>
      <w:r>
        <w:rPr>
          <w:rFonts w:hint="eastAsia" w:cs="宋体"/>
          <w:color w:val="auto"/>
          <w:kern w:val="0"/>
          <w:szCs w:val="21"/>
          <w:highlight w:val="none"/>
        </w:rPr>
        <w:t>结算</w:t>
      </w:r>
      <w:r>
        <w:rPr>
          <w:rFonts w:hint="eastAsia" w:cs="宋体"/>
          <w:color w:val="auto"/>
          <w:szCs w:val="21"/>
          <w:highlight w:val="none"/>
        </w:rPr>
        <w:t>申请单。</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pPr>
        <w:pStyle w:val="8"/>
        <w:spacing w:before="0" w:after="0" w:line="288" w:lineRule="auto"/>
        <w:ind w:firstLine="420"/>
        <w:rPr>
          <w:rFonts w:cs="宋体"/>
          <w:b w:val="0"/>
          <w:color w:val="auto"/>
          <w:sz w:val="21"/>
          <w:szCs w:val="21"/>
          <w:highlight w:val="none"/>
        </w:rPr>
      </w:pPr>
      <w:bookmarkStart w:id="441" w:name="_Toc351203596"/>
      <w:bookmarkStart w:id="442" w:name="_Toc337558813"/>
      <w:r>
        <w:rPr>
          <w:rFonts w:hint="eastAsia" w:cs="宋体"/>
          <w:b w:val="0"/>
          <w:color w:val="auto"/>
          <w:sz w:val="21"/>
          <w:szCs w:val="21"/>
          <w:highlight w:val="none"/>
        </w:rPr>
        <w:t>14.3 甩项竣工协议</w:t>
      </w:r>
      <w:bookmarkEnd w:id="441"/>
    </w:p>
    <w:bookmarkEnd w:id="442"/>
    <w:p>
      <w:pPr>
        <w:autoSpaceDE w:val="0"/>
        <w:autoSpaceDN w:val="0"/>
        <w:adjustRightInd w:val="0"/>
        <w:spacing w:line="288" w:lineRule="auto"/>
        <w:ind w:firstLine="411" w:firstLineChars="196"/>
        <w:jc w:val="left"/>
        <w:rPr>
          <w:rFonts w:cs="宋体"/>
          <w:color w:val="auto"/>
          <w:kern w:val="0"/>
          <w:szCs w:val="21"/>
          <w:highlight w:val="none"/>
        </w:rPr>
      </w:pPr>
      <w:r>
        <w:rPr>
          <w:rFonts w:hint="eastAsia" w:cs="宋体"/>
          <w:color w:val="auto"/>
          <w:szCs w:val="21"/>
          <w:highlight w:val="none"/>
        </w:rPr>
        <w:t>发包人要求甩项竣工的，合同当事人应签订甩项竣工协议。在甩项竣工协议中应明确，合同当事人按照第14.1款〔竣工结算申请〕及14.2款〔竣工结算审核〕的约定，对已完合格工程进行结算，并支付相应合同价款。</w:t>
      </w:r>
    </w:p>
    <w:p>
      <w:pPr>
        <w:pStyle w:val="8"/>
        <w:spacing w:before="0" w:after="0" w:line="288" w:lineRule="auto"/>
        <w:ind w:firstLine="420"/>
        <w:rPr>
          <w:rFonts w:cs="宋体"/>
          <w:b w:val="0"/>
          <w:color w:val="auto"/>
          <w:sz w:val="21"/>
          <w:szCs w:val="21"/>
          <w:highlight w:val="none"/>
        </w:rPr>
      </w:pPr>
      <w:bookmarkStart w:id="443" w:name="_Toc351203597"/>
      <w:bookmarkStart w:id="444" w:name="_Toc337558814"/>
      <w:r>
        <w:rPr>
          <w:rFonts w:hint="eastAsia" w:cs="宋体"/>
          <w:b w:val="0"/>
          <w:color w:val="auto"/>
          <w:sz w:val="21"/>
          <w:szCs w:val="21"/>
          <w:highlight w:val="none"/>
        </w:rPr>
        <w:t>14.4 最终结清</w:t>
      </w:r>
      <w:bookmarkEnd w:id="443"/>
    </w:p>
    <w:bookmarkEnd w:id="444"/>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14.4.1 最终结清申请单</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（1）除专用合同条款另有约定外，承包人应在缺陷责任期终止证书颁发后7天内，按专用合同条款约定的份数向发包人提交最终结清申请单，并提供相关证明材料。</w:t>
      </w:r>
    </w:p>
    <w:p>
      <w:pPr>
        <w:autoSpaceDE w:val="0"/>
        <w:autoSpaceDN w:val="0"/>
        <w:adjustRightInd w:val="0"/>
        <w:spacing w:line="288" w:lineRule="auto"/>
        <w:ind w:firstLine="420"/>
        <w:jc w:val="left"/>
        <w:rPr>
          <w:rFonts w:cs="宋体"/>
          <w:color w:val="auto"/>
          <w:szCs w:val="21"/>
          <w:highlight w:val="none"/>
        </w:rPr>
      </w:pPr>
      <w:r>
        <w:rPr>
          <w:rFonts w:hint="eastAsia" w:cs="宋体"/>
          <w:color w:val="auto"/>
          <w:szCs w:val="21"/>
          <w:highlight w:val="none"/>
        </w:rPr>
        <w:t>除专用合同条款另有约定外，</w:t>
      </w:r>
      <w:r>
        <w:rPr>
          <w:rFonts w:hint="eastAsia" w:cs="宋体"/>
          <w:color w:val="auto"/>
          <w:kern w:val="0"/>
          <w:szCs w:val="21"/>
          <w:highlight w:val="none"/>
        </w:rPr>
        <w:t>最终结清申请单</w:t>
      </w:r>
      <w:r>
        <w:rPr>
          <w:rFonts w:hint="eastAsia" w:cs="宋体"/>
          <w:color w:val="auto"/>
          <w:szCs w:val="21"/>
          <w:highlight w:val="none"/>
        </w:rPr>
        <w:t>应列明质量保证金、应扣除的质量保证金、缺陷责任期内发生的增减费用。</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（2）发包人对最终结清申请单内容有异议的，有权要求承包人进行修正和提供补充资料，承包人应向发包人提交修正后的最终结清申请单。</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14.4.2 最终结清证书和支付</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（3）承包人对发包人颁发的最终结清证书有异议的，按第20条〔争议解决〕的约定办理。</w:t>
      </w:r>
    </w:p>
    <w:p>
      <w:pPr>
        <w:pStyle w:val="7"/>
        <w:spacing w:line="288" w:lineRule="auto"/>
        <w:ind w:firstLine="420"/>
        <w:rPr>
          <w:rFonts w:ascii="宋体" w:hAnsi="宋体" w:cs="宋体"/>
          <w:b w:val="0"/>
          <w:color w:val="auto"/>
          <w:szCs w:val="21"/>
          <w:highlight w:val="none"/>
        </w:rPr>
      </w:pPr>
      <w:bookmarkStart w:id="445" w:name="_Toc351203598"/>
      <w:bookmarkStart w:id="446" w:name="_Toc337558815"/>
      <w:r>
        <w:rPr>
          <w:rFonts w:hint="eastAsia" w:ascii="宋体" w:hAnsi="宋体" w:cs="宋体"/>
          <w:b w:val="0"/>
          <w:color w:val="auto"/>
          <w:szCs w:val="21"/>
          <w:highlight w:val="none"/>
        </w:rPr>
        <w:t>15. 缺陷责任与保修</w:t>
      </w:r>
      <w:bookmarkEnd w:id="445"/>
    </w:p>
    <w:bookmarkEnd w:id="435"/>
    <w:bookmarkEnd w:id="436"/>
    <w:bookmarkEnd w:id="446"/>
    <w:p>
      <w:pPr>
        <w:pStyle w:val="8"/>
        <w:spacing w:before="0" w:after="0" w:line="288" w:lineRule="auto"/>
        <w:ind w:firstLine="420"/>
        <w:rPr>
          <w:rFonts w:cs="宋体"/>
          <w:b w:val="0"/>
          <w:color w:val="auto"/>
          <w:sz w:val="21"/>
          <w:szCs w:val="21"/>
          <w:highlight w:val="none"/>
        </w:rPr>
      </w:pPr>
      <w:bookmarkStart w:id="447" w:name="_Toc351203599"/>
      <w:bookmarkStart w:id="448" w:name="_Toc337558816"/>
      <w:bookmarkStart w:id="449" w:name="_Toc296503114"/>
      <w:bookmarkStart w:id="450" w:name="_Toc296346615"/>
      <w:r>
        <w:rPr>
          <w:rFonts w:hint="eastAsia" w:cs="宋体"/>
          <w:b w:val="0"/>
          <w:color w:val="auto"/>
          <w:sz w:val="21"/>
          <w:szCs w:val="21"/>
          <w:highlight w:val="none"/>
        </w:rPr>
        <w:t>15.1 工程保修的原则</w:t>
      </w:r>
      <w:bookmarkEnd w:id="447"/>
    </w:p>
    <w:bookmarkEnd w:id="448"/>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在工程移交发包人后，因承包人原因产生的质量缺陷，承包人应承担质量缺陷责任和保修义务。缺陷责任期届满，承包人仍应按合同约定的工程各部位保修年限承担保修义务。</w:t>
      </w:r>
    </w:p>
    <w:p>
      <w:pPr>
        <w:pStyle w:val="8"/>
        <w:spacing w:before="0" w:after="0" w:line="288" w:lineRule="auto"/>
        <w:ind w:firstLine="420"/>
        <w:rPr>
          <w:rFonts w:cs="宋体"/>
          <w:b w:val="0"/>
          <w:color w:val="auto"/>
          <w:sz w:val="21"/>
          <w:szCs w:val="21"/>
          <w:highlight w:val="none"/>
        </w:rPr>
      </w:pPr>
      <w:bookmarkStart w:id="451" w:name="_Toc351203600"/>
      <w:bookmarkStart w:id="452" w:name="_Toc337558817"/>
      <w:r>
        <w:rPr>
          <w:rFonts w:hint="eastAsia" w:cs="宋体"/>
          <w:b w:val="0"/>
          <w:color w:val="auto"/>
          <w:sz w:val="21"/>
          <w:szCs w:val="21"/>
          <w:highlight w:val="none"/>
        </w:rPr>
        <w:t>15.2 缺陷责任期</w:t>
      </w:r>
      <w:bookmarkEnd w:id="449"/>
      <w:bookmarkEnd w:id="450"/>
      <w:bookmarkEnd w:id="451"/>
    </w:p>
    <w:bookmarkEnd w:id="452"/>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15.2.1 缺陷责任期从工程通过竣工验收之日起计算，合同当事人应在专用合同条款约定缺陷责任期的具体期限，但该期限最长不超过24个月。</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cs="宋体"/>
          <w:bCs/>
          <w:color w:val="auto"/>
          <w:szCs w:val="21"/>
          <w:highlight w:val="none"/>
        </w:rPr>
        <w:t>包人延长缺陷责任期，</w:t>
      </w:r>
      <w:r>
        <w:rPr>
          <w:rFonts w:hint="eastAsia" w:cs="宋体"/>
          <w:color w:val="auto"/>
          <w:kern w:val="0"/>
          <w:szCs w:val="21"/>
          <w:highlight w:val="none"/>
        </w:rPr>
        <w:t>并应在原缺陷责任期届满前发出延长通知。</w:t>
      </w:r>
      <w:r>
        <w:rPr>
          <w:rFonts w:hint="eastAsia" w:cs="宋体"/>
          <w:bCs/>
          <w:color w:val="auto"/>
          <w:szCs w:val="21"/>
          <w:highlight w:val="none"/>
        </w:rPr>
        <w:t>但缺陷责任期（含延长部分）最长</w:t>
      </w:r>
      <w:r>
        <w:rPr>
          <w:rFonts w:hint="eastAsia" w:cs="宋体"/>
          <w:color w:val="auto"/>
          <w:kern w:val="0"/>
          <w:szCs w:val="21"/>
          <w:highlight w:val="none"/>
        </w:rPr>
        <w:t>不能超过24个月。</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由他人原因造成的缺陷，发包人负责组织维修，承包人不承担费用，且发包人不得从保证金中扣除费用。</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15.2.3 任何一项缺陷或损坏修复后，经检查证明其影响了工程或工程设备的使用性能，承包人应重新进行合同约定的试验和试运行，试验和试运行的全部费用应由责任方承担。</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pPr>
        <w:pStyle w:val="8"/>
        <w:spacing w:before="0" w:after="0" w:line="288" w:lineRule="auto"/>
        <w:ind w:firstLine="420"/>
        <w:rPr>
          <w:rFonts w:cs="宋体"/>
          <w:b w:val="0"/>
          <w:color w:val="auto"/>
          <w:sz w:val="21"/>
          <w:szCs w:val="21"/>
          <w:highlight w:val="none"/>
        </w:rPr>
      </w:pPr>
      <w:bookmarkStart w:id="453" w:name="_Toc351203601"/>
      <w:bookmarkStart w:id="454" w:name="_Toc337558818"/>
      <w:bookmarkStart w:id="455" w:name="_Toc296503115"/>
      <w:bookmarkStart w:id="456" w:name="_Toc296346616"/>
      <w:r>
        <w:rPr>
          <w:rFonts w:hint="eastAsia" w:cs="宋体"/>
          <w:b w:val="0"/>
          <w:color w:val="auto"/>
          <w:sz w:val="21"/>
          <w:szCs w:val="21"/>
          <w:highlight w:val="none"/>
        </w:rPr>
        <w:t>15.3 质量保证金</w:t>
      </w:r>
      <w:bookmarkEnd w:id="453"/>
    </w:p>
    <w:bookmarkEnd w:id="454"/>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经合同当事人协商一致扣留质量保证金的，应在专用合同条款中予以明确。</w:t>
      </w:r>
    </w:p>
    <w:p>
      <w:pPr>
        <w:spacing w:line="288" w:lineRule="auto"/>
        <w:ind w:firstLine="420"/>
        <w:jc w:val="left"/>
        <w:rPr>
          <w:rFonts w:cs="宋体"/>
          <w:color w:val="auto"/>
          <w:szCs w:val="21"/>
          <w:highlight w:val="none"/>
        </w:rPr>
      </w:pPr>
      <w:r>
        <w:rPr>
          <w:rFonts w:hint="eastAsia" w:cs="宋体"/>
          <w:color w:val="auto"/>
          <w:szCs w:val="21"/>
          <w:highlight w:val="none"/>
        </w:rPr>
        <w:t>在工程项目竣工前，承包人已经提供履约担保的，发包人不得同时预留工程质量保证金。</w:t>
      </w:r>
    </w:p>
    <w:p>
      <w:pPr>
        <w:autoSpaceDE w:val="0"/>
        <w:autoSpaceDN w:val="0"/>
        <w:adjustRightInd w:val="0"/>
        <w:spacing w:line="288" w:lineRule="auto"/>
        <w:ind w:firstLine="420"/>
        <w:jc w:val="left"/>
        <w:rPr>
          <w:rFonts w:cs="宋体"/>
          <w:color w:val="auto"/>
          <w:kern w:val="0"/>
          <w:szCs w:val="21"/>
          <w:highlight w:val="none"/>
        </w:rPr>
      </w:pP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15.3.1 承包人提供质量保证金的方式</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承包人提供质量保证金有以下三种方式：</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 xml:space="preserve">（1）质量保证金保函； </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（2）相应比例的工程款；</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（3）双方约定的其他方式。</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除专用合同条款另有约定外，质量保证金原则上采用上述第（1）种方式。</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15.3.2 质量保证金的扣留</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质量保证金的扣留有以下三种方式：</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（1）在支付工程进度款时逐次扣留，在此情形下，质量保证金的计算基数不包括预付款的支付、扣回以及价格调整的金额；</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（2）工</w:t>
      </w:r>
      <w:bookmarkStart w:id="457" w:name="#go6"/>
      <w:bookmarkEnd w:id="457"/>
      <w:r>
        <w:rPr>
          <w:rFonts w:hint="eastAsia" w:cs="宋体"/>
          <w:color w:val="auto"/>
          <w:kern w:val="0"/>
          <w:szCs w:val="21"/>
          <w:highlight w:val="none"/>
        </w:rPr>
        <w:t>程竣工结算时一次性扣留质量保证金；</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（3）双方约定的其他扣留方式。</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除专用合同条款另有约定外，质量保证金的扣留原则上采用上述第（1）种方式。</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w:t>
      </w:r>
      <w:bookmarkStart w:id="458" w:name="#go4"/>
      <w:bookmarkEnd w:id="458"/>
      <w:r>
        <w:rPr>
          <w:rFonts w:hint="eastAsia" w:cs="宋体"/>
          <w:color w:val="auto"/>
          <w:kern w:val="0"/>
          <w:szCs w:val="21"/>
          <w:highlight w:val="none"/>
        </w:rPr>
        <w:t>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发包人在退还质量保证金的同时按照中国人民银行发布的同期同类贷款基准利率支付利息。</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 xml:space="preserve">15.3.3 </w:t>
      </w:r>
      <w:r>
        <w:rPr>
          <w:rFonts w:hint="eastAsia" w:cs="宋体"/>
          <w:color w:val="auto"/>
          <w:szCs w:val="21"/>
          <w:highlight w:val="none"/>
        </w:rPr>
        <w:t>质量保证金</w:t>
      </w:r>
      <w:r>
        <w:rPr>
          <w:rFonts w:hint="eastAsia" w:cs="宋体"/>
          <w:color w:val="auto"/>
          <w:kern w:val="0"/>
          <w:szCs w:val="21"/>
          <w:highlight w:val="none"/>
        </w:rPr>
        <w:t>的退还</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缺陷责任期内，承包人认真履行合同约定的责任，到期后，承包人可向发包人申请返还保证金。</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发包人和承包人对保证金预留、返还以及工程维修质量、费用有争议的，按本合同第20条约定的争议和纠纷解决程序处理。</w:t>
      </w:r>
    </w:p>
    <w:p>
      <w:pPr>
        <w:pStyle w:val="8"/>
        <w:spacing w:before="0" w:after="0" w:line="288" w:lineRule="auto"/>
        <w:ind w:firstLine="420"/>
        <w:rPr>
          <w:rFonts w:cs="宋体"/>
          <w:b w:val="0"/>
          <w:color w:val="auto"/>
          <w:sz w:val="21"/>
          <w:szCs w:val="21"/>
          <w:highlight w:val="none"/>
        </w:rPr>
      </w:pPr>
      <w:bookmarkStart w:id="459" w:name="_Toc351203602"/>
      <w:bookmarkStart w:id="460" w:name="_Toc337558819"/>
      <w:r>
        <w:rPr>
          <w:rFonts w:hint="eastAsia" w:cs="宋体"/>
          <w:b w:val="0"/>
          <w:color w:val="auto"/>
          <w:sz w:val="21"/>
          <w:szCs w:val="21"/>
          <w:highlight w:val="none"/>
        </w:rPr>
        <w:t>15.4 保修</w:t>
      </w:r>
      <w:bookmarkEnd w:id="459"/>
    </w:p>
    <w:bookmarkEnd w:id="455"/>
    <w:bookmarkEnd w:id="456"/>
    <w:bookmarkEnd w:id="460"/>
    <w:p>
      <w:pPr>
        <w:spacing w:line="288" w:lineRule="auto"/>
        <w:ind w:firstLine="420"/>
        <w:jc w:val="left"/>
        <w:rPr>
          <w:rFonts w:cs="宋体"/>
          <w:color w:val="auto"/>
          <w:kern w:val="0"/>
          <w:szCs w:val="21"/>
          <w:highlight w:val="none"/>
        </w:rPr>
      </w:pPr>
      <w:r>
        <w:rPr>
          <w:rFonts w:hint="eastAsia" w:cs="宋体"/>
          <w:color w:val="auto"/>
          <w:kern w:val="0"/>
          <w:szCs w:val="21"/>
          <w:highlight w:val="none"/>
        </w:rPr>
        <w:t>15.4.1保修责任</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pPr>
        <w:spacing w:line="288" w:lineRule="auto"/>
        <w:ind w:firstLine="420"/>
        <w:jc w:val="left"/>
        <w:rPr>
          <w:rFonts w:cs="宋体"/>
          <w:color w:val="auto"/>
          <w:szCs w:val="21"/>
          <w:highlight w:val="none"/>
        </w:rPr>
      </w:pPr>
      <w:r>
        <w:rPr>
          <w:rFonts w:hint="eastAsia" w:cs="宋体"/>
          <w:color w:val="auto"/>
          <w:szCs w:val="21"/>
          <w:highlight w:val="none"/>
        </w:rPr>
        <w:t>发包人未经竣工验收擅自使用工程的，保修期自</w:t>
      </w:r>
      <w:r>
        <w:rPr>
          <w:rFonts w:hint="eastAsia" w:cs="宋体"/>
          <w:color w:val="auto"/>
          <w:kern w:val="0"/>
          <w:szCs w:val="21"/>
          <w:highlight w:val="none"/>
        </w:rPr>
        <w:t>转移占有之日起算</w:t>
      </w:r>
      <w:r>
        <w:rPr>
          <w:rFonts w:hint="eastAsia" w:cs="宋体"/>
          <w:color w:val="auto"/>
          <w:szCs w:val="21"/>
          <w:highlight w:val="none"/>
        </w:rPr>
        <w:t>。</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15.4.2 修复费用</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保修期内，修复的费用按照以下约定处理：</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（1）保修期内，因承包人原因造成工程的缺陷、损坏，承包人应负责修复，并承担修复的费用以及因工程的缺陷、损坏造成的人身伤害和财产损失；</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（2）保修期内，因发包人使用不当造成工程的缺陷、损坏，可以委托承包人修复，但发包人应承担修复的费用，并支付承包人合理利润；</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（3）因其他原因造成工程的缺陷、损坏，可以委托承包人修复，发包人应承担修复的费用，并支付承包人合理的利润，因工程的缺陷、损坏造成的人身伤害和财产损失由责任方承担。</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15.4.3 修复通知</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15.4.4 未能修复</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15.4.5 承包人出入权</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pPr>
        <w:pStyle w:val="7"/>
        <w:spacing w:line="288" w:lineRule="auto"/>
        <w:ind w:firstLine="420"/>
        <w:rPr>
          <w:rFonts w:ascii="宋体" w:hAnsi="宋体" w:cs="宋体"/>
          <w:b w:val="0"/>
          <w:color w:val="auto"/>
          <w:szCs w:val="21"/>
          <w:highlight w:val="none"/>
        </w:rPr>
      </w:pPr>
      <w:bookmarkStart w:id="461" w:name="_Toc351203603"/>
      <w:bookmarkStart w:id="462" w:name="_Toc337558820"/>
      <w:r>
        <w:rPr>
          <w:rFonts w:hint="eastAsia" w:ascii="宋体" w:hAnsi="宋体" w:cs="宋体"/>
          <w:b w:val="0"/>
          <w:color w:val="auto"/>
          <w:szCs w:val="21"/>
          <w:highlight w:val="none"/>
        </w:rPr>
        <w:t>16. 违约</w:t>
      </w:r>
      <w:bookmarkEnd w:id="461"/>
    </w:p>
    <w:bookmarkEnd w:id="462"/>
    <w:p>
      <w:pPr>
        <w:pStyle w:val="8"/>
        <w:spacing w:before="0" w:after="0" w:line="288" w:lineRule="auto"/>
        <w:ind w:firstLine="420"/>
        <w:rPr>
          <w:rFonts w:cs="宋体"/>
          <w:b w:val="0"/>
          <w:color w:val="auto"/>
          <w:sz w:val="21"/>
          <w:szCs w:val="21"/>
          <w:highlight w:val="none"/>
        </w:rPr>
      </w:pPr>
      <w:bookmarkStart w:id="463" w:name="_Toc296346630"/>
      <w:bookmarkStart w:id="464" w:name="_Toc296503129"/>
      <w:bookmarkStart w:id="465" w:name="_Toc351203604"/>
      <w:bookmarkStart w:id="466" w:name="_Toc337558821"/>
      <w:r>
        <w:rPr>
          <w:rFonts w:hint="eastAsia" w:cs="宋体"/>
          <w:b w:val="0"/>
          <w:color w:val="auto"/>
          <w:sz w:val="21"/>
          <w:szCs w:val="21"/>
          <w:highlight w:val="none"/>
        </w:rPr>
        <w:t>16.1 发</w:t>
      </w:r>
      <w:bookmarkEnd w:id="463"/>
      <w:bookmarkEnd w:id="464"/>
      <w:r>
        <w:rPr>
          <w:rFonts w:hint="eastAsia" w:cs="宋体"/>
          <w:b w:val="0"/>
          <w:color w:val="auto"/>
          <w:sz w:val="21"/>
          <w:szCs w:val="21"/>
          <w:highlight w:val="none"/>
        </w:rPr>
        <w:t>包人违约</w:t>
      </w:r>
      <w:bookmarkEnd w:id="465"/>
    </w:p>
    <w:bookmarkEnd w:id="466"/>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16.1.1 发包人违约的情形</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在合同履行过程中发生的下列情形，属于发包人违约：</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（1）因发包人原因未能在计划开工日期前7天内下达开工通知的；</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（2）因发包人原因未能按合同约定支付合同价款的；</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（3）发包人违反第10.1款〔变更的范围〕第（2）项约定，自行实施被取消的工作或转由他人实施的；</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（4）发包人提供的材料、工程设备的规格、数量或质量不符合合同约定，或因发包人原因导致交货日期延误或交货地点变更等情况的；</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（5）因发包人违反合同约定造成暂停施工的；</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（6）发包人无正当理由没有在约定期限内发出复工指示，导致承包人无法复工的；</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（7）发包人明确表示或者以其行为表明不履行合同主要义务的；</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（8）发包人未能按照合同约定履行其他义务的。</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16.1.2 发包人违约的责任</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发包人应承担因其违约给承包人增加的费用和（或）延误的工期，并支付承包人合理的利润。此外，合同当事人可在专用合同条款中另行约定发包人违约责任的承担方式和计算方法。</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16.1.3 因发包人违约解除合同</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pPr>
        <w:autoSpaceDE w:val="0"/>
        <w:autoSpaceDN w:val="0"/>
        <w:adjustRightInd w:val="0"/>
        <w:spacing w:line="288" w:lineRule="auto"/>
        <w:ind w:firstLine="420"/>
        <w:jc w:val="left"/>
        <w:rPr>
          <w:rFonts w:cs="宋体"/>
          <w:color w:val="auto"/>
          <w:szCs w:val="21"/>
          <w:highlight w:val="none"/>
        </w:rPr>
      </w:pPr>
      <w:r>
        <w:rPr>
          <w:rFonts w:hint="eastAsia" w:cs="宋体"/>
          <w:color w:val="auto"/>
          <w:kern w:val="0"/>
          <w:szCs w:val="21"/>
          <w:highlight w:val="none"/>
        </w:rPr>
        <w:t>16.1.4 因发包人违约解除合同后的付款</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承包人按照本款约定解除合同的，发包人应在解除合同后28天内支付下列款项，并解除履约担保：</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（1）合同解除前所完成工作的价款；</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（2）承包人为工程施工订购并已付款的材料、工程设备和其他物品的价款；</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（3）承包人撤离施工现场以及遣散承包人人员的款项；</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（4）按照合同约定在合同解除前应支付的违约金；</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（5）按照合同约定应当支付给承包人的其他款项；</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（6）按照合同约定应退还的质量保证金；</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（7）因解除合同给承包人造成的损失。</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合同当事人未能就解除合同后的结清达成一致的，按照第20条〔争议解决〕的约定处理。</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承包人应妥善做好已完工程和与工程有关的已购材料、工程设备的保护和移交工作，并将施工设备和人员撤出施工现场，发包人应为承包人撤出提供必要条件。</w:t>
      </w:r>
    </w:p>
    <w:p>
      <w:pPr>
        <w:pStyle w:val="8"/>
        <w:spacing w:before="0" w:after="0" w:line="288" w:lineRule="auto"/>
        <w:ind w:firstLine="420"/>
        <w:rPr>
          <w:rFonts w:cs="宋体"/>
          <w:b w:val="0"/>
          <w:color w:val="auto"/>
          <w:sz w:val="21"/>
          <w:szCs w:val="21"/>
          <w:highlight w:val="none"/>
        </w:rPr>
      </w:pPr>
      <w:bookmarkStart w:id="467" w:name="_Toc351203605"/>
      <w:bookmarkStart w:id="468" w:name="_Toc296503131"/>
      <w:bookmarkStart w:id="469" w:name="_Toc337558822"/>
      <w:bookmarkStart w:id="470" w:name="_Toc296346632"/>
      <w:r>
        <w:rPr>
          <w:rFonts w:hint="eastAsia" w:cs="宋体"/>
          <w:b w:val="0"/>
          <w:color w:val="auto"/>
          <w:sz w:val="21"/>
          <w:szCs w:val="21"/>
          <w:highlight w:val="none"/>
        </w:rPr>
        <w:t>16.2 承包人违约</w:t>
      </w:r>
      <w:bookmarkEnd w:id="467"/>
    </w:p>
    <w:bookmarkEnd w:id="468"/>
    <w:bookmarkEnd w:id="469"/>
    <w:bookmarkEnd w:id="470"/>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16.2.1 承包人违约的情形</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在合同履行过程中发生的下列情形，属于承包人违约：</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（1）承包人违反合同约定进行转包或违法分包的；</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（2）承包人违反合同约定采购和使用不合格的材料和工程设备的；</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 xml:space="preserve">（3）因承包人原因导致工程质量不符合合同要求的； </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（4）承包人违反第8.9款〔材料与设备专用要求〕的约定，未经批准，私自将已按照合同约定进入施工现场的材料或设备撤离施工现场的；</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（5）承包人未能按施工进度计划及时完成合同约定的工作，造成工期延误的；</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（6）承包人在缺陷责任期及保修期内，未能在合理期限对工程缺陷进行修复，或拒绝按发包人要求进行修复的；</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（7）承包人明确表示或者以其行为表明不履行合同主要义务的；</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（8）承包人未能按照合同约定履行其他义务的。</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承包人发生除本项第（7）目约定以外的其他违约情况时，监理人可向承包人发出整改通知，要求其在指定的期限内改正。</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16.2.2 承包人违约的责任</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承包人应承担因其违约行为而增加的费用和（或）延误的工期。此外，合同当事人可在专用合同条款中另行约定承包人违约责任的承担方式和计算方法。</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16.2.3 因承包人违约解除合同</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16.2.4因承包人违约解除合同后的处理</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因承包人原因导致合同解除的，则合同当事人应在合同解除后28天内完成估价、付款和清算，并按以下约定执行：</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（1）合同解除后，按第4.4款〔商定或确定〕商定或确定承包人实际完成工作对应的合同价款，以及承包人已提供的材料、工程设备、施工设备和临时工程等的价值；</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（2）合同解除后，承包人应支付的违约金；</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（3）合同解除后，因解除合同给发包人造成的损失；</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（4）合同解除后，承包人应按照发包人要求和监理人的指示完成现场的清理和撤离；</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（5）发包人和承包人应在合同解除后进行清算，出具最终结清付款证书，结清全部款项。</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因承包人违约解除合同的，发包人有权暂停对承包人的付款，查清各项付款和已扣款项。发包人和承包人未能就合同解除后的清算和款项支付达成一致的，按照第20条〔争议解决〕的约定处理。</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16.2.5采购合同权益转让</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pPr>
        <w:pStyle w:val="8"/>
        <w:spacing w:before="0" w:after="0" w:line="288" w:lineRule="auto"/>
        <w:ind w:firstLine="420"/>
        <w:rPr>
          <w:rFonts w:cs="宋体"/>
          <w:b w:val="0"/>
          <w:color w:val="auto"/>
          <w:sz w:val="21"/>
          <w:szCs w:val="21"/>
          <w:highlight w:val="none"/>
        </w:rPr>
      </w:pPr>
      <w:bookmarkStart w:id="471" w:name="_Toc351203606"/>
      <w:r>
        <w:rPr>
          <w:rFonts w:hint="eastAsia" w:cs="宋体"/>
          <w:b w:val="0"/>
          <w:color w:val="auto"/>
          <w:sz w:val="21"/>
          <w:szCs w:val="21"/>
          <w:highlight w:val="none"/>
        </w:rPr>
        <w:t>16.3 第三人造成的违约</w:t>
      </w:r>
      <w:bookmarkEnd w:id="471"/>
    </w:p>
    <w:p>
      <w:pPr>
        <w:spacing w:line="288" w:lineRule="auto"/>
        <w:ind w:firstLine="420"/>
        <w:jc w:val="left"/>
        <w:rPr>
          <w:rFonts w:cs="宋体"/>
          <w:color w:val="auto"/>
          <w:kern w:val="0"/>
          <w:szCs w:val="21"/>
          <w:highlight w:val="none"/>
        </w:rPr>
      </w:pPr>
      <w:r>
        <w:rPr>
          <w:rFonts w:hint="eastAsia" w:cs="宋体"/>
          <w:color w:val="auto"/>
          <w:kern w:val="0"/>
          <w:szCs w:val="21"/>
          <w:highlight w:val="none"/>
        </w:rPr>
        <w:t>在履行合同过程中，一方当事人因第三人的原因造成违约的，应当向对方当事人承担违约责任。一方当事人和第三人之间的纠纷，依照法律规定或者按照约定解决。</w:t>
      </w:r>
    </w:p>
    <w:p>
      <w:pPr>
        <w:pStyle w:val="7"/>
        <w:spacing w:line="288" w:lineRule="auto"/>
        <w:ind w:firstLine="420"/>
        <w:rPr>
          <w:rFonts w:ascii="宋体" w:hAnsi="宋体" w:cs="宋体"/>
          <w:b w:val="0"/>
          <w:color w:val="auto"/>
          <w:szCs w:val="21"/>
          <w:highlight w:val="none"/>
        </w:rPr>
      </w:pPr>
      <w:bookmarkStart w:id="472" w:name="_Toc351203607"/>
      <w:bookmarkStart w:id="473" w:name="_Toc337558823"/>
      <w:bookmarkStart w:id="474" w:name="_Toc296503116"/>
      <w:bookmarkStart w:id="475" w:name="_Toc296346617"/>
      <w:r>
        <w:rPr>
          <w:rFonts w:hint="eastAsia" w:ascii="宋体" w:hAnsi="宋体" w:cs="宋体"/>
          <w:b w:val="0"/>
          <w:color w:val="auto"/>
          <w:szCs w:val="21"/>
          <w:highlight w:val="none"/>
        </w:rPr>
        <w:t>17. 不可抗力</w:t>
      </w:r>
      <w:bookmarkEnd w:id="472"/>
      <w:r>
        <w:rPr>
          <w:rFonts w:hint="eastAsia" w:ascii="宋体" w:hAnsi="宋体" w:cs="宋体"/>
          <w:b w:val="0"/>
          <w:color w:val="auto"/>
          <w:szCs w:val="21"/>
          <w:highlight w:val="none"/>
        </w:rPr>
        <w:t xml:space="preserve"> </w:t>
      </w:r>
      <w:bookmarkEnd w:id="473"/>
      <w:bookmarkEnd w:id="474"/>
      <w:bookmarkEnd w:id="475"/>
    </w:p>
    <w:p>
      <w:pPr>
        <w:pStyle w:val="8"/>
        <w:spacing w:before="0" w:after="0" w:line="288" w:lineRule="auto"/>
        <w:ind w:firstLine="420"/>
        <w:rPr>
          <w:rFonts w:cs="宋体"/>
          <w:b w:val="0"/>
          <w:color w:val="auto"/>
          <w:sz w:val="21"/>
          <w:szCs w:val="21"/>
          <w:highlight w:val="none"/>
        </w:rPr>
      </w:pPr>
      <w:bookmarkStart w:id="476" w:name="_Toc351203608"/>
      <w:bookmarkStart w:id="477" w:name="_Toc296503117"/>
      <w:bookmarkStart w:id="478" w:name="_Toc337558824"/>
      <w:bookmarkStart w:id="479" w:name="_Toc296346618"/>
      <w:r>
        <w:rPr>
          <w:rFonts w:hint="eastAsia" w:cs="宋体"/>
          <w:b w:val="0"/>
          <w:color w:val="auto"/>
          <w:sz w:val="21"/>
          <w:szCs w:val="21"/>
          <w:highlight w:val="none"/>
        </w:rPr>
        <w:t>17.1 不可抗力的确认</w:t>
      </w:r>
      <w:bookmarkEnd w:id="476"/>
    </w:p>
    <w:bookmarkEnd w:id="477"/>
    <w:bookmarkEnd w:id="478"/>
    <w:bookmarkEnd w:id="479"/>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不可抗力是指合同当事人在签订合同时不可预见，在合同履行过程中不可避免且不能克服的自然灾害和社会性突发事件，如地震、海啸、瘟疫、骚乱、戒严、暴动、战争和专用合同条款中约定的其他情形。</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pPr>
        <w:pStyle w:val="8"/>
        <w:spacing w:before="0" w:after="0" w:line="288" w:lineRule="auto"/>
        <w:ind w:firstLine="420"/>
        <w:rPr>
          <w:rFonts w:cs="宋体"/>
          <w:b w:val="0"/>
          <w:color w:val="auto"/>
          <w:sz w:val="21"/>
          <w:szCs w:val="21"/>
          <w:highlight w:val="none"/>
        </w:rPr>
      </w:pPr>
      <w:bookmarkStart w:id="480" w:name="_Toc351203609"/>
      <w:bookmarkStart w:id="481" w:name="_Toc296346619"/>
      <w:bookmarkStart w:id="482" w:name="_Toc337558825"/>
      <w:bookmarkStart w:id="483" w:name="_Toc296503118"/>
      <w:r>
        <w:rPr>
          <w:rFonts w:hint="eastAsia" w:cs="宋体"/>
          <w:b w:val="0"/>
          <w:color w:val="auto"/>
          <w:sz w:val="21"/>
          <w:szCs w:val="21"/>
          <w:highlight w:val="none"/>
        </w:rPr>
        <w:t>17.2 不可抗力的通知</w:t>
      </w:r>
      <w:bookmarkEnd w:id="480"/>
    </w:p>
    <w:bookmarkEnd w:id="481"/>
    <w:bookmarkEnd w:id="482"/>
    <w:bookmarkEnd w:id="483"/>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合同一方当事人遇到不可抗力事件，使其履行合同义务受到阻碍时，应立即通知合同另一方当事人和监理人，书面说明不可抗力和受阻碍的详细情况，并提供必要的证明。</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不可抗力持续发生的，合同一方当事人应及时向合同另一方当事人和监理人提交中间报告，说明不可抗力和履行合同受阻的情况，并于不可抗力事件结束后28天内提交最终报告及有关资料。</w:t>
      </w:r>
    </w:p>
    <w:p>
      <w:pPr>
        <w:pStyle w:val="8"/>
        <w:spacing w:before="0" w:after="0" w:line="288" w:lineRule="auto"/>
        <w:ind w:firstLine="420"/>
        <w:rPr>
          <w:rFonts w:cs="宋体"/>
          <w:b w:val="0"/>
          <w:color w:val="auto"/>
          <w:sz w:val="21"/>
          <w:szCs w:val="21"/>
          <w:highlight w:val="none"/>
        </w:rPr>
      </w:pPr>
      <w:bookmarkStart w:id="484" w:name="_Toc351203610"/>
      <w:bookmarkStart w:id="485" w:name="_Toc337558826"/>
      <w:bookmarkStart w:id="486" w:name="_Toc296346620"/>
      <w:bookmarkStart w:id="487" w:name="_Toc296503119"/>
      <w:r>
        <w:rPr>
          <w:rFonts w:hint="eastAsia" w:cs="宋体"/>
          <w:b w:val="0"/>
          <w:color w:val="auto"/>
          <w:sz w:val="21"/>
          <w:szCs w:val="21"/>
          <w:highlight w:val="none"/>
        </w:rPr>
        <w:t>17.3 不可抗力后果的承担</w:t>
      </w:r>
      <w:bookmarkEnd w:id="484"/>
    </w:p>
    <w:bookmarkEnd w:id="485"/>
    <w:bookmarkEnd w:id="486"/>
    <w:bookmarkEnd w:id="487"/>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17.3.1 不可抗力引起的后果及造成的损失由合同当事人按照法律规定及合同约定各自承担。不可抗力发生前已完成的工程应当按照合同约定进行计量支付。</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17.3.2 不可抗力导致的人员伤亡、财产损失、费用增加和（或）工期延误等后果，由合同当事人按以下原则承担：</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（1）永久工程、已运至施工现场的材料和工程设备的损坏，以及因工程损坏造成的第三人人员伤亡和财产损失由发包人承担；</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（2）承包人施工设备的损坏由承包人承担；</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（3）发包人和承包人承担各自人员伤亡和财产的损失；</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（4）因不可抗力影响承包人履行合同约定的义务，已经引起或将引起工期延误的，应当顺延工期，由此导致承包人停工的费用损失由发包人和承包人合理分担，停工期间必须支付的工人工资由发包人承担；</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（5）因不可抗力引起或将引起工期延误，发包人要求赶工的，由此增加的赶工费用由发包人承担；</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（6）承包人在停工期间按照发包人要求照管、清理和修复工程的费用由发包人承担。</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不可抗力发生后，合同当事人均应采取措施尽量避免和减少损失的扩大，任何一方当事人没有采取有效措施导致损失扩大的，应对扩大的损失承担责任。</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因合同一方迟延履行合同义务，在迟延履行期间遭遇不可抗力的，不免除其违约责任。</w:t>
      </w:r>
    </w:p>
    <w:p>
      <w:pPr>
        <w:pStyle w:val="8"/>
        <w:spacing w:before="0" w:after="0" w:line="288" w:lineRule="auto"/>
        <w:ind w:firstLine="420"/>
        <w:rPr>
          <w:rFonts w:cs="宋体"/>
          <w:b w:val="0"/>
          <w:color w:val="auto"/>
          <w:sz w:val="21"/>
          <w:szCs w:val="21"/>
          <w:highlight w:val="none"/>
        </w:rPr>
      </w:pPr>
      <w:bookmarkStart w:id="488" w:name="_Toc351203611"/>
      <w:bookmarkStart w:id="489" w:name="_Toc337558827"/>
      <w:r>
        <w:rPr>
          <w:rFonts w:hint="eastAsia" w:cs="宋体"/>
          <w:b w:val="0"/>
          <w:color w:val="auto"/>
          <w:sz w:val="21"/>
          <w:szCs w:val="21"/>
          <w:highlight w:val="none"/>
        </w:rPr>
        <w:t>17.4 因不可抗力解除合同</w:t>
      </w:r>
      <w:bookmarkEnd w:id="488"/>
    </w:p>
    <w:bookmarkEnd w:id="489"/>
    <w:p>
      <w:pPr>
        <w:spacing w:line="288" w:lineRule="auto"/>
        <w:ind w:firstLine="420"/>
        <w:jc w:val="left"/>
        <w:rPr>
          <w:rFonts w:cs="宋体"/>
          <w:color w:val="auto"/>
          <w:kern w:val="0"/>
          <w:szCs w:val="21"/>
          <w:highlight w:val="none"/>
        </w:rPr>
      </w:pPr>
      <w:r>
        <w:rPr>
          <w:rFonts w:hint="eastAsia" w:cs="宋体"/>
          <w:color w:val="auto"/>
          <w:kern w:val="0"/>
          <w:szCs w:val="21"/>
          <w:highlight w:val="none"/>
        </w:rPr>
        <w:t>因不可抗力导致合同无法履行连续超过84天或累计超过140天的，发包人和承包人均有权解除合同。合同解除后，由双方当事人按照第4.4款〔商定或确定〕商定或确定发包人应支付的款项，该款项包括：</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（1）合同解除前承包人已完成工作的价款；</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（2）承包人为工程订购的并已交付给承包人，或承包人有责任接受交付的材料、工程设备和其他物品的价款；</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（3）发包人要求承包人退货或解除订货合同而产生的费用，或因不能退货或解除合同而产生的损失；</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（4）承包人撤离施工现场以及遣散承包人人员的费用；</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（5）按照合同约定在合同解除前应支付给承包人的其他款项；</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（6）扣减承包人按照合同约定应向发包人支付的款项；</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（7）双方商定或确定的其他款项。</w:t>
      </w:r>
    </w:p>
    <w:p>
      <w:pPr>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除专用合同条款另有约定外，合同解除后，发包人应在商定或确定上述款项后28天内完成上述款项的支付。</w:t>
      </w:r>
    </w:p>
    <w:p>
      <w:pPr>
        <w:pStyle w:val="7"/>
        <w:spacing w:line="288" w:lineRule="auto"/>
        <w:ind w:firstLine="420"/>
        <w:rPr>
          <w:rFonts w:ascii="宋体" w:hAnsi="宋体" w:cs="宋体"/>
          <w:b w:val="0"/>
          <w:color w:val="auto"/>
          <w:szCs w:val="21"/>
          <w:highlight w:val="none"/>
        </w:rPr>
      </w:pPr>
      <w:bookmarkStart w:id="490" w:name="_Toc351203612"/>
      <w:bookmarkStart w:id="491" w:name="_Toc337558828"/>
      <w:bookmarkStart w:id="492" w:name="_Toc296503120"/>
      <w:bookmarkStart w:id="493" w:name="_Toc296346621"/>
      <w:r>
        <w:rPr>
          <w:rFonts w:hint="eastAsia" w:ascii="宋体" w:hAnsi="宋体" w:cs="宋体"/>
          <w:b w:val="0"/>
          <w:color w:val="auto"/>
          <w:szCs w:val="21"/>
          <w:highlight w:val="none"/>
        </w:rPr>
        <w:t>18. 保险</w:t>
      </w:r>
      <w:bookmarkEnd w:id="490"/>
    </w:p>
    <w:bookmarkEnd w:id="491"/>
    <w:bookmarkEnd w:id="492"/>
    <w:bookmarkEnd w:id="493"/>
    <w:p>
      <w:pPr>
        <w:pStyle w:val="8"/>
        <w:spacing w:before="0" w:after="0" w:line="288" w:lineRule="auto"/>
        <w:ind w:firstLine="420"/>
        <w:rPr>
          <w:rFonts w:cs="宋体"/>
          <w:b w:val="0"/>
          <w:color w:val="auto"/>
          <w:sz w:val="21"/>
          <w:szCs w:val="21"/>
          <w:highlight w:val="none"/>
        </w:rPr>
      </w:pPr>
      <w:bookmarkStart w:id="494" w:name="_Toc351203613"/>
      <w:bookmarkStart w:id="495" w:name="_Toc296503121"/>
      <w:bookmarkStart w:id="496" w:name="_Toc296346622"/>
      <w:bookmarkStart w:id="497" w:name="_Toc337558829"/>
      <w:r>
        <w:rPr>
          <w:rFonts w:hint="eastAsia" w:cs="宋体"/>
          <w:b w:val="0"/>
          <w:color w:val="auto"/>
          <w:sz w:val="21"/>
          <w:szCs w:val="21"/>
          <w:highlight w:val="none"/>
        </w:rPr>
        <w:t>18.1 工程保险</w:t>
      </w:r>
      <w:bookmarkEnd w:id="494"/>
    </w:p>
    <w:bookmarkEnd w:id="495"/>
    <w:bookmarkEnd w:id="496"/>
    <w:bookmarkEnd w:id="497"/>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除专用合同条款另有约定外，发包人应投保建筑工程一切险或安装工程一切险；发包人委托承包人投保的，因投保产生的保险费和其他相关费用由发包人承担。</w:t>
      </w:r>
    </w:p>
    <w:p>
      <w:pPr>
        <w:pStyle w:val="8"/>
        <w:spacing w:before="0" w:after="0" w:line="288" w:lineRule="auto"/>
        <w:ind w:firstLine="420"/>
        <w:rPr>
          <w:rFonts w:cs="宋体"/>
          <w:b w:val="0"/>
          <w:color w:val="auto"/>
          <w:sz w:val="21"/>
          <w:szCs w:val="21"/>
          <w:highlight w:val="none"/>
        </w:rPr>
      </w:pPr>
      <w:bookmarkStart w:id="498" w:name="_Toc351203614"/>
      <w:bookmarkStart w:id="499" w:name="_Toc337558830"/>
      <w:bookmarkStart w:id="500" w:name="_Toc296503122"/>
      <w:bookmarkStart w:id="501" w:name="_Toc296346623"/>
      <w:r>
        <w:rPr>
          <w:rFonts w:hint="eastAsia" w:cs="宋体"/>
          <w:b w:val="0"/>
          <w:color w:val="auto"/>
          <w:sz w:val="21"/>
          <w:szCs w:val="21"/>
          <w:highlight w:val="none"/>
        </w:rPr>
        <w:t>18.2 工伤保险</w:t>
      </w:r>
      <w:bookmarkEnd w:id="498"/>
    </w:p>
    <w:bookmarkEnd w:id="499"/>
    <w:bookmarkEnd w:id="500"/>
    <w:bookmarkEnd w:id="501"/>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18.2.1 发包人应依照法律规定参加工伤保险，并为在施工现场的全部员工办理工伤保险，缴纳工伤保险费，并要求监理人及由发包人为履行合同聘请的第三方依法参加工伤保险。</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18.2.2 承包人应依照法律规定参加工伤保险，并为其履行合同的全部员工办理工伤保险，缴纳工伤保险费，并要求分包人及由承包人为履行合同聘请的第三方依法参加工伤保险。</w:t>
      </w:r>
    </w:p>
    <w:p>
      <w:pPr>
        <w:pStyle w:val="8"/>
        <w:spacing w:before="0" w:after="0" w:line="288" w:lineRule="auto"/>
        <w:ind w:firstLine="420"/>
        <w:rPr>
          <w:rFonts w:cs="宋体"/>
          <w:b w:val="0"/>
          <w:color w:val="auto"/>
          <w:sz w:val="21"/>
          <w:szCs w:val="21"/>
          <w:highlight w:val="none"/>
        </w:rPr>
      </w:pPr>
      <w:bookmarkStart w:id="502" w:name="_Toc351203615"/>
      <w:bookmarkStart w:id="503" w:name="_Toc296346626"/>
      <w:bookmarkStart w:id="504" w:name="_Toc337558831"/>
      <w:bookmarkStart w:id="505" w:name="_Toc296503125"/>
      <w:r>
        <w:rPr>
          <w:rFonts w:hint="eastAsia" w:cs="宋体"/>
          <w:b w:val="0"/>
          <w:color w:val="auto"/>
          <w:sz w:val="21"/>
          <w:szCs w:val="21"/>
          <w:highlight w:val="none"/>
        </w:rPr>
        <w:t>18.3其他保险</w:t>
      </w:r>
      <w:bookmarkEnd w:id="502"/>
    </w:p>
    <w:bookmarkEnd w:id="503"/>
    <w:bookmarkEnd w:id="504"/>
    <w:bookmarkEnd w:id="505"/>
    <w:p>
      <w:pPr>
        <w:spacing w:line="288" w:lineRule="auto"/>
        <w:ind w:firstLine="420"/>
        <w:jc w:val="left"/>
        <w:rPr>
          <w:rFonts w:cs="宋体"/>
          <w:color w:val="auto"/>
          <w:szCs w:val="21"/>
          <w:highlight w:val="none"/>
        </w:rPr>
      </w:pPr>
      <w:r>
        <w:rPr>
          <w:rFonts w:hint="eastAsia" w:cs="宋体"/>
          <w:color w:val="auto"/>
          <w:szCs w:val="21"/>
          <w:highlight w:val="none"/>
        </w:rPr>
        <w:t>发包人和承包人可以为其施工现场的全部人员办理意外伤害保险并支付保险费，包括其员工及为履行合同聘请的第三方的人员，具体事项由合同当事人在专用合同条款约定。</w:t>
      </w:r>
    </w:p>
    <w:p>
      <w:pPr>
        <w:spacing w:line="288" w:lineRule="auto"/>
        <w:ind w:firstLine="420"/>
        <w:jc w:val="left"/>
        <w:rPr>
          <w:rFonts w:cs="宋体"/>
          <w:color w:val="auto"/>
          <w:szCs w:val="21"/>
          <w:highlight w:val="none"/>
        </w:rPr>
      </w:pPr>
      <w:r>
        <w:rPr>
          <w:rFonts w:hint="eastAsia" w:cs="宋体"/>
          <w:color w:val="auto"/>
          <w:szCs w:val="21"/>
          <w:highlight w:val="none"/>
        </w:rPr>
        <w:t>除专用合同条款另有约定外，承包人应为其施工设备等办理财产保险。</w:t>
      </w:r>
    </w:p>
    <w:p>
      <w:pPr>
        <w:pStyle w:val="8"/>
        <w:spacing w:before="0" w:after="0" w:line="288" w:lineRule="auto"/>
        <w:ind w:firstLine="420"/>
        <w:rPr>
          <w:rFonts w:cs="宋体"/>
          <w:b w:val="0"/>
          <w:color w:val="auto"/>
          <w:sz w:val="21"/>
          <w:szCs w:val="21"/>
          <w:highlight w:val="none"/>
        </w:rPr>
      </w:pPr>
      <w:bookmarkStart w:id="506" w:name="_Toc351203616"/>
      <w:r>
        <w:rPr>
          <w:rFonts w:hint="eastAsia" w:cs="宋体"/>
          <w:b w:val="0"/>
          <w:color w:val="auto"/>
          <w:sz w:val="21"/>
          <w:szCs w:val="21"/>
          <w:highlight w:val="none"/>
        </w:rPr>
        <w:t>18.4持续保险</w:t>
      </w:r>
      <w:bookmarkEnd w:id="506"/>
    </w:p>
    <w:p>
      <w:pPr>
        <w:spacing w:line="288" w:lineRule="auto"/>
        <w:ind w:firstLine="420"/>
        <w:jc w:val="left"/>
        <w:rPr>
          <w:rFonts w:cs="宋体"/>
          <w:color w:val="auto"/>
          <w:szCs w:val="21"/>
          <w:highlight w:val="none"/>
        </w:rPr>
      </w:pPr>
      <w:r>
        <w:rPr>
          <w:rFonts w:hint="eastAsia" w:cs="宋体"/>
          <w:color w:val="auto"/>
          <w:szCs w:val="21"/>
          <w:highlight w:val="none"/>
        </w:rPr>
        <w:t>合同当事人应与保险人保持联系，使保险人能够随时了解工程实施中的变动，并确保按保险合同条款要求持续保险。</w:t>
      </w:r>
    </w:p>
    <w:p>
      <w:pPr>
        <w:pStyle w:val="8"/>
        <w:spacing w:before="0" w:after="0" w:line="288" w:lineRule="auto"/>
        <w:ind w:firstLine="420"/>
        <w:rPr>
          <w:rFonts w:cs="宋体"/>
          <w:b w:val="0"/>
          <w:color w:val="auto"/>
          <w:sz w:val="21"/>
          <w:szCs w:val="21"/>
          <w:highlight w:val="none"/>
        </w:rPr>
      </w:pPr>
      <w:bookmarkStart w:id="507" w:name="_Toc351203617"/>
      <w:bookmarkStart w:id="508" w:name="_Toc296346627"/>
      <w:bookmarkStart w:id="509" w:name="_Toc337558832"/>
      <w:bookmarkStart w:id="510" w:name="_Toc296503126"/>
      <w:r>
        <w:rPr>
          <w:rFonts w:hint="eastAsia" w:cs="宋体"/>
          <w:b w:val="0"/>
          <w:color w:val="auto"/>
          <w:sz w:val="21"/>
          <w:szCs w:val="21"/>
          <w:highlight w:val="none"/>
        </w:rPr>
        <w:t>18.5 保险凭证</w:t>
      </w:r>
      <w:bookmarkEnd w:id="507"/>
    </w:p>
    <w:bookmarkEnd w:id="508"/>
    <w:bookmarkEnd w:id="509"/>
    <w:bookmarkEnd w:id="510"/>
    <w:p>
      <w:pPr>
        <w:spacing w:line="288" w:lineRule="auto"/>
        <w:ind w:firstLine="420"/>
        <w:jc w:val="left"/>
        <w:rPr>
          <w:rFonts w:cs="宋体"/>
          <w:color w:val="auto"/>
          <w:szCs w:val="21"/>
          <w:highlight w:val="none"/>
        </w:rPr>
      </w:pPr>
      <w:r>
        <w:rPr>
          <w:rFonts w:hint="eastAsia" w:cs="宋体"/>
          <w:color w:val="auto"/>
          <w:szCs w:val="21"/>
          <w:highlight w:val="none"/>
        </w:rPr>
        <w:t>合同当事人应及时向另一方当事人提交其已投保的各项保险的凭证和保险单复印件。</w:t>
      </w:r>
    </w:p>
    <w:p>
      <w:pPr>
        <w:pStyle w:val="8"/>
        <w:spacing w:before="0" w:after="0" w:line="288" w:lineRule="auto"/>
        <w:ind w:firstLine="420"/>
        <w:rPr>
          <w:rFonts w:cs="宋体"/>
          <w:b w:val="0"/>
          <w:color w:val="auto"/>
          <w:sz w:val="21"/>
          <w:szCs w:val="21"/>
          <w:highlight w:val="none"/>
        </w:rPr>
      </w:pPr>
      <w:bookmarkStart w:id="511" w:name="_Toc351203618"/>
      <w:bookmarkStart w:id="512" w:name="_Toc296346628"/>
      <w:bookmarkStart w:id="513" w:name="_Toc296503127"/>
      <w:bookmarkStart w:id="514" w:name="_Toc337558833"/>
      <w:r>
        <w:rPr>
          <w:rFonts w:hint="eastAsia" w:cs="宋体"/>
          <w:b w:val="0"/>
          <w:color w:val="auto"/>
          <w:sz w:val="21"/>
          <w:szCs w:val="21"/>
          <w:highlight w:val="none"/>
        </w:rPr>
        <w:t>18.6 未按约定投保的补救</w:t>
      </w:r>
      <w:bookmarkEnd w:id="511"/>
    </w:p>
    <w:bookmarkEnd w:id="512"/>
    <w:bookmarkEnd w:id="513"/>
    <w:bookmarkEnd w:id="514"/>
    <w:p>
      <w:pPr>
        <w:spacing w:line="288" w:lineRule="auto"/>
        <w:ind w:firstLine="420"/>
        <w:jc w:val="left"/>
        <w:rPr>
          <w:rFonts w:cs="宋体"/>
          <w:color w:val="auto"/>
          <w:szCs w:val="21"/>
          <w:highlight w:val="none"/>
        </w:rPr>
      </w:pPr>
      <w:r>
        <w:rPr>
          <w:rFonts w:hint="eastAsia" w:cs="宋体"/>
          <w:color w:val="auto"/>
          <w:szCs w:val="21"/>
          <w:highlight w:val="none"/>
        </w:rPr>
        <w:t>18.6.1发包人未按合同约定办理保险，或未能使保险持续有效的，则承包人可代为办理，所需费用由发包人承担。发包人未按合同约定办理保险，导致未能得到足额赔偿的，由发包人负责补足。</w:t>
      </w:r>
    </w:p>
    <w:p>
      <w:pPr>
        <w:spacing w:line="288" w:lineRule="auto"/>
        <w:ind w:firstLine="420"/>
        <w:jc w:val="left"/>
        <w:rPr>
          <w:rFonts w:cs="宋体"/>
          <w:color w:val="auto"/>
          <w:szCs w:val="21"/>
          <w:highlight w:val="none"/>
        </w:rPr>
      </w:pPr>
      <w:r>
        <w:rPr>
          <w:rFonts w:hint="eastAsia" w:cs="宋体"/>
          <w:color w:val="auto"/>
          <w:szCs w:val="21"/>
          <w:highlight w:val="none"/>
        </w:rPr>
        <w:t>18.6.2承包人未按合同约定办理保险，或未能使保险持续有效的，则发包人可代为办理，所需费用由承包人承担。承包人未按合同约定办理保险，导致未能得到足额赔偿的，由承包人负责补足。</w:t>
      </w:r>
    </w:p>
    <w:p>
      <w:pPr>
        <w:pStyle w:val="8"/>
        <w:spacing w:before="0" w:after="0" w:line="288" w:lineRule="auto"/>
        <w:ind w:firstLine="420"/>
        <w:rPr>
          <w:rFonts w:cs="宋体"/>
          <w:b w:val="0"/>
          <w:color w:val="auto"/>
          <w:sz w:val="21"/>
          <w:szCs w:val="21"/>
          <w:highlight w:val="none"/>
        </w:rPr>
      </w:pPr>
      <w:bookmarkStart w:id="515" w:name="_Toc351203619"/>
      <w:bookmarkStart w:id="516" w:name="_Toc337558834"/>
      <w:r>
        <w:rPr>
          <w:rFonts w:hint="eastAsia" w:cs="宋体"/>
          <w:b w:val="0"/>
          <w:color w:val="auto"/>
          <w:sz w:val="21"/>
          <w:szCs w:val="21"/>
          <w:highlight w:val="none"/>
        </w:rPr>
        <w:t>18.7 通知义务</w:t>
      </w:r>
      <w:bookmarkEnd w:id="515"/>
    </w:p>
    <w:bookmarkEnd w:id="516"/>
    <w:p>
      <w:pPr>
        <w:spacing w:line="288" w:lineRule="auto"/>
        <w:ind w:firstLine="420"/>
        <w:jc w:val="left"/>
        <w:rPr>
          <w:rFonts w:cs="宋体"/>
          <w:color w:val="auto"/>
          <w:szCs w:val="21"/>
          <w:highlight w:val="none"/>
        </w:rPr>
      </w:pPr>
      <w:r>
        <w:rPr>
          <w:rFonts w:hint="eastAsia" w:cs="宋体"/>
          <w:color w:val="auto"/>
          <w:szCs w:val="21"/>
          <w:highlight w:val="none"/>
        </w:rPr>
        <w:t>除专用合同条款另有约定外，发包人变更除工伤保险之外的保险合同时，应事先征得承包人同意，并通知监理人；承包人变更除工伤保险之外的保险合同时，应事先征得发包人同意，并通知监理人。</w:t>
      </w:r>
    </w:p>
    <w:p>
      <w:pPr>
        <w:spacing w:line="288" w:lineRule="auto"/>
        <w:ind w:firstLine="420"/>
        <w:jc w:val="left"/>
        <w:rPr>
          <w:rFonts w:cs="宋体"/>
          <w:color w:val="auto"/>
          <w:szCs w:val="21"/>
          <w:highlight w:val="none"/>
        </w:rPr>
      </w:pPr>
      <w:r>
        <w:rPr>
          <w:rFonts w:hint="eastAsia" w:cs="宋体"/>
          <w:color w:val="auto"/>
          <w:szCs w:val="21"/>
          <w:highlight w:val="none"/>
        </w:rPr>
        <w:t>保险事故发生时，投保人应按照保险合同规定的条件和期限及时向保险人报告。发包人和承包人应当在知道保险事故发生后及时通知对方。</w:t>
      </w:r>
    </w:p>
    <w:p>
      <w:pPr>
        <w:pStyle w:val="7"/>
        <w:spacing w:line="288" w:lineRule="auto"/>
        <w:ind w:firstLine="420"/>
        <w:rPr>
          <w:rFonts w:ascii="宋体" w:hAnsi="宋体" w:cs="宋体"/>
          <w:b w:val="0"/>
          <w:color w:val="auto"/>
          <w:szCs w:val="21"/>
          <w:highlight w:val="none"/>
        </w:rPr>
      </w:pPr>
      <w:bookmarkStart w:id="517" w:name="_Toc351203620"/>
      <w:bookmarkStart w:id="518" w:name="_Toc337558835"/>
      <w:bookmarkStart w:id="519" w:name="_Toc296346641"/>
      <w:bookmarkStart w:id="520" w:name="_Toc296503140"/>
      <w:r>
        <w:rPr>
          <w:rFonts w:hint="eastAsia" w:ascii="宋体" w:hAnsi="宋体" w:cs="宋体"/>
          <w:b w:val="0"/>
          <w:color w:val="auto"/>
          <w:szCs w:val="21"/>
          <w:highlight w:val="none"/>
        </w:rPr>
        <w:t>19. 索赔</w:t>
      </w:r>
      <w:bookmarkEnd w:id="517"/>
    </w:p>
    <w:bookmarkEnd w:id="518"/>
    <w:bookmarkEnd w:id="519"/>
    <w:bookmarkEnd w:id="520"/>
    <w:p>
      <w:pPr>
        <w:pStyle w:val="8"/>
        <w:spacing w:before="0" w:after="0" w:line="288" w:lineRule="auto"/>
        <w:ind w:firstLine="420"/>
        <w:rPr>
          <w:rFonts w:cs="宋体"/>
          <w:b w:val="0"/>
          <w:color w:val="auto"/>
          <w:sz w:val="21"/>
          <w:szCs w:val="21"/>
          <w:highlight w:val="none"/>
        </w:rPr>
      </w:pPr>
      <w:bookmarkStart w:id="521" w:name="_Toc351203621"/>
      <w:bookmarkStart w:id="522" w:name="_Toc337558836"/>
      <w:bookmarkStart w:id="523" w:name="_Toc296503141"/>
      <w:bookmarkStart w:id="524" w:name="_Toc296346642"/>
      <w:r>
        <w:rPr>
          <w:rFonts w:hint="eastAsia" w:cs="宋体"/>
          <w:b w:val="0"/>
          <w:color w:val="auto"/>
          <w:sz w:val="21"/>
          <w:szCs w:val="21"/>
          <w:highlight w:val="none"/>
        </w:rPr>
        <w:t>19.1承包人的索赔</w:t>
      </w:r>
      <w:bookmarkEnd w:id="521"/>
    </w:p>
    <w:bookmarkEnd w:id="522"/>
    <w:bookmarkEnd w:id="523"/>
    <w:bookmarkEnd w:id="524"/>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根据合同约定，承包人认为有权得到追加付款和（或）延长工期的，应按以下程序向发包人提出索赔：</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（1）承包人应在知道或应当知道索赔事件发生后28天内，向监理人递交索赔意向通知书，并说明发生索赔事件的事由；承包人未在前述28天内发出索赔意向通知书的，丧失要求追加付款和（或）延长工期的权利；</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（2）承包人应在发出索赔意向通知书后28天内，向监理人正式递交索赔报告；索赔报告应详细说明索赔理由以及要求追加的付款金额和（或）延长的工期，并附必要的记录和证明材料；</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（3）索赔事件具有持续影响的，承包人应按合理时间间隔继续递交延续索赔通知，说明持续影响的实际情况和记录，列出累计的追加付款金额和（或）工期延长天数；</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（4）在索赔事件影响结束后28天内，承包人应向监理人递交最终索赔报告，说明最终要求索赔的追加付款金额和（或）延长的工期，并附必要的记录和证明材料。</w:t>
      </w:r>
    </w:p>
    <w:p>
      <w:pPr>
        <w:pStyle w:val="8"/>
        <w:spacing w:before="0" w:after="0" w:line="288" w:lineRule="auto"/>
        <w:ind w:firstLine="420"/>
        <w:rPr>
          <w:rFonts w:cs="宋体"/>
          <w:b w:val="0"/>
          <w:color w:val="auto"/>
          <w:sz w:val="21"/>
          <w:szCs w:val="21"/>
          <w:highlight w:val="none"/>
        </w:rPr>
      </w:pPr>
      <w:bookmarkStart w:id="525" w:name="_Toc351203622"/>
      <w:bookmarkStart w:id="526" w:name="_Toc296503142"/>
      <w:bookmarkStart w:id="527" w:name="_Toc296346643"/>
      <w:bookmarkStart w:id="528" w:name="_Toc337558837"/>
      <w:r>
        <w:rPr>
          <w:rFonts w:hint="eastAsia" w:cs="宋体"/>
          <w:b w:val="0"/>
          <w:color w:val="auto"/>
          <w:sz w:val="21"/>
          <w:szCs w:val="21"/>
          <w:highlight w:val="none"/>
        </w:rPr>
        <w:t>19.2 对承包人索赔的处理</w:t>
      </w:r>
      <w:bookmarkEnd w:id="525"/>
    </w:p>
    <w:bookmarkEnd w:id="526"/>
    <w:bookmarkEnd w:id="527"/>
    <w:bookmarkEnd w:id="528"/>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对承包人索赔的处理如下：</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（1）监理人应在收到索赔报告后14天内完成审查并报送发包人。监理人对索赔报告存在异议的，有权要求承包人提交全部原始记录副本；</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（2）发包人应在监理人收到索赔报告或有关索赔的进一步证明材料后的28天内，由监理人向承包人出具经发包人签认的索赔处理结果。发包人逾期答复的，则视为认可承包人的索赔要求；</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（3）承包人接受索赔处理结果的，索赔款项在当期进度款中进行支付；承包人不接受索赔处理结果的，按照第20条〔争议解决〕约定处理。</w:t>
      </w:r>
    </w:p>
    <w:p>
      <w:pPr>
        <w:pStyle w:val="8"/>
        <w:spacing w:before="0" w:after="0" w:line="288" w:lineRule="auto"/>
        <w:ind w:firstLine="420"/>
        <w:rPr>
          <w:rFonts w:cs="宋体"/>
          <w:b w:val="0"/>
          <w:color w:val="auto"/>
          <w:sz w:val="21"/>
          <w:szCs w:val="21"/>
          <w:highlight w:val="none"/>
        </w:rPr>
      </w:pPr>
      <w:bookmarkStart w:id="529" w:name="_Toc351203623"/>
      <w:bookmarkStart w:id="530" w:name="_Toc337558838"/>
      <w:bookmarkStart w:id="531" w:name="_Toc296503143"/>
      <w:bookmarkStart w:id="532" w:name="_Toc296346644"/>
      <w:r>
        <w:rPr>
          <w:rFonts w:hint="eastAsia" w:cs="宋体"/>
          <w:b w:val="0"/>
          <w:color w:val="auto"/>
          <w:sz w:val="21"/>
          <w:szCs w:val="21"/>
          <w:highlight w:val="none"/>
        </w:rPr>
        <w:t>19.3发包人的索赔</w:t>
      </w:r>
      <w:bookmarkEnd w:id="529"/>
    </w:p>
    <w:bookmarkEnd w:id="530"/>
    <w:bookmarkEnd w:id="531"/>
    <w:bookmarkEnd w:id="532"/>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根据合同约定，发包人认为有权得到赔付金额和（或）延长缺陷责任期的，监理人应向承包人发出通知并附有详细的证明。</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pPr>
        <w:pStyle w:val="8"/>
        <w:spacing w:before="0" w:after="0" w:line="288" w:lineRule="auto"/>
        <w:ind w:firstLine="420"/>
        <w:rPr>
          <w:rFonts w:cs="宋体"/>
          <w:b w:val="0"/>
          <w:color w:val="auto"/>
          <w:sz w:val="21"/>
          <w:szCs w:val="21"/>
          <w:highlight w:val="none"/>
        </w:rPr>
      </w:pPr>
      <w:bookmarkStart w:id="533" w:name="_Toc351203624"/>
      <w:bookmarkStart w:id="534" w:name="_Toc296503144"/>
      <w:bookmarkStart w:id="535" w:name="_Toc296346645"/>
      <w:bookmarkStart w:id="536" w:name="_Toc337558839"/>
      <w:r>
        <w:rPr>
          <w:rFonts w:hint="eastAsia" w:cs="宋体"/>
          <w:b w:val="0"/>
          <w:color w:val="auto"/>
          <w:sz w:val="21"/>
          <w:szCs w:val="21"/>
          <w:highlight w:val="none"/>
        </w:rPr>
        <w:t>19.4 对发包人索赔的处理</w:t>
      </w:r>
      <w:bookmarkEnd w:id="533"/>
    </w:p>
    <w:bookmarkEnd w:id="534"/>
    <w:bookmarkEnd w:id="535"/>
    <w:bookmarkEnd w:id="536"/>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对发包人索赔的处理如下：</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（1）承包人收到发包人提交的索赔报告后，应及时审查索赔报告的内容、查验发包人证明材料；</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（2）承包人应在收到索赔报告或有关索赔的进一步证明材料后28天内，将索赔处理结果答复发包人。如果承包人未在上述期限内作出答复的，则视为对发包人索赔要求的认可；</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（3）承包人接受索赔处理结果的，发包人可从应支付给承包人的合同价款中扣除赔付的金额或延长缺陷责任期；发包人不接受索赔处理结果的，按第20条〔争议解决〕约定处理。</w:t>
      </w:r>
    </w:p>
    <w:p>
      <w:pPr>
        <w:pStyle w:val="8"/>
        <w:spacing w:before="0" w:after="0" w:line="288" w:lineRule="auto"/>
        <w:ind w:firstLine="420"/>
        <w:rPr>
          <w:rFonts w:cs="宋体"/>
          <w:b w:val="0"/>
          <w:color w:val="auto"/>
          <w:sz w:val="21"/>
          <w:szCs w:val="21"/>
          <w:highlight w:val="none"/>
        </w:rPr>
      </w:pPr>
      <w:bookmarkStart w:id="537" w:name="_Toc351203625"/>
      <w:r>
        <w:rPr>
          <w:rFonts w:hint="eastAsia" w:cs="宋体"/>
          <w:b w:val="0"/>
          <w:color w:val="auto"/>
          <w:sz w:val="21"/>
          <w:szCs w:val="21"/>
          <w:highlight w:val="none"/>
        </w:rPr>
        <w:t>19.5 提出索赔的期限</w:t>
      </w:r>
      <w:bookmarkEnd w:id="537"/>
    </w:p>
    <w:p>
      <w:pPr>
        <w:spacing w:line="288" w:lineRule="auto"/>
        <w:ind w:firstLine="420"/>
        <w:rPr>
          <w:rFonts w:cs="宋体"/>
          <w:color w:val="auto"/>
          <w:kern w:val="0"/>
          <w:szCs w:val="21"/>
          <w:highlight w:val="none"/>
        </w:rPr>
      </w:pPr>
      <w:r>
        <w:rPr>
          <w:rFonts w:hint="eastAsia" w:cs="宋体"/>
          <w:color w:val="auto"/>
          <w:kern w:val="0"/>
          <w:szCs w:val="21"/>
          <w:highlight w:val="none"/>
        </w:rPr>
        <w:t>（1）承包人按第14.2款〔竣工结算审核〕约定接收竣工付款证书后，应被视为已无权再提出在工程接收证书颁发前所发生的任何索赔。</w:t>
      </w:r>
    </w:p>
    <w:p>
      <w:pPr>
        <w:spacing w:line="288" w:lineRule="auto"/>
        <w:ind w:firstLine="420"/>
        <w:rPr>
          <w:rFonts w:cs="宋体"/>
          <w:color w:val="auto"/>
          <w:kern w:val="0"/>
          <w:szCs w:val="21"/>
          <w:highlight w:val="none"/>
        </w:rPr>
      </w:pPr>
      <w:r>
        <w:rPr>
          <w:rFonts w:hint="eastAsia" w:cs="宋体"/>
          <w:color w:val="auto"/>
          <w:kern w:val="0"/>
          <w:szCs w:val="21"/>
          <w:highlight w:val="none"/>
        </w:rPr>
        <w:t>（2）承包人按第14.4款〔最终结清〕提交的最终结清申请单中，只限于提出工程接收证书颁发后发生的索赔。提出索赔的期限自接受最终结清证书时终止。</w:t>
      </w:r>
    </w:p>
    <w:p>
      <w:pPr>
        <w:pStyle w:val="7"/>
        <w:spacing w:line="288" w:lineRule="auto"/>
        <w:ind w:firstLine="420"/>
        <w:rPr>
          <w:rFonts w:ascii="宋体" w:hAnsi="宋体" w:cs="宋体"/>
          <w:b w:val="0"/>
          <w:color w:val="auto"/>
          <w:szCs w:val="21"/>
          <w:highlight w:val="none"/>
        </w:rPr>
      </w:pPr>
      <w:bookmarkStart w:id="538" w:name="_Toc351203626"/>
      <w:r>
        <w:rPr>
          <w:rFonts w:hint="eastAsia" w:ascii="宋体" w:hAnsi="宋体" w:cs="宋体"/>
          <w:b w:val="0"/>
          <w:color w:val="auto"/>
          <w:szCs w:val="21"/>
          <w:highlight w:val="none"/>
        </w:rPr>
        <w:t>20</w:t>
      </w:r>
      <w:bookmarkStart w:id="539" w:name="_Toc296346647"/>
      <w:bookmarkStart w:id="540" w:name="_Toc337558840"/>
      <w:bookmarkStart w:id="541" w:name="_Toc296503146"/>
      <w:r>
        <w:rPr>
          <w:rFonts w:hint="eastAsia" w:ascii="宋体" w:hAnsi="宋体" w:cs="宋体"/>
          <w:b w:val="0"/>
          <w:color w:val="auto"/>
          <w:szCs w:val="21"/>
          <w:highlight w:val="none"/>
        </w:rPr>
        <w:t>. 争议解决</w:t>
      </w:r>
      <w:bookmarkEnd w:id="538"/>
    </w:p>
    <w:bookmarkEnd w:id="539"/>
    <w:bookmarkEnd w:id="540"/>
    <w:bookmarkEnd w:id="541"/>
    <w:p>
      <w:pPr>
        <w:pStyle w:val="8"/>
        <w:spacing w:before="0" w:after="0" w:line="288" w:lineRule="auto"/>
        <w:ind w:firstLine="420"/>
        <w:rPr>
          <w:rFonts w:cs="宋体"/>
          <w:b w:val="0"/>
          <w:color w:val="auto"/>
          <w:sz w:val="21"/>
          <w:szCs w:val="21"/>
          <w:highlight w:val="none"/>
        </w:rPr>
      </w:pPr>
      <w:bookmarkStart w:id="542" w:name="_Toc351203627"/>
      <w:bookmarkStart w:id="543" w:name="_Toc337558841"/>
      <w:bookmarkStart w:id="544" w:name="_Toc296346648"/>
      <w:bookmarkStart w:id="545" w:name="_Toc296503147"/>
      <w:r>
        <w:rPr>
          <w:rFonts w:hint="eastAsia" w:cs="宋体"/>
          <w:b w:val="0"/>
          <w:color w:val="auto"/>
          <w:sz w:val="21"/>
          <w:szCs w:val="21"/>
          <w:highlight w:val="none"/>
        </w:rPr>
        <w:t>20.1和解</w:t>
      </w:r>
      <w:bookmarkEnd w:id="542"/>
    </w:p>
    <w:bookmarkEnd w:id="543"/>
    <w:bookmarkEnd w:id="544"/>
    <w:bookmarkEnd w:id="545"/>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合同当事人可以就争议自行和解，自行和解达成协议的经双方签字并盖章后作为合同补充文件，双方均应遵照执行。</w:t>
      </w:r>
    </w:p>
    <w:p>
      <w:pPr>
        <w:pStyle w:val="8"/>
        <w:spacing w:before="0" w:after="0" w:line="288" w:lineRule="auto"/>
        <w:ind w:firstLine="420"/>
        <w:rPr>
          <w:rFonts w:cs="宋体"/>
          <w:b w:val="0"/>
          <w:color w:val="auto"/>
          <w:sz w:val="21"/>
          <w:szCs w:val="21"/>
          <w:highlight w:val="none"/>
        </w:rPr>
      </w:pPr>
      <w:bookmarkStart w:id="546" w:name="_Toc351203628"/>
      <w:r>
        <w:rPr>
          <w:rFonts w:hint="eastAsia" w:cs="宋体"/>
          <w:b w:val="0"/>
          <w:color w:val="auto"/>
          <w:sz w:val="21"/>
          <w:szCs w:val="21"/>
          <w:highlight w:val="none"/>
        </w:rPr>
        <w:t>20</w:t>
      </w:r>
      <w:bookmarkStart w:id="547" w:name="_Toc296503148"/>
      <w:bookmarkStart w:id="548" w:name="_Toc296346649"/>
      <w:bookmarkStart w:id="549" w:name="_Toc337558842"/>
      <w:r>
        <w:rPr>
          <w:rFonts w:hint="eastAsia" w:cs="宋体"/>
          <w:b w:val="0"/>
          <w:color w:val="auto"/>
          <w:sz w:val="21"/>
          <w:szCs w:val="21"/>
          <w:highlight w:val="none"/>
        </w:rPr>
        <w:t>.2调解</w:t>
      </w:r>
      <w:bookmarkEnd w:id="546"/>
    </w:p>
    <w:bookmarkEnd w:id="547"/>
    <w:bookmarkEnd w:id="548"/>
    <w:bookmarkEnd w:id="549"/>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合同当事人可以就争议请求建设行政主管部门、行业协会或其他第三方进行调解，调解达成协议的，经双方签字并盖章后作为合同补充文件，双方均应遵照执行。</w:t>
      </w:r>
    </w:p>
    <w:p>
      <w:pPr>
        <w:pStyle w:val="8"/>
        <w:spacing w:before="0" w:after="0" w:line="288" w:lineRule="auto"/>
        <w:ind w:firstLine="420"/>
        <w:rPr>
          <w:rFonts w:cs="宋体"/>
          <w:b w:val="0"/>
          <w:color w:val="auto"/>
          <w:sz w:val="21"/>
          <w:szCs w:val="21"/>
          <w:highlight w:val="none"/>
        </w:rPr>
      </w:pPr>
      <w:bookmarkStart w:id="550" w:name="_Toc351203629"/>
      <w:bookmarkStart w:id="551" w:name="_Toc337558843"/>
      <w:bookmarkStart w:id="552" w:name="_Toc296503149"/>
      <w:bookmarkStart w:id="553" w:name="_Toc296346650"/>
      <w:r>
        <w:rPr>
          <w:rFonts w:hint="eastAsia" w:cs="宋体"/>
          <w:b w:val="0"/>
          <w:color w:val="auto"/>
          <w:sz w:val="21"/>
          <w:szCs w:val="21"/>
          <w:highlight w:val="none"/>
        </w:rPr>
        <w:t>20.3争议评审</w:t>
      </w:r>
      <w:bookmarkEnd w:id="550"/>
    </w:p>
    <w:bookmarkEnd w:id="551"/>
    <w:bookmarkEnd w:id="552"/>
    <w:bookmarkEnd w:id="553"/>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 xml:space="preserve">合同当事人在专用合同条款中约定采取争议评审方式解决争议以及评审规则，并按下列约定执行： </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20.3.1 争议评审小组的确定</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合同当事人可以共同选择一名或三名争议评审员，组成争议评审小组。除专用合同条款另有约定外，合同当事人应当自合同签订后28天内，或者争议发生后14天内，选定争议评审员。</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除专用合同条款另有约定外，评审员报酬由发包人和承包人各承担一半。</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20.3.2 争议评审小组的决定</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20.3.3 争议评审小组决定的效力</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争议评审小组作出的书面决定经合同当事人签字确认后，对双方具有约束力，双方应遵照执行。</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任何一方当事人不接受争议评审小组决定或不履行争议评审小组决定的，双方可选择采用其他争议解决方式。</w:t>
      </w:r>
    </w:p>
    <w:p>
      <w:pPr>
        <w:pStyle w:val="8"/>
        <w:spacing w:before="0" w:after="0" w:line="288" w:lineRule="auto"/>
        <w:ind w:firstLine="420"/>
        <w:rPr>
          <w:rFonts w:cs="宋体"/>
          <w:b w:val="0"/>
          <w:color w:val="auto"/>
          <w:sz w:val="21"/>
          <w:szCs w:val="21"/>
          <w:highlight w:val="none"/>
        </w:rPr>
      </w:pPr>
      <w:bookmarkStart w:id="554" w:name="_Toc351203630"/>
      <w:bookmarkStart w:id="555" w:name="_Toc296346651"/>
      <w:bookmarkStart w:id="556" w:name="_Toc337558844"/>
      <w:bookmarkStart w:id="557" w:name="_Toc296503150"/>
      <w:r>
        <w:rPr>
          <w:rFonts w:hint="eastAsia" w:cs="宋体"/>
          <w:b w:val="0"/>
          <w:color w:val="auto"/>
          <w:sz w:val="21"/>
          <w:szCs w:val="21"/>
          <w:highlight w:val="none"/>
        </w:rPr>
        <w:t>20.4仲裁或诉讼</w:t>
      </w:r>
      <w:bookmarkEnd w:id="554"/>
    </w:p>
    <w:bookmarkEnd w:id="555"/>
    <w:bookmarkEnd w:id="556"/>
    <w:bookmarkEnd w:id="557"/>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因合同及合同有关事项产生的争议，合同当事人可以在专用合同条款中约定以下一种方式解决争议：</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（1）向约定的仲裁委员会申请仲裁；</w:t>
      </w:r>
    </w:p>
    <w:p>
      <w:pPr>
        <w:autoSpaceDE w:val="0"/>
        <w:autoSpaceDN w:val="0"/>
        <w:adjustRightInd w:val="0"/>
        <w:spacing w:line="288" w:lineRule="auto"/>
        <w:ind w:firstLine="420"/>
        <w:jc w:val="left"/>
        <w:rPr>
          <w:rFonts w:cs="宋体"/>
          <w:color w:val="auto"/>
          <w:kern w:val="0"/>
          <w:szCs w:val="21"/>
          <w:highlight w:val="none"/>
        </w:rPr>
      </w:pPr>
      <w:r>
        <w:rPr>
          <w:rFonts w:hint="eastAsia" w:cs="宋体"/>
          <w:color w:val="auto"/>
          <w:kern w:val="0"/>
          <w:szCs w:val="21"/>
          <w:highlight w:val="none"/>
        </w:rPr>
        <w:t>（2）向有管辖权的人民法院起诉。</w:t>
      </w:r>
    </w:p>
    <w:p>
      <w:pPr>
        <w:pStyle w:val="8"/>
        <w:spacing w:before="0" w:after="0" w:line="288" w:lineRule="auto"/>
        <w:ind w:firstLine="420"/>
        <w:rPr>
          <w:rFonts w:cs="宋体"/>
          <w:b w:val="0"/>
          <w:color w:val="auto"/>
          <w:sz w:val="21"/>
          <w:szCs w:val="21"/>
          <w:highlight w:val="none"/>
        </w:rPr>
      </w:pPr>
      <w:bookmarkStart w:id="558" w:name="_Toc351203631"/>
      <w:bookmarkStart w:id="559" w:name="_Toc337558845"/>
      <w:bookmarkStart w:id="560" w:name="_Toc296503152"/>
      <w:bookmarkStart w:id="561" w:name="_Toc296346653"/>
      <w:r>
        <w:rPr>
          <w:rFonts w:hint="eastAsia" w:cs="宋体"/>
          <w:b w:val="0"/>
          <w:color w:val="auto"/>
          <w:sz w:val="21"/>
          <w:szCs w:val="21"/>
          <w:highlight w:val="none"/>
        </w:rPr>
        <w:t>20.5争议解决条款效力</w:t>
      </w:r>
      <w:bookmarkEnd w:id="558"/>
    </w:p>
    <w:bookmarkEnd w:id="559"/>
    <w:bookmarkEnd w:id="560"/>
    <w:bookmarkEnd w:id="561"/>
    <w:p>
      <w:pPr>
        <w:autoSpaceDE w:val="0"/>
        <w:autoSpaceDN w:val="0"/>
        <w:adjustRightInd w:val="0"/>
        <w:spacing w:line="288" w:lineRule="auto"/>
        <w:ind w:firstLine="420"/>
        <w:jc w:val="left"/>
        <w:rPr>
          <w:rFonts w:ascii="Times New Roman" w:hAnsi="Times New Roman" w:eastAsia="仿宋_GB2312"/>
          <w:color w:val="auto"/>
          <w:kern w:val="0"/>
          <w:szCs w:val="21"/>
          <w:highlight w:val="none"/>
        </w:rPr>
      </w:pPr>
      <w:r>
        <w:rPr>
          <w:rFonts w:hint="eastAsia" w:cs="宋体"/>
          <w:color w:val="auto"/>
          <w:kern w:val="0"/>
          <w:szCs w:val="21"/>
          <w:highlight w:val="none"/>
        </w:rPr>
        <w:t>合同有关争议解决的条款独立存在，合同的变更、解除、终止、无效或者被撤销均不影响其效力。</w:t>
      </w:r>
      <w:r>
        <w:rPr>
          <w:rFonts w:ascii="Times New Roman" w:hAnsi="Times New Roman" w:eastAsia="仿宋_GB2312"/>
          <w:color w:val="auto"/>
          <w:kern w:val="0"/>
          <w:szCs w:val="21"/>
          <w:highlight w:val="none"/>
        </w:rPr>
        <w:t xml:space="preserve"> </w:t>
      </w:r>
    </w:p>
    <w:p>
      <w:pPr>
        <w:widowControl/>
        <w:adjustRightInd w:val="0"/>
        <w:snapToGrid w:val="0"/>
        <w:spacing w:line="288" w:lineRule="auto"/>
        <w:ind w:firstLine="420"/>
        <w:rPr>
          <w:rFonts w:cs="宋体"/>
          <w:color w:val="auto"/>
          <w:highlight w:val="none"/>
        </w:rPr>
      </w:pPr>
    </w:p>
    <w:p>
      <w:pPr>
        <w:pStyle w:val="2"/>
        <w:spacing w:line="288" w:lineRule="auto"/>
        <w:rPr>
          <w:color w:val="auto"/>
          <w:highlight w:val="none"/>
        </w:rPr>
      </w:pPr>
    </w:p>
    <w:p>
      <w:pPr>
        <w:pStyle w:val="5"/>
        <w:spacing w:line="288" w:lineRule="auto"/>
        <w:ind w:firstLine="0" w:firstLineChars="0"/>
        <w:jc w:val="center"/>
        <w:rPr>
          <w:rFonts w:ascii="宋体" w:hAnsi="宋体" w:cs="宋体"/>
          <w:color w:val="auto"/>
          <w:highlight w:val="none"/>
        </w:rPr>
        <w:sectPr>
          <w:pgSz w:w="11906" w:h="16838"/>
          <w:pgMar w:top="1418" w:right="1588" w:bottom="1418" w:left="1588" w:header="567" w:footer="567" w:gutter="0"/>
          <w:cols w:space="720" w:num="1"/>
          <w:docGrid w:linePitch="312" w:charSpace="0"/>
        </w:sectPr>
      </w:pPr>
    </w:p>
    <w:p>
      <w:pPr>
        <w:pStyle w:val="5"/>
        <w:spacing w:line="288" w:lineRule="auto"/>
        <w:ind w:firstLine="0" w:firstLineChars="0"/>
        <w:jc w:val="center"/>
        <w:rPr>
          <w:rFonts w:ascii="宋体" w:hAnsi="宋体" w:cs="宋体"/>
          <w:color w:val="auto"/>
          <w:highlight w:val="none"/>
        </w:rPr>
      </w:pPr>
      <w:r>
        <w:rPr>
          <w:rFonts w:hint="eastAsia" w:ascii="宋体" w:hAnsi="宋体" w:cs="宋体"/>
          <w:color w:val="auto"/>
          <w:highlight w:val="none"/>
        </w:rPr>
        <w:t>第三部分 专用合同条款</w:t>
      </w:r>
    </w:p>
    <w:p>
      <w:pPr>
        <w:keepNext/>
        <w:keepLines/>
        <w:spacing w:before="120" w:after="120" w:line="288" w:lineRule="auto"/>
        <w:ind w:firstLine="420"/>
        <w:outlineLvl w:val="3"/>
        <w:rPr>
          <w:rFonts w:cs="宋体"/>
          <w:bCs/>
          <w:color w:val="auto"/>
          <w:highlight w:val="none"/>
        </w:rPr>
      </w:pPr>
      <w:bookmarkStart w:id="562" w:name="_Toc351203633"/>
      <w:r>
        <w:rPr>
          <w:rFonts w:hint="eastAsia" w:cs="宋体"/>
          <w:bCs/>
          <w:color w:val="auto"/>
          <w:highlight w:val="none"/>
        </w:rPr>
        <w:t>1</w:t>
      </w:r>
      <w:bookmarkStart w:id="563" w:name="_Toc296891196"/>
      <w:bookmarkStart w:id="564" w:name="_Toc292559361"/>
      <w:bookmarkStart w:id="565" w:name="_Toc296503156"/>
      <w:bookmarkStart w:id="566" w:name="_Toc296944495"/>
      <w:bookmarkStart w:id="567" w:name="_Toc297120456"/>
      <w:bookmarkStart w:id="568" w:name="_Toc296346657"/>
      <w:bookmarkStart w:id="569" w:name="_Toc296347155"/>
      <w:bookmarkStart w:id="570" w:name="_Toc296890984"/>
      <w:bookmarkStart w:id="571" w:name="_Toc297048342"/>
      <w:bookmarkStart w:id="572" w:name="_Toc292559866"/>
      <w:r>
        <w:rPr>
          <w:rFonts w:hint="eastAsia" w:cs="宋体"/>
          <w:bCs/>
          <w:color w:val="auto"/>
          <w:highlight w:val="none"/>
        </w:rPr>
        <w:t>. 一般约定</w:t>
      </w:r>
      <w:bookmarkEnd w:id="562"/>
    </w:p>
    <w:bookmarkEnd w:id="563"/>
    <w:bookmarkEnd w:id="564"/>
    <w:bookmarkEnd w:id="565"/>
    <w:bookmarkEnd w:id="566"/>
    <w:bookmarkEnd w:id="567"/>
    <w:bookmarkEnd w:id="568"/>
    <w:bookmarkEnd w:id="569"/>
    <w:bookmarkEnd w:id="570"/>
    <w:bookmarkEnd w:id="571"/>
    <w:bookmarkEnd w:id="572"/>
    <w:p>
      <w:pPr>
        <w:spacing w:line="288" w:lineRule="auto"/>
        <w:ind w:firstLine="367" w:firstLineChars="175"/>
        <w:rPr>
          <w:rFonts w:cs="宋体"/>
          <w:color w:val="auto"/>
          <w:highlight w:val="none"/>
        </w:rPr>
      </w:pPr>
      <w:r>
        <w:rPr>
          <w:rFonts w:hint="eastAsia" w:cs="宋体"/>
          <w:color w:val="auto"/>
          <w:highlight w:val="none"/>
        </w:rPr>
        <w:t>1.1 词语定义</w:t>
      </w:r>
    </w:p>
    <w:p>
      <w:pPr>
        <w:spacing w:line="288" w:lineRule="auto"/>
        <w:ind w:firstLine="367" w:firstLineChars="175"/>
        <w:rPr>
          <w:rFonts w:cs="宋体"/>
          <w:color w:val="auto"/>
          <w:kern w:val="0"/>
          <w:highlight w:val="none"/>
        </w:rPr>
      </w:pPr>
      <w:r>
        <w:rPr>
          <w:rFonts w:hint="eastAsia" w:cs="宋体"/>
          <w:color w:val="auto"/>
          <w:kern w:val="0"/>
          <w:highlight w:val="none"/>
        </w:rPr>
        <w:t>1.1.1合同</w:t>
      </w:r>
    </w:p>
    <w:p>
      <w:pPr>
        <w:spacing w:line="288" w:lineRule="auto"/>
        <w:ind w:firstLine="367" w:firstLineChars="175"/>
        <w:rPr>
          <w:rFonts w:cs="宋体"/>
          <w:color w:val="auto"/>
          <w:kern w:val="0"/>
          <w:highlight w:val="none"/>
        </w:rPr>
      </w:pPr>
      <w:r>
        <w:rPr>
          <w:rFonts w:hint="eastAsia" w:cs="宋体"/>
          <w:color w:val="auto"/>
          <w:kern w:val="0"/>
          <w:highlight w:val="none"/>
        </w:rPr>
        <w:t>1.1.1.10其他合同文件包括：</w:t>
      </w:r>
    </w:p>
    <w:p>
      <w:pPr>
        <w:shd w:val="clear" w:color="auto" w:fill="FAFAFA"/>
        <w:spacing w:line="288" w:lineRule="auto"/>
        <w:ind w:left="443" w:leftChars="211" w:firstLine="103" w:firstLineChars="49"/>
        <w:rPr>
          <w:rFonts w:cs="宋体"/>
          <w:b/>
          <w:color w:val="auto"/>
          <w:highlight w:val="none"/>
          <w:u w:val="single"/>
        </w:rPr>
      </w:pPr>
      <w:r>
        <w:rPr>
          <w:rFonts w:hint="eastAsia" w:cs="宋体"/>
          <w:b/>
          <w:color w:val="auto"/>
          <w:kern w:val="0"/>
          <w:highlight w:val="none"/>
          <w:u w:val="single"/>
        </w:rPr>
        <w:t>施工组织设计：</w:t>
      </w:r>
      <w:r>
        <w:rPr>
          <w:rFonts w:hint="eastAsia" w:cs="宋体"/>
          <w:b/>
          <w:color w:val="auto"/>
          <w:highlight w:val="none"/>
          <w:u w:val="single"/>
        </w:rPr>
        <w:t>施工组织</w:t>
      </w:r>
      <w:r>
        <w:rPr>
          <w:color w:val="auto"/>
          <w:highlight w:val="none"/>
        </w:rPr>
        <w:fldChar w:fldCharType="begin"/>
      </w:r>
      <w:r>
        <w:rPr>
          <w:color w:val="auto"/>
          <w:highlight w:val="none"/>
        </w:rPr>
        <w:instrText xml:space="preserve"> HYPERLINK "http://baike.baidu.com/view/14417.htm" \t "_blank" </w:instrText>
      </w:r>
      <w:r>
        <w:rPr>
          <w:color w:val="auto"/>
          <w:highlight w:val="none"/>
        </w:rPr>
        <w:fldChar w:fldCharType="separate"/>
      </w:r>
      <w:r>
        <w:rPr>
          <w:rFonts w:hint="eastAsia" w:cs="宋体"/>
          <w:b/>
          <w:color w:val="auto"/>
          <w:highlight w:val="none"/>
          <w:u w:val="single"/>
        </w:rPr>
        <w:t>设计</w:t>
      </w:r>
      <w:r>
        <w:rPr>
          <w:rFonts w:hint="eastAsia" w:cs="宋体"/>
          <w:b/>
          <w:color w:val="auto"/>
          <w:highlight w:val="none"/>
          <w:u w:val="single"/>
        </w:rPr>
        <w:fldChar w:fldCharType="end"/>
      </w:r>
      <w:r>
        <w:rPr>
          <w:rFonts w:hint="eastAsia" w:cs="宋体"/>
          <w:b/>
          <w:color w:val="auto"/>
          <w:highlight w:val="none"/>
          <w:u w:val="single"/>
        </w:rPr>
        <w:t>是用来指导</w:t>
      </w:r>
      <w:r>
        <w:rPr>
          <w:color w:val="auto"/>
          <w:highlight w:val="none"/>
        </w:rPr>
        <w:fldChar w:fldCharType="begin"/>
      </w:r>
      <w:r>
        <w:rPr>
          <w:color w:val="auto"/>
          <w:highlight w:val="none"/>
        </w:rPr>
        <w:instrText xml:space="preserve"> HYPERLINK "http://baike.baidu.com/view/1094820.htm" \t "_blank" </w:instrText>
      </w:r>
      <w:r>
        <w:rPr>
          <w:color w:val="auto"/>
          <w:highlight w:val="none"/>
        </w:rPr>
        <w:fldChar w:fldCharType="separate"/>
      </w:r>
      <w:r>
        <w:rPr>
          <w:rFonts w:hint="eastAsia" w:cs="宋体"/>
          <w:b/>
          <w:color w:val="auto"/>
          <w:highlight w:val="none"/>
          <w:u w:val="single"/>
        </w:rPr>
        <w:t>施工项目</w:t>
      </w:r>
      <w:r>
        <w:rPr>
          <w:rFonts w:hint="eastAsia" w:cs="宋体"/>
          <w:b/>
          <w:color w:val="auto"/>
          <w:highlight w:val="none"/>
          <w:u w:val="single"/>
        </w:rPr>
        <w:fldChar w:fldCharType="end"/>
      </w:r>
      <w:r>
        <w:rPr>
          <w:rFonts w:hint="eastAsia" w:cs="宋体"/>
          <w:b/>
          <w:color w:val="auto"/>
          <w:highlight w:val="none"/>
          <w:u w:val="single"/>
        </w:rPr>
        <w:t>全过程各项活动的技术、经济和组织的综合性文件。</w:t>
      </w:r>
    </w:p>
    <w:p>
      <w:pPr>
        <w:spacing w:line="288" w:lineRule="auto"/>
        <w:ind w:firstLine="420"/>
        <w:rPr>
          <w:rFonts w:cs="宋体"/>
          <w:color w:val="auto"/>
          <w:highlight w:val="none"/>
        </w:rPr>
      </w:pPr>
      <w:r>
        <w:rPr>
          <w:rFonts w:hint="eastAsia" w:cs="宋体"/>
          <w:color w:val="auto"/>
          <w:highlight w:val="none"/>
        </w:rPr>
        <w:t>1.1.2 合同当事人及其他相关方</w:t>
      </w:r>
    </w:p>
    <w:p>
      <w:pPr>
        <w:spacing w:line="288" w:lineRule="auto"/>
        <w:ind w:firstLine="420"/>
        <w:rPr>
          <w:rFonts w:cs="宋体"/>
          <w:color w:val="auto"/>
          <w:highlight w:val="none"/>
        </w:rPr>
      </w:pPr>
      <w:r>
        <w:rPr>
          <w:rFonts w:hint="eastAsia" w:cs="宋体"/>
          <w:color w:val="auto"/>
          <w:highlight w:val="none"/>
        </w:rPr>
        <w:t>1.1.2.4监理人：</w:t>
      </w:r>
    </w:p>
    <w:p>
      <w:pPr>
        <w:spacing w:line="288" w:lineRule="auto"/>
        <w:ind w:firstLine="420"/>
        <w:rPr>
          <w:rFonts w:cs="宋体"/>
          <w:color w:val="auto"/>
          <w:highlight w:val="none"/>
        </w:rPr>
      </w:pPr>
      <w:r>
        <w:rPr>
          <w:rFonts w:hint="eastAsia" w:cs="宋体"/>
          <w:color w:val="auto"/>
          <w:highlight w:val="none"/>
        </w:rPr>
        <w:t>名    称：</w:t>
      </w:r>
      <w:r>
        <w:rPr>
          <w:rFonts w:hint="eastAsia" w:cs="宋体"/>
          <w:color w:val="auto"/>
          <w:highlight w:val="none"/>
          <w:u w:val="single"/>
        </w:rPr>
        <w:t xml:space="preserve">              /                </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资质类别和等级：</w:t>
      </w:r>
      <w:r>
        <w:rPr>
          <w:rFonts w:hint="eastAsia" w:cs="宋体"/>
          <w:color w:val="auto"/>
          <w:highlight w:val="none"/>
          <w:u w:val="single"/>
        </w:rPr>
        <w:t>/              </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联系电话：</w:t>
      </w:r>
      <w:r>
        <w:rPr>
          <w:rFonts w:hint="eastAsia" w:cs="宋体"/>
          <w:color w:val="auto"/>
          <w:highlight w:val="none"/>
          <w:u w:val="single"/>
        </w:rPr>
        <w:t>    /            </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电子信箱：</w:t>
      </w:r>
      <w:r>
        <w:rPr>
          <w:rFonts w:hint="eastAsia" w:cs="宋体"/>
          <w:color w:val="auto"/>
          <w:highlight w:val="none"/>
          <w:u w:val="single"/>
        </w:rPr>
        <w:t>/                </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通信地址：</w:t>
      </w:r>
      <w:r>
        <w:rPr>
          <w:rFonts w:hint="eastAsia" w:cs="宋体"/>
          <w:color w:val="auto"/>
          <w:highlight w:val="none"/>
          <w:u w:val="single"/>
        </w:rPr>
        <w:t>    /            </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1.1.2.5 设计人：</w:t>
      </w:r>
    </w:p>
    <w:p>
      <w:pPr>
        <w:spacing w:line="288" w:lineRule="auto"/>
        <w:ind w:firstLine="420"/>
        <w:rPr>
          <w:rFonts w:cs="宋体"/>
          <w:color w:val="auto"/>
          <w:highlight w:val="none"/>
        </w:rPr>
      </w:pPr>
      <w:r>
        <w:rPr>
          <w:rFonts w:hint="eastAsia" w:cs="宋体"/>
          <w:color w:val="auto"/>
          <w:highlight w:val="none"/>
        </w:rPr>
        <w:t>名    称：</w:t>
      </w:r>
      <w:r>
        <w:rPr>
          <w:rFonts w:hint="eastAsia" w:cs="宋体"/>
          <w:color w:val="auto"/>
          <w:highlight w:val="none"/>
          <w:u w:val="single"/>
        </w:rPr>
        <w:t xml:space="preserve"> </w:t>
      </w:r>
      <w:r>
        <w:rPr>
          <w:rFonts w:hint="eastAsia" w:cs="宋体"/>
          <w:color w:val="auto"/>
          <w:highlight w:val="none"/>
          <w:u w:val="single"/>
          <w:lang w:val="en-US" w:eastAsia="zh-CN"/>
        </w:rPr>
        <w:t xml:space="preserve">      </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资质类别和等级：</w:t>
      </w:r>
      <w:r>
        <w:rPr>
          <w:rFonts w:hint="eastAsia" w:cs="宋体"/>
          <w:color w:val="auto"/>
          <w:highlight w:val="none"/>
          <w:u w:val="single"/>
        </w:rPr>
        <w:t>                       </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联系电话：</w:t>
      </w:r>
      <w:r>
        <w:rPr>
          <w:rFonts w:hint="eastAsia" w:cs="宋体"/>
          <w:color w:val="auto"/>
          <w:highlight w:val="none"/>
          <w:u w:val="single"/>
        </w:rPr>
        <w:t>               /             </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电子信箱：</w:t>
      </w:r>
      <w:r>
        <w:rPr>
          <w:rFonts w:hint="eastAsia" w:cs="宋体"/>
          <w:color w:val="auto"/>
          <w:highlight w:val="none"/>
          <w:u w:val="single"/>
        </w:rPr>
        <w:t xml:space="preserve">/                    </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通信地址：</w:t>
      </w:r>
      <w:r>
        <w:rPr>
          <w:rFonts w:hint="eastAsia" w:cs="宋体"/>
          <w:color w:val="auto"/>
          <w:highlight w:val="none"/>
          <w:u w:val="single"/>
        </w:rPr>
        <w:t>    </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1.1.3 工程和设备</w:t>
      </w:r>
    </w:p>
    <w:p>
      <w:pPr>
        <w:spacing w:line="288" w:lineRule="auto"/>
        <w:ind w:firstLine="420"/>
        <w:rPr>
          <w:rFonts w:cs="宋体"/>
          <w:color w:val="auto"/>
          <w:highlight w:val="none"/>
        </w:rPr>
      </w:pPr>
      <w:bookmarkStart w:id="573" w:name="_Toc351203652"/>
      <w:r>
        <w:rPr>
          <w:rFonts w:hint="eastAsia" w:cs="宋体"/>
          <w:color w:val="auto"/>
          <w:highlight w:val="none"/>
        </w:rPr>
        <w:t>1.1.3.7 作为施工现场组成部分的其他场所包括：   /       。</w:t>
      </w:r>
    </w:p>
    <w:p>
      <w:pPr>
        <w:spacing w:line="288" w:lineRule="auto"/>
        <w:ind w:firstLine="420"/>
        <w:rPr>
          <w:rFonts w:cs="宋体"/>
          <w:color w:val="auto"/>
          <w:highlight w:val="none"/>
        </w:rPr>
      </w:pPr>
      <w:r>
        <w:rPr>
          <w:rFonts w:hint="eastAsia" w:cs="宋体"/>
          <w:color w:val="auto"/>
          <w:highlight w:val="none"/>
        </w:rPr>
        <w:t>1.1.3.9 永久占地包括： 施工范围内为实施本合同工程需永久占用的土地。</w:t>
      </w:r>
    </w:p>
    <w:p>
      <w:pPr>
        <w:spacing w:line="288" w:lineRule="auto"/>
        <w:ind w:firstLine="420"/>
        <w:rPr>
          <w:rFonts w:cs="宋体"/>
          <w:color w:val="auto"/>
          <w:highlight w:val="none"/>
        </w:rPr>
      </w:pPr>
      <w:r>
        <w:rPr>
          <w:rFonts w:hint="eastAsia" w:cs="宋体"/>
          <w:color w:val="auto"/>
          <w:highlight w:val="none"/>
        </w:rPr>
        <w:t>1.1.3.10 临时占地包括：指永久占地之外为实施合同工程需临时占用的土地。</w:t>
      </w:r>
    </w:p>
    <w:p>
      <w:pPr>
        <w:spacing w:after="120" w:line="288" w:lineRule="auto"/>
        <w:ind w:firstLine="420"/>
        <w:rPr>
          <w:rFonts w:cs="宋体"/>
          <w:color w:val="auto"/>
          <w:highlight w:val="none"/>
        </w:rPr>
      </w:pPr>
      <w:r>
        <w:rPr>
          <w:rFonts w:hint="eastAsia" w:cs="宋体"/>
          <w:color w:val="auto"/>
          <w:highlight w:val="none"/>
        </w:rPr>
        <w:t xml:space="preserve">1.3法律 </w:t>
      </w:r>
    </w:p>
    <w:p>
      <w:pPr>
        <w:autoSpaceDE w:val="0"/>
        <w:autoSpaceDN w:val="0"/>
        <w:adjustRightInd w:val="0"/>
        <w:spacing w:line="288" w:lineRule="auto"/>
        <w:ind w:left="596" w:leftChars="284" w:firstLine="420"/>
        <w:jc w:val="left"/>
        <w:rPr>
          <w:rFonts w:cs="宋体"/>
          <w:color w:val="auto"/>
          <w:highlight w:val="none"/>
        </w:rPr>
      </w:pPr>
      <w:r>
        <w:rPr>
          <w:rFonts w:hint="eastAsia" w:cs="宋体"/>
          <w:color w:val="auto"/>
          <w:highlight w:val="none"/>
        </w:rPr>
        <w:t>适用于合同的其他规范性文件：</w:t>
      </w:r>
    </w:p>
    <w:p>
      <w:pPr>
        <w:autoSpaceDE w:val="0"/>
        <w:autoSpaceDN w:val="0"/>
        <w:adjustRightInd w:val="0"/>
        <w:spacing w:line="288" w:lineRule="auto"/>
        <w:ind w:firstLine="422"/>
        <w:jc w:val="left"/>
        <w:rPr>
          <w:rFonts w:cs="宋体"/>
          <w:b/>
          <w:color w:val="auto"/>
          <w:highlight w:val="none"/>
        </w:rPr>
      </w:pPr>
      <w:r>
        <w:rPr>
          <w:rFonts w:hint="eastAsia" w:cs="宋体"/>
          <w:b/>
          <w:color w:val="auto"/>
          <w:highlight w:val="none"/>
          <w:u w:val="single"/>
        </w:rPr>
        <w:t>（1）《杭州市建设工程工程量清单计价实施细则》</w:t>
      </w:r>
    </w:p>
    <w:p>
      <w:pPr>
        <w:autoSpaceDE w:val="0"/>
        <w:autoSpaceDN w:val="0"/>
        <w:adjustRightInd w:val="0"/>
        <w:spacing w:line="288" w:lineRule="auto"/>
        <w:ind w:firstLine="417" w:firstLineChars="198"/>
        <w:jc w:val="left"/>
        <w:rPr>
          <w:rFonts w:cs="宋体"/>
          <w:b/>
          <w:color w:val="auto"/>
          <w:kern w:val="0"/>
          <w:highlight w:val="none"/>
          <w:u w:val="single"/>
        </w:rPr>
      </w:pPr>
      <w:r>
        <w:rPr>
          <w:rFonts w:hint="eastAsia" w:cs="宋体"/>
          <w:b/>
          <w:color w:val="auto"/>
          <w:highlight w:val="none"/>
          <w:u w:val="single"/>
        </w:rPr>
        <w:t>（2）《关于进一步加强建筑施工领域企业安全生产工作的实施意见》的通知 （杭建工发〔2011〕130号）</w:t>
      </w:r>
    </w:p>
    <w:p>
      <w:pPr>
        <w:autoSpaceDE w:val="0"/>
        <w:autoSpaceDN w:val="0"/>
        <w:adjustRightInd w:val="0"/>
        <w:spacing w:line="288" w:lineRule="auto"/>
        <w:ind w:firstLine="417" w:firstLineChars="198"/>
        <w:jc w:val="left"/>
        <w:rPr>
          <w:rFonts w:cs="宋体"/>
          <w:b/>
          <w:color w:val="auto"/>
          <w:kern w:val="0"/>
          <w:highlight w:val="none"/>
          <w:u w:val="single"/>
        </w:rPr>
      </w:pPr>
      <w:r>
        <w:rPr>
          <w:rFonts w:hint="eastAsia" w:cs="宋体"/>
          <w:b/>
          <w:color w:val="auto"/>
          <w:highlight w:val="none"/>
          <w:u w:val="single"/>
        </w:rPr>
        <w:t>（3）《关于进一步加强建设工程安全质量物联网管理应用平台建设的通知》（</w:t>
      </w:r>
      <w:r>
        <w:rPr>
          <w:rFonts w:hint="eastAsia" w:cs="宋体"/>
          <w:b/>
          <w:color w:val="auto"/>
          <w:kern w:val="0"/>
          <w:highlight w:val="none"/>
          <w:u w:val="single"/>
        </w:rPr>
        <w:t>杭建工发【2012】426号）</w:t>
      </w:r>
    </w:p>
    <w:p>
      <w:pPr>
        <w:autoSpaceDE w:val="0"/>
        <w:autoSpaceDN w:val="0"/>
        <w:adjustRightInd w:val="0"/>
        <w:spacing w:line="288" w:lineRule="auto"/>
        <w:ind w:firstLine="417" w:firstLineChars="198"/>
        <w:jc w:val="left"/>
        <w:rPr>
          <w:rFonts w:cs="宋体"/>
          <w:b/>
          <w:color w:val="auto"/>
          <w:kern w:val="0"/>
          <w:highlight w:val="none"/>
          <w:u w:val="single"/>
        </w:rPr>
      </w:pPr>
      <w:r>
        <w:rPr>
          <w:rFonts w:hint="eastAsia" w:cs="宋体"/>
          <w:b/>
          <w:color w:val="auto"/>
          <w:kern w:val="0"/>
          <w:highlight w:val="none"/>
          <w:u w:val="single"/>
        </w:rPr>
        <w:t>（4）《杭州市人民政府办公厅关于印发杭州市建设工程推广应用预拌砂浆管理办法的通知》（杭政办函（2011）32号）</w:t>
      </w:r>
    </w:p>
    <w:p>
      <w:pPr>
        <w:autoSpaceDE w:val="0"/>
        <w:autoSpaceDN w:val="0"/>
        <w:adjustRightInd w:val="0"/>
        <w:spacing w:line="288" w:lineRule="auto"/>
        <w:ind w:firstLine="415" w:firstLineChars="197"/>
        <w:jc w:val="left"/>
        <w:rPr>
          <w:rFonts w:cs="宋体"/>
          <w:b/>
          <w:color w:val="auto"/>
          <w:kern w:val="0"/>
          <w:highlight w:val="none"/>
          <w:u w:val="single"/>
        </w:rPr>
      </w:pPr>
      <w:r>
        <w:rPr>
          <w:rFonts w:hint="eastAsia" w:cs="宋体"/>
          <w:b/>
          <w:color w:val="auto"/>
          <w:highlight w:val="none"/>
          <w:u w:val="single"/>
        </w:rPr>
        <w:t>（5）</w:t>
      </w:r>
      <w:r>
        <w:rPr>
          <w:rFonts w:hint="eastAsia" w:cs="宋体"/>
          <w:b/>
          <w:color w:val="auto"/>
          <w:kern w:val="0"/>
          <w:highlight w:val="none"/>
          <w:u w:val="single"/>
        </w:rPr>
        <w:t>《关于落实建筑工棚安装空调事宜的通知》（</w:t>
      </w:r>
      <w:r>
        <w:rPr>
          <w:rFonts w:hint="eastAsia" w:cs="宋体"/>
          <w:b/>
          <w:color w:val="auto"/>
          <w:highlight w:val="none"/>
          <w:u w:val="single"/>
        </w:rPr>
        <w:t>杭建工发【2011】237号）</w:t>
      </w:r>
    </w:p>
    <w:p>
      <w:pPr>
        <w:autoSpaceDE w:val="0"/>
        <w:autoSpaceDN w:val="0"/>
        <w:adjustRightInd w:val="0"/>
        <w:spacing w:line="288" w:lineRule="auto"/>
        <w:ind w:firstLine="415" w:firstLineChars="197"/>
        <w:jc w:val="left"/>
        <w:rPr>
          <w:rFonts w:cs="宋体"/>
          <w:b/>
          <w:color w:val="auto"/>
          <w:highlight w:val="none"/>
          <w:u w:val="single"/>
        </w:rPr>
      </w:pPr>
      <w:r>
        <w:rPr>
          <w:rFonts w:hint="eastAsia" w:cs="宋体"/>
          <w:b/>
          <w:color w:val="auto"/>
          <w:highlight w:val="none"/>
          <w:u w:val="single"/>
        </w:rPr>
        <w:t>（6）《关于进一步加强杭州市建设工程市场要素价格动态管理的指导意见》（杭建市【2011】198号）</w:t>
      </w:r>
    </w:p>
    <w:p>
      <w:pPr>
        <w:autoSpaceDE w:val="0"/>
        <w:autoSpaceDN w:val="0"/>
        <w:adjustRightInd w:val="0"/>
        <w:spacing w:line="288" w:lineRule="auto"/>
        <w:ind w:firstLine="417" w:firstLineChars="198"/>
        <w:jc w:val="left"/>
        <w:rPr>
          <w:rFonts w:cs="宋体"/>
          <w:b/>
          <w:color w:val="auto"/>
          <w:highlight w:val="none"/>
          <w:u w:val="single"/>
        </w:rPr>
      </w:pPr>
      <w:r>
        <w:rPr>
          <w:rFonts w:hint="eastAsia" w:cs="宋体"/>
          <w:b/>
          <w:color w:val="auto"/>
          <w:highlight w:val="none"/>
          <w:u w:val="single"/>
        </w:rPr>
        <w:t>（7）《关于进一步明确杭州市建设工程优质工程增加费计取规定的通知》（杭建市【2012】240号）</w:t>
      </w:r>
    </w:p>
    <w:p>
      <w:pPr>
        <w:autoSpaceDE w:val="0"/>
        <w:autoSpaceDN w:val="0"/>
        <w:adjustRightInd w:val="0"/>
        <w:spacing w:line="288" w:lineRule="auto"/>
        <w:ind w:firstLine="422"/>
        <w:jc w:val="left"/>
        <w:rPr>
          <w:rFonts w:cs="宋体"/>
          <w:b/>
          <w:color w:val="auto"/>
          <w:highlight w:val="none"/>
          <w:u w:val="single"/>
        </w:rPr>
      </w:pPr>
      <w:r>
        <w:rPr>
          <w:rFonts w:hint="eastAsia" w:cs="宋体"/>
          <w:b/>
          <w:color w:val="auto"/>
          <w:highlight w:val="none"/>
          <w:u w:val="single"/>
        </w:rPr>
        <w:t xml:space="preserve">（8）新工艺、新技术的约定：                             </w:t>
      </w:r>
    </w:p>
    <w:p>
      <w:pPr>
        <w:autoSpaceDE w:val="0"/>
        <w:autoSpaceDN w:val="0"/>
        <w:adjustRightInd w:val="0"/>
        <w:spacing w:line="288" w:lineRule="auto"/>
        <w:ind w:firstLine="422"/>
        <w:jc w:val="left"/>
        <w:rPr>
          <w:rFonts w:cs="宋体"/>
          <w:b/>
          <w:color w:val="auto"/>
          <w:highlight w:val="none"/>
          <w:u w:val="single"/>
        </w:rPr>
      </w:pPr>
      <w:r>
        <w:rPr>
          <w:rFonts w:hint="eastAsia" w:cs="宋体"/>
          <w:b/>
          <w:color w:val="auto"/>
          <w:highlight w:val="none"/>
          <w:u w:val="single"/>
        </w:rPr>
        <w:t xml:space="preserve">（9）其他：地方政府或部门颁发的其他相关规定                                 </w:t>
      </w:r>
    </w:p>
    <w:p>
      <w:pPr>
        <w:autoSpaceDE w:val="0"/>
        <w:autoSpaceDN w:val="0"/>
        <w:adjustRightInd w:val="0"/>
        <w:spacing w:line="288" w:lineRule="auto"/>
        <w:ind w:left="596" w:leftChars="284" w:firstLine="420"/>
        <w:jc w:val="left"/>
        <w:rPr>
          <w:rFonts w:cs="宋体"/>
          <w:color w:val="auto"/>
          <w:highlight w:val="none"/>
        </w:rPr>
      </w:pPr>
      <w:r>
        <w:rPr>
          <w:rFonts w:hint="eastAsia" w:cs="宋体"/>
          <w:color w:val="auto"/>
          <w:highlight w:val="none"/>
        </w:rPr>
        <w:t>1.4 标准和规范</w:t>
      </w:r>
    </w:p>
    <w:p>
      <w:pPr>
        <w:spacing w:line="288" w:lineRule="auto"/>
        <w:ind w:left="596" w:leftChars="284" w:firstLine="420"/>
        <w:rPr>
          <w:rFonts w:cs="宋体"/>
          <w:b/>
          <w:color w:val="auto"/>
          <w:highlight w:val="none"/>
          <w:u w:val="single"/>
        </w:rPr>
      </w:pPr>
      <w:r>
        <w:rPr>
          <w:rFonts w:hint="eastAsia" w:cs="宋体"/>
          <w:color w:val="auto"/>
          <w:highlight w:val="none"/>
        </w:rPr>
        <w:t>1.4.1适用于工程的标准规范包括：</w:t>
      </w:r>
      <w:r>
        <w:rPr>
          <w:rFonts w:hint="eastAsia" w:cs="宋体"/>
          <w:b/>
          <w:color w:val="auto"/>
          <w:highlight w:val="none"/>
          <w:u w:val="single"/>
        </w:rPr>
        <w:t xml:space="preserve">（1）按通用条款约定；     </w:t>
      </w:r>
    </w:p>
    <w:p>
      <w:pPr>
        <w:spacing w:line="288" w:lineRule="auto"/>
        <w:ind w:firstLine="420"/>
        <w:rPr>
          <w:rFonts w:cs="宋体"/>
          <w:color w:val="auto"/>
          <w:kern w:val="0"/>
          <w:highlight w:val="none"/>
          <w:u w:val="single"/>
        </w:rPr>
      </w:pPr>
      <w:r>
        <w:rPr>
          <w:rFonts w:hint="eastAsia" w:cs="宋体"/>
          <w:color w:val="auto"/>
          <w:kern w:val="0"/>
          <w:highlight w:val="none"/>
        </w:rPr>
        <w:t>1.4.2 发包人提供国外标准、规范的名称：</w:t>
      </w:r>
      <w:r>
        <w:rPr>
          <w:rFonts w:hint="eastAsia" w:cs="宋体"/>
          <w:color w:val="auto"/>
          <w:kern w:val="0"/>
          <w:highlight w:val="none"/>
          <w:u w:val="single"/>
        </w:rPr>
        <w:t xml:space="preserve">     /          </w:t>
      </w:r>
      <w:r>
        <w:rPr>
          <w:rFonts w:hint="eastAsia" w:cs="宋体"/>
          <w:color w:val="auto"/>
          <w:kern w:val="0"/>
          <w:highlight w:val="none"/>
        </w:rPr>
        <w:t>；</w:t>
      </w:r>
    </w:p>
    <w:p>
      <w:pPr>
        <w:spacing w:line="288" w:lineRule="auto"/>
        <w:ind w:firstLine="420"/>
        <w:rPr>
          <w:rFonts w:cs="宋体"/>
          <w:color w:val="auto"/>
          <w:kern w:val="0"/>
          <w:highlight w:val="none"/>
        </w:rPr>
      </w:pPr>
      <w:r>
        <w:rPr>
          <w:rFonts w:hint="eastAsia" w:cs="宋体"/>
          <w:color w:val="auto"/>
          <w:kern w:val="0"/>
          <w:highlight w:val="none"/>
        </w:rPr>
        <w:t>发包人提供国外标准、规范的份数：</w:t>
      </w:r>
      <w:r>
        <w:rPr>
          <w:rFonts w:hint="eastAsia" w:cs="宋体"/>
          <w:color w:val="auto"/>
          <w:kern w:val="0"/>
          <w:highlight w:val="none"/>
          <w:u w:val="single"/>
        </w:rPr>
        <w:t xml:space="preserve">         /            </w:t>
      </w:r>
      <w:r>
        <w:rPr>
          <w:rFonts w:hint="eastAsia" w:cs="宋体"/>
          <w:color w:val="auto"/>
          <w:kern w:val="0"/>
          <w:highlight w:val="none"/>
        </w:rPr>
        <w:t>；</w:t>
      </w:r>
    </w:p>
    <w:p>
      <w:pPr>
        <w:spacing w:line="288" w:lineRule="auto"/>
        <w:ind w:firstLine="420"/>
        <w:rPr>
          <w:rFonts w:cs="宋体"/>
          <w:color w:val="auto"/>
          <w:highlight w:val="none"/>
        </w:rPr>
      </w:pPr>
      <w:r>
        <w:rPr>
          <w:rFonts w:hint="eastAsia" w:cs="宋体"/>
          <w:color w:val="auto"/>
          <w:kern w:val="0"/>
          <w:highlight w:val="none"/>
        </w:rPr>
        <w:t>发包人提供国外标准、规范的名称：</w:t>
      </w:r>
      <w:r>
        <w:rPr>
          <w:rFonts w:hint="eastAsia" w:cs="宋体"/>
          <w:color w:val="auto"/>
          <w:kern w:val="0"/>
          <w:highlight w:val="none"/>
          <w:u w:val="single"/>
        </w:rPr>
        <w:t xml:space="preserve">        /            </w:t>
      </w:r>
      <w:r>
        <w:rPr>
          <w:rFonts w:hint="eastAsia" w:cs="宋体"/>
          <w:color w:val="auto"/>
          <w:kern w:val="0"/>
          <w:highlight w:val="none"/>
        </w:rPr>
        <w:t>。</w:t>
      </w:r>
    </w:p>
    <w:p>
      <w:pPr>
        <w:spacing w:line="288" w:lineRule="auto"/>
        <w:ind w:left="596" w:leftChars="284" w:firstLine="420"/>
        <w:rPr>
          <w:rFonts w:cs="宋体"/>
          <w:color w:val="auto"/>
          <w:highlight w:val="none"/>
        </w:rPr>
      </w:pPr>
      <w:r>
        <w:rPr>
          <w:rFonts w:hint="eastAsia" w:cs="宋体"/>
          <w:color w:val="auto"/>
          <w:highlight w:val="none"/>
        </w:rPr>
        <w:t>1.4.3发包人对工程的技术标准和功能要求的特殊要求：</w:t>
      </w:r>
      <w:r>
        <w:rPr>
          <w:rFonts w:hint="eastAsia" w:cs="宋体"/>
          <w:color w:val="auto"/>
          <w:highlight w:val="none"/>
          <w:u w:val="single"/>
        </w:rPr>
        <w:t xml:space="preserve">详见设计文件和招标技术要求 </w:t>
      </w:r>
      <w:r>
        <w:rPr>
          <w:rFonts w:hint="eastAsia" w:cs="宋体"/>
          <w:color w:val="auto"/>
          <w:highlight w:val="none"/>
        </w:rPr>
        <w:t>。</w:t>
      </w:r>
    </w:p>
    <w:p>
      <w:pPr>
        <w:spacing w:after="120" w:line="288" w:lineRule="auto"/>
        <w:ind w:firstLine="420"/>
        <w:rPr>
          <w:rFonts w:cs="宋体"/>
          <w:color w:val="auto"/>
          <w:highlight w:val="none"/>
        </w:rPr>
      </w:pPr>
      <w:r>
        <w:rPr>
          <w:rFonts w:hint="eastAsia" w:cs="宋体"/>
          <w:color w:val="auto"/>
          <w:highlight w:val="none"/>
        </w:rPr>
        <w:t>1.5 合同文件的优先顺序</w:t>
      </w:r>
    </w:p>
    <w:p>
      <w:pPr>
        <w:autoSpaceDE w:val="0"/>
        <w:autoSpaceDN w:val="0"/>
        <w:adjustRightInd w:val="0"/>
        <w:spacing w:line="288" w:lineRule="auto"/>
        <w:ind w:firstLine="420"/>
        <w:jc w:val="left"/>
        <w:rPr>
          <w:rFonts w:cs="宋体"/>
          <w:color w:val="auto"/>
          <w:highlight w:val="none"/>
        </w:rPr>
      </w:pPr>
      <w:r>
        <w:rPr>
          <w:rFonts w:hint="eastAsia" w:cs="宋体"/>
          <w:color w:val="auto"/>
          <w:highlight w:val="none"/>
        </w:rPr>
        <w:t>合同文件组成及优先顺序为：</w:t>
      </w:r>
    </w:p>
    <w:p>
      <w:pPr>
        <w:autoSpaceDE w:val="0"/>
        <w:autoSpaceDN w:val="0"/>
        <w:adjustRightInd w:val="0"/>
        <w:spacing w:line="288" w:lineRule="auto"/>
        <w:ind w:firstLine="417" w:firstLineChars="198"/>
        <w:jc w:val="left"/>
        <w:rPr>
          <w:rFonts w:cs="宋体"/>
          <w:b/>
          <w:color w:val="auto"/>
          <w:kern w:val="0"/>
          <w:highlight w:val="none"/>
          <w:u w:val="single"/>
        </w:rPr>
      </w:pPr>
      <w:r>
        <w:rPr>
          <w:rFonts w:hint="eastAsia" w:cs="宋体"/>
          <w:b/>
          <w:color w:val="auto"/>
          <w:kern w:val="0"/>
          <w:highlight w:val="none"/>
          <w:u w:val="single"/>
        </w:rPr>
        <w:t>（1）合同协议书</w:t>
      </w:r>
      <w:r>
        <w:rPr>
          <w:rFonts w:hint="eastAsia" w:cs="宋体"/>
          <w:b/>
          <w:color w:val="auto"/>
          <w:kern w:val="0"/>
          <w:highlight w:val="none"/>
        </w:rPr>
        <w:t>；</w:t>
      </w:r>
    </w:p>
    <w:p>
      <w:pPr>
        <w:autoSpaceDE w:val="0"/>
        <w:autoSpaceDN w:val="0"/>
        <w:adjustRightInd w:val="0"/>
        <w:spacing w:line="288" w:lineRule="auto"/>
        <w:ind w:firstLine="417" w:firstLineChars="198"/>
        <w:jc w:val="left"/>
        <w:rPr>
          <w:rFonts w:cs="宋体"/>
          <w:b/>
          <w:color w:val="auto"/>
          <w:kern w:val="0"/>
          <w:highlight w:val="none"/>
          <w:u w:val="single"/>
        </w:rPr>
      </w:pPr>
      <w:r>
        <w:rPr>
          <w:rFonts w:hint="eastAsia" w:cs="宋体"/>
          <w:b/>
          <w:color w:val="auto"/>
          <w:kern w:val="0"/>
          <w:highlight w:val="none"/>
          <w:u w:val="single"/>
        </w:rPr>
        <w:t>（2）中标通知书（或项目发承包基本情况表）</w:t>
      </w:r>
      <w:r>
        <w:rPr>
          <w:rFonts w:hint="eastAsia" w:cs="宋体"/>
          <w:b/>
          <w:color w:val="auto"/>
          <w:kern w:val="0"/>
          <w:highlight w:val="none"/>
        </w:rPr>
        <w:t>；</w:t>
      </w:r>
    </w:p>
    <w:p>
      <w:pPr>
        <w:spacing w:line="288" w:lineRule="auto"/>
        <w:ind w:firstLine="417" w:firstLineChars="198"/>
        <w:rPr>
          <w:rFonts w:cs="宋体"/>
          <w:b/>
          <w:color w:val="auto"/>
          <w:kern w:val="0"/>
          <w:highlight w:val="none"/>
          <w:u w:val="single"/>
        </w:rPr>
      </w:pPr>
      <w:r>
        <w:rPr>
          <w:rFonts w:hint="eastAsia" w:cs="宋体"/>
          <w:b/>
          <w:color w:val="auto"/>
          <w:kern w:val="0"/>
          <w:highlight w:val="none"/>
          <w:u w:val="single"/>
        </w:rPr>
        <w:t>（3）投标函及其附录（如果有）</w:t>
      </w:r>
      <w:r>
        <w:rPr>
          <w:rFonts w:hint="eastAsia" w:cs="宋体"/>
          <w:b/>
          <w:color w:val="auto"/>
          <w:kern w:val="0"/>
          <w:highlight w:val="none"/>
        </w:rPr>
        <w:t>；</w:t>
      </w:r>
    </w:p>
    <w:p>
      <w:pPr>
        <w:autoSpaceDE w:val="0"/>
        <w:autoSpaceDN w:val="0"/>
        <w:adjustRightInd w:val="0"/>
        <w:spacing w:line="288" w:lineRule="auto"/>
        <w:ind w:firstLine="417" w:firstLineChars="198"/>
        <w:jc w:val="left"/>
        <w:rPr>
          <w:rFonts w:cs="宋体"/>
          <w:b/>
          <w:color w:val="auto"/>
          <w:kern w:val="0"/>
          <w:highlight w:val="none"/>
          <w:u w:val="single"/>
        </w:rPr>
      </w:pPr>
      <w:r>
        <w:rPr>
          <w:rFonts w:hint="eastAsia" w:cs="宋体"/>
          <w:b/>
          <w:color w:val="auto"/>
          <w:kern w:val="0"/>
          <w:highlight w:val="none"/>
          <w:u w:val="single"/>
        </w:rPr>
        <w:t>（4）专用合同条款及其附件</w:t>
      </w:r>
      <w:r>
        <w:rPr>
          <w:rFonts w:hint="eastAsia" w:cs="宋体"/>
          <w:b/>
          <w:color w:val="auto"/>
          <w:kern w:val="0"/>
          <w:highlight w:val="none"/>
        </w:rPr>
        <w:t>；</w:t>
      </w:r>
    </w:p>
    <w:p>
      <w:pPr>
        <w:autoSpaceDE w:val="0"/>
        <w:autoSpaceDN w:val="0"/>
        <w:adjustRightInd w:val="0"/>
        <w:spacing w:line="288" w:lineRule="auto"/>
        <w:ind w:firstLine="417" w:firstLineChars="198"/>
        <w:jc w:val="left"/>
        <w:rPr>
          <w:rFonts w:cs="宋体"/>
          <w:b/>
          <w:color w:val="auto"/>
          <w:kern w:val="0"/>
          <w:highlight w:val="none"/>
          <w:u w:val="single"/>
        </w:rPr>
      </w:pPr>
      <w:r>
        <w:rPr>
          <w:rFonts w:hint="eastAsia" w:cs="宋体"/>
          <w:b/>
          <w:color w:val="auto"/>
          <w:kern w:val="0"/>
          <w:highlight w:val="none"/>
          <w:u w:val="single"/>
        </w:rPr>
        <w:t>（5）通用合同条款</w:t>
      </w:r>
      <w:r>
        <w:rPr>
          <w:rFonts w:hint="eastAsia" w:cs="宋体"/>
          <w:b/>
          <w:color w:val="auto"/>
          <w:kern w:val="0"/>
          <w:highlight w:val="none"/>
        </w:rPr>
        <w:t>；</w:t>
      </w:r>
    </w:p>
    <w:p>
      <w:pPr>
        <w:spacing w:line="288" w:lineRule="auto"/>
        <w:ind w:firstLine="417" w:firstLineChars="198"/>
        <w:rPr>
          <w:rFonts w:cs="宋体"/>
          <w:b/>
          <w:color w:val="auto"/>
          <w:kern w:val="0"/>
          <w:highlight w:val="none"/>
          <w:u w:val="single"/>
        </w:rPr>
      </w:pPr>
      <w:r>
        <w:rPr>
          <w:rFonts w:hint="eastAsia" w:cs="宋体"/>
          <w:b/>
          <w:color w:val="auto"/>
          <w:kern w:val="0"/>
          <w:highlight w:val="none"/>
          <w:u w:val="single"/>
        </w:rPr>
        <w:t>（6）技术标准和要求</w:t>
      </w:r>
      <w:r>
        <w:rPr>
          <w:rFonts w:hint="eastAsia" w:cs="宋体"/>
          <w:b/>
          <w:color w:val="auto"/>
          <w:kern w:val="0"/>
          <w:highlight w:val="none"/>
        </w:rPr>
        <w:t>；</w:t>
      </w:r>
    </w:p>
    <w:p>
      <w:pPr>
        <w:spacing w:line="288" w:lineRule="auto"/>
        <w:ind w:firstLine="417" w:firstLineChars="198"/>
        <w:rPr>
          <w:rFonts w:cs="宋体"/>
          <w:b/>
          <w:color w:val="auto"/>
          <w:kern w:val="0"/>
          <w:highlight w:val="none"/>
          <w:u w:val="single"/>
        </w:rPr>
      </w:pPr>
      <w:r>
        <w:rPr>
          <w:rFonts w:hint="eastAsia" w:cs="宋体"/>
          <w:b/>
          <w:color w:val="auto"/>
          <w:kern w:val="0"/>
          <w:highlight w:val="none"/>
          <w:u w:val="single"/>
        </w:rPr>
        <w:t>（7）图纸；</w:t>
      </w:r>
    </w:p>
    <w:p>
      <w:pPr>
        <w:spacing w:line="288" w:lineRule="auto"/>
        <w:ind w:firstLine="417" w:firstLineChars="198"/>
        <w:rPr>
          <w:rFonts w:cs="宋体"/>
          <w:b/>
          <w:color w:val="auto"/>
          <w:kern w:val="0"/>
          <w:highlight w:val="none"/>
          <w:u w:val="single"/>
        </w:rPr>
      </w:pPr>
      <w:r>
        <w:rPr>
          <w:rFonts w:hint="eastAsia" w:cs="宋体"/>
          <w:b/>
          <w:color w:val="auto"/>
          <w:kern w:val="0"/>
          <w:highlight w:val="none"/>
          <w:u w:val="single"/>
        </w:rPr>
        <w:t>（8）已标价工程量清单或预算书</w:t>
      </w:r>
      <w:r>
        <w:rPr>
          <w:rFonts w:hint="eastAsia" w:cs="宋体"/>
          <w:b/>
          <w:color w:val="auto"/>
          <w:kern w:val="0"/>
          <w:highlight w:val="none"/>
        </w:rPr>
        <w:t>；</w:t>
      </w:r>
    </w:p>
    <w:p>
      <w:pPr>
        <w:spacing w:line="288" w:lineRule="auto"/>
        <w:ind w:firstLine="417" w:firstLineChars="198"/>
        <w:rPr>
          <w:rFonts w:cs="宋体"/>
          <w:b/>
          <w:color w:val="auto"/>
          <w:kern w:val="0"/>
          <w:highlight w:val="none"/>
          <w:u w:val="single"/>
        </w:rPr>
      </w:pPr>
      <w:r>
        <w:rPr>
          <w:rFonts w:hint="eastAsia" w:cs="宋体"/>
          <w:b/>
          <w:color w:val="auto"/>
          <w:kern w:val="0"/>
          <w:highlight w:val="none"/>
          <w:u w:val="single"/>
        </w:rPr>
        <w:t>（9）其他合同文件</w:t>
      </w:r>
      <w:r>
        <w:rPr>
          <w:rFonts w:hint="eastAsia" w:cs="宋体"/>
          <w:b/>
          <w:color w:val="auto"/>
          <w:kern w:val="0"/>
          <w:highlight w:val="none"/>
        </w:rPr>
        <w:t>：</w:t>
      </w:r>
    </w:p>
    <w:p>
      <w:pPr>
        <w:spacing w:line="288" w:lineRule="auto"/>
        <w:ind w:firstLine="417" w:firstLineChars="198"/>
        <w:rPr>
          <w:rFonts w:cs="宋体"/>
          <w:b/>
          <w:color w:val="auto"/>
          <w:kern w:val="0"/>
          <w:highlight w:val="none"/>
          <w:u w:val="single"/>
        </w:rPr>
      </w:pPr>
      <w:r>
        <w:rPr>
          <w:rFonts w:hint="eastAsia" w:cs="宋体"/>
          <w:b/>
          <w:color w:val="auto"/>
          <w:kern w:val="0"/>
          <w:highlight w:val="none"/>
          <w:u w:val="single"/>
        </w:rPr>
        <w:t>①施工组织设计</w:t>
      </w:r>
      <w:r>
        <w:rPr>
          <w:rFonts w:hint="eastAsia" w:cs="宋体"/>
          <w:b/>
          <w:color w:val="auto"/>
          <w:kern w:val="0"/>
          <w:highlight w:val="none"/>
        </w:rPr>
        <w:t>；</w:t>
      </w:r>
    </w:p>
    <w:p>
      <w:pPr>
        <w:spacing w:line="288" w:lineRule="auto"/>
        <w:ind w:firstLine="417" w:firstLineChars="198"/>
        <w:rPr>
          <w:rFonts w:cs="宋体"/>
          <w:b/>
          <w:color w:val="auto"/>
          <w:kern w:val="0"/>
          <w:highlight w:val="none"/>
          <w:u w:val="single"/>
        </w:rPr>
      </w:pPr>
      <w:r>
        <w:rPr>
          <w:rFonts w:hint="eastAsia" w:cs="宋体"/>
          <w:b/>
          <w:color w:val="auto"/>
          <w:kern w:val="0"/>
          <w:highlight w:val="none"/>
          <w:u w:val="single"/>
        </w:rPr>
        <w:t xml:space="preserve">②其他：  /          </w:t>
      </w:r>
      <w:r>
        <w:rPr>
          <w:rFonts w:hint="eastAsia" w:cs="宋体"/>
          <w:b/>
          <w:color w:val="auto"/>
          <w:kern w:val="0"/>
          <w:highlight w:val="none"/>
        </w:rPr>
        <w:t>。</w:t>
      </w:r>
    </w:p>
    <w:p>
      <w:pPr>
        <w:spacing w:after="120" w:line="288" w:lineRule="auto"/>
        <w:ind w:firstLine="420"/>
        <w:rPr>
          <w:rFonts w:cs="宋体"/>
          <w:color w:val="auto"/>
          <w:highlight w:val="none"/>
        </w:rPr>
      </w:pPr>
      <w:r>
        <w:rPr>
          <w:rFonts w:hint="eastAsia" w:cs="宋体"/>
          <w:color w:val="auto"/>
          <w:highlight w:val="none"/>
        </w:rPr>
        <w:t>1.6 图纸和承包人文件</w:t>
      </w:r>
      <w:r>
        <w:rPr>
          <w:rFonts w:hint="eastAsia" w:cs="宋体"/>
          <w:color w:val="auto"/>
          <w:highlight w:val="none"/>
        </w:rPr>
        <w:tab/>
      </w:r>
    </w:p>
    <w:p>
      <w:pPr>
        <w:spacing w:line="288" w:lineRule="auto"/>
        <w:ind w:firstLine="420"/>
        <w:rPr>
          <w:rFonts w:cs="宋体"/>
          <w:color w:val="auto"/>
          <w:highlight w:val="none"/>
        </w:rPr>
      </w:pPr>
      <w:r>
        <w:rPr>
          <w:rFonts w:hint="eastAsia" w:cs="宋体"/>
          <w:color w:val="auto"/>
          <w:highlight w:val="none"/>
        </w:rPr>
        <w:t>1.6.1 图纸的提供</w:t>
      </w:r>
    </w:p>
    <w:p>
      <w:pPr>
        <w:spacing w:line="288" w:lineRule="auto"/>
        <w:ind w:firstLine="420"/>
        <w:rPr>
          <w:rFonts w:cs="宋体"/>
          <w:color w:val="auto"/>
          <w:highlight w:val="none"/>
        </w:rPr>
      </w:pPr>
      <w:r>
        <w:rPr>
          <w:rFonts w:hint="eastAsia" w:cs="宋体"/>
          <w:color w:val="auto"/>
          <w:highlight w:val="none"/>
        </w:rPr>
        <w:t>发包人向承包人提供图纸的期限：</w:t>
      </w:r>
      <w:r>
        <w:rPr>
          <w:rFonts w:hint="eastAsia" w:cs="宋体"/>
          <w:color w:val="auto"/>
          <w:highlight w:val="none"/>
          <w:u w:val="single"/>
        </w:rPr>
        <w:t>本合同签订后 7 天内</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发包人向承包人提供图纸的数量：</w:t>
      </w:r>
      <w:r>
        <w:rPr>
          <w:rFonts w:hint="eastAsia" w:cs="宋体"/>
          <w:color w:val="auto"/>
          <w:highlight w:val="none"/>
          <w:u w:val="single"/>
        </w:rPr>
        <w:t xml:space="preserve">  六 套（包括制作竣工图的原始施工图），如承包人额外需要提供施工图纸的，则额外增加的施工图纸的制作费由承包人承担</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发包人向承包人提供图纸的内容：</w:t>
      </w:r>
      <w:r>
        <w:rPr>
          <w:rFonts w:hint="eastAsia" w:cs="宋体"/>
          <w:color w:val="auto"/>
          <w:highlight w:val="none"/>
          <w:u w:val="single"/>
        </w:rPr>
        <w:t>施工图（详见签收表）</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1.6.4 承包人文件</w:t>
      </w:r>
    </w:p>
    <w:p>
      <w:pPr>
        <w:spacing w:line="288" w:lineRule="auto"/>
        <w:ind w:left="596" w:leftChars="284" w:firstLine="420"/>
        <w:jc w:val="left"/>
        <w:rPr>
          <w:rFonts w:cs="宋体"/>
          <w:color w:val="auto"/>
          <w:highlight w:val="none"/>
          <w:u w:val="single"/>
        </w:rPr>
      </w:pPr>
      <w:r>
        <w:rPr>
          <w:rFonts w:hint="eastAsia" w:cs="宋体"/>
          <w:color w:val="auto"/>
          <w:highlight w:val="none"/>
        </w:rPr>
        <w:t>需要由承包人提供的文件，包括：</w:t>
      </w:r>
      <w:r>
        <w:rPr>
          <w:rFonts w:hint="eastAsia" w:cs="宋体"/>
          <w:color w:val="auto"/>
          <w:kern w:val="0"/>
          <w:highlight w:val="none"/>
          <w:u w:val="single"/>
        </w:rPr>
        <w:t>施工组织设计、进度计划、发包人和政府规定要求必须提供的其他文件</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承包人提供的文件的期限为：</w:t>
      </w:r>
      <w:r>
        <w:rPr>
          <w:rFonts w:hint="eastAsia" w:cs="宋体"/>
          <w:color w:val="auto"/>
          <w:highlight w:val="none"/>
          <w:u w:val="single"/>
        </w:rPr>
        <w:t>发包人提出要求后7天内</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承包人提供的文件的数量为：</w:t>
      </w:r>
      <w:r>
        <w:rPr>
          <w:rFonts w:hint="eastAsia" w:cs="宋体"/>
          <w:color w:val="auto"/>
          <w:highlight w:val="none"/>
          <w:u w:val="single"/>
        </w:rPr>
        <w:t>双方协商确定</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承包人提供的文件的形式为：</w:t>
      </w:r>
      <w:r>
        <w:rPr>
          <w:rFonts w:hint="eastAsia" w:cs="宋体"/>
          <w:color w:val="auto"/>
          <w:highlight w:val="none"/>
          <w:u w:val="single"/>
        </w:rPr>
        <w:t>按发包人要求</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发包人审批承包人文件的期限：</w:t>
      </w:r>
      <w:r>
        <w:rPr>
          <w:rFonts w:hint="eastAsia" w:cs="宋体"/>
          <w:color w:val="auto"/>
          <w:highlight w:val="none"/>
          <w:u w:val="single"/>
        </w:rPr>
        <w:t>收到后7天内</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1.6.5 现场图纸准备</w:t>
      </w:r>
    </w:p>
    <w:p>
      <w:pPr>
        <w:spacing w:line="288" w:lineRule="auto"/>
        <w:ind w:firstLine="420"/>
        <w:rPr>
          <w:rFonts w:cs="宋体"/>
          <w:color w:val="auto"/>
          <w:highlight w:val="none"/>
        </w:rPr>
      </w:pPr>
      <w:r>
        <w:rPr>
          <w:rFonts w:hint="eastAsia" w:cs="宋体"/>
          <w:color w:val="auto"/>
          <w:highlight w:val="none"/>
        </w:rPr>
        <w:t>关于现场图纸准备的约定：</w:t>
      </w:r>
      <w:r>
        <w:rPr>
          <w:rFonts w:hint="eastAsia" w:cs="宋体"/>
          <w:color w:val="auto"/>
          <w:highlight w:val="none"/>
          <w:u w:val="single"/>
        </w:rPr>
        <w:t>发包人、监理人及有关人员进行工程检查时使用的图纸由承包人提供</w:t>
      </w:r>
      <w:r>
        <w:rPr>
          <w:rFonts w:hint="eastAsia" w:cs="宋体"/>
          <w:color w:val="auto"/>
          <w:highlight w:val="none"/>
        </w:rPr>
        <w:t>。</w:t>
      </w:r>
    </w:p>
    <w:p>
      <w:pPr>
        <w:spacing w:after="120" w:line="288" w:lineRule="auto"/>
        <w:ind w:firstLine="420"/>
        <w:rPr>
          <w:rFonts w:cs="宋体"/>
          <w:color w:val="auto"/>
          <w:highlight w:val="none"/>
        </w:rPr>
      </w:pPr>
      <w:r>
        <w:rPr>
          <w:rFonts w:hint="eastAsia" w:cs="宋体"/>
          <w:color w:val="auto"/>
          <w:highlight w:val="none"/>
        </w:rPr>
        <w:t>1.7 联络</w:t>
      </w:r>
    </w:p>
    <w:p>
      <w:pPr>
        <w:spacing w:line="288" w:lineRule="auto"/>
        <w:ind w:firstLine="420"/>
        <w:rPr>
          <w:rFonts w:cs="宋体"/>
          <w:color w:val="auto"/>
          <w:kern w:val="0"/>
          <w:highlight w:val="none"/>
        </w:rPr>
      </w:pPr>
      <w:r>
        <w:rPr>
          <w:rFonts w:hint="eastAsia" w:cs="宋体"/>
          <w:color w:val="auto"/>
          <w:kern w:val="0"/>
          <w:highlight w:val="none"/>
        </w:rPr>
        <w:t>1.7.1发包人和承包人应当在</w:t>
      </w:r>
      <w:r>
        <w:rPr>
          <w:rFonts w:hint="eastAsia" w:cs="宋体"/>
          <w:color w:val="auto"/>
          <w:highlight w:val="none"/>
          <w:u w:val="single"/>
        </w:rPr>
        <w:t xml:space="preserve">叁  </w:t>
      </w:r>
      <w:r>
        <w:rPr>
          <w:rFonts w:hint="eastAsia" w:cs="宋体"/>
          <w:color w:val="auto"/>
          <w:kern w:val="0"/>
          <w:highlight w:val="none"/>
        </w:rPr>
        <w:t>天内将与合同有关的通知、批准、证明、证书、指示、指令、要求、请求、同意、意见、确定和决定等书面函件送达对方当事人。</w:t>
      </w:r>
    </w:p>
    <w:p>
      <w:pPr>
        <w:spacing w:line="288" w:lineRule="auto"/>
        <w:ind w:firstLine="420"/>
        <w:rPr>
          <w:rFonts w:cs="宋体"/>
          <w:color w:val="auto"/>
          <w:kern w:val="0"/>
          <w:highlight w:val="none"/>
        </w:rPr>
      </w:pPr>
      <w:r>
        <w:rPr>
          <w:rFonts w:hint="eastAsia" w:cs="宋体"/>
          <w:color w:val="auto"/>
          <w:kern w:val="0"/>
          <w:highlight w:val="none"/>
        </w:rPr>
        <w:t>1.7.2 发包人接收文件的地点：</w:t>
      </w:r>
      <w:r>
        <w:rPr>
          <w:rFonts w:hint="eastAsia" w:cs="宋体"/>
          <w:color w:val="auto"/>
          <w:highlight w:val="none"/>
          <w:u w:val="single"/>
        </w:rPr>
        <w:t>发</w:t>
      </w:r>
      <w:r>
        <w:rPr>
          <w:rFonts w:hint="eastAsia" w:cs="宋体"/>
          <w:color w:val="auto"/>
          <w:kern w:val="0"/>
          <w:highlight w:val="none"/>
          <w:u w:val="single"/>
        </w:rPr>
        <w:t>包人现场办公室</w:t>
      </w:r>
      <w:r>
        <w:rPr>
          <w:rFonts w:hint="eastAsia" w:cs="宋体"/>
          <w:color w:val="auto"/>
          <w:highlight w:val="none"/>
          <w:u w:val="single"/>
        </w:rPr>
        <w:t xml:space="preserve"> </w:t>
      </w:r>
      <w:r>
        <w:rPr>
          <w:rFonts w:hint="eastAsia" w:cs="宋体"/>
          <w:color w:val="auto"/>
          <w:kern w:val="0"/>
          <w:highlight w:val="none"/>
        </w:rPr>
        <w:t>；</w:t>
      </w:r>
    </w:p>
    <w:p>
      <w:pPr>
        <w:spacing w:line="288" w:lineRule="auto"/>
        <w:ind w:firstLine="420"/>
        <w:rPr>
          <w:rFonts w:cs="宋体"/>
          <w:color w:val="auto"/>
          <w:kern w:val="0"/>
          <w:highlight w:val="none"/>
        </w:rPr>
      </w:pPr>
      <w:r>
        <w:rPr>
          <w:rFonts w:hint="eastAsia" w:cs="宋体"/>
          <w:color w:val="auto"/>
          <w:kern w:val="0"/>
          <w:highlight w:val="none"/>
        </w:rPr>
        <w:t>发包人指定的接收人为：</w:t>
      </w:r>
      <w:r>
        <w:rPr>
          <w:rFonts w:hint="eastAsia" w:cs="宋体"/>
          <w:color w:val="auto"/>
          <w:highlight w:val="none"/>
          <w:u w:val="single"/>
        </w:rPr>
        <w:t xml:space="preserve">待定                          </w:t>
      </w:r>
      <w:r>
        <w:rPr>
          <w:rFonts w:hint="eastAsia" w:cs="宋体"/>
          <w:color w:val="auto"/>
          <w:kern w:val="0"/>
          <w:highlight w:val="none"/>
        </w:rPr>
        <w:t>。</w:t>
      </w:r>
    </w:p>
    <w:p>
      <w:pPr>
        <w:spacing w:line="288" w:lineRule="auto"/>
        <w:ind w:firstLine="420"/>
        <w:rPr>
          <w:rFonts w:cs="宋体"/>
          <w:color w:val="auto"/>
          <w:kern w:val="0"/>
          <w:highlight w:val="none"/>
        </w:rPr>
      </w:pPr>
      <w:r>
        <w:rPr>
          <w:rFonts w:hint="eastAsia" w:cs="宋体"/>
          <w:color w:val="auto"/>
          <w:kern w:val="0"/>
          <w:highlight w:val="none"/>
        </w:rPr>
        <w:t>承包人接收文件的地点：</w:t>
      </w:r>
      <w:r>
        <w:rPr>
          <w:rFonts w:hint="eastAsia" w:cs="宋体"/>
          <w:color w:val="auto"/>
          <w:kern w:val="0"/>
          <w:highlight w:val="none"/>
          <w:u w:val="single"/>
        </w:rPr>
        <w:t xml:space="preserve">承包人现场办公室              </w:t>
      </w:r>
      <w:r>
        <w:rPr>
          <w:rFonts w:hint="eastAsia" w:cs="宋体"/>
          <w:color w:val="auto"/>
          <w:kern w:val="0"/>
          <w:highlight w:val="none"/>
        </w:rPr>
        <w:t>；</w:t>
      </w:r>
    </w:p>
    <w:p>
      <w:pPr>
        <w:spacing w:line="288" w:lineRule="auto"/>
        <w:ind w:firstLine="420"/>
        <w:rPr>
          <w:rFonts w:cs="宋体"/>
          <w:color w:val="auto"/>
          <w:kern w:val="0"/>
          <w:highlight w:val="none"/>
        </w:rPr>
      </w:pPr>
      <w:r>
        <w:rPr>
          <w:rFonts w:hint="eastAsia" w:cs="宋体"/>
          <w:color w:val="auto"/>
          <w:kern w:val="0"/>
          <w:highlight w:val="none"/>
        </w:rPr>
        <w:t>承包人指定的接收人为：</w:t>
      </w:r>
      <w:r>
        <w:rPr>
          <w:rFonts w:hint="eastAsia" w:cs="宋体"/>
          <w:color w:val="auto"/>
          <w:highlight w:val="none"/>
          <w:u w:val="single"/>
        </w:rPr>
        <w:t xml:space="preserve">待定                         </w:t>
      </w:r>
      <w:r>
        <w:rPr>
          <w:rFonts w:hint="eastAsia" w:cs="宋体"/>
          <w:color w:val="auto"/>
          <w:kern w:val="0"/>
          <w:highlight w:val="none"/>
        </w:rPr>
        <w:t>。</w:t>
      </w:r>
    </w:p>
    <w:p>
      <w:pPr>
        <w:spacing w:line="288" w:lineRule="auto"/>
        <w:ind w:firstLine="420"/>
        <w:rPr>
          <w:rFonts w:cs="宋体"/>
          <w:color w:val="auto"/>
          <w:kern w:val="0"/>
          <w:highlight w:val="none"/>
        </w:rPr>
      </w:pPr>
      <w:r>
        <w:rPr>
          <w:rFonts w:hint="eastAsia" w:cs="宋体"/>
          <w:color w:val="auto"/>
          <w:kern w:val="0"/>
          <w:highlight w:val="none"/>
        </w:rPr>
        <w:t>监理人接收文件的地点：</w:t>
      </w:r>
      <w:r>
        <w:rPr>
          <w:rFonts w:hint="eastAsia" w:cs="宋体"/>
          <w:color w:val="auto"/>
          <w:highlight w:val="none"/>
          <w:u w:val="single"/>
        </w:rPr>
        <w:t xml:space="preserve">/           </w:t>
      </w:r>
      <w:r>
        <w:rPr>
          <w:rFonts w:hint="eastAsia" w:cs="宋体"/>
          <w:color w:val="auto"/>
          <w:kern w:val="0"/>
          <w:highlight w:val="none"/>
        </w:rPr>
        <w:t>；</w:t>
      </w:r>
    </w:p>
    <w:p>
      <w:pPr>
        <w:spacing w:after="120" w:line="288" w:lineRule="auto"/>
        <w:ind w:firstLine="420"/>
        <w:rPr>
          <w:rFonts w:cs="宋体"/>
          <w:color w:val="auto"/>
          <w:highlight w:val="none"/>
        </w:rPr>
      </w:pPr>
      <w:r>
        <w:rPr>
          <w:rFonts w:hint="eastAsia" w:cs="宋体"/>
          <w:color w:val="auto"/>
          <w:kern w:val="0"/>
          <w:highlight w:val="none"/>
        </w:rPr>
        <w:t>监理人指定的接收人为：</w:t>
      </w:r>
      <w:r>
        <w:rPr>
          <w:rFonts w:hint="eastAsia" w:cs="宋体"/>
          <w:color w:val="auto"/>
          <w:highlight w:val="none"/>
          <w:u w:val="single"/>
        </w:rPr>
        <w:t xml:space="preserve"> /          ；</w:t>
      </w:r>
    </w:p>
    <w:p>
      <w:pPr>
        <w:spacing w:line="288" w:lineRule="auto"/>
        <w:ind w:firstLine="420"/>
        <w:rPr>
          <w:rFonts w:cs="宋体"/>
          <w:color w:val="auto"/>
          <w:highlight w:val="none"/>
        </w:rPr>
      </w:pPr>
      <w:r>
        <w:rPr>
          <w:rFonts w:hint="eastAsia" w:cs="宋体"/>
          <w:color w:val="auto"/>
          <w:highlight w:val="none"/>
        </w:rPr>
        <w:t>1</w:t>
      </w:r>
      <w:bookmarkStart w:id="574" w:name="_Toc318581155"/>
      <w:bookmarkStart w:id="575" w:name="_Toc300934943"/>
      <w:bookmarkStart w:id="576" w:name="_Toc303539100"/>
      <w:bookmarkStart w:id="577" w:name="_Toc304295521"/>
      <w:bookmarkStart w:id="578" w:name="_Toc312677986"/>
      <w:r>
        <w:rPr>
          <w:rFonts w:hint="eastAsia" w:cs="宋体"/>
          <w:color w:val="auto"/>
          <w:highlight w:val="none"/>
        </w:rPr>
        <w:t>.10.1 出入现场的权利</w:t>
      </w:r>
    </w:p>
    <w:p>
      <w:pPr>
        <w:spacing w:line="288" w:lineRule="auto"/>
        <w:ind w:left="596" w:leftChars="284" w:firstLine="420"/>
        <w:rPr>
          <w:rFonts w:cs="宋体"/>
          <w:color w:val="auto"/>
          <w:highlight w:val="none"/>
          <w:u w:val="single"/>
        </w:rPr>
      </w:pPr>
      <w:r>
        <w:rPr>
          <w:rFonts w:hint="eastAsia" w:cs="宋体"/>
          <w:color w:val="auto"/>
          <w:highlight w:val="none"/>
        </w:rPr>
        <w:t>关于出入现场的权利的约定：</w:t>
      </w:r>
      <w:r>
        <w:rPr>
          <w:rFonts w:hint="eastAsia" w:cs="宋体"/>
          <w:color w:val="auto"/>
          <w:highlight w:val="none"/>
          <w:u w:val="single"/>
        </w:rPr>
        <w:t>按通用条款执行     </w:t>
      </w:r>
      <w:r>
        <w:rPr>
          <w:rFonts w:hint="eastAsia" w:cs="宋体"/>
          <w:color w:val="auto"/>
          <w:highlight w:val="none"/>
        </w:rPr>
        <w:t>。</w:t>
      </w:r>
    </w:p>
    <w:bookmarkEnd w:id="574"/>
    <w:bookmarkEnd w:id="575"/>
    <w:bookmarkEnd w:id="576"/>
    <w:bookmarkEnd w:id="577"/>
    <w:bookmarkEnd w:id="578"/>
    <w:p>
      <w:pPr>
        <w:spacing w:line="288" w:lineRule="auto"/>
        <w:ind w:firstLine="420"/>
        <w:jc w:val="left"/>
        <w:rPr>
          <w:rFonts w:cs="宋体"/>
          <w:color w:val="auto"/>
          <w:highlight w:val="none"/>
        </w:rPr>
      </w:pPr>
      <w:r>
        <w:rPr>
          <w:rFonts w:hint="eastAsia" w:cs="宋体"/>
          <w:color w:val="auto"/>
          <w:highlight w:val="none"/>
        </w:rPr>
        <w:t>1</w:t>
      </w:r>
      <w:bookmarkStart w:id="579" w:name="_Toc300934944"/>
      <w:bookmarkStart w:id="580" w:name="_Toc312677987"/>
      <w:bookmarkStart w:id="581" w:name="_Toc303539101"/>
      <w:bookmarkStart w:id="582" w:name="_Toc304295522"/>
      <w:bookmarkStart w:id="583" w:name="_Toc318581156"/>
      <w:r>
        <w:rPr>
          <w:rFonts w:hint="eastAsia" w:cs="宋体"/>
          <w:color w:val="auto"/>
          <w:highlight w:val="none"/>
        </w:rPr>
        <w:t>.10.3 场内交通</w:t>
      </w:r>
    </w:p>
    <w:p>
      <w:pPr>
        <w:spacing w:line="288" w:lineRule="auto"/>
        <w:ind w:firstLine="420"/>
        <w:jc w:val="left"/>
        <w:rPr>
          <w:rFonts w:cs="宋体"/>
          <w:color w:val="auto"/>
          <w:highlight w:val="none"/>
          <w:u w:val="single"/>
        </w:rPr>
      </w:pPr>
      <w:r>
        <w:rPr>
          <w:rFonts w:hint="eastAsia" w:cs="宋体"/>
          <w:color w:val="auto"/>
          <w:kern w:val="0"/>
          <w:highlight w:val="none"/>
        </w:rPr>
        <w:t>关于场外交通和场内交通的边界的约定：</w:t>
      </w:r>
      <w:r>
        <w:rPr>
          <w:rFonts w:hint="eastAsia" w:cs="宋体"/>
          <w:color w:val="auto"/>
          <w:kern w:val="0"/>
          <w:highlight w:val="none"/>
          <w:u w:val="single"/>
        </w:rPr>
        <w:t>以施工现场围墙（挡）为界</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关于发包人向承包人免费提供满足工程施工需要的场内道路和交通设施的约定：</w:t>
      </w:r>
      <w:r>
        <w:rPr>
          <w:rFonts w:hint="eastAsia" w:cs="宋体"/>
          <w:color w:val="auto"/>
          <w:highlight w:val="none"/>
          <w:u w:val="single"/>
        </w:rPr>
        <w:t>利用现有的场内道路和交通设施，如需新建，承包人自行建设，并承担费用</w:t>
      </w:r>
      <w:r>
        <w:rPr>
          <w:rFonts w:hint="eastAsia" w:cs="宋体"/>
          <w:color w:val="auto"/>
          <w:highlight w:val="none"/>
        </w:rPr>
        <w:t>。</w:t>
      </w:r>
      <w:bookmarkEnd w:id="579"/>
      <w:bookmarkEnd w:id="580"/>
      <w:bookmarkEnd w:id="581"/>
      <w:bookmarkEnd w:id="582"/>
      <w:bookmarkEnd w:id="583"/>
      <w:bookmarkStart w:id="584" w:name="_Toc318581157"/>
    </w:p>
    <w:p>
      <w:pPr>
        <w:spacing w:line="288" w:lineRule="auto"/>
        <w:ind w:firstLine="420"/>
        <w:jc w:val="left"/>
        <w:rPr>
          <w:rFonts w:cs="宋体"/>
          <w:color w:val="auto"/>
          <w:highlight w:val="none"/>
        </w:rPr>
      </w:pPr>
      <w:r>
        <w:rPr>
          <w:rFonts w:hint="eastAsia" w:cs="宋体"/>
          <w:color w:val="auto"/>
          <w:highlight w:val="none"/>
        </w:rPr>
        <w:t>1.10.4超大件和超重件的运输</w:t>
      </w:r>
    </w:p>
    <w:p>
      <w:pPr>
        <w:spacing w:line="288" w:lineRule="auto"/>
        <w:ind w:firstLine="420"/>
        <w:jc w:val="left"/>
        <w:rPr>
          <w:rFonts w:cs="宋体"/>
          <w:color w:val="auto"/>
          <w:highlight w:val="none"/>
        </w:rPr>
      </w:pPr>
      <w:r>
        <w:rPr>
          <w:rFonts w:hint="eastAsia" w:cs="宋体"/>
          <w:color w:val="auto"/>
          <w:highlight w:val="none"/>
        </w:rPr>
        <w:t>运输超大件或超重件所需的道路和桥梁临时加固改造费用和其他有关费用由</w:t>
      </w:r>
      <w:r>
        <w:rPr>
          <w:rFonts w:hint="eastAsia" w:cs="宋体"/>
          <w:color w:val="auto"/>
          <w:highlight w:val="none"/>
          <w:u w:val="single"/>
        </w:rPr>
        <w:t xml:space="preserve">  承包人   </w:t>
      </w:r>
      <w:r>
        <w:rPr>
          <w:rFonts w:hint="eastAsia" w:cs="宋体"/>
          <w:color w:val="auto"/>
          <w:highlight w:val="none"/>
        </w:rPr>
        <w:t>承担。</w:t>
      </w:r>
    </w:p>
    <w:p>
      <w:pPr>
        <w:spacing w:line="288" w:lineRule="auto"/>
        <w:ind w:firstLine="422"/>
        <w:jc w:val="left"/>
        <w:rPr>
          <w:rFonts w:cs="宋体"/>
          <w:b/>
          <w:color w:val="auto"/>
          <w:highlight w:val="none"/>
        </w:rPr>
      </w:pPr>
      <w:r>
        <w:rPr>
          <w:rFonts w:hint="eastAsia" w:cs="宋体"/>
          <w:b/>
          <w:color w:val="auto"/>
          <w:highlight w:val="none"/>
        </w:rPr>
        <w:t>本工程的超大件：</w:t>
      </w:r>
      <w:r>
        <w:rPr>
          <w:rFonts w:hint="eastAsia" w:cs="宋体"/>
          <w:b/>
          <w:color w:val="auto"/>
          <w:highlight w:val="none"/>
          <w:u w:val="single"/>
        </w:rPr>
        <w:t>/</w:t>
      </w:r>
      <w:r>
        <w:rPr>
          <w:rFonts w:hint="eastAsia" w:cs="宋体"/>
          <w:b/>
          <w:color w:val="auto"/>
          <w:highlight w:val="none"/>
        </w:rPr>
        <w:t>。</w:t>
      </w:r>
    </w:p>
    <w:p>
      <w:pPr>
        <w:spacing w:line="288" w:lineRule="auto"/>
        <w:ind w:firstLine="422"/>
        <w:jc w:val="left"/>
        <w:rPr>
          <w:rFonts w:cs="宋体"/>
          <w:color w:val="auto"/>
          <w:highlight w:val="none"/>
        </w:rPr>
      </w:pPr>
      <w:r>
        <w:rPr>
          <w:rFonts w:hint="eastAsia" w:cs="宋体"/>
          <w:b/>
          <w:color w:val="auto"/>
          <w:highlight w:val="none"/>
        </w:rPr>
        <w:t>本工程的超重件：</w:t>
      </w:r>
      <w:r>
        <w:rPr>
          <w:rFonts w:hint="eastAsia" w:cs="宋体"/>
          <w:b/>
          <w:color w:val="auto"/>
          <w:highlight w:val="none"/>
          <w:u w:val="single"/>
        </w:rPr>
        <w:t>/</w:t>
      </w:r>
      <w:r>
        <w:rPr>
          <w:rFonts w:hint="eastAsia" w:cs="宋体"/>
          <w:color w:val="auto"/>
          <w:highlight w:val="none"/>
        </w:rPr>
        <w:t>。</w:t>
      </w:r>
    </w:p>
    <w:bookmarkEnd w:id="584"/>
    <w:p>
      <w:pPr>
        <w:spacing w:after="120" w:line="288" w:lineRule="auto"/>
        <w:ind w:firstLine="420"/>
        <w:rPr>
          <w:rFonts w:cs="宋体"/>
          <w:color w:val="auto"/>
          <w:highlight w:val="none"/>
        </w:rPr>
      </w:pPr>
      <w:r>
        <w:rPr>
          <w:rFonts w:hint="eastAsia" w:cs="宋体"/>
          <w:color w:val="auto"/>
          <w:highlight w:val="none"/>
        </w:rPr>
        <w:t>1.11 知识产权</w:t>
      </w:r>
    </w:p>
    <w:p>
      <w:pPr>
        <w:spacing w:line="288" w:lineRule="auto"/>
        <w:ind w:firstLine="420"/>
        <w:rPr>
          <w:rFonts w:cs="宋体"/>
          <w:color w:val="auto"/>
          <w:highlight w:val="none"/>
          <w:u w:val="single"/>
        </w:rPr>
      </w:pPr>
      <w:r>
        <w:rPr>
          <w:rFonts w:hint="eastAsia" w:cs="宋体"/>
          <w:color w:val="auto"/>
          <w:highlight w:val="none"/>
        </w:rPr>
        <w:t>1.11.1关于发包人提供给承包人的图纸、发包人为实施工程自行编制或委托编制的技术规范以及反映发包人关于合同要求或其他类似性质的文件的著作权的归属：</w:t>
      </w:r>
      <w:r>
        <w:rPr>
          <w:rFonts w:hint="eastAsia" w:cs="宋体"/>
          <w:color w:val="auto"/>
          <w:highlight w:val="none"/>
          <w:u w:val="single"/>
        </w:rPr>
        <w:t>按通用条款执行</w:t>
      </w:r>
      <w:r>
        <w:rPr>
          <w:rFonts w:hint="eastAsia" w:cs="宋体"/>
          <w:color w:val="auto"/>
          <w:highlight w:val="none"/>
        </w:rPr>
        <w:t xml:space="preserve"> 。</w:t>
      </w:r>
    </w:p>
    <w:p>
      <w:pPr>
        <w:spacing w:line="288" w:lineRule="auto"/>
        <w:ind w:firstLine="420"/>
        <w:rPr>
          <w:rFonts w:cs="宋体"/>
          <w:color w:val="auto"/>
          <w:highlight w:val="none"/>
          <w:u w:val="single"/>
        </w:rPr>
      </w:pPr>
      <w:r>
        <w:rPr>
          <w:rFonts w:hint="eastAsia" w:cs="宋体"/>
          <w:color w:val="auto"/>
          <w:highlight w:val="none"/>
        </w:rPr>
        <w:t>关于发包人提供的上述文件的使用限制的要求：</w:t>
      </w:r>
      <w:r>
        <w:rPr>
          <w:rFonts w:hint="eastAsia" w:cs="宋体"/>
          <w:color w:val="auto"/>
          <w:highlight w:val="none"/>
          <w:u w:val="single"/>
        </w:rPr>
        <w:t>按通用条款执行</w:t>
      </w:r>
      <w:r>
        <w:rPr>
          <w:rFonts w:hint="eastAsia" w:cs="宋体"/>
          <w:color w:val="auto"/>
          <w:highlight w:val="none"/>
        </w:rPr>
        <w:t xml:space="preserve">。 </w:t>
      </w:r>
    </w:p>
    <w:p>
      <w:pPr>
        <w:spacing w:line="288" w:lineRule="auto"/>
        <w:ind w:firstLine="420"/>
        <w:rPr>
          <w:rFonts w:cs="宋体"/>
          <w:color w:val="auto"/>
          <w:highlight w:val="none"/>
          <w:u w:val="single"/>
        </w:rPr>
      </w:pPr>
      <w:r>
        <w:rPr>
          <w:rFonts w:hint="eastAsia" w:cs="宋体"/>
          <w:color w:val="auto"/>
          <w:highlight w:val="none"/>
        </w:rPr>
        <w:t>1.11.2 关于承包人为实施工程所编制文件的著作权的归属：</w:t>
      </w:r>
      <w:r>
        <w:rPr>
          <w:rFonts w:hint="eastAsia" w:cs="宋体"/>
          <w:color w:val="auto"/>
          <w:highlight w:val="none"/>
          <w:u w:val="single"/>
        </w:rPr>
        <w:t xml:space="preserve"> 按通用条款执行 </w:t>
      </w:r>
      <w:r>
        <w:rPr>
          <w:rFonts w:hint="eastAsia" w:cs="宋体"/>
          <w:color w:val="auto"/>
          <w:highlight w:val="none"/>
        </w:rPr>
        <w:t>。</w:t>
      </w:r>
    </w:p>
    <w:p>
      <w:pPr>
        <w:spacing w:line="288" w:lineRule="auto"/>
        <w:ind w:firstLine="420"/>
        <w:rPr>
          <w:rFonts w:cs="宋体"/>
          <w:color w:val="auto"/>
          <w:highlight w:val="none"/>
          <w:u w:val="single"/>
        </w:rPr>
      </w:pPr>
      <w:r>
        <w:rPr>
          <w:rFonts w:hint="eastAsia" w:cs="宋体"/>
          <w:color w:val="auto"/>
          <w:highlight w:val="none"/>
        </w:rPr>
        <w:t>关于承包人提供的上述文件的使用限制的要求：</w:t>
      </w:r>
      <w:r>
        <w:rPr>
          <w:rFonts w:hint="eastAsia" w:cs="宋体"/>
          <w:color w:val="auto"/>
          <w:highlight w:val="none"/>
          <w:u w:val="single"/>
        </w:rPr>
        <w:t>按通用条款执行</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1.11.4 承包人在施工过程中所采用的专利、专有技术、技术秘密的使用费的承担方式：</w:t>
      </w:r>
      <w:r>
        <w:rPr>
          <w:rFonts w:hint="eastAsia" w:cs="宋体"/>
          <w:b/>
          <w:color w:val="auto"/>
          <w:highlight w:val="none"/>
          <w:u w:val="single"/>
        </w:rPr>
        <w:t xml:space="preserve">（除发包人指明外）承包人在施工过程中所采用的专利、专有技术、技术秘密的使用费包含在合同价款内   </w:t>
      </w:r>
      <w:r>
        <w:rPr>
          <w:rFonts w:hint="eastAsia" w:cs="宋体"/>
          <w:b/>
          <w:color w:val="auto"/>
          <w:highlight w:val="none"/>
        </w:rPr>
        <w:t>。</w:t>
      </w:r>
    </w:p>
    <w:p>
      <w:pPr>
        <w:spacing w:after="120" w:line="288" w:lineRule="auto"/>
        <w:ind w:firstLine="420"/>
        <w:rPr>
          <w:rFonts w:cs="宋体"/>
          <w:color w:val="auto"/>
          <w:highlight w:val="none"/>
        </w:rPr>
      </w:pPr>
      <w:r>
        <w:rPr>
          <w:rFonts w:hint="eastAsia" w:cs="宋体"/>
          <w:color w:val="auto"/>
          <w:highlight w:val="none"/>
        </w:rPr>
        <w:t>1.13工程量清单错误的修正</w:t>
      </w:r>
    </w:p>
    <w:p>
      <w:pPr>
        <w:spacing w:line="288" w:lineRule="auto"/>
        <w:ind w:firstLine="420"/>
        <w:rPr>
          <w:rFonts w:cs="宋体"/>
          <w:color w:val="auto"/>
          <w:kern w:val="0"/>
          <w:highlight w:val="none"/>
        </w:rPr>
      </w:pPr>
      <w:r>
        <w:rPr>
          <w:rFonts w:hint="eastAsia" w:cs="宋体"/>
          <w:color w:val="auto"/>
          <w:highlight w:val="none"/>
        </w:rPr>
        <w:t>出现工程量清单错误时，是否调整合同价格：</w:t>
      </w:r>
      <w:r>
        <w:rPr>
          <w:rFonts w:hint="eastAsia" w:cs="宋体"/>
          <w:b/>
          <w:color w:val="auto"/>
          <w:highlight w:val="none"/>
          <w:u w:val="single"/>
        </w:rPr>
        <w:t xml:space="preserve">   是         </w:t>
      </w:r>
      <w:r>
        <w:rPr>
          <w:rFonts w:hint="eastAsia" w:cs="宋体"/>
          <w:b/>
          <w:color w:val="auto"/>
          <w:highlight w:val="none"/>
        </w:rPr>
        <w:t>；</w:t>
      </w:r>
    </w:p>
    <w:p>
      <w:pPr>
        <w:spacing w:line="288" w:lineRule="auto"/>
        <w:ind w:left="447" w:leftChars="213" w:firstLine="105" w:firstLineChars="50"/>
        <w:rPr>
          <w:rFonts w:cs="宋体"/>
          <w:b/>
          <w:color w:val="auto"/>
          <w:highlight w:val="none"/>
        </w:rPr>
      </w:pPr>
      <w:r>
        <w:rPr>
          <w:rFonts w:hint="eastAsia" w:cs="宋体"/>
          <w:color w:val="auto"/>
          <w:highlight w:val="none"/>
        </w:rPr>
        <w:t>允许调整合同价格的工程量偏差范围：</w:t>
      </w:r>
      <w:r>
        <w:rPr>
          <w:rFonts w:hint="eastAsia" w:cs="宋体"/>
          <w:color w:val="auto"/>
          <w:highlight w:val="none"/>
          <w:u w:val="single"/>
        </w:rPr>
        <w:t xml:space="preserve"> 按10.4条执行</w:t>
      </w:r>
      <w:r>
        <w:rPr>
          <w:rFonts w:hint="eastAsia" w:cs="宋体"/>
          <w:color w:val="auto"/>
          <w:highlight w:val="none"/>
        </w:rPr>
        <w:t>；</w:t>
      </w:r>
      <w:bookmarkStart w:id="585" w:name="_Toc351203634"/>
    </w:p>
    <w:p>
      <w:pPr>
        <w:spacing w:line="288" w:lineRule="auto"/>
        <w:ind w:left="447" w:leftChars="213" w:firstLine="105" w:firstLineChars="50"/>
        <w:rPr>
          <w:rFonts w:cs="宋体"/>
          <w:b/>
          <w:color w:val="auto"/>
          <w:highlight w:val="none"/>
        </w:rPr>
      </w:pPr>
      <w:r>
        <w:rPr>
          <w:rFonts w:hint="eastAsia" w:cs="宋体"/>
          <w:b/>
          <w:bCs/>
          <w:color w:val="auto"/>
          <w:highlight w:val="none"/>
        </w:rPr>
        <w:t>调整合同价格的</w:t>
      </w:r>
      <w:r>
        <w:rPr>
          <w:rFonts w:hint="eastAsia" w:cs="宋体"/>
          <w:b/>
          <w:bCs/>
          <w:color w:val="auto"/>
          <w:kern w:val="0"/>
          <w:highlight w:val="none"/>
        </w:rPr>
        <w:t>修正时间：</w:t>
      </w:r>
      <w:r>
        <w:rPr>
          <w:rFonts w:hint="eastAsia" w:cs="宋体"/>
          <w:color w:val="auto"/>
          <w:highlight w:val="none"/>
          <w:u w:val="single"/>
        </w:rPr>
        <w:t>发生时双方协商确定</w:t>
      </w:r>
      <w:r>
        <w:rPr>
          <w:rFonts w:hint="eastAsia" w:cs="宋体"/>
          <w:bCs/>
          <w:color w:val="auto"/>
          <w:highlight w:val="none"/>
        </w:rPr>
        <w:t xml:space="preserve">。 </w:t>
      </w:r>
    </w:p>
    <w:p>
      <w:pPr>
        <w:spacing w:line="288" w:lineRule="auto"/>
        <w:ind w:left="447" w:leftChars="213" w:firstLine="105" w:firstLineChars="50"/>
        <w:rPr>
          <w:rFonts w:cs="宋体"/>
          <w:b/>
          <w:color w:val="auto"/>
          <w:highlight w:val="none"/>
        </w:rPr>
      </w:pPr>
      <w:r>
        <w:rPr>
          <w:rFonts w:hint="eastAsia" w:cs="宋体"/>
          <w:bCs/>
          <w:color w:val="auto"/>
          <w:highlight w:val="none"/>
        </w:rPr>
        <w:t>2</w:t>
      </w:r>
      <w:bookmarkStart w:id="586" w:name="_Toc297120457"/>
      <w:bookmarkStart w:id="587" w:name="_Toc297048343"/>
      <w:bookmarkStart w:id="588" w:name="_Toc292559867"/>
      <w:bookmarkStart w:id="589" w:name="_Toc296891197"/>
      <w:bookmarkStart w:id="590" w:name="_Toc296503157"/>
      <w:bookmarkStart w:id="591" w:name="_Toc292559362"/>
      <w:bookmarkStart w:id="592" w:name="_Toc296346658"/>
      <w:bookmarkStart w:id="593" w:name="_Toc296347156"/>
      <w:bookmarkStart w:id="594" w:name="_Toc296944496"/>
      <w:bookmarkStart w:id="595" w:name="_Toc296890985"/>
      <w:r>
        <w:rPr>
          <w:rFonts w:hint="eastAsia" w:cs="宋体"/>
          <w:bCs/>
          <w:color w:val="auto"/>
          <w:highlight w:val="none"/>
        </w:rPr>
        <w:t>. 发包人</w:t>
      </w:r>
      <w:bookmarkEnd w:id="585"/>
    </w:p>
    <w:bookmarkEnd w:id="586"/>
    <w:bookmarkEnd w:id="587"/>
    <w:bookmarkEnd w:id="588"/>
    <w:bookmarkEnd w:id="589"/>
    <w:bookmarkEnd w:id="590"/>
    <w:bookmarkEnd w:id="591"/>
    <w:bookmarkEnd w:id="592"/>
    <w:bookmarkEnd w:id="593"/>
    <w:bookmarkEnd w:id="594"/>
    <w:bookmarkEnd w:id="595"/>
    <w:p>
      <w:pPr>
        <w:spacing w:line="288" w:lineRule="auto"/>
        <w:ind w:left="149" w:leftChars="71" w:firstLine="310" w:firstLineChars="147"/>
        <w:rPr>
          <w:rFonts w:cs="宋体"/>
          <w:b/>
          <w:color w:val="auto"/>
          <w:highlight w:val="none"/>
        </w:rPr>
      </w:pPr>
      <w:r>
        <w:rPr>
          <w:rFonts w:hint="eastAsia" w:cs="宋体"/>
          <w:b/>
          <w:color w:val="auto"/>
          <w:highlight w:val="none"/>
        </w:rPr>
        <w:t>发包人应根据工程所需配备发包人代表，同时配备1-2名相关人员到岗履职。</w:t>
      </w:r>
    </w:p>
    <w:p>
      <w:pPr>
        <w:spacing w:after="120" w:line="288" w:lineRule="auto"/>
        <w:ind w:firstLine="420"/>
        <w:rPr>
          <w:rFonts w:cs="宋体"/>
          <w:color w:val="auto"/>
          <w:highlight w:val="none"/>
        </w:rPr>
      </w:pPr>
      <w:r>
        <w:rPr>
          <w:rFonts w:hint="eastAsia" w:cs="宋体"/>
          <w:color w:val="auto"/>
          <w:highlight w:val="none"/>
        </w:rPr>
        <w:t>2.2 发包人代表</w:t>
      </w:r>
    </w:p>
    <w:p>
      <w:pPr>
        <w:spacing w:line="288" w:lineRule="auto"/>
        <w:ind w:firstLine="420"/>
        <w:rPr>
          <w:rFonts w:cs="宋体"/>
          <w:color w:val="auto"/>
          <w:highlight w:val="none"/>
        </w:rPr>
      </w:pPr>
      <w:r>
        <w:rPr>
          <w:rFonts w:hint="eastAsia" w:cs="宋体"/>
          <w:color w:val="auto"/>
          <w:highlight w:val="none"/>
        </w:rPr>
        <w:t>发包人代表：</w:t>
      </w:r>
    </w:p>
    <w:p>
      <w:pPr>
        <w:spacing w:line="288" w:lineRule="auto"/>
        <w:ind w:firstLine="420"/>
        <w:rPr>
          <w:rFonts w:cs="宋体"/>
          <w:color w:val="auto"/>
          <w:highlight w:val="none"/>
        </w:rPr>
      </w:pPr>
      <w:r>
        <w:rPr>
          <w:rFonts w:hint="eastAsia" w:cs="宋体"/>
          <w:color w:val="auto"/>
          <w:highlight w:val="none"/>
        </w:rPr>
        <w:t>姓    名：</w:t>
      </w:r>
      <w:r>
        <w:rPr>
          <w:rFonts w:hint="eastAsia" w:cs="宋体"/>
          <w:color w:val="auto"/>
          <w:highlight w:val="none"/>
          <w:u w:val="single"/>
        </w:rPr>
        <w:t>      </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身份证号：</w:t>
      </w:r>
      <w:r>
        <w:rPr>
          <w:rFonts w:hint="eastAsia" w:cs="宋体"/>
          <w:color w:val="auto"/>
          <w:highlight w:val="none"/>
          <w:u w:val="single"/>
        </w:rPr>
        <w:t>       </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职    务：</w:t>
      </w:r>
      <w:r>
        <w:rPr>
          <w:rFonts w:hint="eastAsia" w:cs="宋体"/>
          <w:color w:val="auto"/>
          <w:highlight w:val="none"/>
          <w:u w:val="single"/>
        </w:rPr>
        <w:t>     </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联系电话：</w:t>
      </w:r>
      <w:r>
        <w:rPr>
          <w:rFonts w:hint="eastAsia" w:cs="宋体"/>
          <w:color w:val="auto"/>
          <w:highlight w:val="none"/>
          <w:u w:val="single"/>
        </w:rPr>
        <w:t>      </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电子信箱：</w:t>
      </w:r>
      <w:r>
        <w:rPr>
          <w:rFonts w:hint="eastAsia" w:cs="宋体"/>
          <w:color w:val="auto"/>
          <w:highlight w:val="none"/>
          <w:u w:val="single"/>
        </w:rPr>
        <w:t>     </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通信地址：</w:t>
      </w:r>
      <w:r>
        <w:rPr>
          <w:rFonts w:hint="eastAsia" w:cs="宋体"/>
          <w:color w:val="auto"/>
          <w:highlight w:val="none"/>
          <w:u w:val="single"/>
        </w:rPr>
        <w:t>    </w:t>
      </w:r>
      <w:r>
        <w:rPr>
          <w:rFonts w:hint="eastAsia" w:cs="宋体"/>
          <w:color w:val="auto"/>
          <w:highlight w:val="none"/>
        </w:rPr>
        <w:t>。</w:t>
      </w:r>
    </w:p>
    <w:p>
      <w:pPr>
        <w:spacing w:line="288" w:lineRule="auto"/>
        <w:ind w:firstLine="420"/>
        <w:rPr>
          <w:rFonts w:cs="宋体"/>
          <w:color w:val="auto"/>
          <w:highlight w:val="none"/>
          <w:u w:val="single"/>
        </w:rPr>
      </w:pPr>
      <w:r>
        <w:rPr>
          <w:rFonts w:hint="eastAsia" w:cs="宋体"/>
          <w:color w:val="auto"/>
          <w:highlight w:val="none"/>
        </w:rPr>
        <w:t>发包人对发包人代表的授权范围如下：</w:t>
      </w:r>
      <w:r>
        <w:rPr>
          <w:rFonts w:hint="eastAsia" w:cs="宋体"/>
          <w:color w:val="auto"/>
          <w:highlight w:val="none"/>
          <w:u w:val="single"/>
        </w:rPr>
        <w:t>对质量、成本、安全、进度进行全面管理，涉及合同价格变更、安全事故、质量事故等重大事项的处理须经发包人领导班子签字同意</w:t>
      </w:r>
      <w:r>
        <w:rPr>
          <w:rFonts w:hint="eastAsia" w:cs="宋体"/>
          <w:color w:val="auto"/>
          <w:highlight w:val="none"/>
        </w:rPr>
        <w:t>。</w:t>
      </w:r>
    </w:p>
    <w:p>
      <w:pPr>
        <w:spacing w:after="120" w:line="288" w:lineRule="auto"/>
        <w:ind w:firstLine="420"/>
        <w:rPr>
          <w:rFonts w:cs="宋体"/>
          <w:color w:val="auto"/>
          <w:highlight w:val="none"/>
        </w:rPr>
      </w:pPr>
      <w:r>
        <w:rPr>
          <w:rFonts w:hint="eastAsia" w:cs="宋体"/>
          <w:color w:val="auto"/>
          <w:highlight w:val="none"/>
        </w:rPr>
        <w:t>2.4 施工现场、施工条件和基础资料的提供</w:t>
      </w:r>
    </w:p>
    <w:p>
      <w:pPr>
        <w:spacing w:line="288" w:lineRule="auto"/>
        <w:ind w:firstLine="420"/>
        <w:rPr>
          <w:rFonts w:cs="宋体"/>
          <w:color w:val="auto"/>
          <w:highlight w:val="none"/>
        </w:rPr>
      </w:pPr>
      <w:r>
        <w:rPr>
          <w:rFonts w:hint="eastAsia" w:cs="宋体"/>
          <w:color w:val="auto"/>
          <w:highlight w:val="none"/>
        </w:rPr>
        <w:t>2.4.1 提供施工现场</w:t>
      </w:r>
    </w:p>
    <w:p>
      <w:pPr>
        <w:spacing w:line="288" w:lineRule="auto"/>
        <w:ind w:firstLine="420"/>
        <w:jc w:val="left"/>
        <w:rPr>
          <w:rFonts w:cs="宋体"/>
          <w:color w:val="auto"/>
          <w:highlight w:val="none"/>
        </w:rPr>
      </w:pPr>
      <w:r>
        <w:rPr>
          <w:rFonts w:hint="eastAsia" w:cs="宋体"/>
          <w:color w:val="auto"/>
          <w:highlight w:val="none"/>
        </w:rPr>
        <w:t>关于发包人移交施工现场的期限要求：</w:t>
      </w:r>
      <w:r>
        <w:rPr>
          <w:rFonts w:hint="eastAsia" w:cs="宋体"/>
          <w:color w:val="auto"/>
          <w:highlight w:val="none"/>
          <w:u w:val="single"/>
        </w:rPr>
        <w:t>按通用条款执行</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2.4.2 提供施工条件</w:t>
      </w:r>
    </w:p>
    <w:p>
      <w:pPr>
        <w:widowControl/>
        <w:adjustRightInd w:val="0"/>
        <w:snapToGrid w:val="0"/>
        <w:spacing w:line="288" w:lineRule="auto"/>
        <w:ind w:firstLine="422"/>
        <w:rPr>
          <w:rFonts w:cs="宋体"/>
          <w:b/>
          <w:color w:val="auto"/>
          <w:highlight w:val="none"/>
        </w:rPr>
      </w:pPr>
      <w:r>
        <w:rPr>
          <w:rFonts w:hint="eastAsia" w:cs="宋体"/>
          <w:b/>
          <w:color w:val="auto"/>
          <w:highlight w:val="none"/>
        </w:rPr>
        <w:t>（1）</w:t>
      </w:r>
      <w:r>
        <w:rPr>
          <w:rFonts w:hint="eastAsia" w:cs="宋体"/>
          <w:b/>
          <w:color w:val="auto"/>
          <w:highlight w:val="none"/>
          <w:u w:val="single"/>
        </w:rPr>
        <w:t>除选用通用合同条款第2.4.2条规定外，开工前七天，由发包人协助承包人办理好施工所需证件、批件；开工前七天，完成水准点与坐标点双方在施工现场的校验；开工前七天，完成图纸会审和设计交底</w:t>
      </w:r>
      <w:r>
        <w:rPr>
          <w:rFonts w:hint="eastAsia" w:cs="宋体"/>
          <w:b/>
          <w:color w:val="auto"/>
          <w:highlight w:val="none"/>
        </w:rPr>
        <w:t>。</w:t>
      </w:r>
    </w:p>
    <w:p>
      <w:pPr>
        <w:widowControl/>
        <w:adjustRightInd w:val="0"/>
        <w:snapToGrid w:val="0"/>
        <w:spacing w:line="288" w:lineRule="auto"/>
        <w:ind w:firstLine="422"/>
        <w:rPr>
          <w:rFonts w:cs="宋体"/>
          <w:b/>
          <w:color w:val="auto"/>
          <w:highlight w:val="none"/>
          <w:u w:val="single"/>
        </w:rPr>
      </w:pPr>
      <w:r>
        <w:rPr>
          <w:rFonts w:hint="eastAsia" w:cs="宋体"/>
          <w:b/>
          <w:color w:val="auto"/>
          <w:highlight w:val="none"/>
          <w:u w:val="single"/>
        </w:rPr>
        <w:t>（2）施工所需的水、电、电讯线路接至施工场地的时间、地点和供应要求：</w:t>
      </w:r>
    </w:p>
    <w:p>
      <w:pPr>
        <w:widowControl/>
        <w:adjustRightInd w:val="0"/>
        <w:snapToGrid w:val="0"/>
        <w:spacing w:line="288" w:lineRule="auto"/>
        <w:ind w:firstLine="422"/>
        <w:rPr>
          <w:rFonts w:cs="宋体"/>
          <w:b/>
          <w:color w:val="auto"/>
          <w:highlight w:val="none"/>
          <w:u w:val="single"/>
        </w:rPr>
      </w:pPr>
      <w:r>
        <w:rPr>
          <w:rFonts w:hint="eastAsia" w:cs="宋体"/>
          <w:b/>
          <w:color w:val="auto"/>
          <w:highlight w:val="none"/>
          <w:u w:val="single"/>
        </w:rPr>
        <w:t>①所需正常施工的电源、水源已由发包方在开工前安装至施工现场内</w:t>
      </w:r>
    </w:p>
    <w:p>
      <w:pPr>
        <w:widowControl/>
        <w:adjustRightInd w:val="0"/>
        <w:snapToGrid w:val="0"/>
        <w:spacing w:line="288" w:lineRule="auto"/>
        <w:ind w:firstLine="422"/>
        <w:rPr>
          <w:rFonts w:cs="宋体"/>
          <w:b/>
          <w:color w:val="auto"/>
          <w:highlight w:val="none"/>
          <w:u w:val="single"/>
        </w:rPr>
      </w:pPr>
      <w:r>
        <w:rPr>
          <w:rFonts w:hint="eastAsia" w:cs="宋体"/>
          <w:b/>
          <w:color w:val="auto"/>
          <w:highlight w:val="none"/>
          <w:u w:val="single"/>
        </w:rPr>
        <w:t xml:space="preserve">②施工用电：施工场内临时低压接电及线缆铺设费用要求承包人自理并包括在投标总价内。 </w:t>
      </w:r>
    </w:p>
    <w:p>
      <w:pPr>
        <w:widowControl/>
        <w:adjustRightInd w:val="0"/>
        <w:snapToGrid w:val="0"/>
        <w:spacing w:line="288" w:lineRule="auto"/>
        <w:ind w:firstLine="422"/>
        <w:rPr>
          <w:rFonts w:cs="宋体"/>
          <w:b/>
          <w:color w:val="auto"/>
          <w:highlight w:val="none"/>
          <w:u w:val="single"/>
        </w:rPr>
      </w:pPr>
      <w:r>
        <w:rPr>
          <w:rFonts w:hint="eastAsia" w:cs="宋体"/>
          <w:b/>
          <w:color w:val="auto"/>
          <w:highlight w:val="none"/>
          <w:u w:val="single"/>
        </w:rPr>
        <w:t>③施工用水：施工场内临时用水接水管铺设费用由承包人自理并包括在投标总价内。</w:t>
      </w:r>
    </w:p>
    <w:p>
      <w:pPr>
        <w:widowControl/>
        <w:adjustRightInd w:val="0"/>
        <w:snapToGrid w:val="0"/>
        <w:spacing w:line="288" w:lineRule="auto"/>
        <w:ind w:firstLine="422"/>
        <w:rPr>
          <w:rFonts w:cs="宋体"/>
          <w:b/>
          <w:color w:val="auto"/>
          <w:highlight w:val="none"/>
          <w:u w:val="single"/>
        </w:rPr>
      </w:pPr>
      <w:r>
        <w:rPr>
          <w:rFonts w:hint="eastAsia" w:cs="宋体"/>
          <w:b/>
          <w:color w:val="auto"/>
          <w:highlight w:val="none"/>
          <w:u w:val="single"/>
        </w:rPr>
        <w:t>④施工用水、用电费用由承包人承担，装表计量，发包方负责协调，直接将所产生费用由承包人向相关单位支付。</w:t>
      </w:r>
    </w:p>
    <w:p>
      <w:pPr>
        <w:widowControl/>
        <w:adjustRightInd w:val="0"/>
        <w:snapToGrid w:val="0"/>
        <w:spacing w:line="288" w:lineRule="auto"/>
        <w:ind w:firstLine="422"/>
        <w:rPr>
          <w:rFonts w:cs="宋体"/>
          <w:b/>
          <w:color w:val="auto"/>
          <w:highlight w:val="none"/>
          <w:u w:val="single"/>
        </w:rPr>
      </w:pPr>
      <w:r>
        <w:rPr>
          <w:rFonts w:hint="eastAsia" w:cs="宋体"/>
          <w:b/>
          <w:color w:val="auto"/>
          <w:highlight w:val="none"/>
          <w:u w:val="single"/>
        </w:rPr>
        <w:t>⑤用电与用水高峰期时供应不足由承包人自行设法解决，费用由承包人综合考虑在报价中，发包人不另支付相关费用。</w:t>
      </w:r>
    </w:p>
    <w:p>
      <w:pPr>
        <w:widowControl/>
        <w:adjustRightInd w:val="0"/>
        <w:snapToGrid w:val="0"/>
        <w:spacing w:line="288" w:lineRule="auto"/>
        <w:ind w:firstLine="422"/>
        <w:rPr>
          <w:rFonts w:cs="宋体"/>
          <w:b/>
          <w:color w:val="auto"/>
          <w:highlight w:val="none"/>
          <w:u w:val="single"/>
        </w:rPr>
      </w:pPr>
      <w:r>
        <w:rPr>
          <w:rFonts w:hint="eastAsia" w:cs="宋体"/>
          <w:b/>
          <w:color w:val="auto"/>
          <w:highlight w:val="none"/>
          <w:u w:val="single"/>
        </w:rPr>
        <w:t>（3）协调处理施工场地周围地下管线和邻近建筑物、构筑物（含文物保护建筑）、古树名木的保护工作：发包人在招标前提供已知原有地下管线资料，承包人在施工前对地下管线提出保护方案，发包人等有关部门及时审核后，费用由承包人承担；发包人未提供且招标文件未明确需承包人承担的保护工作，承包人需向发包人及时报告施工现场内须保护的新发现的地下管线、邻近建筑物、构筑物（含文物保护建筑）、古树名木。未知地下管线由承包人负责开挖样洞并及时报告工程监理单位及发包人，承包人提出保护方案，发包人等有关部门及时审核后，费用由发包人承担；邻近建筑物、构筑物（含文物保护建筑）、古树名木，承包人严格按照施工图及相关规范规定施工后还须另行保护措施的，由承包人提出保护方案，发包人等有关部门及时审核后，费用协商解决。因承包人施工不当造成的损失，其费用由承包人承担。</w:t>
      </w:r>
    </w:p>
    <w:p>
      <w:pPr>
        <w:autoSpaceDE w:val="0"/>
        <w:autoSpaceDN w:val="0"/>
        <w:adjustRightInd w:val="0"/>
        <w:spacing w:line="288" w:lineRule="auto"/>
        <w:ind w:firstLine="422"/>
        <w:jc w:val="left"/>
        <w:rPr>
          <w:rFonts w:cs="宋体"/>
          <w:b/>
          <w:color w:val="auto"/>
          <w:kern w:val="0"/>
          <w:highlight w:val="none"/>
        </w:rPr>
      </w:pPr>
    </w:p>
    <w:p>
      <w:pPr>
        <w:spacing w:after="120" w:line="288" w:lineRule="auto"/>
        <w:ind w:firstLine="420"/>
        <w:rPr>
          <w:rFonts w:cs="宋体"/>
          <w:color w:val="auto"/>
          <w:highlight w:val="none"/>
        </w:rPr>
      </w:pPr>
      <w:r>
        <w:rPr>
          <w:rFonts w:hint="eastAsia" w:cs="宋体"/>
          <w:color w:val="auto"/>
          <w:highlight w:val="none"/>
        </w:rPr>
        <w:t>2.5 资金来源证明及支付担保</w:t>
      </w:r>
    </w:p>
    <w:p>
      <w:pPr>
        <w:spacing w:line="288" w:lineRule="auto"/>
        <w:ind w:firstLine="420"/>
        <w:rPr>
          <w:rFonts w:cs="宋体"/>
          <w:color w:val="auto"/>
          <w:highlight w:val="none"/>
        </w:rPr>
      </w:pPr>
      <w:r>
        <w:rPr>
          <w:rFonts w:hint="eastAsia" w:cs="宋体"/>
          <w:color w:val="auto"/>
          <w:highlight w:val="none"/>
        </w:rPr>
        <w:t>发包人提供资金来源证明的期限要求：</w:t>
      </w:r>
      <w:r>
        <w:rPr>
          <w:rFonts w:hint="eastAsia" w:cs="宋体"/>
          <w:color w:val="auto"/>
          <w:highlight w:val="none"/>
          <w:u w:val="single"/>
        </w:rPr>
        <w:t>招标核准登记时已提供</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发包人是否提供支付担保：</w:t>
      </w:r>
      <w:r>
        <w:rPr>
          <w:rFonts w:hint="eastAsia" w:cs="宋体"/>
          <w:color w:val="auto"/>
          <w:highlight w:val="none"/>
          <w:u w:val="single"/>
        </w:rPr>
        <w:t xml:space="preserve">否                     </w:t>
      </w:r>
      <w:r>
        <w:rPr>
          <w:rFonts w:hint="eastAsia" w:cs="宋体"/>
          <w:color w:val="auto"/>
          <w:highlight w:val="none"/>
        </w:rPr>
        <w:t>。</w:t>
      </w:r>
    </w:p>
    <w:p>
      <w:pPr>
        <w:spacing w:line="288" w:lineRule="auto"/>
        <w:ind w:firstLine="420"/>
        <w:rPr>
          <w:rFonts w:cs="宋体"/>
          <w:color w:val="auto"/>
          <w:highlight w:val="none"/>
          <w:u w:val="single"/>
        </w:rPr>
      </w:pPr>
      <w:r>
        <w:rPr>
          <w:rFonts w:hint="eastAsia" w:cs="宋体"/>
          <w:color w:val="auto"/>
          <w:highlight w:val="none"/>
        </w:rPr>
        <w:t>发包人提供支付担保的形式：</w:t>
      </w:r>
      <w:r>
        <w:rPr>
          <w:rFonts w:hint="eastAsia" w:cs="宋体"/>
          <w:color w:val="auto"/>
          <w:highlight w:val="none"/>
          <w:u w:val="single"/>
        </w:rPr>
        <w:t>        /           </w:t>
      </w:r>
      <w:r>
        <w:rPr>
          <w:rFonts w:hint="eastAsia" w:cs="宋体"/>
          <w:color w:val="auto"/>
          <w:highlight w:val="none"/>
        </w:rPr>
        <w:t>。</w:t>
      </w:r>
    </w:p>
    <w:p>
      <w:pPr>
        <w:keepNext/>
        <w:keepLines/>
        <w:spacing w:before="120" w:after="120" w:line="288" w:lineRule="auto"/>
        <w:ind w:firstLine="411" w:firstLineChars="196"/>
        <w:outlineLvl w:val="3"/>
        <w:rPr>
          <w:rFonts w:cs="宋体"/>
          <w:bCs/>
          <w:color w:val="auto"/>
          <w:highlight w:val="none"/>
        </w:rPr>
      </w:pPr>
      <w:bookmarkStart w:id="596" w:name="_Toc351203635"/>
      <w:r>
        <w:rPr>
          <w:rFonts w:hint="eastAsia" w:cs="宋体"/>
          <w:bCs/>
          <w:color w:val="auto"/>
          <w:highlight w:val="none"/>
        </w:rPr>
        <w:t>3</w:t>
      </w:r>
      <w:bookmarkStart w:id="597" w:name="_Toc297048344"/>
      <w:bookmarkStart w:id="598" w:name="_Toc296944497"/>
      <w:bookmarkStart w:id="599" w:name="_Toc296503158"/>
      <w:bookmarkStart w:id="600" w:name="_Toc296890986"/>
      <w:bookmarkStart w:id="601" w:name="_Toc292559363"/>
      <w:bookmarkStart w:id="602" w:name="_Toc296347157"/>
      <w:bookmarkStart w:id="603" w:name="_Toc296346659"/>
      <w:bookmarkStart w:id="604" w:name="_Toc292559868"/>
      <w:bookmarkStart w:id="605" w:name="_Toc297120458"/>
      <w:bookmarkStart w:id="606" w:name="_Toc296891198"/>
      <w:r>
        <w:rPr>
          <w:rFonts w:hint="eastAsia" w:cs="宋体"/>
          <w:bCs/>
          <w:color w:val="auto"/>
          <w:highlight w:val="none"/>
        </w:rPr>
        <w:t>. 承包人</w:t>
      </w:r>
      <w:bookmarkEnd w:id="596"/>
    </w:p>
    <w:bookmarkEnd w:id="597"/>
    <w:bookmarkEnd w:id="598"/>
    <w:bookmarkEnd w:id="599"/>
    <w:bookmarkEnd w:id="600"/>
    <w:bookmarkEnd w:id="601"/>
    <w:bookmarkEnd w:id="602"/>
    <w:bookmarkEnd w:id="603"/>
    <w:bookmarkEnd w:id="604"/>
    <w:bookmarkEnd w:id="605"/>
    <w:bookmarkEnd w:id="606"/>
    <w:p>
      <w:pPr>
        <w:spacing w:after="120" w:line="288" w:lineRule="auto"/>
        <w:ind w:firstLine="420"/>
        <w:rPr>
          <w:rFonts w:cs="宋体"/>
          <w:color w:val="auto"/>
          <w:highlight w:val="none"/>
        </w:rPr>
      </w:pPr>
      <w:r>
        <w:rPr>
          <w:rFonts w:hint="eastAsia" w:cs="宋体"/>
          <w:color w:val="auto"/>
          <w:highlight w:val="none"/>
        </w:rPr>
        <w:t>3.1 承包人的一般义务</w:t>
      </w:r>
    </w:p>
    <w:p>
      <w:pPr>
        <w:spacing w:line="288" w:lineRule="auto"/>
        <w:ind w:firstLine="420"/>
        <w:jc w:val="left"/>
        <w:rPr>
          <w:rFonts w:cs="宋体"/>
          <w:color w:val="auto"/>
          <w:highlight w:val="none"/>
          <w:u w:val="single"/>
        </w:rPr>
      </w:pPr>
      <w:r>
        <w:rPr>
          <w:rFonts w:hint="eastAsia" w:cs="宋体"/>
          <w:color w:val="auto"/>
          <w:kern w:val="0"/>
          <w:highlight w:val="none"/>
        </w:rPr>
        <w:t>（5）</w:t>
      </w:r>
      <w:r>
        <w:rPr>
          <w:rFonts w:hint="eastAsia" w:cs="宋体"/>
          <w:color w:val="auto"/>
          <w:highlight w:val="none"/>
        </w:rPr>
        <w:t>承包人提交的竣工资料的内容：</w:t>
      </w:r>
      <w:r>
        <w:rPr>
          <w:rFonts w:hint="eastAsia" w:cs="宋体"/>
          <w:color w:val="auto"/>
          <w:highlight w:val="none"/>
          <w:u w:val="single"/>
        </w:rPr>
        <w:t>发包人收到承包人提交的竣工验收报告及竣工验收资料后，认为工程尚不具备竣工验收条件或承包人提交人竣工验收资料不完整的，有权不组织竣工验收，直至工程符合工程竣工验收条件或竣工验收资料完整。若工程验收时，竣工验收资料尚不完整，或不完全符合主管部门要求的，工程竣工验收通过后，承包人仍应按要求提交完整的符合要求的竣工资料。承包人应在发包人指定的时间内向发包人提供符合存档备案要求的竣工图、竣工资料及竣工验收报告等，并有义务配合发包人将该些资料存档备案。归档资料应符合工程所在地建设行政主管部门和城市建设档案管理机构有关施工资料的要求</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承包人需要提交的竣工资料套数：</w:t>
      </w:r>
      <w:r>
        <w:rPr>
          <w:rFonts w:hint="eastAsia" w:cs="宋体"/>
          <w:color w:val="auto"/>
          <w:highlight w:val="none"/>
          <w:u w:val="single"/>
        </w:rPr>
        <w:t>一式肆份，同时提供电子文档</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承包人提交的竣工资料的费用承担：</w:t>
      </w:r>
      <w:r>
        <w:rPr>
          <w:rFonts w:hint="eastAsia" w:cs="宋体"/>
          <w:color w:val="auto"/>
          <w:highlight w:val="none"/>
          <w:u w:val="single"/>
        </w:rPr>
        <w:t xml:space="preserve"> 承包人承担</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承包人提交的竣工资料移交时间：</w:t>
      </w:r>
      <w:r>
        <w:rPr>
          <w:rFonts w:hint="eastAsia" w:cs="宋体"/>
          <w:color w:val="auto"/>
          <w:highlight w:val="none"/>
          <w:u w:val="single"/>
        </w:rPr>
        <w:t xml:space="preserve"> 合同规定的工程竣工前7天 </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承包人提交的竣工资料形式要求：</w:t>
      </w:r>
      <w:r>
        <w:rPr>
          <w:rFonts w:hint="eastAsia" w:cs="宋体"/>
          <w:color w:val="auto"/>
          <w:highlight w:val="none"/>
          <w:u w:val="single"/>
        </w:rPr>
        <w:t xml:space="preserve">向发包方提供竣工图、竣工资料及竣工验收报告，并附光盘（含影像资料、图片等） </w:t>
      </w:r>
      <w:r>
        <w:rPr>
          <w:rFonts w:hint="eastAsia" w:cs="宋体"/>
          <w:color w:val="auto"/>
          <w:highlight w:val="none"/>
        </w:rPr>
        <w:t>。</w:t>
      </w:r>
    </w:p>
    <w:p>
      <w:pPr>
        <w:spacing w:line="288" w:lineRule="auto"/>
        <w:ind w:firstLine="420"/>
        <w:rPr>
          <w:rFonts w:cs="宋体"/>
          <w:color w:val="auto"/>
          <w:kern w:val="0"/>
          <w:highlight w:val="none"/>
        </w:rPr>
      </w:pPr>
      <w:r>
        <w:rPr>
          <w:rFonts w:hint="eastAsia" w:cs="宋体"/>
          <w:color w:val="auto"/>
          <w:kern w:val="0"/>
          <w:highlight w:val="none"/>
        </w:rPr>
        <w:t>（6）承包人应履行的其他义务：</w:t>
      </w:r>
    </w:p>
    <w:p>
      <w:pPr>
        <w:spacing w:line="288" w:lineRule="auto"/>
        <w:ind w:firstLine="420"/>
        <w:rPr>
          <w:rFonts w:cs="宋体"/>
          <w:color w:val="auto"/>
          <w:kern w:val="0"/>
          <w:highlight w:val="none"/>
          <w:u w:val="single"/>
        </w:rPr>
      </w:pPr>
      <w:r>
        <w:rPr>
          <w:rFonts w:hint="eastAsia" w:cs="宋体"/>
          <w:color w:val="auto"/>
          <w:kern w:val="0"/>
          <w:highlight w:val="none"/>
          <w:u w:val="single"/>
        </w:rPr>
        <w:t>①</w:t>
      </w:r>
      <w:r>
        <w:rPr>
          <w:rFonts w:hint="eastAsia" w:cs="宋体"/>
          <w:color w:val="auto"/>
          <w:kern w:val="0"/>
          <w:highlight w:val="none"/>
          <w:u w:val="single"/>
        </w:rPr>
        <w:tab/>
      </w:r>
      <w:r>
        <w:rPr>
          <w:rFonts w:hint="eastAsia" w:cs="宋体"/>
          <w:color w:val="auto"/>
          <w:kern w:val="0"/>
          <w:highlight w:val="none"/>
          <w:u w:val="single"/>
        </w:rPr>
        <w:t>根据工程需要，提供和维修非夜间施工使用的照明、围栏设施，并负责安全保卫。</w:t>
      </w:r>
    </w:p>
    <w:p>
      <w:pPr>
        <w:spacing w:line="288" w:lineRule="auto"/>
        <w:ind w:firstLine="420"/>
        <w:rPr>
          <w:rFonts w:cs="宋体"/>
          <w:color w:val="auto"/>
          <w:kern w:val="0"/>
          <w:highlight w:val="none"/>
          <w:u w:val="single"/>
        </w:rPr>
      </w:pPr>
      <w:r>
        <w:rPr>
          <w:rFonts w:hint="eastAsia" w:cs="宋体"/>
          <w:color w:val="auto"/>
          <w:kern w:val="0"/>
          <w:highlight w:val="none"/>
          <w:u w:val="single"/>
        </w:rPr>
        <w:t>②</w:t>
      </w:r>
      <w:r>
        <w:rPr>
          <w:rFonts w:hint="eastAsia" w:cs="宋体"/>
          <w:color w:val="auto"/>
          <w:kern w:val="0"/>
          <w:highlight w:val="none"/>
          <w:u w:val="single"/>
        </w:rPr>
        <w:tab/>
      </w:r>
      <w:r>
        <w:rPr>
          <w:rFonts w:hint="eastAsia" w:cs="宋体"/>
          <w:color w:val="auto"/>
          <w:kern w:val="0"/>
          <w:highlight w:val="none"/>
          <w:u w:val="single"/>
        </w:rPr>
        <w:t>将施工所需的水、电、电讯线路接至施工场地，费用已包含在投标报价中。</w:t>
      </w:r>
    </w:p>
    <w:p>
      <w:pPr>
        <w:spacing w:line="288" w:lineRule="auto"/>
        <w:ind w:firstLine="420"/>
        <w:rPr>
          <w:rFonts w:cs="宋体"/>
          <w:color w:val="auto"/>
          <w:kern w:val="0"/>
          <w:highlight w:val="none"/>
          <w:u w:val="single"/>
        </w:rPr>
      </w:pPr>
      <w:r>
        <w:rPr>
          <w:rFonts w:hint="eastAsia" w:cs="宋体"/>
          <w:color w:val="auto"/>
          <w:kern w:val="0"/>
          <w:highlight w:val="none"/>
          <w:u w:val="single"/>
        </w:rPr>
        <w:t>③</w:t>
      </w:r>
      <w:r>
        <w:rPr>
          <w:rFonts w:hint="eastAsia" w:cs="宋体"/>
          <w:color w:val="auto"/>
          <w:kern w:val="0"/>
          <w:highlight w:val="none"/>
          <w:u w:val="single"/>
        </w:rPr>
        <w:tab/>
      </w:r>
      <w:r>
        <w:rPr>
          <w:rFonts w:hint="eastAsia" w:cs="宋体"/>
          <w:color w:val="auto"/>
          <w:kern w:val="0"/>
          <w:highlight w:val="none"/>
          <w:u w:val="single"/>
        </w:rPr>
        <w:t>成品保护：承包人应做好施工现场建筑物、构筑物、设备、管线的保护工作，并对所造成的损伤、损害负全部责任，承担全部费用。对采取的保护措施发生的费用列入措施费；发现损坏应及时抢修，确保在影响范围内的设备、管线、建筑物、构筑物的正常使用，并承担有关费用。为此增加的技术措施费包含在投标报价中。</w:t>
      </w:r>
    </w:p>
    <w:p>
      <w:pPr>
        <w:spacing w:line="288" w:lineRule="auto"/>
        <w:ind w:firstLine="420"/>
        <w:rPr>
          <w:rFonts w:cs="宋体"/>
          <w:color w:val="auto"/>
          <w:kern w:val="0"/>
          <w:highlight w:val="none"/>
          <w:u w:val="single"/>
        </w:rPr>
      </w:pPr>
      <w:r>
        <w:rPr>
          <w:rFonts w:hint="eastAsia" w:cs="宋体"/>
          <w:color w:val="auto"/>
          <w:kern w:val="0"/>
          <w:highlight w:val="none"/>
          <w:u w:val="single"/>
        </w:rPr>
        <w:t>④</w:t>
      </w:r>
      <w:r>
        <w:rPr>
          <w:rFonts w:hint="eastAsia" w:cs="宋体"/>
          <w:color w:val="auto"/>
          <w:kern w:val="0"/>
          <w:highlight w:val="none"/>
          <w:u w:val="single"/>
        </w:rPr>
        <w:tab/>
      </w:r>
      <w:r>
        <w:rPr>
          <w:rFonts w:hint="eastAsia" w:cs="宋体"/>
          <w:color w:val="auto"/>
          <w:kern w:val="0"/>
          <w:highlight w:val="none"/>
          <w:u w:val="single"/>
        </w:rPr>
        <w:t>施工场地清洁卫生要求：按浙江省、杭州市标化工地管理的有关要求、规定执行。所发生的各项清理费用、临时性收费、临时性占用场地费、临时性设施费及不可预见的费用，均已包括在合同总价内。</w:t>
      </w:r>
    </w:p>
    <w:p>
      <w:pPr>
        <w:spacing w:line="288" w:lineRule="auto"/>
        <w:ind w:firstLine="420"/>
        <w:rPr>
          <w:rFonts w:cs="宋体"/>
          <w:color w:val="auto"/>
          <w:kern w:val="0"/>
          <w:highlight w:val="none"/>
          <w:u w:val="single"/>
        </w:rPr>
      </w:pPr>
      <w:r>
        <w:rPr>
          <w:rFonts w:hint="eastAsia" w:cs="宋体"/>
          <w:color w:val="auto"/>
          <w:kern w:val="0"/>
          <w:highlight w:val="none"/>
          <w:u w:val="single"/>
        </w:rPr>
        <w:t>⑤</w:t>
      </w:r>
      <w:r>
        <w:rPr>
          <w:rFonts w:hint="eastAsia" w:cs="宋体"/>
          <w:color w:val="auto"/>
          <w:kern w:val="0"/>
          <w:highlight w:val="none"/>
          <w:u w:val="single"/>
        </w:rPr>
        <w:tab/>
      </w:r>
      <w:r>
        <w:rPr>
          <w:rFonts w:hint="eastAsia" w:cs="宋体"/>
          <w:color w:val="auto"/>
          <w:kern w:val="0"/>
          <w:highlight w:val="none"/>
          <w:u w:val="single"/>
        </w:rPr>
        <w:t>所有施工车辆必须按发包人指定的行车路线进出施工场地，承包人必须随时对施工车辆散落在公共道路上的杂物进行清扫，保持道路整洁，避免扬尘。施工场地做到“工完、料净、场地清”，承担因自身原因违反有关规定造成的损失和罚款。</w:t>
      </w:r>
    </w:p>
    <w:p>
      <w:pPr>
        <w:spacing w:line="288" w:lineRule="auto"/>
        <w:ind w:firstLine="420"/>
        <w:rPr>
          <w:rFonts w:cs="宋体"/>
          <w:color w:val="auto"/>
          <w:kern w:val="0"/>
          <w:highlight w:val="none"/>
          <w:u w:val="single"/>
        </w:rPr>
      </w:pPr>
      <w:r>
        <w:rPr>
          <w:rFonts w:hint="eastAsia" w:cs="宋体"/>
          <w:color w:val="auto"/>
          <w:kern w:val="0"/>
          <w:highlight w:val="none"/>
          <w:u w:val="single"/>
        </w:rPr>
        <w:t>⑥</w:t>
      </w:r>
      <w:r>
        <w:rPr>
          <w:rFonts w:hint="eastAsia" w:cs="宋体"/>
          <w:color w:val="auto"/>
          <w:kern w:val="0"/>
          <w:highlight w:val="none"/>
          <w:u w:val="single"/>
        </w:rPr>
        <w:tab/>
      </w:r>
      <w:r>
        <w:rPr>
          <w:rFonts w:hint="eastAsia" w:cs="宋体"/>
          <w:color w:val="auto"/>
          <w:kern w:val="0"/>
          <w:highlight w:val="none"/>
          <w:u w:val="single"/>
        </w:rPr>
        <w:t>参加发包人召开的与本工程相关的会议，并作好会前有关资料的准备。在保修期内要及时做好回访工作，属保修责任范围的事项应及时按质检标准修好。</w:t>
      </w:r>
    </w:p>
    <w:p>
      <w:pPr>
        <w:spacing w:line="288" w:lineRule="auto"/>
        <w:ind w:firstLine="420"/>
        <w:rPr>
          <w:rFonts w:cs="宋体"/>
          <w:color w:val="auto"/>
          <w:kern w:val="0"/>
          <w:highlight w:val="none"/>
          <w:u w:val="single"/>
        </w:rPr>
      </w:pPr>
      <w:r>
        <w:rPr>
          <w:rFonts w:hint="eastAsia" w:cs="宋体"/>
          <w:color w:val="auto"/>
          <w:kern w:val="0"/>
          <w:highlight w:val="none"/>
          <w:u w:val="single"/>
        </w:rPr>
        <w:t>⑦</w:t>
      </w:r>
      <w:r>
        <w:rPr>
          <w:rFonts w:hint="eastAsia" w:cs="宋体"/>
          <w:color w:val="auto"/>
          <w:kern w:val="0"/>
          <w:highlight w:val="none"/>
          <w:u w:val="single"/>
        </w:rPr>
        <w:tab/>
      </w:r>
      <w:r>
        <w:rPr>
          <w:rFonts w:hint="eastAsia" w:cs="宋体"/>
          <w:color w:val="auto"/>
          <w:kern w:val="0"/>
          <w:highlight w:val="none"/>
          <w:u w:val="single"/>
        </w:rPr>
        <w:t>在工程实施过程中，要自始至终将安全和质量管理放在首位；除按发包人要求做好安全质量管理外，应采取应急预警措施以确保本项目工程的安全和质量以及周边建筑物、构筑物、内部临界施工区域及市政设施的安全。</w:t>
      </w:r>
    </w:p>
    <w:p>
      <w:pPr>
        <w:spacing w:line="288" w:lineRule="auto"/>
        <w:ind w:firstLine="420"/>
        <w:rPr>
          <w:rFonts w:cs="宋体"/>
          <w:color w:val="auto"/>
          <w:kern w:val="0"/>
          <w:highlight w:val="none"/>
          <w:u w:val="single"/>
        </w:rPr>
      </w:pPr>
      <w:r>
        <w:rPr>
          <w:rFonts w:hint="eastAsia" w:cs="宋体"/>
          <w:color w:val="auto"/>
          <w:kern w:val="0"/>
          <w:highlight w:val="none"/>
          <w:u w:val="single"/>
        </w:rPr>
        <w:t>⑧</w:t>
      </w:r>
      <w:r>
        <w:rPr>
          <w:rFonts w:hint="eastAsia" w:cs="宋体"/>
          <w:color w:val="auto"/>
          <w:kern w:val="0"/>
          <w:highlight w:val="none"/>
          <w:u w:val="single"/>
        </w:rPr>
        <w:tab/>
      </w:r>
      <w:r>
        <w:rPr>
          <w:rFonts w:hint="eastAsia" w:cs="宋体"/>
          <w:color w:val="auto"/>
          <w:kern w:val="0"/>
          <w:highlight w:val="none"/>
          <w:u w:val="single"/>
        </w:rPr>
        <w:t>由于承包人施工原因，引起第三方与发包人或承包人的纠纷或第三方向发包人或承包人提出的索赔等，由承包人全权负责解决并承担全部责任，由此引起的一切后果与发包人无关；造成发包人损失的，应全额赔偿。</w:t>
      </w:r>
    </w:p>
    <w:p>
      <w:pPr>
        <w:spacing w:line="288" w:lineRule="auto"/>
        <w:ind w:firstLine="420"/>
        <w:rPr>
          <w:rFonts w:cs="宋体"/>
          <w:color w:val="auto"/>
          <w:kern w:val="0"/>
          <w:highlight w:val="none"/>
          <w:u w:val="single"/>
        </w:rPr>
      </w:pPr>
      <w:r>
        <w:rPr>
          <w:rFonts w:hint="eastAsia" w:cs="宋体"/>
          <w:color w:val="auto"/>
          <w:kern w:val="0"/>
          <w:highlight w:val="none"/>
          <w:u w:val="single"/>
        </w:rPr>
        <w:t>⑨</w:t>
      </w:r>
      <w:r>
        <w:rPr>
          <w:rFonts w:hint="eastAsia" w:cs="宋体"/>
          <w:color w:val="auto"/>
          <w:kern w:val="0"/>
          <w:highlight w:val="none"/>
          <w:u w:val="single"/>
        </w:rPr>
        <w:tab/>
      </w:r>
      <w:r>
        <w:rPr>
          <w:rFonts w:hint="eastAsia" w:cs="宋体"/>
          <w:color w:val="auto"/>
          <w:kern w:val="0"/>
          <w:highlight w:val="none"/>
          <w:u w:val="single"/>
        </w:rPr>
        <w:t>在工程实施过程中，严格执行省、市颁发的相关规定，切实加强外来务工人员管理，保障农民工的合法权益。按主管部门要求，如必要设立民工学校应按规定设立，费用自理。若在施工期间，由于承包人的责任发生违法、违规事件，后果由承包人自负。</w:t>
      </w:r>
    </w:p>
    <w:p>
      <w:pPr>
        <w:spacing w:line="288" w:lineRule="auto"/>
        <w:ind w:firstLine="420"/>
        <w:rPr>
          <w:rFonts w:cs="宋体"/>
          <w:color w:val="auto"/>
          <w:kern w:val="0"/>
          <w:highlight w:val="none"/>
          <w:u w:val="single"/>
        </w:rPr>
      </w:pPr>
      <w:r>
        <w:rPr>
          <w:rFonts w:hint="eastAsia" w:cs="宋体"/>
          <w:color w:val="auto"/>
          <w:kern w:val="0"/>
          <w:highlight w:val="none"/>
          <w:u w:val="single"/>
        </w:rPr>
        <w:t>⑩</w:t>
      </w:r>
      <w:r>
        <w:rPr>
          <w:rFonts w:hint="eastAsia" w:cs="宋体"/>
          <w:color w:val="auto"/>
          <w:kern w:val="0"/>
          <w:highlight w:val="none"/>
          <w:u w:val="single"/>
        </w:rPr>
        <w:tab/>
      </w:r>
      <w:r>
        <w:rPr>
          <w:rFonts w:hint="eastAsia" w:cs="宋体"/>
          <w:color w:val="auto"/>
          <w:kern w:val="0"/>
          <w:highlight w:val="none"/>
          <w:u w:val="single"/>
        </w:rPr>
        <w:t>文明施工按市政府有关部门颁发的文明施工要求及招标文件中技术条款执行，施工时不影响经交管部门审批确认的道路交通的正常运行和保证排水畅通。施工区域范围内必须采取全封闭措施，搞好市容环境卫生，并接受有关主管部门和发包人、监理人的检查；环境控制按招标文件的要求执行。因承包人原因造成工程损失或人身伤害，由承包人承担全部责任及费用。</w:t>
      </w:r>
    </w:p>
    <w:p>
      <w:pPr>
        <w:spacing w:line="288" w:lineRule="auto"/>
        <w:ind w:firstLine="420"/>
        <w:rPr>
          <w:rFonts w:cs="宋体"/>
          <w:color w:val="auto"/>
          <w:kern w:val="0"/>
          <w:highlight w:val="none"/>
          <w:u w:val="single"/>
        </w:rPr>
      </w:pPr>
      <w:r>
        <w:rPr>
          <w:rFonts w:hint="eastAsia" w:cs="宋体"/>
          <w:color w:val="auto"/>
          <w:kern w:val="0"/>
          <w:highlight w:val="none"/>
          <w:u w:val="single"/>
        </w:rPr>
        <w:t>⑪</w:t>
      </w:r>
      <w:r>
        <w:rPr>
          <w:rFonts w:hint="eastAsia" w:cs="宋体"/>
          <w:color w:val="auto"/>
          <w:kern w:val="0"/>
          <w:highlight w:val="none"/>
          <w:u w:val="single"/>
        </w:rPr>
        <w:tab/>
      </w:r>
      <w:r>
        <w:rPr>
          <w:rFonts w:hint="eastAsia" w:cs="宋体"/>
          <w:color w:val="auto"/>
          <w:kern w:val="0"/>
          <w:highlight w:val="none"/>
          <w:u w:val="single"/>
        </w:rPr>
        <w:t>上述（包括但不限于）各条款涉及的各类费用均已包括在合同价款内，发包人不再向承包人另行支付。且如果因此类原因导致工期延误，工期不予顺延，并由承包人承担相应的责任及费用；造成发包人损失的，承包人应承担赔偿。</w:t>
      </w:r>
    </w:p>
    <w:p>
      <w:pPr>
        <w:spacing w:line="288" w:lineRule="auto"/>
        <w:ind w:firstLine="420"/>
        <w:rPr>
          <w:rFonts w:cs="宋体"/>
          <w:color w:val="auto"/>
          <w:highlight w:val="none"/>
        </w:rPr>
      </w:pPr>
      <w:r>
        <w:rPr>
          <w:rFonts w:hint="eastAsia" w:cs="宋体"/>
          <w:color w:val="auto"/>
          <w:kern w:val="0"/>
          <w:highlight w:val="none"/>
          <w:u w:val="single"/>
        </w:rPr>
        <w:t>⑫</w:t>
      </w:r>
      <w:r>
        <w:rPr>
          <w:rFonts w:hint="eastAsia" w:cs="宋体"/>
          <w:color w:val="auto"/>
          <w:kern w:val="0"/>
          <w:highlight w:val="none"/>
          <w:u w:val="single"/>
        </w:rPr>
        <w:tab/>
      </w:r>
      <w:r>
        <w:rPr>
          <w:rFonts w:hint="eastAsia" w:cs="宋体"/>
          <w:color w:val="auto"/>
          <w:kern w:val="0"/>
          <w:highlight w:val="none"/>
          <w:u w:val="single"/>
        </w:rPr>
        <w:t>承包人对其递交的变更、签证、结算资料的合法性、真实性、完整性负责，并不由于发包人和监理人的签认免除承包人的责任</w:t>
      </w:r>
      <w:r>
        <w:rPr>
          <w:rFonts w:hint="eastAsia" w:cs="宋体"/>
          <w:color w:val="auto"/>
          <w:highlight w:val="none"/>
        </w:rPr>
        <w:t>。</w:t>
      </w:r>
    </w:p>
    <w:p>
      <w:pPr>
        <w:pStyle w:val="2"/>
        <w:spacing w:line="288" w:lineRule="auto"/>
        <w:rPr>
          <w:rFonts w:ascii="宋体" w:hAnsi="宋体" w:eastAsia="宋体" w:cs="宋体"/>
          <w:color w:val="auto"/>
          <w:highlight w:val="none"/>
        </w:rPr>
      </w:pPr>
      <w:r>
        <w:rPr>
          <w:rFonts w:hint="eastAsia" w:ascii="宋体" w:hAnsi="宋体" w:eastAsia="宋体" w:cs="宋体"/>
          <w:color w:val="auto"/>
          <w:sz w:val="21"/>
          <w:highlight w:val="none"/>
          <w:u w:val="single"/>
        </w:rPr>
        <w:fldChar w:fldCharType="begin"/>
      </w:r>
      <w:r>
        <w:rPr>
          <w:rFonts w:hint="eastAsia" w:ascii="宋体" w:hAnsi="宋体" w:eastAsia="宋体" w:cs="宋体"/>
          <w:color w:val="auto"/>
          <w:sz w:val="21"/>
          <w:highlight w:val="none"/>
          <w:u w:val="single"/>
        </w:rPr>
        <w:instrText xml:space="preserve"> eq \o\ac(○,13)</w:instrText>
      </w:r>
      <w:r>
        <w:rPr>
          <w:rFonts w:hint="eastAsia" w:ascii="宋体" w:hAnsi="宋体" w:eastAsia="宋体" w:cs="宋体"/>
          <w:color w:val="auto"/>
          <w:sz w:val="21"/>
          <w:highlight w:val="none"/>
          <w:u w:val="single"/>
        </w:rPr>
        <w:fldChar w:fldCharType="end"/>
      </w:r>
      <w:r>
        <w:rPr>
          <w:rFonts w:hint="eastAsia" w:ascii="宋体" w:hAnsi="宋体" w:eastAsia="宋体" w:cs="宋体"/>
          <w:color w:val="auto"/>
          <w:sz w:val="21"/>
          <w:highlight w:val="none"/>
          <w:u w:val="single"/>
        </w:rPr>
        <w:t>作为一名有经验的承包人，对于图纸设计中不满足现行验收规范要求的部分及时提出合理化的建议，若未及时发现并提出不利于今后施工及验收的问题，造成发包人损失的，发包人有权要求承包人赔偿。</w:t>
      </w:r>
    </w:p>
    <w:p>
      <w:pPr>
        <w:spacing w:after="120" w:line="288" w:lineRule="auto"/>
        <w:ind w:firstLine="420"/>
        <w:rPr>
          <w:rFonts w:cs="宋体"/>
          <w:color w:val="auto"/>
          <w:highlight w:val="none"/>
        </w:rPr>
      </w:pPr>
      <w:r>
        <w:rPr>
          <w:rFonts w:hint="eastAsia" w:cs="宋体"/>
          <w:color w:val="auto"/>
          <w:highlight w:val="none"/>
        </w:rPr>
        <w:t>3.2 项目经理</w:t>
      </w:r>
    </w:p>
    <w:p>
      <w:pPr>
        <w:spacing w:line="288" w:lineRule="auto"/>
        <w:ind w:firstLine="420"/>
        <w:rPr>
          <w:rFonts w:cs="宋体"/>
          <w:color w:val="auto"/>
          <w:highlight w:val="none"/>
        </w:rPr>
      </w:pPr>
      <w:r>
        <w:rPr>
          <w:rFonts w:hint="eastAsia" w:cs="宋体"/>
          <w:color w:val="auto"/>
          <w:kern w:val="0"/>
          <w:highlight w:val="none"/>
        </w:rPr>
        <w:t xml:space="preserve">3.2.1 </w:t>
      </w:r>
      <w:r>
        <w:rPr>
          <w:rFonts w:hint="eastAsia" w:cs="宋体"/>
          <w:color w:val="auto"/>
          <w:highlight w:val="none"/>
        </w:rPr>
        <w:t>项目经理：</w:t>
      </w:r>
    </w:p>
    <w:p>
      <w:pPr>
        <w:widowControl/>
        <w:adjustRightInd w:val="0"/>
        <w:snapToGrid w:val="0"/>
        <w:spacing w:line="288" w:lineRule="auto"/>
        <w:ind w:firstLine="420"/>
        <w:rPr>
          <w:rFonts w:cs="宋体"/>
          <w:color w:val="auto"/>
          <w:highlight w:val="none"/>
        </w:rPr>
      </w:pPr>
      <w:r>
        <w:rPr>
          <w:rFonts w:hint="eastAsia" w:cs="宋体"/>
          <w:color w:val="auto"/>
          <w:highlight w:val="none"/>
        </w:rPr>
        <w:t>姓    名：；</w:t>
      </w:r>
    </w:p>
    <w:p>
      <w:pPr>
        <w:widowControl/>
        <w:adjustRightInd w:val="0"/>
        <w:snapToGrid w:val="0"/>
        <w:spacing w:line="288" w:lineRule="auto"/>
        <w:ind w:firstLine="420"/>
        <w:rPr>
          <w:rFonts w:cs="宋体"/>
          <w:color w:val="auto"/>
          <w:highlight w:val="none"/>
        </w:rPr>
      </w:pPr>
      <w:r>
        <w:rPr>
          <w:rFonts w:hint="eastAsia" w:cs="宋体"/>
          <w:color w:val="auto"/>
          <w:highlight w:val="none"/>
        </w:rPr>
        <w:t>身份证号：；</w:t>
      </w:r>
    </w:p>
    <w:p>
      <w:pPr>
        <w:widowControl/>
        <w:adjustRightInd w:val="0"/>
        <w:snapToGrid w:val="0"/>
        <w:spacing w:line="288" w:lineRule="auto"/>
        <w:ind w:firstLine="420"/>
        <w:rPr>
          <w:rFonts w:cs="宋体"/>
          <w:color w:val="auto"/>
          <w:highlight w:val="none"/>
        </w:rPr>
      </w:pPr>
      <w:r>
        <w:rPr>
          <w:rFonts w:hint="eastAsia" w:cs="宋体"/>
          <w:color w:val="auto"/>
          <w:highlight w:val="none"/>
        </w:rPr>
        <w:t>建造师执业资格等级：；</w:t>
      </w:r>
    </w:p>
    <w:p>
      <w:pPr>
        <w:widowControl/>
        <w:adjustRightInd w:val="0"/>
        <w:snapToGrid w:val="0"/>
        <w:spacing w:line="288" w:lineRule="auto"/>
        <w:ind w:firstLine="420"/>
        <w:rPr>
          <w:rFonts w:cs="宋体"/>
          <w:color w:val="auto"/>
          <w:highlight w:val="none"/>
        </w:rPr>
      </w:pPr>
      <w:r>
        <w:rPr>
          <w:rFonts w:hint="eastAsia" w:cs="宋体"/>
          <w:color w:val="auto"/>
          <w:highlight w:val="none"/>
        </w:rPr>
        <w:t>建造师注册证书号：；</w:t>
      </w:r>
    </w:p>
    <w:p>
      <w:pPr>
        <w:widowControl/>
        <w:adjustRightInd w:val="0"/>
        <w:snapToGrid w:val="0"/>
        <w:spacing w:line="288" w:lineRule="auto"/>
        <w:ind w:firstLine="420"/>
        <w:rPr>
          <w:rFonts w:cs="宋体"/>
          <w:color w:val="auto"/>
          <w:highlight w:val="none"/>
        </w:rPr>
      </w:pPr>
      <w:r>
        <w:rPr>
          <w:rFonts w:hint="eastAsia" w:cs="宋体"/>
          <w:color w:val="auto"/>
          <w:highlight w:val="none"/>
        </w:rPr>
        <w:t>建造师执业印章号：；</w:t>
      </w:r>
    </w:p>
    <w:p>
      <w:pPr>
        <w:widowControl/>
        <w:adjustRightInd w:val="0"/>
        <w:snapToGrid w:val="0"/>
        <w:spacing w:line="288" w:lineRule="auto"/>
        <w:ind w:firstLine="420"/>
        <w:rPr>
          <w:rFonts w:cs="宋体"/>
          <w:color w:val="auto"/>
          <w:highlight w:val="none"/>
        </w:rPr>
      </w:pPr>
      <w:r>
        <w:rPr>
          <w:rFonts w:hint="eastAsia" w:cs="宋体"/>
          <w:color w:val="auto"/>
          <w:highlight w:val="none"/>
        </w:rPr>
        <w:t>安全生产考核合格证书号：；</w:t>
      </w:r>
    </w:p>
    <w:p>
      <w:pPr>
        <w:widowControl/>
        <w:adjustRightInd w:val="0"/>
        <w:snapToGrid w:val="0"/>
        <w:spacing w:line="288" w:lineRule="auto"/>
        <w:ind w:firstLine="420"/>
        <w:rPr>
          <w:rFonts w:cs="宋体"/>
          <w:color w:val="auto"/>
          <w:highlight w:val="none"/>
        </w:rPr>
      </w:pPr>
      <w:r>
        <w:rPr>
          <w:rFonts w:hint="eastAsia" w:cs="宋体"/>
          <w:color w:val="auto"/>
          <w:highlight w:val="none"/>
        </w:rPr>
        <w:t>联系电话：；</w:t>
      </w:r>
    </w:p>
    <w:p>
      <w:pPr>
        <w:widowControl/>
        <w:adjustRightInd w:val="0"/>
        <w:snapToGrid w:val="0"/>
        <w:spacing w:line="288" w:lineRule="auto"/>
        <w:ind w:firstLine="420"/>
        <w:rPr>
          <w:rFonts w:cs="宋体"/>
          <w:color w:val="auto"/>
          <w:highlight w:val="none"/>
        </w:rPr>
      </w:pPr>
      <w:r>
        <w:rPr>
          <w:rFonts w:hint="eastAsia" w:cs="宋体"/>
          <w:color w:val="auto"/>
          <w:highlight w:val="none"/>
        </w:rPr>
        <w:t>电子信箱：；</w:t>
      </w:r>
    </w:p>
    <w:p>
      <w:pPr>
        <w:widowControl/>
        <w:adjustRightInd w:val="0"/>
        <w:snapToGrid w:val="0"/>
        <w:spacing w:line="288" w:lineRule="auto"/>
        <w:ind w:firstLine="420"/>
        <w:rPr>
          <w:rFonts w:cs="宋体"/>
          <w:color w:val="auto"/>
          <w:highlight w:val="none"/>
        </w:rPr>
      </w:pPr>
      <w:r>
        <w:rPr>
          <w:rFonts w:hint="eastAsia" w:cs="宋体"/>
          <w:color w:val="auto"/>
          <w:highlight w:val="none"/>
        </w:rPr>
        <w:t>通信地址：；</w:t>
      </w:r>
    </w:p>
    <w:p>
      <w:pPr>
        <w:spacing w:line="288" w:lineRule="auto"/>
        <w:ind w:firstLine="420"/>
        <w:rPr>
          <w:rFonts w:cs="宋体"/>
          <w:color w:val="auto"/>
          <w:highlight w:val="none"/>
        </w:rPr>
      </w:pPr>
      <w:r>
        <w:rPr>
          <w:rFonts w:hint="eastAsia" w:cs="宋体"/>
          <w:color w:val="auto"/>
          <w:highlight w:val="none"/>
        </w:rPr>
        <w:t>承包人对项目经理的授权范围如下：</w:t>
      </w:r>
      <w:r>
        <w:rPr>
          <w:rFonts w:hint="eastAsia" w:cs="宋体"/>
          <w:color w:val="auto"/>
          <w:highlight w:val="none"/>
          <w:u w:val="single"/>
        </w:rPr>
        <w:t>全面负责本工程的质量、安全、工期及成本控制</w:t>
      </w:r>
      <w:r>
        <w:rPr>
          <w:rFonts w:hint="eastAsia" w:cs="宋体"/>
          <w:color w:val="auto"/>
          <w:highlight w:val="none"/>
        </w:rPr>
        <w:t>。</w:t>
      </w:r>
    </w:p>
    <w:p>
      <w:pPr>
        <w:spacing w:line="288" w:lineRule="auto"/>
        <w:ind w:firstLine="420"/>
        <w:jc w:val="left"/>
        <w:rPr>
          <w:rFonts w:cs="宋体"/>
          <w:color w:val="auto"/>
          <w:kern w:val="0"/>
          <w:highlight w:val="none"/>
        </w:rPr>
      </w:pPr>
      <w:r>
        <w:rPr>
          <w:rFonts w:hint="eastAsia" w:cs="宋体"/>
          <w:color w:val="auto"/>
          <w:kern w:val="0"/>
          <w:highlight w:val="none"/>
        </w:rPr>
        <w:t>关于项目经理每月在施工现场的时间要求：</w:t>
      </w:r>
      <w:r>
        <w:rPr>
          <w:rFonts w:hint="eastAsia" w:cs="宋体"/>
          <w:color w:val="auto"/>
          <w:highlight w:val="none"/>
          <w:u w:val="single"/>
        </w:rPr>
        <w:t>到位率为80%(每天工作8小时考勤)，重要施工工序或环节时项目经理、技术负责人等必须到场</w:t>
      </w:r>
      <w:r>
        <w:rPr>
          <w:rFonts w:hint="eastAsia" w:cs="宋体"/>
          <w:color w:val="auto"/>
          <w:highlight w:val="none"/>
        </w:rPr>
        <w:t>。</w:t>
      </w:r>
    </w:p>
    <w:p>
      <w:pPr>
        <w:spacing w:line="288" w:lineRule="auto"/>
        <w:ind w:firstLine="420"/>
        <w:rPr>
          <w:rFonts w:cs="宋体"/>
          <w:color w:val="auto"/>
          <w:kern w:val="0"/>
          <w:highlight w:val="none"/>
        </w:rPr>
      </w:pPr>
      <w:r>
        <w:rPr>
          <w:rFonts w:hint="eastAsia" w:cs="宋体"/>
          <w:color w:val="auto"/>
          <w:kern w:val="0"/>
          <w:highlight w:val="none"/>
        </w:rPr>
        <w:t>承包人未提交劳动合同，以及没有为项目经理缴纳社会保险证明的违约责任：</w:t>
      </w:r>
      <w:r>
        <w:rPr>
          <w:rFonts w:hint="eastAsia" w:cs="宋体"/>
          <w:color w:val="auto"/>
          <w:highlight w:val="none"/>
          <w:u w:val="single"/>
        </w:rPr>
        <w:t>责令承包人改正，并从结算款中扣除1万元的违约金</w:t>
      </w:r>
      <w:r>
        <w:rPr>
          <w:rFonts w:hint="eastAsia" w:cs="宋体"/>
          <w:color w:val="auto"/>
          <w:highlight w:val="none"/>
        </w:rPr>
        <w:t>。</w:t>
      </w:r>
    </w:p>
    <w:p>
      <w:pPr>
        <w:spacing w:line="288" w:lineRule="auto"/>
        <w:ind w:firstLine="420"/>
        <w:rPr>
          <w:rFonts w:cs="宋体"/>
          <w:color w:val="auto"/>
          <w:highlight w:val="none"/>
          <w:u w:val="single"/>
        </w:rPr>
      </w:pPr>
      <w:r>
        <w:rPr>
          <w:rFonts w:hint="eastAsia" w:cs="宋体"/>
          <w:color w:val="auto"/>
          <w:kern w:val="0"/>
          <w:highlight w:val="none"/>
        </w:rPr>
        <w:t>项目经理未经批准，擅自离开施工现场的违约责任：</w:t>
      </w:r>
      <w:r>
        <w:rPr>
          <w:rFonts w:hint="eastAsia" w:cs="宋体"/>
          <w:color w:val="auto"/>
          <w:highlight w:val="none"/>
          <w:u w:val="single"/>
        </w:rPr>
        <w:t>按违约金人民币2000元/天从结算款中扣除</w:t>
      </w:r>
      <w:r>
        <w:rPr>
          <w:rFonts w:hint="eastAsia" w:cs="宋体"/>
          <w:color w:val="auto"/>
          <w:highlight w:val="none"/>
        </w:rPr>
        <w:t>。</w:t>
      </w:r>
    </w:p>
    <w:p>
      <w:pPr>
        <w:spacing w:line="288" w:lineRule="auto"/>
        <w:ind w:firstLine="420"/>
        <w:rPr>
          <w:rFonts w:cs="宋体"/>
          <w:color w:val="auto"/>
          <w:highlight w:val="none"/>
          <w:u w:val="single"/>
        </w:rPr>
      </w:pPr>
      <w:r>
        <w:rPr>
          <w:rFonts w:hint="eastAsia" w:cs="宋体"/>
          <w:color w:val="auto"/>
          <w:highlight w:val="none"/>
        </w:rPr>
        <w:t>3.2.3 承包人擅自更换项目经理的违约责任：</w:t>
      </w:r>
    </w:p>
    <w:p>
      <w:pPr>
        <w:spacing w:line="288" w:lineRule="auto"/>
        <w:ind w:firstLine="422"/>
        <w:rPr>
          <w:rFonts w:cs="宋体"/>
          <w:b/>
          <w:color w:val="auto"/>
          <w:highlight w:val="none"/>
          <w:u w:val="single"/>
        </w:rPr>
      </w:pPr>
      <w:r>
        <w:rPr>
          <w:rFonts w:hint="eastAsia" w:cs="宋体"/>
          <w:b/>
          <w:color w:val="auto"/>
          <w:highlight w:val="none"/>
        </w:rPr>
        <w:t>（1）</w:t>
      </w:r>
      <w:r>
        <w:rPr>
          <w:rFonts w:hint="eastAsia" w:cs="宋体"/>
          <w:b/>
          <w:color w:val="auto"/>
          <w:kern w:val="0"/>
          <w:highlight w:val="none"/>
        </w:rPr>
        <w:t>承包人确需更换项目经理的，继任项目经理注册执业资格、管理经验的约定：</w:t>
      </w:r>
      <w:r>
        <w:rPr>
          <w:rFonts w:hint="eastAsia" w:cs="宋体"/>
          <w:b/>
          <w:color w:val="auto"/>
          <w:kern w:val="0"/>
          <w:highlight w:val="none"/>
          <w:u w:val="single"/>
        </w:rPr>
        <w:t>不得低于原项目经理的注册执业资格、管理经验</w:t>
      </w:r>
      <w:r>
        <w:rPr>
          <w:rFonts w:hint="eastAsia" w:cs="宋体"/>
          <w:b/>
          <w:color w:val="auto"/>
          <w:kern w:val="0"/>
          <w:highlight w:val="none"/>
        </w:rPr>
        <w:t>。</w:t>
      </w:r>
    </w:p>
    <w:p>
      <w:pPr>
        <w:spacing w:line="288" w:lineRule="auto"/>
        <w:ind w:firstLine="420"/>
        <w:rPr>
          <w:rFonts w:cs="宋体"/>
          <w:color w:val="auto"/>
          <w:highlight w:val="none"/>
        </w:rPr>
      </w:pPr>
      <w:r>
        <w:rPr>
          <w:rFonts w:hint="eastAsia" w:cs="宋体"/>
          <w:color w:val="auto"/>
          <w:kern w:val="0"/>
          <w:highlight w:val="none"/>
        </w:rPr>
        <w:t>（2）</w:t>
      </w:r>
      <w:r>
        <w:rPr>
          <w:rFonts w:hint="eastAsia" w:cs="宋体"/>
          <w:color w:val="auto"/>
          <w:highlight w:val="none"/>
        </w:rPr>
        <w:t>承包人擅自更换项目经理的违约责任：</w:t>
      </w:r>
      <w:r>
        <w:rPr>
          <w:rFonts w:hint="eastAsia" w:cs="宋体"/>
          <w:color w:val="auto"/>
          <w:highlight w:val="none"/>
          <w:u w:val="single"/>
        </w:rPr>
        <w:t>在施工期间不准更换，特殊情况要求更换的项目经理的，须经发包人书面同意。承包人更换项目经理的将被视为承包人违约，并按照0.5万元/人•次付给发包人违约金</w:t>
      </w:r>
      <w:r>
        <w:rPr>
          <w:rFonts w:hint="eastAsia" w:cs="宋体"/>
          <w:color w:val="auto"/>
          <w:highlight w:val="none"/>
        </w:rPr>
        <w:t>。</w:t>
      </w:r>
    </w:p>
    <w:p>
      <w:pPr>
        <w:spacing w:line="288" w:lineRule="auto"/>
        <w:ind w:firstLine="420"/>
        <w:rPr>
          <w:rFonts w:cs="宋体"/>
          <w:color w:val="auto"/>
          <w:highlight w:val="none"/>
          <w:u w:val="single"/>
        </w:rPr>
      </w:pPr>
      <w:r>
        <w:rPr>
          <w:rFonts w:hint="eastAsia" w:cs="宋体"/>
          <w:color w:val="auto"/>
          <w:highlight w:val="none"/>
        </w:rPr>
        <w:t>3.2.4 承包人无正当理由拒绝更换项目经理的违约责任：</w:t>
      </w:r>
      <w:r>
        <w:rPr>
          <w:rFonts w:hint="eastAsia" w:cs="宋体"/>
          <w:color w:val="auto"/>
          <w:highlight w:val="none"/>
          <w:u w:val="single"/>
        </w:rPr>
        <w:t>从结算款中扣除5万元/人/次的违约金</w:t>
      </w:r>
      <w:r>
        <w:rPr>
          <w:rFonts w:hint="eastAsia" w:cs="宋体"/>
          <w:color w:val="auto"/>
          <w:highlight w:val="none"/>
        </w:rPr>
        <w:t>。</w:t>
      </w:r>
    </w:p>
    <w:p>
      <w:pPr>
        <w:spacing w:after="120" w:line="288" w:lineRule="auto"/>
        <w:ind w:firstLine="420"/>
        <w:rPr>
          <w:rFonts w:cs="宋体"/>
          <w:color w:val="auto"/>
          <w:highlight w:val="none"/>
        </w:rPr>
      </w:pPr>
      <w:r>
        <w:rPr>
          <w:rFonts w:hint="eastAsia" w:cs="宋体"/>
          <w:color w:val="auto"/>
          <w:highlight w:val="none"/>
        </w:rPr>
        <w:t>3.3 承包人人员</w:t>
      </w:r>
    </w:p>
    <w:p>
      <w:pPr>
        <w:spacing w:line="288" w:lineRule="auto"/>
        <w:ind w:firstLine="420"/>
        <w:rPr>
          <w:rFonts w:cs="宋体"/>
          <w:color w:val="auto"/>
          <w:highlight w:val="none"/>
        </w:rPr>
      </w:pPr>
      <w:r>
        <w:rPr>
          <w:rFonts w:hint="eastAsia" w:cs="宋体"/>
          <w:color w:val="auto"/>
          <w:highlight w:val="none"/>
        </w:rPr>
        <w:t>3.3.1 承包人提交项目管理机构及施工现场管理人员安排报告的期限：</w:t>
      </w:r>
      <w:r>
        <w:rPr>
          <w:rFonts w:hint="eastAsia" w:cs="宋体"/>
          <w:color w:val="auto"/>
          <w:highlight w:val="none"/>
          <w:u w:val="single"/>
        </w:rPr>
        <w:t>合同生效后7天内</w:t>
      </w:r>
      <w:r>
        <w:rPr>
          <w:rFonts w:hint="eastAsia" w:cs="宋体"/>
          <w:color w:val="auto"/>
          <w:highlight w:val="none"/>
        </w:rPr>
        <w:t>。</w:t>
      </w:r>
    </w:p>
    <w:p>
      <w:pPr>
        <w:spacing w:line="288" w:lineRule="auto"/>
        <w:ind w:firstLine="422"/>
        <w:jc w:val="left"/>
        <w:rPr>
          <w:rFonts w:cs="宋体"/>
          <w:b/>
          <w:color w:val="auto"/>
          <w:highlight w:val="none"/>
        </w:rPr>
      </w:pPr>
      <w:r>
        <w:rPr>
          <w:rFonts w:hint="eastAsia" w:cs="宋体"/>
          <w:b/>
          <w:color w:val="auto"/>
          <w:highlight w:val="none"/>
        </w:rPr>
        <w:t>3.3.2 承包人需更换主要施工管理人员的，继任人员的数量、注册执业资格、管理经验的约定：</w:t>
      </w:r>
      <w:r>
        <w:rPr>
          <w:rFonts w:hint="eastAsia" w:cs="宋体"/>
          <w:b/>
          <w:color w:val="auto"/>
          <w:highlight w:val="none"/>
          <w:u w:val="single"/>
        </w:rPr>
        <w:t>不得低于原主要施工管理人员的数量、注册执业资格、管理经验</w:t>
      </w:r>
      <w:r>
        <w:rPr>
          <w:rFonts w:hint="eastAsia" w:cs="宋体"/>
          <w:b/>
          <w:color w:val="auto"/>
          <w:highlight w:val="none"/>
        </w:rPr>
        <w:t>。</w:t>
      </w:r>
    </w:p>
    <w:p>
      <w:pPr>
        <w:spacing w:line="288" w:lineRule="auto"/>
        <w:ind w:firstLine="396" w:firstLineChars="189"/>
        <w:rPr>
          <w:rFonts w:cs="宋体"/>
          <w:color w:val="auto"/>
          <w:highlight w:val="none"/>
        </w:rPr>
      </w:pPr>
      <w:r>
        <w:rPr>
          <w:rFonts w:hint="eastAsia" w:cs="宋体"/>
          <w:color w:val="auto"/>
          <w:highlight w:val="none"/>
        </w:rPr>
        <w:t>3.3.3 承包人无正当理由拒绝撤换主要施工管理人员的违约责任：</w:t>
      </w:r>
      <w:r>
        <w:rPr>
          <w:rFonts w:hint="eastAsia" w:cs="宋体"/>
          <w:color w:val="auto"/>
          <w:highlight w:val="none"/>
          <w:u w:val="single"/>
        </w:rPr>
        <w:t>从结算款中扣除2万元/人/次的违约金</w:t>
      </w:r>
      <w:r>
        <w:rPr>
          <w:rFonts w:hint="eastAsia" w:cs="宋体"/>
          <w:color w:val="auto"/>
          <w:highlight w:val="none"/>
        </w:rPr>
        <w:t>。</w:t>
      </w:r>
    </w:p>
    <w:p>
      <w:pPr>
        <w:spacing w:line="288" w:lineRule="auto"/>
        <w:ind w:firstLine="420"/>
        <w:rPr>
          <w:rFonts w:cs="宋体"/>
          <w:color w:val="auto"/>
          <w:highlight w:val="none"/>
          <w:u w:val="single"/>
        </w:rPr>
      </w:pPr>
      <w:r>
        <w:rPr>
          <w:rFonts w:hint="eastAsia" w:cs="宋体"/>
          <w:color w:val="auto"/>
          <w:highlight w:val="none"/>
        </w:rPr>
        <w:t>3.3.4 承包人主要施工管理人员离开施工现场的批准要求：</w:t>
      </w:r>
      <w:r>
        <w:rPr>
          <w:rFonts w:hint="eastAsia" w:cs="宋体"/>
          <w:color w:val="auto"/>
          <w:highlight w:val="none"/>
          <w:u w:val="single"/>
        </w:rPr>
        <w:t>按通用条款执行</w:t>
      </w:r>
      <w:r>
        <w:rPr>
          <w:rFonts w:hint="eastAsia" w:cs="宋体"/>
          <w:color w:val="auto"/>
          <w:highlight w:val="none"/>
        </w:rPr>
        <w:t>。</w:t>
      </w:r>
    </w:p>
    <w:p>
      <w:pPr>
        <w:spacing w:line="288" w:lineRule="auto"/>
        <w:ind w:firstLine="420"/>
        <w:rPr>
          <w:rFonts w:cs="宋体"/>
          <w:color w:val="auto"/>
          <w:highlight w:val="none"/>
          <w:u w:val="single"/>
        </w:rPr>
      </w:pPr>
      <w:r>
        <w:rPr>
          <w:rFonts w:hint="eastAsia" w:cs="宋体"/>
          <w:color w:val="auto"/>
          <w:highlight w:val="none"/>
        </w:rPr>
        <w:t>3.3.5承包人擅自更换主要施工管理人员的违约责任：</w:t>
      </w:r>
      <w:r>
        <w:rPr>
          <w:rFonts w:hint="eastAsia" w:cs="宋体"/>
          <w:color w:val="auto"/>
          <w:highlight w:val="none"/>
          <w:u w:val="single"/>
        </w:rPr>
        <w:t>在施工期间不准更换，特殊情况要求更换的，须经发包人书面同意备案。承包人更换技术负责人、施工员的将被视为承包人违约，并按照2000元/人•次付给发包人违约金</w:t>
      </w:r>
    </w:p>
    <w:p>
      <w:pPr>
        <w:spacing w:line="288" w:lineRule="auto"/>
        <w:ind w:firstLine="420"/>
        <w:rPr>
          <w:rFonts w:cs="宋体"/>
          <w:color w:val="auto"/>
          <w:highlight w:val="none"/>
        </w:rPr>
      </w:pPr>
      <w:r>
        <w:rPr>
          <w:rFonts w:hint="eastAsia" w:cs="宋体"/>
          <w:color w:val="auto"/>
          <w:highlight w:val="none"/>
        </w:rPr>
        <w:t>承包人主要施工管理人员擅自离开施工现场的违约责任：</w:t>
      </w:r>
      <w:r>
        <w:rPr>
          <w:rFonts w:hint="eastAsia" w:cs="宋体"/>
          <w:color w:val="auto"/>
          <w:highlight w:val="none"/>
          <w:u w:val="single"/>
        </w:rPr>
        <w:t>若技术负责人、施工员出勤率不足投标承诺，支付违约金1000元人民币/天/人；安全员、质检员、材料员出勤率不足投标承诺，支付违约金800元人民币/天/人</w:t>
      </w:r>
      <w:r>
        <w:rPr>
          <w:rFonts w:hint="eastAsia" w:cs="宋体"/>
          <w:color w:val="auto"/>
          <w:highlight w:val="none"/>
        </w:rPr>
        <w:t>。</w:t>
      </w:r>
    </w:p>
    <w:p>
      <w:pPr>
        <w:spacing w:after="120" w:line="288" w:lineRule="auto"/>
        <w:ind w:firstLine="420"/>
        <w:rPr>
          <w:rFonts w:cs="宋体"/>
          <w:color w:val="auto"/>
          <w:highlight w:val="none"/>
        </w:rPr>
      </w:pPr>
      <w:r>
        <w:rPr>
          <w:rFonts w:hint="eastAsia" w:cs="宋体"/>
          <w:color w:val="auto"/>
          <w:highlight w:val="none"/>
        </w:rPr>
        <w:t>3</w:t>
      </w:r>
      <w:bookmarkStart w:id="607" w:name="_Toc296346660"/>
      <w:bookmarkStart w:id="608" w:name="_Toc296890987"/>
      <w:bookmarkStart w:id="609" w:name="_Toc312677988"/>
      <w:bookmarkStart w:id="610" w:name="_Toc297048345"/>
      <w:bookmarkStart w:id="611" w:name="_Toc296944498"/>
      <w:bookmarkStart w:id="612" w:name="_Toc303539102"/>
      <w:bookmarkStart w:id="613" w:name="_Toc297120459"/>
      <w:bookmarkStart w:id="614" w:name="_Toc292559869"/>
      <w:bookmarkStart w:id="615" w:name="_Toc296891199"/>
      <w:bookmarkStart w:id="616" w:name="_Toc297123492"/>
      <w:bookmarkStart w:id="617" w:name="_Toc304295523"/>
      <w:bookmarkStart w:id="618" w:name="_Toc297216151"/>
      <w:bookmarkStart w:id="619" w:name="_Toc300934945"/>
      <w:bookmarkStart w:id="620" w:name="_Toc296347158"/>
      <w:bookmarkStart w:id="621" w:name="_Toc296503159"/>
      <w:bookmarkStart w:id="622" w:name="_Toc292559364"/>
      <w:r>
        <w:rPr>
          <w:rFonts w:hint="eastAsia" w:cs="宋体"/>
          <w:color w:val="auto"/>
          <w:highlight w:val="none"/>
        </w:rPr>
        <w:t>.5 分包</w:t>
      </w:r>
    </w:p>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pPr>
        <w:spacing w:line="288" w:lineRule="auto"/>
        <w:ind w:firstLine="420"/>
        <w:rPr>
          <w:rFonts w:cs="宋体"/>
          <w:color w:val="auto"/>
          <w:highlight w:val="none"/>
        </w:rPr>
      </w:pPr>
      <w:r>
        <w:rPr>
          <w:rFonts w:hint="eastAsia" w:cs="宋体"/>
          <w:color w:val="auto"/>
          <w:highlight w:val="none"/>
        </w:rPr>
        <w:t>3</w:t>
      </w:r>
      <w:bookmarkStart w:id="623" w:name="_Toc296944499"/>
      <w:bookmarkStart w:id="624" w:name="_Toc296503160"/>
      <w:bookmarkStart w:id="625" w:name="_Toc296347159"/>
      <w:bookmarkStart w:id="626" w:name="_Toc296346661"/>
      <w:bookmarkStart w:id="627" w:name="_Toc297123493"/>
      <w:bookmarkStart w:id="628" w:name="_Toc296890988"/>
      <w:bookmarkStart w:id="629" w:name="_Toc297048346"/>
      <w:bookmarkStart w:id="630" w:name="_Toc297216152"/>
      <w:bookmarkStart w:id="631" w:name="_Toc292559365"/>
      <w:bookmarkStart w:id="632" w:name="_Toc292559870"/>
      <w:bookmarkStart w:id="633" w:name="_Toc297120460"/>
      <w:bookmarkStart w:id="634" w:name="_Toc300934946"/>
      <w:bookmarkStart w:id="635" w:name="_Toc296891200"/>
      <w:bookmarkStart w:id="636" w:name="_Toc303539103"/>
      <w:bookmarkStart w:id="637" w:name="_Toc304295524"/>
      <w:bookmarkStart w:id="638" w:name="_Toc312677989"/>
      <w:bookmarkStart w:id="639" w:name="_Toc318581158"/>
      <w:r>
        <w:rPr>
          <w:rFonts w:hint="eastAsia" w:cs="宋体"/>
          <w:color w:val="auto"/>
          <w:highlight w:val="none"/>
        </w:rPr>
        <w:t>.5.1 分包的一般约定</w:t>
      </w:r>
    </w:p>
    <w:p>
      <w:pPr>
        <w:spacing w:line="288" w:lineRule="auto"/>
        <w:ind w:firstLine="420"/>
        <w:jc w:val="left"/>
        <w:rPr>
          <w:rFonts w:cs="宋体"/>
          <w:color w:val="auto"/>
          <w:highlight w:val="none"/>
        </w:rPr>
      </w:pPr>
      <w:r>
        <w:rPr>
          <w:rFonts w:hint="eastAsia" w:cs="宋体"/>
          <w:color w:val="auto"/>
          <w:highlight w:val="none"/>
        </w:rPr>
        <w:t>禁止分包的工程包括：</w:t>
      </w:r>
      <w:r>
        <w:rPr>
          <w:rFonts w:hint="eastAsia" w:cs="宋体"/>
          <w:b/>
          <w:bCs/>
          <w:color w:val="auto"/>
          <w:highlight w:val="none"/>
          <w:u w:val="single"/>
        </w:rPr>
        <w:t>未经发包人书面同意一律不得分包</w:t>
      </w:r>
    </w:p>
    <w:p>
      <w:pPr>
        <w:spacing w:line="288" w:lineRule="auto"/>
        <w:ind w:firstLine="420"/>
        <w:jc w:val="left"/>
        <w:rPr>
          <w:rFonts w:cs="宋体"/>
          <w:color w:val="auto"/>
          <w:highlight w:val="none"/>
          <w:u w:val="single"/>
        </w:rPr>
      </w:pPr>
      <w:r>
        <w:rPr>
          <w:rFonts w:hint="eastAsia" w:cs="宋体"/>
          <w:color w:val="auto"/>
          <w:highlight w:val="none"/>
        </w:rPr>
        <w:t>主体结构、关键性工作的范围：</w:t>
      </w:r>
      <w:r>
        <w:rPr>
          <w:rFonts w:hint="eastAsia" w:cs="宋体"/>
          <w:color w:val="auto"/>
          <w:highlight w:val="none"/>
          <w:u w:val="single"/>
        </w:rPr>
        <w:t>发生时双方协商确定</w:t>
      </w:r>
      <w:r>
        <w:rPr>
          <w:rFonts w:hint="eastAsia" w:cs="宋体"/>
          <w:color w:val="auto"/>
          <w:highlight w:val="none"/>
        </w:rPr>
        <w:t>。</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Start w:id="640" w:name="_Toc300934947"/>
      <w:bookmarkStart w:id="641" w:name="_Toc296944500"/>
      <w:bookmarkStart w:id="642" w:name="_Toc296347160"/>
      <w:bookmarkStart w:id="643" w:name="_Toc296891201"/>
      <w:bookmarkStart w:id="644" w:name="_Toc297048347"/>
      <w:bookmarkStart w:id="645" w:name="_Toc297120461"/>
      <w:bookmarkStart w:id="646" w:name="_Toc297123494"/>
      <w:bookmarkStart w:id="647" w:name="_Toc296890989"/>
      <w:bookmarkStart w:id="648" w:name="_Toc303539104"/>
      <w:bookmarkStart w:id="649" w:name="_Toc296346662"/>
      <w:bookmarkStart w:id="650" w:name="_Toc297216153"/>
      <w:bookmarkStart w:id="651" w:name="_Toc296503161"/>
      <w:bookmarkStart w:id="652" w:name="_Toc304295525"/>
    </w:p>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Pr>
        <w:spacing w:line="288" w:lineRule="auto"/>
        <w:ind w:firstLine="420"/>
        <w:rPr>
          <w:rFonts w:cs="宋体"/>
          <w:color w:val="auto"/>
          <w:highlight w:val="none"/>
        </w:rPr>
      </w:pPr>
      <w:r>
        <w:rPr>
          <w:rFonts w:hint="eastAsia" w:cs="宋体"/>
          <w:color w:val="auto"/>
          <w:highlight w:val="none"/>
        </w:rPr>
        <w:t xml:space="preserve">    3</w:t>
      </w:r>
      <w:bookmarkStart w:id="653" w:name="_Toc312677990"/>
      <w:bookmarkStart w:id="654" w:name="_Toc318581159"/>
      <w:r>
        <w:rPr>
          <w:rFonts w:hint="eastAsia" w:cs="宋体"/>
          <w:color w:val="auto"/>
          <w:highlight w:val="none"/>
        </w:rPr>
        <w:t>.5.2分包的确定</w:t>
      </w:r>
    </w:p>
    <w:p>
      <w:pPr>
        <w:spacing w:line="288" w:lineRule="auto"/>
        <w:ind w:firstLine="420"/>
        <w:rPr>
          <w:rFonts w:cs="宋体"/>
          <w:color w:val="auto"/>
          <w:highlight w:val="none"/>
          <w:u w:val="single"/>
        </w:rPr>
      </w:pPr>
      <w:r>
        <w:rPr>
          <w:rFonts w:hint="eastAsia" w:cs="宋体"/>
          <w:color w:val="auto"/>
          <w:highlight w:val="none"/>
        </w:rPr>
        <w:t>允许分包的专业工程包括：</w:t>
      </w:r>
      <w:r>
        <w:rPr>
          <w:rFonts w:hint="eastAsia" w:cs="宋体"/>
          <w:color w:val="auto"/>
          <w:highlight w:val="none"/>
          <w:u w:val="single"/>
        </w:rPr>
        <w:t>未经发包人书面同意，承包人不得将承包工程的任何部分分包，如发现擅自分包，除立即取消分包人的分包资格外，承包人还应按合同总价的1%向发包人支付违约金</w:t>
      </w:r>
      <w:r>
        <w:rPr>
          <w:rFonts w:hint="eastAsia" w:cs="宋体"/>
          <w:color w:val="auto"/>
          <w:highlight w:val="none"/>
        </w:rPr>
        <w:t>。</w:t>
      </w:r>
    </w:p>
    <w:p>
      <w:pPr>
        <w:spacing w:line="288" w:lineRule="auto"/>
        <w:ind w:firstLine="420"/>
        <w:rPr>
          <w:rFonts w:cs="宋体"/>
          <w:color w:val="auto"/>
          <w:highlight w:val="none"/>
          <w:u w:val="single"/>
        </w:rPr>
      </w:pPr>
      <w:r>
        <w:rPr>
          <w:rFonts w:hint="eastAsia" w:cs="宋体"/>
          <w:color w:val="auto"/>
          <w:highlight w:val="none"/>
        </w:rPr>
        <w:t>其他关于分包的约定：</w:t>
      </w:r>
      <w:r>
        <w:rPr>
          <w:rFonts w:hint="eastAsia" w:cs="宋体"/>
          <w:color w:val="auto"/>
          <w:highlight w:val="none"/>
          <w:u w:val="single"/>
        </w:rPr>
        <w:t xml:space="preserve"> / </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3.5.4 分包合同价款</w:t>
      </w:r>
    </w:p>
    <w:p>
      <w:pPr>
        <w:spacing w:line="288" w:lineRule="auto"/>
        <w:ind w:firstLine="420"/>
        <w:rPr>
          <w:rFonts w:cs="宋体"/>
          <w:color w:val="auto"/>
          <w:highlight w:val="none"/>
        </w:rPr>
      </w:pPr>
      <w:r>
        <w:rPr>
          <w:rFonts w:hint="eastAsia" w:cs="宋体"/>
          <w:color w:val="auto"/>
          <w:highlight w:val="none"/>
        </w:rPr>
        <w:t>关于分包合同价款支付的约定：</w:t>
      </w:r>
    </w:p>
    <w:p>
      <w:pPr>
        <w:spacing w:line="288" w:lineRule="auto"/>
        <w:ind w:firstLine="422"/>
        <w:rPr>
          <w:rFonts w:cs="宋体"/>
          <w:b/>
          <w:color w:val="auto"/>
          <w:highlight w:val="none"/>
          <w:u w:val="single"/>
        </w:rPr>
      </w:pPr>
      <w:r>
        <w:rPr>
          <w:rFonts w:hint="eastAsia" w:cs="宋体"/>
          <w:b/>
          <w:color w:val="auto"/>
          <w:highlight w:val="none"/>
          <w:u w:val="single"/>
        </w:rPr>
        <w:t></w:t>
      </w:r>
      <w:r>
        <w:rPr>
          <w:rFonts w:hint="eastAsia" w:cs="宋体"/>
          <w:color w:val="auto"/>
          <w:highlight w:val="none"/>
          <w:u w:val="single"/>
        </w:rPr>
        <w:t>按通用条款执行</w:t>
      </w:r>
      <w:r>
        <w:rPr>
          <w:rFonts w:hint="eastAsia" w:cs="宋体"/>
          <w:b/>
          <w:color w:val="auto"/>
          <w:highlight w:val="none"/>
        </w:rPr>
        <w:t>。</w:t>
      </w:r>
    </w:p>
    <w:bookmarkEnd w:id="653"/>
    <w:bookmarkEnd w:id="654"/>
    <w:p>
      <w:pPr>
        <w:spacing w:after="120" w:line="288" w:lineRule="auto"/>
        <w:ind w:firstLine="420"/>
        <w:rPr>
          <w:rFonts w:cs="宋体"/>
          <w:color w:val="auto"/>
          <w:highlight w:val="none"/>
        </w:rPr>
      </w:pPr>
      <w:r>
        <w:rPr>
          <w:rFonts w:hint="eastAsia" w:cs="宋体"/>
          <w:color w:val="auto"/>
          <w:highlight w:val="none"/>
        </w:rPr>
        <w:t>3.6 工程照管与成品、半成品保护</w:t>
      </w:r>
    </w:p>
    <w:p>
      <w:pPr>
        <w:spacing w:line="288" w:lineRule="auto"/>
        <w:ind w:firstLine="420"/>
        <w:jc w:val="left"/>
        <w:rPr>
          <w:rFonts w:cs="宋体"/>
          <w:b/>
          <w:color w:val="auto"/>
          <w:kern w:val="0"/>
          <w:highlight w:val="none"/>
          <w:u w:val="single"/>
        </w:rPr>
      </w:pPr>
      <w:r>
        <w:rPr>
          <w:rFonts w:hint="eastAsia" w:cs="宋体"/>
          <w:color w:val="auto"/>
          <w:kern w:val="0"/>
          <w:highlight w:val="none"/>
        </w:rPr>
        <w:t>承包人负责照管工程及工程相关的材料、工程设备的起始时间：</w:t>
      </w:r>
      <w:r>
        <w:rPr>
          <w:rFonts w:hint="eastAsia" w:cs="宋体"/>
          <w:color w:val="auto"/>
          <w:kern w:val="0"/>
          <w:highlight w:val="none"/>
          <w:u w:val="single"/>
        </w:rPr>
        <w:t>按通用条款执行</w:t>
      </w:r>
      <w:r>
        <w:rPr>
          <w:rFonts w:hint="eastAsia" w:cs="宋体"/>
          <w:b/>
          <w:color w:val="auto"/>
          <w:kern w:val="0"/>
          <w:highlight w:val="none"/>
          <w:u w:val="single"/>
        </w:rPr>
        <w:t>。</w:t>
      </w:r>
    </w:p>
    <w:p>
      <w:pPr>
        <w:spacing w:after="120" w:line="288" w:lineRule="auto"/>
        <w:ind w:firstLine="420"/>
        <w:rPr>
          <w:rFonts w:cs="宋体"/>
          <w:color w:val="auto"/>
          <w:highlight w:val="none"/>
        </w:rPr>
      </w:pPr>
      <w:r>
        <w:rPr>
          <w:rFonts w:hint="eastAsia" w:cs="宋体"/>
          <w:color w:val="auto"/>
          <w:highlight w:val="none"/>
        </w:rPr>
        <w:t>3.7 履约保证金</w:t>
      </w:r>
    </w:p>
    <w:p>
      <w:pPr>
        <w:widowControl/>
        <w:adjustRightInd w:val="0"/>
        <w:snapToGrid w:val="0"/>
        <w:spacing w:line="288" w:lineRule="auto"/>
        <w:ind w:firstLine="420"/>
        <w:rPr>
          <w:rFonts w:cs="宋体"/>
          <w:color w:val="auto"/>
          <w:highlight w:val="none"/>
        </w:rPr>
      </w:pPr>
      <w:r>
        <w:rPr>
          <w:rFonts w:hint="eastAsia" w:cs="宋体"/>
          <w:color w:val="auto"/>
          <w:highlight w:val="none"/>
        </w:rPr>
        <w:t>承包人是否提供履约保证金：</w:t>
      </w:r>
      <w:r>
        <w:rPr>
          <w:rFonts w:hint="eastAsia" w:cs="宋体"/>
          <w:color w:val="auto"/>
          <w:highlight w:val="none"/>
          <w:u w:val="single"/>
        </w:rPr>
        <w:t xml:space="preserve">     是   </w:t>
      </w:r>
      <w:r>
        <w:rPr>
          <w:rFonts w:hint="eastAsia" w:cs="宋体"/>
          <w:color w:val="auto"/>
          <w:highlight w:val="none"/>
        </w:rPr>
        <w:t>。</w:t>
      </w:r>
    </w:p>
    <w:p>
      <w:pPr>
        <w:widowControl/>
        <w:spacing w:line="288" w:lineRule="auto"/>
        <w:ind w:firstLine="420" w:firstLineChars="0"/>
        <w:rPr>
          <w:rFonts w:cs="宋体"/>
          <w:color w:val="auto"/>
          <w:highlight w:val="none"/>
        </w:rPr>
      </w:pPr>
      <w:r>
        <w:rPr>
          <w:rFonts w:hint="eastAsia" w:cs="宋体"/>
          <w:color w:val="auto"/>
          <w:highlight w:val="none"/>
        </w:rPr>
        <w:t>承包人提供履约保证金的形式、金额及期限的：</w:t>
      </w:r>
      <w:r>
        <w:rPr>
          <w:rFonts w:hint="eastAsia" w:cs="宋体"/>
          <w:color w:val="auto"/>
          <w:highlight w:val="none"/>
          <w:u w:val="single"/>
        </w:rPr>
        <w:t>履约保证金的形式：银行转账</w:t>
      </w:r>
      <w:r>
        <w:rPr>
          <w:rFonts w:hint="eastAsia" w:cs="宋体"/>
          <w:color w:val="auto"/>
          <w:highlight w:val="none"/>
          <w:u w:val="single"/>
          <w:lang w:eastAsia="zh-CN"/>
        </w:rPr>
        <w:t>或银行保函</w:t>
      </w:r>
      <w:r>
        <w:rPr>
          <w:rFonts w:hint="eastAsia" w:cs="宋体"/>
          <w:color w:val="auto"/>
          <w:highlight w:val="none"/>
          <w:u w:val="single"/>
        </w:rPr>
        <w:t>，履约保证金的金额：合同金额的5%。</w:t>
      </w:r>
      <w:r>
        <w:rPr>
          <w:rFonts w:hint="eastAsia" w:cs="宋体"/>
          <w:b/>
          <w:color w:val="auto"/>
          <w:highlight w:val="none"/>
          <w:u w:val="single"/>
        </w:rPr>
        <w:t>履约保证金的最晚递交时间：合同签订后7个工作日内。</w:t>
      </w:r>
      <w:r>
        <w:rPr>
          <w:rFonts w:hint="eastAsia" w:cs="宋体"/>
          <w:color w:val="auto"/>
          <w:szCs w:val="21"/>
          <w:highlight w:val="none"/>
        </w:rPr>
        <w:t>质量保证金将从履约保证金扣除，在2年保修期满后一次性结清（无息），剩余部分履约保证金在工程结算经审计通过后15天内退还承包人（无息）</w:t>
      </w:r>
      <w:r>
        <w:rPr>
          <w:rFonts w:hint="eastAsia" w:cs="宋体"/>
          <w:color w:val="auto"/>
          <w:highlight w:val="none"/>
          <w:u w:val="single"/>
        </w:rPr>
        <w:t>。合同履行期间如承包人出现违约情况，发包人有权从履约保证金中直接予以扣除，承包人应在接到扣除通知后15天内补足履约保证金，否则发包人有权停止支付工程进度款或从工程进度款中扣除</w:t>
      </w:r>
      <w:r>
        <w:rPr>
          <w:rFonts w:hint="eastAsia" w:cs="宋体"/>
          <w:color w:val="auto"/>
          <w:highlight w:val="none"/>
        </w:rPr>
        <w:t>。</w:t>
      </w:r>
    </w:p>
    <w:p>
      <w:pPr>
        <w:widowControl/>
        <w:adjustRightInd w:val="0"/>
        <w:snapToGrid w:val="0"/>
        <w:spacing w:line="288" w:lineRule="auto"/>
        <w:ind w:firstLine="420"/>
        <w:rPr>
          <w:rFonts w:cs="宋体"/>
          <w:color w:val="auto"/>
          <w:highlight w:val="none"/>
          <w:u w:val="single"/>
        </w:rPr>
      </w:pPr>
      <w:r>
        <w:rPr>
          <w:rFonts w:hint="eastAsia" w:cs="宋体"/>
          <w:color w:val="auto"/>
          <w:highlight w:val="none"/>
          <w:u w:val="single"/>
        </w:rPr>
        <w:t>a)质量保证金占履约保证金的40%，视发生质量事故的严重程度扣除。若验收不合格或未达到合同约定质量目标，则按招标文件和合同中相关条款办理。</w:t>
      </w:r>
    </w:p>
    <w:p>
      <w:pPr>
        <w:widowControl/>
        <w:adjustRightInd w:val="0"/>
        <w:snapToGrid w:val="0"/>
        <w:spacing w:line="288" w:lineRule="auto"/>
        <w:ind w:firstLine="420"/>
        <w:rPr>
          <w:rFonts w:cs="宋体"/>
          <w:color w:val="auto"/>
          <w:highlight w:val="none"/>
          <w:u w:val="single"/>
        </w:rPr>
      </w:pPr>
      <w:r>
        <w:rPr>
          <w:rFonts w:hint="eastAsia" w:cs="宋体"/>
          <w:color w:val="auto"/>
          <w:highlight w:val="none"/>
          <w:u w:val="single"/>
        </w:rPr>
        <w:t>b)工期保证金占履约保证金的30%，工期以合同工期和经批准的顺延工期为准，若不能按期竣工，则按招标文件和合同中相关条款办理。</w:t>
      </w:r>
    </w:p>
    <w:p>
      <w:pPr>
        <w:widowControl/>
        <w:adjustRightInd w:val="0"/>
        <w:snapToGrid w:val="0"/>
        <w:spacing w:line="288" w:lineRule="auto"/>
        <w:ind w:firstLine="420"/>
        <w:rPr>
          <w:rFonts w:cs="宋体"/>
          <w:color w:val="auto"/>
          <w:highlight w:val="none"/>
          <w:u w:val="single"/>
        </w:rPr>
      </w:pPr>
      <w:r>
        <w:rPr>
          <w:rFonts w:hint="eastAsia" w:cs="宋体"/>
          <w:color w:val="auto"/>
          <w:highlight w:val="none"/>
          <w:u w:val="single"/>
        </w:rPr>
        <w:t>c)项目经理及项目班子到位率保证金占履约保证金的20%。项目经理或项目班子若不能按要求到位，则按招标文件和合同中相关条款办理。</w:t>
      </w:r>
    </w:p>
    <w:p>
      <w:pPr>
        <w:widowControl/>
        <w:adjustRightInd w:val="0"/>
        <w:snapToGrid w:val="0"/>
        <w:spacing w:line="288" w:lineRule="auto"/>
        <w:ind w:firstLine="420"/>
        <w:rPr>
          <w:rFonts w:cs="宋体"/>
          <w:color w:val="auto"/>
          <w:highlight w:val="none"/>
          <w:u w:val="single"/>
        </w:rPr>
      </w:pPr>
      <w:r>
        <w:rPr>
          <w:rFonts w:hint="eastAsia" w:cs="宋体"/>
          <w:color w:val="auto"/>
          <w:highlight w:val="none"/>
          <w:u w:val="single"/>
        </w:rPr>
        <w:t>d)文明安全生产保证金占履约保证金的10%，发生重大人身安全事故，扣除全部保证金。</w:t>
      </w:r>
    </w:p>
    <w:p>
      <w:pPr>
        <w:widowControl/>
        <w:adjustRightInd w:val="0"/>
        <w:snapToGrid w:val="0"/>
        <w:spacing w:line="288" w:lineRule="auto"/>
        <w:ind w:firstLine="420"/>
        <w:rPr>
          <w:rFonts w:cs="宋体"/>
          <w:color w:val="auto"/>
          <w:highlight w:val="none"/>
        </w:rPr>
      </w:pPr>
      <w:r>
        <w:rPr>
          <w:rFonts w:hint="eastAsia" w:cs="宋体"/>
          <w:color w:val="auto"/>
          <w:highlight w:val="none"/>
          <w:u w:val="single"/>
        </w:rPr>
        <w:t>说明：承包人提供履约保证金的形式、上述履约保证金的内容构成系对履约保证金组成的说明，但不得构成对发包人处置履约保证金的限制，即对于上述任何一项违约情形，发包人均有权在履约保证金总额范围内处分保证金，而不受上述比例限制</w:t>
      </w:r>
      <w:r>
        <w:rPr>
          <w:rFonts w:hint="eastAsia" w:cs="宋体"/>
          <w:color w:val="auto"/>
          <w:highlight w:val="none"/>
        </w:rPr>
        <w:t>。</w:t>
      </w:r>
    </w:p>
    <w:p>
      <w:pPr>
        <w:widowControl/>
        <w:adjustRightInd w:val="0"/>
        <w:snapToGrid w:val="0"/>
        <w:spacing w:line="288" w:lineRule="auto"/>
        <w:ind w:firstLine="420"/>
        <w:rPr>
          <w:rFonts w:cs="宋体"/>
          <w:color w:val="auto"/>
          <w:highlight w:val="none"/>
        </w:rPr>
      </w:pPr>
      <w:r>
        <w:rPr>
          <w:rFonts w:hint="eastAsia" w:cs="宋体"/>
          <w:color w:val="auto"/>
          <w:highlight w:val="none"/>
          <w:u w:val="single"/>
        </w:rPr>
        <w:t>履约保证金的补足：发包人根据本合同约定行使处分履约保证金权利后应当及时书面通知承包人，承包人应当接到通知后5个工作日补足，以使整个合同期内的履约保证金始终维持在成交金额5%的数额。逾期未能补足的，每日按应补而未补金额的万分之五支付逾期补交违约金。</w:t>
      </w:r>
    </w:p>
    <w:p>
      <w:pPr>
        <w:spacing w:line="288" w:lineRule="auto"/>
        <w:ind w:firstLine="420"/>
        <w:jc w:val="left"/>
        <w:rPr>
          <w:rFonts w:cs="宋体"/>
          <w:color w:val="auto"/>
          <w:highlight w:val="none"/>
          <w:u w:val="single"/>
        </w:rPr>
      </w:pPr>
    </w:p>
    <w:p>
      <w:pPr>
        <w:keepNext/>
        <w:keepLines/>
        <w:spacing w:before="120" w:after="120" w:line="288" w:lineRule="auto"/>
        <w:ind w:firstLine="420"/>
        <w:outlineLvl w:val="3"/>
        <w:rPr>
          <w:rFonts w:cs="宋体"/>
          <w:bCs/>
          <w:color w:val="auto"/>
          <w:highlight w:val="none"/>
        </w:rPr>
      </w:pPr>
      <w:bookmarkStart w:id="655" w:name="_Toc351203636"/>
      <w:r>
        <w:rPr>
          <w:rFonts w:hint="eastAsia" w:cs="宋体"/>
          <w:bCs/>
          <w:color w:val="auto"/>
          <w:highlight w:val="none"/>
        </w:rPr>
        <w:t>4</w:t>
      </w:r>
      <w:bookmarkStart w:id="656" w:name="_Toc297120462"/>
      <w:bookmarkStart w:id="657" w:name="_Toc292559871"/>
      <w:bookmarkStart w:id="658" w:name="_Toc296944501"/>
      <w:bookmarkStart w:id="659" w:name="_Toc267251413"/>
      <w:bookmarkStart w:id="660" w:name="_Toc296346663"/>
      <w:bookmarkStart w:id="661" w:name="_Toc296891202"/>
      <w:bookmarkStart w:id="662" w:name="_Toc296890990"/>
      <w:bookmarkStart w:id="663" w:name="_Toc296347161"/>
      <w:bookmarkStart w:id="664" w:name="_Toc292559366"/>
      <w:bookmarkStart w:id="665" w:name="_Toc297048348"/>
      <w:bookmarkStart w:id="666" w:name="_Toc296503162"/>
      <w:r>
        <w:rPr>
          <w:rFonts w:hint="eastAsia" w:cs="宋体"/>
          <w:bCs/>
          <w:color w:val="auto"/>
          <w:highlight w:val="none"/>
        </w:rPr>
        <w:t>. 监</w:t>
      </w:r>
      <w:bookmarkEnd w:id="656"/>
      <w:bookmarkEnd w:id="657"/>
      <w:bookmarkEnd w:id="658"/>
      <w:bookmarkEnd w:id="659"/>
      <w:bookmarkEnd w:id="660"/>
      <w:bookmarkEnd w:id="661"/>
      <w:bookmarkEnd w:id="662"/>
      <w:bookmarkEnd w:id="663"/>
      <w:bookmarkEnd w:id="664"/>
      <w:bookmarkEnd w:id="665"/>
      <w:bookmarkEnd w:id="666"/>
      <w:r>
        <w:rPr>
          <w:rFonts w:hint="eastAsia" w:cs="宋体"/>
          <w:bCs/>
          <w:color w:val="auto"/>
          <w:highlight w:val="none"/>
        </w:rPr>
        <w:t>理人</w:t>
      </w:r>
      <w:bookmarkEnd w:id="655"/>
    </w:p>
    <w:p>
      <w:pPr>
        <w:spacing w:after="120" w:line="288" w:lineRule="auto"/>
        <w:ind w:firstLine="420"/>
        <w:rPr>
          <w:rFonts w:cs="宋体"/>
          <w:color w:val="auto"/>
          <w:highlight w:val="none"/>
        </w:rPr>
      </w:pPr>
      <w:r>
        <w:rPr>
          <w:rFonts w:hint="eastAsia" w:cs="宋体"/>
          <w:color w:val="auto"/>
          <w:highlight w:val="none"/>
        </w:rPr>
        <w:t>4.1监理人的一般规定</w:t>
      </w:r>
    </w:p>
    <w:p>
      <w:pPr>
        <w:spacing w:line="288" w:lineRule="auto"/>
        <w:ind w:firstLine="420"/>
        <w:jc w:val="left"/>
        <w:rPr>
          <w:rFonts w:cs="宋体"/>
          <w:color w:val="auto"/>
          <w:highlight w:val="none"/>
        </w:rPr>
      </w:pPr>
      <w:r>
        <w:rPr>
          <w:rFonts w:hint="eastAsia" w:cs="宋体"/>
          <w:color w:val="auto"/>
          <w:highlight w:val="none"/>
        </w:rPr>
        <w:t>关于监理人的监理内容：</w:t>
      </w:r>
      <w:r>
        <w:rPr>
          <w:rFonts w:hint="eastAsia" w:cs="宋体"/>
          <w:color w:val="auto"/>
          <w:highlight w:val="none"/>
          <w:u w:val="single"/>
        </w:rPr>
        <w:t>按监理合同约定实行</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关于监理人的监理权限：</w:t>
      </w:r>
      <w:r>
        <w:rPr>
          <w:rFonts w:hint="eastAsia" w:cs="宋体"/>
          <w:color w:val="auto"/>
          <w:highlight w:val="none"/>
          <w:u w:val="single"/>
        </w:rPr>
        <w:t>按监理合同约定实行</w:t>
      </w:r>
      <w:r>
        <w:rPr>
          <w:rFonts w:hint="eastAsia" w:cs="宋体"/>
          <w:color w:val="auto"/>
          <w:highlight w:val="none"/>
        </w:rPr>
        <w:t xml:space="preserve">。 </w:t>
      </w:r>
    </w:p>
    <w:p>
      <w:pPr>
        <w:spacing w:line="288" w:lineRule="auto"/>
        <w:ind w:firstLine="420"/>
        <w:rPr>
          <w:rFonts w:cs="宋体"/>
          <w:color w:val="auto"/>
          <w:highlight w:val="none"/>
          <w:u w:val="single"/>
        </w:rPr>
      </w:pPr>
      <w:r>
        <w:rPr>
          <w:rFonts w:hint="eastAsia" w:cs="宋体"/>
          <w:color w:val="auto"/>
          <w:highlight w:val="none"/>
        </w:rPr>
        <w:t>关于监理人在施工现场的办公场所、生活场所的提供和费用承担的约定：</w:t>
      </w:r>
      <w:r>
        <w:rPr>
          <w:rFonts w:hint="eastAsia" w:cs="宋体"/>
          <w:color w:val="auto"/>
          <w:highlight w:val="none"/>
          <w:u w:val="single"/>
        </w:rPr>
        <w:t>监理人在施工现场的办公场所、生活场所由承包人免费提供，如有其它费用由监理人自行承担</w:t>
      </w:r>
      <w:r>
        <w:rPr>
          <w:rFonts w:hint="eastAsia" w:cs="宋体"/>
          <w:color w:val="auto"/>
          <w:highlight w:val="none"/>
        </w:rPr>
        <w:t>。</w:t>
      </w:r>
    </w:p>
    <w:p>
      <w:pPr>
        <w:spacing w:after="120" w:line="288" w:lineRule="auto"/>
        <w:ind w:firstLine="420"/>
        <w:rPr>
          <w:rFonts w:cs="宋体"/>
          <w:color w:val="auto"/>
          <w:highlight w:val="none"/>
        </w:rPr>
      </w:pPr>
      <w:r>
        <w:rPr>
          <w:rFonts w:hint="eastAsia" w:cs="宋体"/>
          <w:color w:val="auto"/>
          <w:highlight w:val="none"/>
        </w:rPr>
        <w:t>4.2 监理人员</w:t>
      </w:r>
    </w:p>
    <w:p>
      <w:pPr>
        <w:spacing w:line="288" w:lineRule="auto"/>
        <w:ind w:firstLine="420"/>
        <w:rPr>
          <w:rFonts w:cs="宋体"/>
          <w:color w:val="auto"/>
          <w:highlight w:val="none"/>
        </w:rPr>
      </w:pPr>
      <w:r>
        <w:rPr>
          <w:rFonts w:hint="eastAsia" w:cs="宋体"/>
          <w:color w:val="auto"/>
          <w:highlight w:val="none"/>
        </w:rPr>
        <w:t>总监理工程师：</w:t>
      </w:r>
    </w:p>
    <w:p>
      <w:pPr>
        <w:spacing w:line="288" w:lineRule="auto"/>
        <w:ind w:firstLine="420"/>
        <w:rPr>
          <w:rFonts w:cs="宋体"/>
          <w:color w:val="auto"/>
          <w:highlight w:val="none"/>
        </w:rPr>
      </w:pPr>
      <w:r>
        <w:rPr>
          <w:rFonts w:hint="eastAsia" w:cs="宋体"/>
          <w:color w:val="auto"/>
          <w:highlight w:val="none"/>
        </w:rPr>
        <w:t>姓    名：</w:t>
      </w:r>
      <w:r>
        <w:rPr>
          <w:rFonts w:hint="eastAsia" w:cs="宋体"/>
          <w:color w:val="auto"/>
          <w:highlight w:val="none"/>
          <w:u w:val="single"/>
        </w:rPr>
        <w:t>/   </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职    务：</w:t>
      </w:r>
      <w:r>
        <w:rPr>
          <w:rFonts w:hint="eastAsia" w:cs="宋体"/>
          <w:color w:val="auto"/>
          <w:highlight w:val="none"/>
          <w:u w:val="single"/>
        </w:rPr>
        <w:t>/   </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监理工程师执业资格证书号：</w:t>
      </w:r>
      <w:r>
        <w:rPr>
          <w:rFonts w:hint="eastAsia" w:cs="宋体"/>
          <w:color w:val="auto"/>
          <w:highlight w:val="none"/>
          <w:u w:val="single"/>
        </w:rPr>
        <w:t>/ </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联系电话：</w:t>
      </w:r>
      <w:r>
        <w:rPr>
          <w:rFonts w:hint="eastAsia" w:cs="宋体"/>
          <w:color w:val="auto"/>
          <w:highlight w:val="none"/>
          <w:u w:val="single"/>
        </w:rPr>
        <w:t>/   </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电子信箱：</w:t>
      </w:r>
      <w:r>
        <w:rPr>
          <w:rFonts w:hint="eastAsia" w:cs="宋体"/>
          <w:color w:val="auto"/>
          <w:highlight w:val="none"/>
          <w:u w:val="single"/>
        </w:rPr>
        <w:t>/   </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通信地址：</w:t>
      </w:r>
      <w:r>
        <w:rPr>
          <w:rFonts w:hint="eastAsia" w:cs="宋体"/>
          <w:color w:val="auto"/>
          <w:highlight w:val="none"/>
          <w:u w:val="single"/>
        </w:rPr>
        <w:t>/   </w:t>
      </w:r>
      <w:r>
        <w:rPr>
          <w:rFonts w:hint="eastAsia" w:cs="宋体"/>
          <w:color w:val="auto"/>
          <w:highlight w:val="none"/>
        </w:rPr>
        <w:t>；</w:t>
      </w:r>
    </w:p>
    <w:p>
      <w:pPr>
        <w:spacing w:line="288" w:lineRule="auto"/>
        <w:ind w:firstLine="420"/>
        <w:rPr>
          <w:rFonts w:cs="宋体"/>
          <w:color w:val="auto"/>
          <w:highlight w:val="none"/>
        </w:rPr>
      </w:pPr>
      <w:r>
        <w:rPr>
          <w:rFonts w:hint="eastAsia" w:cs="宋体"/>
          <w:color w:val="auto"/>
          <w:highlight w:val="none"/>
        </w:rPr>
        <w:t>关于监理人的其他约定：</w:t>
      </w:r>
      <w:r>
        <w:rPr>
          <w:rFonts w:hint="eastAsia" w:cs="宋体"/>
          <w:color w:val="auto"/>
          <w:highlight w:val="none"/>
          <w:u w:val="single"/>
        </w:rPr>
        <w:t xml:space="preserve">/                </w:t>
      </w:r>
      <w:r>
        <w:rPr>
          <w:rFonts w:hint="eastAsia" w:cs="宋体"/>
          <w:color w:val="auto"/>
          <w:highlight w:val="none"/>
        </w:rPr>
        <w:t>。</w:t>
      </w:r>
    </w:p>
    <w:p>
      <w:pPr>
        <w:spacing w:after="120" w:line="288" w:lineRule="auto"/>
        <w:ind w:firstLine="420"/>
        <w:rPr>
          <w:rFonts w:cs="宋体"/>
          <w:color w:val="auto"/>
          <w:highlight w:val="none"/>
        </w:rPr>
      </w:pPr>
      <w:r>
        <w:rPr>
          <w:rFonts w:hint="eastAsia" w:cs="宋体"/>
          <w:color w:val="auto"/>
          <w:highlight w:val="none"/>
        </w:rPr>
        <w:t>4.4 商定或确定</w:t>
      </w:r>
    </w:p>
    <w:p>
      <w:pPr>
        <w:spacing w:line="288" w:lineRule="auto"/>
        <w:ind w:firstLine="420"/>
        <w:rPr>
          <w:rFonts w:cs="宋体"/>
          <w:color w:val="auto"/>
          <w:highlight w:val="none"/>
        </w:rPr>
      </w:pPr>
      <w:bookmarkStart w:id="667" w:name="_Toc267251418"/>
      <w:r>
        <w:rPr>
          <w:rFonts w:hint="eastAsia" w:cs="宋体"/>
          <w:color w:val="auto"/>
          <w:highlight w:val="none"/>
        </w:rPr>
        <w:t>在发包人和承包人不能通过协商达成一致意见时，发包人授权监理人对以下事项进行确定：</w:t>
      </w:r>
    </w:p>
    <w:p>
      <w:pPr>
        <w:autoSpaceDE w:val="0"/>
        <w:autoSpaceDN w:val="0"/>
        <w:adjustRightInd w:val="0"/>
        <w:spacing w:line="288" w:lineRule="auto"/>
        <w:ind w:firstLine="420"/>
        <w:jc w:val="left"/>
        <w:rPr>
          <w:rFonts w:cs="宋体"/>
          <w:color w:val="auto"/>
          <w:highlight w:val="none"/>
        </w:rPr>
      </w:pPr>
      <w:r>
        <w:rPr>
          <w:rFonts w:hint="eastAsia" w:cs="宋体"/>
          <w:color w:val="auto"/>
          <w:kern w:val="0"/>
          <w:highlight w:val="none"/>
        </w:rPr>
        <w:t>（1）</w:t>
      </w:r>
      <w:r>
        <w:rPr>
          <w:rFonts w:hint="eastAsia" w:cs="宋体"/>
          <w:color w:val="auto"/>
          <w:highlight w:val="none"/>
          <w:u w:val="single"/>
        </w:rPr>
        <w:t xml:space="preserve">  /                        </w:t>
      </w:r>
      <w:r>
        <w:rPr>
          <w:rFonts w:hint="eastAsia" w:cs="宋体"/>
          <w:color w:val="auto"/>
          <w:highlight w:val="none"/>
        </w:rPr>
        <w:t>。</w:t>
      </w:r>
    </w:p>
    <w:p>
      <w:pPr>
        <w:keepNext/>
        <w:keepLines/>
        <w:spacing w:before="120" w:after="120" w:line="288" w:lineRule="auto"/>
        <w:ind w:firstLine="420"/>
        <w:outlineLvl w:val="3"/>
        <w:rPr>
          <w:rFonts w:cs="宋体"/>
          <w:bCs/>
          <w:color w:val="auto"/>
          <w:highlight w:val="none"/>
        </w:rPr>
      </w:pPr>
      <w:bookmarkStart w:id="668" w:name="_Toc351203637"/>
      <w:r>
        <w:rPr>
          <w:rFonts w:hint="eastAsia" w:cs="宋体"/>
          <w:bCs/>
          <w:color w:val="auto"/>
          <w:highlight w:val="none"/>
        </w:rPr>
        <w:t>5</w:t>
      </w:r>
      <w:bookmarkEnd w:id="667"/>
      <w:bookmarkStart w:id="669" w:name="_Toc296944502"/>
      <w:bookmarkStart w:id="670" w:name="_Toc292559367"/>
      <w:bookmarkStart w:id="671" w:name="_Toc292559872"/>
      <w:bookmarkStart w:id="672" w:name="_Toc296503163"/>
      <w:bookmarkStart w:id="673" w:name="_Toc297048349"/>
      <w:bookmarkStart w:id="674" w:name="_Toc296891203"/>
      <w:bookmarkStart w:id="675" w:name="_Toc296346664"/>
      <w:bookmarkStart w:id="676" w:name="_Toc296347162"/>
      <w:bookmarkStart w:id="677" w:name="_Toc297120463"/>
      <w:bookmarkStart w:id="678" w:name="_Toc296890991"/>
      <w:r>
        <w:rPr>
          <w:rFonts w:hint="eastAsia" w:cs="宋体"/>
          <w:bCs/>
          <w:color w:val="auto"/>
          <w:highlight w:val="none"/>
        </w:rPr>
        <w:t>. 工程质量</w:t>
      </w:r>
      <w:bookmarkEnd w:id="668"/>
    </w:p>
    <w:p>
      <w:pPr>
        <w:spacing w:after="120" w:line="288" w:lineRule="auto"/>
        <w:ind w:firstLine="420"/>
        <w:rPr>
          <w:rFonts w:cs="宋体"/>
          <w:color w:val="auto"/>
          <w:highlight w:val="none"/>
        </w:rPr>
      </w:pPr>
      <w:r>
        <w:rPr>
          <w:rFonts w:hint="eastAsia" w:cs="宋体"/>
          <w:color w:val="auto"/>
          <w:highlight w:val="none"/>
        </w:rPr>
        <w:t>5.1 质量要求</w:t>
      </w:r>
    </w:p>
    <w:p>
      <w:pPr>
        <w:spacing w:line="288" w:lineRule="auto"/>
        <w:ind w:firstLine="420"/>
        <w:jc w:val="left"/>
        <w:rPr>
          <w:rFonts w:cs="宋体"/>
          <w:color w:val="auto"/>
          <w:highlight w:val="none"/>
          <w:u w:val="single"/>
        </w:rPr>
      </w:pPr>
      <w:r>
        <w:rPr>
          <w:rFonts w:hint="eastAsia" w:cs="宋体"/>
          <w:color w:val="auto"/>
          <w:highlight w:val="none"/>
        </w:rPr>
        <w:t>5</w:t>
      </w:r>
      <w:bookmarkStart w:id="679" w:name="_Toc304295527"/>
      <w:bookmarkStart w:id="680" w:name="_Toc297123496"/>
      <w:bookmarkStart w:id="681" w:name="_Toc318581164"/>
      <w:bookmarkStart w:id="682" w:name="_Toc312677997"/>
      <w:bookmarkStart w:id="683" w:name="_Toc303539106"/>
      <w:bookmarkStart w:id="684" w:name="_Toc300934949"/>
      <w:bookmarkStart w:id="685" w:name="_Toc297216155"/>
      <w:r>
        <w:rPr>
          <w:rFonts w:hint="eastAsia" w:cs="宋体"/>
          <w:color w:val="auto"/>
          <w:highlight w:val="none"/>
        </w:rPr>
        <w:t>.1.1 特殊质量标准和要求：</w:t>
      </w:r>
      <w:r>
        <w:rPr>
          <w:rFonts w:hint="eastAsia" w:cs="宋体"/>
          <w:color w:val="auto"/>
          <w:highlight w:val="none"/>
          <w:u w:val="single"/>
        </w:rPr>
        <w:t xml:space="preserve">    /                     </w:t>
      </w:r>
      <w:r>
        <w:rPr>
          <w:rFonts w:hint="eastAsia" w:cs="宋体"/>
          <w:color w:val="auto"/>
          <w:highlight w:val="none"/>
        </w:rPr>
        <w:t>。</w:t>
      </w:r>
    </w:p>
    <w:p>
      <w:pPr>
        <w:spacing w:line="288" w:lineRule="auto"/>
        <w:ind w:firstLine="420"/>
        <w:jc w:val="left"/>
        <w:rPr>
          <w:rFonts w:cs="宋体"/>
          <w:color w:val="auto"/>
          <w:highlight w:val="none"/>
          <w:u w:val="single"/>
        </w:rPr>
      </w:pPr>
      <w:r>
        <w:rPr>
          <w:rFonts w:hint="eastAsia" w:cs="宋体"/>
          <w:color w:val="auto"/>
          <w:highlight w:val="none"/>
        </w:rPr>
        <w:t>关于工程奖项的约定：</w:t>
      </w:r>
      <w:r>
        <w:rPr>
          <w:rFonts w:hint="eastAsia" w:cs="宋体"/>
          <w:color w:val="auto"/>
          <w:highlight w:val="none"/>
          <w:u w:val="single"/>
        </w:rPr>
        <w:t xml:space="preserve">   /                           </w:t>
      </w:r>
      <w:r>
        <w:rPr>
          <w:rFonts w:hint="eastAsia" w:cs="宋体"/>
          <w:color w:val="auto"/>
          <w:highlight w:val="none"/>
        </w:rPr>
        <w:t>。</w:t>
      </w:r>
    </w:p>
    <w:p>
      <w:pPr>
        <w:spacing w:after="120" w:line="288" w:lineRule="auto"/>
        <w:ind w:firstLine="420"/>
        <w:rPr>
          <w:rFonts w:cs="宋体"/>
          <w:color w:val="auto"/>
          <w:highlight w:val="none"/>
        </w:rPr>
      </w:pPr>
      <w:r>
        <w:rPr>
          <w:rFonts w:hint="eastAsia" w:cs="宋体"/>
          <w:color w:val="auto"/>
          <w:highlight w:val="none"/>
        </w:rPr>
        <w:t>5.3 隐蔽工程检查</w:t>
      </w:r>
    </w:p>
    <w:p>
      <w:pPr>
        <w:spacing w:line="288" w:lineRule="auto"/>
        <w:ind w:firstLine="420"/>
        <w:jc w:val="left"/>
        <w:rPr>
          <w:rFonts w:cs="宋体"/>
          <w:color w:val="auto"/>
          <w:highlight w:val="none"/>
        </w:rPr>
      </w:pPr>
      <w:r>
        <w:rPr>
          <w:rFonts w:hint="eastAsia" w:cs="宋体"/>
          <w:color w:val="auto"/>
          <w:highlight w:val="none"/>
        </w:rPr>
        <w:t>5.3.2承包人提前通知监理人隐蔽工程检查的期限的约定：</w:t>
      </w:r>
      <w:r>
        <w:rPr>
          <w:rFonts w:hint="eastAsia" w:cs="宋体"/>
          <w:color w:val="auto"/>
          <w:highlight w:val="none"/>
          <w:u w:val="single"/>
        </w:rPr>
        <w:t>承包人应在共同检查前48小时书面通知监理人检查，通知中应载明隐蔽检查的内容、时间和地点，并应附有自检记录和必要的检查资料。隐蔽工程必须做好影像资料收集、整理</w:t>
      </w:r>
      <w:r>
        <w:rPr>
          <w:rFonts w:hint="eastAsia" w:cs="宋体"/>
          <w:color w:val="auto"/>
          <w:highlight w:val="none"/>
        </w:rPr>
        <w:t>。</w:t>
      </w:r>
    </w:p>
    <w:p>
      <w:pPr>
        <w:spacing w:line="288" w:lineRule="auto"/>
        <w:ind w:firstLine="441" w:firstLineChars="210"/>
        <w:jc w:val="left"/>
        <w:rPr>
          <w:rFonts w:cs="宋体"/>
          <w:color w:val="auto"/>
          <w:highlight w:val="none"/>
        </w:rPr>
      </w:pPr>
      <w:r>
        <w:rPr>
          <w:rFonts w:hint="eastAsia" w:cs="宋体"/>
          <w:color w:val="auto"/>
          <w:highlight w:val="none"/>
        </w:rPr>
        <w:t>监理人不能按时进行检查时，应提前</w:t>
      </w:r>
      <w:r>
        <w:rPr>
          <w:rFonts w:hint="eastAsia" w:cs="宋体"/>
          <w:color w:val="auto"/>
          <w:highlight w:val="none"/>
          <w:u w:val="single"/>
        </w:rPr>
        <w:t xml:space="preserve"> 24 </w:t>
      </w:r>
      <w:r>
        <w:rPr>
          <w:rFonts w:hint="eastAsia" w:cs="宋体"/>
          <w:color w:val="auto"/>
          <w:highlight w:val="none"/>
        </w:rPr>
        <w:t>小时提交书面延期要求。</w:t>
      </w:r>
    </w:p>
    <w:p>
      <w:pPr>
        <w:spacing w:line="288" w:lineRule="auto"/>
        <w:ind w:firstLine="420"/>
        <w:jc w:val="left"/>
        <w:rPr>
          <w:rFonts w:cs="宋体"/>
          <w:color w:val="auto"/>
          <w:highlight w:val="none"/>
        </w:rPr>
      </w:pPr>
      <w:r>
        <w:rPr>
          <w:rFonts w:hint="eastAsia" w:cs="宋体"/>
          <w:color w:val="auto"/>
          <w:highlight w:val="none"/>
        </w:rPr>
        <w:t>关于延期最长不得超过：</w:t>
      </w:r>
      <w:r>
        <w:rPr>
          <w:rFonts w:hint="eastAsia" w:cs="宋体"/>
          <w:color w:val="auto"/>
          <w:highlight w:val="none"/>
          <w:u w:val="single"/>
        </w:rPr>
        <w:t xml:space="preserve">  48  </w:t>
      </w:r>
      <w:r>
        <w:rPr>
          <w:rFonts w:hint="eastAsia" w:cs="宋体"/>
          <w:color w:val="auto"/>
          <w:highlight w:val="none"/>
        </w:rPr>
        <w:t>小时。</w:t>
      </w:r>
    </w:p>
    <w:p>
      <w:pPr>
        <w:keepNext/>
        <w:keepLines/>
        <w:spacing w:before="120" w:after="120" w:line="288" w:lineRule="auto"/>
        <w:ind w:firstLine="420"/>
        <w:outlineLvl w:val="3"/>
        <w:rPr>
          <w:rFonts w:cs="宋体"/>
          <w:bCs/>
          <w:color w:val="auto"/>
          <w:highlight w:val="none"/>
        </w:rPr>
      </w:pPr>
      <w:bookmarkStart w:id="686" w:name="_Toc351203638"/>
      <w:r>
        <w:rPr>
          <w:rFonts w:hint="eastAsia" w:cs="宋体"/>
          <w:bCs/>
          <w:color w:val="auto"/>
          <w:highlight w:val="none"/>
        </w:rPr>
        <w:t>6. 安全文明施工与环境保护</w:t>
      </w:r>
      <w:bookmarkEnd w:id="686"/>
    </w:p>
    <w:p>
      <w:pPr>
        <w:spacing w:after="120" w:line="288" w:lineRule="auto"/>
        <w:ind w:firstLine="420"/>
        <w:rPr>
          <w:rFonts w:cs="宋体"/>
          <w:color w:val="auto"/>
          <w:highlight w:val="none"/>
        </w:rPr>
      </w:pPr>
      <w:r>
        <w:rPr>
          <w:rFonts w:hint="eastAsia" w:cs="宋体"/>
          <w:color w:val="auto"/>
          <w:highlight w:val="none"/>
        </w:rPr>
        <w:t>6.1安全文明施工</w:t>
      </w:r>
    </w:p>
    <w:p>
      <w:pPr>
        <w:spacing w:line="288" w:lineRule="auto"/>
        <w:ind w:firstLine="420"/>
        <w:jc w:val="left"/>
        <w:rPr>
          <w:rFonts w:cs="宋体"/>
          <w:b/>
          <w:color w:val="auto"/>
          <w:highlight w:val="none"/>
          <w:u w:val="single"/>
        </w:rPr>
      </w:pPr>
      <w:r>
        <w:rPr>
          <w:rFonts w:hint="eastAsia" w:cs="宋体"/>
          <w:color w:val="auto"/>
          <w:highlight w:val="none"/>
        </w:rPr>
        <w:t>6.1.1 项目安全生产的达标目标及相应事项的约定：</w:t>
      </w:r>
      <w:r>
        <w:rPr>
          <w:rFonts w:hint="eastAsia" w:cs="宋体"/>
          <w:b/>
          <w:color w:val="auto"/>
          <w:highlight w:val="none"/>
          <w:u w:val="single"/>
        </w:rPr>
        <w:t>施工现场按照《建筑施工安全检查标准》（JGJ59-2011）评定达到“合格”标准。《建设工程质量安全文明施工责任书》、《工程廉政责任书》作为施工合同附件，由施工合同的发包人、承包人双方共同签署。</w:t>
      </w:r>
    </w:p>
    <w:p>
      <w:pPr>
        <w:spacing w:line="288" w:lineRule="auto"/>
        <w:ind w:firstLine="420"/>
        <w:jc w:val="left"/>
        <w:rPr>
          <w:rFonts w:cs="宋体"/>
          <w:color w:val="auto"/>
          <w:highlight w:val="none"/>
          <w:u w:val="single"/>
        </w:rPr>
      </w:pPr>
      <w:r>
        <w:rPr>
          <w:rFonts w:hint="eastAsia" w:cs="宋体"/>
          <w:color w:val="auto"/>
          <w:highlight w:val="none"/>
        </w:rPr>
        <w:t>6.1.4 关于治安保卫的特别约定：</w:t>
      </w:r>
      <w:r>
        <w:rPr>
          <w:rFonts w:hint="eastAsia" w:cs="宋体"/>
          <w:color w:val="auto"/>
          <w:highlight w:val="none"/>
          <w:u w:val="single"/>
        </w:rPr>
        <w:t xml:space="preserve">按通用条款执行           </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关于编制施工场地治安管理计划的约定：</w:t>
      </w:r>
      <w:r>
        <w:rPr>
          <w:rFonts w:hint="eastAsia" w:cs="宋体"/>
          <w:color w:val="auto"/>
          <w:highlight w:val="none"/>
          <w:u w:val="single"/>
        </w:rPr>
        <w:t xml:space="preserve">按通用条款执行    </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6.1.5 文明施工</w:t>
      </w:r>
    </w:p>
    <w:p>
      <w:pPr>
        <w:spacing w:line="288" w:lineRule="auto"/>
        <w:ind w:firstLine="420"/>
        <w:jc w:val="left"/>
        <w:rPr>
          <w:rFonts w:cs="宋体"/>
          <w:color w:val="auto"/>
          <w:highlight w:val="none"/>
        </w:rPr>
      </w:pPr>
      <w:r>
        <w:rPr>
          <w:rFonts w:hint="eastAsia" w:cs="宋体"/>
          <w:color w:val="auto"/>
          <w:highlight w:val="none"/>
        </w:rPr>
        <w:t>合同当事人对文明施工的要求：</w:t>
      </w:r>
    </w:p>
    <w:p>
      <w:pPr>
        <w:widowControl/>
        <w:adjustRightInd w:val="0"/>
        <w:snapToGrid w:val="0"/>
        <w:spacing w:line="288" w:lineRule="auto"/>
        <w:ind w:firstLine="422"/>
        <w:rPr>
          <w:rFonts w:cs="宋体"/>
          <w:b/>
          <w:bCs/>
          <w:color w:val="auto"/>
          <w:highlight w:val="none"/>
          <w:u w:val="single"/>
        </w:rPr>
      </w:pPr>
      <w:r>
        <w:rPr>
          <w:rFonts w:hint="eastAsia" w:cs="宋体"/>
          <w:b/>
          <w:bCs/>
          <w:color w:val="auto"/>
          <w:highlight w:val="none"/>
          <w:u w:val="single"/>
        </w:rPr>
        <w:t>（1）承包人应严格按照省、市及地方安全生产和劳动保护的有关规定，认真落实各项安全保护措施及安全生产责任制，并随时接受发包人或监理工程师及有关部门的监督检查。发包人在进行巡查时发现工程质量或环境保护、文明施工、安全施工达不到要求，第一次发现给予承包人警告并责令整改，二次及以上发现承包人应立即整改并向发包人支付贰万元人民币的违约金。被上级主管部门通报批评，承包人按人民币贰万元/次向发包人支付违约金；被媒体曝光，视情节向发包人支付人民币贰至伍万元违约金。</w:t>
      </w:r>
    </w:p>
    <w:p>
      <w:pPr>
        <w:widowControl/>
        <w:adjustRightInd w:val="0"/>
        <w:snapToGrid w:val="0"/>
        <w:spacing w:line="288" w:lineRule="auto"/>
        <w:ind w:firstLine="422"/>
        <w:rPr>
          <w:rFonts w:cs="宋体"/>
          <w:b/>
          <w:bCs/>
          <w:color w:val="auto"/>
          <w:highlight w:val="none"/>
          <w:u w:val="single"/>
        </w:rPr>
      </w:pPr>
      <w:r>
        <w:rPr>
          <w:rFonts w:hint="eastAsia" w:cs="宋体"/>
          <w:b/>
          <w:bCs/>
          <w:color w:val="auto"/>
          <w:highlight w:val="none"/>
          <w:u w:val="single"/>
        </w:rPr>
        <w:t>（2）承包人应对进度施工现场的施工人员进行安全文明施工教育，持证上岗，配备必要的劳动保护用具，保证工程的施工安全和人身安全。</w:t>
      </w:r>
    </w:p>
    <w:p>
      <w:pPr>
        <w:widowControl/>
        <w:adjustRightInd w:val="0"/>
        <w:snapToGrid w:val="0"/>
        <w:spacing w:line="288" w:lineRule="auto"/>
        <w:ind w:firstLine="422"/>
        <w:rPr>
          <w:rFonts w:cs="宋体"/>
          <w:b/>
          <w:bCs/>
          <w:color w:val="auto"/>
          <w:highlight w:val="none"/>
          <w:u w:val="single"/>
        </w:rPr>
      </w:pPr>
      <w:r>
        <w:rPr>
          <w:rFonts w:hint="eastAsia" w:cs="宋体"/>
          <w:b/>
          <w:bCs/>
          <w:color w:val="auto"/>
          <w:highlight w:val="none"/>
          <w:u w:val="single"/>
        </w:rPr>
        <w:t>（3）承包人应强化安全意识，抓好安全生产，消除安全隐患，杜绝事故发生，施工中若发生安全及人身事故均由承包人自行负责处理，并承担全部费用。发现有违反安全生产操作规范的，发包人有权提出整改，承包人必须整改到位。</w:t>
      </w:r>
    </w:p>
    <w:p>
      <w:pPr>
        <w:widowControl/>
        <w:adjustRightInd w:val="0"/>
        <w:snapToGrid w:val="0"/>
        <w:spacing w:line="288" w:lineRule="auto"/>
        <w:ind w:firstLine="422"/>
        <w:rPr>
          <w:rFonts w:cs="宋体"/>
          <w:b/>
          <w:bCs/>
          <w:color w:val="auto"/>
          <w:highlight w:val="none"/>
          <w:u w:val="single"/>
        </w:rPr>
      </w:pPr>
      <w:r>
        <w:rPr>
          <w:rFonts w:hint="eastAsia" w:cs="宋体"/>
          <w:b/>
          <w:bCs/>
          <w:color w:val="auto"/>
          <w:highlight w:val="none"/>
          <w:u w:val="single"/>
        </w:rPr>
        <w:t>（4）安全施工所发生的费用承包人已在投标报价中包干，发生重大伤亡事故或其他事故，承包人应及时上报发包人，并承担全部赔偿责任（非承包人原因除外）。施工过程中若发生死亡事故，由承包人承担全部责任并支付全部费用，且必须在事发后立即启动应急预案，并在24小时内按事故等级通报上级，并做好事故处理和善后等各类事宜，否则发包人有权直接处理，相关费用在履约保证金（或工程款）中直接扣除。</w:t>
      </w:r>
    </w:p>
    <w:p>
      <w:pPr>
        <w:widowControl/>
        <w:adjustRightInd w:val="0"/>
        <w:snapToGrid w:val="0"/>
        <w:spacing w:line="288" w:lineRule="auto"/>
        <w:ind w:firstLine="422"/>
        <w:rPr>
          <w:rFonts w:cs="宋体"/>
          <w:color w:val="auto"/>
          <w:highlight w:val="none"/>
        </w:rPr>
      </w:pPr>
      <w:r>
        <w:rPr>
          <w:rFonts w:hint="eastAsia" w:cs="宋体"/>
          <w:b/>
          <w:bCs/>
          <w:color w:val="auto"/>
          <w:highlight w:val="none"/>
          <w:u w:val="single"/>
        </w:rPr>
        <w:t>（5）承包人按规定自行向建设行政各主管部门、城市行政主管部门等相关职能部门办理相关手续，施工组织须符合管理部门的要求，发包人给予协调，费用不予增加。承包人必须做好安全文明施工、环境保护（扬尘、排污、泥浆外运等）工作。</w:t>
      </w:r>
    </w:p>
    <w:p>
      <w:pPr>
        <w:spacing w:line="288" w:lineRule="auto"/>
        <w:ind w:firstLine="417" w:firstLineChars="198"/>
        <w:jc w:val="left"/>
        <w:rPr>
          <w:rFonts w:cs="宋体"/>
          <w:b/>
          <w:color w:val="auto"/>
          <w:highlight w:val="none"/>
          <w:u w:val="single"/>
          <w:lang w:val="zh-CN"/>
        </w:rPr>
      </w:pPr>
      <w:r>
        <w:rPr>
          <w:rFonts w:hint="eastAsia" w:cs="宋体"/>
          <w:b/>
          <w:color w:val="auto"/>
          <w:highlight w:val="none"/>
          <w:u w:val="single"/>
          <w:lang w:val="zh-CN"/>
        </w:rPr>
        <w:t>（</w:t>
      </w:r>
      <w:r>
        <w:rPr>
          <w:rFonts w:hint="eastAsia" w:cs="宋体"/>
          <w:b/>
          <w:color w:val="auto"/>
          <w:highlight w:val="none"/>
          <w:u w:val="single"/>
        </w:rPr>
        <w:t>6</w:t>
      </w:r>
      <w:r>
        <w:rPr>
          <w:rFonts w:hint="eastAsia" w:cs="宋体"/>
          <w:b/>
          <w:color w:val="auto"/>
          <w:highlight w:val="none"/>
          <w:u w:val="single"/>
          <w:lang w:val="zh-CN"/>
        </w:rPr>
        <w:t>）上述手续办理费用约定如下： 由承包人支付。</w:t>
      </w:r>
    </w:p>
    <w:p>
      <w:pPr>
        <w:spacing w:line="288" w:lineRule="auto"/>
        <w:ind w:left="149" w:leftChars="71" w:firstLine="315" w:firstLineChars="150"/>
        <w:jc w:val="left"/>
        <w:rPr>
          <w:rFonts w:cs="宋体"/>
          <w:color w:val="auto"/>
          <w:highlight w:val="none"/>
        </w:rPr>
      </w:pPr>
      <w:r>
        <w:rPr>
          <w:rFonts w:hint="eastAsia" w:cs="宋体"/>
          <w:color w:val="auto"/>
          <w:highlight w:val="none"/>
        </w:rPr>
        <w:t>6.1.6 关于安全文明施工费支付比例和支付期限的约定，按以下</w:t>
      </w:r>
      <w:r>
        <w:rPr>
          <w:rFonts w:hint="eastAsia" w:cs="宋体"/>
          <w:color w:val="auto"/>
          <w:highlight w:val="none"/>
          <w:u w:val="single"/>
        </w:rPr>
        <w:t>第（2）种方式</w:t>
      </w:r>
      <w:r>
        <w:rPr>
          <w:rFonts w:hint="eastAsia" w:cs="宋体"/>
          <w:color w:val="auto"/>
          <w:highlight w:val="none"/>
        </w:rPr>
        <w:t>约定：</w:t>
      </w:r>
    </w:p>
    <w:p>
      <w:pPr>
        <w:spacing w:line="288" w:lineRule="auto"/>
        <w:ind w:firstLine="417" w:firstLineChars="198"/>
        <w:jc w:val="left"/>
        <w:rPr>
          <w:rFonts w:cs="宋体"/>
          <w:b/>
          <w:color w:val="auto"/>
          <w:kern w:val="0"/>
          <w:highlight w:val="none"/>
          <w:u w:val="single"/>
        </w:rPr>
      </w:pPr>
      <w:r>
        <w:rPr>
          <w:rFonts w:hint="eastAsia" w:cs="宋体"/>
          <w:b/>
          <w:color w:val="auto"/>
          <w:highlight w:val="none"/>
          <w:u w:val="single"/>
        </w:rPr>
        <w:t>（1）</w:t>
      </w:r>
      <w:r>
        <w:rPr>
          <w:rFonts w:hint="eastAsia" w:cs="宋体"/>
          <w:b/>
          <w:color w:val="auto"/>
          <w:kern w:val="0"/>
          <w:highlight w:val="none"/>
          <w:u w:val="single"/>
        </w:rPr>
        <w:t xml:space="preserve">发包人应在开工后28天内预付安全文明施工费总额的60%，剩余部分支付按以下第（2）种方式约定 ：                           </w:t>
      </w:r>
    </w:p>
    <w:p>
      <w:pPr>
        <w:spacing w:line="288" w:lineRule="auto"/>
        <w:ind w:firstLine="417" w:firstLineChars="198"/>
        <w:jc w:val="left"/>
        <w:rPr>
          <w:rFonts w:cs="宋体"/>
          <w:b/>
          <w:color w:val="auto"/>
          <w:kern w:val="0"/>
          <w:highlight w:val="none"/>
        </w:rPr>
      </w:pPr>
      <w:r>
        <w:rPr>
          <w:rFonts w:hint="eastAsia" w:cs="宋体"/>
          <w:b/>
          <w:color w:val="auto"/>
          <w:kern w:val="0"/>
          <w:highlight w:val="none"/>
        </w:rPr>
        <w:t>①</w:t>
      </w:r>
      <w:r>
        <w:rPr>
          <w:rFonts w:hint="eastAsia" w:cs="宋体"/>
          <w:b/>
          <w:color w:val="auto"/>
          <w:kern w:val="0"/>
          <w:highlight w:val="none"/>
          <w:u w:val="single"/>
        </w:rPr>
        <w:t xml:space="preserve">  视相关措施的落实情况与进度款同期支付            </w:t>
      </w:r>
      <w:r>
        <w:rPr>
          <w:rFonts w:hint="eastAsia" w:cs="宋体"/>
          <w:b/>
          <w:color w:val="auto"/>
          <w:kern w:val="0"/>
          <w:highlight w:val="none"/>
        </w:rPr>
        <w:t>。</w:t>
      </w:r>
    </w:p>
    <w:p>
      <w:pPr>
        <w:spacing w:line="288" w:lineRule="auto"/>
        <w:ind w:firstLine="417" w:firstLineChars="198"/>
        <w:jc w:val="left"/>
        <w:rPr>
          <w:rFonts w:cs="宋体"/>
          <w:b/>
          <w:color w:val="auto"/>
          <w:kern w:val="0"/>
          <w:highlight w:val="none"/>
          <w:u w:val="single"/>
        </w:rPr>
      </w:pPr>
      <w:r>
        <w:rPr>
          <w:rFonts w:hint="eastAsia" w:cs="宋体"/>
          <w:b/>
          <w:color w:val="auto"/>
          <w:kern w:val="0"/>
          <w:highlight w:val="none"/>
        </w:rPr>
        <w:t>②</w:t>
      </w:r>
      <w:r>
        <w:rPr>
          <w:rFonts w:hint="eastAsia" w:cs="宋体"/>
          <w:b/>
          <w:color w:val="auto"/>
          <w:kern w:val="0"/>
          <w:highlight w:val="none"/>
          <w:u w:val="single"/>
        </w:rPr>
        <w:t xml:space="preserve">  其他：/                                         </w:t>
      </w:r>
      <w:r>
        <w:rPr>
          <w:rFonts w:hint="eastAsia" w:cs="宋体"/>
          <w:b/>
          <w:color w:val="auto"/>
          <w:kern w:val="0"/>
          <w:highlight w:val="none"/>
        </w:rPr>
        <w:t>。</w:t>
      </w:r>
    </w:p>
    <w:p>
      <w:pPr>
        <w:spacing w:line="288" w:lineRule="auto"/>
        <w:ind w:firstLine="422"/>
        <w:jc w:val="left"/>
        <w:rPr>
          <w:rFonts w:cs="宋体"/>
          <w:b/>
          <w:color w:val="auto"/>
          <w:highlight w:val="none"/>
        </w:rPr>
      </w:pPr>
      <w:r>
        <w:rPr>
          <w:rFonts w:hint="eastAsia" w:cs="宋体"/>
          <w:b/>
          <w:color w:val="auto"/>
          <w:kern w:val="0"/>
          <w:highlight w:val="none"/>
          <w:u w:val="single"/>
        </w:rPr>
        <w:t xml:space="preserve">（2）其他：/                                        </w:t>
      </w:r>
      <w:r>
        <w:rPr>
          <w:rFonts w:hint="eastAsia" w:cs="宋体"/>
          <w:b/>
          <w:color w:val="auto"/>
          <w:kern w:val="0"/>
          <w:highlight w:val="none"/>
        </w:rPr>
        <w:t>。</w:t>
      </w:r>
    </w:p>
    <w:bookmarkEnd w:id="679"/>
    <w:bookmarkEnd w:id="680"/>
    <w:bookmarkEnd w:id="681"/>
    <w:bookmarkEnd w:id="682"/>
    <w:bookmarkEnd w:id="683"/>
    <w:bookmarkEnd w:id="684"/>
    <w:bookmarkEnd w:id="685"/>
    <w:p>
      <w:pPr>
        <w:keepNext/>
        <w:keepLines/>
        <w:spacing w:before="120" w:after="120" w:line="288" w:lineRule="auto"/>
        <w:ind w:firstLine="420"/>
        <w:outlineLvl w:val="3"/>
        <w:rPr>
          <w:rFonts w:cs="宋体"/>
          <w:bCs/>
          <w:color w:val="auto"/>
          <w:highlight w:val="none"/>
        </w:rPr>
      </w:pPr>
      <w:bookmarkStart w:id="687" w:name="_Toc351203639"/>
      <w:r>
        <w:rPr>
          <w:rFonts w:hint="eastAsia" w:cs="宋体"/>
          <w:bCs/>
          <w:color w:val="auto"/>
          <w:highlight w:val="none"/>
        </w:rPr>
        <w:t>7. 工期和进度</w:t>
      </w:r>
      <w:bookmarkEnd w:id="687"/>
    </w:p>
    <w:p>
      <w:pPr>
        <w:spacing w:after="120" w:line="288" w:lineRule="auto"/>
        <w:ind w:firstLine="420"/>
        <w:rPr>
          <w:rFonts w:cs="宋体"/>
          <w:color w:val="auto"/>
          <w:highlight w:val="none"/>
        </w:rPr>
      </w:pPr>
      <w:r>
        <w:rPr>
          <w:rFonts w:hint="eastAsia" w:cs="宋体"/>
          <w:color w:val="auto"/>
          <w:highlight w:val="none"/>
        </w:rPr>
        <w:t>7.1 施工组织设计</w:t>
      </w:r>
    </w:p>
    <w:p>
      <w:pPr>
        <w:autoSpaceDE w:val="0"/>
        <w:autoSpaceDN w:val="0"/>
        <w:adjustRightInd w:val="0"/>
        <w:spacing w:line="288" w:lineRule="auto"/>
        <w:ind w:firstLine="420"/>
        <w:jc w:val="left"/>
        <w:rPr>
          <w:rFonts w:cs="宋体"/>
          <w:color w:val="auto"/>
          <w:kern w:val="0"/>
          <w:highlight w:val="none"/>
        </w:rPr>
      </w:pPr>
      <w:r>
        <w:rPr>
          <w:rFonts w:hint="eastAsia" w:cs="宋体"/>
          <w:color w:val="auto"/>
          <w:highlight w:val="none"/>
        </w:rPr>
        <w:t>7.1.1 合</w:t>
      </w:r>
      <w:r>
        <w:rPr>
          <w:rFonts w:hint="eastAsia" w:cs="宋体"/>
          <w:color w:val="auto"/>
          <w:kern w:val="0"/>
          <w:highlight w:val="none"/>
        </w:rPr>
        <w:t>同当事人约定的施工组织设计应包括的其他内容：</w:t>
      </w:r>
      <w:r>
        <w:rPr>
          <w:rFonts w:hint="eastAsia" w:cs="宋体"/>
          <w:color w:val="auto"/>
          <w:highlight w:val="none"/>
          <w:u w:val="single"/>
        </w:rPr>
        <w:t>按通用条款执行</w:t>
      </w:r>
      <w:r>
        <w:rPr>
          <w:rFonts w:hint="eastAsia" w:cs="宋体"/>
          <w:color w:val="auto"/>
          <w:highlight w:val="none"/>
        </w:rPr>
        <w:t>。</w:t>
      </w:r>
    </w:p>
    <w:p>
      <w:pPr>
        <w:autoSpaceDE w:val="0"/>
        <w:autoSpaceDN w:val="0"/>
        <w:adjustRightInd w:val="0"/>
        <w:spacing w:line="288" w:lineRule="auto"/>
        <w:ind w:firstLine="420"/>
        <w:jc w:val="left"/>
        <w:rPr>
          <w:rFonts w:cs="宋体"/>
          <w:color w:val="auto"/>
          <w:kern w:val="0"/>
          <w:highlight w:val="none"/>
        </w:rPr>
      </w:pPr>
      <w:r>
        <w:rPr>
          <w:rFonts w:hint="eastAsia" w:cs="宋体"/>
          <w:color w:val="auto"/>
          <w:highlight w:val="none"/>
        </w:rPr>
        <w:t xml:space="preserve">7.1.2 </w:t>
      </w:r>
      <w:r>
        <w:rPr>
          <w:rFonts w:hint="eastAsia" w:cs="宋体"/>
          <w:color w:val="auto"/>
          <w:kern w:val="0"/>
          <w:highlight w:val="none"/>
        </w:rPr>
        <w:t>施工组织设计的提交和修改</w:t>
      </w:r>
    </w:p>
    <w:p>
      <w:pPr>
        <w:autoSpaceDE w:val="0"/>
        <w:autoSpaceDN w:val="0"/>
        <w:adjustRightInd w:val="0"/>
        <w:spacing w:line="288" w:lineRule="auto"/>
        <w:ind w:firstLine="441" w:firstLineChars="210"/>
        <w:jc w:val="left"/>
        <w:rPr>
          <w:rFonts w:cs="宋体"/>
          <w:color w:val="auto"/>
          <w:highlight w:val="none"/>
          <w:u w:val="single"/>
        </w:rPr>
      </w:pPr>
      <w:r>
        <w:rPr>
          <w:rFonts w:hint="eastAsia" w:cs="宋体"/>
          <w:color w:val="auto"/>
          <w:kern w:val="0"/>
          <w:highlight w:val="none"/>
        </w:rPr>
        <w:t>承包人提交详细施工组织设计的期限的约定：</w:t>
      </w:r>
      <w:r>
        <w:rPr>
          <w:rFonts w:hint="eastAsia" w:cs="宋体"/>
          <w:b/>
          <w:color w:val="auto"/>
          <w:highlight w:val="none"/>
          <w:u w:val="single"/>
        </w:rPr>
        <w:t>合同签订后（7）天内提供</w:t>
      </w:r>
      <w:r>
        <w:rPr>
          <w:rFonts w:hint="eastAsia" w:cs="宋体"/>
          <w:b/>
          <w:color w:val="auto"/>
          <w:kern w:val="0"/>
          <w:highlight w:val="none"/>
          <w:u w:val="single"/>
        </w:rPr>
        <w:t>详细</w:t>
      </w:r>
      <w:r>
        <w:rPr>
          <w:rFonts w:hint="eastAsia" w:cs="宋体"/>
          <w:b/>
          <w:color w:val="auto"/>
          <w:highlight w:val="none"/>
          <w:u w:val="single"/>
        </w:rPr>
        <w:t xml:space="preserve">施工组织设计（施工方案）和进度计划   </w:t>
      </w:r>
      <w:r>
        <w:rPr>
          <w:rFonts w:hint="eastAsia" w:cs="宋体"/>
          <w:b/>
          <w:color w:val="auto"/>
          <w:highlight w:val="none"/>
        </w:rPr>
        <w:t>。</w:t>
      </w:r>
    </w:p>
    <w:p>
      <w:pPr>
        <w:spacing w:line="288" w:lineRule="auto"/>
        <w:ind w:firstLine="420"/>
        <w:jc w:val="left"/>
        <w:rPr>
          <w:rFonts w:cs="宋体"/>
          <w:color w:val="auto"/>
          <w:highlight w:val="none"/>
        </w:rPr>
      </w:pPr>
      <w:r>
        <w:rPr>
          <w:rFonts w:hint="eastAsia" w:cs="宋体"/>
          <w:color w:val="auto"/>
          <w:highlight w:val="none"/>
        </w:rPr>
        <w:t>发包人和监理人在收到详细的施工组织设计后确认或提出修改意见的期限：</w:t>
      </w:r>
      <w:r>
        <w:rPr>
          <w:rFonts w:hint="eastAsia" w:cs="宋体"/>
          <w:color w:val="auto"/>
          <w:highlight w:val="none"/>
          <w:u w:val="single"/>
        </w:rPr>
        <w:t>收到施工组织设计后 7天内</w:t>
      </w:r>
      <w:r>
        <w:rPr>
          <w:rFonts w:hint="eastAsia" w:cs="宋体"/>
          <w:color w:val="auto"/>
          <w:highlight w:val="none"/>
        </w:rPr>
        <w:t>。</w:t>
      </w:r>
    </w:p>
    <w:p>
      <w:pPr>
        <w:spacing w:after="120" w:line="288" w:lineRule="auto"/>
        <w:ind w:firstLine="420"/>
        <w:rPr>
          <w:rFonts w:cs="宋体"/>
          <w:color w:val="auto"/>
          <w:highlight w:val="none"/>
        </w:rPr>
      </w:pPr>
      <w:r>
        <w:rPr>
          <w:rFonts w:hint="eastAsia" w:cs="宋体"/>
          <w:color w:val="auto"/>
          <w:highlight w:val="none"/>
        </w:rPr>
        <w:t>7</w:t>
      </w:r>
      <w:bookmarkStart w:id="688" w:name="_Toc300934966"/>
      <w:bookmarkStart w:id="689" w:name="_Toc297216173"/>
      <w:bookmarkStart w:id="690" w:name="_Toc303539123"/>
      <w:bookmarkStart w:id="691" w:name="_Toc312677479"/>
      <w:bookmarkStart w:id="692" w:name="_Toc312678005"/>
      <w:bookmarkStart w:id="693" w:name="_Toc297123514"/>
      <w:bookmarkStart w:id="694" w:name="_Toc304295541"/>
      <w:r>
        <w:rPr>
          <w:rFonts w:hint="eastAsia" w:cs="宋体"/>
          <w:color w:val="auto"/>
          <w:highlight w:val="none"/>
        </w:rPr>
        <w:t>.2 施工进度计划</w:t>
      </w:r>
    </w:p>
    <w:p>
      <w:pPr>
        <w:spacing w:line="288" w:lineRule="auto"/>
        <w:ind w:firstLine="420"/>
        <w:jc w:val="left"/>
        <w:rPr>
          <w:rFonts w:cs="宋体"/>
          <w:color w:val="auto"/>
          <w:highlight w:val="none"/>
        </w:rPr>
      </w:pPr>
      <w:r>
        <w:rPr>
          <w:rFonts w:hint="eastAsia" w:cs="宋体"/>
          <w:color w:val="auto"/>
          <w:highlight w:val="none"/>
        </w:rPr>
        <w:t>7.2.2 施工进度计划的修订</w:t>
      </w:r>
    </w:p>
    <w:p>
      <w:pPr>
        <w:spacing w:line="288" w:lineRule="auto"/>
        <w:ind w:firstLine="420"/>
        <w:jc w:val="left"/>
        <w:rPr>
          <w:rFonts w:cs="宋体"/>
          <w:color w:val="auto"/>
          <w:highlight w:val="none"/>
        </w:rPr>
      </w:pPr>
      <w:r>
        <w:rPr>
          <w:rFonts w:hint="eastAsia" w:cs="宋体"/>
          <w:color w:val="auto"/>
          <w:highlight w:val="none"/>
        </w:rPr>
        <w:t>发包人和监理人在收到修订的施工进度计划后确认或提出修改意见的期限：</w:t>
      </w:r>
      <w:r>
        <w:rPr>
          <w:rFonts w:hint="eastAsia" w:cs="宋体"/>
          <w:color w:val="auto"/>
          <w:highlight w:val="none"/>
          <w:u w:val="single"/>
        </w:rPr>
        <w:t>收到修订的施工进度计划后7 天内</w:t>
      </w:r>
      <w:r>
        <w:rPr>
          <w:rFonts w:hint="eastAsia" w:cs="宋体"/>
          <w:color w:val="auto"/>
          <w:highlight w:val="none"/>
        </w:rPr>
        <w:t>。</w:t>
      </w:r>
    </w:p>
    <w:p>
      <w:pPr>
        <w:spacing w:after="120" w:line="288" w:lineRule="auto"/>
        <w:ind w:firstLine="420"/>
        <w:rPr>
          <w:rFonts w:cs="宋体"/>
          <w:color w:val="auto"/>
          <w:highlight w:val="none"/>
        </w:rPr>
      </w:pPr>
      <w:r>
        <w:rPr>
          <w:rFonts w:hint="eastAsia" w:cs="宋体"/>
          <w:color w:val="auto"/>
          <w:highlight w:val="none"/>
        </w:rPr>
        <w:t>7.3 开工</w:t>
      </w:r>
    </w:p>
    <w:p>
      <w:pPr>
        <w:spacing w:line="288" w:lineRule="auto"/>
        <w:ind w:firstLine="420"/>
        <w:jc w:val="left"/>
        <w:rPr>
          <w:rFonts w:cs="宋体"/>
          <w:color w:val="auto"/>
          <w:highlight w:val="none"/>
        </w:rPr>
      </w:pPr>
      <w:r>
        <w:rPr>
          <w:rFonts w:hint="eastAsia" w:cs="宋体"/>
          <w:color w:val="auto"/>
          <w:highlight w:val="none"/>
        </w:rPr>
        <w:t>7.3.1 开工准备</w:t>
      </w:r>
    </w:p>
    <w:p>
      <w:pPr>
        <w:spacing w:line="288" w:lineRule="auto"/>
        <w:ind w:firstLine="420"/>
        <w:jc w:val="left"/>
        <w:rPr>
          <w:rFonts w:cs="宋体"/>
          <w:color w:val="auto"/>
          <w:highlight w:val="none"/>
          <w:u w:val="single"/>
        </w:rPr>
      </w:pPr>
      <w:r>
        <w:rPr>
          <w:rFonts w:hint="eastAsia" w:cs="宋体"/>
          <w:color w:val="auto"/>
          <w:highlight w:val="none"/>
        </w:rPr>
        <w:t>关于承包人提交</w:t>
      </w:r>
      <w:r>
        <w:rPr>
          <w:rFonts w:hint="eastAsia" w:cs="宋体"/>
          <w:color w:val="auto"/>
          <w:kern w:val="0"/>
          <w:highlight w:val="none"/>
        </w:rPr>
        <w:t>工程开工报审表的期限：</w:t>
      </w:r>
      <w:r>
        <w:rPr>
          <w:rFonts w:hint="eastAsia" w:cs="宋体"/>
          <w:color w:val="auto"/>
          <w:highlight w:val="none"/>
          <w:u w:val="single"/>
        </w:rPr>
        <w:t>开工前 3天</w:t>
      </w:r>
      <w:r>
        <w:rPr>
          <w:rFonts w:hint="eastAsia" w:cs="宋体"/>
          <w:color w:val="auto"/>
          <w:highlight w:val="none"/>
        </w:rPr>
        <w:t>。</w:t>
      </w:r>
    </w:p>
    <w:p>
      <w:pPr>
        <w:spacing w:line="288" w:lineRule="auto"/>
        <w:ind w:firstLine="420"/>
        <w:jc w:val="left"/>
        <w:rPr>
          <w:rFonts w:cs="宋体"/>
          <w:color w:val="auto"/>
          <w:highlight w:val="none"/>
          <w:u w:val="single"/>
        </w:rPr>
      </w:pPr>
      <w:r>
        <w:rPr>
          <w:rFonts w:hint="eastAsia" w:cs="宋体"/>
          <w:color w:val="auto"/>
          <w:highlight w:val="none"/>
        </w:rPr>
        <w:t>关于发包人应完成的其他开工准备工作及期限：</w:t>
      </w:r>
      <w:r>
        <w:rPr>
          <w:rFonts w:hint="eastAsia" w:cs="宋体"/>
          <w:color w:val="auto"/>
          <w:highlight w:val="none"/>
          <w:u w:val="single"/>
        </w:rPr>
        <w:t>开工前 3 天</w:t>
      </w:r>
      <w:r>
        <w:rPr>
          <w:rFonts w:hint="eastAsia" w:cs="宋体"/>
          <w:color w:val="auto"/>
          <w:highlight w:val="none"/>
        </w:rPr>
        <w:t>。</w:t>
      </w:r>
    </w:p>
    <w:p>
      <w:pPr>
        <w:spacing w:line="288" w:lineRule="auto"/>
        <w:ind w:firstLine="420"/>
        <w:jc w:val="left"/>
        <w:rPr>
          <w:rFonts w:cs="宋体"/>
          <w:color w:val="auto"/>
          <w:highlight w:val="none"/>
          <w:u w:val="single"/>
        </w:rPr>
      </w:pPr>
      <w:r>
        <w:rPr>
          <w:rFonts w:hint="eastAsia" w:cs="宋体"/>
          <w:color w:val="auto"/>
          <w:highlight w:val="none"/>
        </w:rPr>
        <w:t>关于承包人应完成的其他开工准备工作及期限：</w:t>
      </w:r>
      <w:r>
        <w:rPr>
          <w:rFonts w:hint="eastAsia" w:cs="宋体"/>
          <w:color w:val="auto"/>
          <w:highlight w:val="none"/>
          <w:u w:val="single"/>
        </w:rPr>
        <w:t>开工前 3 天</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7.3.2开工通知</w:t>
      </w:r>
    </w:p>
    <w:p>
      <w:pPr>
        <w:spacing w:line="288" w:lineRule="auto"/>
        <w:ind w:firstLine="420"/>
        <w:jc w:val="left"/>
        <w:rPr>
          <w:rFonts w:cs="宋体"/>
          <w:color w:val="auto"/>
          <w:highlight w:val="none"/>
        </w:rPr>
      </w:pPr>
      <w:r>
        <w:rPr>
          <w:rFonts w:hint="eastAsia" w:cs="宋体"/>
          <w:color w:val="auto"/>
          <w:highlight w:val="none"/>
        </w:rPr>
        <w:t>因发包人原因造成监理人未能在计划开工日期之日起</w:t>
      </w:r>
      <w:r>
        <w:rPr>
          <w:rFonts w:hint="eastAsia" w:cs="宋体"/>
          <w:color w:val="auto"/>
          <w:highlight w:val="none"/>
          <w:u w:val="single"/>
        </w:rPr>
        <w:t xml:space="preserve"> 90 </w:t>
      </w:r>
      <w:r>
        <w:rPr>
          <w:rFonts w:hint="eastAsia" w:cs="宋体"/>
          <w:color w:val="auto"/>
          <w:highlight w:val="none"/>
        </w:rPr>
        <w:t>天内发出开工通知的，承包人有权提出价格调整要求，或者解除合同。</w:t>
      </w:r>
    </w:p>
    <w:bookmarkEnd w:id="688"/>
    <w:bookmarkEnd w:id="689"/>
    <w:bookmarkEnd w:id="690"/>
    <w:bookmarkEnd w:id="691"/>
    <w:bookmarkEnd w:id="692"/>
    <w:bookmarkEnd w:id="693"/>
    <w:bookmarkEnd w:id="694"/>
    <w:p>
      <w:pPr>
        <w:spacing w:after="120" w:line="288" w:lineRule="auto"/>
        <w:ind w:firstLine="420"/>
        <w:rPr>
          <w:rFonts w:cs="宋体"/>
          <w:color w:val="auto"/>
          <w:highlight w:val="none"/>
        </w:rPr>
      </w:pPr>
      <w:r>
        <w:rPr>
          <w:rFonts w:hint="eastAsia" w:cs="宋体"/>
          <w:color w:val="auto"/>
          <w:highlight w:val="none"/>
        </w:rPr>
        <w:t>7.4 测量放线</w:t>
      </w:r>
    </w:p>
    <w:p>
      <w:pPr>
        <w:spacing w:line="288" w:lineRule="auto"/>
        <w:ind w:firstLine="420"/>
        <w:jc w:val="left"/>
        <w:rPr>
          <w:rFonts w:cs="宋体"/>
          <w:color w:val="auto"/>
          <w:highlight w:val="none"/>
          <w:u w:val="single"/>
        </w:rPr>
      </w:pPr>
      <w:r>
        <w:rPr>
          <w:rFonts w:hint="eastAsia" w:cs="宋体"/>
          <w:color w:val="auto"/>
          <w:highlight w:val="none"/>
        </w:rPr>
        <w:t>7.4.1发包人通过监理人向承包人提供测量基准点、基准线和水准点及其书面资料的期限：</w:t>
      </w:r>
      <w:r>
        <w:rPr>
          <w:rFonts w:hint="eastAsia" w:cs="宋体"/>
          <w:color w:val="auto"/>
          <w:highlight w:val="none"/>
          <w:u w:val="single"/>
        </w:rPr>
        <w:t>开工前 7 天</w:t>
      </w:r>
      <w:r>
        <w:rPr>
          <w:rFonts w:hint="eastAsia" w:cs="宋体"/>
          <w:color w:val="auto"/>
          <w:highlight w:val="none"/>
        </w:rPr>
        <w:t>。</w:t>
      </w:r>
    </w:p>
    <w:p>
      <w:pPr>
        <w:spacing w:after="120" w:line="288" w:lineRule="auto"/>
        <w:ind w:firstLine="420"/>
        <w:rPr>
          <w:rFonts w:cs="宋体"/>
          <w:color w:val="auto"/>
          <w:highlight w:val="none"/>
        </w:rPr>
      </w:pPr>
      <w:r>
        <w:rPr>
          <w:rFonts w:hint="eastAsia" w:cs="宋体"/>
          <w:color w:val="auto"/>
          <w:highlight w:val="none"/>
        </w:rPr>
        <w:t>7</w:t>
      </w:r>
      <w:bookmarkStart w:id="695" w:name="_Toc303539125"/>
      <w:bookmarkStart w:id="696" w:name="_Toc297216175"/>
      <w:bookmarkStart w:id="697" w:name="_Toc312677484"/>
      <w:bookmarkStart w:id="698" w:name="_Toc312678010"/>
      <w:bookmarkStart w:id="699" w:name="_Toc304295546"/>
      <w:bookmarkStart w:id="700" w:name="_Toc297123516"/>
      <w:bookmarkStart w:id="701" w:name="_Toc300934968"/>
      <w:r>
        <w:rPr>
          <w:rFonts w:hint="eastAsia" w:cs="宋体"/>
          <w:color w:val="auto"/>
          <w:highlight w:val="none"/>
        </w:rPr>
        <w:t>.5 工期延误</w:t>
      </w:r>
    </w:p>
    <w:bookmarkEnd w:id="695"/>
    <w:bookmarkEnd w:id="696"/>
    <w:bookmarkEnd w:id="697"/>
    <w:bookmarkEnd w:id="698"/>
    <w:bookmarkEnd w:id="699"/>
    <w:bookmarkEnd w:id="700"/>
    <w:bookmarkEnd w:id="701"/>
    <w:p>
      <w:pPr>
        <w:spacing w:line="288" w:lineRule="auto"/>
        <w:ind w:firstLine="420"/>
        <w:jc w:val="left"/>
        <w:rPr>
          <w:rFonts w:cs="宋体"/>
          <w:color w:val="auto"/>
          <w:highlight w:val="none"/>
        </w:rPr>
      </w:pPr>
      <w:r>
        <w:rPr>
          <w:rFonts w:hint="eastAsia" w:cs="宋体"/>
          <w:color w:val="auto"/>
          <w:highlight w:val="none"/>
        </w:rPr>
        <w:t>7.5.1 因发包人原因导致工期延误</w:t>
      </w:r>
    </w:p>
    <w:p>
      <w:pPr>
        <w:spacing w:line="288" w:lineRule="auto"/>
        <w:ind w:firstLine="420"/>
        <w:jc w:val="left"/>
        <w:rPr>
          <w:rFonts w:cs="宋体"/>
          <w:color w:val="auto"/>
          <w:highlight w:val="none"/>
        </w:rPr>
      </w:pPr>
      <w:r>
        <w:rPr>
          <w:rFonts w:hint="eastAsia" w:cs="宋体"/>
          <w:color w:val="auto"/>
          <w:highlight w:val="none"/>
        </w:rPr>
        <w:t>（7）因发包人原因导致工期延误的其他情形：</w:t>
      </w:r>
    </w:p>
    <w:p>
      <w:pPr>
        <w:spacing w:line="288" w:lineRule="auto"/>
        <w:ind w:firstLine="417" w:firstLineChars="198"/>
        <w:jc w:val="left"/>
        <w:rPr>
          <w:rFonts w:cs="宋体"/>
          <w:b/>
          <w:color w:val="auto"/>
          <w:highlight w:val="none"/>
          <w:u w:val="single"/>
        </w:rPr>
      </w:pPr>
      <w:r>
        <w:rPr>
          <w:rFonts w:hint="eastAsia" w:cs="宋体"/>
          <w:b/>
          <w:color w:val="auto"/>
          <w:highlight w:val="none"/>
          <w:u w:val="single"/>
        </w:rPr>
        <w:t xml:space="preserve">①重大设计变更引起的工期延误                        </w:t>
      </w:r>
      <w:r>
        <w:rPr>
          <w:rFonts w:hint="eastAsia" w:cs="宋体"/>
          <w:b/>
          <w:color w:val="auto"/>
          <w:highlight w:val="none"/>
        </w:rPr>
        <w:t>；</w:t>
      </w:r>
    </w:p>
    <w:p>
      <w:pPr>
        <w:spacing w:line="288" w:lineRule="auto"/>
        <w:ind w:firstLine="441" w:firstLineChars="209"/>
        <w:jc w:val="left"/>
        <w:rPr>
          <w:rFonts w:cs="宋体"/>
          <w:b/>
          <w:color w:val="auto"/>
          <w:highlight w:val="none"/>
          <w:u w:val="single"/>
        </w:rPr>
      </w:pPr>
      <w:r>
        <w:rPr>
          <w:rFonts w:hint="eastAsia" w:cs="宋体"/>
          <w:b/>
          <w:color w:val="auto"/>
          <w:highlight w:val="none"/>
          <w:u w:val="single"/>
        </w:rPr>
        <w:t xml:space="preserve">②其他： /                                        </w:t>
      </w:r>
      <w:r>
        <w:rPr>
          <w:rFonts w:hint="eastAsia" w:cs="宋体"/>
          <w:b/>
          <w:color w:val="auto"/>
          <w:highlight w:val="none"/>
        </w:rPr>
        <w:t>。</w:t>
      </w:r>
    </w:p>
    <w:p>
      <w:pPr>
        <w:spacing w:line="288" w:lineRule="auto"/>
        <w:ind w:firstLine="420"/>
        <w:jc w:val="left"/>
        <w:rPr>
          <w:rFonts w:cs="宋体"/>
          <w:color w:val="auto"/>
          <w:highlight w:val="none"/>
        </w:rPr>
      </w:pPr>
      <w:r>
        <w:rPr>
          <w:rFonts w:hint="eastAsia" w:cs="宋体"/>
          <w:color w:val="auto"/>
          <w:highlight w:val="none"/>
        </w:rPr>
        <w:t>7</w:t>
      </w:r>
      <w:bookmarkStart w:id="702" w:name="_Toc318581169"/>
      <w:bookmarkStart w:id="703" w:name="_Toc312678012"/>
      <w:bookmarkStart w:id="704" w:name="_Toc312677486"/>
      <w:bookmarkStart w:id="705" w:name="_Toc300934970"/>
      <w:bookmarkStart w:id="706" w:name="_Toc297123518"/>
      <w:bookmarkStart w:id="707" w:name="_Toc303539127"/>
      <w:bookmarkStart w:id="708" w:name="_Toc297216177"/>
      <w:bookmarkStart w:id="709" w:name="_Toc304295548"/>
      <w:r>
        <w:rPr>
          <w:rFonts w:hint="eastAsia" w:cs="宋体"/>
          <w:color w:val="auto"/>
          <w:highlight w:val="none"/>
        </w:rPr>
        <w:t>.5.2 因承包人原因导致工期延误</w:t>
      </w:r>
    </w:p>
    <w:bookmarkEnd w:id="702"/>
    <w:bookmarkEnd w:id="703"/>
    <w:bookmarkEnd w:id="704"/>
    <w:p>
      <w:pPr>
        <w:spacing w:line="288" w:lineRule="auto"/>
        <w:ind w:firstLine="420"/>
        <w:jc w:val="left"/>
        <w:rPr>
          <w:rFonts w:cs="宋体"/>
          <w:color w:val="auto"/>
          <w:highlight w:val="none"/>
          <w:u w:val="single"/>
        </w:rPr>
      </w:pPr>
      <w:r>
        <w:rPr>
          <w:rFonts w:hint="eastAsia" w:cs="宋体"/>
          <w:color w:val="auto"/>
          <w:highlight w:val="none"/>
        </w:rPr>
        <w:t>因</w:t>
      </w:r>
      <w:bookmarkStart w:id="710" w:name="_Toc312677487"/>
      <w:bookmarkStart w:id="711" w:name="_Toc312678013"/>
      <w:bookmarkStart w:id="712" w:name="_Toc318581170"/>
      <w:r>
        <w:rPr>
          <w:rFonts w:hint="eastAsia" w:cs="宋体"/>
          <w:color w:val="auto"/>
          <w:highlight w:val="none"/>
        </w:rPr>
        <w:t>承包人原因造成工期延误，逾期竣工违约金的计算方法为：</w:t>
      </w:r>
    </w:p>
    <w:p>
      <w:pPr>
        <w:spacing w:line="288" w:lineRule="auto"/>
        <w:ind w:firstLine="420"/>
        <w:jc w:val="left"/>
        <w:rPr>
          <w:rFonts w:cs="宋体"/>
          <w:color w:val="auto"/>
          <w:highlight w:val="none"/>
        </w:rPr>
      </w:pPr>
      <w:r>
        <w:rPr>
          <w:rFonts w:hint="eastAsia" w:cs="宋体"/>
          <w:color w:val="auto"/>
          <w:highlight w:val="none"/>
          <w:u w:val="single"/>
        </w:rPr>
        <w:t>工期延误10天以内每延误一天，按0.1万/天向发包人支付违约金，延误10天以上20天以内每延误一天，按0.2万/天向发包人支付违约金，以此类推，按倍数支付违约金。工期延误超过60天的，发包人同时有权解除合同并继续追究承包人违约责任</w:t>
      </w:r>
      <w:r>
        <w:rPr>
          <w:rFonts w:hint="eastAsia" w:cs="宋体"/>
          <w:color w:val="auto"/>
          <w:highlight w:val="none"/>
        </w:rPr>
        <w:t>。</w:t>
      </w:r>
      <w:bookmarkEnd w:id="705"/>
      <w:bookmarkEnd w:id="706"/>
      <w:bookmarkEnd w:id="707"/>
      <w:bookmarkEnd w:id="708"/>
      <w:bookmarkEnd w:id="709"/>
      <w:bookmarkEnd w:id="710"/>
      <w:bookmarkEnd w:id="711"/>
    </w:p>
    <w:bookmarkEnd w:id="712"/>
    <w:p>
      <w:pPr>
        <w:spacing w:line="288" w:lineRule="auto"/>
        <w:ind w:firstLine="420"/>
        <w:jc w:val="left"/>
        <w:rPr>
          <w:rFonts w:cs="宋体"/>
          <w:color w:val="auto"/>
          <w:highlight w:val="none"/>
        </w:rPr>
      </w:pPr>
      <w:r>
        <w:rPr>
          <w:rFonts w:hint="eastAsia" w:cs="宋体"/>
          <w:color w:val="auto"/>
          <w:highlight w:val="none"/>
        </w:rPr>
        <w:t>因承包人原因造成工期延误，逾</w:t>
      </w:r>
      <w:bookmarkStart w:id="713" w:name="_Toc318581171"/>
      <w:bookmarkStart w:id="714" w:name="_Toc312678014"/>
      <w:r>
        <w:rPr>
          <w:rFonts w:hint="eastAsia" w:cs="宋体"/>
          <w:color w:val="auto"/>
          <w:highlight w:val="none"/>
        </w:rPr>
        <w:t>期竣工违约金的上限：</w:t>
      </w:r>
      <w:r>
        <w:rPr>
          <w:rFonts w:hint="eastAsia" w:cs="宋体"/>
          <w:color w:val="auto"/>
          <w:highlight w:val="none"/>
          <w:u w:val="single"/>
        </w:rPr>
        <w:t>全部履约保证金</w:t>
      </w:r>
      <w:r>
        <w:rPr>
          <w:rFonts w:hint="eastAsia" w:cs="宋体"/>
          <w:color w:val="auto"/>
          <w:highlight w:val="none"/>
        </w:rPr>
        <w:t>。</w:t>
      </w:r>
    </w:p>
    <w:bookmarkEnd w:id="713"/>
    <w:bookmarkEnd w:id="714"/>
    <w:p>
      <w:pPr>
        <w:spacing w:after="120" w:line="288" w:lineRule="auto"/>
        <w:ind w:firstLine="420"/>
        <w:rPr>
          <w:rFonts w:cs="宋体"/>
          <w:color w:val="auto"/>
          <w:highlight w:val="none"/>
        </w:rPr>
      </w:pPr>
      <w:r>
        <w:rPr>
          <w:rFonts w:hint="eastAsia" w:cs="宋体"/>
          <w:color w:val="auto"/>
          <w:highlight w:val="none"/>
        </w:rPr>
        <w:t>7</w:t>
      </w:r>
      <w:bookmarkStart w:id="715" w:name="_Toc297123519"/>
      <w:bookmarkStart w:id="716" w:name="_Toc312678015"/>
      <w:bookmarkStart w:id="717" w:name="_Toc303539128"/>
      <w:bookmarkStart w:id="718" w:name="_Toc304295549"/>
      <w:bookmarkStart w:id="719" w:name="_Toc297216178"/>
      <w:bookmarkStart w:id="720" w:name="_Toc300934971"/>
      <w:r>
        <w:rPr>
          <w:rFonts w:hint="eastAsia" w:cs="宋体"/>
          <w:color w:val="auto"/>
          <w:highlight w:val="none"/>
        </w:rPr>
        <w:t>.6 不</w:t>
      </w:r>
      <w:bookmarkEnd w:id="715"/>
      <w:bookmarkEnd w:id="716"/>
      <w:bookmarkEnd w:id="717"/>
      <w:bookmarkEnd w:id="718"/>
      <w:bookmarkEnd w:id="719"/>
      <w:bookmarkEnd w:id="720"/>
      <w:r>
        <w:rPr>
          <w:rFonts w:hint="eastAsia" w:cs="宋体"/>
          <w:color w:val="auto"/>
          <w:highlight w:val="none"/>
        </w:rPr>
        <w:t>利物质条件</w:t>
      </w:r>
    </w:p>
    <w:p>
      <w:pPr>
        <w:spacing w:line="288" w:lineRule="auto"/>
        <w:ind w:firstLine="420"/>
        <w:jc w:val="left"/>
        <w:rPr>
          <w:rFonts w:cs="宋体"/>
          <w:color w:val="auto"/>
          <w:highlight w:val="none"/>
        </w:rPr>
      </w:pPr>
      <w:bookmarkStart w:id="721" w:name="_Toc300934972"/>
      <w:bookmarkStart w:id="722" w:name="_Toc297216179"/>
      <w:bookmarkStart w:id="723" w:name="_Toc297123520"/>
      <w:bookmarkStart w:id="724" w:name="_Toc318581172"/>
      <w:bookmarkStart w:id="725" w:name="_Toc303539129"/>
      <w:bookmarkStart w:id="726" w:name="_Toc312678016"/>
      <w:bookmarkStart w:id="727" w:name="_Toc304295550"/>
      <w:r>
        <w:rPr>
          <w:rFonts w:hint="eastAsia" w:cs="宋体"/>
          <w:color w:val="auto"/>
          <w:highlight w:val="none"/>
        </w:rPr>
        <w:t>不利物质条件的其他情形和有关约定：</w:t>
      </w:r>
    </w:p>
    <w:p>
      <w:pPr>
        <w:spacing w:line="288" w:lineRule="auto"/>
        <w:ind w:firstLine="417" w:firstLineChars="198"/>
        <w:jc w:val="left"/>
        <w:rPr>
          <w:rFonts w:cs="宋体"/>
          <w:b/>
          <w:color w:val="auto"/>
          <w:highlight w:val="none"/>
          <w:u w:val="single"/>
        </w:rPr>
      </w:pPr>
      <w:r>
        <w:rPr>
          <w:rFonts w:hint="eastAsia" w:cs="宋体"/>
          <w:b/>
          <w:color w:val="auto"/>
          <w:highlight w:val="none"/>
          <w:u w:val="single"/>
        </w:rPr>
        <w:t xml:space="preserve">（1）施工场地周围地下管线                            </w:t>
      </w:r>
      <w:r>
        <w:rPr>
          <w:rFonts w:hint="eastAsia" w:cs="宋体"/>
          <w:b/>
          <w:color w:val="auto"/>
          <w:highlight w:val="none"/>
        </w:rPr>
        <w:t>；</w:t>
      </w:r>
    </w:p>
    <w:p>
      <w:pPr>
        <w:spacing w:line="288" w:lineRule="auto"/>
        <w:ind w:firstLine="417" w:firstLineChars="198"/>
        <w:jc w:val="left"/>
        <w:rPr>
          <w:rFonts w:cs="宋体"/>
          <w:b/>
          <w:color w:val="auto"/>
          <w:highlight w:val="none"/>
          <w:u w:val="single"/>
        </w:rPr>
      </w:pPr>
      <w:r>
        <w:rPr>
          <w:rFonts w:hint="eastAsia" w:cs="宋体"/>
          <w:b/>
          <w:color w:val="auto"/>
          <w:highlight w:val="none"/>
          <w:u w:val="single"/>
        </w:rPr>
        <w:t xml:space="preserve">（2）地下障碍物和污染物                              </w:t>
      </w:r>
      <w:r>
        <w:rPr>
          <w:rFonts w:hint="eastAsia" w:cs="宋体"/>
          <w:b/>
          <w:color w:val="auto"/>
          <w:highlight w:val="none"/>
        </w:rPr>
        <w:t>；</w:t>
      </w:r>
    </w:p>
    <w:p>
      <w:pPr>
        <w:spacing w:line="288" w:lineRule="auto"/>
        <w:ind w:firstLine="417" w:firstLineChars="198"/>
        <w:jc w:val="left"/>
        <w:rPr>
          <w:rFonts w:cs="宋体"/>
          <w:b/>
          <w:color w:val="auto"/>
          <w:highlight w:val="none"/>
          <w:u w:val="single"/>
        </w:rPr>
      </w:pPr>
      <w:r>
        <w:rPr>
          <w:rFonts w:hint="eastAsia" w:cs="宋体"/>
          <w:b/>
          <w:color w:val="auto"/>
          <w:highlight w:val="none"/>
          <w:u w:val="single"/>
        </w:rPr>
        <w:t xml:space="preserve">（3）邻近建筑物、构筑物的保护要求                    </w:t>
      </w:r>
      <w:r>
        <w:rPr>
          <w:rFonts w:hint="eastAsia" w:cs="宋体"/>
          <w:b/>
          <w:color w:val="auto"/>
          <w:highlight w:val="none"/>
        </w:rPr>
        <w:t>；</w:t>
      </w:r>
    </w:p>
    <w:p>
      <w:pPr>
        <w:spacing w:line="288" w:lineRule="auto"/>
        <w:ind w:firstLine="417" w:firstLineChars="198"/>
        <w:jc w:val="left"/>
        <w:rPr>
          <w:rFonts w:cs="宋体"/>
          <w:b/>
          <w:color w:val="auto"/>
          <w:highlight w:val="none"/>
          <w:u w:val="single"/>
        </w:rPr>
      </w:pPr>
      <w:r>
        <w:rPr>
          <w:rFonts w:hint="eastAsia" w:cs="宋体"/>
          <w:b/>
          <w:color w:val="auto"/>
          <w:highlight w:val="none"/>
          <w:u w:val="single"/>
        </w:rPr>
        <w:t xml:space="preserve">（4）其他：/                                        </w:t>
      </w:r>
      <w:r>
        <w:rPr>
          <w:rFonts w:hint="eastAsia" w:cs="宋体"/>
          <w:b/>
          <w:color w:val="auto"/>
          <w:highlight w:val="none"/>
        </w:rPr>
        <w:t>。</w:t>
      </w:r>
    </w:p>
    <w:bookmarkEnd w:id="721"/>
    <w:bookmarkEnd w:id="722"/>
    <w:bookmarkEnd w:id="723"/>
    <w:bookmarkEnd w:id="724"/>
    <w:bookmarkEnd w:id="725"/>
    <w:bookmarkEnd w:id="726"/>
    <w:bookmarkEnd w:id="727"/>
    <w:p>
      <w:pPr>
        <w:spacing w:after="120" w:line="288" w:lineRule="auto"/>
        <w:ind w:firstLine="420"/>
        <w:rPr>
          <w:rFonts w:cs="宋体"/>
          <w:color w:val="auto"/>
          <w:highlight w:val="none"/>
        </w:rPr>
      </w:pPr>
      <w:r>
        <w:rPr>
          <w:rFonts w:hint="eastAsia" w:cs="宋体"/>
          <w:color w:val="auto"/>
          <w:highlight w:val="none"/>
        </w:rPr>
        <w:t>7</w:t>
      </w:r>
      <w:bookmarkStart w:id="728" w:name="_Toc297123521"/>
      <w:bookmarkStart w:id="729" w:name="_Toc312678017"/>
      <w:bookmarkStart w:id="730" w:name="_Toc300934973"/>
      <w:bookmarkStart w:id="731" w:name="_Toc297216180"/>
      <w:bookmarkStart w:id="732" w:name="_Toc304295551"/>
      <w:bookmarkStart w:id="733" w:name="_Toc303539130"/>
      <w:r>
        <w:rPr>
          <w:rFonts w:hint="eastAsia" w:cs="宋体"/>
          <w:color w:val="auto"/>
          <w:highlight w:val="none"/>
        </w:rPr>
        <w:t>.7异常恶劣的气候条件</w:t>
      </w:r>
    </w:p>
    <w:bookmarkEnd w:id="728"/>
    <w:bookmarkEnd w:id="729"/>
    <w:bookmarkEnd w:id="730"/>
    <w:bookmarkEnd w:id="731"/>
    <w:bookmarkEnd w:id="732"/>
    <w:bookmarkEnd w:id="733"/>
    <w:p>
      <w:pPr>
        <w:spacing w:line="288" w:lineRule="auto"/>
        <w:ind w:firstLine="420"/>
        <w:jc w:val="left"/>
        <w:rPr>
          <w:rFonts w:cs="宋体"/>
          <w:b/>
          <w:color w:val="auto"/>
          <w:kern w:val="0"/>
          <w:highlight w:val="none"/>
        </w:rPr>
      </w:pPr>
      <w:r>
        <w:rPr>
          <w:rFonts w:hint="eastAsia" w:cs="宋体"/>
          <w:color w:val="auto"/>
          <w:highlight w:val="none"/>
        </w:rPr>
        <w:t>发包人和承包人同意以下情形视为异常恶劣的气候条件：</w:t>
      </w:r>
    </w:p>
    <w:p>
      <w:pPr>
        <w:spacing w:line="288" w:lineRule="auto"/>
        <w:ind w:firstLine="420"/>
        <w:jc w:val="left"/>
        <w:rPr>
          <w:rFonts w:cs="宋体"/>
          <w:color w:val="auto"/>
          <w:highlight w:val="none"/>
        </w:rPr>
      </w:pPr>
      <w:r>
        <w:rPr>
          <w:rFonts w:hint="eastAsia" w:cs="宋体"/>
          <w:color w:val="auto"/>
          <w:highlight w:val="none"/>
          <w:u w:val="single"/>
        </w:rPr>
        <w:t xml:space="preserve">日最高气温达到40度及以上的天气；启动台风橙色及以上的预警的天气；启动防汛预案一级响应的天气；启动防冻预案一级响应的天气 </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7.9 提前竣工的奖励</w:t>
      </w:r>
    </w:p>
    <w:p>
      <w:pPr>
        <w:spacing w:line="288" w:lineRule="auto"/>
        <w:ind w:firstLine="420"/>
        <w:jc w:val="left"/>
        <w:rPr>
          <w:rFonts w:cs="宋体"/>
          <w:color w:val="auto"/>
          <w:highlight w:val="none"/>
        </w:rPr>
      </w:pPr>
      <w:r>
        <w:rPr>
          <w:rFonts w:hint="eastAsia" w:cs="宋体"/>
          <w:color w:val="auto"/>
          <w:highlight w:val="none"/>
        </w:rPr>
        <w:t>7.9.2提前竣工的奖励：</w:t>
      </w:r>
      <w:r>
        <w:rPr>
          <w:rFonts w:hint="eastAsia" w:cs="宋体"/>
          <w:color w:val="auto"/>
          <w:highlight w:val="none"/>
          <w:u w:val="single"/>
        </w:rPr>
        <w:t>/</w:t>
      </w:r>
      <w:r>
        <w:rPr>
          <w:rFonts w:hint="eastAsia" w:cs="宋体"/>
          <w:color w:val="auto"/>
          <w:highlight w:val="none"/>
        </w:rPr>
        <w:t>。</w:t>
      </w:r>
    </w:p>
    <w:p>
      <w:pPr>
        <w:keepNext/>
        <w:keepLines/>
        <w:spacing w:before="120" w:after="120" w:line="288" w:lineRule="auto"/>
        <w:ind w:firstLine="411" w:firstLineChars="196"/>
        <w:outlineLvl w:val="3"/>
        <w:rPr>
          <w:rFonts w:cs="宋体"/>
          <w:bCs/>
          <w:color w:val="auto"/>
          <w:highlight w:val="none"/>
        </w:rPr>
      </w:pPr>
      <w:bookmarkStart w:id="734" w:name="_Toc351203640"/>
      <w:r>
        <w:rPr>
          <w:rFonts w:hint="eastAsia" w:cs="宋体"/>
          <w:bCs/>
          <w:color w:val="auto"/>
          <w:highlight w:val="none"/>
        </w:rPr>
        <w:t>8. 材料与设备</w:t>
      </w:r>
      <w:bookmarkEnd w:id="734"/>
    </w:p>
    <w:bookmarkEnd w:id="669"/>
    <w:bookmarkEnd w:id="670"/>
    <w:bookmarkEnd w:id="671"/>
    <w:bookmarkEnd w:id="672"/>
    <w:bookmarkEnd w:id="673"/>
    <w:bookmarkEnd w:id="674"/>
    <w:bookmarkEnd w:id="675"/>
    <w:bookmarkEnd w:id="676"/>
    <w:bookmarkEnd w:id="677"/>
    <w:bookmarkEnd w:id="678"/>
    <w:p>
      <w:pPr>
        <w:spacing w:after="120" w:line="288" w:lineRule="auto"/>
        <w:ind w:firstLine="420"/>
        <w:rPr>
          <w:rFonts w:cs="宋体"/>
          <w:color w:val="auto"/>
          <w:highlight w:val="none"/>
        </w:rPr>
      </w:pPr>
      <w:r>
        <w:rPr>
          <w:rFonts w:hint="eastAsia" w:cs="宋体"/>
          <w:color w:val="auto"/>
          <w:highlight w:val="none"/>
        </w:rPr>
        <w:t>8</w:t>
      </w:r>
      <w:bookmarkStart w:id="735" w:name="_Toc296890995"/>
      <w:bookmarkStart w:id="736" w:name="_Toc296944506"/>
      <w:bookmarkStart w:id="737" w:name="_Toc296891207"/>
      <w:bookmarkStart w:id="738" w:name="_Toc292559372"/>
      <w:bookmarkStart w:id="739" w:name="_Toc312678019"/>
      <w:bookmarkStart w:id="740" w:name="_Toc280868654"/>
      <w:bookmarkStart w:id="741" w:name="_Toc292559877"/>
      <w:bookmarkStart w:id="742" w:name="_Toc304295556"/>
      <w:bookmarkStart w:id="743" w:name="_Toc297123527"/>
      <w:bookmarkStart w:id="744" w:name="_Toc312677493"/>
      <w:bookmarkStart w:id="745" w:name="_Toc303539136"/>
      <w:bookmarkStart w:id="746" w:name="_Toc297216186"/>
      <w:bookmarkStart w:id="747" w:name="_Toc296347166"/>
      <w:bookmarkStart w:id="748" w:name="_Toc300934979"/>
      <w:bookmarkStart w:id="749" w:name="_Toc296503167"/>
      <w:bookmarkStart w:id="750" w:name="_Toc297120467"/>
      <w:bookmarkStart w:id="751" w:name="_Toc296346668"/>
      <w:bookmarkStart w:id="752" w:name="_Toc297048353"/>
      <w:bookmarkStart w:id="753" w:name="_Toc280868655"/>
      <w:bookmarkStart w:id="754" w:name="_Toc280868656"/>
      <w:bookmarkStart w:id="755" w:name="_Toc267251424"/>
      <w:r>
        <w:rPr>
          <w:rFonts w:hint="eastAsia" w:cs="宋体"/>
          <w:color w:val="auto"/>
          <w:highlight w:val="none"/>
        </w:rPr>
        <w:t>.4材料与工程设备的保管与使用</w:t>
      </w:r>
    </w:p>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p>
      <w:pPr>
        <w:spacing w:line="288" w:lineRule="auto"/>
        <w:ind w:firstLine="420"/>
        <w:jc w:val="left"/>
        <w:rPr>
          <w:rFonts w:cs="宋体"/>
          <w:color w:val="auto"/>
          <w:highlight w:val="none"/>
          <w:u w:val="single"/>
        </w:rPr>
      </w:pPr>
      <w:r>
        <w:rPr>
          <w:rFonts w:hint="eastAsia" w:cs="宋体"/>
          <w:color w:val="auto"/>
          <w:highlight w:val="none"/>
        </w:rPr>
        <w:t>8</w:t>
      </w:r>
      <w:bookmarkStart w:id="756" w:name="_Toc292559878"/>
      <w:bookmarkStart w:id="757" w:name="_Toc292559373"/>
      <w:bookmarkStart w:id="758" w:name="_Toc296944507"/>
      <w:bookmarkStart w:id="759" w:name="_Toc297048354"/>
      <w:bookmarkStart w:id="760" w:name="_Toc297123528"/>
      <w:bookmarkStart w:id="761" w:name="_Toc303539137"/>
      <w:bookmarkStart w:id="762" w:name="_Toc297120468"/>
      <w:bookmarkStart w:id="763" w:name="_Toc296890996"/>
      <w:bookmarkStart w:id="764" w:name="_Toc312678020"/>
      <w:bookmarkStart w:id="765" w:name="_Toc296891208"/>
      <w:bookmarkStart w:id="766" w:name="_Toc296346669"/>
      <w:bookmarkStart w:id="767" w:name="_Toc300934980"/>
      <w:bookmarkStart w:id="768" w:name="_Toc297216187"/>
      <w:bookmarkStart w:id="769" w:name="_Toc296503168"/>
      <w:bookmarkStart w:id="770" w:name="_Toc318581173"/>
      <w:bookmarkStart w:id="771" w:name="_Toc296347167"/>
      <w:bookmarkStart w:id="772" w:name="_Toc304295557"/>
      <w:bookmarkStart w:id="773" w:name="_Toc312677494"/>
      <w:r>
        <w:rPr>
          <w:rFonts w:hint="eastAsia" w:cs="宋体"/>
          <w:color w:val="auto"/>
          <w:highlight w:val="none"/>
        </w:rPr>
        <w:t>.4.1发包人供应的材料设备的保管费用的承担：</w:t>
      </w:r>
      <w:r>
        <w:rPr>
          <w:rFonts w:hint="eastAsia" w:cs="宋体"/>
          <w:color w:val="auto"/>
          <w:highlight w:val="none"/>
          <w:u w:val="single"/>
        </w:rPr>
        <w:t>（1）招标时已明确由发包人供应的材料设备保管费用、安装过程中的二次搬运和设备就位费、检验试验费由承包人投标时报价包干；（2）在本工程实施过程中新增的由发包人供应，并由承包人施工的材料设备，计取材料设备价的1%的费用（该费用已包含材料设备的保管费用、安装过程中的二次搬运和设备就位费、检验试验费等费用）；（3）因承包人原因发生材料丢失损坏，由承包人负责赔偿</w:t>
      </w:r>
      <w:r>
        <w:rPr>
          <w:rFonts w:hint="eastAsia" w:cs="宋体"/>
          <w:color w:val="auto"/>
          <w:highlight w:val="none"/>
        </w:rPr>
        <w:t>。</w:t>
      </w:r>
      <w:bookmarkEnd w:id="756"/>
      <w:bookmarkEnd w:id="757"/>
    </w:p>
    <w:p>
      <w:pPr>
        <w:spacing w:after="120" w:line="288" w:lineRule="auto"/>
        <w:ind w:firstLine="420"/>
        <w:rPr>
          <w:rFonts w:cs="宋体"/>
          <w:color w:val="auto"/>
          <w:highlight w:val="none"/>
        </w:rPr>
      </w:pPr>
      <w:r>
        <w:rPr>
          <w:rFonts w:hint="eastAsia" w:cs="宋体"/>
          <w:color w:val="auto"/>
          <w:highlight w:val="none"/>
        </w:rPr>
        <w:t>8.6 样品</w:t>
      </w:r>
    </w:p>
    <w:p>
      <w:pPr>
        <w:autoSpaceDE w:val="0"/>
        <w:autoSpaceDN w:val="0"/>
        <w:adjustRightInd w:val="0"/>
        <w:spacing w:line="288" w:lineRule="auto"/>
        <w:ind w:firstLine="420"/>
        <w:jc w:val="left"/>
        <w:rPr>
          <w:rFonts w:cs="宋体"/>
          <w:color w:val="auto"/>
          <w:kern w:val="0"/>
          <w:highlight w:val="none"/>
        </w:rPr>
      </w:pPr>
      <w:r>
        <w:rPr>
          <w:rFonts w:hint="eastAsia" w:cs="宋体"/>
          <w:color w:val="auto"/>
          <w:kern w:val="0"/>
          <w:highlight w:val="none"/>
        </w:rPr>
        <w:t>8.6.1</w:t>
      </w:r>
      <w:r>
        <w:rPr>
          <w:rFonts w:hint="eastAsia" w:cs="宋体"/>
          <w:color w:val="auto"/>
          <w:kern w:val="0"/>
          <w:highlight w:val="none"/>
        </w:rPr>
        <w:tab/>
      </w:r>
      <w:r>
        <w:rPr>
          <w:rFonts w:hint="eastAsia" w:cs="宋体"/>
          <w:color w:val="auto"/>
          <w:kern w:val="0"/>
          <w:highlight w:val="none"/>
        </w:rPr>
        <w:t>样品的报送与封存</w:t>
      </w:r>
    </w:p>
    <w:p>
      <w:pPr>
        <w:autoSpaceDE w:val="0"/>
        <w:autoSpaceDN w:val="0"/>
        <w:adjustRightInd w:val="0"/>
        <w:spacing w:line="288" w:lineRule="auto"/>
        <w:ind w:firstLine="420"/>
        <w:jc w:val="left"/>
        <w:rPr>
          <w:rFonts w:cs="宋体"/>
          <w:color w:val="auto"/>
          <w:highlight w:val="none"/>
          <w:u w:val="single"/>
        </w:rPr>
      </w:pPr>
      <w:r>
        <w:rPr>
          <w:rFonts w:hint="eastAsia" w:cs="宋体"/>
          <w:color w:val="auto"/>
          <w:kern w:val="0"/>
          <w:highlight w:val="none"/>
        </w:rPr>
        <w:t>需要承包人报送样品的材料或工程设备，样品的种类、名称、规格、数量要求：</w:t>
      </w:r>
      <w:r>
        <w:rPr>
          <w:rFonts w:hint="eastAsia" w:cs="宋体"/>
          <w:color w:val="auto"/>
          <w:highlight w:val="none"/>
          <w:u w:val="single"/>
        </w:rPr>
        <w:t xml:space="preserve">按有关规定和监理人要求执行            </w:t>
      </w:r>
      <w:r>
        <w:rPr>
          <w:rFonts w:hint="eastAsia" w:cs="宋体"/>
          <w:color w:val="auto"/>
          <w:highlight w:val="none"/>
        </w:rPr>
        <w:t>。</w:t>
      </w:r>
    </w:p>
    <w:p>
      <w:pPr>
        <w:spacing w:after="120" w:line="288" w:lineRule="auto"/>
        <w:ind w:firstLine="420"/>
        <w:rPr>
          <w:rFonts w:cs="宋体"/>
          <w:color w:val="auto"/>
          <w:highlight w:val="none"/>
        </w:rPr>
      </w:pPr>
      <w:r>
        <w:rPr>
          <w:rFonts w:hint="eastAsia" w:cs="宋体"/>
          <w:color w:val="auto"/>
          <w:highlight w:val="none"/>
        </w:rPr>
        <w:t>8.8 施工设备和临时设施</w:t>
      </w:r>
    </w:p>
    <w:p>
      <w:pPr>
        <w:autoSpaceDE w:val="0"/>
        <w:autoSpaceDN w:val="0"/>
        <w:adjustRightInd w:val="0"/>
        <w:spacing w:line="288" w:lineRule="auto"/>
        <w:ind w:firstLine="420"/>
        <w:jc w:val="left"/>
        <w:rPr>
          <w:rFonts w:cs="宋体"/>
          <w:color w:val="auto"/>
          <w:highlight w:val="none"/>
        </w:rPr>
      </w:pPr>
      <w:r>
        <w:rPr>
          <w:rFonts w:hint="eastAsia" w:cs="宋体"/>
          <w:color w:val="auto"/>
          <w:highlight w:val="none"/>
        </w:rPr>
        <w:t>8.8.1 承包人提供的施工设备和临时设施</w:t>
      </w:r>
    </w:p>
    <w:p>
      <w:pPr>
        <w:autoSpaceDE w:val="0"/>
        <w:autoSpaceDN w:val="0"/>
        <w:adjustRightInd w:val="0"/>
        <w:spacing w:line="288" w:lineRule="auto"/>
        <w:ind w:firstLine="420"/>
        <w:jc w:val="left"/>
        <w:rPr>
          <w:rFonts w:cs="宋体"/>
          <w:color w:val="auto"/>
          <w:highlight w:val="none"/>
          <w:u w:val="single"/>
        </w:rPr>
      </w:pPr>
      <w:r>
        <w:rPr>
          <w:rFonts w:hint="eastAsia" w:cs="宋体"/>
          <w:color w:val="auto"/>
          <w:highlight w:val="none"/>
        </w:rPr>
        <w:t>关于修建临时设施费用承担的约定：</w:t>
      </w:r>
      <w:r>
        <w:rPr>
          <w:rFonts w:hint="eastAsia" w:cs="宋体"/>
          <w:color w:val="auto"/>
          <w:highlight w:val="none"/>
          <w:u w:val="single"/>
        </w:rPr>
        <w:t>按通用合同条款约定</w:t>
      </w:r>
      <w:r>
        <w:rPr>
          <w:rFonts w:hint="eastAsia" w:cs="宋体"/>
          <w:color w:val="auto"/>
          <w:highlight w:val="none"/>
        </w:rPr>
        <w:t>。</w:t>
      </w:r>
    </w:p>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pPr>
        <w:keepNext/>
        <w:keepLines/>
        <w:spacing w:before="120" w:after="120" w:line="288" w:lineRule="auto"/>
        <w:ind w:firstLine="420"/>
        <w:outlineLvl w:val="3"/>
        <w:rPr>
          <w:rFonts w:cs="宋体"/>
          <w:bCs/>
          <w:color w:val="auto"/>
          <w:highlight w:val="none"/>
        </w:rPr>
      </w:pPr>
      <w:bookmarkStart w:id="774" w:name="_Toc351203641"/>
      <w:r>
        <w:rPr>
          <w:rFonts w:hint="eastAsia" w:cs="宋体"/>
          <w:bCs/>
          <w:color w:val="auto"/>
          <w:highlight w:val="none"/>
        </w:rPr>
        <w:t>9</w:t>
      </w:r>
      <w:bookmarkEnd w:id="753"/>
      <w:bookmarkEnd w:id="754"/>
      <w:bookmarkEnd w:id="755"/>
      <w:bookmarkStart w:id="775" w:name="_Toc304295559"/>
      <w:bookmarkStart w:id="776" w:name="_Toc300934982"/>
      <w:bookmarkStart w:id="777" w:name="_Toc312677495"/>
      <w:bookmarkStart w:id="778" w:name="_Toc297216192"/>
      <w:bookmarkStart w:id="779" w:name="_Toc297123533"/>
      <w:bookmarkStart w:id="780" w:name="_Toc303539139"/>
      <w:bookmarkStart w:id="781" w:name="_Toc312678021"/>
      <w:bookmarkStart w:id="782" w:name="_Toc292559883"/>
      <w:bookmarkStart w:id="783" w:name="_Toc296891213"/>
      <w:bookmarkStart w:id="784" w:name="_Toc296891001"/>
      <w:bookmarkStart w:id="785" w:name="_Toc297048359"/>
      <w:bookmarkStart w:id="786" w:name="_Toc267251427"/>
      <w:bookmarkStart w:id="787" w:name="_Toc296347172"/>
      <w:bookmarkStart w:id="788" w:name="_Toc297120473"/>
      <w:bookmarkStart w:id="789" w:name="_Toc296346674"/>
      <w:bookmarkStart w:id="790" w:name="_Toc267251428"/>
      <w:bookmarkStart w:id="791" w:name="_Toc292559378"/>
      <w:bookmarkStart w:id="792" w:name="_Toc296503173"/>
      <w:bookmarkStart w:id="793" w:name="_Toc296944512"/>
      <w:r>
        <w:rPr>
          <w:rFonts w:hint="eastAsia" w:cs="宋体"/>
          <w:bCs/>
          <w:color w:val="auto"/>
          <w:highlight w:val="none"/>
        </w:rPr>
        <w:t>. 试验与检验</w:t>
      </w:r>
      <w:bookmarkEnd w:id="774"/>
    </w:p>
    <w:bookmarkEnd w:id="775"/>
    <w:bookmarkEnd w:id="776"/>
    <w:bookmarkEnd w:id="777"/>
    <w:bookmarkEnd w:id="778"/>
    <w:bookmarkEnd w:id="779"/>
    <w:bookmarkEnd w:id="780"/>
    <w:bookmarkEnd w:id="781"/>
    <w:p>
      <w:pPr>
        <w:spacing w:after="120" w:line="288" w:lineRule="auto"/>
        <w:ind w:firstLine="420"/>
        <w:rPr>
          <w:rFonts w:cs="宋体"/>
          <w:color w:val="auto"/>
          <w:highlight w:val="none"/>
        </w:rPr>
      </w:pPr>
      <w:r>
        <w:rPr>
          <w:rFonts w:hint="eastAsia" w:cs="宋体"/>
          <w:color w:val="auto"/>
          <w:highlight w:val="none"/>
        </w:rPr>
        <w:t>9</w:t>
      </w:r>
      <w:bookmarkStart w:id="794" w:name="_Toc312678022"/>
      <w:bookmarkStart w:id="795" w:name="_Toc312677496"/>
      <w:bookmarkStart w:id="796" w:name="_Toc304295560"/>
      <w:bookmarkStart w:id="797" w:name="_Toc300934983"/>
      <w:bookmarkStart w:id="798" w:name="_Toc297216193"/>
      <w:bookmarkStart w:id="799" w:name="_Toc297123534"/>
      <w:bookmarkStart w:id="800" w:name="_Toc303539140"/>
      <w:r>
        <w:rPr>
          <w:rFonts w:hint="eastAsia" w:cs="宋体"/>
          <w:color w:val="auto"/>
          <w:highlight w:val="none"/>
        </w:rPr>
        <w:t>.1试验设备与试验人员</w:t>
      </w:r>
    </w:p>
    <w:bookmarkEnd w:id="794"/>
    <w:bookmarkEnd w:id="795"/>
    <w:bookmarkEnd w:id="796"/>
    <w:bookmarkEnd w:id="797"/>
    <w:bookmarkEnd w:id="798"/>
    <w:bookmarkEnd w:id="799"/>
    <w:bookmarkEnd w:id="800"/>
    <w:p>
      <w:pPr>
        <w:spacing w:line="288" w:lineRule="auto"/>
        <w:ind w:firstLine="420"/>
        <w:jc w:val="left"/>
        <w:rPr>
          <w:rFonts w:cs="宋体"/>
          <w:color w:val="auto"/>
          <w:highlight w:val="none"/>
        </w:rPr>
      </w:pPr>
      <w:r>
        <w:rPr>
          <w:rFonts w:hint="eastAsia" w:cs="宋体"/>
          <w:color w:val="auto"/>
          <w:highlight w:val="none"/>
        </w:rPr>
        <w:t>9</w:t>
      </w:r>
      <w:bookmarkStart w:id="801" w:name="_Toc312677497"/>
      <w:bookmarkStart w:id="802" w:name="_Toc297216194"/>
      <w:bookmarkStart w:id="803" w:name="_Toc297123535"/>
      <w:bookmarkStart w:id="804" w:name="_Toc312678023"/>
      <w:bookmarkStart w:id="805" w:name="_Toc304295561"/>
      <w:bookmarkStart w:id="806" w:name="_Toc300934984"/>
      <w:bookmarkStart w:id="807" w:name="_Toc303539141"/>
      <w:bookmarkStart w:id="808" w:name="_Toc318581174"/>
      <w:r>
        <w:rPr>
          <w:rFonts w:hint="eastAsia" w:cs="宋体"/>
          <w:color w:val="auto"/>
          <w:highlight w:val="none"/>
        </w:rPr>
        <w:t>.1.2 试验设备</w:t>
      </w:r>
    </w:p>
    <w:p>
      <w:pPr>
        <w:spacing w:line="288" w:lineRule="auto"/>
        <w:ind w:firstLine="420"/>
        <w:jc w:val="left"/>
        <w:rPr>
          <w:rFonts w:cs="宋体"/>
          <w:color w:val="auto"/>
          <w:highlight w:val="none"/>
          <w:u w:val="single"/>
        </w:rPr>
      </w:pPr>
      <w:r>
        <w:rPr>
          <w:rFonts w:hint="eastAsia" w:cs="宋体"/>
          <w:color w:val="auto"/>
          <w:highlight w:val="none"/>
        </w:rPr>
        <w:t>施工现场需要配置的试验场所：</w:t>
      </w:r>
      <w:bookmarkEnd w:id="801"/>
      <w:bookmarkEnd w:id="802"/>
      <w:bookmarkEnd w:id="803"/>
      <w:bookmarkEnd w:id="804"/>
      <w:bookmarkEnd w:id="805"/>
      <w:bookmarkEnd w:id="806"/>
      <w:bookmarkEnd w:id="807"/>
      <w:bookmarkStart w:id="809" w:name="_Toc297123536"/>
      <w:bookmarkStart w:id="810" w:name="_Toc300934985"/>
      <w:bookmarkStart w:id="811" w:name="_Toc304295562"/>
      <w:bookmarkStart w:id="812" w:name="_Toc297216195"/>
      <w:bookmarkStart w:id="813" w:name="_Toc303539142"/>
      <w:bookmarkStart w:id="814" w:name="_Toc312678024"/>
      <w:bookmarkStart w:id="815" w:name="_Toc312677498"/>
      <w:r>
        <w:rPr>
          <w:rFonts w:hint="eastAsia" w:cs="宋体"/>
          <w:color w:val="auto"/>
          <w:highlight w:val="none"/>
          <w:u w:val="single"/>
        </w:rPr>
        <w:t>按有关规定和监理人要求执行</w:t>
      </w:r>
      <w:r>
        <w:rPr>
          <w:rFonts w:hint="eastAsia" w:cs="宋体"/>
          <w:color w:val="auto"/>
          <w:highlight w:val="none"/>
        </w:rPr>
        <w:t xml:space="preserve">。 </w:t>
      </w:r>
    </w:p>
    <w:p>
      <w:pPr>
        <w:spacing w:line="288" w:lineRule="auto"/>
        <w:ind w:firstLine="420"/>
        <w:jc w:val="left"/>
        <w:rPr>
          <w:rFonts w:cs="宋体"/>
          <w:color w:val="auto"/>
          <w:highlight w:val="none"/>
          <w:u w:val="single"/>
        </w:rPr>
      </w:pPr>
      <w:r>
        <w:rPr>
          <w:rFonts w:hint="eastAsia" w:cs="宋体"/>
          <w:color w:val="auto"/>
          <w:highlight w:val="none"/>
        </w:rPr>
        <w:t>施工现场需要配备的试验设备：</w:t>
      </w:r>
      <w:r>
        <w:rPr>
          <w:rFonts w:hint="eastAsia" w:cs="宋体"/>
          <w:color w:val="auto"/>
          <w:highlight w:val="none"/>
          <w:u w:val="single"/>
        </w:rPr>
        <w:t>按有关规定和监理人要求执行</w:t>
      </w:r>
      <w:r>
        <w:rPr>
          <w:rFonts w:hint="eastAsia" w:cs="宋体"/>
          <w:color w:val="auto"/>
          <w:highlight w:val="none"/>
        </w:rPr>
        <w:t>。</w:t>
      </w:r>
    </w:p>
    <w:p>
      <w:pPr>
        <w:spacing w:line="288" w:lineRule="auto"/>
        <w:ind w:firstLine="420"/>
        <w:jc w:val="left"/>
        <w:rPr>
          <w:rFonts w:cs="宋体"/>
          <w:color w:val="auto"/>
          <w:highlight w:val="none"/>
          <w:u w:val="single"/>
        </w:rPr>
      </w:pPr>
      <w:r>
        <w:rPr>
          <w:rFonts w:hint="eastAsia" w:cs="宋体"/>
          <w:color w:val="auto"/>
          <w:highlight w:val="none"/>
        </w:rPr>
        <w:t>施工现场需要具备的其他试验条件：</w:t>
      </w:r>
      <w:r>
        <w:rPr>
          <w:rFonts w:hint="eastAsia" w:cs="宋体"/>
          <w:color w:val="auto"/>
          <w:highlight w:val="none"/>
          <w:u w:val="single"/>
        </w:rPr>
        <w:t>按有关规定和监理人要求执行</w:t>
      </w:r>
      <w:r>
        <w:rPr>
          <w:rFonts w:hint="eastAsia" w:cs="宋体"/>
          <w:color w:val="auto"/>
          <w:highlight w:val="none"/>
        </w:rPr>
        <w:t>。</w:t>
      </w:r>
    </w:p>
    <w:p>
      <w:pPr>
        <w:spacing w:line="288" w:lineRule="auto"/>
        <w:ind w:firstLine="420"/>
        <w:jc w:val="left"/>
        <w:rPr>
          <w:rFonts w:cs="宋体"/>
          <w:b/>
          <w:color w:val="auto"/>
          <w:kern w:val="0"/>
          <w:highlight w:val="none"/>
        </w:rPr>
      </w:pPr>
      <w:r>
        <w:rPr>
          <w:rFonts w:hint="eastAsia" w:cs="宋体"/>
          <w:color w:val="auto"/>
          <w:highlight w:val="none"/>
        </w:rPr>
        <w:t>9.3</w:t>
      </w:r>
      <w:r>
        <w:rPr>
          <w:rFonts w:hint="eastAsia" w:cs="宋体"/>
          <w:bCs/>
          <w:color w:val="auto"/>
          <w:kern w:val="0"/>
          <w:highlight w:val="none"/>
        </w:rPr>
        <w:t>材</w:t>
      </w:r>
      <w:r>
        <w:rPr>
          <w:rFonts w:hint="eastAsia" w:cs="宋体"/>
          <w:color w:val="auto"/>
          <w:kern w:val="0"/>
          <w:highlight w:val="none"/>
        </w:rPr>
        <w:t>料、工程设备和工程的试验和检验</w:t>
      </w:r>
    </w:p>
    <w:p>
      <w:pPr>
        <w:spacing w:line="288" w:lineRule="auto"/>
        <w:ind w:firstLine="398" w:firstLineChars="189"/>
        <w:jc w:val="left"/>
        <w:rPr>
          <w:rFonts w:cs="宋体"/>
          <w:b/>
          <w:color w:val="auto"/>
          <w:highlight w:val="none"/>
          <w:u w:val="single"/>
        </w:rPr>
      </w:pPr>
      <w:r>
        <w:rPr>
          <w:rFonts w:hint="eastAsia" w:cs="宋体"/>
          <w:b/>
          <w:color w:val="auto"/>
          <w:kern w:val="0"/>
          <w:highlight w:val="none"/>
        </w:rPr>
        <w:t>试验、检测单位资质条件约定：</w:t>
      </w:r>
      <w:r>
        <w:rPr>
          <w:rFonts w:hint="eastAsia" w:cs="宋体"/>
          <w:b/>
          <w:color w:val="auto"/>
          <w:highlight w:val="none"/>
          <w:u w:val="single"/>
        </w:rPr>
        <w:t>按有关规定和监理人要求执行</w:t>
      </w:r>
      <w:r>
        <w:rPr>
          <w:rFonts w:hint="eastAsia" w:cs="宋体"/>
          <w:b/>
          <w:color w:val="auto"/>
          <w:highlight w:val="none"/>
        </w:rPr>
        <w:t>；</w:t>
      </w:r>
    </w:p>
    <w:p>
      <w:pPr>
        <w:spacing w:line="288" w:lineRule="auto"/>
        <w:ind w:firstLine="398" w:firstLineChars="189"/>
        <w:jc w:val="left"/>
        <w:rPr>
          <w:rFonts w:cs="宋体"/>
          <w:b/>
          <w:color w:val="auto"/>
          <w:highlight w:val="none"/>
          <w:u w:val="single"/>
        </w:rPr>
      </w:pPr>
      <w:r>
        <w:rPr>
          <w:rFonts w:hint="eastAsia" w:cs="宋体"/>
          <w:b/>
          <w:color w:val="auto"/>
          <w:kern w:val="0"/>
          <w:highlight w:val="none"/>
        </w:rPr>
        <w:t>试验、检测单位选择约定：</w:t>
      </w:r>
      <w:r>
        <w:rPr>
          <w:rFonts w:hint="eastAsia" w:cs="宋体"/>
          <w:b/>
          <w:color w:val="auto"/>
          <w:kern w:val="0"/>
          <w:highlight w:val="none"/>
          <w:u w:val="single"/>
        </w:rPr>
        <w:t xml:space="preserve">承包人选择单位后报监理人、发包人审核，审核通过后方可确定试验、检测单位  </w:t>
      </w:r>
      <w:r>
        <w:rPr>
          <w:rFonts w:hint="eastAsia" w:cs="宋体"/>
          <w:b/>
          <w:color w:val="auto"/>
          <w:highlight w:val="none"/>
        </w:rPr>
        <w:t>；</w:t>
      </w:r>
    </w:p>
    <w:p>
      <w:pPr>
        <w:spacing w:line="288" w:lineRule="auto"/>
        <w:ind w:firstLine="398" w:firstLineChars="189"/>
        <w:jc w:val="left"/>
        <w:rPr>
          <w:rFonts w:cs="宋体"/>
          <w:b/>
          <w:color w:val="auto"/>
          <w:highlight w:val="none"/>
        </w:rPr>
      </w:pPr>
      <w:r>
        <w:rPr>
          <w:rFonts w:hint="eastAsia" w:cs="宋体"/>
          <w:b/>
          <w:color w:val="auto"/>
          <w:highlight w:val="none"/>
        </w:rPr>
        <w:t>试验、检测费用约定：</w:t>
      </w:r>
      <w:r>
        <w:rPr>
          <w:rFonts w:hint="eastAsia" w:cs="宋体"/>
          <w:b/>
          <w:color w:val="auto"/>
          <w:highlight w:val="none"/>
          <w:u w:val="single"/>
        </w:rPr>
        <w:t>工程有关试验、检测费用由承包人承担（政府有关部门明确规定需要发包人支付的除外），并已包含在合同价款中，不再另行计算</w:t>
      </w:r>
      <w:r>
        <w:rPr>
          <w:rFonts w:hint="eastAsia" w:cs="宋体"/>
          <w:b/>
          <w:color w:val="auto"/>
          <w:highlight w:val="none"/>
        </w:rPr>
        <w:t>。</w:t>
      </w:r>
    </w:p>
    <w:p>
      <w:pPr>
        <w:spacing w:after="120" w:line="288" w:lineRule="auto"/>
        <w:ind w:firstLine="420"/>
        <w:rPr>
          <w:rFonts w:cs="宋体"/>
          <w:color w:val="auto"/>
          <w:highlight w:val="none"/>
        </w:rPr>
      </w:pPr>
      <w:r>
        <w:rPr>
          <w:rFonts w:hint="eastAsia" w:cs="宋体"/>
          <w:color w:val="auto"/>
          <w:highlight w:val="none"/>
        </w:rPr>
        <w:t xml:space="preserve">9.4 现场工艺试验 </w:t>
      </w:r>
    </w:p>
    <w:p>
      <w:pPr>
        <w:spacing w:line="288" w:lineRule="auto"/>
        <w:ind w:firstLine="420"/>
        <w:jc w:val="left"/>
        <w:rPr>
          <w:rFonts w:cs="宋体"/>
          <w:color w:val="auto"/>
          <w:highlight w:val="none"/>
          <w:u w:val="single"/>
        </w:rPr>
      </w:pPr>
      <w:r>
        <w:rPr>
          <w:rFonts w:hint="eastAsia" w:cs="宋体"/>
          <w:color w:val="auto"/>
          <w:highlight w:val="none"/>
        </w:rPr>
        <w:t>现场工艺试验的有关约定：</w:t>
      </w:r>
      <w:r>
        <w:rPr>
          <w:rFonts w:hint="eastAsia" w:cs="宋体"/>
          <w:color w:val="auto"/>
          <w:highlight w:val="none"/>
          <w:u w:val="single"/>
        </w:rPr>
        <w:t>按有关规定和监理人要求执行</w:t>
      </w:r>
      <w:r>
        <w:rPr>
          <w:rFonts w:hint="eastAsia" w:cs="宋体"/>
          <w:color w:val="auto"/>
          <w:highlight w:val="none"/>
        </w:rPr>
        <w:t>。</w:t>
      </w:r>
    </w:p>
    <w:bookmarkEnd w:id="808"/>
    <w:bookmarkEnd w:id="809"/>
    <w:bookmarkEnd w:id="810"/>
    <w:bookmarkEnd w:id="811"/>
    <w:bookmarkEnd w:id="812"/>
    <w:bookmarkEnd w:id="813"/>
    <w:bookmarkEnd w:id="814"/>
    <w:bookmarkEnd w:id="815"/>
    <w:p>
      <w:pPr>
        <w:keepNext/>
        <w:keepLines/>
        <w:spacing w:before="120" w:after="120" w:line="288" w:lineRule="auto"/>
        <w:ind w:firstLine="420"/>
        <w:outlineLvl w:val="3"/>
        <w:rPr>
          <w:rFonts w:cs="宋体"/>
          <w:bCs/>
          <w:color w:val="auto"/>
          <w:highlight w:val="none"/>
        </w:rPr>
      </w:pPr>
      <w:bookmarkStart w:id="816" w:name="_Toc351203642"/>
      <w:r>
        <w:rPr>
          <w:rFonts w:hint="eastAsia" w:cs="宋体"/>
          <w:bCs/>
          <w:color w:val="auto"/>
          <w:highlight w:val="none"/>
        </w:rPr>
        <w:t>1</w:t>
      </w:r>
      <w:bookmarkEnd w:id="782"/>
      <w:bookmarkEnd w:id="783"/>
      <w:bookmarkEnd w:id="784"/>
      <w:bookmarkEnd w:id="785"/>
      <w:bookmarkEnd w:id="786"/>
      <w:bookmarkEnd w:id="787"/>
      <w:bookmarkEnd w:id="788"/>
      <w:bookmarkEnd w:id="789"/>
      <w:bookmarkEnd w:id="790"/>
      <w:bookmarkEnd w:id="791"/>
      <w:bookmarkEnd w:id="792"/>
      <w:bookmarkEnd w:id="793"/>
      <w:bookmarkStart w:id="817" w:name="_Toc304295566"/>
      <w:bookmarkStart w:id="818" w:name="_Toc292559903"/>
      <w:bookmarkStart w:id="819" w:name="_Toc292559398"/>
      <w:bookmarkStart w:id="820" w:name="_Toc297216199"/>
      <w:bookmarkStart w:id="821" w:name="_Toc296503193"/>
      <w:bookmarkStart w:id="822" w:name="_Toc296944532"/>
      <w:bookmarkStart w:id="823" w:name="_Toc297120493"/>
      <w:bookmarkStart w:id="824" w:name="_Toc303539146"/>
      <w:bookmarkStart w:id="825" w:name="_Toc300934989"/>
      <w:bookmarkStart w:id="826" w:name="_Toc297123540"/>
      <w:bookmarkStart w:id="827" w:name="_Toc296346694"/>
      <w:bookmarkStart w:id="828" w:name="_Toc296347192"/>
      <w:bookmarkStart w:id="829" w:name="_Toc297048379"/>
      <w:bookmarkStart w:id="830" w:name="_Toc296891233"/>
      <w:bookmarkStart w:id="831" w:name="_Toc296891021"/>
      <w:bookmarkStart w:id="832" w:name="_Toc312677499"/>
      <w:bookmarkStart w:id="833" w:name="_Toc312678025"/>
      <w:bookmarkStart w:id="834" w:name="_Toc267251433"/>
      <w:bookmarkStart w:id="835" w:name="_Toc267251435"/>
      <w:bookmarkStart w:id="836" w:name="_Toc267251440"/>
      <w:bookmarkStart w:id="837" w:name="_Toc267251439"/>
      <w:bookmarkStart w:id="838" w:name="_Toc267251437"/>
      <w:bookmarkStart w:id="839" w:name="_Toc267251441"/>
      <w:bookmarkStart w:id="840" w:name="_Toc267251442"/>
      <w:r>
        <w:rPr>
          <w:rFonts w:hint="eastAsia" w:cs="宋体"/>
          <w:bCs/>
          <w:color w:val="auto"/>
          <w:highlight w:val="none"/>
        </w:rPr>
        <w:t>0. 变更</w:t>
      </w:r>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p>
    <w:bookmarkEnd w:id="832"/>
    <w:bookmarkEnd w:id="833"/>
    <w:p>
      <w:pPr>
        <w:spacing w:after="120" w:line="288" w:lineRule="auto"/>
        <w:ind w:firstLine="420"/>
        <w:rPr>
          <w:rFonts w:cs="宋体"/>
          <w:color w:val="auto"/>
          <w:highlight w:val="none"/>
        </w:rPr>
      </w:pPr>
      <w:r>
        <w:rPr>
          <w:rFonts w:hint="eastAsia" w:cs="宋体"/>
          <w:color w:val="auto"/>
          <w:highlight w:val="none"/>
        </w:rPr>
        <w:t>1</w:t>
      </w:r>
      <w:bookmarkStart w:id="841" w:name="_Toc300934990"/>
      <w:bookmarkStart w:id="842" w:name="_Toc304295567"/>
      <w:bookmarkStart w:id="843" w:name="_Toc296944533"/>
      <w:bookmarkStart w:id="844" w:name="_Toc292559399"/>
      <w:bookmarkStart w:id="845" w:name="_Toc296891234"/>
      <w:bookmarkStart w:id="846" w:name="_Toc312677500"/>
      <w:bookmarkStart w:id="847" w:name="_Toc297048380"/>
      <w:bookmarkStart w:id="848" w:name="_Toc296347193"/>
      <w:bookmarkStart w:id="849" w:name="_Toc296346695"/>
      <w:bookmarkStart w:id="850" w:name="_Toc296891022"/>
      <w:bookmarkStart w:id="851" w:name="_Toc312678026"/>
      <w:bookmarkStart w:id="852" w:name="_Toc297123541"/>
      <w:bookmarkStart w:id="853" w:name="_Toc292559904"/>
      <w:bookmarkStart w:id="854" w:name="_Toc297216200"/>
      <w:bookmarkStart w:id="855" w:name="_Toc296503194"/>
      <w:bookmarkStart w:id="856" w:name="_Toc297120494"/>
      <w:bookmarkStart w:id="857" w:name="_Toc303539147"/>
      <w:r>
        <w:rPr>
          <w:rFonts w:hint="eastAsia" w:cs="宋体"/>
          <w:color w:val="auto"/>
          <w:highlight w:val="none"/>
        </w:rPr>
        <w:t>0.1变更的范围</w:t>
      </w:r>
    </w:p>
    <w:p>
      <w:pPr>
        <w:spacing w:line="288" w:lineRule="auto"/>
        <w:ind w:firstLine="420"/>
        <w:jc w:val="left"/>
        <w:rPr>
          <w:rFonts w:cs="宋体"/>
          <w:color w:val="auto"/>
          <w:highlight w:val="none"/>
          <w:u w:val="single"/>
        </w:rPr>
      </w:pPr>
      <w:r>
        <w:rPr>
          <w:rFonts w:hint="eastAsia" w:cs="宋体"/>
          <w:color w:val="auto"/>
          <w:highlight w:val="none"/>
        </w:rPr>
        <w:t>关于变更的范围的约定：</w:t>
      </w:r>
      <w:r>
        <w:rPr>
          <w:rFonts w:hint="eastAsia" w:cs="宋体"/>
          <w:b/>
          <w:color w:val="auto"/>
          <w:highlight w:val="none"/>
          <w:u w:val="single"/>
        </w:rPr>
        <w:t xml:space="preserve">按通用合同条款约定             </w:t>
      </w:r>
      <w:r>
        <w:rPr>
          <w:rFonts w:hint="eastAsia" w:cs="宋体"/>
          <w:b/>
          <w:color w:val="auto"/>
          <w:highlight w:val="none"/>
        </w:rPr>
        <w:t>。</w:t>
      </w:r>
    </w:p>
    <w:p>
      <w:pPr>
        <w:spacing w:after="120" w:line="288" w:lineRule="auto"/>
        <w:ind w:firstLine="420"/>
        <w:rPr>
          <w:rFonts w:cs="宋体"/>
          <w:color w:val="auto"/>
          <w:highlight w:val="none"/>
        </w:rPr>
      </w:pPr>
      <w:r>
        <w:rPr>
          <w:rFonts w:hint="eastAsia" w:cs="宋体"/>
          <w:color w:val="auto"/>
          <w:highlight w:val="none"/>
        </w:rPr>
        <w:t>10.4 变更估价</w:t>
      </w:r>
    </w:p>
    <w:p>
      <w:pPr>
        <w:spacing w:line="288" w:lineRule="auto"/>
        <w:ind w:firstLine="420"/>
        <w:jc w:val="left"/>
        <w:rPr>
          <w:rFonts w:cs="宋体"/>
          <w:color w:val="auto"/>
          <w:highlight w:val="none"/>
        </w:rPr>
      </w:pPr>
      <w:r>
        <w:rPr>
          <w:rFonts w:hint="eastAsia" w:cs="宋体"/>
          <w:color w:val="auto"/>
          <w:highlight w:val="none"/>
        </w:rPr>
        <w:t>10.4.1 变更估价原则</w:t>
      </w:r>
    </w:p>
    <w:p>
      <w:pPr>
        <w:autoSpaceDE w:val="0"/>
        <w:autoSpaceDN w:val="0"/>
        <w:adjustRightInd w:val="0"/>
        <w:spacing w:line="288" w:lineRule="auto"/>
        <w:ind w:firstLine="420"/>
        <w:jc w:val="left"/>
        <w:rPr>
          <w:rFonts w:cs="宋体"/>
          <w:color w:val="auto"/>
          <w:highlight w:val="none"/>
        </w:rPr>
      </w:pPr>
      <w:r>
        <w:rPr>
          <w:rFonts w:hint="eastAsia" w:cs="宋体"/>
          <w:color w:val="auto"/>
          <w:highlight w:val="none"/>
        </w:rPr>
        <w:t xml:space="preserve">关于变更估价的约定: </w:t>
      </w:r>
    </w:p>
    <w:p>
      <w:pPr>
        <w:autoSpaceDE w:val="0"/>
        <w:autoSpaceDN w:val="0"/>
        <w:adjustRightInd w:val="0"/>
        <w:spacing w:line="288" w:lineRule="auto"/>
        <w:ind w:firstLine="312" w:firstLineChars="148"/>
        <w:jc w:val="left"/>
        <w:rPr>
          <w:rFonts w:cs="宋体"/>
          <w:b/>
          <w:color w:val="auto"/>
          <w:kern w:val="0"/>
          <w:highlight w:val="none"/>
          <w:u w:val="single"/>
        </w:rPr>
      </w:pPr>
      <w:r>
        <w:rPr>
          <w:rFonts w:hint="eastAsia" w:cs="宋体"/>
          <w:b/>
          <w:color w:val="auto"/>
          <w:kern w:val="0"/>
          <w:highlight w:val="none"/>
          <w:u w:val="single"/>
        </w:rPr>
        <w:t>（1）已标价工程量清单或预算书有相同项目的，按照相同项目单价确定</w:t>
      </w:r>
      <w:r>
        <w:rPr>
          <w:rFonts w:hint="eastAsia" w:cs="宋体"/>
          <w:b/>
          <w:color w:val="auto"/>
          <w:kern w:val="0"/>
          <w:highlight w:val="none"/>
        </w:rPr>
        <w:t>。</w:t>
      </w:r>
    </w:p>
    <w:p>
      <w:pPr>
        <w:autoSpaceDE w:val="0"/>
        <w:autoSpaceDN w:val="0"/>
        <w:adjustRightInd w:val="0"/>
        <w:spacing w:line="288" w:lineRule="auto"/>
        <w:ind w:firstLine="312" w:firstLineChars="148"/>
        <w:jc w:val="left"/>
        <w:rPr>
          <w:rFonts w:cs="宋体"/>
          <w:b/>
          <w:color w:val="auto"/>
          <w:kern w:val="0"/>
          <w:highlight w:val="none"/>
          <w:u w:val="single"/>
        </w:rPr>
      </w:pPr>
      <w:r>
        <w:rPr>
          <w:rFonts w:hint="eastAsia" w:cs="宋体"/>
          <w:b/>
          <w:color w:val="auto"/>
          <w:kern w:val="0"/>
          <w:highlight w:val="none"/>
          <w:u w:val="single"/>
        </w:rPr>
        <w:t>（2）已标价工程量清单或预算书中无相同项目，但有类似项目的，参照类似项目的单价确定</w:t>
      </w:r>
      <w:r>
        <w:rPr>
          <w:rFonts w:hint="eastAsia" w:cs="宋体"/>
          <w:b/>
          <w:color w:val="auto"/>
          <w:kern w:val="0"/>
          <w:highlight w:val="none"/>
        </w:rPr>
        <w:t>。</w:t>
      </w:r>
    </w:p>
    <w:p>
      <w:pPr>
        <w:autoSpaceDE w:val="0"/>
        <w:autoSpaceDN w:val="0"/>
        <w:adjustRightInd w:val="0"/>
        <w:spacing w:line="288" w:lineRule="auto"/>
        <w:ind w:firstLine="312" w:firstLineChars="148"/>
        <w:jc w:val="left"/>
        <w:rPr>
          <w:rFonts w:cs="宋体"/>
          <w:b/>
          <w:color w:val="auto"/>
          <w:kern w:val="0"/>
          <w:highlight w:val="none"/>
          <w:u w:val="single"/>
        </w:rPr>
      </w:pPr>
      <w:r>
        <w:rPr>
          <w:rFonts w:hint="eastAsia" w:cs="宋体"/>
          <w:b/>
          <w:color w:val="auto"/>
          <w:kern w:val="0"/>
          <w:highlight w:val="none"/>
          <w:u w:val="single"/>
        </w:rPr>
        <w:t>（3）已标价工程量清单或预算书中无相同项目及类似项目单价的，其单价的确定，按以下约定：</w:t>
      </w:r>
      <w:r>
        <w:rPr>
          <w:rFonts w:hint="eastAsia" w:cs="宋体"/>
          <w:color w:val="auto"/>
          <w:kern w:val="0"/>
          <w:highlight w:val="none"/>
          <w:u w:val="single"/>
        </w:rPr>
        <w:t>直接费按浙江省建筑安装预算定额2018版计（若上述定额中缺项的，其他省份有相同或相似子目，定额含量可参照执行），人工费按原投标单价，材料、设备价格原投标书中有相同材料的其价格按原投标报价，无相同材料的价格按施工当期杭州市（杭州市无的，按浙江省）信息价补差，综合费用按浙江省建设工程计价规则2018版按相应类别工程费率取下值计算，由承包人提出经发包人审核确认后进入结算</w:t>
      </w:r>
      <w:r>
        <w:rPr>
          <w:rFonts w:hint="eastAsia" w:cs="宋体"/>
          <w:color w:val="auto"/>
          <w:kern w:val="0"/>
          <w:highlight w:val="none"/>
        </w:rPr>
        <w:t>。</w:t>
      </w:r>
    </w:p>
    <w:p>
      <w:pPr>
        <w:spacing w:line="288" w:lineRule="auto"/>
        <w:ind w:firstLine="312" w:firstLineChars="148"/>
        <w:jc w:val="left"/>
        <w:rPr>
          <w:rFonts w:cs="宋体"/>
          <w:b/>
          <w:color w:val="auto"/>
          <w:kern w:val="0"/>
          <w:highlight w:val="none"/>
        </w:rPr>
      </w:pPr>
      <w:r>
        <w:rPr>
          <w:rFonts w:hint="eastAsia" w:cs="宋体"/>
          <w:b/>
          <w:color w:val="auto"/>
          <w:highlight w:val="none"/>
          <w:u w:val="single"/>
        </w:rPr>
        <w:t>（4）工程量清单错误和（或）设计</w:t>
      </w:r>
      <w:r>
        <w:rPr>
          <w:rFonts w:hint="eastAsia" w:cs="宋体"/>
          <w:b/>
          <w:color w:val="auto"/>
          <w:kern w:val="0"/>
          <w:highlight w:val="none"/>
          <w:u w:val="single"/>
        </w:rPr>
        <w:t>变更导致实际完成的工程量与已标价工程量清单或预算书中列明的该项目工程量的变化幅度超过以下情况的，其单价允许调整：</w:t>
      </w:r>
      <w:r>
        <w:rPr>
          <w:rFonts w:hint="eastAsia" w:cs="宋体"/>
          <w:b/>
          <w:color w:val="auto"/>
          <w:highlight w:val="none"/>
          <w:u w:val="single"/>
        </w:rPr>
        <w:t>凡合价金额占合同总价2%及以上的分部分项清单项目，其工程量增加或减少超过本项目工程数量15%及以上时，或者合价金额占合同总价不到2%的分部分项清单项目，但其工程量增加或减少超过本项目工程数量25%以上时。</w:t>
      </w:r>
      <w:r>
        <w:rPr>
          <w:rFonts w:hint="eastAsia" w:cs="宋体"/>
          <w:b/>
          <w:color w:val="auto"/>
          <w:kern w:val="0"/>
          <w:highlight w:val="none"/>
          <w:u w:val="single"/>
        </w:rPr>
        <w:t>工程量偏差</w:t>
      </w:r>
      <w:r>
        <w:rPr>
          <w:rFonts w:hint="eastAsia" w:cs="宋体"/>
          <w:b/>
          <w:color w:val="auto"/>
          <w:highlight w:val="none"/>
          <w:u w:val="single"/>
        </w:rPr>
        <w:t>超过上述变化幅度之外</w:t>
      </w:r>
      <w:r>
        <w:rPr>
          <w:rFonts w:hint="eastAsia" w:cs="宋体"/>
          <w:b/>
          <w:color w:val="auto"/>
          <w:kern w:val="0"/>
          <w:highlight w:val="none"/>
          <w:u w:val="single"/>
        </w:rPr>
        <w:t>变动部分的相应单价调整方法按以下方式约定：</w:t>
      </w:r>
      <w:r>
        <w:rPr>
          <w:rFonts w:hint="eastAsia" w:cs="宋体"/>
          <w:color w:val="auto"/>
          <w:kern w:val="0"/>
          <w:highlight w:val="none"/>
          <w:u w:val="single"/>
        </w:rPr>
        <w:t>直接费按浙江省建筑安装预算定额2018版计（若上述定额中缺项的，其他省份有相同或相似子目，定额含量可参照执行），主材按施工当期杭州市（杭州市无的，按浙江省）信息价，综合费用按浙江省建设工程计价规则2018版按相应类别工程费率取下值计算，由承包人提出经发包人审核确认后进入结算</w:t>
      </w:r>
      <w:r>
        <w:rPr>
          <w:rFonts w:hint="eastAsia" w:cs="宋体"/>
          <w:b/>
          <w:color w:val="auto"/>
          <w:kern w:val="0"/>
          <w:highlight w:val="none"/>
        </w:rPr>
        <w:t>。</w:t>
      </w:r>
    </w:p>
    <w:p>
      <w:pPr>
        <w:autoSpaceDE w:val="0"/>
        <w:autoSpaceDN w:val="0"/>
        <w:adjustRightInd w:val="0"/>
        <w:spacing w:line="288" w:lineRule="auto"/>
        <w:ind w:firstLine="312" w:firstLineChars="148"/>
        <w:jc w:val="left"/>
        <w:rPr>
          <w:rFonts w:cs="宋体"/>
          <w:color w:val="auto"/>
          <w:kern w:val="0"/>
          <w:highlight w:val="none"/>
          <w:u w:val="single"/>
        </w:rPr>
      </w:pPr>
      <w:r>
        <w:rPr>
          <w:rFonts w:hint="eastAsia" w:cs="宋体"/>
          <w:b/>
          <w:color w:val="auto"/>
          <w:kern w:val="0"/>
          <w:highlight w:val="none"/>
          <w:u w:val="single"/>
        </w:rPr>
        <w:t>（5）其他</w:t>
      </w:r>
      <w:r>
        <w:rPr>
          <w:rFonts w:hint="eastAsia" w:cs="宋体"/>
          <w:color w:val="auto"/>
          <w:kern w:val="0"/>
          <w:highlight w:val="none"/>
          <w:u w:val="single"/>
        </w:rPr>
        <w:t>：施工组织措施费、施工技术措施费在招标范围未发生变化情况下，按投标报价包干。在招标范围发生重大变化或重大设计变更引起施工技术措施项目费增加或减少时，根据相关变更依据进行相应调整，原措施费项目清单中已有的措施项目，按原有措施费的组价方法或单价调整；原措施费项目清单中没有的措施项目，组价方法按以上调价精神执行。如有甩项工程，招标人将对相应施工组织措施费和技术措施费按上述方法予以扣除。</w:t>
      </w:r>
    </w:p>
    <w:p>
      <w:pPr>
        <w:spacing w:after="120" w:line="288" w:lineRule="auto"/>
        <w:ind w:firstLine="420"/>
        <w:rPr>
          <w:rFonts w:cs="宋体"/>
          <w:color w:val="auto"/>
          <w:highlight w:val="none"/>
        </w:rPr>
      </w:pPr>
      <w:r>
        <w:rPr>
          <w:rFonts w:hint="eastAsia" w:cs="宋体"/>
          <w:color w:val="auto"/>
          <w:highlight w:val="none"/>
        </w:rPr>
        <w:t>1</w:t>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Start w:id="858" w:name="_Toc292559402"/>
      <w:bookmarkStart w:id="859" w:name="_Toc296891237"/>
      <w:bookmarkStart w:id="860" w:name="_Toc296503197"/>
      <w:bookmarkStart w:id="861" w:name="_Toc297216203"/>
      <w:bookmarkStart w:id="862" w:name="_Toc297120497"/>
      <w:bookmarkStart w:id="863" w:name="_Toc297123544"/>
      <w:bookmarkStart w:id="864" w:name="_Toc300934993"/>
      <w:bookmarkStart w:id="865" w:name="_Toc303539150"/>
      <w:bookmarkStart w:id="866" w:name="_Toc292559907"/>
      <w:bookmarkStart w:id="867" w:name="_Toc296347196"/>
      <w:bookmarkStart w:id="868" w:name="_Toc296891025"/>
      <w:bookmarkStart w:id="869" w:name="_Toc296346698"/>
      <w:bookmarkStart w:id="870" w:name="_Toc296944536"/>
      <w:bookmarkStart w:id="871" w:name="_Toc297048383"/>
      <w:bookmarkStart w:id="872" w:name="_Toc312678029"/>
      <w:bookmarkStart w:id="873" w:name="_Toc304295570"/>
      <w:bookmarkStart w:id="874" w:name="_Toc312677503"/>
      <w:r>
        <w:rPr>
          <w:rFonts w:hint="eastAsia" w:cs="宋体"/>
          <w:color w:val="auto"/>
          <w:highlight w:val="none"/>
        </w:rPr>
        <w:t>0.5承</w:t>
      </w:r>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Start w:id="875" w:name="_Toc296503203"/>
      <w:bookmarkStart w:id="876" w:name="_Toc297216204"/>
      <w:bookmarkStart w:id="877" w:name="_Toc296346704"/>
      <w:bookmarkStart w:id="878" w:name="_Toc297048389"/>
      <w:bookmarkStart w:id="879" w:name="_Toc296891243"/>
      <w:bookmarkStart w:id="880" w:name="_Toc300934994"/>
      <w:bookmarkStart w:id="881" w:name="_Toc303539151"/>
      <w:bookmarkStart w:id="882" w:name="_Toc292559408"/>
      <w:bookmarkStart w:id="883" w:name="_Toc296891031"/>
      <w:bookmarkStart w:id="884" w:name="_Toc292559913"/>
      <w:bookmarkStart w:id="885" w:name="_Toc297120503"/>
      <w:bookmarkStart w:id="886" w:name="_Toc296347202"/>
      <w:bookmarkStart w:id="887" w:name="_Toc296944542"/>
      <w:bookmarkStart w:id="888" w:name="_Toc297123545"/>
      <w:r>
        <w:rPr>
          <w:rFonts w:hint="eastAsia" w:cs="宋体"/>
          <w:color w:val="auto"/>
          <w:highlight w:val="none"/>
        </w:rPr>
        <w:t>包人的合理化建议</w:t>
      </w:r>
    </w:p>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p>
      <w:pPr>
        <w:spacing w:line="288" w:lineRule="auto"/>
        <w:ind w:firstLine="420"/>
        <w:jc w:val="left"/>
        <w:rPr>
          <w:rFonts w:cs="宋体"/>
          <w:color w:val="auto"/>
          <w:highlight w:val="none"/>
        </w:rPr>
      </w:pPr>
      <w:r>
        <w:rPr>
          <w:rFonts w:hint="eastAsia" w:cs="宋体"/>
          <w:color w:val="auto"/>
          <w:highlight w:val="none"/>
        </w:rPr>
        <w:t>监理人审查承包人合理化建议的期限：</w:t>
      </w:r>
      <w:r>
        <w:rPr>
          <w:rFonts w:hint="eastAsia" w:cs="宋体"/>
          <w:color w:val="auto"/>
          <w:highlight w:val="none"/>
          <w:u w:val="single"/>
        </w:rPr>
        <w:t xml:space="preserve">按通用条款执行     </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发包人审批承包人合理化建议的期限：</w:t>
      </w:r>
      <w:r>
        <w:rPr>
          <w:rFonts w:hint="eastAsia" w:cs="宋体"/>
          <w:color w:val="auto"/>
          <w:highlight w:val="none"/>
          <w:u w:val="single"/>
        </w:rPr>
        <w:t xml:space="preserve">按通用条款执行     </w:t>
      </w:r>
      <w:r>
        <w:rPr>
          <w:rFonts w:hint="eastAsia" w:cs="宋体"/>
          <w:color w:val="auto"/>
          <w:highlight w:val="none"/>
        </w:rPr>
        <w:t>。</w:t>
      </w:r>
    </w:p>
    <w:p>
      <w:pPr>
        <w:spacing w:line="288" w:lineRule="auto"/>
        <w:ind w:firstLine="420"/>
        <w:jc w:val="left"/>
        <w:rPr>
          <w:rFonts w:cs="宋体"/>
          <w:color w:val="auto"/>
          <w:highlight w:val="none"/>
          <w:u w:val="single"/>
        </w:rPr>
      </w:pPr>
      <w:r>
        <w:rPr>
          <w:rFonts w:hint="eastAsia" w:cs="宋体"/>
          <w:color w:val="auto"/>
          <w:highlight w:val="none"/>
        </w:rPr>
        <w:t>承</w:t>
      </w:r>
      <w:bookmarkStart w:id="889" w:name="_Toc292559914"/>
      <w:bookmarkStart w:id="890" w:name="_Toc297048390"/>
      <w:bookmarkStart w:id="891" w:name="_Toc312678030"/>
      <w:bookmarkStart w:id="892" w:name="_Toc292559409"/>
      <w:bookmarkStart w:id="893" w:name="_Toc300934995"/>
      <w:bookmarkStart w:id="894" w:name="_Toc296891032"/>
      <w:bookmarkStart w:id="895" w:name="_Toc297120504"/>
      <w:bookmarkStart w:id="896" w:name="_Toc304295571"/>
      <w:bookmarkStart w:id="897" w:name="_Toc296503204"/>
      <w:bookmarkStart w:id="898" w:name="_Toc303539152"/>
      <w:bookmarkStart w:id="899" w:name="_Toc296346705"/>
      <w:bookmarkStart w:id="900" w:name="_Toc297123546"/>
      <w:bookmarkStart w:id="901" w:name="_Toc296347203"/>
      <w:bookmarkStart w:id="902" w:name="_Toc296891244"/>
      <w:bookmarkStart w:id="903" w:name="_Toc296944543"/>
      <w:bookmarkStart w:id="904" w:name="_Toc312677504"/>
      <w:bookmarkStart w:id="905" w:name="_Toc318581175"/>
      <w:bookmarkStart w:id="906" w:name="_Toc297216205"/>
      <w:r>
        <w:rPr>
          <w:rFonts w:hint="eastAsia" w:cs="宋体"/>
          <w:color w:val="auto"/>
          <w:highlight w:val="none"/>
        </w:rPr>
        <w:t>包人提出的合理化建议降低了合同价格或者提高了工程经济效益的奖励的方法和金额为：</w:t>
      </w:r>
      <w:r>
        <w:rPr>
          <w:rFonts w:hint="eastAsia" w:cs="宋体"/>
          <w:color w:val="auto"/>
          <w:highlight w:val="none"/>
          <w:u w:val="single"/>
        </w:rPr>
        <w:t xml:space="preserve"> /</w:t>
      </w:r>
      <w:r>
        <w:rPr>
          <w:rFonts w:hint="eastAsia" w:cs="宋体"/>
          <w:color w:val="auto"/>
          <w:highlight w:val="none"/>
        </w:rPr>
        <w:t>。</w:t>
      </w:r>
    </w:p>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p>
      <w:pPr>
        <w:spacing w:after="120" w:line="288" w:lineRule="auto"/>
        <w:ind w:firstLine="420"/>
        <w:rPr>
          <w:rFonts w:cs="宋体"/>
          <w:color w:val="auto"/>
          <w:highlight w:val="none"/>
        </w:rPr>
      </w:pPr>
      <w:r>
        <w:rPr>
          <w:rFonts w:hint="eastAsia" w:cs="宋体"/>
          <w:color w:val="auto"/>
          <w:highlight w:val="none"/>
        </w:rPr>
        <w:t>1</w:t>
      </w:r>
      <w:bookmarkStart w:id="907" w:name="_Toc304295574"/>
      <w:bookmarkStart w:id="908" w:name="_Toc312677507"/>
      <w:bookmarkStart w:id="909" w:name="_Toc297123548"/>
      <w:bookmarkStart w:id="910" w:name="_Toc312678033"/>
      <w:bookmarkStart w:id="911" w:name="_Toc292559909"/>
      <w:bookmarkStart w:id="912" w:name="_Toc300934997"/>
      <w:bookmarkStart w:id="913" w:name="_Toc296503199"/>
      <w:bookmarkStart w:id="914" w:name="_Toc296891239"/>
      <w:bookmarkStart w:id="915" w:name="_Toc297216207"/>
      <w:bookmarkStart w:id="916" w:name="_Toc296347198"/>
      <w:bookmarkStart w:id="917" w:name="_Toc297048385"/>
      <w:bookmarkStart w:id="918" w:name="_Toc296346700"/>
      <w:bookmarkStart w:id="919" w:name="_Toc303539154"/>
      <w:bookmarkStart w:id="920" w:name="_Toc296944538"/>
      <w:bookmarkStart w:id="921" w:name="_Toc296891027"/>
      <w:bookmarkStart w:id="922" w:name="_Toc292559404"/>
      <w:bookmarkStart w:id="923" w:name="_Toc297120499"/>
      <w:r>
        <w:rPr>
          <w:rFonts w:hint="eastAsia" w:cs="宋体"/>
          <w:color w:val="auto"/>
          <w:highlight w:val="none"/>
        </w:rPr>
        <w:t>0.7 暂估价</w:t>
      </w:r>
    </w:p>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p>
      <w:pPr>
        <w:spacing w:line="288" w:lineRule="auto"/>
        <w:ind w:firstLine="420"/>
        <w:jc w:val="left"/>
        <w:rPr>
          <w:rFonts w:cs="宋体"/>
          <w:color w:val="auto"/>
          <w:highlight w:val="none"/>
        </w:rPr>
      </w:pPr>
      <w:r>
        <w:rPr>
          <w:rFonts w:hint="eastAsia" w:cs="宋体"/>
          <w:color w:val="auto"/>
          <w:kern w:val="0"/>
          <w:highlight w:val="none"/>
        </w:rPr>
        <w:t>暂</w:t>
      </w:r>
      <w:bookmarkStart w:id="924" w:name="_Toc312678034"/>
      <w:bookmarkStart w:id="925" w:name="_Toc312677508"/>
      <w:bookmarkStart w:id="926" w:name="_Toc318581176"/>
      <w:r>
        <w:rPr>
          <w:rFonts w:hint="eastAsia" w:cs="宋体"/>
          <w:color w:val="auto"/>
          <w:kern w:val="0"/>
          <w:highlight w:val="none"/>
        </w:rPr>
        <w:t>估价材料和工程设备的明细详见附件11：《</w:t>
      </w:r>
      <w:r>
        <w:rPr>
          <w:rFonts w:hint="eastAsia" w:cs="宋体"/>
          <w:color w:val="auto"/>
          <w:highlight w:val="none"/>
        </w:rPr>
        <w:t>暂估价一览表》</w:t>
      </w:r>
      <w:r>
        <w:rPr>
          <w:rFonts w:hint="eastAsia" w:cs="宋体"/>
          <w:color w:val="auto"/>
          <w:kern w:val="0"/>
          <w:highlight w:val="none"/>
        </w:rPr>
        <w:t>。</w:t>
      </w:r>
    </w:p>
    <w:bookmarkEnd w:id="924"/>
    <w:bookmarkEnd w:id="925"/>
    <w:bookmarkEnd w:id="926"/>
    <w:p>
      <w:pPr>
        <w:spacing w:line="288" w:lineRule="auto"/>
        <w:ind w:firstLine="420"/>
        <w:jc w:val="left"/>
        <w:rPr>
          <w:rFonts w:cs="宋体"/>
          <w:color w:val="auto"/>
          <w:highlight w:val="none"/>
        </w:rPr>
      </w:pPr>
      <w:r>
        <w:rPr>
          <w:rFonts w:hint="eastAsia" w:cs="宋体"/>
          <w:color w:val="auto"/>
          <w:highlight w:val="none"/>
        </w:rPr>
        <w:t>1</w:t>
      </w:r>
      <w:bookmarkStart w:id="927" w:name="_Toc318581177"/>
      <w:bookmarkStart w:id="928" w:name="_Toc312677509"/>
      <w:bookmarkStart w:id="929" w:name="_Toc312678035"/>
      <w:r>
        <w:rPr>
          <w:rFonts w:hint="eastAsia" w:cs="宋体"/>
          <w:color w:val="auto"/>
          <w:highlight w:val="none"/>
        </w:rPr>
        <w:t>0.7.1 依法必须招标的暂估价项目</w:t>
      </w:r>
    </w:p>
    <w:bookmarkEnd w:id="927"/>
    <w:bookmarkEnd w:id="928"/>
    <w:bookmarkEnd w:id="929"/>
    <w:p>
      <w:pPr>
        <w:spacing w:line="288" w:lineRule="auto"/>
        <w:ind w:firstLine="420"/>
        <w:jc w:val="left"/>
        <w:rPr>
          <w:rFonts w:cs="宋体"/>
          <w:color w:val="auto"/>
          <w:highlight w:val="none"/>
        </w:rPr>
      </w:pPr>
      <w:r>
        <w:rPr>
          <w:rFonts w:hint="eastAsia" w:cs="宋体"/>
          <w:color w:val="auto"/>
          <w:highlight w:val="none"/>
        </w:rPr>
        <w:t>对于依法必须招标的暂估价项目的确认和批准采取第</w:t>
      </w:r>
      <w:r>
        <w:rPr>
          <w:rFonts w:hint="eastAsia" w:cs="宋体"/>
          <w:color w:val="auto"/>
          <w:highlight w:val="none"/>
          <w:u w:val="single"/>
        </w:rPr>
        <w:t xml:space="preserve"> / </w:t>
      </w:r>
      <w:r>
        <w:rPr>
          <w:rFonts w:hint="eastAsia" w:cs="宋体"/>
          <w:color w:val="auto"/>
          <w:highlight w:val="none"/>
        </w:rPr>
        <w:t>种方式确定。</w:t>
      </w:r>
    </w:p>
    <w:p>
      <w:pPr>
        <w:spacing w:line="288" w:lineRule="auto"/>
        <w:ind w:firstLine="420"/>
        <w:jc w:val="left"/>
        <w:rPr>
          <w:rFonts w:cs="宋体"/>
          <w:color w:val="auto"/>
          <w:highlight w:val="none"/>
        </w:rPr>
      </w:pPr>
      <w:r>
        <w:rPr>
          <w:rFonts w:hint="eastAsia" w:cs="宋体"/>
          <w:color w:val="auto"/>
          <w:highlight w:val="none"/>
        </w:rPr>
        <w:t>10.7.2 不属于依法必须招标的暂估价项目</w:t>
      </w:r>
    </w:p>
    <w:p>
      <w:pPr>
        <w:spacing w:line="288" w:lineRule="auto"/>
        <w:ind w:firstLine="420"/>
        <w:jc w:val="left"/>
        <w:rPr>
          <w:rFonts w:cs="宋体"/>
          <w:color w:val="auto"/>
          <w:highlight w:val="none"/>
        </w:rPr>
      </w:pPr>
      <w:r>
        <w:rPr>
          <w:rFonts w:hint="eastAsia" w:cs="宋体"/>
          <w:color w:val="auto"/>
          <w:highlight w:val="none"/>
        </w:rPr>
        <w:t>对于不属于依法必须招标的暂估价项目的确认和批准采取第</w:t>
      </w:r>
      <w:r>
        <w:rPr>
          <w:rFonts w:hint="eastAsia" w:cs="宋体"/>
          <w:color w:val="auto"/>
          <w:highlight w:val="none"/>
          <w:u w:val="single"/>
        </w:rPr>
        <w:t xml:space="preserve"> / </w:t>
      </w:r>
      <w:r>
        <w:rPr>
          <w:rFonts w:hint="eastAsia" w:cs="宋体"/>
          <w:color w:val="auto"/>
          <w:highlight w:val="none"/>
        </w:rPr>
        <w:t>种方式确定。</w:t>
      </w:r>
    </w:p>
    <w:p>
      <w:pPr>
        <w:spacing w:line="288" w:lineRule="auto"/>
        <w:ind w:firstLine="420"/>
        <w:jc w:val="left"/>
        <w:rPr>
          <w:rFonts w:cs="宋体"/>
          <w:color w:val="auto"/>
          <w:kern w:val="0"/>
          <w:highlight w:val="none"/>
        </w:rPr>
      </w:pPr>
      <w:r>
        <w:rPr>
          <w:rFonts w:hint="eastAsia" w:cs="宋体"/>
          <w:color w:val="auto"/>
          <w:highlight w:val="none"/>
        </w:rPr>
        <w:t>第3种方式：</w:t>
      </w:r>
      <w:r>
        <w:rPr>
          <w:rFonts w:hint="eastAsia" w:cs="宋体"/>
          <w:color w:val="auto"/>
          <w:kern w:val="0"/>
          <w:highlight w:val="none"/>
        </w:rPr>
        <w:t>承包人直接实施的暂估价项目</w:t>
      </w:r>
    </w:p>
    <w:p>
      <w:pPr>
        <w:spacing w:line="288" w:lineRule="auto"/>
        <w:ind w:firstLine="420"/>
        <w:jc w:val="left"/>
        <w:rPr>
          <w:rFonts w:cs="宋体"/>
          <w:color w:val="auto"/>
          <w:highlight w:val="none"/>
        </w:rPr>
      </w:pPr>
      <w:r>
        <w:rPr>
          <w:rFonts w:hint="eastAsia" w:cs="宋体"/>
          <w:color w:val="auto"/>
          <w:highlight w:val="none"/>
        </w:rPr>
        <w:t>承包人直接实施的暂估价项目的约定：</w:t>
      </w:r>
      <w:r>
        <w:rPr>
          <w:rFonts w:hint="eastAsia" w:cs="宋体"/>
          <w:color w:val="auto"/>
          <w:highlight w:val="none"/>
          <w:u w:val="single"/>
        </w:rPr>
        <w:t xml:space="preserve">       /        </w:t>
      </w:r>
      <w:r>
        <w:rPr>
          <w:rFonts w:hint="eastAsia" w:cs="宋体"/>
          <w:color w:val="auto"/>
          <w:highlight w:val="none"/>
        </w:rPr>
        <w:t>。</w:t>
      </w:r>
    </w:p>
    <w:p>
      <w:pPr>
        <w:spacing w:after="120" w:line="288" w:lineRule="auto"/>
        <w:ind w:firstLine="420"/>
        <w:rPr>
          <w:rFonts w:cs="宋体"/>
          <w:color w:val="auto"/>
          <w:highlight w:val="none"/>
        </w:rPr>
      </w:pPr>
      <w:r>
        <w:rPr>
          <w:rFonts w:hint="eastAsia" w:cs="宋体"/>
          <w:color w:val="auto"/>
          <w:highlight w:val="none"/>
        </w:rPr>
        <w:t>10.8 暂列金额</w:t>
      </w:r>
    </w:p>
    <w:p>
      <w:pPr>
        <w:autoSpaceDE w:val="0"/>
        <w:autoSpaceDN w:val="0"/>
        <w:adjustRightInd w:val="0"/>
        <w:spacing w:line="288" w:lineRule="auto"/>
        <w:ind w:firstLine="420"/>
        <w:jc w:val="left"/>
        <w:rPr>
          <w:rFonts w:cs="宋体"/>
          <w:color w:val="auto"/>
          <w:highlight w:val="none"/>
          <w:u w:val="single"/>
        </w:rPr>
      </w:pPr>
      <w:r>
        <w:rPr>
          <w:rFonts w:hint="eastAsia" w:cs="宋体"/>
          <w:color w:val="auto"/>
          <w:kern w:val="0"/>
          <w:highlight w:val="none"/>
        </w:rPr>
        <w:t>合同当事人关于暂列金额使用的约定：</w:t>
      </w:r>
      <w:r>
        <w:rPr>
          <w:rFonts w:hint="eastAsia" w:cs="宋体"/>
          <w:color w:val="auto"/>
          <w:highlight w:val="none"/>
          <w:u w:val="single"/>
        </w:rPr>
        <w:t>按照发包人的要求使用</w:t>
      </w:r>
      <w:r>
        <w:rPr>
          <w:rFonts w:hint="eastAsia" w:cs="宋体"/>
          <w:color w:val="auto"/>
          <w:kern w:val="0"/>
          <w:highlight w:val="none"/>
        </w:rPr>
        <w:t>。</w:t>
      </w:r>
    </w:p>
    <w:p>
      <w:pPr>
        <w:keepNext/>
        <w:keepLines/>
        <w:spacing w:before="120" w:after="120" w:line="288" w:lineRule="auto"/>
        <w:ind w:firstLine="420"/>
        <w:outlineLvl w:val="3"/>
        <w:rPr>
          <w:rFonts w:cs="宋体"/>
          <w:bCs/>
          <w:color w:val="auto"/>
          <w:highlight w:val="none"/>
        </w:rPr>
      </w:pPr>
      <w:bookmarkStart w:id="930" w:name="_Toc351203643"/>
      <w:r>
        <w:rPr>
          <w:rFonts w:hint="eastAsia" w:cs="宋体"/>
          <w:bCs/>
          <w:color w:val="auto"/>
          <w:highlight w:val="none"/>
        </w:rPr>
        <w:t>11. 价格调整</w:t>
      </w:r>
      <w:bookmarkEnd w:id="930"/>
    </w:p>
    <w:p>
      <w:pPr>
        <w:spacing w:after="120" w:line="288" w:lineRule="auto"/>
        <w:ind w:firstLine="420"/>
        <w:rPr>
          <w:rFonts w:cs="宋体"/>
          <w:color w:val="auto"/>
          <w:highlight w:val="none"/>
        </w:rPr>
      </w:pPr>
      <w:bookmarkStart w:id="931" w:name="_Toc296346702"/>
      <w:bookmarkStart w:id="932" w:name="_Toc300935000"/>
      <w:bookmarkStart w:id="933" w:name="_Toc296503201"/>
      <w:bookmarkStart w:id="934" w:name="_Toc304295577"/>
      <w:bookmarkStart w:id="935" w:name="_Toc297120501"/>
      <w:bookmarkStart w:id="936" w:name="_Toc297216209"/>
      <w:bookmarkStart w:id="937" w:name="_Toc297123550"/>
      <w:bookmarkStart w:id="938" w:name="_Toc292559911"/>
      <w:bookmarkStart w:id="939" w:name="_Toc312678039"/>
      <w:bookmarkStart w:id="940" w:name="_Toc296891241"/>
      <w:bookmarkStart w:id="941" w:name="_Toc296891029"/>
      <w:bookmarkStart w:id="942" w:name="_Toc297048387"/>
      <w:bookmarkStart w:id="943" w:name="_Toc296347200"/>
      <w:bookmarkStart w:id="944" w:name="_Toc292559406"/>
      <w:bookmarkStart w:id="945" w:name="_Toc303539157"/>
      <w:bookmarkStart w:id="946" w:name="_Toc296944540"/>
      <w:r>
        <w:rPr>
          <w:rFonts w:hint="eastAsia" w:cs="宋体"/>
          <w:color w:val="auto"/>
          <w:highlight w:val="none"/>
        </w:rPr>
        <w:t>11.1 市场价格波动引起的调整</w:t>
      </w:r>
    </w:p>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p>
      <w:pPr>
        <w:spacing w:line="288" w:lineRule="auto"/>
        <w:ind w:firstLine="420"/>
        <w:jc w:val="left"/>
        <w:rPr>
          <w:rFonts w:cs="宋体"/>
          <w:color w:val="auto"/>
          <w:highlight w:val="none"/>
        </w:rPr>
      </w:pPr>
      <w:r>
        <w:rPr>
          <w:rFonts w:hint="eastAsia" w:cs="宋体"/>
          <w:color w:val="auto"/>
          <w:kern w:val="0"/>
          <w:highlight w:val="none"/>
        </w:rPr>
        <w:t>市场价格波动是否调整合同价格的约定：</w:t>
      </w:r>
      <w:r>
        <w:rPr>
          <w:rFonts w:hint="eastAsia" w:cs="宋体"/>
          <w:color w:val="auto"/>
          <w:highlight w:val="none"/>
          <w:u w:val="single"/>
        </w:rPr>
        <w:t xml:space="preserve"> /                </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因市场价格波动调整合同价格，采用以下第</w:t>
      </w:r>
      <w:r>
        <w:rPr>
          <w:rFonts w:hint="eastAsia" w:cs="宋体"/>
          <w:color w:val="auto"/>
          <w:highlight w:val="none"/>
          <w:u w:val="single"/>
        </w:rPr>
        <w:t xml:space="preserve"> /   </w:t>
      </w:r>
      <w:r>
        <w:rPr>
          <w:rFonts w:hint="eastAsia" w:cs="宋体"/>
          <w:color w:val="auto"/>
          <w:highlight w:val="none"/>
        </w:rPr>
        <w:t>种方式对合同价格进行调整：</w:t>
      </w:r>
    </w:p>
    <w:p>
      <w:pPr>
        <w:spacing w:line="288" w:lineRule="auto"/>
        <w:ind w:firstLine="420"/>
        <w:jc w:val="left"/>
        <w:rPr>
          <w:rFonts w:cs="宋体"/>
          <w:color w:val="auto"/>
          <w:highlight w:val="none"/>
        </w:rPr>
      </w:pPr>
      <w:r>
        <w:rPr>
          <w:rFonts w:hint="eastAsia" w:cs="宋体"/>
          <w:color w:val="auto"/>
          <w:highlight w:val="none"/>
        </w:rPr>
        <w:t>第1种方式：采用价格指数进行价格调整。</w:t>
      </w:r>
    </w:p>
    <w:p>
      <w:pPr>
        <w:spacing w:line="288" w:lineRule="auto"/>
        <w:ind w:firstLine="420"/>
        <w:jc w:val="left"/>
        <w:rPr>
          <w:rFonts w:cs="宋体"/>
          <w:color w:val="auto"/>
          <w:highlight w:val="none"/>
          <w:u w:val="single"/>
        </w:rPr>
      </w:pPr>
      <w:r>
        <w:rPr>
          <w:rFonts w:hint="eastAsia" w:cs="宋体"/>
          <w:color w:val="auto"/>
          <w:highlight w:val="none"/>
        </w:rPr>
        <w:t>关于各可调因子、定值和变值权重，以及基本价格指数及其来源的约定：</w:t>
      </w:r>
      <w:r>
        <w:rPr>
          <w:rFonts w:hint="eastAsia" w:cs="宋体"/>
          <w:color w:val="auto"/>
          <w:highlight w:val="none"/>
          <w:u w:val="single"/>
        </w:rPr>
        <w:t xml:space="preserve">  /  </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第2种方式：采用造价信息进行价格调整。</w:t>
      </w:r>
    </w:p>
    <w:p>
      <w:pPr>
        <w:spacing w:line="288" w:lineRule="auto"/>
        <w:ind w:firstLine="420"/>
        <w:jc w:val="left"/>
        <w:rPr>
          <w:rFonts w:cs="宋体"/>
          <w:color w:val="auto"/>
          <w:highlight w:val="none"/>
        </w:rPr>
      </w:pPr>
      <w:r>
        <w:rPr>
          <w:rFonts w:hint="eastAsia" w:cs="宋体"/>
          <w:color w:val="auto"/>
          <w:highlight w:val="none"/>
        </w:rPr>
        <w:t>（2）关于基准价格的约定：</w:t>
      </w:r>
      <w:r>
        <w:rPr>
          <w:rFonts w:hint="eastAsia" w:cs="宋体"/>
          <w:color w:val="auto"/>
          <w:highlight w:val="none"/>
          <w:u w:val="single"/>
        </w:rPr>
        <w:t xml:space="preserve">     /               </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专用合同条款①承包人在已标价工程量清单或预算书中载明的材料单价低于基准价格的：专用合同条款合同履行期间材料单价涨幅以基准价格为基础超过</w:t>
      </w:r>
      <w:r>
        <w:rPr>
          <w:rFonts w:hint="eastAsia" w:cs="宋体"/>
          <w:color w:val="auto"/>
          <w:highlight w:val="none"/>
          <w:u w:val="single"/>
        </w:rPr>
        <w:t xml:space="preserve"> / </w:t>
      </w:r>
      <w:r>
        <w:rPr>
          <w:rFonts w:hint="eastAsia" w:cs="宋体"/>
          <w:color w:val="auto"/>
          <w:highlight w:val="none"/>
        </w:rPr>
        <w:t>%时，或材料单价跌幅以已标价工程量清单或预算书中载明材料单价为基础超过</w:t>
      </w:r>
      <w:r>
        <w:rPr>
          <w:rFonts w:hint="eastAsia" w:cs="宋体"/>
          <w:color w:val="auto"/>
          <w:highlight w:val="none"/>
          <w:u w:val="single"/>
        </w:rPr>
        <w:t xml:space="preserve"> / </w:t>
      </w:r>
      <w:r>
        <w:rPr>
          <w:rFonts w:hint="eastAsia" w:cs="宋体"/>
          <w:color w:val="auto"/>
          <w:highlight w:val="none"/>
        </w:rPr>
        <w:t>%时，其超过部分据实调整。</w:t>
      </w:r>
    </w:p>
    <w:p>
      <w:pPr>
        <w:spacing w:line="288" w:lineRule="auto"/>
        <w:ind w:firstLine="420"/>
        <w:jc w:val="left"/>
        <w:rPr>
          <w:rFonts w:cs="宋体"/>
          <w:color w:val="auto"/>
          <w:highlight w:val="none"/>
        </w:rPr>
      </w:pPr>
      <w:r>
        <w:rPr>
          <w:rFonts w:hint="eastAsia" w:cs="宋体"/>
          <w:color w:val="auto"/>
          <w:highlight w:val="none"/>
        </w:rPr>
        <w:t>②承包人在已标价工程量清单或预算书中载明的材料单价高于基准价格的：专用合同条款合同履行期间材料单价跌幅以基准价格为基础超过</w:t>
      </w:r>
      <w:r>
        <w:rPr>
          <w:rFonts w:hint="eastAsia" w:cs="宋体"/>
          <w:color w:val="auto"/>
          <w:highlight w:val="none"/>
          <w:u w:val="single"/>
        </w:rPr>
        <w:t xml:space="preserve">/ </w:t>
      </w:r>
      <w:r>
        <w:rPr>
          <w:rFonts w:hint="eastAsia" w:cs="宋体"/>
          <w:color w:val="auto"/>
          <w:highlight w:val="none"/>
        </w:rPr>
        <w:t>%时，材料单价涨幅以已标价工程量清单或预算书中载明材料单价为基础超过</w:t>
      </w:r>
      <w:r>
        <w:rPr>
          <w:rFonts w:hint="eastAsia" w:cs="宋体"/>
          <w:color w:val="auto"/>
          <w:highlight w:val="none"/>
          <w:u w:val="single"/>
        </w:rPr>
        <w:t xml:space="preserve">/ </w:t>
      </w:r>
      <w:r>
        <w:rPr>
          <w:rFonts w:hint="eastAsia" w:cs="宋体"/>
          <w:color w:val="auto"/>
          <w:highlight w:val="none"/>
        </w:rPr>
        <w:t>%时，其超过部分据实调整。</w:t>
      </w:r>
    </w:p>
    <w:p>
      <w:pPr>
        <w:spacing w:line="288" w:lineRule="auto"/>
        <w:ind w:firstLine="420"/>
        <w:jc w:val="left"/>
        <w:rPr>
          <w:rFonts w:cs="宋体"/>
          <w:color w:val="auto"/>
          <w:highlight w:val="none"/>
        </w:rPr>
      </w:pPr>
      <w:r>
        <w:rPr>
          <w:rFonts w:hint="eastAsia" w:cs="宋体"/>
          <w:color w:val="auto"/>
          <w:highlight w:val="none"/>
        </w:rPr>
        <w:t>③承包人在已标价工程量清单或预算书中载明的材料单价等于基准单价的：专用合同条款合同履行期间材料单价涨跌幅以基准单价为基础超过±</w:t>
      </w:r>
      <w:r>
        <w:rPr>
          <w:rFonts w:hint="eastAsia" w:cs="宋体"/>
          <w:color w:val="auto"/>
          <w:highlight w:val="none"/>
          <w:u w:val="single"/>
        </w:rPr>
        <w:t xml:space="preserve"> / </w:t>
      </w:r>
      <w:r>
        <w:rPr>
          <w:rFonts w:hint="eastAsia" w:cs="宋体"/>
          <w:color w:val="auto"/>
          <w:highlight w:val="none"/>
        </w:rPr>
        <w:t>%时，其超过部分据实调整。</w:t>
      </w:r>
    </w:p>
    <w:p>
      <w:pPr>
        <w:spacing w:line="288" w:lineRule="auto"/>
        <w:ind w:firstLine="422"/>
        <w:jc w:val="left"/>
        <w:rPr>
          <w:rFonts w:cs="宋体"/>
          <w:b/>
          <w:color w:val="auto"/>
          <w:highlight w:val="none"/>
        </w:rPr>
      </w:pPr>
      <w:r>
        <w:rPr>
          <w:rFonts w:hint="eastAsia" w:cs="宋体"/>
          <w:b/>
          <w:color w:val="auto"/>
          <w:highlight w:val="none"/>
        </w:rPr>
        <w:t>第3种方式：采用政策性文件进行价格调整。</w:t>
      </w:r>
    </w:p>
    <w:p>
      <w:pPr>
        <w:spacing w:line="288" w:lineRule="auto"/>
        <w:ind w:firstLine="422"/>
        <w:jc w:val="left"/>
        <w:rPr>
          <w:rFonts w:cs="宋体"/>
          <w:b/>
          <w:color w:val="auto"/>
          <w:highlight w:val="none"/>
        </w:rPr>
      </w:pPr>
      <w:r>
        <w:rPr>
          <w:rFonts w:hint="eastAsia" w:cs="宋体"/>
          <w:b/>
          <w:color w:val="auto"/>
          <w:highlight w:val="none"/>
        </w:rPr>
        <w:t>政府投资工程因市场价格波动引起的调整按以下</w:t>
      </w:r>
      <w:r>
        <w:rPr>
          <w:rFonts w:hint="eastAsia" w:cs="宋体"/>
          <w:b/>
          <w:color w:val="auto"/>
          <w:highlight w:val="none"/>
          <w:u w:val="single"/>
        </w:rPr>
        <w:t>第（一）种方式</w:t>
      </w:r>
      <w:r>
        <w:rPr>
          <w:rFonts w:hint="eastAsia" w:cs="宋体"/>
          <w:b/>
          <w:color w:val="auto"/>
          <w:highlight w:val="none"/>
        </w:rPr>
        <w:t>约定执行：</w:t>
      </w:r>
    </w:p>
    <w:p>
      <w:pPr>
        <w:spacing w:line="288" w:lineRule="auto"/>
        <w:ind w:firstLine="422"/>
        <w:jc w:val="left"/>
        <w:rPr>
          <w:rFonts w:cs="宋体"/>
          <w:b/>
          <w:color w:val="auto"/>
          <w:highlight w:val="none"/>
          <w:u w:val="single"/>
        </w:rPr>
      </w:pPr>
      <w:r>
        <w:rPr>
          <w:rFonts w:hint="eastAsia" w:cs="宋体"/>
          <w:b/>
          <w:color w:val="auto"/>
          <w:highlight w:val="none"/>
          <w:u w:val="single"/>
        </w:rPr>
        <w:t>（一）按住建局和区财政局联合发文相关文件执行</w:t>
      </w:r>
      <w:r>
        <w:rPr>
          <w:rFonts w:hint="eastAsia" w:cs="宋体"/>
          <w:b/>
          <w:color w:val="auto"/>
          <w:highlight w:val="none"/>
        </w:rPr>
        <w:t>；</w:t>
      </w:r>
    </w:p>
    <w:p>
      <w:pPr>
        <w:spacing w:line="288" w:lineRule="auto"/>
        <w:ind w:firstLine="422"/>
        <w:jc w:val="left"/>
        <w:rPr>
          <w:rFonts w:cs="宋体"/>
          <w:b/>
          <w:color w:val="auto"/>
          <w:highlight w:val="none"/>
          <w:u w:val="single"/>
        </w:rPr>
      </w:pPr>
      <w:r>
        <w:rPr>
          <w:rFonts w:hint="eastAsia" w:cs="宋体"/>
          <w:b/>
          <w:color w:val="auto"/>
          <w:highlight w:val="none"/>
          <w:u w:val="single"/>
        </w:rPr>
        <w:t xml:space="preserve">（二）其他：   /                                </w:t>
      </w:r>
      <w:r>
        <w:rPr>
          <w:rFonts w:hint="eastAsia" w:cs="宋体"/>
          <w:b/>
          <w:color w:val="auto"/>
          <w:highlight w:val="none"/>
        </w:rPr>
        <w:t>。</w:t>
      </w:r>
    </w:p>
    <w:p>
      <w:pPr>
        <w:spacing w:line="288" w:lineRule="auto"/>
        <w:ind w:firstLine="422"/>
        <w:jc w:val="left"/>
        <w:rPr>
          <w:rFonts w:cs="宋体"/>
          <w:b/>
          <w:color w:val="auto"/>
          <w:highlight w:val="none"/>
        </w:rPr>
      </w:pPr>
      <w:r>
        <w:rPr>
          <w:rFonts w:hint="eastAsia" w:cs="宋体"/>
          <w:b/>
          <w:color w:val="auto"/>
          <w:highlight w:val="none"/>
        </w:rPr>
        <w:t>其中：</w:t>
      </w:r>
    </w:p>
    <w:p>
      <w:pPr>
        <w:spacing w:line="288" w:lineRule="auto"/>
        <w:ind w:firstLine="422"/>
        <w:jc w:val="left"/>
        <w:rPr>
          <w:rFonts w:cs="宋体"/>
          <w:b/>
          <w:color w:val="auto"/>
          <w:highlight w:val="none"/>
        </w:rPr>
      </w:pPr>
      <w:r>
        <w:rPr>
          <w:rFonts w:hint="eastAsia" w:cs="宋体"/>
          <w:b/>
          <w:color w:val="auto"/>
          <w:highlight w:val="none"/>
        </w:rPr>
        <w:t>1、风险范围及幅度的约定：</w:t>
      </w:r>
    </w:p>
    <w:p>
      <w:pPr>
        <w:spacing w:line="288" w:lineRule="auto"/>
        <w:ind w:firstLine="422"/>
        <w:jc w:val="left"/>
        <w:rPr>
          <w:rFonts w:cs="宋体"/>
          <w:b/>
          <w:color w:val="auto"/>
          <w:highlight w:val="none"/>
          <w:u w:val="single"/>
        </w:rPr>
      </w:pPr>
      <w:r>
        <w:rPr>
          <w:rFonts w:hint="eastAsia" w:cs="宋体"/>
          <w:b/>
          <w:color w:val="auto"/>
          <w:highlight w:val="none"/>
          <w:u w:val="single"/>
        </w:rPr>
        <w:t>（1）人工费的风险幅度（/%）</w:t>
      </w:r>
    </w:p>
    <w:p>
      <w:pPr>
        <w:spacing w:line="288" w:lineRule="auto"/>
        <w:ind w:firstLine="422"/>
        <w:jc w:val="left"/>
        <w:rPr>
          <w:rFonts w:cs="宋体"/>
          <w:b/>
          <w:color w:val="auto"/>
          <w:highlight w:val="none"/>
          <w:u w:val="single"/>
        </w:rPr>
      </w:pPr>
      <w:r>
        <w:rPr>
          <w:rFonts w:hint="eastAsia" w:cs="宋体"/>
          <w:b/>
          <w:color w:val="auto"/>
          <w:highlight w:val="none"/>
          <w:u w:val="single"/>
        </w:rPr>
        <w:t>（2）材料价格的风险幅度（/%）</w:t>
      </w:r>
    </w:p>
    <w:p>
      <w:pPr>
        <w:spacing w:line="288" w:lineRule="auto"/>
        <w:ind w:firstLine="422"/>
        <w:jc w:val="left"/>
        <w:rPr>
          <w:rFonts w:cs="宋体"/>
          <w:b/>
          <w:color w:val="auto"/>
          <w:highlight w:val="none"/>
        </w:rPr>
      </w:pPr>
      <w:r>
        <w:rPr>
          <w:rFonts w:hint="eastAsia" w:cs="宋体"/>
          <w:b/>
          <w:color w:val="auto"/>
          <w:highlight w:val="none"/>
        </w:rPr>
        <w:t>2、材料价款动态调整结算方式采用以下</w:t>
      </w:r>
      <w:r>
        <w:rPr>
          <w:rFonts w:hint="eastAsia" w:cs="宋体"/>
          <w:b/>
          <w:color w:val="auto"/>
          <w:highlight w:val="none"/>
          <w:u w:val="single"/>
        </w:rPr>
        <w:t>第（3）种方式</w:t>
      </w:r>
      <w:r>
        <w:rPr>
          <w:rFonts w:hint="eastAsia" w:cs="宋体"/>
          <w:b/>
          <w:color w:val="auto"/>
          <w:highlight w:val="none"/>
        </w:rPr>
        <w:t>约定：</w:t>
      </w:r>
    </w:p>
    <w:p>
      <w:pPr>
        <w:spacing w:line="288" w:lineRule="auto"/>
        <w:ind w:firstLine="422"/>
        <w:jc w:val="left"/>
        <w:rPr>
          <w:rFonts w:cs="宋体"/>
          <w:b/>
          <w:color w:val="auto"/>
          <w:highlight w:val="none"/>
          <w:u w:val="single"/>
        </w:rPr>
      </w:pPr>
      <w:r>
        <w:rPr>
          <w:rFonts w:hint="eastAsia" w:cs="宋体"/>
          <w:b/>
          <w:color w:val="auto"/>
          <w:highlight w:val="none"/>
          <w:u w:val="single"/>
        </w:rPr>
        <w:t xml:space="preserve">（1）按时间进度分段结算：  /                        </w:t>
      </w:r>
      <w:r>
        <w:rPr>
          <w:rFonts w:hint="eastAsia" w:cs="宋体"/>
          <w:b/>
          <w:color w:val="auto"/>
          <w:highlight w:val="none"/>
        </w:rPr>
        <w:t>。</w:t>
      </w:r>
    </w:p>
    <w:p>
      <w:pPr>
        <w:spacing w:line="288" w:lineRule="auto"/>
        <w:ind w:firstLine="422"/>
        <w:jc w:val="left"/>
        <w:rPr>
          <w:rFonts w:cs="宋体"/>
          <w:b/>
          <w:color w:val="auto"/>
          <w:highlight w:val="none"/>
          <w:u w:val="single"/>
        </w:rPr>
      </w:pPr>
      <w:r>
        <w:rPr>
          <w:rFonts w:hint="eastAsia" w:cs="宋体"/>
          <w:b/>
          <w:color w:val="auto"/>
          <w:highlight w:val="none"/>
          <w:u w:val="single"/>
        </w:rPr>
        <w:t xml:space="preserve">（2）按工程形象部位(目标)分段结算：/               </w:t>
      </w:r>
      <w:r>
        <w:rPr>
          <w:rFonts w:hint="eastAsia" w:cs="宋体"/>
          <w:b/>
          <w:color w:val="auto"/>
          <w:highlight w:val="none"/>
        </w:rPr>
        <w:t xml:space="preserve"> 。</w:t>
      </w:r>
    </w:p>
    <w:p>
      <w:pPr>
        <w:spacing w:line="288" w:lineRule="auto"/>
        <w:ind w:firstLine="422"/>
        <w:jc w:val="left"/>
        <w:rPr>
          <w:rFonts w:cs="宋体"/>
          <w:b/>
          <w:color w:val="auto"/>
          <w:highlight w:val="none"/>
          <w:u w:val="single"/>
        </w:rPr>
      </w:pPr>
      <w:r>
        <w:rPr>
          <w:rFonts w:hint="eastAsia" w:cs="宋体"/>
          <w:b/>
          <w:color w:val="auto"/>
          <w:highlight w:val="none"/>
          <w:u w:val="single"/>
        </w:rPr>
        <w:t xml:space="preserve">（3）竣工后一次性结算                              </w:t>
      </w:r>
      <w:r>
        <w:rPr>
          <w:rFonts w:hint="eastAsia" w:cs="宋体"/>
          <w:b/>
          <w:color w:val="auto"/>
          <w:highlight w:val="none"/>
        </w:rPr>
        <w:t xml:space="preserve"> 。</w:t>
      </w:r>
    </w:p>
    <w:bookmarkEnd w:id="834"/>
    <w:bookmarkEnd w:id="835"/>
    <w:bookmarkEnd w:id="836"/>
    <w:bookmarkEnd w:id="837"/>
    <w:bookmarkEnd w:id="838"/>
    <w:bookmarkEnd w:id="839"/>
    <w:p>
      <w:pPr>
        <w:keepNext/>
        <w:keepLines/>
        <w:spacing w:before="120" w:after="120" w:line="288" w:lineRule="auto"/>
        <w:ind w:firstLine="422"/>
        <w:outlineLvl w:val="3"/>
        <w:rPr>
          <w:rFonts w:cs="宋体"/>
          <w:b/>
          <w:bCs/>
          <w:color w:val="auto"/>
          <w:highlight w:val="none"/>
        </w:rPr>
      </w:pPr>
      <w:bookmarkStart w:id="947" w:name="_Toc297048391"/>
      <w:bookmarkStart w:id="948" w:name="_Toc292559915"/>
      <w:bookmarkStart w:id="949" w:name="_Toc296346706"/>
      <w:bookmarkStart w:id="950" w:name="_Toc296347204"/>
      <w:bookmarkStart w:id="951" w:name="_Toc296503205"/>
      <w:bookmarkStart w:id="952" w:name="_Toc296944544"/>
      <w:bookmarkStart w:id="953" w:name="_Toc296891245"/>
      <w:bookmarkStart w:id="954" w:name="_Toc296891033"/>
      <w:bookmarkStart w:id="955" w:name="_Toc292559410"/>
      <w:bookmarkStart w:id="956" w:name="_Toc297120505"/>
      <w:bookmarkStart w:id="957" w:name="_Toc300935002"/>
      <w:bookmarkStart w:id="958" w:name="_Toc303539159"/>
      <w:bookmarkStart w:id="959" w:name="_Toc312678040"/>
      <w:bookmarkStart w:id="960" w:name="_Toc297216211"/>
      <w:bookmarkStart w:id="961" w:name="_Toc304295579"/>
      <w:bookmarkStart w:id="962" w:name="_Toc351203644"/>
      <w:bookmarkStart w:id="963" w:name="_Toc297123552"/>
      <w:r>
        <w:rPr>
          <w:rFonts w:hint="eastAsia" w:cs="宋体"/>
          <w:b/>
          <w:bCs/>
          <w:color w:val="auto"/>
          <w:highlight w:val="none"/>
        </w:rPr>
        <w:t xml:space="preserve">12. </w:t>
      </w:r>
      <w:bookmarkEnd w:id="947"/>
      <w:bookmarkEnd w:id="948"/>
      <w:bookmarkEnd w:id="949"/>
      <w:bookmarkEnd w:id="950"/>
      <w:bookmarkEnd w:id="951"/>
      <w:bookmarkEnd w:id="952"/>
      <w:bookmarkEnd w:id="953"/>
      <w:bookmarkEnd w:id="954"/>
      <w:bookmarkEnd w:id="955"/>
      <w:bookmarkEnd w:id="956"/>
      <w:r>
        <w:rPr>
          <w:rFonts w:hint="eastAsia" w:cs="宋体"/>
          <w:b/>
          <w:bCs/>
          <w:color w:val="auto"/>
          <w:highlight w:val="none"/>
        </w:rPr>
        <w:t>合同价格、计量与支付</w:t>
      </w:r>
      <w:bookmarkEnd w:id="957"/>
      <w:bookmarkEnd w:id="958"/>
      <w:bookmarkEnd w:id="959"/>
      <w:bookmarkEnd w:id="960"/>
      <w:bookmarkEnd w:id="961"/>
      <w:bookmarkEnd w:id="962"/>
      <w:bookmarkEnd w:id="963"/>
      <w:bookmarkStart w:id="964" w:name="_Toc267251461"/>
      <w:bookmarkStart w:id="965" w:name="_Toc292559411"/>
      <w:bookmarkStart w:id="966" w:name="_Toc292559916"/>
      <w:bookmarkStart w:id="967" w:name="_Toc296347205"/>
      <w:bookmarkStart w:id="968" w:name="_Toc297120506"/>
      <w:bookmarkStart w:id="969" w:name="_Toc297048392"/>
      <w:bookmarkStart w:id="970" w:name="_Toc296346707"/>
      <w:bookmarkStart w:id="971" w:name="_Toc296503206"/>
      <w:bookmarkStart w:id="972" w:name="_Toc296944545"/>
      <w:bookmarkStart w:id="973" w:name="_Toc296891246"/>
      <w:bookmarkStart w:id="974" w:name="_Toc296891034"/>
      <w:bookmarkStart w:id="975" w:name="_Toc312678041"/>
      <w:bookmarkStart w:id="976" w:name="_Toc297123553"/>
      <w:bookmarkStart w:id="977" w:name="_Toc300935003"/>
      <w:bookmarkStart w:id="978" w:name="_Toc304295580"/>
      <w:bookmarkStart w:id="979" w:name="_Toc303539160"/>
      <w:bookmarkStart w:id="980" w:name="_Toc297216212"/>
    </w:p>
    <w:p>
      <w:pPr>
        <w:keepNext/>
        <w:keepLines/>
        <w:spacing w:before="120" w:after="120" w:line="288" w:lineRule="auto"/>
        <w:ind w:firstLine="422"/>
        <w:outlineLvl w:val="3"/>
        <w:rPr>
          <w:rFonts w:cs="宋体"/>
          <w:bCs/>
          <w:color w:val="auto"/>
          <w:highlight w:val="none"/>
        </w:rPr>
      </w:pPr>
      <w:r>
        <w:rPr>
          <w:rFonts w:hint="eastAsia" w:cs="宋体"/>
          <w:b/>
          <w:bCs/>
          <w:color w:val="auto"/>
          <w:highlight w:val="none"/>
        </w:rPr>
        <w:t>12.1 合</w:t>
      </w:r>
      <w:bookmarkEnd w:id="964"/>
      <w:bookmarkEnd w:id="965"/>
      <w:bookmarkEnd w:id="966"/>
      <w:r>
        <w:rPr>
          <w:rFonts w:hint="eastAsia" w:cs="宋体"/>
          <w:b/>
          <w:bCs/>
          <w:color w:val="auto"/>
          <w:highlight w:val="none"/>
        </w:rPr>
        <w:t>同价</w:t>
      </w:r>
      <w:bookmarkEnd w:id="967"/>
      <w:bookmarkEnd w:id="968"/>
      <w:bookmarkEnd w:id="969"/>
      <w:bookmarkEnd w:id="970"/>
      <w:bookmarkEnd w:id="971"/>
      <w:bookmarkEnd w:id="972"/>
      <w:bookmarkEnd w:id="973"/>
      <w:bookmarkEnd w:id="974"/>
      <w:r>
        <w:rPr>
          <w:rFonts w:hint="eastAsia" w:cs="宋体"/>
          <w:b/>
          <w:bCs/>
          <w:color w:val="auto"/>
          <w:highlight w:val="none"/>
        </w:rPr>
        <w:t>格形式</w:t>
      </w:r>
    </w:p>
    <w:bookmarkEnd w:id="975"/>
    <w:bookmarkEnd w:id="976"/>
    <w:bookmarkEnd w:id="977"/>
    <w:bookmarkEnd w:id="978"/>
    <w:bookmarkEnd w:id="979"/>
    <w:bookmarkEnd w:id="980"/>
    <w:p>
      <w:pPr>
        <w:spacing w:line="288" w:lineRule="auto"/>
        <w:ind w:firstLine="420"/>
        <w:jc w:val="left"/>
        <w:rPr>
          <w:rFonts w:cs="宋体"/>
          <w:color w:val="auto"/>
          <w:highlight w:val="none"/>
        </w:rPr>
      </w:pPr>
      <w:r>
        <w:rPr>
          <w:rFonts w:hint="eastAsia" w:cs="宋体"/>
          <w:color w:val="auto"/>
          <w:highlight w:val="none"/>
        </w:rPr>
        <w:t>1、单价合同。</w:t>
      </w:r>
    </w:p>
    <w:p>
      <w:pPr>
        <w:spacing w:line="288" w:lineRule="auto"/>
        <w:ind w:firstLine="420"/>
        <w:jc w:val="left"/>
        <w:rPr>
          <w:rFonts w:cs="宋体"/>
          <w:color w:val="auto"/>
          <w:highlight w:val="none"/>
          <w:u w:val="single"/>
        </w:rPr>
      </w:pPr>
      <w:r>
        <w:rPr>
          <w:rFonts w:hint="eastAsia" w:cs="宋体"/>
          <w:color w:val="auto"/>
          <w:highlight w:val="none"/>
        </w:rPr>
        <w:t>综合单价包含的风险范围：</w:t>
      </w:r>
    </w:p>
    <w:p>
      <w:pPr>
        <w:widowControl/>
        <w:adjustRightInd w:val="0"/>
        <w:snapToGrid w:val="0"/>
        <w:spacing w:line="288" w:lineRule="auto"/>
        <w:ind w:firstLine="422"/>
        <w:rPr>
          <w:rFonts w:cs="宋体"/>
          <w:b/>
          <w:bCs/>
          <w:color w:val="auto"/>
          <w:highlight w:val="none"/>
          <w:u w:val="single"/>
        </w:rPr>
      </w:pPr>
      <w:r>
        <w:rPr>
          <w:rFonts w:hint="eastAsia" w:cs="宋体"/>
          <w:b/>
          <w:bCs/>
          <w:color w:val="auto"/>
          <w:highlight w:val="none"/>
          <w:u w:val="single"/>
        </w:rPr>
        <w:t>a、除不可抗力外的各种自然灾害；</w:t>
      </w:r>
    </w:p>
    <w:p>
      <w:pPr>
        <w:widowControl/>
        <w:adjustRightInd w:val="0"/>
        <w:snapToGrid w:val="0"/>
        <w:spacing w:line="288" w:lineRule="auto"/>
        <w:ind w:firstLine="422"/>
        <w:rPr>
          <w:rFonts w:cs="宋体"/>
          <w:b/>
          <w:bCs/>
          <w:color w:val="auto"/>
          <w:highlight w:val="none"/>
          <w:u w:val="single"/>
        </w:rPr>
      </w:pPr>
      <w:r>
        <w:rPr>
          <w:rFonts w:hint="eastAsia" w:cs="宋体"/>
          <w:b/>
          <w:bCs/>
          <w:color w:val="auto"/>
          <w:highlight w:val="none"/>
          <w:u w:val="single"/>
        </w:rPr>
        <w:t>b、安全生产文明施工不当引起的责任；</w:t>
      </w:r>
    </w:p>
    <w:p>
      <w:pPr>
        <w:widowControl/>
        <w:adjustRightInd w:val="0"/>
        <w:snapToGrid w:val="0"/>
        <w:spacing w:line="288" w:lineRule="auto"/>
        <w:ind w:firstLine="422"/>
        <w:rPr>
          <w:rFonts w:cs="宋体"/>
          <w:b/>
          <w:bCs/>
          <w:color w:val="auto"/>
          <w:highlight w:val="none"/>
          <w:u w:val="single"/>
        </w:rPr>
      </w:pPr>
      <w:r>
        <w:rPr>
          <w:rFonts w:hint="eastAsia" w:cs="宋体"/>
          <w:b/>
          <w:bCs/>
          <w:color w:val="auto"/>
          <w:highlight w:val="none"/>
          <w:u w:val="single"/>
        </w:rPr>
        <w:t>c、所有招标文件或工程量清单明示要求报价的内容而承包人未予报价的，将被认为包含在合同总价中，结算时合同价款不再增加；</w:t>
      </w:r>
    </w:p>
    <w:p>
      <w:pPr>
        <w:widowControl/>
        <w:adjustRightInd w:val="0"/>
        <w:snapToGrid w:val="0"/>
        <w:spacing w:line="288" w:lineRule="auto"/>
        <w:ind w:firstLine="422"/>
        <w:rPr>
          <w:rFonts w:cs="宋体"/>
          <w:b/>
          <w:bCs/>
          <w:color w:val="auto"/>
          <w:highlight w:val="none"/>
          <w:u w:val="single"/>
        </w:rPr>
      </w:pPr>
      <w:r>
        <w:rPr>
          <w:rFonts w:hint="eastAsia" w:cs="宋体"/>
          <w:b/>
          <w:bCs/>
          <w:color w:val="auto"/>
          <w:highlight w:val="none"/>
          <w:u w:val="single"/>
        </w:rPr>
        <w:t>d、工程要素（含人工、材料（设备）、机械台班）价格的涨跌风险；</w:t>
      </w:r>
    </w:p>
    <w:p>
      <w:pPr>
        <w:widowControl/>
        <w:adjustRightInd w:val="0"/>
        <w:snapToGrid w:val="0"/>
        <w:spacing w:line="288" w:lineRule="auto"/>
        <w:ind w:firstLine="422"/>
        <w:rPr>
          <w:rFonts w:cs="宋体"/>
          <w:b/>
          <w:bCs/>
          <w:color w:val="auto"/>
          <w:highlight w:val="none"/>
          <w:u w:val="single"/>
        </w:rPr>
      </w:pPr>
      <w:r>
        <w:rPr>
          <w:rFonts w:hint="eastAsia" w:cs="宋体"/>
          <w:b/>
          <w:bCs/>
          <w:color w:val="auto"/>
          <w:highlight w:val="none"/>
          <w:u w:val="single"/>
        </w:rPr>
        <w:t>e、承包人对工程现场环境以及发包人提供的招标文件等资料作出错误的推论、理解而导致的报价失误；</w:t>
      </w:r>
    </w:p>
    <w:p>
      <w:pPr>
        <w:widowControl/>
        <w:adjustRightInd w:val="0"/>
        <w:snapToGrid w:val="0"/>
        <w:spacing w:line="288" w:lineRule="auto"/>
        <w:ind w:firstLine="422"/>
        <w:rPr>
          <w:rFonts w:cs="宋体"/>
          <w:b/>
          <w:bCs/>
          <w:color w:val="auto"/>
          <w:highlight w:val="none"/>
          <w:u w:val="single"/>
        </w:rPr>
      </w:pPr>
      <w:r>
        <w:rPr>
          <w:rFonts w:hint="eastAsia" w:cs="宋体"/>
          <w:b/>
          <w:bCs/>
          <w:color w:val="auto"/>
          <w:highlight w:val="none"/>
          <w:u w:val="single"/>
        </w:rPr>
        <w:t>f、招标文件约定的工程量清单数量误差引起的综合单价成本差异（风险范围及范围外调整方法见本条款第2）条的规定）；</w:t>
      </w:r>
    </w:p>
    <w:p>
      <w:pPr>
        <w:widowControl/>
        <w:adjustRightInd w:val="0"/>
        <w:snapToGrid w:val="0"/>
        <w:spacing w:line="288" w:lineRule="auto"/>
        <w:ind w:firstLine="422"/>
        <w:rPr>
          <w:rFonts w:cs="宋体"/>
          <w:b/>
          <w:bCs/>
          <w:color w:val="auto"/>
          <w:highlight w:val="none"/>
          <w:u w:val="single"/>
        </w:rPr>
      </w:pPr>
      <w:r>
        <w:rPr>
          <w:rFonts w:hint="eastAsia" w:cs="宋体"/>
          <w:b/>
          <w:bCs/>
          <w:color w:val="auto"/>
          <w:highlight w:val="none"/>
          <w:u w:val="single"/>
        </w:rPr>
        <w:t>g、施工组织措施费和技术措施费在成交以后，在合同施工范围内，无论现场施工条件如何变化、设计如何变更、也无论工程量增减的幅度如何，均不再调整；</w:t>
      </w:r>
    </w:p>
    <w:p>
      <w:pPr>
        <w:widowControl/>
        <w:adjustRightInd w:val="0"/>
        <w:snapToGrid w:val="0"/>
        <w:spacing w:line="288" w:lineRule="auto"/>
        <w:ind w:firstLine="422"/>
        <w:rPr>
          <w:rFonts w:cs="宋体"/>
          <w:b/>
          <w:bCs/>
          <w:color w:val="auto"/>
          <w:highlight w:val="none"/>
          <w:u w:val="single"/>
        </w:rPr>
      </w:pPr>
      <w:r>
        <w:rPr>
          <w:rFonts w:hint="eastAsia" w:cs="宋体"/>
          <w:b/>
          <w:bCs/>
          <w:color w:val="auto"/>
          <w:highlight w:val="none"/>
          <w:u w:val="single"/>
        </w:rPr>
        <w:t>h、施工期间停水、停电引起的费用增加；</w:t>
      </w:r>
    </w:p>
    <w:p>
      <w:pPr>
        <w:widowControl/>
        <w:adjustRightInd w:val="0"/>
        <w:snapToGrid w:val="0"/>
        <w:spacing w:line="288" w:lineRule="auto"/>
        <w:ind w:firstLine="422"/>
        <w:rPr>
          <w:rFonts w:cs="宋体"/>
          <w:b/>
          <w:bCs/>
          <w:color w:val="auto"/>
          <w:highlight w:val="none"/>
          <w:u w:val="single"/>
        </w:rPr>
      </w:pPr>
      <w:r>
        <w:rPr>
          <w:rFonts w:hint="eastAsia" w:cs="宋体"/>
          <w:b/>
          <w:bCs/>
          <w:color w:val="auto"/>
          <w:highlight w:val="none"/>
          <w:u w:val="single"/>
        </w:rPr>
        <w:t>i、清单描述中有按图集或规范施工的，综合单价必须满足规范和图集要求，综合单价不作调整；</w:t>
      </w:r>
    </w:p>
    <w:p>
      <w:pPr>
        <w:widowControl/>
        <w:adjustRightInd w:val="0"/>
        <w:snapToGrid w:val="0"/>
        <w:spacing w:line="288" w:lineRule="auto"/>
        <w:ind w:firstLine="422"/>
        <w:rPr>
          <w:rFonts w:cs="宋体"/>
          <w:b/>
          <w:bCs/>
          <w:color w:val="auto"/>
          <w:highlight w:val="none"/>
          <w:u w:val="single"/>
        </w:rPr>
      </w:pPr>
      <w:r>
        <w:rPr>
          <w:rFonts w:hint="eastAsia" w:cs="宋体"/>
          <w:b/>
          <w:bCs/>
          <w:color w:val="auto"/>
          <w:highlight w:val="none"/>
          <w:u w:val="single"/>
        </w:rPr>
        <w:t>j、本工程垃圾外运费用一次性包干，包括所有垃圾清理、搬运、外运与消纳所产生的费用，施工过程及结算时不予增加。</w:t>
      </w:r>
    </w:p>
    <w:p>
      <w:pPr>
        <w:widowControl/>
        <w:adjustRightInd w:val="0"/>
        <w:snapToGrid w:val="0"/>
        <w:spacing w:line="288" w:lineRule="auto"/>
        <w:ind w:firstLine="422"/>
        <w:rPr>
          <w:rFonts w:cs="宋体"/>
          <w:b/>
          <w:bCs/>
          <w:color w:val="auto"/>
          <w:highlight w:val="none"/>
          <w:u w:val="single"/>
        </w:rPr>
      </w:pPr>
      <w:r>
        <w:rPr>
          <w:rFonts w:hint="eastAsia" w:cs="宋体"/>
          <w:b/>
          <w:bCs/>
          <w:color w:val="auto"/>
          <w:highlight w:val="none"/>
          <w:u w:val="single"/>
        </w:rPr>
        <w:t>k、所有招标文件或工程量清单明示要求报价包干或费率包干（指规费、税金、意外伤害保险费、总承包服务费）的内容；</w:t>
      </w:r>
    </w:p>
    <w:p>
      <w:pPr>
        <w:widowControl/>
        <w:adjustRightInd w:val="0"/>
        <w:snapToGrid w:val="0"/>
        <w:spacing w:line="288" w:lineRule="auto"/>
        <w:ind w:firstLine="422"/>
        <w:rPr>
          <w:rFonts w:cs="宋体"/>
          <w:b/>
          <w:bCs/>
          <w:color w:val="auto"/>
          <w:highlight w:val="none"/>
          <w:u w:val="single"/>
        </w:rPr>
      </w:pPr>
      <w:r>
        <w:rPr>
          <w:rFonts w:hint="eastAsia" w:cs="宋体"/>
          <w:b/>
          <w:bCs/>
          <w:color w:val="auto"/>
          <w:highlight w:val="none"/>
          <w:u w:val="single"/>
        </w:rPr>
        <w:t>l、除本条明确允许调整内容以外的其他风险因素；</w:t>
      </w:r>
    </w:p>
    <w:p>
      <w:pPr>
        <w:widowControl/>
        <w:adjustRightInd w:val="0"/>
        <w:snapToGrid w:val="0"/>
        <w:spacing w:line="288" w:lineRule="auto"/>
        <w:ind w:firstLine="422"/>
        <w:rPr>
          <w:rFonts w:cs="宋体"/>
          <w:color w:val="auto"/>
          <w:highlight w:val="none"/>
        </w:rPr>
      </w:pPr>
      <w:r>
        <w:rPr>
          <w:rFonts w:hint="eastAsia" w:cs="宋体"/>
          <w:b/>
          <w:bCs/>
          <w:color w:val="auto"/>
          <w:highlight w:val="none"/>
          <w:u w:val="single"/>
        </w:rPr>
        <w:t>m、若同一工程中出现清单项目相同而报价或取费不一致者，按最低者执行。</w:t>
      </w:r>
    </w:p>
    <w:p>
      <w:pPr>
        <w:widowControl/>
        <w:adjustRightInd w:val="0"/>
        <w:snapToGrid w:val="0"/>
        <w:spacing w:line="288" w:lineRule="auto"/>
        <w:ind w:firstLine="420"/>
        <w:rPr>
          <w:rFonts w:cs="宋体"/>
          <w:color w:val="auto"/>
          <w:highlight w:val="none"/>
        </w:rPr>
      </w:pPr>
      <w:r>
        <w:rPr>
          <w:rFonts w:hint="eastAsia" w:cs="宋体"/>
          <w:color w:val="auto"/>
          <w:highlight w:val="none"/>
        </w:rPr>
        <w:t>风险费用的计算方法：</w:t>
      </w:r>
      <w:r>
        <w:rPr>
          <w:rFonts w:hint="eastAsia" w:cs="宋体"/>
          <w:b/>
          <w:color w:val="auto"/>
          <w:highlight w:val="none"/>
          <w:u w:val="single"/>
        </w:rPr>
        <w:t>风险因素范围内的费用由承包人自行考虑计列，不再另行计列、调整</w:t>
      </w:r>
      <w:r>
        <w:rPr>
          <w:rFonts w:hint="eastAsia" w:cs="宋体"/>
          <w:color w:val="auto"/>
          <w:highlight w:val="none"/>
        </w:rPr>
        <w:t>。</w:t>
      </w:r>
    </w:p>
    <w:p>
      <w:pPr>
        <w:widowControl/>
        <w:adjustRightInd w:val="0"/>
        <w:snapToGrid w:val="0"/>
        <w:spacing w:line="288" w:lineRule="auto"/>
        <w:ind w:firstLine="420"/>
        <w:rPr>
          <w:rFonts w:cs="宋体"/>
          <w:color w:val="auto"/>
          <w:highlight w:val="none"/>
        </w:rPr>
      </w:pPr>
      <w:r>
        <w:rPr>
          <w:rFonts w:hint="eastAsia" w:cs="宋体"/>
          <w:color w:val="auto"/>
          <w:highlight w:val="none"/>
        </w:rPr>
        <w:t>风险范围以外合同价格的调整方法：</w:t>
      </w:r>
    </w:p>
    <w:p>
      <w:pPr>
        <w:widowControl/>
        <w:adjustRightInd w:val="0"/>
        <w:snapToGrid w:val="0"/>
        <w:spacing w:line="288" w:lineRule="auto"/>
        <w:ind w:firstLine="422"/>
        <w:rPr>
          <w:rFonts w:cs="宋体"/>
          <w:b/>
          <w:color w:val="auto"/>
          <w:highlight w:val="none"/>
          <w:u w:val="single"/>
        </w:rPr>
      </w:pPr>
      <w:r>
        <w:rPr>
          <w:rFonts w:hint="eastAsia" w:cs="宋体"/>
          <w:b/>
          <w:color w:val="auto"/>
          <w:highlight w:val="none"/>
          <w:u w:val="single"/>
        </w:rPr>
        <w:t>由承包人按《建设工程工程量清单计价规范》（GB 50500-2013）、《房屋建筑与装饰工程工程量计算规范》（GB 50854-2013）、《通用安装工程工程量计算规范》（GB50856—2013）、《浙江省建设工程计价规则》（2018版）中规定的工程量计算规则计算，报发包人审定后按实调整。</w:t>
      </w:r>
    </w:p>
    <w:p>
      <w:pPr>
        <w:widowControl/>
        <w:adjustRightInd w:val="0"/>
        <w:snapToGrid w:val="0"/>
        <w:spacing w:line="288" w:lineRule="auto"/>
        <w:ind w:firstLine="422"/>
        <w:rPr>
          <w:rFonts w:cs="宋体"/>
          <w:b/>
          <w:color w:val="auto"/>
          <w:highlight w:val="none"/>
          <w:u w:val="single"/>
        </w:rPr>
      </w:pPr>
      <w:r>
        <w:rPr>
          <w:rFonts w:hint="eastAsia" w:cs="宋体"/>
          <w:b/>
          <w:color w:val="auto"/>
          <w:highlight w:val="none"/>
          <w:u w:val="single"/>
        </w:rPr>
        <w:t>1）综合单价确定方式：</w:t>
      </w:r>
    </w:p>
    <w:p>
      <w:pPr>
        <w:widowControl/>
        <w:adjustRightInd w:val="0"/>
        <w:snapToGrid w:val="0"/>
        <w:spacing w:line="288" w:lineRule="auto"/>
        <w:ind w:firstLine="422"/>
        <w:rPr>
          <w:rFonts w:cs="宋体"/>
          <w:b/>
          <w:color w:val="auto"/>
          <w:highlight w:val="none"/>
          <w:u w:val="single"/>
        </w:rPr>
      </w:pPr>
      <w:r>
        <w:rPr>
          <w:rFonts w:hint="eastAsia" w:cs="宋体"/>
          <w:b/>
          <w:color w:val="auto"/>
          <w:highlight w:val="none"/>
          <w:u w:val="single"/>
        </w:rPr>
        <w:t>①合同中已有适用的综合单价的，按合同中已有的综合单价确定；</w:t>
      </w:r>
    </w:p>
    <w:p>
      <w:pPr>
        <w:widowControl/>
        <w:adjustRightInd w:val="0"/>
        <w:snapToGrid w:val="0"/>
        <w:spacing w:line="288" w:lineRule="auto"/>
        <w:ind w:firstLine="422"/>
        <w:rPr>
          <w:rFonts w:cs="宋体"/>
          <w:b/>
          <w:color w:val="auto"/>
          <w:highlight w:val="none"/>
          <w:u w:val="single"/>
        </w:rPr>
      </w:pPr>
      <w:r>
        <w:rPr>
          <w:rFonts w:hint="eastAsia" w:cs="宋体"/>
          <w:b/>
          <w:color w:val="auto"/>
          <w:highlight w:val="none"/>
          <w:u w:val="single"/>
        </w:rPr>
        <w:t>②合同中有类似工程项目单价的，可以参照合同中类似项目的单价计算确定；</w:t>
      </w:r>
    </w:p>
    <w:p>
      <w:pPr>
        <w:widowControl/>
        <w:adjustRightInd w:val="0"/>
        <w:snapToGrid w:val="0"/>
        <w:spacing w:line="288" w:lineRule="auto"/>
        <w:ind w:firstLine="422"/>
        <w:rPr>
          <w:rFonts w:cs="宋体"/>
          <w:b/>
          <w:color w:val="auto"/>
          <w:highlight w:val="none"/>
          <w:u w:val="single"/>
        </w:rPr>
      </w:pPr>
      <w:r>
        <w:rPr>
          <w:rFonts w:hint="eastAsia" w:cs="宋体"/>
          <w:b/>
          <w:color w:val="auto"/>
          <w:highlight w:val="none"/>
          <w:u w:val="single"/>
        </w:rPr>
        <w:t>③合同中没有类似工程项目单价的，按以下口径重新组价并下浮后的综合单价确定【下浮率=（1-中标价/招标控制价）*100%】：套用浙江省建设工程预算定额（2018版）及计价规则；按主要材料单价和人工单价依次按施工期间杭州市建设工程信息、浙江造价信息（合同工期内各期材料信息价格的平均值，先参照杭州市信息价，如没有则参照浙江省信息价，以上信息价均为正刊）计算；信息刊物上都没有的主要材料由监理确认材料具体规格型号后，交审计组价后发包人签证确认；综合费用（包干部分除外）按投标响应价口径计取。</w:t>
      </w:r>
    </w:p>
    <w:p>
      <w:pPr>
        <w:widowControl/>
        <w:adjustRightInd w:val="0"/>
        <w:snapToGrid w:val="0"/>
        <w:spacing w:line="288" w:lineRule="auto"/>
        <w:ind w:firstLine="422"/>
        <w:rPr>
          <w:rFonts w:cs="宋体"/>
          <w:color w:val="auto"/>
          <w:highlight w:val="none"/>
        </w:rPr>
      </w:pPr>
      <w:r>
        <w:rPr>
          <w:rFonts w:hint="eastAsia" w:cs="宋体"/>
          <w:b/>
          <w:color w:val="auto"/>
          <w:highlight w:val="none"/>
          <w:u w:val="single"/>
        </w:rPr>
        <w:t>2）工程结算时当单项清单工程数量的变化幅度在15%以外，且其影响分部分项工程费用总额超过2%时，其增加的工程量和减少后剩余的工程量的综合单价按以下口径重新组价并下浮后的综合单价确定【下浮率=（1-中标价/招标控制价）*100%】：套用浙江省建设工程预算定额（2018版）及计价规则；主要材料单价和人工单价依次按施工期间杭州市建设工程信息、浙江造价信息（合同工期内各期材料信息价格的平均值，先参照杭州市信息价，如没有则参照浙江省信息价，以上信息价均为正刊）计算；信息刊物上都没有的主要材料由监理确认材料具体规格型号后，交审计组价后发包人签证确认；综合费用（包干部分除外）按投标响应价口径计取</w:t>
      </w:r>
      <w:r>
        <w:rPr>
          <w:rFonts w:hint="eastAsia" w:cs="宋体"/>
          <w:color w:val="auto"/>
          <w:highlight w:val="none"/>
        </w:rPr>
        <w:t>。</w:t>
      </w:r>
    </w:p>
    <w:p>
      <w:pPr>
        <w:spacing w:line="288" w:lineRule="auto"/>
        <w:ind w:firstLine="441" w:firstLineChars="210"/>
        <w:jc w:val="left"/>
        <w:rPr>
          <w:rFonts w:cs="宋体"/>
          <w:color w:val="auto"/>
          <w:highlight w:val="none"/>
        </w:rPr>
      </w:pPr>
      <w:r>
        <w:rPr>
          <w:rFonts w:hint="eastAsia" w:cs="宋体"/>
          <w:color w:val="auto"/>
          <w:highlight w:val="none"/>
        </w:rPr>
        <w:t>2、总价合同。</w:t>
      </w:r>
    </w:p>
    <w:p>
      <w:pPr>
        <w:spacing w:line="288" w:lineRule="auto"/>
        <w:ind w:firstLine="420"/>
        <w:jc w:val="left"/>
        <w:rPr>
          <w:rFonts w:cs="宋体"/>
          <w:color w:val="auto"/>
          <w:highlight w:val="none"/>
        </w:rPr>
      </w:pPr>
      <w:r>
        <w:rPr>
          <w:rFonts w:hint="eastAsia" w:cs="宋体"/>
          <w:color w:val="auto"/>
          <w:highlight w:val="none"/>
        </w:rPr>
        <w:t>总价包含的风险范围：</w:t>
      </w:r>
      <w:r>
        <w:rPr>
          <w:rFonts w:hint="eastAsia" w:cs="宋体"/>
          <w:color w:val="auto"/>
          <w:highlight w:val="none"/>
          <w:u w:val="single"/>
        </w:rPr>
        <w:t xml:space="preserve"> /                              </w:t>
      </w:r>
      <w:r>
        <w:rPr>
          <w:rFonts w:hint="eastAsia" w:cs="宋体"/>
          <w:color w:val="auto"/>
          <w:highlight w:val="none"/>
        </w:rPr>
        <w:t>。</w:t>
      </w:r>
    </w:p>
    <w:p>
      <w:pPr>
        <w:spacing w:line="288" w:lineRule="auto"/>
        <w:ind w:firstLine="420"/>
        <w:jc w:val="left"/>
        <w:rPr>
          <w:rFonts w:cs="宋体"/>
          <w:color w:val="auto"/>
          <w:highlight w:val="none"/>
          <w:u w:val="single"/>
        </w:rPr>
      </w:pPr>
      <w:r>
        <w:rPr>
          <w:rFonts w:hint="eastAsia" w:cs="宋体"/>
          <w:color w:val="auto"/>
          <w:highlight w:val="none"/>
        </w:rPr>
        <w:t>风险费用的计算方法：</w:t>
      </w:r>
      <w:r>
        <w:rPr>
          <w:rFonts w:hint="eastAsia" w:cs="宋体"/>
          <w:color w:val="auto"/>
          <w:highlight w:val="none"/>
          <w:u w:val="single"/>
        </w:rPr>
        <w:t xml:space="preserve"> /                               </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风险范围以外合同价格的调整方法：</w:t>
      </w:r>
      <w:r>
        <w:rPr>
          <w:rFonts w:hint="eastAsia" w:cs="宋体"/>
          <w:color w:val="auto"/>
          <w:highlight w:val="none"/>
          <w:u w:val="single"/>
        </w:rPr>
        <w:t xml:space="preserve"> /                   </w:t>
      </w:r>
      <w:r>
        <w:rPr>
          <w:rFonts w:hint="eastAsia" w:cs="宋体"/>
          <w:color w:val="auto"/>
          <w:highlight w:val="none"/>
        </w:rPr>
        <w:t>。</w:t>
      </w:r>
    </w:p>
    <w:p>
      <w:pPr>
        <w:spacing w:line="288" w:lineRule="auto"/>
        <w:ind w:firstLine="420"/>
        <w:jc w:val="left"/>
        <w:rPr>
          <w:rFonts w:cs="宋体"/>
          <w:color w:val="auto"/>
          <w:highlight w:val="none"/>
          <w:u w:val="single"/>
        </w:rPr>
      </w:pPr>
      <w:r>
        <w:rPr>
          <w:rFonts w:hint="eastAsia" w:cs="宋体"/>
          <w:color w:val="auto"/>
          <w:highlight w:val="none"/>
        </w:rPr>
        <w:t>3、其他价格方式：</w:t>
      </w:r>
      <w:r>
        <w:rPr>
          <w:rFonts w:hint="eastAsia" w:cs="宋体"/>
          <w:color w:val="auto"/>
          <w:highlight w:val="none"/>
          <w:u w:val="single"/>
        </w:rPr>
        <w:t xml:space="preserve"> /                                  </w:t>
      </w:r>
      <w:r>
        <w:rPr>
          <w:rFonts w:hint="eastAsia" w:cs="宋体"/>
          <w:color w:val="auto"/>
          <w:highlight w:val="none"/>
        </w:rPr>
        <w:t>。</w:t>
      </w:r>
    </w:p>
    <w:p>
      <w:pPr>
        <w:spacing w:after="120" w:line="288" w:lineRule="auto"/>
        <w:ind w:firstLine="420"/>
        <w:rPr>
          <w:rFonts w:cs="宋体"/>
          <w:color w:val="auto"/>
          <w:highlight w:val="none"/>
        </w:rPr>
      </w:pPr>
      <w:bookmarkStart w:id="981" w:name="_Toc304295581"/>
      <w:bookmarkStart w:id="982" w:name="_Toc297216213"/>
      <w:bookmarkStart w:id="983" w:name="_Toc303539161"/>
      <w:bookmarkStart w:id="984" w:name="_Toc312678042"/>
      <w:bookmarkStart w:id="985" w:name="_Toc300935004"/>
      <w:bookmarkStart w:id="986" w:name="_Toc297123554"/>
      <w:bookmarkStart w:id="987" w:name="_Toc292559917"/>
      <w:bookmarkStart w:id="988" w:name="_Toc296503207"/>
      <w:bookmarkStart w:id="989" w:name="_Toc296891035"/>
      <w:bookmarkStart w:id="990" w:name="_Toc296891247"/>
      <w:bookmarkStart w:id="991" w:name="_Toc297048393"/>
      <w:bookmarkStart w:id="992" w:name="_Toc296347206"/>
      <w:bookmarkStart w:id="993" w:name="_Toc297120507"/>
      <w:bookmarkStart w:id="994" w:name="_Toc292559412"/>
      <w:bookmarkStart w:id="995" w:name="_Toc296346708"/>
      <w:bookmarkStart w:id="996" w:name="_Toc296944546"/>
      <w:r>
        <w:rPr>
          <w:rFonts w:hint="eastAsia" w:cs="宋体"/>
          <w:color w:val="auto"/>
          <w:highlight w:val="none"/>
        </w:rPr>
        <w:t>12.2 预付款</w:t>
      </w:r>
    </w:p>
    <w:bookmarkEnd w:id="981"/>
    <w:bookmarkEnd w:id="982"/>
    <w:bookmarkEnd w:id="983"/>
    <w:bookmarkEnd w:id="984"/>
    <w:bookmarkEnd w:id="985"/>
    <w:bookmarkEnd w:id="986"/>
    <w:p>
      <w:pPr>
        <w:spacing w:line="288" w:lineRule="auto"/>
        <w:ind w:firstLine="420"/>
        <w:jc w:val="left"/>
        <w:rPr>
          <w:rFonts w:cs="宋体"/>
          <w:color w:val="auto"/>
          <w:highlight w:val="none"/>
        </w:rPr>
      </w:pPr>
      <w:r>
        <w:rPr>
          <w:rFonts w:hint="eastAsia" w:cs="宋体"/>
          <w:color w:val="auto"/>
          <w:highlight w:val="none"/>
        </w:rPr>
        <w:t>12.2.1 预付款的支付</w:t>
      </w:r>
    </w:p>
    <w:p>
      <w:pPr>
        <w:spacing w:line="288" w:lineRule="auto"/>
        <w:ind w:firstLine="420"/>
        <w:jc w:val="left"/>
        <w:rPr>
          <w:rFonts w:cs="宋体"/>
          <w:color w:val="auto"/>
          <w:highlight w:val="none"/>
        </w:rPr>
      </w:pPr>
      <w:r>
        <w:rPr>
          <w:rFonts w:hint="eastAsia" w:cs="宋体"/>
          <w:color w:val="auto"/>
          <w:highlight w:val="none"/>
        </w:rPr>
        <w:t>预付款支付比例或金额：</w:t>
      </w:r>
      <w:r>
        <w:rPr>
          <w:rFonts w:hint="eastAsia" w:cs="宋体"/>
          <w:color w:val="auto"/>
          <w:highlight w:val="none"/>
          <w:u w:val="single"/>
        </w:rPr>
        <w:t xml:space="preserve">         /          </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预付款支付期限：</w:t>
      </w:r>
      <w:r>
        <w:rPr>
          <w:rFonts w:hint="eastAsia" w:cs="宋体"/>
          <w:color w:val="auto"/>
          <w:szCs w:val="21"/>
          <w:highlight w:val="none"/>
        </w:rPr>
        <w:t>发包人收到履约保证金，承包人进场后7天内</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预付款扣回的方式：</w:t>
      </w:r>
      <w:r>
        <w:rPr>
          <w:rFonts w:hint="eastAsia" w:cs="宋体"/>
          <w:color w:val="auto"/>
          <w:highlight w:val="none"/>
          <w:u w:val="single"/>
        </w:rPr>
        <w:t xml:space="preserve">竣工验收合格节点支付工程款时一次性扣回  </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12.2.2 预付款担保</w:t>
      </w:r>
    </w:p>
    <w:p>
      <w:pPr>
        <w:spacing w:line="288" w:lineRule="auto"/>
        <w:ind w:firstLine="420"/>
        <w:jc w:val="left"/>
        <w:rPr>
          <w:rFonts w:cs="宋体"/>
          <w:color w:val="auto"/>
          <w:highlight w:val="none"/>
        </w:rPr>
      </w:pPr>
      <w:r>
        <w:rPr>
          <w:rFonts w:hint="eastAsia" w:cs="宋体"/>
          <w:color w:val="auto"/>
          <w:highlight w:val="none"/>
        </w:rPr>
        <w:t>承包人提交预付款担保的期限：</w:t>
      </w:r>
      <w:r>
        <w:rPr>
          <w:rFonts w:hint="eastAsia" w:cs="宋体"/>
          <w:color w:val="auto"/>
          <w:highlight w:val="none"/>
          <w:u w:val="single"/>
        </w:rPr>
        <w:t xml:space="preserve">   /                     </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预付款担保的形式为：</w:t>
      </w:r>
      <w:r>
        <w:rPr>
          <w:rFonts w:hint="eastAsia" w:cs="宋体"/>
          <w:color w:val="auto"/>
          <w:highlight w:val="none"/>
          <w:u w:val="single"/>
        </w:rPr>
        <w:t xml:space="preserve">       /                         </w:t>
      </w:r>
      <w:r>
        <w:rPr>
          <w:rFonts w:hint="eastAsia" w:cs="宋体"/>
          <w:color w:val="auto"/>
          <w:highlight w:val="none"/>
        </w:rPr>
        <w:t>。</w:t>
      </w:r>
    </w:p>
    <w:bookmarkEnd w:id="987"/>
    <w:bookmarkEnd w:id="988"/>
    <w:bookmarkEnd w:id="989"/>
    <w:bookmarkEnd w:id="990"/>
    <w:bookmarkEnd w:id="991"/>
    <w:bookmarkEnd w:id="992"/>
    <w:bookmarkEnd w:id="993"/>
    <w:bookmarkEnd w:id="994"/>
    <w:bookmarkEnd w:id="995"/>
    <w:bookmarkEnd w:id="996"/>
    <w:p>
      <w:pPr>
        <w:spacing w:after="120" w:line="288" w:lineRule="auto"/>
        <w:ind w:firstLine="420"/>
        <w:rPr>
          <w:rFonts w:cs="宋体"/>
          <w:color w:val="auto"/>
          <w:highlight w:val="none"/>
        </w:rPr>
      </w:pPr>
      <w:r>
        <w:rPr>
          <w:rFonts w:hint="eastAsia" w:cs="宋体"/>
          <w:color w:val="auto"/>
          <w:highlight w:val="none"/>
        </w:rPr>
        <w:t>12.3 计量</w:t>
      </w:r>
    </w:p>
    <w:p>
      <w:pPr>
        <w:spacing w:line="288" w:lineRule="auto"/>
        <w:ind w:firstLine="420"/>
        <w:jc w:val="left"/>
        <w:rPr>
          <w:rFonts w:cs="宋体"/>
          <w:color w:val="auto"/>
          <w:highlight w:val="none"/>
        </w:rPr>
      </w:pPr>
      <w:r>
        <w:rPr>
          <w:rFonts w:hint="eastAsia" w:cs="宋体"/>
          <w:color w:val="auto"/>
          <w:highlight w:val="none"/>
        </w:rPr>
        <w:t>12.3.1 计量原则</w:t>
      </w:r>
    </w:p>
    <w:p>
      <w:pPr>
        <w:spacing w:line="288" w:lineRule="auto"/>
        <w:ind w:firstLine="420"/>
        <w:jc w:val="left"/>
        <w:rPr>
          <w:rFonts w:cs="宋体"/>
          <w:color w:val="auto"/>
          <w:highlight w:val="none"/>
        </w:rPr>
      </w:pPr>
      <w:r>
        <w:rPr>
          <w:rFonts w:hint="eastAsia" w:cs="宋体"/>
          <w:color w:val="auto"/>
          <w:highlight w:val="none"/>
        </w:rPr>
        <w:t>工程量计算规则：</w:t>
      </w:r>
    </w:p>
    <w:p>
      <w:pPr>
        <w:spacing w:line="288" w:lineRule="auto"/>
        <w:ind w:firstLine="422"/>
        <w:jc w:val="left"/>
        <w:rPr>
          <w:rFonts w:cs="宋体"/>
          <w:color w:val="auto"/>
          <w:highlight w:val="none"/>
        </w:rPr>
      </w:pPr>
      <w:r>
        <w:rPr>
          <w:rFonts w:hint="eastAsia" w:cs="宋体"/>
          <w:b/>
          <w:color w:val="auto"/>
          <w:highlight w:val="none"/>
          <w:u w:val="single"/>
        </w:rPr>
        <w:t>按变更联系单按实际计算，并按《建设工程工程量清单计价规范》（GB 50500-2013）、《房屋建筑与装饰工程工程量计算规范》（GB 50854-2013）、《通用安装工程工程量计算规范》（GB50856—2013）、《浙江省建设工程计价规则》（2018版）</w:t>
      </w:r>
      <w:r>
        <w:rPr>
          <w:rFonts w:hint="eastAsia" w:cs="宋体"/>
          <w:b/>
          <w:bCs/>
          <w:color w:val="auto"/>
          <w:highlight w:val="none"/>
          <w:u w:val="single"/>
        </w:rPr>
        <w:t>及浙江省、杭州市现行相关规定中规定的工程量计算规则计算</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12.3.2 计量周期</w:t>
      </w:r>
    </w:p>
    <w:p>
      <w:pPr>
        <w:spacing w:line="288" w:lineRule="auto"/>
        <w:ind w:firstLine="420"/>
        <w:jc w:val="left"/>
        <w:rPr>
          <w:rFonts w:cs="宋体"/>
          <w:color w:val="auto"/>
          <w:highlight w:val="none"/>
        </w:rPr>
      </w:pPr>
      <w:r>
        <w:rPr>
          <w:rFonts w:hint="eastAsia" w:cs="宋体"/>
          <w:color w:val="auto"/>
          <w:highlight w:val="none"/>
        </w:rPr>
        <w:t>关于计量周期的约定：</w:t>
      </w:r>
      <w:r>
        <w:rPr>
          <w:rFonts w:hint="eastAsia" w:cs="宋体"/>
          <w:color w:val="auto"/>
          <w:highlight w:val="none"/>
          <w:u w:val="single"/>
        </w:rPr>
        <w:t xml:space="preserve">按通用条款执行                   </w:t>
      </w:r>
      <w:r>
        <w:rPr>
          <w:rFonts w:hint="eastAsia" w:cs="宋体"/>
          <w:color w:val="auto"/>
          <w:highlight w:val="none"/>
        </w:rPr>
        <w:t>。</w:t>
      </w:r>
    </w:p>
    <w:p>
      <w:pPr>
        <w:spacing w:line="288" w:lineRule="auto"/>
        <w:ind w:firstLine="367" w:firstLineChars="175"/>
        <w:jc w:val="left"/>
        <w:rPr>
          <w:rFonts w:cs="宋体"/>
          <w:color w:val="auto"/>
          <w:highlight w:val="none"/>
        </w:rPr>
      </w:pPr>
      <w:r>
        <w:rPr>
          <w:rFonts w:hint="eastAsia" w:cs="宋体"/>
          <w:color w:val="auto"/>
          <w:highlight w:val="none"/>
        </w:rPr>
        <w:t>12.3.3 单价合同的计量</w:t>
      </w:r>
    </w:p>
    <w:p>
      <w:pPr>
        <w:spacing w:line="288" w:lineRule="auto"/>
        <w:ind w:firstLine="420"/>
        <w:jc w:val="left"/>
        <w:rPr>
          <w:rFonts w:cs="宋体"/>
          <w:color w:val="auto"/>
          <w:highlight w:val="none"/>
        </w:rPr>
      </w:pPr>
      <w:r>
        <w:rPr>
          <w:rFonts w:hint="eastAsia" w:cs="宋体"/>
          <w:color w:val="auto"/>
          <w:highlight w:val="none"/>
        </w:rPr>
        <w:t>关于单价合同计量的约定：</w:t>
      </w:r>
      <w:r>
        <w:rPr>
          <w:rFonts w:hint="eastAsia" w:cs="宋体"/>
          <w:color w:val="auto"/>
          <w:highlight w:val="none"/>
          <w:u w:val="single"/>
        </w:rPr>
        <w:t xml:space="preserve">按通用条款执行               </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12.3.4 总价合同的计量</w:t>
      </w:r>
    </w:p>
    <w:p>
      <w:pPr>
        <w:spacing w:line="288" w:lineRule="auto"/>
        <w:ind w:firstLine="420"/>
        <w:jc w:val="left"/>
        <w:rPr>
          <w:rFonts w:cs="宋体"/>
          <w:color w:val="auto"/>
          <w:highlight w:val="none"/>
        </w:rPr>
      </w:pPr>
      <w:r>
        <w:rPr>
          <w:rFonts w:hint="eastAsia" w:cs="宋体"/>
          <w:color w:val="auto"/>
          <w:highlight w:val="none"/>
        </w:rPr>
        <w:t>关于总价合同计量的约定：</w:t>
      </w:r>
      <w:r>
        <w:rPr>
          <w:rFonts w:hint="eastAsia" w:cs="宋体"/>
          <w:color w:val="auto"/>
          <w:highlight w:val="none"/>
          <w:u w:val="single"/>
        </w:rPr>
        <w:t xml:space="preserve">   /                         </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12.3.5总价合同采用支付分解表计量支付的，是否适用第</w:t>
      </w:r>
      <w:r>
        <w:rPr>
          <w:rFonts w:hint="eastAsia" w:cs="宋体"/>
          <w:color w:val="auto"/>
          <w:kern w:val="0"/>
          <w:highlight w:val="none"/>
        </w:rPr>
        <w:t xml:space="preserve">12.3.4 </w:t>
      </w:r>
      <w:r>
        <w:rPr>
          <w:rFonts w:hint="eastAsia" w:cs="宋体"/>
          <w:color w:val="auto"/>
          <w:highlight w:val="none"/>
        </w:rPr>
        <w:t>项</w:t>
      </w:r>
      <w:r>
        <w:rPr>
          <w:rFonts w:hint="eastAsia" w:cs="宋体"/>
          <w:color w:val="auto"/>
          <w:kern w:val="0"/>
          <w:highlight w:val="none"/>
        </w:rPr>
        <w:t>〔总价合同的计量〕</w:t>
      </w:r>
      <w:r>
        <w:rPr>
          <w:rFonts w:hint="eastAsia" w:cs="宋体"/>
          <w:color w:val="auto"/>
          <w:highlight w:val="none"/>
        </w:rPr>
        <w:t>约定进行计量：</w:t>
      </w:r>
      <w:r>
        <w:rPr>
          <w:rFonts w:hint="eastAsia" w:cs="宋体"/>
          <w:color w:val="auto"/>
          <w:highlight w:val="none"/>
          <w:u w:val="single"/>
        </w:rPr>
        <w:t xml:space="preserve">   /                    </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12.3.6 其他价格形式合同的计量</w:t>
      </w:r>
    </w:p>
    <w:p>
      <w:pPr>
        <w:spacing w:line="288" w:lineRule="auto"/>
        <w:ind w:firstLine="420"/>
        <w:jc w:val="left"/>
        <w:rPr>
          <w:rFonts w:cs="宋体"/>
          <w:color w:val="auto"/>
          <w:highlight w:val="none"/>
          <w:u w:val="single"/>
        </w:rPr>
      </w:pPr>
      <w:r>
        <w:rPr>
          <w:rFonts w:hint="eastAsia" w:cs="宋体"/>
          <w:color w:val="auto"/>
          <w:highlight w:val="none"/>
        </w:rPr>
        <w:t>其他价格形式的计量方式和程序：</w:t>
      </w:r>
      <w:r>
        <w:rPr>
          <w:rFonts w:hint="eastAsia" w:cs="宋体"/>
          <w:color w:val="auto"/>
          <w:highlight w:val="none"/>
          <w:u w:val="single"/>
        </w:rPr>
        <w:t xml:space="preserve"> /                      </w:t>
      </w:r>
      <w:r>
        <w:rPr>
          <w:rFonts w:hint="eastAsia" w:cs="宋体"/>
          <w:color w:val="auto"/>
          <w:highlight w:val="none"/>
        </w:rPr>
        <w:t>。</w:t>
      </w:r>
    </w:p>
    <w:p>
      <w:pPr>
        <w:spacing w:after="120" w:line="288" w:lineRule="auto"/>
        <w:ind w:firstLine="420"/>
        <w:rPr>
          <w:rFonts w:cs="宋体"/>
          <w:color w:val="auto"/>
          <w:highlight w:val="none"/>
        </w:rPr>
      </w:pPr>
      <w:r>
        <w:rPr>
          <w:rFonts w:hint="eastAsia" w:cs="宋体"/>
          <w:color w:val="auto"/>
          <w:highlight w:val="none"/>
        </w:rPr>
        <w:t>12.4 工程进度款支付</w:t>
      </w:r>
    </w:p>
    <w:p>
      <w:pPr>
        <w:spacing w:line="288" w:lineRule="auto"/>
        <w:ind w:firstLine="420"/>
        <w:jc w:val="left"/>
        <w:rPr>
          <w:rFonts w:cs="宋体"/>
          <w:color w:val="auto"/>
          <w:highlight w:val="none"/>
        </w:rPr>
      </w:pPr>
      <w:bookmarkStart w:id="997" w:name="_Toc296346712"/>
      <w:bookmarkStart w:id="998" w:name="_Toc292559921"/>
      <w:bookmarkStart w:id="999" w:name="_Toc303539163"/>
      <w:bookmarkStart w:id="1000" w:name="_Toc296503211"/>
      <w:bookmarkStart w:id="1001" w:name="_Toc300935006"/>
      <w:bookmarkStart w:id="1002" w:name="_Toc296891039"/>
      <w:bookmarkStart w:id="1003" w:name="_Toc297120511"/>
      <w:bookmarkStart w:id="1004" w:name="_Toc292559416"/>
      <w:bookmarkStart w:id="1005" w:name="_Toc296347210"/>
      <w:bookmarkStart w:id="1006" w:name="_Toc297123556"/>
      <w:bookmarkStart w:id="1007" w:name="_Toc296944550"/>
      <w:bookmarkStart w:id="1008" w:name="_Toc296891251"/>
      <w:bookmarkStart w:id="1009" w:name="_Toc297048397"/>
      <w:bookmarkStart w:id="1010" w:name="_Toc297216215"/>
      <w:r>
        <w:rPr>
          <w:rFonts w:hint="eastAsia" w:cs="宋体"/>
          <w:color w:val="auto"/>
          <w:highlight w:val="none"/>
        </w:rPr>
        <w:t>12.4.1 付款周期</w:t>
      </w:r>
    </w:p>
    <w:p>
      <w:pPr>
        <w:spacing w:line="288" w:lineRule="auto"/>
        <w:ind w:firstLine="420"/>
        <w:jc w:val="left"/>
        <w:rPr>
          <w:rFonts w:cs="宋体"/>
          <w:color w:val="auto"/>
          <w:highlight w:val="none"/>
        </w:rPr>
      </w:pPr>
      <w:r>
        <w:rPr>
          <w:rFonts w:hint="eastAsia" w:cs="宋体"/>
          <w:color w:val="auto"/>
          <w:highlight w:val="none"/>
        </w:rPr>
        <w:t>关于付款周期的约定：</w:t>
      </w:r>
    </w:p>
    <w:p>
      <w:pPr>
        <w:spacing w:line="288" w:lineRule="auto"/>
        <w:ind w:firstLine="422"/>
        <w:rPr>
          <w:rFonts w:cs="宋体"/>
          <w:b/>
          <w:bCs/>
          <w:color w:val="auto"/>
          <w:szCs w:val="21"/>
          <w:highlight w:val="none"/>
        </w:rPr>
      </w:pPr>
      <w:r>
        <w:rPr>
          <w:rFonts w:hint="eastAsia" w:cs="宋体"/>
          <w:b/>
          <w:bCs/>
          <w:color w:val="auto"/>
          <w:szCs w:val="21"/>
          <w:highlight w:val="none"/>
        </w:rPr>
        <w:t>6、付款方式</w:t>
      </w:r>
    </w:p>
    <w:p>
      <w:pPr>
        <w:spacing w:line="288" w:lineRule="auto"/>
        <w:ind w:firstLine="455" w:firstLineChars="216"/>
        <w:rPr>
          <w:rFonts w:cs="宋体"/>
          <w:b/>
          <w:bCs/>
          <w:color w:val="auto"/>
          <w:szCs w:val="21"/>
          <w:highlight w:val="none"/>
          <w:u w:val="single"/>
        </w:rPr>
      </w:pPr>
      <w:r>
        <w:rPr>
          <w:rFonts w:hint="eastAsia" w:cs="宋体"/>
          <w:b/>
          <w:bCs/>
          <w:color w:val="auto"/>
          <w:szCs w:val="21"/>
          <w:highlight w:val="none"/>
          <w:u w:val="single"/>
        </w:rPr>
        <w:t>（1）合同签订后7个工作日内,承包人支付合同总价5%的履约保证金给发包人，发包人收到履约保证金，工程量完成额达到50%时，发包人支付合同总价的50%；</w:t>
      </w:r>
    </w:p>
    <w:p>
      <w:pPr>
        <w:spacing w:line="288" w:lineRule="auto"/>
        <w:ind w:firstLine="455" w:firstLineChars="216"/>
        <w:rPr>
          <w:rFonts w:cs="宋体"/>
          <w:b/>
          <w:bCs/>
          <w:color w:val="auto"/>
          <w:szCs w:val="21"/>
          <w:highlight w:val="none"/>
          <w:u w:val="single"/>
        </w:rPr>
      </w:pPr>
      <w:r>
        <w:rPr>
          <w:rFonts w:hint="eastAsia" w:cs="宋体"/>
          <w:b/>
          <w:bCs/>
          <w:color w:val="auto"/>
          <w:szCs w:val="21"/>
          <w:highlight w:val="none"/>
          <w:u w:val="single"/>
        </w:rPr>
        <w:t>（2）工程竣工验收合格后7个工作日内，支付至合同总价的85%；</w:t>
      </w:r>
    </w:p>
    <w:p>
      <w:pPr>
        <w:spacing w:line="288" w:lineRule="auto"/>
        <w:ind w:firstLine="455" w:firstLineChars="216"/>
        <w:rPr>
          <w:rFonts w:cs="宋体"/>
          <w:b/>
          <w:bCs/>
          <w:color w:val="auto"/>
          <w:szCs w:val="21"/>
          <w:highlight w:val="none"/>
          <w:u w:val="single"/>
        </w:rPr>
      </w:pPr>
      <w:r>
        <w:rPr>
          <w:rFonts w:hint="eastAsia" w:cs="宋体"/>
          <w:b/>
          <w:bCs/>
          <w:color w:val="auto"/>
          <w:szCs w:val="21"/>
          <w:highlight w:val="none"/>
          <w:u w:val="single"/>
        </w:rPr>
        <w:t>（3）工程结算经审计通过后15天内付至审定价的100%；</w:t>
      </w:r>
    </w:p>
    <w:p>
      <w:pPr>
        <w:spacing w:line="288" w:lineRule="auto"/>
        <w:ind w:firstLine="455" w:firstLineChars="216"/>
        <w:rPr>
          <w:rFonts w:cs="宋体"/>
          <w:b/>
          <w:bCs/>
          <w:color w:val="auto"/>
          <w:szCs w:val="21"/>
          <w:highlight w:val="none"/>
          <w:u w:val="single"/>
        </w:rPr>
      </w:pPr>
      <w:r>
        <w:rPr>
          <w:rFonts w:hint="eastAsia" w:cs="宋体"/>
          <w:b/>
          <w:bCs/>
          <w:color w:val="auto"/>
          <w:szCs w:val="21"/>
          <w:highlight w:val="none"/>
          <w:u w:val="single"/>
        </w:rPr>
        <w:t>（4）审定价的2.5%作为质量保证金，从承包人缴纳的履约保证金中扣除，在2年保修期满后一次性结清（无息），剩余部分履约保证金在工程结算经审计通过后15天内退还承包人（无息）。</w:t>
      </w:r>
    </w:p>
    <w:p>
      <w:pPr>
        <w:spacing w:line="288" w:lineRule="auto"/>
        <w:ind w:firstLine="420"/>
        <w:rPr>
          <w:rFonts w:cs="宋体"/>
          <w:color w:val="auto"/>
          <w:szCs w:val="21"/>
          <w:highlight w:val="none"/>
        </w:rPr>
      </w:pPr>
      <w:r>
        <w:rPr>
          <w:rFonts w:hint="eastAsia" w:cs="宋体"/>
          <w:color w:val="auto"/>
          <w:szCs w:val="21"/>
          <w:highlight w:val="none"/>
        </w:rPr>
        <w:t>（5）承包人现场管理混乱，工程质量、进度、现场文明施工和安全生产达不到预定计划，发包人有权不支付或不全额支付工程款。</w:t>
      </w:r>
    </w:p>
    <w:p>
      <w:pPr>
        <w:spacing w:line="288" w:lineRule="auto"/>
        <w:ind w:firstLine="420"/>
        <w:rPr>
          <w:rFonts w:cs="宋体"/>
          <w:color w:val="auto"/>
          <w:szCs w:val="21"/>
          <w:highlight w:val="none"/>
        </w:rPr>
      </w:pPr>
      <w:r>
        <w:rPr>
          <w:rFonts w:hint="eastAsia" w:cs="宋体"/>
          <w:color w:val="auto"/>
          <w:szCs w:val="21"/>
          <w:highlight w:val="none"/>
        </w:rPr>
        <w:t>（6）上述各项费用的每笔款项支付前，承包人必须提供收款单位与本合同签订单位一致的正规、等额、合法、有效的发票。</w:t>
      </w:r>
    </w:p>
    <w:p>
      <w:pPr>
        <w:spacing w:line="288" w:lineRule="auto"/>
        <w:ind w:firstLine="420"/>
        <w:jc w:val="left"/>
        <w:rPr>
          <w:rFonts w:cs="宋体"/>
          <w:color w:val="auto"/>
          <w:highlight w:val="none"/>
        </w:rPr>
      </w:pPr>
      <w:r>
        <w:rPr>
          <w:rFonts w:hint="eastAsia" w:cs="宋体"/>
          <w:color w:val="auto"/>
          <w:highlight w:val="none"/>
        </w:rPr>
        <w:t>12.4.2 进度付款申请单的编制</w:t>
      </w:r>
    </w:p>
    <w:p>
      <w:pPr>
        <w:spacing w:line="288" w:lineRule="auto"/>
        <w:ind w:firstLine="420"/>
        <w:jc w:val="left"/>
        <w:rPr>
          <w:rFonts w:cs="宋体"/>
          <w:color w:val="auto"/>
          <w:highlight w:val="none"/>
          <w:u w:val="single"/>
        </w:rPr>
      </w:pPr>
      <w:r>
        <w:rPr>
          <w:rFonts w:hint="eastAsia" w:cs="宋体"/>
          <w:color w:val="auto"/>
          <w:highlight w:val="none"/>
        </w:rPr>
        <w:t>关于进度付款申请单编制的约定：</w:t>
      </w:r>
      <w:r>
        <w:rPr>
          <w:rFonts w:hint="eastAsia" w:cs="宋体"/>
          <w:color w:val="auto"/>
          <w:highlight w:val="none"/>
          <w:u w:val="single"/>
        </w:rPr>
        <w:t>按通用条款执行</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1</w:t>
      </w:r>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r>
        <w:rPr>
          <w:rFonts w:hint="eastAsia" w:cs="宋体"/>
          <w:color w:val="auto"/>
          <w:highlight w:val="none"/>
        </w:rPr>
        <w:t>2.4.3 进度付款申请单的提交</w:t>
      </w:r>
    </w:p>
    <w:p>
      <w:pPr>
        <w:spacing w:line="288" w:lineRule="auto"/>
        <w:ind w:firstLine="420"/>
        <w:jc w:val="left"/>
        <w:rPr>
          <w:rFonts w:cs="宋体"/>
          <w:color w:val="auto"/>
          <w:highlight w:val="none"/>
        </w:rPr>
      </w:pPr>
      <w:r>
        <w:rPr>
          <w:rFonts w:hint="eastAsia" w:cs="宋体"/>
          <w:color w:val="auto"/>
          <w:highlight w:val="none"/>
        </w:rPr>
        <w:t>（1）单价合同进度付款申请单提交的约定：</w:t>
      </w:r>
      <w:r>
        <w:rPr>
          <w:rFonts w:hint="eastAsia" w:cs="宋体"/>
          <w:color w:val="auto"/>
          <w:highlight w:val="none"/>
          <w:u w:val="single"/>
        </w:rPr>
        <w:t>按通用条款执行</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（2）总价合同进度付款申请单提交的约定：</w:t>
      </w:r>
      <w:r>
        <w:rPr>
          <w:rFonts w:hint="eastAsia" w:cs="宋体"/>
          <w:color w:val="auto"/>
          <w:highlight w:val="none"/>
          <w:u w:val="single"/>
        </w:rPr>
        <w:t xml:space="preserve"> /            </w:t>
      </w:r>
      <w:r>
        <w:rPr>
          <w:rFonts w:hint="eastAsia" w:cs="宋体"/>
          <w:color w:val="auto"/>
          <w:highlight w:val="none"/>
        </w:rPr>
        <w:t>。</w:t>
      </w:r>
    </w:p>
    <w:p>
      <w:pPr>
        <w:spacing w:line="288" w:lineRule="auto"/>
        <w:ind w:firstLine="420"/>
        <w:jc w:val="left"/>
        <w:rPr>
          <w:rFonts w:cs="宋体"/>
          <w:color w:val="auto"/>
          <w:highlight w:val="none"/>
          <w:u w:val="single"/>
        </w:rPr>
      </w:pPr>
      <w:r>
        <w:rPr>
          <w:rFonts w:hint="eastAsia" w:cs="宋体"/>
          <w:color w:val="auto"/>
          <w:highlight w:val="none"/>
        </w:rPr>
        <w:t>（3）其他价格形式合同进度付款申请单提交的约定：</w:t>
      </w:r>
      <w:r>
        <w:rPr>
          <w:rFonts w:hint="eastAsia" w:cs="宋体"/>
          <w:color w:val="auto"/>
          <w:highlight w:val="none"/>
          <w:u w:val="single"/>
        </w:rPr>
        <w:t xml:space="preserve"> /    </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12.4.4 进度款审核和支付</w:t>
      </w:r>
    </w:p>
    <w:p>
      <w:pPr>
        <w:spacing w:line="288" w:lineRule="auto"/>
        <w:ind w:firstLine="420"/>
        <w:jc w:val="left"/>
        <w:rPr>
          <w:rFonts w:cs="宋体"/>
          <w:color w:val="auto"/>
          <w:highlight w:val="none"/>
          <w:u w:val="single"/>
        </w:rPr>
      </w:pPr>
      <w:r>
        <w:rPr>
          <w:rFonts w:hint="eastAsia" w:cs="宋体"/>
          <w:color w:val="auto"/>
          <w:highlight w:val="none"/>
        </w:rPr>
        <w:t>（1）监理人审查并报送发包人的期限：</w:t>
      </w:r>
      <w:r>
        <w:rPr>
          <w:rFonts w:hint="eastAsia" w:cs="宋体"/>
          <w:color w:val="auto"/>
          <w:highlight w:val="none"/>
          <w:u w:val="single"/>
        </w:rPr>
        <w:t xml:space="preserve">按通用条款执行    </w:t>
      </w:r>
      <w:r>
        <w:rPr>
          <w:rFonts w:hint="eastAsia" w:cs="宋体"/>
          <w:color w:val="auto"/>
          <w:highlight w:val="none"/>
        </w:rPr>
        <w:t>。</w:t>
      </w:r>
    </w:p>
    <w:p>
      <w:pPr>
        <w:spacing w:line="288" w:lineRule="auto"/>
        <w:ind w:firstLine="420"/>
        <w:jc w:val="left"/>
        <w:rPr>
          <w:rFonts w:cs="宋体"/>
          <w:color w:val="auto"/>
          <w:highlight w:val="none"/>
          <w:u w:val="single"/>
        </w:rPr>
      </w:pPr>
      <w:r>
        <w:rPr>
          <w:rFonts w:hint="eastAsia" w:cs="宋体"/>
          <w:color w:val="auto"/>
          <w:highlight w:val="none"/>
        </w:rPr>
        <w:t>发包人完成审批并签发进度款支付证书的期限：</w:t>
      </w:r>
      <w:r>
        <w:rPr>
          <w:rFonts w:hint="eastAsia" w:cs="宋体"/>
          <w:color w:val="auto"/>
          <w:highlight w:val="none"/>
          <w:u w:val="single"/>
        </w:rPr>
        <w:t>按通用条款执行</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（2）发包人支付进度款的期限：</w:t>
      </w:r>
      <w:r>
        <w:rPr>
          <w:rFonts w:hint="eastAsia" w:cs="宋体"/>
          <w:color w:val="auto"/>
          <w:highlight w:val="none"/>
          <w:u w:val="single"/>
        </w:rPr>
        <w:t>在进度款支付证书或临时进度款支付证书签发后15天内完成支付</w:t>
      </w:r>
      <w:r>
        <w:rPr>
          <w:rFonts w:hint="eastAsia" w:cs="宋体"/>
          <w:color w:val="auto"/>
          <w:highlight w:val="none"/>
        </w:rPr>
        <w:t>。</w:t>
      </w:r>
    </w:p>
    <w:p>
      <w:pPr>
        <w:spacing w:line="288" w:lineRule="auto"/>
        <w:ind w:firstLine="525" w:firstLineChars="250"/>
        <w:jc w:val="left"/>
        <w:rPr>
          <w:rFonts w:cs="宋体"/>
          <w:color w:val="auto"/>
          <w:highlight w:val="none"/>
          <w:u w:val="single"/>
        </w:rPr>
      </w:pPr>
      <w:r>
        <w:rPr>
          <w:rFonts w:hint="eastAsia" w:cs="宋体"/>
          <w:color w:val="auto"/>
          <w:highlight w:val="none"/>
        </w:rPr>
        <w:t>发包人逾期支付进度款的违约金的计算方式：</w:t>
      </w:r>
      <w:r>
        <w:rPr>
          <w:rFonts w:hint="eastAsia" w:cs="宋体"/>
          <w:color w:val="auto"/>
          <w:highlight w:val="none"/>
          <w:u w:val="single"/>
        </w:rPr>
        <w:t>按通用条款执行</w:t>
      </w:r>
      <w:r>
        <w:rPr>
          <w:rFonts w:hint="eastAsia" w:cs="宋体"/>
          <w:color w:val="auto"/>
          <w:highlight w:val="none"/>
        </w:rPr>
        <w:t>。</w:t>
      </w:r>
    </w:p>
    <w:p>
      <w:pPr>
        <w:spacing w:line="288" w:lineRule="auto"/>
        <w:ind w:firstLine="525" w:firstLineChars="250"/>
        <w:jc w:val="left"/>
        <w:rPr>
          <w:rFonts w:cs="宋体"/>
          <w:color w:val="auto"/>
          <w:highlight w:val="none"/>
        </w:rPr>
      </w:pPr>
      <w:r>
        <w:rPr>
          <w:rFonts w:hint="eastAsia" w:cs="宋体"/>
          <w:color w:val="auto"/>
          <w:highlight w:val="none"/>
        </w:rPr>
        <w:t>12.4.6 支付分解表的编制</w:t>
      </w:r>
    </w:p>
    <w:p>
      <w:pPr>
        <w:spacing w:line="288" w:lineRule="auto"/>
        <w:ind w:firstLine="420"/>
        <w:jc w:val="left"/>
        <w:rPr>
          <w:rFonts w:cs="宋体"/>
          <w:color w:val="auto"/>
          <w:highlight w:val="none"/>
          <w:u w:val="single"/>
        </w:rPr>
      </w:pPr>
      <w:r>
        <w:rPr>
          <w:rFonts w:hint="eastAsia" w:cs="宋体"/>
          <w:color w:val="auto"/>
          <w:highlight w:val="none"/>
        </w:rPr>
        <w:t>2、总价合同支付分解表的编制与审批：</w:t>
      </w:r>
      <w:r>
        <w:rPr>
          <w:rFonts w:hint="eastAsia" w:cs="宋体"/>
          <w:color w:val="auto"/>
          <w:highlight w:val="none"/>
          <w:u w:val="single"/>
        </w:rPr>
        <w:t xml:space="preserve">  /             </w:t>
      </w:r>
      <w:r>
        <w:rPr>
          <w:rFonts w:hint="eastAsia" w:cs="宋体"/>
          <w:color w:val="auto"/>
          <w:highlight w:val="none"/>
        </w:rPr>
        <w:t>。</w:t>
      </w:r>
    </w:p>
    <w:p>
      <w:pPr>
        <w:spacing w:line="288" w:lineRule="auto"/>
        <w:ind w:firstLine="420"/>
        <w:jc w:val="left"/>
        <w:rPr>
          <w:rFonts w:cs="宋体"/>
          <w:color w:val="auto"/>
          <w:highlight w:val="none"/>
          <w:u w:val="single"/>
        </w:rPr>
      </w:pPr>
      <w:r>
        <w:rPr>
          <w:rFonts w:hint="eastAsia" w:cs="宋体"/>
          <w:color w:val="auto"/>
          <w:highlight w:val="none"/>
        </w:rPr>
        <w:t>3、单价合同的总价项目支付分解表的编制与审批：</w:t>
      </w:r>
      <w:r>
        <w:rPr>
          <w:rFonts w:hint="eastAsia" w:cs="宋体"/>
          <w:color w:val="auto"/>
          <w:highlight w:val="none"/>
          <w:u w:val="single"/>
        </w:rPr>
        <w:t>按通用条款执行</w:t>
      </w:r>
      <w:r>
        <w:rPr>
          <w:rFonts w:hint="eastAsia" w:cs="宋体"/>
          <w:color w:val="auto"/>
          <w:highlight w:val="none"/>
        </w:rPr>
        <w:t>。</w:t>
      </w:r>
    </w:p>
    <w:bookmarkEnd w:id="840"/>
    <w:p>
      <w:pPr>
        <w:keepNext/>
        <w:keepLines/>
        <w:spacing w:before="120" w:after="120" w:line="288" w:lineRule="auto"/>
        <w:ind w:firstLine="420"/>
        <w:outlineLvl w:val="3"/>
        <w:rPr>
          <w:rFonts w:cs="宋体"/>
          <w:bCs/>
          <w:color w:val="auto"/>
          <w:highlight w:val="none"/>
        </w:rPr>
      </w:pPr>
      <w:bookmarkStart w:id="1011" w:name="_Toc351203645"/>
      <w:bookmarkStart w:id="1012" w:name="_Toc304295593"/>
      <w:bookmarkStart w:id="1013" w:name="_Toc296891259"/>
      <w:bookmarkStart w:id="1014" w:name="_Toc297123564"/>
      <w:bookmarkStart w:id="1015" w:name="_Toc297048405"/>
      <w:bookmarkStart w:id="1016" w:name="_Toc296346720"/>
      <w:bookmarkStart w:id="1017" w:name="_Toc292559929"/>
      <w:bookmarkStart w:id="1018" w:name="_Toc296503219"/>
      <w:bookmarkStart w:id="1019" w:name="_Toc296347218"/>
      <w:bookmarkStart w:id="1020" w:name="_Toc296944558"/>
      <w:bookmarkStart w:id="1021" w:name="_Toc297216223"/>
      <w:bookmarkStart w:id="1022" w:name="_Toc296891047"/>
      <w:bookmarkStart w:id="1023" w:name="_Toc312678053"/>
      <w:bookmarkStart w:id="1024" w:name="_Toc300935015"/>
      <w:bookmarkStart w:id="1025" w:name="_Toc297120519"/>
      <w:bookmarkStart w:id="1026" w:name="_Toc292559424"/>
      <w:bookmarkStart w:id="1027" w:name="_Toc303539172"/>
      <w:r>
        <w:rPr>
          <w:rFonts w:hint="eastAsia" w:cs="宋体"/>
          <w:bCs/>
          <w:color w:val="auto"/>
          <w:highlight w:val="none"/>
        </w:rPr>
        <w:t>13. 验收和工程试车</w:t>
      </w:r>
      <w:bookmarkEnd w:id="1011"/>
    </w:p>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p>
      <w:pPr>
        <w:spacing w:after="120" w:line="288" w:lineRule="auto"/>
        <w:ind w:firstLine="420"/>
        <w:rPr>
          <w:rFonts w:cs="宋体"/>
          <w:color w:val="auto"/>
          <w:highlight w:val="none"/>
        </w:rPr>
      </w:pPr>
      <w:r>
        <w:rPr>
          <w:rFonts w:hint="eastAsia" w:cs="宋体"/>
          <w:color w:val="auto"/>
          <w:highlight w:val="none"/>
        </w:rPr>
        <w:t>13.1 分部分项工程验收</w:t>
      </w:r>
    </w:p>
    <w:p>
      <w:pPr>
        <w:spacing w:line="288" w:lineRule="auto"/>
        <w:ind w:firstLine="420"/>
        <w:jc w:val="left"/>
        <w:rPr>
          <w:rFonts w:cs="宋体"/>
          <w:color w:val="auto"/>
          <w:highlight w:val="none"/>
        </w:rPr>
      </w:pPr>
      <w:r>
        <w:rPr>
          <w:rFonts w:hint="eastAsia" w:cs="宋体"/>
          <w:color w:val="auto"/>
          <w:highlight w:val="none"/>
        </w:rPr>
        <w:t>13.1.2监理人不能按时进行验收时，应提前</w:t>
      </w:r>
      <w:r>
        <w:rPr>
          <w:rFonts w:hint="eastAsia" w:cs="宋体"/>
          <w:color w:val="auto"/>
          <w:highlight w:val="none"/>
          <w:u w:val="single"/>
        </w:rPr>
        <w:t xml:space="preserve"> 24 </w:t>
      </w:r>
      <w:r>
        <w:rPr>
          <w:rFonts w:hint="eastAsia" w:cs="宋体"/>
          <w:color w:val="auto"/>
          <w:highlight w:val="none"/>
        </w:rPr>
        <w:t>小时提交书面延期要求。</w:t>
      </w:r>
    </w:p>
    <w:p>
      <w:pPr>
        <w:spacing w:line="288" w:lineRule="auto"/>
        <w:ind w:firstLine="420"/>
        <w:jc w:val="left"/>
        <w:rPr>
          <w:rFonts w:cs="宋体"/>
          <w:b/>
          <w:color w:val="auto"/>
          <w:highlight w:val="none"/>
        </w:rPr>
      </w:pPr>
      <w:r>
        <w:rPr>
          <w:rFonts w:hint="eastAsia" w:cs="宋体"/>
          <w:color w:val="auto"/>
          <w:highlight w:val="none"/>
        </w:rPr>
        <w:t>关于延期最长不得超过：</w:t>
      </w:r>
      <w:r>
        <w:rPr>
          <w:rFonts w:hint="eastAsia" w:cs="宋体"/>
          <w:color w:val="auto"/>
          <w:highlight w:val="none"/>
          <w:u w:val="single"/>
        </w:rPr>
        <w:t xml:space="preserve">  48 </w:t>
      </w:r>
      <w:r>
        <w:rPr>
          <w:rFonts w:hint="eastAsia" w:cs="宋体"/>
          <w:color w:val="auto"/>
          <w:highlight w:val="none"/>
        </w:rPr>
        <w:t>小时。</w:t>
      </w:r>
    </w:p>
    <w:p>
      <w:pPr>
        <w:spacing w:after="120" w:line="288" w:lineRule="auto"/>
        <w:ind w:firstLine="420"/>
        <w:rPr>
          <w:rFonts w:cs="宋体"/>
          <w:color w:val="auto"/>
          <w:highlight w:val="none"/>
        </w:rPr>
      </w:pPr>
      <w:bookmarkStart w:id="1028" w:name="_Toc296347222"/>
      <w:bookmarkStart w:id="1029" w:name="_Toc296891051"/>
      <w:bookmarkStart w:id="1030" w:name="_Toc300935016"/>
      <w:bookmarkStart w:id="1031" w:name="_Toc292559428"/>
      <w:bookmarkStart w:id="1032" w:name="_Toc312678056"/>
      <w:bookmarkStart w:id="1033" w:name="_Toc296346724"/>
      <w:bookmarkStart w:id="1034" w:name="_Toc296503223"/>
      <w:bookmarkStart w:id="1035" w:name="_Toc297048409"/>
      <w:bookmarkStart w:id="1036" w:name="_Toc296891263"/>
      <w:bookmarkStart w:id="1037" w:name="_Toc297216224"/>
      <w:bookmarkStart w:id="1038" w:name="_Toc303539173"/>
      <w:bookmarkStart w:id="1039" w:name="_Toc297123565"/>
      <w:bookmarkStart w:id="1040" w:name="_Toc304295596"/>
      <w:bookmarkStart w:id="1041" w:name="_Toc296944562"/>
      <w:bookmarkStart w:id="1042" w:name="_Toc297120523"/>
      <w:bookmarkStart w:id="1043" w:name="_Toc292559933"/>
      <w:bookmarkStart w:id="1044" w:name="_Toc267251476"/>
      <w:bookmarkStart w:id="1045" w:name="_Toc267251473"/>
      <w:bookmarkStart w:id="1046" w:name="_Toc267251472"/>
      <w:bookmarkStart w:id="1047" w:name="_Toc267251470"/>
      <w:bookmarkStart w:id="1048" w:name="_Toc267251471"/>
      <w:bookmarkStart w:id="1049" w:name="_Toc267251474"/>
      <w:bookmarkStart w:id="1050" w:name="_Toc267251475"/>
      <w:r>
        <w:rPr>
          <w:rFonts w:hint="eastAsia" w:cs="宋体"/>
          <w:color w:val="auto"/>
          <w:highlight w:val="none"/>
        </w:rPr>
        <w:t>13.2 竣工验收</w:t>
      </w:r>
    </w:p>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p>
      <w:pPr>
        <w:spacing w:line="288" w:lineRule="auto"/>
        <w:ind w:firstLine="420"/>
        <w:jc w:val="left"/>
        <w:rPr>
          <w:rFonts w:cs="宋体"/>
          <w:color w:val="auto"/>
          <w:highlight w:val="none"/>
        </w:rPr>
      </w:pPr>
      <w:bookmarkStart w:id="1051" w:name="_Toc280868704"/>
      <w:bookmarkStart w:id="1052" w:name="_Toc280868705"/>
      <w:bookmarkStart w:id="1053" w:name="_Toc280868706"/>
      <w:bookmarkStart w:id="1054" w:name="_Toc280868707"/>
      <w:bookmarkStart w:id="1055" w:name="_Toc280868708"/>
      <w:bookmarkStart w:id="1056" w:name="_Toc280868709"/>
      <w:r>
        <w:rPr>
          <w:rFonts w:hint="eastAsia" w:cs="宋体"/>
          <w:color w:val="auto"/>
          <w:highlight w:val="none"/>
        </w:rPr>
        <w:t>13.2.2竣工验收程序</w:t>
      </w:r>
    </w:p>
    <w:bookmarkEnd w:id="1051"/>
    <w:p>
      <w:pPr>
        <w:spacing w:line="288" w:lineRule="auto"/>
        <w:ind w:firstLine="420"/>
        <w:jc w:val="left"/>
        <w:rPr>
          <w:rFonts w:cs="宋体"/>
          <w:color w:val="auto"/>
          <w:highlight w:val="none"/>
          <w:u w:val="single"/>
        </w:rPr>
      </w:pPr>
      <w:r>
        <w:rPr>
          <w:rFonts w:hint="eastAsia" w:cs="宋体"/>
          <w:color w:val="auto"/>
          <w:kern w:val="0"/>
          <w:highlight w:val="none"/>
        </w:rPr>
        <w:t>关于竣工验收程序的约定：</w:t>
      </w:r>
      <w:r>
        <w:rPr>
          <w:rFonts w:hint="eastAsia" w:cs="宋体"/>
          <w:color w:val="auto"/>
          <w:highlight w:val="none"/>
          <w:u w:val="single"/>
        </w:rPr>
        <w:t xml:space="preserve">按通用条款执行          </w:t>
      </w:r>
      <w:r>
        <w:rPr>
          <w:rFonts w:hint="eastAsia" w:cs="宋体"/>
          <w:color w:val="auto"/>
          <w:highlight w:val="none"/>
        </w:rPr>
        <w:t>。</w:t>
      </w:r>
    </w:p>
    <w:p>
      <w:pPr>
        <w:spacing w:line="288" w:lineRule="auto"/>
        <w:ind w:firstLine="420"/>
        <w:jc w:val="left"/>
        <w:rPr>
          <w:rFonts w:cs="宋体"/>
          <w:color w:val="auto"/>
          <w:highlight w:val="none"/>
          <w:u w:val="single"/>
        </w:rPr>
      </w:pPr>
      <w:r>
        <w:rPr>
          <w:rFonts w:hint="eastAsia" w:cs="宋体"/>
          <w:color w:val="auto"/>
          <w:kern w:val="0"/>
          <w:highlight w:val="none"/>
        </w:rPr>
        <w:t>发包人不按照本项约定组织竣工验收、颁发工程接收证书的违约金的计算方法：</w:t>
      </w:r>
      <w:r>
        <w:rPr>
          <w:rFonts w:hint="eastAsia" w:cs="宋体"/>
          <w:color w:val="auto"/>
          <w:highlight w:val="none"/>
          <w:u w:val="single"/>
        </w:rPr>
        <w:t xml:space="preserve">按通用条款执行                     </w:t>
      </w:r>
      <w:r>
        <w:rPr>
          <w:rFonts w:hint="eastAsia" w:cs="宋体"/>
          <w:color w:val="auto"/>
          <w:highlight w:val="none"/>
        </w:rPr>
        <w:t>。</w:t>
      </w:r>
    </w:p>
    <w:bookmarkEnd w:id="1052"/>
    <w:p>
      <w:pPr>
        <w:spacing w:line="288" w:lineRule="auto"/>
        <w:ind w:firstLine="420"/>
        <w:jc w:val="left"/>
        <w:rPr>
          <w:rFonts w:cs="宋体"/>
          <w:color w:val="auto"/>
          <w:highlight w:val="none"/>
        </w:rPr>
      </w:pPr>
      <w:r>
        <w:rPr>
          <w:rFonts w:hint="eastAsia" w:cs="宋体"/>
          <w:color w:val="auto"/>
          <w:highlight w:val="none"/>
        </w:rPr>
        <w:t>13.2.5移交、接收全部与部分工程</w:t>
      </w:r>
    </w:p>
    <w:bookmarkEnd w:id="1053"/>
    <w:p>
      <w:pPr>
        <w:spacing w:line="288" w:lineRule="auto"/>
        <w:ind w:firstLine="420"/>
        <w:jc w:val="left"/>
        <w:rPr>
          <w:rFonts w:cs="宋体"/>
          <w:color w:val="auto"/>
          <w:kern w:val="0"/>
          <w:highlight w:val="none"/>
        </w:rPr>
      </w:pPr>
      <w:r>
        <w:rPr>
          <w:rFonts w:hint="eastAsia" w:cs="宋体"/>
          <w:color w:val="auto"/>
          <w:kern w:val="0"/>
          <w:highlight w:val="none"/>
        </w:rPr>
        <w:t>承包人向发包人移交工程的期限：</w:t>
      </w:r>
      <w:r>
        <w:rPr>
          <w:rFonts w:hint="eastAsia" w:cs="宋体"/>
          <w:color w:val="auto"/>
          <w:highlight w:val="none"/>
          <w:u w:val="single"/>
        </w:rPr>
        <w:t xml:space="preserve">按通用条款执行    </w:t>
      </w:r>
      <w:r>
        <w:rPr>
          <w:rFonts w:hint="eastAsia" w:cs="宋体"/>
          <w:color w:val="auto"/>
          <w:highlight w:val="none"/>
        </w:rPr>
        <w:t>。</w:t>
      </w:r>
    </w:p>
    <w:p>
      <w:pPr>
        <w:spacing w:line="288" w:lineRule="auto"/>
        <w:ind w:firstLine="420"/>
        <w:jc w:val="left"/>
        <w:rPr>
          <w:rFonts w:cs="宋体"/>
          <w:color w:val="auto"/>
          <w:highlight w:val="none"/>
          <w:u w:val="single"/>
        </w:rPr>
      </w:pPr>
      <w:r>
        <w:rPr>
          <w:rFonts w:hint="eastAsia" w:cs="宋体"/>
          <w:color w:val="auto"/>
          <w:kern w:val="0"/>
          <w:highlight w:val="none"/>
        </w:rPr>
        <w:t>发包人未按本合同约定接收全部或部分工程的，违约金的计算方法为：</w:t>
      </w:r>
      <w:r>
        <w:rPr>
          <w:rFonts w:hint="eastAsia" w:cs="宋体"/>
          <w:color w:val="auto"/>
          <w:highlight w:val="none"/>
          <w:u w:val="single"/>
        </w:rPr>
        <w:t xml:space="preserve">   /   </w:t>
      </w:r>
      <w:r>
        <w:rPr>
          <w:rFonts w:hint="eastAsia" w:cs="宋体"/>
          <w:color w:val="auto"/>
          <w:highlight w:val="none"/>
        </w:rPr>
        <w:t>。</w:t>
      </w:r>
    </w:p>
    <w:bookmarkEnd w:id="1054"/>
    <w:p>
      <w:pPr>
        <w:spacing w:line="288" w:lineRule="auto"/>
        <w:ind w:firstLine="420"/>
        <w:jc w:val="left"/>
        <w:rPr>
          <w:rFonts w:cs="宋体"/>
          <w:color w:val="auto"/>
          <w:highlight w:val="none"/>
          <w:u w:val="single"/>
        </w:rPr>
      </w:pPr>
      <w:r>
        <w:rPr>
          <w:rFonts w:hint="eastAsia" w:cs="宋体"/>
          <w:color w:val="auto"/>
          <w:highlight w:val="none"/>
        </w:rPr>
        <w:t>承包人未按时移交工程的，违约金的计算方法为：</w:t>
      </w:r>
      <w:r>
        <w:rPr>
          <w:rFonts w:hint="eastAsia" w:cs="宋体"/>
          <w:color w:val="auto"/>
          <w:highlight w:val="none"/>
          <w:u w:val="single"/>
        </w:rPr>
        <w:t>工程竣工验收通过后 3日内，承包人须向发包人移交全部工程，逾期移交的，每逾期一日，按人民币5000元/天向发包人支付违约金，因逾期交付工程给发包人造成经济损失的，赔偿损失。同时，承包人移交所有工程之前，发包人有权拒绝结算、支付工程款</w:t>
      </w:r>
      <w:r>
        <w:rPr>
          <w:rFonts w:hint="eastAsia" w:cs="宋体"/>
          <w:color w:val="auto"/>
          <w:highlight w:val="none"/>
        </w:rPr>
        <w:t>。</w:t>
      </w:r>
    </w:p>
    <w:p>
      <w:pPr>
        <w:spacing w:after="120" w:line="288" w:lineRule="auto"/>
        <w:ind w:firstLine="420"/>
        <w:rPr>
          <w:rFonts w:cs="宋体"/>
          <w:color w:val="auto"/>
          <w:highlight w:val="none"/>
        </w:rPr>
      </w:pPr>
      <w:r>
        <w:rPr>
          <w:rFonts w:hint="eastAsia" w:cs="宋体"/>
          <w:color w:val="auto"/>
          <w:highlight w:val="none"/>
        </w:rPr>
        <w:t>13.3 工程试车</w:t>
      </w:r>
    </w:p>
    <w:bookmarkEnd w:id="1055"/>
    <w:p>
      <w:pPr>
        <w:spacing w:line="288" w:lineRule="auto"/>
        <w:ind w:firstLine="420"/>
        <w:jc w:val="left"/>
        <w:rPr>
          <w:rFonts w:cs="宋体"/>
          <w:color w:val="auto"/>
          <w:kern w:val="0"/>
          <w:highlight w:val="none"/>
        </w:rPr>
      </w:pPr>
      <w:r>
        <w:rPr>
          <w:rFonts w:hint="eastAsia" w:cs="宋体"/>
          <w:color w:val="auto"/>
          <w:kern w:val="0"/>
          <w:highlight w:val="none"/>
        </w:rPr>
        <w:t>13.3.1 试车程序</w:t>
      </w:r>
    </w:p>
    <w:p>
      <w:pPr>
        <w:spacing w:line="288" w:lineRule="auto"/>
        <w:ind w:firstLine="420"/>
        <w:jc w:val="left"/>
        <w:rPr>
          <w:rFonts w:cs="宋体"/>
          <w:color w:val="auto"/>
          <w:highlight w:val="none"/>
          <w:u w:val="single"/>
        </w:rPr>
      </w:pPr>
      <w:r>
        <w:rPr>
          <w:rFonts w:hint="eastAsia" w:cs="宋体"/>
          <w:color w:val="auto"/>
          <w:kern w:val="0"/>
          <w:highlight w:val="none"/>
        </w:rPr>
        <w:t>工程试车内容：</w:t>
      </w:r>
      <w:r>
        <w:rPr>
          <w:rFonts w:hint="eastAsia" w:cs="宋体"/>
          <w:color w:val="auto"/>
          <w:highlight w:val="none"/>
          <w:u w:val="single"/>
        </w:rPr>
        <w:t>试车内容应与承包人承包范围相一致，试车费用由承包人承担</w:t>
      </w:r>
      <w:r>
        <w:rPr>
          <w:rFonts w:hint="eastAsia" w:cs="宋体"/>
          <w:color w:val="auto"/>
          <w:highlight w:val="none"/>
        </w:rPr>
        <w:t>。</w:t>
      </w:r>
    </w:p>
    <w:p>
      <w:pPr>
        <w:spacing w:line="288" w:lineRule="auto"/>
        <w:ind w:firstLine="420"/>
        <w:jc w:val="left"/>
        <w:rPr>
          <w:rFonts w:cs="宋体"/>
          <w:color w:val="auto"/>
          <w:kern w:val="0"/>
          <w:highlight w:val="none"/>
        </w:rPr>
      </w:pPr>
      <w:r>
        <w:rPr>
          <w:rFonts w:hint="eastAsia" w:cs="宋体"/>
          <w:color w:val="auto"/>
          <w:kern w:val="0"/>
          <w:highlight w:val="none"/>
        </w:rPr>
        <w:t>（1）单机无负荷试车费用由</w:t>
      </w:r>
      <w:r>
        <w:rPr>
          <w:rFonts w:hint="eastAsia" w:cs="宋体"/>
          <w:color w:val="auto"/>
          <w:highlight w:val="none"/>
          <w:u w:val="single"/>
        </w:rPr>
        <w:t xml:space="preserve">  承包人                </w:t>
      </w:r>
      <w:r>
        <w:rPr>
          <w:rFonts w:hint="eastAsia" w:cs="宋体"/>
          <w:color w:val="auto"/>
          <w:kern w:val="0"/>
          <w:highlight w:val="none"/>
        </w:rPr>
        <w:t>承担；</w:t>
      </w:r>
    </w:p>
    <w:p>
      <w:pPr>
        <w:spacing w:line="288" w:lineRule="auto"/>
        <w:ind w:firstLine="420"/>
        <w:jc w:val="left"/>
        <w:rPr>
          <w:rFonts w:cs="宋体"/>
          <w:color w:val="auto"/>
          <w:kern w:val="0"/>
          <w:highlight w:val="none"/>
        </w:rPr>
      </w:pPr>
      <w:r>
        <w:rPr>
          <w:rFonts w:hint="eastAsia" w:cs="宋体"/>
          <w:color w:val="auto"/>
          <w:kern w:val="0"/>
          <w:highlight w:val="none"/>
        </w:rPr>
        <w:t>（2）无负荷联动试车费用由</w:t>
      </w:r>
      <w:r>
        <w:rPr>
          <w:rFonts w:hint="eastAsia" w:cs="宋体"/>
          <w:color w:val="auto"/>
          <w:highlight w:val="none"/>
          <w:u w:val="single"/>
        </w:rPr>
        <w:t xml:space="preserve">  承包人                </w:t>
      </w:r>
      <w:r>
        <w:rPr>
          <w:rFonts w:hint="eastAsia" w:cs="宋体"/>
          <w:color w:val="auto"/>
          <w:kern w:val="0"/>
          <w:highlight w:val="none"/>
        </w:rPr>
        <w:t>承担。</w:t>
      </w:r>
    </w:p>
    <w:p>
      <w:pPr>
        <w:spacing w:line="288" w:lineRule="auto"/>
        <w:ind w:firstLine="420"/>
        <w:jc w:val="left"/>
        <w:rPr>
          <w:rFonts w:cs="宋体"/>
          <w:color w:val="auto"/>
          <w:kern w:val="0"/>
          <w:highlight w:val="none"/>
        </w:rPr>
      </w:pPr>
      <w:r>
        <w:rPr>
          <w:rFonts w:hint="eastAsia" w:cs="宋体"/>
          <w:color w:val="auto"/>
          <w:kern w:val="0"/>
          <w:highlight w:val="none"/>
        </w:rPr>
        <w:t>13.3.3 投料试车</w:t>
      </w:r>
    </w:p>
    <w:p>
      <w:pPr>
        <w:spacing w:line="288" w:lineRule="auto"/>
        <w:ind w:firstLine="420"/>
        <w:jc w:val="left"/>
        <w:rPr>
          <w:rFonts w:cs="宋体"/>
          <w:color w:val="auto"/>
          <w:highlight w:val="none"/>
          <w:u w:val="single"/>
        </w:rPr>
      </w:pPr>
      <w:r>
        <w:rPr>
          <w:rFonts w:hint="eastAsia" w:cs="宋体"/>
          <w:color w:val="auto"/>
          <w:kern w:val="0"/>
          <w:highlight w:val="none"/>
        </w:rPr>
        <w:t>关于投料试车相关事项的约定：</w:t>
      </w:r>
      <w:r>
        <w:rPr>
          <w:rFonts w:hint="eastAsia" w:cs="宋体"/>
          <w:color w:val="auto"/>
          <w:highlight w:val="none"/>
          <w:u w:val="single"/>
        </w:rPr>
        <w:t xml:space="preserve">按通用条款执行         </w:t>
      </w:r>
      <w:r>
        <w:rPr>
          <w:rFonts w:hint="eastAsia" w:cs="宋体"/>
          <w:color w:val="auto"/>
          <w:highlight w:val="none"/>
        </w:rPr>
        <w:t>。</w:t>
      </w:r>
    </w:p>
    <w:p>
      <w:pPr>
        <w:spacing w:after="120" w:line="288" w:lineRule="auto"/>
        <w:ind w:firstLine="420"/>
        <w:rPr>
          <w:rFonts w:cs="宋体"/>
          <w:color w:val="auto"/>
          <w:highlight w:val="none"/>
        </w:rPr>
      </w:pPr>
      <w:r>
        <w:rPr>
          <w:rFonts w:hint="eastAsia" w:cs="宋体"/>
          <w:color w:val="auto"/>
          <w:highlight w:val="none"/>
        </w:rPr>
        <w:t>13.6 竣工退场</w:t>
      </w:r>
    </w:p>
    <w:p>
      <w:pPr>
        <w:spacing w:line="288" w:lineRule="auto"/>
        <w:ind w:firstLine="420"/>
        <w:jc w:val="left"/>
        <w:rPr>
          <w:rFonts w:cs="宋体"/>
          <w:color w:val="auto"/>
          <w:kern w:val="0"/>
          <w:highlight w:val="none"/>
        </w:rPr>
      </w:pPr>
      <w:r>
        <w:rPr>
          <w:rFonts w:hint="eastAsia" w:cs="宋体"/>
          <w:color w:val="auto"/>
          <w:kern w:val="0"/>
          <w:highlight w:val="none"/>
        </w:rPr>
        <w:t>13.6.1 竣工退场</w:t>
      </w:r>
    </w:p>
    <w:p>
      <w:pPr>
        <w:spacing w:line="288" w:lineRule="auto"/>
        <w:ind w:firstLine="420"/>
        <w:jc w:val="left"/>
        <w:rPr>
          <w:rFonts w:cs="宋体"/>
          <w:color w:val="auto"/>
          <w:kern w:val="0"/>
          <w:highlight w:val="none"/>
        </w:rPr>
      </w:pPr>
      <w:r>
        <w:rPr>
          <w:rFonts w:hint="eastAsia" w:cs="宋体"/>
          <w:color w:val="auto"/>
          <w:kern w:val="0"/>
          <w:highlight w:val="none"/>
        </w:rPr>
        <w:t>承包人完成竣工退场的期限：</w:t>
      </w:r>
      <w:r>
        <w:rPr>
          <w:rFonts w:hint="eastAsia" w:cs="宋体"/>
          <w:color w:val="auto"/>
          <w:highlight w:val="none"/>
          <w:u w:val="single"/>
        </w:rPr>
        <w:t xml:space="preserve">颁发工程接收证书后7天   </w:t>
      </w:r>
      <w:r>
        <w:rPr>
          <w:rFonts w:hint="eastAsia" w:cs="宋体"/>
          <w:color w:val="auto"/>
          <w:kern w:val="0"/>
          <w:highlight w:val="none"/>
        </w:rPr>
        <w:t>。</w:t>
      </w:r>
    </w:p>
    <w:p>
      <w:pPr>
        <w:keepNext/>
        <w:keepLines/>
        <w:spacing w:before="120" w:after="120" w:line="288" w:lineRule="auto"/>
        <w:ind w:firstLine="420"/>
        <w:outlineLvl w:val="3"/>
        <w:rPr>
          <w:rFonts w:cs="宋体"/>
          <w:bCs/>
          <w:color w:val="auto"/>
          <w:highlight w:val="none"/>
        </w:rPr>
      </w:pPr>
      <w:bookmarkStart w:id="1057" w:name="_Toc351203646"/>
      <w:r>
        <w:rPr>
          <w:rFonts w:hint="eastAsia" w:cs="宋体"/>
          <w:bCs/>
          <w:color w:val="auto"/>
          <w:highlight w:val="none"/>
        </w:rPr>
        <w:t>14. 竣工结算</w:t>
      </w:r>
      <w:bookmarkEnd w:id="1057"/>
    </w:p>
    <w:p>
      <w:pPr>
        <w:spacing w:after="120" w:line="288" w:lineRule="auto"/>
        <w:ind w:firstLine="420"/>
        <w:rPr>
          <w:rFonts w:cs="宋体"/>
          <w:color w:val="auto"/>
          <w:highlight w:val="none"/>
        </w:rPr>
      </w:pPr>
      <w:r>
        <w:rPr>
          <w:rFonts w:hint="eastAsia" w:cs="宋体"/>
          <w:color w:val="auto"/>
          <w:highlight w:val="none"/>
        </w:rPr>
        <w:t>14.1 竣工付款申请</w:t>
      </w:r>
    </w:p>
    <w:p>
      <w:pPr>
        <w:widowControl/>
        <w:adjustRightInd w:val="0"/>
        <w:snapToGrid w:val="0"/>
        <w:spacing w:line="288" w:lineRule="auto"/>
        <w:ind w:firstLine="420"/>
        <w:rPr>
          <w:rFonts w:cs="宋体"/>
          <w:color w:val="auto"/>
          <w:highlight w:val="none"/>
        </w:rPr>
      </w:pPr>
      <w:r>
        <w:rPr>
          <w:rFonts w:hint="eastAsia" w:cs="宋体"/>
          <w:color w:val="auto"/>
          <w:highlight w:val="none"/>
        </w:rPr>
        <w:t>承包人提交竣工结算申请单的期限：</w:t>
      </w:r>
      <w:r>
        <w:rPr>
          <w:rFonts w:hint="eastAsia" w:cs="宋体"/>
          <w:b/>
          <w:bCs/>
          <w:color w:val="auto"/>
          <w:highlight w:val="none"/>
          <w:u w:val="single"/>
        </w:rPr>
        <w:t>在工程竣工验收合格后28天内</w:t>
      </w:r>
      <w:r>
        <w:rPr>
          <w:rFonts w:hint="eastAsia" w:cs="宋体"/>
          <w:color w:val="auto"/>
          <w:highlight w:val="none"/>
        </w:rPr>
        <w:t>。</w:t>
      </w:r>
    </w:p>
    <w:p>
      <w:pPr>
        <w:widowControl/>
        <w:adjustRightInd w:val="0"/>
        <w:snapToGrid w:val="0"/>
        <w:spacing w:line="288" w:lineRule="auto"/>
        <w:ind w:firstLine="420"/>
        <w:rPr>
          <w:rFonts w:cs="宋体"/>
          <w:color w:val="auto"/>
          <w:highlight w:val="none"/>
        </w:rPr>
      </w:pPr>
      <w:r>
        <w:rPr>
          <w:rFonts w:hint="eastAsia" w:cs="宋体"/>
          <w:color w:val="auto"/>
          <w:highlight w:val="none"/>
        </w:rPr>
        <w:t>竣工结算申请单应包括的内容：</w:t>
      </w:r>
    </w:p>
    <w:p>
      <w:pPr>
        <w:widowControl/>
        <w:adjustRightInd w:val="0"/>
        <w:snapToGrid w:val="0"/>
        <w:spacing w:line="288" w:lineRule="auto"/>
        <w:ind w:firstLine="422"/>
        <w:rPr>
          <w:rFonts w:cs="宋体"/>
          <w:b/>
          <w:bCs/>
          <w:color w:val="auto"/>
          <w:highlight w:val="none"/>
          <w:u w:val="single"/>
        </w:rPr>
      </w:pPr>
      <w:r>
        <w:rPr>
          <w:rFonts w:hint="eastAsia" w:cs="宋体"/>
          <w:b/>
          <w:bCs/>
          <w:color w:val="auto"/>
          <w:highlight w:val="none"/>
          <w:u w:val="single"/>
        </w:rPr>
        <w:t>（1）竣工结算合同价格；</w:t>
      </w:r>
    </w:p>
    <w:p>
      <w:pPr>
        <w:widowControl/>
        <w:adjustRightInd w:val="0"/>
        <w:snapToGrid w:val="0"/>
        <w:spacing w:line="288" w:lineRule="auto"/>
        <w:ind w:firstLine="422"/>
        <w:rPr>
          <w:rFonts w:cs="宋体"/>
          <w:b/>
          <w:bCs/>
          <w:color w:val="auto"/>
          <w:highlight w:val="none"/>
          <w:u w:val="single"/>
        </w:rPr>
      </w:pPr>
      <w:r>
        <w:rPr>
          <w:rFonts w:hint="eastAsia" w:cs="宋体"/>
          <w:b/>
          <w:bCs/>
          <w:color w:val="auto"/>
          <w:highlight w:val="none"/>
          <w:u w:val="single"/>
        </w:rPr>
        <w:t>（2）发包人已支付承包人的款项；</w:t>
      </w:r>
    </w:p>
    <w:p>
      <w:pPr>
        <w:widowControl/>
        <w:adjustRightInd w:val="0"/>
        <w:snapToGrid w:val="0"/>
        <w:spacing w:line="288" w:lineRule="auto"/>
        <w:ind w:firstLine="422"/>
        <w:rPr>
          <w:rFonts w:cs="宋体"/>
          <w:b/>
          <w:bCs/>
          <w:color w:val="auto"/>
          <w:highlight w:val="none"/>
          <w:u w:val="single"/>
        </w:rPr>
      </w:pPr>
      <w:r>
        <w:rPr>
          <w:rFonts w:hint="eastAsia" w:cs="宋体"/>
          <w:b/>
          <w:bCs/>
          <w:color w:val="auto"/>
          <w:highlight w:val="none"/>
          <w:u w:val="single"/>
        </w:rPr>
        <w:t xml:space="preserve">（3）应扣留的质量保证金等； </w:t>
      </w:r>
    </w:p>
    <w:p>
      <w:pPr>
        <w:widowControl/>
        <w:adjustRightInd w:val="0"/>
        <w:snapToGrid w:val="0"/>
        <w:spacing w:line="288" w:lineRule="auto"/>
        <w:ind w:firstLine="422"/>
        <w:rPr>
          <w:rFonts w:cs="宋体"/>
          <w:color w:val="auto"/>
          <w:highlight w:val="none"/>
          <w:u w:val="single"/>
        </w:rPr>
      </w:pPr>
      <w:r>
        <w:rPr>
          <w:rFonts w:hint="eastAsia" w:cs="宋体"/>
          <w:b/>
          <w:bCs/>
          <w:color w:val="auto"/>
          <w:highlight w:val="none"/>
          <w:u w:val="single"/>
        </w:rPr>
        <w:t>（4）发包人应支付承包人的合同价款。</w:t>
      </w:r>
    </w:p>
    <w:p>
      <w:pPr>
        <w:widowControl/>
        <w:adjustRightInd w:val="0"/>
        <w:snapToGrid w:val="0"/>
        <w:spacing w:line="288" w:lineRule="auto"/>
        <w:ind w:firstLine="422"/>
        <w:rPr>
          <w:rFonts w:cs="宋体"/>
          <w:color w:val="auto"/>
          <w:highlight w:val="none"/>
        </w:rPr>
      </w:pPr>
      <w:r>
        <w:rPr>
          <w:rFonts w:hint="eastAsia" w:cs="宋体"/>
          <w:b/>
          <w:bCs/>
          <w:color w:val="auto"/>
          <w:highlight w:val="none"/>
          <w:u w:val="single"/>
        </w:rPr>
        <w:t>（5）本工程结算造价以审计部门的最终审计结果为准，发包人根据国家造价管理的有关规定以及审计部门审定的价款进行结算，与承包人办理最终价款结算手续。发包人、审计部门应在竣工验收合格、承包人提供完整结算资料以及具备其它结算条件后及时按有关规定核实承包人递交的结算报告及结算资料，但并不受通用条款所述的时间约束。结算审核费用按发包人与结算审核单位的合同约定支付，其中核增额和超过5%以外的核减额的审计费用由承包人按浙价服[2009]84号文件规定的收费标准支付。</w:t>
      </w:r>
    </w:p>
    <w:p>
      <w:pPr>
        <w:spacing w:after="120" w:line="288" w:lineRule="auto"/>
        <w:ind w:firstLine="420"/>
        <w:rPr>
          <w:rFonts w:cs="宋体"/>
          <w:color w:val="auto"/>
          <w:highlight w:val="none"/>
        </w:rPr>
      </w:pPr>
      <w:r>
        <w:rPr>
          <w:rFonts w:hint="eastAsia" w:cs="宋体"/>
          <w:color w:val="auto"/>
          <w:highlight w:val="none"/>
        </w:rPr>
        <w:t>14.2 竣工结算审核</w:t>
      </w:r>
    </w:p>
    <w:p>
      <w:pPr>
        <w:spacing w:line="288" w:lineRule="auto"/>
        <w:ind w:firstLine="420"/>
        <w:jc w:val="left"/>
        <w:rPr>
          <w:rFonts w:cs="宋体"/>
          <w:color w:val="auto"/>
          <w:highlight w:val="none"/>
        </w:rPr>
      </w:pPr>
      <w:r>
        <w:rPr>
          <w:rFonts w:hint="eastAsia" w:cs="宋体"/>
          <w:color w:val="auto"/>
          <w:highlight w:val="none"/>
        </w:rPr>
        <w:t>发包人审批竣工付款申请单的期限：</w:t>
      </w:r>
      <w:r>
        <w:rPr>
          <w:rFonts w:hint="eastAsia" w:cs="宋体"/>
          <w:color w:val="auto"/>
          <w:highlight w:val="none"/>
          <w:u w:val="single"/>
        </w:rPr>
        <w:t xml:space="preserve">按通用条款执行    </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发包人完成竣工付款的期限：</w:t>
      </w:r>
      <w:r>
        <w:rPr>
          <w:rFonts w:hint="eastAsia" w:cs="宋体"/>
          <w:color w:val="auto"/>
          <w:highlight w:val="none"/>
          <w:u w:val="single"/>
        </w:rPr>
        <w:t xml:space="preserve">  按通用条款执行        </w:t>
      </w:r>
      <w:r>
        <w:rPr>
          <w:rFonts w:hint="eastAsia" w:cs="宋体"/>
          <w:color w:val="auto"/>
          <w:highlight w:val="none"/>
        </w:rPr>
        <w:t>。</w:t>
      </w:r>
    </w:p>
    <w:p>
      <w:pPr>
        <w:spacing w:line="288" w:lineRule="auto"/>
        <w:ind w:firstLine="420"/>
        <w:jc w:val="left"/>
        <w:rPr>
          <w:rFonts w:cs="宋体"/>
          <w:color w:val="auto"/>
          <w:highlight w:val="none"/>
          <w:u w:val="single"/>
        </w:rPr>
      </w:pPr>
      <w:r>
        <w:rPr>
          <w:rFonts w:hint="eastAsia" w:cs="宋体"/>
          <w:color w:val="auto"/>
          <w:highlight w:val="none"/>
        </w:rPr>
        <w:t>关于竣工付款证书异议部分复核的方式和程序：</w:t>
      </w:r>
      <w:r>
        <w:rPr>
          <w:rFonts w:hint="eastAsia" w:cs="宋体"/>
          <w:color w:val="auto"/>
          <w:highlight w:val="none"/>
          <w:u w:val="single"/>
        </w:rPr>
        <w:t>按通用条款执行</w:t>
      </w:r>
      <w:r>
        <w:rPr>
          <w:rFonts w:hint="eastAsia" w:cs="宋体"/>
          <w:color w:val="auto"/>
          <w:highlight w:val="none"/>
        </w:rPr>
        <w:t>。</w:t>
      </w:r>
    </w:p>
    <w:p>
      <w:pPr>
        <w:spacing w:after="120" w:line="288" w:lineRule="auto"/>
        <w:ind w:firstLine="420"/>
        <w:rPr>
          <w:rFonts w:cs="宋体"/>
          <w:color w:val="auto"/>
          <w:highlight w:val="none"/>
        </w:rPr>
      </w:pPr>
      <w:r>
        <w:rPr>
          <w:rFonts w:hint="eastAsia" w:cs="宋体"/>
          <w:color w:val="auto"/>
          <w:highlight w:val="none"/>
        </w:rPr>
        <w:t>14.4 最终结清</w:t>
      </w:r>
    </w:p>
    <w:p>
      <w:pPr>
        <w:spacing w:line="288" w:lineRule="auto"/>
        <w:ind w:firstLine="420"/>
        <w:jc w:val="left"/>
        <w:rPr>
          <w:rFonts w:cs="宋体"/>
          <w:color w:val="auto"/>
          <w:kern w:val="0"/>
          <w:highlight w:val="none"/>
        </w:rPr>
      </w:pPr>
      <w:r>
        <w:rPr>
          <w:rFonts w:hint="eastAsia" w:cs="宋体"/>
          <w:color w:val="auto"/>
          <w:kern w:val="0"/>
          <w:highlight w:val="none"/>
        </w:rPr>
        <w:t>14.4.1 最终结清申请单</w:t>
      </w:r>
    </w:p>
    <w:p>
      <w:pPr>
        <w:spacing w:line="288" w:lineRule="auto"/>
        <w:ind w:firstLine="420"/>
        <w:jc w:val="left"/>
        <w:rPr>
          <w:rFonts w:cs="宋体"/>
          <w:color w:val="auto"/>
          <w:kern w:val="0"/>
          <w:highlight w:val="none"/>
        </w:rPr>
      </w:pPr>
      <w:r>
        <w:rPr>
          <w:rFonts w:hint="eastAsia" w:cs="宋体"/>
          <w:color w:val="auto"/>
          <w:kern w:val="0"/>
          <w:highlight w:val="none"/>
        </w:rPr>
        <w:t>承包人提交最终结清申请单的份数：</w:t>
      </w:r>
      <w:r>
        <w:rPr>
          <w:rFonts w:hint="eastAsia" w:cs="宋体"/>
          <w:color w:val="auto"/>
          <w:highlight w:val="none"/>
          <w:u w:val="single"/>
        </w:rPr>
        <w:t xml:space="preserve">  肆份              </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kern w:val="0"/>
          <w:highlight w:val="none"/>
        </w:rPr>
        <w:t>承包人提交最终结算申请单的期限：</w:t>
      </w:r>
      <w:r>
        <w:rPr>
          <w:rFonts w:hint="eastAsia" w:cs="宋体"/>
          <w:color w:val="auto"/>
          <w:highlight w:val="none"/>
          <w:u w:val="single"/>
        </w:rPr>
        <w:t xml:space="preserve">按通用条款执行      </w:t>
      </w:r>
      <w:r>
        <w:rPr>
          <w:rFonts w:hint="eastAsia" w:cs="宋体"/>
          <w:color w:val="auto"/>
          <w:highlight w:val="none"/>
        </w:rPr>
        <w:t xml:space="preserve">。 </w:t>
      </w:r>
    </w:p>
    <w:p>
      <w:pPr>
        <w:spacing w:line="288" w:lineRule="auto"/>
        <w:ind w:firstLine="420"/>
        <w:jc w:val="left"/>
        <w:rPr>
          <w:rFonts w:cs="宋体"/>
          <w:color w:val="auto"/>
          <w:highlight w:val="none"/>
        </w:rPr>
      </w:pPr>
      <w:r>
        <w:rPr>
          <w:rFonts w:hint="eastAsia" w:cs="宋体"/>
          <w:color w:val="auto"/>
          <w:highlight w:val="none"/>
        </w:rPr>
        <w:t>14.4.2 最终结清证书和支付</w:t>
      </w:r>
    </w:p>
    <w:p>
      <w:pPr>
        <w:spacing w:line="288" w:lineRule="auto"/>
        <w:ind w:firstLine="420"/>
        <w:jc w:val="left"/>
        <w:rPr>
          <w:rFonts w:cs="宋体"/>
          <w:color w:val="auto"/>
          <w:highlight w:val="none"/>
        </w:rPr>
      </w:pPr>
      <w:r>
        <w:rPr>
          <w:rFonts w:hint="eastAsia" w:cs="宋体"/>
          <w:color w:val="auto"/>
          <w:highlight w:val="none"/>
        </w:rPr>
        <w:t>（1）发包人完成最终结清申请单的审批并颁发最终结清证书的期限：</w:t>
      </w:r>
      <w:r>
        <w:rPr>
          <w:rFonts w:hint="eastAsia" w:cs="宋体"/>
          <w:color w:val="auto"/>
          <w:highlight w:val="none"/>
          <w:u w:val="single"/>
        </w:rPr>
        <w:t xml:space="preserve"> 按通用条款执行    </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（2）发包人完成支付的期限：</w:t>
      </w:r>
      <w:r>
        <w:rPr>
          <w:rFonts w:hint="eastAsia" w:cs="宋体"/>
          <w:color w:val="auto"/>
          <w:highlight w:val="none"/>
          <w:u w:val="single"/>
        </w:rPr>
        <w:t xml:space="preserve">  按通用条款执行       </w:t>
      </w:r>
      <w:r>
        <w:rPr>
          <w:rFonts w:hint="eastAsia" w:cs="宋体"/>
          <w:color w:val="auto"/>
          <w:highlight w:val="none"/>
        </w:rPr>
        <w:t>。</w:t>
      </w:r>
      <w:r>
        <w:rPr>
          <w:rFonts w:hint="eastAsia" w:cs="宋体"/>
          <w:color w:val="auto"/>
          <w:highlight w:val="none"/>
        </w:rPr>
        <w:tab/>
      </w:r>
    </w:p>
    <w:p>
      <w:pPr>
        <w:spacing w:line="288" w:lineRule="auto"/>
        <w:ind w:firstLine="420"/>
        <w:jc w:val="left"/>
        <w:rPr>
          <w:rFonts w:cs="宋体"/>
          <w:color w:val="auto"/>
          <w:highlight w:val="none"/>
        </w:rPr>
      </w:pPr>
      <w:r>
        <w:rPr>
          <w:rFonts w:hint="eastAsia" w:cs="宋体"/>
          <w:color w:val="auto"/>
          <w:highlight w:val="none"/>
        </w:rPr>
        <w:t>增加以下内容：</w:t>
      </w:r>
    </w:p>
    <w:p>
      <w:pPr>
        <w:spacing w:line="288" w:lineRule="auto"/>
        <w:ind w:firstLine="420"/>
        <w:jc w:val="left"/>
        <w:rPr>
          <w:rFonts w:cs="宋体"/>
          <w:color w:val="auto"/>
          <w:highlight w:val="none"/>
        </w:rPr>
      </w:pPr>
      <w:r>
        <w:rPr>
          <w:rFonts w:hint="eastAsia" w:cs="宋体"/>
          <w:color w:val="auto"/>
          <w:highlight w:val="none"/>
        </w:rPr>
        <w:t>A. 发包人对承包人的竣工结算报告及完整、有效的结算资料进行内部初步审计（由发包人委托专业的中介机构实施内审），承包人应根据内审意见，修改结算资料。因承包人不配合中介机构，导致中介机构无法及时出具内审意见或承包人无正当理由拒绝按内审意见修改工程结算书的，责任由承包人承担，承包人不得以此要求发包人承担逾期付款违约责任，且承包人赔偿因此给发包人造成的损失。</w:t>
      </w:r>
    </w:p>
    <w:p>
      <w:pPr>
        <w:spacing w:line="288" w:lineRule="auto"/>
        <w:ind w:firstLine="420"/>
        <w:jc w:val="left"/>
        <w:rPr>
          <w:rFonts w:cs="宋体"/>
          <w:color w:val="auto"/>
          <w:highlight w:val="none"/>
        </w:rPr>
      </w:pPr>
      <w:r>
        <w:rPr>
          <w:rFonts w:hint="eastAsia" w:cs="宋体"/>
          <w:color w:val="auto"/>
          <w:highlight w:val="none"/>
        </w:rPr>
        <w:t>B.承包人应遵循实事求是，严禁高估冒算的原则，编制工程结算书。工程造价审核基本费（计算公式：（送审结算价×5%）×10%）由发包人承担；工程决算审核追加费用（以超过5％以外的核减额为基数，按10％计算，[计算公式为：（审计净核减额-送审结算价×5%）×10%]），费用由承包人支付，承包人支付部分由承包人另行支付给发包人。</w:t>
      </w:r>
    </w:p>
    <w:p>
      <w:pPr>
        <w:spacing w:line="288" w:lineRule="auto"/>
        <w:ind w:firstLine="420"/>
        <w:jc w:val="left"/>
        <w:rPr>
          <w:rFonts w:cs="宋体"/>
          <w:color w:val="auto"/>
          <w:highlight w:val="none"/>
        </w:rPr>
      </w:pPr>
      <w:r>
        <w:rPr>
          <w:rFonts w:hint="eastAsia" w:cs="宋体"/>
          <w:color w:val="auto"/>
          <w:highlight w:val="none"/>
        </w:rPr>
        <w:t>C.委托中介机构对承包人提交的竣工结算报告进行审核（计）时，承包人必须根据发包人及中介机构的要求履行配合义务，因承包人不配合中介机构，导致中介机构无法及时完成造价审核（审计）的，责任由承包人承担，承包人不得以此要求发包人承担逾期付款违约责任，且承包人赔偿因此给发包人造成的损失。</w:t>
      </w:r>
    </w:p>
    <w:p>
      <w:pPr>
        <w:spacing w:line="288" w:lineRule="auto"/>
        <w:ind w:firstLine="420"/>
        <w:jc w:val="left"/>
        <w:rPr>
          <w:rFonts w:cs="宋体"/>
          <w:color w:val="auto"/>
          <w:highlight w:val="none"/>
        </w:rPr>
      </w:pPr>
      <w:r>
        <w:rPr>
          <w:rFonts w:hint="eastAsia" w:cs="宋体"/>
          <w:color w:val="auto"/>
          <w:highlight w:val="none"/>
        </w:rPr>
        <w:t>D.发包人向承包人提交审核报告（审计报告）后30日内，承包人未提出意见的，视为承包人认可该审核报告（审计报告），发包人按审核报告支付结算款。</w:t>
      </w:r>
    </w:p>
    <w:p>
      <w:pPr>
        <w:spacing w:line="288" w:lineRule="auto"/>
        <w:ind w:firstLine="420"/>
        <w:jc w:val="left"/>
        <w:rPr>
          <w:rFonts w:cs="宋体"/>
          <w:color w:val="auto"/>
          <w:highlight w:val="none"/>
        </w:rPr>
      </w:pPr>
      <w:r>
        <w:rPr>
          <w:rFonts w:hint="eastAsia" w:cs="宋体"/>
          <w:color w:val="auto"/>
          <w:highlight w:val="none"/>
        </w:rPr>
        <w:t>E．最终价款结算以审计部门出具的审计报告为准。　</w:t>
      </w:r>
    </w:p>
    <w:bookmarkEnd w:id="1044"/>
    <w:bookmarkEnd w:id="1045"/>
    <w:bookmarkEnd w:id="1046"/>
    <w:bookmarkEnd w:id="1047"/>
    <w:bookmarkEnd w:id="1048"/>
    <w:bookmarkEnd w:id="1049"/>
    <w:bookmarkEnd w:id="1050"/>
    <w:bookmarkEnd w:id="1056"/>
    <w:p>
      <w:pPr>
        <w:keepNext/>
        <w:keepLines/>
        <w:spacing w:before="120" w:after="120" w:line="288" w:lineRule="auto"/>
        <w:ind w:firstLine="420"/>
        <w:outlineLvl w:val="3"/>
        <w:rPr>
          <w:rFonts w:cs="宋体"/>
          <w:bCs/>
          <w:color w:val="auto"/>
          <w:highlight w:val="none"/>
        </w:rPr>
      </w:pPr>
      <w:bookmarkStart w:id="1058" w:name="_Toc351203647"/>
      <w:bookmarkStart w:id="1059" w:name="_Toc267251483"/>
      <w:bookmarkStart w:id="1060" w:name="_Toc267251482"/>
      <w:bookmarkStart w:id="1061" w:name="_Toc267251484"/>
      <w:bookmarkStart w:id="1062" w:name="_Toc267251485"/>
      <w:bookmarkStart w:id="1063" w:name="_Toc267251490"/>
      <w:bookmarkStart w:id="1064" w:name="_Toc267251486"/>
      <w:bookmarkStart w:id="1065" w:name="_Toc267251489"/>
      <w:bookmarkStart w:id="1066" w:name="_Toc267251488"/>
      <w:bookmarkStart w:id="1067" w:name="_Toc267251498"/>
      <w:bookmarkStart w:id="1068" w:name="_Toc267251502"/>
      <w:bookmarkStart w:id="1069" w:name="_Toc267251503"/>
      <w:bookmarkStart w:id="1070" w:name="_Toc267251492"/>
      <w:bookmarkStart w:id="1071" w:name="_Toc267251501"/>
      <w:bookmarkStart w:id="1072" w:name="_Toc267251499"/>
      <w:bookmarkStart w:id="1073" w:name="_Toc267251496"/>
      <w:bookmarkStart w:id="1074" w:name="_Toc267251493"/>
      <w:bookmarkStart w:id="1075" w:name="_Toc267251495"/>
      <w:bookmarkStart w:id="1076" w:name="_Toc267251497"/>
      <w:bookmarkStart w:id="1077" w:name="_Toc267251494"/>
      <w:bookmarkStart w:id="1078" w:name="_Toc267251491"/>
      <w:bookmarkStart w:id="1079" w:name="_Toc267251506"/>
      <w:bookmarkStart w:id="1080" w:name="_Toc267251504"/>
      <w:bookmarkStart w:id="1081" w:name="_Toc267251507"/>
      <w:bookmarkStart w:id="1082" w:name="_Toc267251508"/>
      <w:bookmarkStart w:id="1083" w:name="_Toc267251514"/>
      <w:bookmarkStart w:id="1084" w:name="_Toc267251513"/>
      <w:bookmarkStart w:id="1085" w:name="_Toc267251510"/>
      <w:bookmarkStart w:id="1086" w:name="_Toc267251515"/>
      <w:bookmarkStart w:id="1087" w:name="_Toc267251511"/>
      <w:bookmarkStart w:id="1088" w:name="_Toc267251509"/>
      <w:r>
        <w:rPr>
          <w:rFonts w:hint="eastAsia" w:cs="宋体"/>
          <w:bCs/>
          <w:color w:val="auto"/>
          <w:highlight w:val="none"/>
        </w:rPr>
        <w:t>15. 缺陷责任期与保修</w:t>
      </w:r>
      <w:bookmarkEnd w:id="1058"/>
    </w:p>
    <w:p>
      <w:pPr>
        <w:spacing w:after="120" w:line="288" w:lineRule="auto"/>
        <w:ind w:firstLine="420"/>
        <w:rPr>
          <w:rFonts w:cs="宋体"/>
          <w:color w:val="auto"/>
          <w:highlight w:val="none"/>
        </w:rPr>
      </w:pPr>
      <w:r>
        <w:rPr>
          <w:rFonts w:hint="eastAsia" w:cs="宋体"/>
          <w:color w:val="auto"/>
          <w:highlight w:val="none"/>
        </w:rPr>
        <w:t>15.2缺陷责任期</w:t>
      </w:r>
      <w:bookmarkEnd w:id="1059"/>
    </w:p>
    <w:p>
      <w:pPr>
        <w:spacing w:line="288" w:lineRule="auto"/>
        <w:ind w:firstLine="420"/>
        <w:jc w:val="left"/>
        <w:rPr>
          <w:rFonts w:cs="宋体"/>
          <w:color w:val="auto"/>
          <w:highlight w:val="none"/>
          <w:u w:val="single"/>
        </w:rPr>
      </w:pPr>
      <w:r>
        <w:rPr>
          <w:rFonts w:hint="eastAsia" w:cs="宋体"/>
          <w:color w:val="auto"/>
          <w:highlight w:val="none"/>
        </w:rPr>
        <w:t>缺陷责任期的具体期限：</w:t>
      </w:r>
      <w:r>
        <w:rPr>
          <w:rFonts w:hint="eastAsia" w:cs="宋体"/>
          <w:color w:val="auto"/>
          <w:highlight w:val="none"/>
          <w:u w:val="single"/>
        </w:rPr>
        <w:t xml:space="preserve">  24个月     </w:t>
      </w:r>
      <w:r>
        <w:rPr>
          <w:rFonts w:hint="eastAsia" w:cs="宋体"/>
          <w:color w:val="auto"/>
          <w:highlight w:val="none"/>
        </w:rPr>
        <w:t>。</w:t>
      </w:r>
    </w:p>
    <w:p>
      <w:pPr>
        <w:spacing w:after="120" w:line="288" w:lineRule="auto"/>
        <w:ind w:firstLine="420"/>
        <w:rPr>
          <w:rFonts w:cs="宋体"/>
          <w:color w:val="auto"/>
          <w:highlight w:val="none"/>
        </w:rPr>
      </w:pPr>
      <w:r>
        <w:rPr>
          <w:rFonts w:hint="eastAsia" w:cs="宋体"/>
          <w:color w:val="auto"/>
          <w:highlight w:val="none"/>
        </w:rPr>
        <w:t>15.3 质量保证金</w:t>
      </w:r>
    </w:p>
    <w:p>
      <w:pPr>
        <w:spacing w:line="288" w:lineRule="auto"/>
        <w:ind w:firstLine="420"/>
        <w:jc w:val="left"/>
        <w:rPr>
          <w:rFonts w:cs="宋体"/>
          <w:color w:val="auto"/>
          <w:highlight w:val="none"/>
        </w:rPr>
      </w:pPr>
      <w:r>
        <w:rPr>
          <w:rFonts w:hint="eastAsia" w:cs="宋体"/>
          <w:color w:val="auto"/>
          <w:highlight w:val="none"/>
        </w:rPr>
        <w:t>关于是否扣留质量保证金的约定：</w:t>
      </w:r>
      <w:r>
        <w:rPr>
          <w:rFonts w:hint="eastAsia" w:cs="宋体"/>
          <w:color w:val="auto"/>
          <w:highlight w:val="none"/>
          <w:u w:val="single"/>
        </w:rPr>
        <w:t xml:space="preserve">      是             </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15.3.1 承包人提供质量保证金的方式</w:t>
      </w:r>
    </w:p>
    <w:p>
      <w:pPr>
        <w:spacing w:line="288" w:lineRule="auto"/>
        <w:ind w:firstLine="420"/>
        <w:jc w:val="left"/>
        <w:rPr>
          <w:rFonts w:cs="宋体"/>
          <w:color w:val="auto"/>
          <w:highlight w:val="none"/>
        </w:rPr>
      </w:pPr>
      <w:r>
        <w:rPr>
          <w:rFonts w:hint="eastAsia" w:cs="宋体"/>
          <w:color w:val="auto"/>
          <w:highlight w:val="none"/>
        </w:rPr>
        <w:t>质量保证金采用以下第</w:t>
      </w:r>
      <w:r>
        <w:rPr>
          <w:rFonts w:hint="eastAsia" w:cs="宋体"/>
          <w:color w:val="auto"/>
          <w:highlight w:val="none"/>
          <w:u w:val="single"/>
        </w:rPr>
        <w:t xml:space="preserve"> （2） </w:t>
      </w:r>
      <w:r>
        <w:rPr>
          <w:rFonts w:hint="eastAsia" w:cs="宋体"/>
          <w:color w:val="auto"/>
          <w:highlight w:val="none"/>
        </w:rPr>
        <w:t>种方式：</w:t>
      </w:r>
    </w:p>
    <w:p>
      <w:pPr>
        <w:autoSpaceDE w:val="0"/>
        <w:autoSpaceDN w:val="0"/>
        <w:adjustRightInd w:val="0"/>
        <w:spacing w:line="288" w:lineRule="auto"/>
        <w:ind w:firstLine="420"/>
        <w:jc w:val="left"/>
        <w:rPr>
          <w:rFonts w:cs="宋体"/>
          <w:color w:val="auto"/>
          <w:kern w:val="0"/>
          <w:highlight w:val="none"/>
        </w:rPr>
      </w:pPr>
      <w:r>
        <w:rPr>
          <w:rFonts w:hint="eastAsia" w:cs="宋体"/>
          <w:color w:val="auto"/>
          <w:kern w:val="0"/>
          <w:highlight w:val="none"/>
        </w:rPr>
        <w:t>（1）质量保证金保函，保证金额为：</w:t>
      </w:r>
      <w:r>
        <w:rPr>
          <w:rFonts w:hint="eastAsia" w:cs="宋体"/>
          <w:color w:val="auto"/>
          <w:kern w:val="0"/>
          <w:highlight w:val="none"/>
          <w:u w:val="single"/>
        </w:rPr>
        <w:t xml:space="preserve">               </w:t>
      </w:r>
      <w:r>
        <w:rPr>
          <w:rFonts w:hint="eastAsia" w:cs="宋体"/>
          <w:color w:val="auto"/>
          <w:kern w:val="0"/>
          <w:highlight w:val="none"/>
        </w:rPr>
        <w:t xml:space="preserve">； </w:t>
      </w:r>
    </w:p>
    <w:p>
      <w:pPr>
        <w:autoSpaceDE w:val="0"/>
        <w:autoSpaceDN w:val="0"/>
        <w:adjustRightInd w:val="0"/>
        <w:spacing w:line="288" w:lineRule="auto"/>
        <w:ind w:firstLine="420"/>
        <w:jc w:val="left"/>
        <w:rPr>
          <w:rFonts w:cs="宋体"/>
          <w:color w:val="auto"/>
          <w:kern w:val="0"/>
          <w:highlight w:val="none"/>
        </w:rPr>
      </w:pPr>
      <w:r>
        <w:rPr>
          <w:rFonts w:hint="eastAsia" w:cs="宋体"/>
          <w:color w:val="auto"/>
          <w:kern w:val="0"/>
          <w:highlight w:val="none"/>
        </w:rPr>
        <w:t>（2）</w:t>
      </w:r>
      <w:r>
        <w:rPr>
          <w:rFonts w:hint="eastAsia" w:cs="宋体"/>
          <w:color w:val="auto"/>
          <w:kern w:val="0"/>
          <w:highlight w:val="none"/>
          <w:u w:val="single"/>
        </w:rPr>
        <w:t>2.5</w:t>
      </w:r>
      <w:r>
        <w:rPr>
          <w:rFonts w:hint="eastAsia" w:cs="宋体"/>
          <w:color w:val="auto"/>
          <w:kern w:val="0"/>
          <w:highlight w:val="none"/>
        </w:rPr>
        <w:t>%的工程结算款；</w:t>
      </w:r>
    </w:p>
    <w:p>
      <w:pPr>
        <w:autoSpaceDE w:val="0"/>
        <w:autoSpaceDN w:val="0"/>
        <w:adjustRightInd w:val="0"/>
        <w:spacing w:line="288" w:lineRule="auto"/>
        <w:ind w:firstLine="420"/>
        <w:jc w:val="left"/>
        <w:rPr>
          <w:rFonts w:cs="宋体"/>
          <w:color w:val="auto"/>
          <w:kern w:val="0"/>
          <w:highlight w:val="none"/>
        </w:rPr>
      </w:pPr>
      <w:r>
        <w:rPr>
          <w:rFonts w:hint="eastAsia" w:cs="宋体"/>
          <w:color w:val="auto"/>
          <w:kern w:val="0"/>
          <w:highlight w:val="none"/>
        </w:rPr>
        <w:t>（3）其他方式:</w:t>
      </w:r>
      <w:r>
        <w:rPr>
          <w:rFonts w:hint="eastAsia" w:cs="宋体"/>
          <w:color w:val="auto"/>
          <w:kern w:val="0"/>
          <w:highlight w:val="none"/>
          <w:u w:val="single"/>
        </w:rPr>
        <w:t xml:space="preserve">      /     </w:t>
      </w:r>
      <w:r>
        <w:rPr>
          <w:rFonts w:hint="eastAsia" w:cs="宋体"/>
          <w:color w:val="auto"/>
          <w:kern w:val="0"/>
          <w:highlight w:val="none"/>
        </w:rPr>
        <w:t>。</w:t>
      </w:r>
    </w:p>
    <w:p>
      <w:pPr>
        <w:spacing w:line="288" w:lineRule="auto"/>
        <w:ind w:firstLine="420"/>
        <w:jc w:val="left"/>
        <w:rPr>
          <w:rFonts w:cs="宋体"/>
          <w:color w:val="auto"/>
          <w:highlight w:val="none"/>
        </w:rPr>
      </w:pPr>
      <w:r>
        <w:rPr>
          <w:rFonts w:hint="eastAsia" w:cs="宋体"/>
          <w:color w:val="auto"/>
          <w:highlight w:val="none"/>
        </w:rPr>
        <w:t xml:space="preserve">15.3.2 质量保证金的扣留 </w:t>
      </w:r>
    </w:p>
    <w:p>
      <w:pPr>
        <w:spacing w:line="288" w:lineRule="auto"/>
        <w:ind w:firstLine="420"/>
        <w:jc w:val="left"/>
        <w:rPr>
          <w:rFonts w:cs="宋体"/>
          <w:color w:val="auto"/>
          <w:highlight w:val="none"/>
        </w:rPr>
      </w:pPr>
      <w:r>
        <w:rPr>
          <w:rFonts w:hint="eastAsia" w:cs="宋体"/>
          <w:color w:val="auto"/>
          <w:highlight w:val="none"/>
        </w:rPr>
        <w:t>质量保证金的扣留采取以下第</w:t>
      </w:r>
      <w:r>
        <w:rPr>
          <w:rFonts w:hint="eastAsia" w:cs="宋体"/>
          <w:color w:val="auto"/>
          <w:highlight w:val="none"/>
          <w:u w:val="single"/>
        </w:rPr>
        <w:t xml:space="preserve"> 2  </w:t>
      </w:r>
      <w:r>
        <w:rPr>
          <w:rFonts w:hint="eastAsia" w:cs="宋体"/>
          <w:color w:val="auto"/>
          <w:highlight w:val="none"/>
        </w:rPr>
        <w:t>种方式：</w:t>
      </w:r>
    </w:p>
    <w:p>
      <w:pPr>
        <w:autoSpaceDE w:val="0"/>
        <w:autoSpaceDN w:val="0"/>
        <w:adjustRightInd w:val="0"/>
        <w:spacing w:line="288" w:lineRule="auto"/>
        <w:ind w:firstLine="420"/>
        <w:jc w:val="left"/>
        <w:rPr>
          <w:rFonts w:cs="宋体"/>
          <w:color w:val="auto"/>
          <w:kern w:val="0"/>
          <w:highlight w:val="none"/>
        </w:rPr>
      </w:pPr>
      <w:r>
        <w:rPr>
          <w:rFonts w:hint="eastAsia" w:cs="宋体"/>
          <w:color w:val="auto"/>
          <w:kern w:val="0"/>
          <w:highlight w:val="none"/>
        </w:rPr>
        <w:t>（1）在支付工程进度款时逐次扣留，在此情形下，质量保证金的计算基数不包括预付款的支付、扣回以及价格调整的金额；</w:t>
      </w:r>
    </w:p>
    <w:p>
      <w:pPr>
        <w:autoSpaceDE w:val="0"/>
        <w:autoSpaceDN w:val="0"/>
        <w:adjustRightInd w:val="0"/>
        <w:spacing w:line="288" w:lineRule="auto"/>
        <w:ind w:firstLine="420"/>
        <w:jc w:val="left"/>
        <w:rPr>
          <w:rFonts w:cs="宋体"/>
          <w:color w:val="auto"/>
          <w:kern w:val="0"/>
          <w:highlight w:val="none"/>
        </w:rPr>
      </w:pPr>
      <w:r>
        <w:rPr>
          <w:rFonts w:hint="eastAsia" w:cs="宋体"/>
          <w:color w:val="auto"/>
          <w:kern w:val="0"/>
          <w:highlight w:val="none"/>
        </w:rPr>
        <w:t>（2）工程竣工结算时一次性扣留质量保证金；</w:t>
      </w:r>
    </w:p>
    <w:p>
      <w:pPr>
        <w:autoSpaceDE w:val="0"/>
        <w:autoSpaceDN w:val="0"/>
        <w:adjustRightInd w:val="0"/>
        <w:spacing w:line="288" w:lineRule="auto"/>
        <w:ind w:firstLine="420"/>
        <w:jc w:val="left"/>
        <w:rPr>
          <w:rFonts w:cs="宋体"/>
          <w:color w:val="auto"/>
          <w:kern w:val="0"/>
          <w:highlight w:val="none"/>
        </w:rPr>
      </w:pPr>
      <w:r>
        <w:rPr>
          <w:rFonts w:hint="eastAsia" w:cs="宋体"/>
          <w:color w:val="auto"/>
          <w:kern w:val="0"/>
          <w:highlight w:val="none"/>
        </w:rPr>
        <w:t>（3）其他扣留方式:</w:t>
      </w:r>
      <w:r>
        <w:rPr>
          <w:rFonts w:hint="eastAsia" w:cs="宋体"/>
          <w:color w:val="auto"/>
          <w:kern w:val="0"/>
          <w:highlight w:val="none"/>
          <w:u w:val="single"/>
        </w:rPr>
        <w:t xml:space="preserve">   /                              </w:t>
      </w:r>
      <w:r>
        <w:rPr>
          <w:rFonts w:hint="eastAsia" w:cs="宋体"/>
          <w:color w:val="auto"/>
          <w:kern w:val="0"/>
          <w:highlight w:val="none"/>
        </w:rPr>
        <w:t>。</w:t>
      </w:r>
    </w:p>
    <w:p>
      <w:pPr>
        <w:spacing w:line="288" w:lineRule="auto"/>
        <w:ind w:firstLine="420"/>
        <w:jc w:val="left"/>
        <w:rPr>
          <w:rFonts w:cs="宋体"/>
          <w:color w:val="auto"/>
          <w:kern w:val="0"/>
          <w:highlight w:val="none"/>
          <w:u w:val="single"/>
        </w:rPr>
      </w:pPr>
      <w:r>
        <w:rPr>
          <w:rFonts w:hint="eastAsia" w:cs="宋体"/>
          <w:color w:val="auto"/>
          <w:highlight w:val="none"/>
        </w:rPr>
        <w:t>关于质量保证金的补充约定：</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（1）如在工程保修期内未发生按约定的须从质量保证金中代扣维修费及维修管理费情况的，则工程质量保证金按以下方式支付给承包人，不计利息：保修期满且无质量问题后，支付质量保证金。</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2）工程移交后，如发包人或者本工程有关的接收人发现存在质量问题的，有权要求承包人及时维修，并赔偿给发包人带来的各种直接、间接经济损失。承包人不及时维修的，发包人有权代为扣除质量保证金用于维修以及支付发包人的维修管理费用；质量保证金不足以支付的，发包人有权向承包人追偿。</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（3）工程移交后，如发包人或者本工程有关的接收人发现存在重大质量问题的，有权扣除承包人的全部质量保证金，要求承包人及时维修，并赔偿给发包人带来的各种直接、间接经济损失。</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4）本合同工程的保修期，自发包人全部交付接收人或使用人之日起算，如果发包人交付接收人或使用人时间超过竣工验收后十二个月，则自竣工验收后十二个月起计算。保修期内的工程质量维修问题详见双方签署的质量保修书。</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（5）在国家规定的保修期外，如本工程出现质量问题系由承包人偷工减料或使用不合格原材料、成品、半成品（不包括甲供材料）引起的，发包人有权无限期追索，承包人应承担由此造成的一切损失</w:t>
      </w:r>
      <w:r>
        <w:rPr>
          <w:rFonts w:hint="eastAsia" w:cs="宋体"/>
          <w:color w:val="auto"/>
          <w:kern w:val="0"/>
          <w:highlight w:val="none"/>
        </w:rPr>
        <w:t>。</w:t>
      </w:r>
    </w:p>
    <w:bookmarkEnd w:id="1060"/>
    <w:bookmarkEnd w:id="1061"/>
    <w:p>
      <w:pPr>
        <w:spacing w:after="120" w:line="288" w:lineRule="auto"/>
        <w:ind w:firstLine="420"/>
        <w:rPr>
          <w:rFonts w:cs="宋体"/>
          <w:color w:val="auto"/>
          <w:highlight w:val="none"/>
        </w:rPr>
      </w:pPr>
      <w:r>
        <w:rPr>
          <w:rFonts w:hint="eastAsia" w:cs="宋体"/>
          <w:color w:val="auto"/>
          <w:highlight w:val="none"/>
        </w:rPr>
        <w:t>15.4保修</w:t>
      </w:r>
    </w:p>
    <w:bookmarkEnd w:id="1062"/>
    <w:p>
      <w:pPr>
        <w:spacing w:line="288" w:lineRule="auto"/>
        <w:ind w:firstLine="409" w:firstLineChars="195"/>
        <w:jc w:val="left"/>
        <w:rPr>
          <w:rFonts w:cs="宋体"/>
          <w:color w:val="auto"/>
          <w:highlight w:val="none"/>
        </w:rPr>
      </w:pPr>
      <w:r>
        <w:rPr>
          <w:rFonts w:hint="eastAsia" w:cs="宋体"/>
          <w:color w:val="auto"/>
          <w:highlight w:val="none"/>
        </w:rPr>
        <w:t>15.4.1 保修责任</w:t>
      </w:r>
    </w:p>
    <w:p>
      <w:pPr>
        <w:spacing w:line="288" w:lineRule="auto"/>
        <w:ind w:firstLine="409" w:firstLineChars="195"/>
        <w:jc w:val="left"/>
        <w:rPr>
          <w:rFonts w:cs="宋体"/>
          <w:color w:val="auto"/>
          <w:kern w:val="0"/>
          <w:highlight w:val="none"/>
          <w:u w:val="single"/>
        </w:rPr>
      </w:pPr>
      <w:r>
        <w:rPr>
          <w:rFonts w:hint="eastAsia" w:cs="宋体"/>
          <w:color w:val="auto"/>
          <w:highlight w:val="none"/>
        </w:rPr>
        <w:t>工程保修期为：</w:t>
      </w:r>
      <w:r>
        <w:rPr>
          <w:rFonts w:hint="eastAsia" w:cs="宋体"/>
          <w:color w:val="auto"/>
          <w:kern w:val="0"/>
          <w:highlight w:val="none"/>
          <w:u w:val="single"/>
        </w:rPr>
        <w:t xml:space="preserve">按工程质量保修书规定执行                </w:t>
      </w:r>
      <w:r>
        <w:rPr>
          <w:rFonts w:hint="eastAsia" w:cs="宋体"/>
          <w:color w:val="auto"/>
          <w:kern w:val="0"/>
          <w:highlight w:val="none"/>
        </w:rPr>
        <w:t>。</w:t>
      </w:r>
    </w:p>
    <w:p>
      <w:pPr>
        <w:spacing w:line="288" w:lineRule="auto"/>
        <w:ind w:firstLine="409" w:firstLineChars="195"/>
        <w:jc w:val="left"/>
        <w:rPr>
          <w:rFonts w:cs="宋体"/>
          <w:color w:val="auto"/>
          <w:highlight w:val="none"/>
        </w:rPr>
      </w:pPr>
      <w:r>
        <w:rPr>
          <w:rFonts w:hint="eastAsia" w:cs="宋体"/>
          <w:color w:val="auto"/>
          <w:highlight w:val="none"/>
        </w:rPr>
        <w:t>15.4.3 修复通知</w:t>
      </w:r>
    </w:p>
    <w:p>
      <w:pPr>
        <w:spacing w:line="288" w:lineRule="auto"/>
        <w:ind w:firstLine="409" w:firstLineChars="195"/>
        <w:jc w:val="left"/>
        <w:rPr>
          <w:rFonts w:cs="宋体"/>
          <w:color w:val="auto"/>
          <w:kern w:val="0"/>
          <w:highlight w:val="none"/>
        </w:rPr>
      </w:pPr>
      <w:r>
        <w:rPr>
          <w:rFonts w:hint="eastAsia" w:cs="宋体"/>
          <w:color w:val="auto"/>
          <w:kern w:val="0"/>
          <w:highlight w:val="none"/>
        </w:rPr>
        <w:t>承包人收到保修通知并到达工程现场的合理时间：</w:t>
      </w:r>
      <w:r>
        <w:rPr>
          <w:rFonts w:hint="eastAsia" w:cs="宋体"/>
          <w:color w:val="auto"/>
          <w:kern w:val="0"/>
          <w:highlight w:val="none"/>
          <w:u w:val="single"/>
        </w:rPr>
        <w:t xml:space="preserve">  24小时 </w:t>
      </w:r>
      <w:r>
        <w:rPr>
          <w:rFonts w:hint="eastAsia" w:cs="宋体"/>
          <w:color w:val="auto"/>
          <w:kern w:val="0"/>
          <w:highlight w:val="none"/>
        </w:rPr>
        <w:t>。</w:t>
      </w:r>
    </w:p>
    <w:p>
      <w:pPr>
        <w:spacing w:line="288" w:lineRule="auto"/>
        <w:ind w:firstLine="409" w:firstLineChars="195"/>
        <w:jc w:val="left"/>
        <w:rPr>
          <w:rFonts w:cs="宋体"/>
          <w:color w:val="auto"/>
          <w:kern w:val="0"/>
          <w:highlight w:val="none"/>
          <w:u w:val="single"/>
        </w:rPr>
      </w:pPr>
      <w:r>
        <w:rPr>
          <w:rFonts w:hint="eastAsia" w:cs="宋体"/>
          <w:color w:val="auto"/>
          <w:kern w:val="0"/>
          <w:highlight w:val="none"/>
        </w:rPr>
        <w:t>发包人的保修通知采用口头通知、书面通知、书面留置通知等方式，承包人应无条件承认。</w:t>
      </w:r>
    </w:p>
    <w:bookmarkEnd w:id="1063"/>
    <w:bookmarkEnd w:id="1064"/>
    <w:bookmarkEnd w:id="1065"/>
    <w:bookmarkEnd w:id="1066"/>
    <w:p>
      <w:pPr>
        <w:keepNext/>
        <w:keepLines/>
        <w:spacing w:before="120" w:after="120" w:line="288" w:lineRule="auto"/>
        <w:ind w:firstLine="420"/>
        <w:outlineLvl w:val="3"/>
        <w:rPr>
          <w:rFonts w:cs="宋体"/>
          <w:bCs/>
          <w:color w:val="auto"/>
          <w:highlight w:val="none"/>
        </w:rPr>
      </w:pPr>
      <w:bookmarkStart w:id="1089" w:name="_Toc351203648"/>
      <w:bookmarkStart w:id="1090" w:name="_Toc280868717"/>
      <w:bookmarkStart w:id="1091" w:name="_Toc280868718"/>
      <w:r>
        <w:rPr>
          <w:rFonts w:hint="eastAsia" w:cs="宋体"/>
          <w:bCs/>
          <w:color w:val="auto"/>
          <w:highlight w:val="none"/>
        </w:rPr>
        <w:t>16. 违约</w:t>
      </w:r>
      <w:bookmarkEnd w:id="1089"/>
    </w:p>
    <w:p>
      <w:pPr>
        <w:spacing w:after="120" w:line="288" w:lineRule="auto"/>
        <w:ind w:firstLine="420"/>
        <w:rPr>
          <w:rFonts w:cs="宋体"/>
          <w:color w:val="auto"/>
          <w:highlight w:val="none"/>
        </w:rPr>
      </w:pPr>
      <w:r>
        <w:rPr>
          <w:rFonts w:hint="eastAsia" w:cs="宋体"/>
          <w:color w:val="auto"/>
          <w:highlight w:val="none"/>
        </w:rPr>
        <w:t>16.1 发包人违约</w:t>
      </w:r>
    </w:p>
    <w:p>
      <w:pPr>
        <w:spacing w:line="288" w:lineRule="auto"/>
        <w:ind w:firstLine="420"/>
        <w:jc w:val="left"/>
        <w:rPr>
          <w:rFonts w:cs="宋体"/>
          <w:color w:val="auto"/>
          <w:highlight w:val="none"/>
        </w:rPr>
      </w:pPr>
      <w:r>
        <w:rPr>
          <w:rFonts w:hint="eastAsia" w:cs="宋体"/>
          <w:color w:val="auto"/>
          <w:highlight w:val="none"/>
        </w:rPr>
        <w:t>16.1.1发包人违约的情形</w:t>
      </w:r>
    </w:p>
    <w:p>
      <w:pPr>
        <w:spacing w:line="288" w:lineRule="auto"/>
        <w:ind w:firstLine="420"/>
        <w:jc w:val="left"/>
        <w:rPr>
          <w:rFonts w:cs="宋体"/>
          <w:color w:val="auto"/>
          <w:kern w:val="0"/>
          <w:highlight w:val="none"/>
          <w:u w:val="single"/>
        </w:rPr>
      </w:pPr>
      <w:r>
        <w:rPr>
          <w:rFonts w:hint="eastAsia" w:cs="宋体"/>
          <w:color w:val="auto"/>
          <w:kern w:val="0"/>
          <w:highlight w:val="none"/>
        </w:rPr>
        <w:t>发包人违约的其他情形：</w:t>
      </w:r>
      <w:r>
        <w:rPr>
          <w:rFonts w:hint="eastAsia" w:cs="宋体"/>
          <w:color w:val="auto"/>
          <w:kern w:val="0"/>
          <w:highlight w:val="none"/>
          <w:u w:val="single"/>
        </w:rPr>
        <w:t xml:space="preserve">按通用条款执行              </w:t>
      </w:r>
      <w:r>
        <w:rPr>
          <w:rFonts w:hint="eastAsia" w:cs="宋体"/>
          <w:color w:val="auto"/>
          <w:kern w:val="0"/>
          <w:highlight w:val="none"/>
        </w:rPr>
        <w:t>。</w:t>
      </w:r>
    </w:p>
    <w:p>
      <w:pPr>
        <w:spacing w:line="288" w:lineRule="auto"/>
        <w:ind w:left="1050" w:hanging="1050" w:hangingChars="500"/>
        <w:jc w:val="left"/>
        <w:rPr>
          <w:rFonts w:cs="宋体"/>
          <w:color w:val="auto"/>
          <w:kern w:val="0"/>
          <w:highlight w:val="none"/>
        </w:rPr>
      </w:pPr>
      <w:r>
        <w:rPr>
          <w:rFonts w:hint="eastAsia" w:cs="宋体"/>
          <w:color w:val="auto"/>
          <w:kern w:val="0"/>
          <w:highlight w:val="none"/>
        </w:rPr>
        <w:t xml:space="preserve">    16.1.2 发包人违约的责任</w:t>
      </w:r>
    </w:p>
    <w:p>
      <w:pPr>
        <w:spacing w:line="288" w:lineRule="auto"/>
        <w:ind w:firstLine="420"/>
        <w:jc w:val="left"/>
        <w:rPr>
          <w:rFonts w:cs="宋体"/>
          <w:color w:val="auto"/>
          <w:kern w:val="0"/>
          <w:highlight w:val="none"/>
        </w:rPr>
      </w:pPr>
      <w:r>
        <w:rPr>
          <w:rFonts w:hint="eastAsia" w:cs="宋体"/>
          <w:color w:val="auto"/>
          <w:kern w:val="0"/>
          <w:highlight w:val="none"/>
        </w:rPr>
        <w:t>发包人违约责任的承担方式和计算方法：</w:t>
      </w:r>
    </w:p>
    <w:p>
      <w:pPr>
        <w:spacing w:line="288" w:lineRule="auto"/>
        <w:ind w:firstLine="420"/>
        <w:jc w:val="left"/>
        <w:rPr>
          <w:rFonts w:cs="宋体"/>
          <w:color w:val="auto"/>
          <w:kern w:val="0"/>
          <w:highlight w:val="none"/>
          <w:u w:val="single"/>
        </w:rPr>
      </w:pPr>
      <w:r>
        <w:rPr>
          <w:rFonts w:hint="eastAsia" w:cs="宋体"/>
          <w:color w:val="auto"/>
          <w:kern w:val="0"/>
          <w:highlight w:val="none"/>
        </w:rPr>
        <w:t>（1）因发包人原因未能在计划开工日期前7天内下达开工通知的违约责任：</w:t>
      </w:r>
      <w:r>
        <w:rPr>
          <w:rFonts w:hint="eastAsia" w:cs="宋体"/>
          <w:color w:val="auto"/>
          <w:kern w:val="0"/>
          <w:highlight w:val="none"/>
          <w:u w:val="single"/>
        </w:rPr>
        <w:t xml:space="preserve">  /          </w:t>
      </w:r>
      <w:r>
        <w:rPr>
          <w:rFonts w:hint="eastAsia" w:cs="宋体"/>
          <w:color w:val="auto"/>
          <w:kern w:val="0"/>
          <w:highlight w:val="none"/>
        </w:rPr>
        <w:t>。</w:t>
      </w:r>
    </w:p>
    <w:p>
      <w:pPr>
        <w:spacing w:line="288" w:lineRule="auto"/>
        <w:ind w:left="298" w:leftChars="142" w:firstLine="210" w:firstLineChars="100"/>
        <w:jc w:val="left"/>
        <w:rPr>
          <w:rFonts w:cs="宋体"/>
          <w:color w:val="auto"/>
          <w:kern w:val="0"/>
          <w:highlight w:val="none"/>
        </w:rPr>
      </w:pPr>
      <w:r>
        <w:rPr>
          <w:rFonts w:hint="eastAsia" w:cs="宋体"/>
          <w:color w:val="auto"/>
          <w:kern w:val="0"/>
          <w:highlight w:val="none"/>
        </w:rPr>
        <w:t>（2）因发包人原因未能按合同约定支付合同价款的违约责任：</w:t>
      </w:r>
    </w:p>
    <w:p>
      <w:pPr>
        <w:spacing w:line="288" w:lineRule="auto"/>
        <w:ind w:left="298" w:leftChars="142" w:firstLine="210" w:firstLineChars="100"/>
        <w:jc w:val="left"/>
        <w:rPr>
          <w:rFonts w:cs="宋体"/>
          <w:color w:val="auto"/>
          <w:kern w:val="0"/>
          <w:highlight w:val="none"/>
        </w:rPr>
      </w:pPr>
      <w:r>
        <w:rPr>
          <w:rFonts w:hint="eastAsia" w:cs="宋体"/>
          <w:color w:val="auto"/>
          <w:kern w:val="0"/>
          <w:highlight w:val="none"/>
          <w:u w:val="single"/>
        </w:rPr>
        <w:t>发包人超过约定的支付时间不支付工程款（进度款），承包人可向发包人发出要求付款的通知，发包人收到承包人通知后60日内仍不能按要求付款，可与承包人协商签订延期付款协议，经承包人同意后可延期支付，并支付应付金额同期银行贷款利率计算的利息</w:t>
      </w:r>
      <w:r>
        <w:rPr>
          <w:rFonts w:hint="eastAsia" w:cs="宋体"/>
          <w:color w:val="auto"/>
          <w:kern w:val="0"/>
          <w:highlight w:val="none"/>
        </w:rPr>
        <w:t>。</w:t>
      </w:r>
    </w:p>
    <w:p>
      <w:pPr>
        <w:spacing w:line="288" w:lineRule="auto"/>
        <w:ind w:firstLine="420"/>
        <w:jc w:val="left"/>
        <w:rPr>
          <w:rFonts w:cs="宋体"/>
          <w:color w:val="auto"/>
          <w:kern w:val="0"/>
          <w:highlight w:val="none"/>
        </w:rPr>
      </w:pPr>
      <w:r>
        <w:rPr>
          <w:rFonts w:hint="eastAsia" w:cs="宋体"/>
          <w:color w:val="auto"/>
          <w:kern w:val="0"/>
          <w:highlight w:val="none"/>
        </w:rPr>
        <w:t>（3）发包人违反第10.1款〔变更的范围〕第（2）项约定，自行实施被取消的工作或转由他人实施的违约责任：</w:t>
      </w:r>
      <w:r>
        <w:rPr>
          <w:rFonts w:hint="eastAsia" w:cs="宋体"/>
          <w:color w:val="auto"/>
          <w:kern w:val="0"/>
          <w:highlight w:val="none"/>
          <w:u w:val="single"/>
        </w:rPr>
        <w:t xml:space="preserve">  /           </w:t>
      </w:r>
      <w:r>
        <w:rPr>
          <w:rFonts w:hint="eastAsia" w:cs="宋体"/>
          <w:color w:val="auto"/>
          <w:kern w:val="0"/>
          <w:highlight w:val="none"/>
        </w:rPr>
        <w:t>。</w:t>
      </w:r>
    </w:p>
    <w:p>
      <w:pPr>
        <w:spacing w:line="288" w:lineRule="auto"/>
        <w:ind w:firstLine="420"/>
        <w:jc w:val="left"/>
        <w:rPr>
          <w:rFonts w:cs="宋体"/>
          <w:color w:val="auto"/>
          <w:kern w:val="0"/>
          <w:highlight w:val="none"/>
        </w:rPr>
      </w:pPr>
      <w:r>
        <w:rPr>
          <w:rFonts w:hint="eastAsia" w:cs="宋体"/>
          <w:color w:val="auto"/>
          <w:kern w:val="0"/>
          <w:highlight w:val="none"/>
        </w:rPr>
        <w:t>（4）发包人提供的材料、工程设备的规格、数量或质量不符合合同约定，或因发包人原因导致交货日期延误或交货地点变更等情况的违约责任：</w:t>
      </w:r>
      <w:r>
        <w:rPr>
          <w:rFonts w:hint="eastAsia" w:cs="宋体"/>
          <w:color w:val="auto"/>
          <w:kern w:val="0"/>
          <w:highlight w:val="none"/>
          <w:u w:val="single"/>
        </w:rPr>
        <w:t xml:space="preserve">        /                                 </w:t>
      </w:r>
      <w:r>
        <w:rPr>
          <w:rFonts w:hint="eastAsia" w:cs="宋体"/>
          <w:color w:val="auto"/>
          <w:kern w:val="0"/>
          <w:highlight w:val="none"/>
        </w:rPr>
        <w:t>。</w:t>
      </w:r>
    </w:p>
    <w:p>
      <w:pPr>
        <w:spacing w:line="288" w:lineRule="auto"/>
        <w:ind w:firstLine="420"/>
        <w:jc w:val="left"/>
        <w:rPr>
          <w:rFonts w:cs="宋体"/>
          <w:color w:val="auto"/>
          <w:kern w:val="0"/>
          <w:highlight w:val="none"/>
          <w:u w:val="single"/>
        </w:rPr>
      </w:pPr>
      <w:r>
        <w:rPr>
          <w:rFonts w:hint="eastAsia" w:cs="宋体"/>
          <w:color w:val="auto"/>
          <w:kern w:val="0"/>
          <w:highlight w:val="none"/>
        </w:rPr>
        <w:t>（5）因发包人违反合同约定造成暂停施工的违约责任：</w:t>
      </w:r>
      <w:r>
        <w:rPr>
          <w:rFonts w:hint="eastAsia" w:cs="宋体"/>
          <w:color w:val="auto"/>
          <w:kern w:val="0"/>
          <w:highlight w:val="none"/>
          <w:u w:val="single"/>
        </w:rPr>
        <w:t xml:space="preserve"> /  </w:t>
      </w:r>
      <w:r>
        <w:rPr>
          <w:rFonts w:hint="eastAsia" w:cs="宋体"/>
          <w:color w:val="auto"/>
          <w:kern w:val="0"/>
          <w:highlight w:val="none"/>
        </w:rPr>
        <w:t>。</w:t>
      </w:r>
    </w:p>
    <w:p>
      <w:pPr>
        <w:spacing w:line="288" w:lineRule="auto"/>
        <w:ind w:firstLine="420"/>
        <w:jc w:val="left"/>
        <w:rPr>
          <w:rFonts w:cs="宋体"/>
          <w:color w:val="auto"/>
          <w:kern w:val="0"/>
          <w:highlight w:val="none"/>
        </w:rPr>
      </w:pPr>
      <w:r>
        <w:rPr>
          <w:rFonts w:hint="eastAsia" w:cs="宋体"/>
          <w:color w:val="auto"/>
          <w:kern w:val="0"/>
          <w:highlight w:val="none"/>
        </w:rPr>
        <w:t>（6）发包人无正当理由没有在约定期限内发出复工指示，导致承包人无法复工的违约责任：</w:t>
      </w:r>
      <w:r>
        <w:rPr>
          <w:rFonts w:hint="eastAsia" w:cs="宋体"/>
          <w:color w:val="auto"/>
          <w:kern w:val="0"/>
          <w:highlight w:val="none"/>
          <w:u w:val="single"/>
        </w:rPr>
        <w:t xml:space="preserve">          /               </w:t>
      </w:r>
      <w:r>
        <w:rPr>
          <w:rFonts w:hint="eastAsia" w:cs="宋体"/>
          <w:color w:val="auto"/>
          <w:kern w:val="0"/>
          <w:highlight w:val="none"/>
        </w:rPr>
        <w:t>。</w:t>
      </w:r>
    </w:p>
    <w:p>
      <w:pPr>
        <w:spacing w:line="288" w:lineRule="auto"/>
        <w:ind w:firstLine="420"/>
        <w:jc w:val="left"/>
        <w:rPr>
          <w:rFonts w:cs="宋体"/>
          <w:color w:val="auto"/>
          <w:kern w:val="0"/>
          <w:highlight w:val="none"/>
        </w:rPr>
      </w:pPr>
      <w:r>
        <w:rPr>
          <w:rFonts w:hint="eastAsia" w:cs="宋体"/>
          <w:color w:val="auto"/>
          <w:kern w:val="0"/>
          <w:highlight w:val="none"/>
        </w:rPr>
        <w:t>（7）其他：</w:t>
      </w:r>
      <w:r>
        <w:rPr>
          <w:rFonts w:hint="eastAsia" w:cs="宋体"/>
          <w:color w:val="auto"/>
          <w:kern w:val="0"/>
          <w:highlight w:val="none"/>
          <w:u w:val="single"/>
        </w:rPr>
        <w:t xml:space="preserve">   /                                     </w:t>
      </w:r>
      <w:r>
        <w:rPr>
          <w:rFonts w:hint="eastAsia" w:cs="宋体"/>
          <w:color w:val="auto"/>
          <w:kern w:val="0"/>
          <w:highlight w:val="none"/>
        </w:rPr>
        <w:t>。</w:t>
      </w:r>
    </w:p>
    <w:p>
      <w:pPr>
        <w:spacing w:line="288" w:lineRule="auto"/>
        <w:ind w:firstLine="420"/>
        <w:jc w:val="left"/>
        <w:rPr>
          <w:rFonts w:cs="宋体"/>
          <w:color w:val="auto"/>
          <w:highlight w:val="none"/>
        </w:rPr>
      </w:pPr>
      <w:r>
        <w:rPr>
          <w:rFonts w:hint="eastAsia" w:cs="宋体"/>
          <w:color w:val="auto"/>
          <w:highlight w:val="none"/>
        </w:rPr>
        <w:t>16.1.3 因发包人违约解除合同</w:t>
      </w:r>
    </w:p>
    <w:p>
      <w:pPr>
        <w:autoSpaceDE w:val="0"/>
        <w:autoSpaceDN w:val="0"/>
        <w:adjustRightInd w:val="0"/>
        <w:spacing w:line="288" w:lineRule="auto"/>
        <w:ind w:firstLine="420"/>
        <w:jc w:val="left"/>
        <w:rPr>
          <w:rFonts w:cs="宋体"/>
          <w:color w:val="auto"/>
          <w:kern w:val="0"/>
          <w:highlight w:val="none"/>
        </w:rPr>
      </w:pPr>
      <w:r>
        <w:rPr>
          <w:rFonts w:hint="eastAsia" w:cs="宋体"/>
          <w:color w:val="auto"/>
          <w:kern w:val="0"/>
          <w:highlight w:val="none"/>
        </w:rPr>
        <w:t>承包人按16.1.1项〔发包人违约的情形〕约定暂停施工满</w:t>
      </w:r>
      <w:r>
        <w:rPr>
          <w:rFonts w:hint="eastAsia" w:cs="宋体"/>
          <w:color w:val="auto"/>
          <w:kern w:val="0"/>
          <w:highlight w:val="none"/>
          <w:u w:val="single"/>
        </w:rPr>
        <w:t xml:space="preserve"> / </w:t>
      </w:r>
      <w:r>
        <w:rPr>
          <w:rFonts w:hint="eastAsia" w:cs="宋体"/>
          <w:color w:val="auto"/>
          <w:kern w:val="0"/>
          <w:highlight w:val="none"/>
        </w:rPr>
        <w:t>天后发包人仍不纠正其违约行为并致使合同目的不能实现的，承包人有权解除合同。</w:t>
      </w:r>
    </w:p>
    <w:p>
      <w:pPr>
        <w:spacing w:after="120" w:line="288" w:lineRule="auto"/>
        <w:ind w:firstLine="420"/>
        <w:rPr>
          <w:rFonts w:cs="宋体"/>
          <w:color w:val="auto"/>
          <w:highlight w:val="none"/>
        </w:rPr>
      </w:pPr>
      <w:r>
        <w:rPr>
          <w:rFonts w:hint="eastAsia" w:cs="宋体"/>
          <w:color w:val="auto"/>
          <w:highlight w:val="none"/>
        </w:rPr>
        <w:t>16.2 承包人违约</w:t>
      </w:r>
    </w:p>
    <w:p>
      <w:pPr>
        <w:spacing w:line="288" w:lineRule="auto"/>
        <w:ind w:firstLine="420"/>
        <w:jc w:val="left"/>
        <w:rPr>
          <w:rFonts w:cs="宋体"/>
          <w:color w:val="auto"/>
          <w:kern w:val="0"/>
          <w:highlight w:val="none"/>
        </w:rPr>
      </w:pPr>
      <w:r>
        <w:rPr>
          <w:rFonts w:hint="eastAsia" w:cs="宋体"/>
          <w:color w:val="auto"/>
          <w:kern w:val="0"/>
          <w:highlight w:val="none"/>
        </w:rPr>
        <w:t>16.2.1 承包人违约的情形</w:t>
      </w:r>
    </w:p>
    <w:p>
      <w:pPr>
        <w:spacing w:line="288" w:lineRule="auto"/>
        <w:ind w:firstLine="420"/>
        <w:jc w:val="left"/>
        <w:rPr>
          <w:rFonts w:cs="宋体"/>
          <w:color w:val="auto"/>
          <w:kern w:val="0"/>
          <w:highlight w:val="none"/>
          <w:u w:val="single"/>
        </w:rPr>
      </w:pPr>
      <w:r>
        <w:rPr>
          <w:rFonts w:hint="eastAsia" w:cs="宋体"/>
          <w:color w:val="auto"/>
          <w:kern w:val="0"/>
          <w:highlight w:val="none"/>
        </w:rPr>
        <w:t>承包人违约的其他情形：</w:t>
      </w:r>
      <w:r>
        <w:rPr>
          <w:rFonts w:hint="eastAsia" w:cs="宋体"/>
          <w:color w:val="auto"/>
          <w:kern w:val="0"/>
          <w:highlight w:val="none"/>
          <w:u w:val="single"/>
        </w:rPr>
        <w:t xml:space="preserve">      /                        </w:t>
      </w:r>
      <w:r>
        <w:rPr>
          <w:rFonts w:hint="eastAsia" w:cs="宋体"/>
          <w:color w:val="auto"/>
          <w:kern w:val="0"/>
          <w:highlight w:val="none"/>
        </w:rPr>
        <w:t>。</w:t>
      </w:r>
    </w:p>
    <w:p>
      <w:pPr>
        <w:spacing w:line="288" w:lineRule="auto"/>
        <w:ind w:firstLine="420"/>
        <w:jc w:val="left"/>
        <w:rPr>
          <w:rFonts w:cs="宋体"/>
          <w:color w:val="auto"/>
          <w:kern w:val="0"/>
          <w:highlight w:val="none"/>
        </w:rPr>
      </w:pPr>
      <w:r>
        <w:rPr>
          <w:rFonts w:hint="eastAsia" w:cs="宋体"/>
          <w:color w:val="auto"/>
          <w:kern w:val="0"/>
          <w:highlight w:val="none"/>
        </w:rPr>
        <w:t>16.2.2承包人违约的责任</w:t>
      </w:r>
    </w:p>
    <w:p>
      <w:pPr>
        <w:spacing w:line="288" w:lineRule="auto"/>
        <w:ind w:firstLine="420"/>
        <w:jc w:val="left"/>
        <w:rPr>
          <w:rFonts w:cs="宋体"/>
          <w:color w:val="auto"/>
          <w:kern w:val="0"/>
          <w:highlight w:val="none"/>
        </w:rPr>
      </w:pPr>
      <w:r>
        <w:rPr>
          <w:rFonts w:hint="eastAsia" w:cs="宋体"/>
          <w:color w:val="auto"/>
          <w:kern w:val="0"/>
          <w:highlight w:val="none"/>
        </w:rPr>
        <w:t>承包人违约责任的承担方式和计算方法：</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（1）承包人违反合同约定进行转包或违法分包的违约责任：发包人有权解除合同，没收履约保证金，如给发包人造成的损失超过保证金数额的还应当对超过部份予以赔偿，并依法承担相应的法律责任；</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（2）承包人违反合同约定采购和使用不合格的材料和工程设备的违约责任：发包人有权要求承包人重新采购合格的材料和工程设备，承包人必须及时改正并承担相应损失；</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3）因承包人原因导致工程质量不符合合同要求的违约责任：承包人必须严格按照施工图及工程施工验收规范等精心组织施工，严格把好每道工序的质量关，确保工程竣工验收达到合格等级。经验收，如有不合格工程，承包人应无条件返工、整改、采取相应的补救、修复措施，直至工程竣工验收合格，如无法修复或严重降低工程整体质量，则发包人有权扣除其全额质量履约保证金，并处以工程结算总造价的3%的违约金。并承担由此造成发包人的经济损失；如因此造成工期延误的，还应承担工期延误的违约责任。</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经监理单位检查或发包人抽检，发现承包人不按设计要求或者工程质量验收规范标准施工，有偷工减料现象，每发现一次，承包人应按照人民币2000元/次的标准向发包人支付违约金，且承包人应及时整改，并承担全部整改费用，直到质量合格为止。如经发包人3次通知，承包人仍无法落实整改的，发包人有权没收履约保证金并将其清退出场并解除合同。</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（4）承包人违反第8.9款〔材料与设备专用要求〕的约定，未经批准，私自将已按照合同约定进入施工现场的材料或设备撤离施工现场的违约责任：承包人应及时停止撤离，并承担相应损失；</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5）承包人未能按施工进度计划及时完成合同约定的工作，造成工期延误的违约责任：本合同约定的竣工日前完成，每延误一天，按0.1万/天向发包人支付违约金，延误10天以外20天以内每延误一天，按0.2万/天向发包人支付违约金，以此类推，按倍数支付违约金；工期延误超过60天的，发包人同时有权解除合同并追究承包人违约责任。</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6）承包人在缺陷责任期及保修期内，未能在合理期限对工程缺陷进行修复，或拒绝按发包人要求进行修复的违约责任：工程移交后，如发包人或者本工程有关的接收人发现存在质量问题的，有权要求承包人及时维修，并赔偿给发包人带来的各种直接、间接经济损失。承包人不及时维修的，发包人有权代为扣除该保修金用于维修以及支付发包人的维修管理费用（按维修费用的15%计算），并在事后要求承包人补足缺额。</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工程移交后，如发包人或者本工程有关的接收人发现存在重大质量问题的，有权扣除承包人的全部质量保证金，要求承包人及时维修，并赔偿给发包人带来的各种直接、间接经济损失。</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在国家规定的保修期外，如本工程出现质量问题系由承包人偷工减料或使用不合格原材料、成品、半成品（不包括甲供材料）引起的，发包人有权无限期追索，承包人应承担由此造成的一切损失。</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（7）承包人明确表示或者以其行为表明不履行合同主要义务的违约责任：发包人有权终止合同，承包人承担发包人的一切损失；</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（8）承包人未能按照合同约定履行其他义务的违约责任：</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①</w:t>
      </w:r>
      <w:r>
        <w:rPr>
          <w:rFonts w:hint="eastAsia" w:cs="宋体"/>
          <w:color w:val="auto"/>
          <w:kern w:val="0"/>
          <w:highlight w:val="none"/>
          <w:u w:val="single"/>
        </w:rPr>
        <w:tab/>
      </w:r>
      <w:r>
        <w:rPr>
          <w:rFonts w:hint="eastAsia" w:cs="宋体"/>
          <w:color w:val="auto"/>
          <w:kern w:val="0"/>
          <w:highlight w:val="none"/>
          <w:u w:val="single"/>
        </w:rPr>
        <w:t>由发包人或监理召集的例会和其它重要会议，承包人必须按发包人指定人选准时参加，无故缺席或迟到的，发包人有权视情节严重程度处以1000元/次的罚款，因此导致对会议内容不了解的，其后果由承包人自负，该笔罚款由发包人在结算中直接扣除；</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②</w:t>
      </w:r>
      <w:r>
        <w:rPr>
          <w:rFonts w:hint="eastAsia" w:cs="宋体"/>
          <w:color w:val="auto"/>
          <w:kern w:val="0"/>
          <w:highlight w:val="none"/>
          <w:u w:val="single"/>
        </w:rPr>
        <w:tab/>
      </w:r>
      <w:r>
        <w:rPr>
          <w:rFonts w:hint="eastAsia" w:cs="宋体"/>
          <w:color w:val="auto"/>
          <w:kern w:val="0"/>
          <w:highlight w:val="none"/>
          <w:u w:val="single"/>
        </w:rPr>
        <w:t>承包人必须无条件服从发包人及监理单位合理的现场管理，若项目班子主要人员由于工作态度等原因，使发包人及监理不满意的，发包人有权要求更换；发包人有权对承包人在施工中出现的恶意违规及不服从管理等行为进行500-1000元/次的处罚，该笔罚款由发包人在结算中直接扣除；</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③</w:t>
      </w:r>
      <w:r>
        <w:rPr>
          <w:rFonts w:hint="eastAsia" w:cs="宋体"/>
          <w:color w:val="auto"/>
          <w:kern w:val="0"/>
          <w:highlight w:val="none"/>
          <w:u w:val="single"/>
        </w:rPr>
        <w:tab/>
      </w:r>
      <w:r>
        <w:rPr>
          <w:rFonts w:hint="eastAsia" w:cs="宋体"/>
          <w:color w:val="auto"/>
          <w:kern w:val="0"/>
          <w:highlight w:val="none"/>
          <w:u w:val="single"/>
        </w:rPr>
        <w:t>承包人在施工过程中不论遇到何种困难（发包人原因及不可抗力除外），均不得以任何理由（例如发包人未签证费用）擅自停工或变相停工，否则由此造成的一切后果和经济损失均由承包人承担，同时发包人有权处于10000元/天的处罚，该笔罚款由发包人在结算中直接扣除；造成工期延误的，承包人还应承担工期延误的违约责任。</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④</w:t>
      </w:r>
      <w:r>
        <w:rPr>
          <w:rFonts w:hint="eastAsia" w:cs="宋体"/>
          <w:color w:val="auto"/>
          <w:kern w:val="0"/>
          <w:highlight w:val="none"/>
          <w:u w:val="single"/>
        </w:rPr>
        <w:tab/>
      </w:r>
      <w:r>
        <w:rPr>
          <w:rFonts w:hint="eastAsia" w:cs="宋体"/>
          <w:color w:val="auto"/>
          <w:kern w:val="0"/>
          <w:highlight w:val="none"/>
          <w:u w:val="single"/>
        </w:rPr>
        <w:t>合同及本协议履行期间，承包人保证不拖欠民工工资，因拖欠民工工资造成的一切后果均由承包人承担。</w:t>
      </w:r>
      <w:r>
        <w:rPr>
          <w:rFonts w:hint="eastAsia" w:cs="宋体"/>
          <w:bCs/>
          <w:color w:val="auto"/>
          <w:kern w:val="0"/>
          <w:highlight w:val="none"/>
          <w:u w:val="single"/>
        </w:rPr>
        <w:t>承包人应按合同价款的1%向发包人支付违约金</w:t>
      </w:r>
      <w:r>
        <w:rPr>
          <w:rFonts w:hint="eastAsia" w:cs="宋体"/>
          <w:color w:val="auto"/>
          <w:kern w:val="0"/>
          <w:highlight w:val="none"/>
          <w:u w:val="single"/>
        </w:rPr>
        <w:t>，该笔违约金由发包人在结算中直接扣除；</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⑤</w:t>
      </w:r>
      <w:r>
        <w:rPr>
          <w:rFonts w:hint="eastAsia" w:cs="宋体"/>
          <w:color w:val="auto"/>
          <w:kern w:val="0"/>
          <w:highlight w:val="none"/>
          <w:u w:val="single"/>
        </w:rPr>
        <w:tab/>
      </w:r>
      <w:r>
        <w:rPr>
          <w:rFonts w:hint="eastAsia" w:cs="宋体"/>
          <w:color w:val="auto"/>
          <w:kern w:val="0"/>
          <w:highlight w:val="none"/>
          <w:u w:val="single"/>
        </w:rPr>
        <w:t xml:space="preserve">在合同履行过程中，若承包人的施工队伍素质、力量、机械配备、现场施工投入和管理未能履行投标书及询标纪要等相关文件中的承诺，不履行总包职责或分包与总包管理不协调，造成现场管理混乱，工程质量、进度、现场文明施工和安全生产达不到预定计划，发包人有权要求其调整充实力量，加强管理，承包人必须接受。当上述措施仍无效或未采取时，以承包人违约论处，发包人可终止本合同，将承包人清退出场，没收全部履约保证金，由此引起的工期延误责任及损失由承包人负责承担； </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⑥承包人进场后应对现场管线进行彻底调查，并结合发包人提供的已有管线图纸，对现场管线进行保护，并对施工现场周围建筑物和地下管线提出可行的施工方案，报发包人和有关部门审核后方可施工，确保其安全正常进行。现状管线保护费用以现场工程师签证工程量以及本合同条款精神结算。但因承包人不文明施工引起的保护、抢修费用及造成第三方人员或房屋、设备等财产损失，一切责任由承包人承担；</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⑦</w:t>
      </w:r>
      <w:r>
        <w:rPr>
          <w:rFonts w:hint="eastAsia" w:cs="宋体"/>
          <w:color w:val="auto"/>
          <w:kern w:val="0"/>
          <w:highlight w:val="none"/>
          <w:u w:val="single"/>
        </w:rPr>
        <w:tab/>
      </w:r>
      <w:r>
        <w:rPr>
          <w:rFonts w:hint="eastAsia" w:cs="宋体"/>
          <w:color w:val="auto"/>
          <w:kern w:val="0"/>
          <w:highlight w:val="none"/>
          <w:u w:val="single"/>
        </w:rPr>
        <w:t>施工期间，承包人应严格实行隐蔽工程验收制度，如有未经监理方验收自行隐蔽，监理和发包人有权要求复验，所有费用由承包人承担，发包人有权对承包人处以人民币壹万元/次的违约金，该笔违约金由发包人在结算中直接扣除；</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⑧</w:t>
      </w:r>
      <w:r>
        <w:rPr>
          <w:rFonts w:hint="eastAsia" w:cs="宋体"/>
          <w:color w:val="auto"/>
          <w:kern w:val="0"/>
          <w:highlight w:val="none"/>
          <w:u w:val="single"/>
        </w:rPr>
        <w:tab/>
      </w:r>
      <w:r>
        <w:rPr>
          <w:rFonts w:hint="eastAsia" w:cs="宋体"/>
          <w:color w:val="auto"/>
          <w:kern w:val="0"/>
          <w:highlight w:val="none"/>
          <w:u w:val="single"/>
        </w:rPr>
        <w:t>承包人应确保工程安全进行，如工程实施过程中出现一般安全责任事故，承包人须向发包人支付人民币5万元/起的违约金；出现较大及以上安全责任事故，承包人须向发包人支付人民币10万元/起的违约金；所有安全事故的全部责任均由承包人承担；</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⑨</w:t>
      </w:r>
      <w:r>
        <w:rPr>
          <w:rFonts w:hint="eastAsia" w:cs="宋体"/>
          <w:color w:val="auto"/>
          <w:kern w:val="0"/>
          <w:highlight w:val="none"/>
          <w:u w:val="single"/>
        </w:rPr>
        <w:tab/>
      </w:r>
      <w:r>
        <w:rPr>
          <w:rFonts w:hint="eastAsia" w:cs="宋体"/>
          <w:color w:val="auto"/>
          <w:kern w:val="0"/>
          <w:highlight w:val="none"/>
          <w:u w:val="single"/>
        </w:rPr>
        <w:t>本合同履行过程中，承包人被处以罚款的，以实际行为发生之日为罚款缴纳的时间；</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⑩</w:t>
      </w:r>
      <w:r>
        <w:rPr>
          <w:rFonts w:hint="eastAsia" w:cs="宋体"/>
          <w:color w:val="auto"/>
          <w:kern w:val="0"/>
          <w:highlight w:val="none"/>
          <w:u w:val="single"/>
        </w:rPr>
        <w:tab/>
      </w:r>
      <w:r>
        <w:rPr>
          <w:rFonts w:hint="eastAsia" w:cs="宋体"/>
          <w:color w:val="auto"/>
          <w:kern w:val="0"/>
          <w:highlight w:val="none"/>
          <w:u w:val="single"/>
        </w:rPr>
        <w:t>本合同中的罚款特指惩罚性违约金，本合同约定的违约金、罚款及损失赔偿款，发包人有权从履约保证金或工程款中直接扣减。</w:t>
      </w:r>
    </w:p>
    <w:p>
      <w:pPr>
        <w:spacing w:line="288" w:lineRule="auto"/>
        <w:ind w:firstLine="420"/>
        <w:jc w:val="left"/>
        <w:rPr>
          <w:rFonts w:cs="宋体"/>
          <w:color w:val="auto"/>
          <w:kern w:val="0"/>
          <w:highlight w:val="none"/>
          <w:u w:val="single"/>
        </w:rPr>
      </w:pPr>
      <w:r>
        <w:rPr>
          <w:rFonts w:hint="eastAsia" w:cs="宋体"/>
          <w:color w:val="auto"/>
          <w:kern w:val="0"/>
          <w:highlight w:val="none"/>
          <w:u w:val="single"/>
        </w:rPr>
        <w:t>⑪</w:t>
      </w:r>
      <w:r>
        <w:rPr>
          <w:rFonts w:hint="eastAsia" w:cs="宋体"/>
          <w:color w:val="auto"/>
          <w:kern w:val="0"/>
          <w:highlight w:val="none"/>
          <w:u w:val="single"/>
        </w:rPr>
        <w:tab/>
      </w:r>
      <w:r>
        <w:rPr>
          <w:rFonts w:hint="eastAsia" w:cs="宋体"/>
          <w:color w:val="auto"/>
          <w:kern w:val="0"/>
          <w:highlight w:val="none"/>
          <w:u w:val="single"/>
        </w:rPr>
        <w:t>合同生效后，承包人无正当理由，单方终止合同的，应向发包人承担违约责任，违约金按照合同总价的10%计取，并赔偿发包人因此造成的损失。</w:t>
      </w:r>
      <w:r>
        <w:rPr>
          <w:rFonts w:hint="eastAsia" w:cs="宋体"/>
          <w:color w:val="auto"/>
          <w:kern w:val="0"/>
          <w:highlight w:val="none"/>
        </w:rPr>
        <w:t>。</w:t>
      </w:r>
    </w:p>
    <w:p>
      <w:pPr>
        <w:spacing w:line="288" w:lineRule="auto"/>
        <w:ind w:firstLine="420"/>
        <w:jc w:val="left"/>
        <w:rPr>
          <w:rFonts w:cs="宋体"/>
          <w:color w:val="auto"/>
          <w:highlight w:val="none"/>
        </w:rPr>
      </w:pPr>
      <w:r>
        <w:rPr>
          <w:rFonts w:hint="eastAsia" w:cs="宋体"/>
          <w:color w:val="auto"/>
          <w:highlight w:val="none"/>
        </w:rPr>
        <w:t>16.2.3 因承包人违约解除合同</w:t>
      </w:r>
    </w:p>
    <w:p>
      <w:pPr>
        <w:spacing w:before="120" w:after="120" w:line="288" w:lineRule="auto"/>
        <w:ind w:firstLine="420"/>
        <w:rPr>
          <w:rFonts w:cs="宋体"/>
          <w:color w:val="auto"/>
          <w:kern w:val="0"/>
          <w:highlight w:val="none"/>
          <w:u w:val="single"/>
        </w:rPr>
      </w:pPr>
      <w:r>
        <w:rPr>
          <w:rFonts w:hint="eastAsia" w:cs="宋体"/>
          <w:color w:val="auto"/>
          <w:kern w:val="0"/>
          <w:highlight w:val="none"/>
        </w:rPr>
        <w:t>关于承包人违约解除合同的特别约定：</w:t>
      </w:r>
      <w:r>
        <w:rPr>
          <w:rFonts w:hint="eastAsia" w:cs="宋体"/>
          <w:color w:val="auto"/>
          <w:kern w:val="0"/>
          <w:highlight w:val="none"/>
          <w:u w:val="single"/>
        </w:rPr>
        <w:t xml:space="preserve">   /               </w:t>
      </w:r>
      <w:r>
        <w:rPr>
          <w:rFonts w:hint="eastAsia" w:cs="宋体"/>
          <w:color w:val="auto"/>
          <w:kern w:val="0"/>
          <w:highlight w:val="none"/>
        </w:rPr>
        <w:t>。</w:t>
      </w:r>
    </w:p>
    <w:p>
      <w:pPr>
        <w:spacing w:before="120" w:after="120" w:line="288" w:lineRule="auto"/>
        <w:ind w:firstLine="420"/>
        <w:rPr>
          <w:rFonts w:cs="宋体"/>
          <w:color w:val="auto"/>
          <w:kern w:val="0"/>
          <w:highlight w:val="none"/>
        </w:rPr>
      </w:pPr>
      <w:r>
        <w:rPr>
          <w:rFonts w:hint="eastAsia" w:cs="宋体"/>
          <w:color w:val="auto"/>
          <w:kern w:val="0"/>
          <w:highlight w:val="none"/>
        </w:rPr>
        <w:t>发包人继续使用承包人在施工现场的材料、设备、临时工程、承包人文件和由承包人或以其名义编制的其他文件的费用承担方式：</w:t>
      </w:r>
      <w:r>
        <w:rPr>
          <w:rFonts w:hint="eastAsia" w:cs="宋体"/>
          <w:color w:val="auto"/>
          <w:kern w:val="0"/>
          <w:highlight w:val="none"/>
          <w:u w:val="single"/>
        </w:rPr>
        <w:t xml:space="preserve">费用另行约定，由发包人承担                     </w:t>
      </w:r>
      <w:r>
        <w:rPr>
          <w:rFonts w:hint="eastAsia" w:cs="宋体"/>
          <w:color w:val="auto"/>
          <w:kern w:val="0"/>
          <w:highlight w:val="none"/>
        </w:rPr>
        <w:t>。</w:t>
      </w:r>
    </w:p>
    <w:p>
      <w:pPr>
        <w:keepNext/>
        <w:keepLines/>
        <w:tabs>
          <w:tab w:val="left" w:pos="630"/>
        </w:tabs>
        <w:spacing w:before="120" w:after="120" w:line="288" w:lineRule="auto"/>
        <w:ind w:firstLine="420"/>
        <w:outlineLvl w:val="3"/>
        <w:rPr>
          <w:rFonts w:cs="宋体"/>
          <w:bCs/>
          <w:color w:val="auto"/>
          <w:highlight w:val="none"/>
        </w:rPr>
      </w:pPr>
      <w:bookmarkStart w:id="1092" w:name="_Toc351203649"/>
      <w:r>
        <w:rPr>
          <w:rFonts w:hint="eastAsia" w:cs="宋体"/>
          <w:bCs/>
          <w:color w:val="auto"/>
          <w:highlight w:val="none"/>
        </w:rPr>
        <w:t>17. 不可抗力</w:t>
      </w:r>
      <w:bookmarkEnd w:id="1090"/>
      <w:bookmarkEnd w:id="1092"/>
    </w:p>
    <w:p>
      <w:pPr>
        <w:spacing w:after="120" w:line="288" w:lineRule="auto"/>
        <w:ind w:firstLine="420"/>
        <w:rPr>
          <w:rFonts w:cs="宋体"/>
          <w:color w:val="auto"/>
          <w:highlight w:val="none"/>
        </w:rPr>
      </w:pPr>
      <w:r>
        <w:rPr>
          <w:rFonts w:hint="eastAsia" w:cs="宋体"/>
          <w:color w:val="auto"/>
          <w:highlight w:val="none"/>
        </w:rPr>
        <w:t>17.1 不可抗力的确认</w:t>
      </w:r>
    </w:p>
    <w:p>
      <w:pPr>
        <w:spacing w:line="288" w:lineRule="auto"/>
        <w:ind w:firstLine="420"/>
        <w:jc w:val="left"/>
        <w:rPr>
          <w:rFonts w:cs="宋体"/>
          <w:color w:val="auto"/>
          <w:kern w:val="0"/>
          <w:highlight w:val="none"/>
          <w:u w:val="single"/>
        </w:rPr>
      </w:pPr>
      <w:r>
        <w:rPr>
          <w:rFonts w:hint="eastAsia" w:cs="宋体"/>
          <w:color w:val="auto"/>
          <w:highlight w:val="none"/>
        </w:rPr>
        <w:t xml:space="preserve">除通用合同条款约定的不可抗力事件之外，视为不可抗力的其他情形： </w:t>
      </w:r>
      <w:r>
        <w:rPr>
          <w:rFonts w:hint="eastAsia" w:cs="宋体"/>
          <w:color w:val="auto"/>
          <w:kern w:val="0"/>
          <w:highlight w:val="none"/>
          <w:u w:val="single"/>
        </w:rPr>
        <w:t xml:space="preserve">  按通用条款执行  </w:t>
      </w:r>
      <w:r>
        <w:rPr>
          <w:rFonts w:hint="eastAsia" w:cs="宋体"/>
          <w:color w:val="auto"/>
          <w:kern w:val="0"/>
          <w:highlight w:val="none"/>
        </w:rPr>
        <w:t>。</w:t>
      </w:r>
    </w:p>
    <w:p>
      <w:pPr>
        <w:spacing w:after="120" w:line="288" w:lineRule="auto"/>
        <w:ind w:firstLine="420"/>
        <w:rPr>
          <w:rFonts w:cs="宋体"/>
          <w:color w:val="auto"/>
          <w:highlight w:val="none"/>
        </w:rPr>
      </w:pPr>
      <w:r>
        <w:rPr>
          <w:rFonts w:hint="eastAsia" w:cs="宋体"/>
          <w:color w:val="auto"/>
          <w:highlight w:val="none"/>
        </w:rPr>
        <w:t>17.4 因不可抗力解除合同</w:t>
      </w:r>
    </w:p>
    <w:p>
      <w:pPr>
        <w:spacing w:line="288" w:lineRule="auto"/>
        <w:ind w:firstLine="420"/>
        <w:jc w:val="left"/>
        <w:rPr>
          <w:rFonts w:cs="宋体"/>
          <w:color w:val="auto"/>
          <w:highlight w:val="none"/>
        </w:rPr>
      </w:pPr>
      <w:r>
        <w:rPr>
          <w:rFonts w:hint="eastAsia" w:cs="宋体"/>
          <w:color w:val="auto"/>
          <w:highlight w:val="none"/>
        </w:rPr>
        <w:t>合同解除后，发包人应在商定或确定发包人应支付款项后</w:t>
      </w:r>
      <w:r>
        <w:rPr>
          <w:rFonts w:hint="eastAsia" w:cs="宋体"/>
          <w:color w:val="auto"/>
          <w:highlight w:val="none"/>
          <w:u w:val="single"/>
        </w:rPr>
        <w:t xml:space="preserve"> 28 </w:t>
      </w:r>
      <w:r>
        <w:rPr>
          <w:rFonts w:hint="eastAsia" w:cs="宋体"/>
          <w:color w:val="auto"/>
          <w:highlight w:val="none"/>
        </w:rPr>
        <w:t>天内完成款项的支付。</w:t>
      </w:r>
    </w:p>
    <w:p>
      <w:pPr>
        <w:keepNext/>
        <w:keepLines/>
        <w:spacing w:before="120" w:after="120" w:line="288" w:lineRule="auto"/>
        <w:ind w:firstLine="420"/>
        <w:outlineLvl w:val="3"/>
        <w:rPr>
          <w:rFonts w:cs="宋体"/>
          <w:bCs/>
          <w:color w:val="auto"/>
          <w:highlight w:val="none"/>
        </w:rPr>
      </w:pPr>
      <w:bookmarkStart w:id="1093" w:name="_Toc351203650"/>
      <w:r>
        <w:rPr>
          <w:rFonts w:hint="eastAsia" w:cs="宋体"/>
          <w:bCs/>
          <w:color w:val="auto"/>
          <w:highlight w:val="none"/>
        </w:rPr>
        <w:t>18. 保险</w:t>
      </w:r>
      <w:bookmarkEnd w:id="1093"/>
    </w:p>
    <w:bookmarkEnd w:id="1091"/>
    <w:p>
      <w:pPr>
        <w:spacing w:after="120" w:line="288" w:lineRule="auto"/>
        <w:ind w:firstLine="420"/>
        <w:rPr>
          <w:rFonts w:cs="宋体"/>
          <w:color w:val="auto"/>
          <w:highlight w:val="none"/>
        </w:rPr>
      </w:pPr>
      <w:r>
        <w:rPr>
          <w:rFonts w:hint="eastAsia" w:cs="宋体"/>
          <w:color w:val="auto"/>
          <w:highlight w:val="none"/>
        </w:rPr>
        <w:t>18.1 工程保险</w:t>
      </w:r>
    </w:p>
    <w:p>
      <w:pPr>
        <w:spacing w:line="288" w:lineRule="auto"/>
        <w:ind w:firstLine="420"/>
        <w:jc w:val="left"/>
        <w:rPr>
          <w:rFonts w:cs="宋体"/>
          <w:color w:val="auto"/>
          <w:highlight w:val="none"/>
        </w:rPr>
      </w:pPr>
      <w:r>
        <w:rPr>
          <w:rFonts w:hint="eastAsia" w:cs="宋体"/>
          <w:color w:val="auto"/>
          <w:highlight w:val="none"/>
        </w:rPr>
        <w:t>关于工程保险的特别约定：</w:t>
      </w:r>
      <w:r>
        <w:rPr>
          <w:rFonts w:hint="eastAsia" w:cs="宋体"/>
          <w:color w:val="auto"/>
          <w:kern w:val="0"/>
          <w:highlight w:val="none"/>
          <w:u w:val="single"/>
        </w:rPr>
        <w:t xml:space="preserve">  /                     </w:t>
      </w:r>
      <w:r>
        <w:rPr>
          <w:rFonts w:hint="eastAsia" w:cs="宋体"/>
          <w:color w:val="auto"/>
          <w:kern w:val="0"/>
          <w:highlight w:val="none"/>
        </w:rPr>
        <w:t>。</w:t>
      </w:r>
    </w:p>
    <w:p>
      <w:pPr>
        <w:spacing w:after="120" w:line="288" w:lineRule="auto"/>
        <w:ind w:firstLine="420"/>
        <w:rPr>
          <w:rFonts w:cs="宋体"/>
          <w:color w:val="auto"/>
          <w:highlight w:val="none"/>
        </w:rPr>
      </w:pPr>
      <w:r>
        <w:rPr>
          <w:rFonts w:hint="eastAsia" w:cs="宋体"/>
          <w:color w:val="auto"/>
          <w:highlight w:val="none"/>
        </w:rPr>
        <w:t>18.3 其他保险</w:t>
      </w:r>
    </w:p>
    <w:p>
      <w:pPr>
        <w:spacing w:line="288" w:lineRule="auto"/>
        <w:ind w:firstLine="420"/>
        <w:jc w:val="left"/>
        <w:rPr>
          <w:rFonts w:cs="宋体"/>
          <w:color w:val="auto"/>
          <w:kern w:val="0"/>
          <w:highlight w:val="none"/>
        </w:rPr>
      </w:pPr>
      <w:r>
        <w:rPr>
          <w:rFonts w:hint="eastAsia" w:cs="宋体"/>
          <w:color w:val="auto"/>
          <w:highlight w:val="none"/>
        </w:rPr>
        <w:t>关于其他保险的约定：</w:t>
      </w:r>
      <w:r>
        <w:rPr>
          <w:rFonts w:hint="eastAsia" w:cs="宋体"/>
          <w:color w:val="auto"/>
          <w:kern w:val="0"/>
          <w:highlight w:val="none"/>
          <w:u w:val="single"/>
        </w:rPr>
        <w:t>承包人为建设工程和施工场地内的自有人员设备及第三方生命财产办理保险并支付保险费用，费用已包含在总价内。施工期间所发生的一切与本工程有关的承包人的人员、财产等意外伤害、损失，由承包人承担全部责任和费用</w:t>
      </w:r>
      <w:r>
        <w:rPr>
          <w:rFonts w:hint="eastAsia" w:cs="宋体"/>
          <w:color w:val="auto"/>
          <w:kern w:val="0"/>
          <w:highlight w:val="none"/>
        </w:rPr>
        <w:t>。</w:t>
      </w:r>
    </w:p>
    <w:p>
      <w:pPr>
        <w:spacing w:line="288" w:lineRule="auto"/>
        <w:ind w:firstLine="420"/>
        <w:jc w:val="left"/>
        <w:rPr>
          <w:rFonts w:cs="宋体"/>
          <w:color w:val="auto"/>
          <w:highlight w:val="none"/>
          <w:u w:val="single"/>
        </w:rPr>
      </w:pPr>
      <w:r>
        <w:rPr>
          <w:rFonts w:hint="eastAsia" w:cs="宋体"/>
          <w:color w:val="auto"/>
          <w:highlight w:val="none"/>
        </w:rPr>
        <w:t>承包人是否应为其施工设备等办理财产保险：</w:t>
      </w:r>
      <w:r>
        <w:rPr>
          <w:rFonts w:hint="eastAsia" w:cs="宋体"/>
          <w:color w:val="auto"/>
          <w:highlight w:val="none"/>
          <w:u w:val="single"/>
        </w:rPr>
        <w:t xml:space="preserve">    是       </w:t>
      </w:r>
      <w:r>
        <w:rPr>
          <w:rFonts w:hint="eastAsia" w:cs="宋体"/>
          <w:color w:val="auto"/>
          <w:highlight w:val="none"/>
        </w:rPr>
        <w:t>。</w:t>
      </w:r>
    </w:p>
    <w:p>
      <w:pPr>
        <w:spacing w:after="120" w:line="288" w:lineRule="auto"/>
        <w:ind w:firstLine="420"/>
        <w:rPr>
          <w:rFonts w:cs="宋体"/>
          <w:color w:val="auto"/>
          <w:highlight w:val="none"/>
        </w:rPr>
      </w:pPr>
      <w:r>
        <w:rPr>
          <w:rFonts w:hint="eastAsia" w:cs="宋体"/>
          <w:color w:val="auto"/>
          <w:highlight w:val="none"/>
        </w:rPr>
        <w:t>18.7 通知义务</w:t>
      </w:r>
    </w:p>
    <w:p>
      <w:pPr>
        <w:spacing w:line="288" w:lineRule="auto"/>
        <w:ind w:firstLine="420"/>
        <w:jc w:val="left"/>
        <w:rPr>
          <w:rFonts w:cs="宋体"/>
          <w:color w:val="auto"/>
          <w:highlight w:val="none"/>
          <w:u w:val="single"/>
        </w:rPr>
      </w:pPr>
      <w:r>
        <w:rPr>
          <w:rFonts w:hint="eastAsia" w:cs="宋体"/>
          <w:color w:val="auto"/>
          <w:kern w:val="0"/>
          <w:highlight w:val="none"/>
        </w:rPr>
        <w:t>关于变更保险合同时的通知义务的约定：</w:t>
      </w:r>
      <w:r>
        <w:rPr>
          <w:rFonts w:hint="eastAsia" w:cs="宋体"/>
          <w:color w:val="auto"/>
          <w:highlight w:val="none"/>
          <w:u w:val="single"/>
        </w:rPr>
        <w:t>按通用条款执行</w:t>
      </w:r>
      <w:r>
        <w:rPr>
          <w:rFonts w:hint="eastAsia" w:cs="宋体"/>
          <w:color w:val="auto"/>
          <w:highlight w:val="none"/>
        </w:rPr>
        <w:t>。</w:t>
      </w:r>
    </w:p>
    <w:bookmarkEnd w:id="1067"/>
    <w:bookmarkEnd w:id="1068"/>
    <w:bookmarkEnd w:id="1069"/>
    <w:bookmarkEnd w:id="1070"/>
    <w:bookmarkEnd w:id="1071"/>
    <w:bookmarkEnd w:id="1072"/>
    <w:bookmarkEnd w:id="1073"/>
    <w:bookmarkEnd w:id="1074"/>
    <w:bookmarkEnd w:id="1075"/>
    <w:bookmarkEnd w:id="1076"/>
    <w:bookmarkEnd w:id="1077"/>
    <w:bookmarkEnd w:id="1078"/>
    <w:p>
      <w:pPr>
        <w:keepNext/>
        <w:keepLines/>
        <w:spacing w:before="120" w:after="120" w:line="288" w:lineRule="auto"/>
        <w:ind w:firstLine="420"/>
        <w:outlineLvl w:val="3"/>
        <w:rPr>
          <w:rFonts w:cs="宋体"/>
          <w:bCs/>
          <w:color w:val="auto"/>
          <w:highlight w:val="none"/>
        </w:rPr>
      </w:pPr>
      <w:bookmarkStart w:id="1094" w:name="_Toc351203651"/>
      <w:r>
        <w:rPr>
          <w:rFonts w:hint="eastAsia" w:cs="宋体"/>
          <w:bCs/>
          <w:color w:val="auto"/>
          <w:highlight w:val="none"/>
        </w:rPr>
        <w:t>20. 争议解决</w:t>
      </w:r>
      <w:bookmarkEnd w:id="1094"/>
    </w:p>
    <w:bookmarkEnd w:id="1079"/>
    <w:bookmarkEnd w:id="1080"/>
    <w:p>
      <w:pPr>
        <w:spacing w:after="120" w:line="288" w:lineRule="auto"/>
        <w:ind w:firstLine="420"/>
        <w:rPr>
          <w:rFonts w:cs="宋体"/>
          <w:color w:val="auto"/>
          <w:highlight w:val="none"/>
        </w:rPr>
      </w:pPr>
      <w:r>
        <w:rPr>
          <w:rFonts w:hint="eastAsia" w:cs="宋体"/>
          <w:color w:val="auto"/>
          <w:highlight w:val="none"/>
        </w:rPr>
        <w:t>20.3 争</w:t>
      </w:r>
      <w:bookmarkEnd w:id="1081"/>
      <w:r>
        <w:rPr>
          <w:rFonts w:hint="eastAsia" w:cs="宋体"/>
          <w:color w:val="auto"/>
          <w:highlight w:val="none"/>
        </w:rPr>
        <w:t>议评审</w:t>
      </w:r>
    </w:p>
    <w:p>
      <w:pPr>
        <w:spacing w:line="288" w:lineRule="auto"/>
        <w:ind w:left="149" w:leftChars="71" w:firstLine="315" w:firstLineChars="150"/>
        <w:jc w:val="left"/>
        <w:rPr>
          <w:rFonts w:cs="宋体"/>
          <w:color w:val="auto"/>
          <w:highlight w:val="none"/>
          <w:u w:val="single"/>
        </w:rPr>
      </w:pPr>
      <w:r>
        <w:rPr>
          <w:rFonts w:hint="eastAsia" w:cs="宋体"/>
          <w:color w:val="auto"/>
          <w:highlight w:val="none"/>
        </w:rPr>
        <w:t>合同当事人是否同意将工程争议提交争议评审小组决定：</w:t>
      </w:r>
      <w:r>
        <w:rPr>
          <w:rFonts w:hint="eastAsia" w:cs="宋体"/>
          <w:color w:val="auto"/>
          <w:highlight w:val="none"/>
          <w:u w:val="single"/>
        </w:rPr>
        <w:t>否</w:t>
      </w:r>
      <w:r>
        <w:rPr>
          <w:rFonts w:hint="eastAsia" w:cs="宋体"/>
          <w:color w:val="auto"/>
          <w:highlight w:val="none"/>
        </w:rPr>
        <w:t xml:space="preserve">。  </w:t>
      </w:r>
    </w:p>
    <w:p>
      <w:pPr>
        <w:spacing w:line="288" w:lineRule="auto"/>
        <w:ind w:firstLine="420"/>
        <w:jc w:val="left"/>
        <w:rPr>
          <w:rFonts w:cs="宋体"/>
          <w:color w:val="auto"/>
          <w:highlight w:val="none"/>
        </w:rPr>
      </w:pPr>
      <w:r>
        <w:rPr>
          <w:rFonts w:hint="eastAsia" w:cs="宋体"/>
          <w:color w:val="auto"/>
          <w:highlight w:val="none"/>
        </w:rPr>
        <w:t>20.3.1 争议评审小组的确定</w:t>
      </w:r>
    </w:p>
    <w:p>
      <w:pPr>
        <w:spacing w:line="288" w:lineRule="auto"/>
        <w:ind w:firstLine="420"/>
        <w:jc w:val="left"/>
        <w:rPr>
          <w:rFonts w:cs="宋体"/>
          <w:color w:val="auto"/>
          <w:highlight w:val="none"/>
          <w:u w:val="single"/>
        </w:rPr>
      </w:pPr>
      <w:r>
        <w:rPr>
          <w:rFonts w:hint="eastAsia" w:cs="宋体"/>
          <w:color w:val="auto"/>
          <w:highlight w:val="none"/>
        </w:rPr>
        <w:t>争议评审小组成员的确定：</w:t>
      </w:r>
      <w:r>
        <w:rPr>
          <w:rFonts w:hint="eastAsia" w:cs="宋体"/>
          <w:color w:val="auto"/>
          <w:highlight w:val="none"/>
          <w:u w:val="single"/>
        </w:rPr>
        <w:t xml:space="preserve">   /                        </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选定争议评审员的期限：</w:t>
      </w:r>
      <w:r>
        <w:rPr>
          <w:rFonts w:hint="eastAsia" w:cs="宋体"/>
          <w:color w:val="auto"/>
          <w:highlight w:val="none"/>
          <w:u w:val="single"/>
        </w:rPr>
        <w:t xml:space="preserve">     /                        </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争议评审小组成员的报酬承担方式：</w:t>
      </w:r>
      <w:r>
        <w:rPr>
          <w:rFonts w:hint="eastAsia" w:cs="宋体"/>
          <w:color w:val="auto"/>
          <w:highlight w:val="none"/>
          <w:u w:val="single"/>
        </w:rPr>
        <w:t xml:space="preserve">  /                 </w:t>
      </w:r>
      <w:r>
        <w:rPr>
          <w:rFonts w:hint="eastAsia" w:cs="宋体"/>
          <w:color w:val="auto"/>
          <w:highlight w:val="none"/>
        </w:rPr>
        <w:t>。</w:t>
      </w:r>
    </w:p>
    <w:p>
      <w:pPr>
        <w:spacing w:line="288" w:lineRule="auto"/>
        <w:ind w:firstLine="420"/>
        <w:jc w:val="left"/>
        <w:rPr>
          <w:rFonts w:cs="宋体"/>
          <w:color w:val="auto"/>
          <w:highlight w:val="none"/>
        </w:rPr>
      </w:pPr>
      <w:r>
        <w:rPr>
          <w:rFonts w:hint="eastAsia" w:cs="宋体"/>
          <w:color w:val="auto"/>
          <w:highlight w:val="none"/>
        </w:rPr>
        <w:t>其他事项的约定：</w:t>
      </w:r>
      <w:r>
        <w:rPr>
          <w:rFonts w:hint="eastAsia" w:cs="宋体"/>
          <w:color w:val="auto"/>
          <w:highlight w:val="none"/>
          <w:u w:val="single"/>
        </w:rPr>
        <w:t xml:space="preserve">          /                         </w:t>
      </w:r>
      <w:r>
        <w:rPr>
          <w:rFonts w:hint="eastAsia" w:cs="宋体"/>
          <w:color w:val="auto"/>
          <w:highlight w:val="none"/>
        </w:rPr>
        <w:t>。</w:t>
      </w:r>
    </w:p>
    <w:p>
      <w:pPr>
        <w:autoSpaceDE w:val="0"/>
        <w:autoSpaceDN w:val="0"/>
        <w:adjustRightInd w:val="0"/>
        <w:spacing w:line="288" w:lineRule="auto"/>
        <w:ind w:firstLine="420"/>
        <w:jc w:val="left"/>
        <w:rPr>
          <w:rFonts w:cs="宋体"/>
          <w:color w:val="auto"/>
          <w:kern w:val="0"/>
          <w:highlight w:val="none"/>
          <w:u w:val="single"/>
        </w:rPr>
      </w:pPr>
      <w:r>
        <w:rPr>
          <w:rFonts w:hint="eastAsia" w:cs="宋体"/>
          <w:color w:val="auto"/>
          <w:kern w:val="0"/>
          <w:highlight w:val="none"/>
        </w:rPr>
        <w:t>20.3.2 争议评审小组的决定</w:t>
      </w:r>
    </w:p>
    <w:p>
      <w:pPr>
        <w:spacing w:line="288" w:lineRule="auto"/>
        <w:ind w:firstLine="420"/>
        <w:jc w:val="left"/>
        <w:rPr>
          <w:rFonts w:cs="宋体"/>
          <w:color w:val="auto"/>
          <w:highlight w:val="none"/>
        </w:rPr>
      </w:pPr>
      <w:r>
        <w:rPr>
          <w:rFonts w:hint="eastAsia" w:cs="宋体"/>
          <w:color w:val="auto"/>
          <w:highlight w:val="none"/>
        </w:rPr>
        <w:t>合同当事人关于本项的约定：</w:t>
      </w:r>
      <w:r>
        <w:rPr>
          <w:rFonts w:hint="eastAsia" w:cs="宋体"/>
          <w:color w:val="auto"/>
          <w:highlight w:val="none"/>
          <w:u w:val="single"/>
        </w:rPr>
        <w:t xml:space="preserve">   /                      </w:t>
      </w:r>
      <w:r>
        <w:rPr>
          <w:rFonts w:hint="eastAsia" w:cs="宋体"/>
          <w:color w:val="auto"/>
          <w:highlight w:val="none"/>
        </w:rPr>
        <w:t>。</w:t>
      </w:r>
    </w:p>
    <w:p>
      <w:pPr>
        <w:spacing w:after="120" w:line="288" w:lineRule="auto"/>
        <w:ind w:firstLine="420"/>
        <w:rPr>
          <w:rFonts w:cs="宋体"/>
          <w:color w:val="auto"/>
          <w:highlight w:val="none"/>
        </w:rPr>
      </w:pPr>
      <w:r>
        <w:rPr>
          <w:rFonts w:hint="eastAsia" w:cs="宋体"/>
          <w:color w:val="auto"/>
          <w:highlight w:val="none"/>
        </w:rPr>
        <w:t>20.4仲裁或诉讼</w:t>
      </w:r>
      <w:bookmarkEnd w:id="1082"/>
    </w:p>
    <w:p>
      <w:pPr>
        <w:spacing w:after="120" w:line="288" w:lineRule="auto"/>
        <w:ind w:firstLine="420"/>
        <w:rPr>
          <w:rFonts w:cs="宋体"/>
          <w:color w:val="auto"/>
          <w:highlight w:val="none"/>
        </w:rPr>
      </w:pPr>
      <w:r>
        <w:rPr>
          <w:rFonts w:hint="eastAsia" w:cs="宋体"/>
          <w:color w:val="auto"/>
          <w:highlight w:val="none"/>
        </w:rPr>
        <w:t>因合同及合同有关事项发生的争议，双方当事人一致同意提交</w:t>
      </w:r>
      <w:r>
        <w:rPr>
          <w:rFonts w:hint="eastAsia" w:cs="宋体"/>
          <w:b/>
          <w:color w:val="auto"/>
          <w:highlight w:val="none"/>
        </w:rPr>
        <w:t>杭州仲裁委员会申请仲裁</w:t>
      </w:r>
      <w:r>
        <w:rPr>
          <w:rFonts w:hint="eastAsia" w:cs="宋体"/>
          <w:color w:val="auto"/>
          <w:highlight w:val="none"/>
        </w:rPr>
        <w:t>；但双方当事人特别约定下列解决方式中第</w:t>
      </w:r>
      <w:r>
        <w:rPr>
          <w:rFonts w:hint="eastAsia" w:cs="宋体"/>
          <w:color w:val="auto"/>
          <w:highlight w:val="none"/>
          <w:u w:val="single"/>
        </w:rPr>
        <w:t xml:space="preserve"> / </w:t>
      </w:r>
      <w:r>
        <w:rPr>
          <w:rFonts w:hint="eastAsia" w:cs="宋体"/>
          <w:color w:val="auto"/>
          <w:highlight w:val="none"/>
        </w:rPr>
        <w:t>种方式解决争议的除外：</w:t>
      </w:r>
    </w:p>
    <w:p>
      <w:pPr>
        <w:spacing w:line="288" w:lineRule="auto"/>
        <w:ind w:firstLine="420"/>
        <w:jc w:val="left"/>
        <w:rPr>
          <w:rFonts w:cs="宋体"/>
          <w:color w:val="auto"/>
          <w:highlight w:val="none"/>
        </w:rPr>
      </w:pPr>
      <w:r>
        <w:rPr>
          <w:rFonts w:hint="eastAsia" w:cs="宋体"/>
          <w:color w:val="auto"/>
          <w:highlight w:val="none"/>
        </w:rPr>
        <w:t>（1）提交</w:t>
      </w:r>
      <w:r>
        <w:rPr>
          <w:rFonts w:hint="eastAsia" w:cs="宋体"/>
          <w:color w:val="auto"/>
          <w:highlight w:val="none"/>
          <w:u w:val="single"/>
        </w:rPr>
        <w:t xml:space="preserve">       /           </w:t>
      </w:r>
      <w:r>
        <w:rPr>
          <w:rFonts w:hint="eastAsia" w:cs="宋体"/>
          <w:color w:val="auto"/>
          <w:highlight w:val="none"/>
        </w:rPr>
        <w:t>仲裁委员会申请仲裁；</w:t>
      </w:r>
    </w:p>
    <w:p>
      <w:pPr>
        <w:spacing w:line="288" w:lineRule="auto"/>
        <w:ind w:firstLine="420"/>
        <w:jc w:val="left"/>
        <w:rPr>
          <w:rFonts w:cs="宋体"/>
          <w:color w:val="auto"/>
          <w:highlight w:val="none"/>
        </w:rPr>
      </w:pPr>
      <w:r>
        <w:rPr>
          <w:rFonts w:hint="eastAsia" w:cs="宋体"/>
          <w:color w:val="auto"/>
          <w:highlight w:val="none"/>
        </w:rPr>
        <w:t>（2）依法向</w:t>
      </w:r>
      <w:r>
        <w:rPr>
          <w:rFonts w:hint="eastAsia" w:cs="宋体"/>
          <w:color w:val="auto"/>
          <w:highlight w:val="none"/>
          <w:u w:val="single"/>
        </w:rPr>
        <w:t xml:space="preserve">     /             </w:t>
      </w:r>
      <w:r>
        <w:rPr>
          <w:rFonts w:hint="eastAsia" w:cs="宋体"/>
          <w:color w:val="auto"/>
          <w:highlight w:val="none"/>
        </w:rPr>
        <w:t>人民法院起诉。</w:t>
      </w:r>
      <w:bookmarkEnd w:id="1083"/>
      <w:bookmarkEnd w:id="1084"/>
      <w:bookmarkEnd w:id="1085"/>
      <w:bookmarkEnd w:id="1086"/>
      <w:bookmarkEnd w:id="1087"/>
      <w:bookmarkEnd w:id="1088"/>
    </w:p>
    <w:p>
      <w:pPr>
        <w:spacing w:line="288" w:lineRule="auto"/>
        <w:ind w:firstLine="415" w:firstLineChars="198"/>
        <w:jc w:val="left"/>
        <w:rPr>
          <w:rFonts w:cs="宋体"/>
          <w:color w:val="auto"/>
          <w:highlight w:val="none"/>
        </w:rPr>
      </w:pPr>
      <w:r>
        <w:rPr>
          <w:rFonts w:hint="eastAsia" w:cs="宋体"/>
          <w:color w:val="auto"/>
          <w:highlight w:val="none"/>
        </w:rPr>
        <w:t>21．其他补充事项的约定</w:t>
      </w:r>
    </w:p>
    <w:p>
      <w:pPr>
        <w:pStyle w:val="13"/>
        <w:widowControl/>
        <w:adjustRightInd w:val="0"/>
        <w:snapToGrid w:val="0"/>
        <w:spacing w:line="288" w:lineRule="auto"/>
        <w:ind w:firstLine="422"/>
        <w:rPr>
          <w:rFonts w:ascii="宋体" w:hAnsi="宋体" w:cs="宋体"/>
          <w:b/>
          <w:bCs/>
          <w:color w:val="auto"/>
          <w:highlight w:val="none"/>
        </w:rPr>
      </w:pPr>
      <w:r>
        <w:rPr>
          <w:rFonts w:hint="eastAsia" w:ascii="宋体" w:hAnsi="宋体" w:cs="宋体"/>
          <w:b/>
          <w:bCs/>
          <w:color w:val="auto"/>
          <w:highlight w:val="none"/>
        </w:rPr>
        <w:t>21.1工程质量要求的其他约定</w:t>
      </w:r>
    </w:p>
    <w:p>
      <w:pPr>
        <w:widowControl/>
        <w:adjustRightInd w:val="0"/>
        <w:snapToGrid w:val="0"/>
        <w:spacing w:line="288" w:lineRule="auto"/>
        <w:ind w:firstLine="422"/>
        <w:rPr>
          <w:rFonts w:cs="宋体"/>
          <w:b/>
          <w:color w:val="auto"/>
          <w:highlight w:val="none"/>
          <w:u w:val="single"/>
        </w:rPr>
      </w:pPr>
      <w:r>
        <w:rPr>
          <w:rFonts w:hint="eastAsia" w:cs="宋体"/>
          <w:b/>
          <w:bCs/>
          <w:color w:val="auto"/>
          <w:highlight w:val="none"/>
        </w:rPr>
        <w:t>21.1.1</w:t>
      </w:r>
      <w:r>
        <w:rPr>
          <w:rFonts w:hint="eastAsia" w:cs="宋体"/>
          <w:b/>
          <w:color w:val="auto"/>
          <w:highlight w:val="none"/>
          <w:u w:val="single"/>
        </w:rPr>
        <w:t>承包人必须严格按合同条款及设计说明文件、施工验收规范、国家和省市的有关质量验收标准，精心组织施工，确保工程质量达到国家合格验收标准。承包人应详细编制施工方案，详细叙述关键部位的质量保证措施，并对质量目标进行承诺。</w:t>
      </w:r>
    </w:p>
    <w:p>
      <w:pPr>
        <w:pStyle w:val="13"/>
        <w:widowControl/>
        <w:adjustRightInd w:val="0"/>
        <w:snapToGrid w:val="0"/>
        <w:spacing w:line="288" w:lineRule="auto"/>
        <w:ind w:firstLine="422"/>
        <w:rPr>
          <w:rFonts w:ascii="宋体" w:hAnsi="宋体" w:cs="宋体"/>
          <w:b/>
          <w:color w:val="auto"/>
          <w:highlight w:val="none"/>
          <w:u w:val="single"/>
        </w:rPr>
      </w:pPr>
      <w:r>
        <w:rPr>
          <w:rFonts w:hint="eastAsia" w:ascii="宋体" w:hAnsi="宋体" w:cs="宋体"/>
          <w:b/>
          <w:color w:val="auto"/>
          <w:highlight w:val="none"/>
          <w:u w:val="single"/>
        </w:rPr>
        <w:t>工程经各方验收，质量未达到合同约定“合格”标准的，由承包人负责整改直至通过验收，承包人承担由此产生的所有费用及给发包人造成的损失，且工期不予顺延；工程经过承包人的全面整改后，经各方验收仍然未达到合同约定“合格”标准的，承包人必须按工程总造价的5%向发包人支付违约金，发包人有权直接从工程款中扣除该违约金。若承包人不按发包人要求整改或整改后仍不合格的，发包人有权委托第三方进行整改，整改费用由承包人承担，在工程款中扣除。发包人委托第三方整改不能免除承包人根据合同约定应当承担的工程保维修责任。</w:t>
      </w:r>
    </w:p>
    <w:p>
      <w:pPr>
        <w:widowControl/>
        <w:adjustRightInd w:val="0"/>
        <w:snapToGrid w:val="0"/>
        <w:spacing w:line="288" w:lineRule="auto"/>
        <w:ind w:firstLine="422"/>
        <w:rPr>
          <w:rFonts w:cs="宋体"/>
          <w:b/>
          <w:color w:val="auto"/>
          <w:highlight w:val="none"/>
          <w:u w:val="single"/>
        </w:rPr>
      </w:pPr>
      <w:r>
        <w:rPr>
          <w:rFonts w:hint="eastAsia" w:cs="宋体"/>
          <w:b/>
          <w:bCs/>
          <w:color w:val="auto"/>
          <w:highlight w:val="none"/>
        </w:rPr>
        <w:t>21.1.2</w:t>
      </w:r>
      <w:r>
        <w:rPr>
          <w:rFonts w:hint="eastAsia" w:cs="宋体"/>
          <w:b/>
          <w:color w:val="auto"/>
          <w:highlight w:val="none"/>
          <w:u w:val="single"/>
        </w:rPr>
        <w:t>因工程施工交叉进行，承包人应积极配合，并无条件服从发包人或监理工程师的合理安排。</w:t>
      </w:r>
    </w:p>
    <w:p>
      <w:pPr>
        <w:pStyle w:val="13"/>
        <w:widowControl/>
        <w:adjustRightInd w:val="0"/>
        <w:snapToGrid w:val="0"/>
        <w:spacing w:line="288" w:lineRule="auto"/>
        <w:ind w:firstLine="422"/>
        <w:rPr>
          <w:rFonts w:ascii="宋体" w:hAnsi="宋体" w:cs="宋体"/>
          <w:b/>
          <w:bCs/>
          <w:color w:val="auto"/>
          <w:highlight w:val="none"/>
        </w:rPr>
      </w:pPr>
      <w:r>
        <w:rPr>
          <w:rFonts w:hint="eastAsia" w:ascii="宋体" w:hAnsi="宋体" w:cs="宋体"/>
          <w:b/>
          <w:bCs/>
          <w:color w:val="auto"/>
          <w:highlight w:val="none"/>
        </w:rPr>
        <w:t>21.2工期要求的其他约定</w:t>
      </w:r>
    </w:p>
    <w:p>
      <w:pPr>
        <w:pStyle w:val="13"/>
        <w:widowControl/>
        <w:adjustRightInd w:val="0"/>
        <w:snapToGrid w:val="0"/>
        <w:spacing w:line="288" w:lineRule="auto"/>
        <w:ind w:firstLine="422"/>
        <w:rPr>
          <w:rFonts w:ascii="宋体" w:hAnsi="宋体" w:cs="宋体"/>
          <w:b/>
          <w:color w:val="auto"/>
          <w:highlight w:val="none"/>
          <w:u w:val="single"/>
        </w:rPr>
      </w:pPr>
      <w:r>
        <w:rPr>
          <w:rFonts w:hint="eastAsia" w:ascii="宋体" w:hAnsi="宋体" w:cs="宋体"/>
          <w:b/>
          <w:color w:val="auto"/>
          <w:highlight w:val="none"/>
          <w:u w:val="single"/>
        </w:rPr>
        <w:t>21.2.1承包人应详细踏勘、了解现场实际情况，承包人在投标响应中已充分考虑现场情况对施工工期的影响，该部分内容在施工工期中包干，不予调整。</w:t>
      </w:r>
    </w:p>
    <w:p>
      <w:pPr>
        <w:pStyle w:val="13"/>
        <w:widowControl/>
        <w:adjustRightInd w:val="0"/>
        <w:snapToGrid w:val="0"/>
        <w:spacing w:line="288" w:lineRule="auto"/>
        <w:ind w:firstLine="422"/>
        <w:rPr>
          <w:rFonts w:ascii="宋体" w:hAnsi="宋体" w:cs="宋体"/>
          <w:b/>
          <w:color w:val="auto"/>
          <w:highlight w:val="none"/>
          <w:u w:val="single"/>
        </w:rPr>
      </w:pPr>
      <w:r>
        <w:rPr>
          <w:rFonts w:hint="eastAsia" w:ascii="宋体" w:hAnsi="宋体" w:cs="宋体"/>
          <w:b/>
          <w:color w:val="auto"/>
          <w:highlight w:val="none"/>
          <w:u w:val="single"/>
        </w:rPr>
        <w:t>21.2.2合同工期为进场施工开始至竣工验收时止，承包人必须做好配合协调工作，因协调配合不当引起的工期等所有损失均由承包人承担。</w:t>
      </w:r>
    </w:p>
    <w:p>
      <w:pPr>
        <w:pStyle w:val="13"/>
        <w:widowControl/>
        <w:adjustRightInd w:val="0"/>
        <w:snapToGrid w:val="0"/>
        <w:spacing w:line="288" w:lineRule="auto"/>
        <w:ind w:firstLine="422"/>
        <w:rPr>
          <w:rFonts w:ascii="宋体" w:hAnsi="宋体" w:cs="宋体"/>
          <w:b/>
          <w:color w:val="auto"/>
          <w:highlight w:val="none"/>
          <w:u w:val="single"/>
        </w:rPr>
      </w:pPr>
      <w:r>
        <w:rPr>
          <w:rFonts w:hint="eastAsia" w:ascii="宋体" w:hAnsi="宋体" w:cs="宋体"/>
          <w:b/>
          <w:color w:val="auto"/>
          <w:highlight w:val="none"/>
          <w:u w:val="single"/>
        </w:rPr>
        <w:t>21.2.3如承包人认为发生了可顺延工期情形的，承包人必须于工期延误情形发生后14天内向发包人提出顺延工期申请，经发包人签证后按发包人签证的工期顺延。承包人逾期未申请顺延工期的，工期不予以顺延。</w:t>
      </w:r>
    </w:p>
    <w:p>
      <w:pPr>
        <w:pStyle w:val="13"/>
        <w:widowControl/>
        <w:adjustRightInd w:val="0"/>
        <w:snapToGrid w:val="0"/>
        <w:spacing w:line="288" w:lineRule="auto"/>
        <w:ind w:firstLine="422"/>
        <w:rPr>
          <w:rFonts w:ascii="宋体" w:hAnsi="宋体" w:cs="宋体"/>
          <w:b/>
          <w:bCs/>
          <w:color w:val="auto"/>
          <w:highlight w:val="none"/>
        </w:rPr>
      </w:pPr>
      <w:r>
        <w:rPr>
          <w:rFonts w:hint="eastAsia" w:ascii="宋体" w:hAnsi="宋体" w:cs="宋体"/>
          <w:b/>
          <w:bCs/>
          <w:color w:val="auto"/>
          <w:highlight w:val="none"/>
        </w:rPr>
        <w:t>21.3安全文明施工要求的其他约定</w:t>
      </w:r>
    </w:p>
    <w:p>
      <w:pPr>
        <w:pStyle w:val="13"/>
        <w:widowControl/>
        <w:adjustRightInd w:val="0"/>
        <w:snapToGrid w:val="0"/>
        <w:spacing w:line="288" w:lineRule="auto"/>
        <w:ind w:firstLine="422"/>
        <w:rPr>
          <w:rFonts w:ascii="宋体" w:hAnsi="宋体" w:cs="宋体"/>
          <w:b/>
          <w:color w:val="auto"/>
          <w:highlight w:val="none"/>
          <w:u w:val="single"/>
        </w:rPr>
      </w:pPr>
      <w:r>
        <w:rPr>
          <w:rFonts w:hint="eastAsia" w:ascii="宋体" w:hAnsi="宋体" w:cs="宋体"/>
          <w:b/>
          <w:color w:val="auto"/>
          <w:highlight w:val="none"/>
          <w:u w:val="single"/>
        </w:rPr>
        <w:t xml:space="preserve">21.3.1承包人与发包人必须签定《安全生产责任协议书》和《文明施工责任协议书》（见附件），且必须按照浙江省及发包人安全生产、文明施工标准化工地要求，做好安全生产、文明施工。 </w:t>
      </w:r>
    </w:p>
    <w:p>
      <w:pPr>
        <w:pStyle w:val="13"/>
        <w:widowControl/>
        <w:adjustRightInd w:val="0"/>
        <w:snapToGrid w:val="0"/>
        <w:spacing w:line="288" w:lineRule="auto"/>
        <w:ind w:firstLine="422"/>
        <w:rPr>
          <w:rFonts w:ascii="宋体" w:hAnsi="宋体" w:cs="宋体"/>
          <w:b/>
          <w:color w:val="auto"/>
          <w:highlight w:val="none"/>
          <w:u w:val="single"/>
        </w:rPr>
      </w:pPr>
      <w:r>
        <w:rPr>
          <w:rFonts w:hint="eastAsia" w:ascii="宋体" w:hAnsi="宋体" w:cs="宋体"/>
          <w:b/>
          <w:color w:val="auto"/>
          <w:highlight w:val="none"/>
          <w:u w:val="single"/>
        </w:rPr>
        <w:t>安全生产、文明施工相关费用在工程实施过程中必须足额投入，否则发包人有权拒绝支付该项费用。</w:t>
      </w:r>
    </w:p>
    <w:p>
      <w:pPr>
        <w:pStyle w:val="13"/>
        <w:widowControl/>
        <w:adjustRightInd w:val="0"/>
        <w:snapToGrid w:val="0"/>
        <w:spacing w:line="288" w:lineRule="auto"/>
        <w:ind w:firstLine="422"/>
        <w:rPr>
          <w:rFonts w:ascii="宋体" w:hAnsi="宋体" w:cs="宋体"/>
          <w:b/>
          <w:color w:val="auto"/>
          <w:highlight w:val="none"/>
          <w:u w:val="single"/>
        </w:rPr>
      </w:pPr>
      <w:r>
        <w:rPr>
          <w:rFonts w:hint="eastAsia" w:ascii="宋体" w:hAnsi="宋体" w:cs="宋体"/>
          <w:b/>
          <w:color w:val="auto"/>
          <w:highlight w:val="none"/>
          <w:u w:val="single"/>
        </w:rPr>
        <w:t>安全生产、文明施工维护及宣传方案需征得发包人同意方可实施。</w:t>
      </w:r>
    </w:p>
    <w:p>
      <w:pPr>
        <w:pStyle w:val="13"/>
        <w:widowControl/>
        <w:adjustRightInd w:val="0"/>
        <w:snapToGrid w:val="0"/>
        <w:spacing w:line="288" w:lineRule="auto"/>
        <w:ind w:firstLine="422"/>
        <w:rPr>
          <w:rFonts w:ascii="宋体" w:hAnsi="宋体" w:cs="宋体"/>
          <w:b/>
          <w:bCs/>
          <w:color w:val="auto"/>
          <w:highlight w:val="none"/>
        </w:rPr>
      </w:pPr>
      <w:r>
        <w:rPr>
          <w:rFonts w:hint="eastAsia" w:ascii="宋体" w:hAnsi="宋体" w:cs="宋体"/>
          <w:b/>
          <w:bCs/>
          <w:color w:val="auto"/>
          <w:highlight w:val="none"/>
        </w:rPr>
        <w:t>21.4人员到位要求的其他约定</w:t>
      </w:r>
    </w:p>
    <w:p>
      <w:pPr>
        <w:pStyle w:val="13"/>
        <w:widowControl/>
        <w:adjustRightInd w:val="0"/>
        <w:snapToGrid w:val="0"/>
        <w:spacing w:line="288" w:lineRule="auto"/>
        <w:ind w:firstLine="422"/>
        <w:rPr>
          <w:rFonts w:ascii="宋体" w:hAnsi="宋体" w:cs="宋体"/>
          <w:b/>
          <w:color w:val="auto"/>
          <w:highlight w:val="none"/>
          <w:u w:val="single"/>
        </w:rPr>
      </w:pPr>
      <w:r>
        <w:rPr>
          <w:rFonts w:hint="eastAsia" w:ascii="宋体" w:hAnsi="宋体" w:cs="宋体"/>
          <w:b/>
          <w:color w:val="auto"/>
          <w:highlight w:val="none"/>
          <w:u w:val="single"/>
        </w:rPr>
        <w:t>21.4.1承包人在招标响应中已承诺的管理人员（项目经理、技术负责人、施工员、安全员、质检员、材料员）配备数量应满足本工程管理的需要和相应规范、文件要求。</w:t>
      </w:r>
    </w:p>
    <w:p>
      <w:pPr>
        <w:pStyle w:val="13"/>
        <w:widowControl/>
        <w:adjustRightInd w:val="0"/>
        <w:snapToGrid w:val="0"/>
        <w:spacing w:line="288" w:lineRule="auto"/>
        <w:ind w:firstLine="422"/>
        <w:rPr>
          <w:rFonts w:ascii="宋体" w:hAnsi="宋体" w:cs="宋体"/>
          <w:b/>
          <w:color w:val="auto"/>
          <w:highlight w:val="none"/>
          <w:u w:val="single"/>
        </w:rPr>
      </w:pPr>
      <w:r>
        <w:rPr>
          <w:rFonts w:hint="eastAsia" w:ascii="宋体" w:hAnsi="宋体" w:cs="宋体"/>
          <w:b/>
          <w:color w:val="auto"/>
          <w:highlight w:val="none"/>
          <w:u w:val="single"/>
        </w:rPr>
        <w:t>若项目经理、技术负责人出勤率不足招标响应承诺，处罚1000元人民币/天；施工员、安全员、质检员、材料员出勤率不足招标响应承诺，处罚500元人民币/天/人（出勤率按照为每月25天，每日工作时间8小时考勤）。重要施工工序或环节时项目经理、技术负责人等必须到场，否则处罚5000元人民币/每次。</w:t>
      </w:r>
    </w:p>
    <w:p>
      <w:pPr>
        <w:pStyle w:val="13"/>
        <w:widowControl/>
        <w:adjustRightInd w:val="0"/>
        <w:snapToGrid w:val="0"/>
        <w:spacing w:line="288" w:lineRule="auto"/>
        <w:ind w:firstLine="422"/>
        <w:rPr>
          <w:rFonts w:ascii="宋体" w:hAnsi="宋体" w:cs="宋体"/>
          <w:b/>
          <w:bCs/>
          <w:color w:val="auto"/>
          <w:highlight w:val="none"/>
        </w:rPr>
      </w:pPr>
      <w:r>
        <w:rPr>
          <w:rFonts w:hint="eastAsia" w:ascii="宋体" w:hAnsi="宋体" w:cs="宋体"/>
          <w:b/>
          <w:bCs/>
          <w:color w:val="auto"/>
          <w:highlight w:val="none"/>
        </w:rPr>
        <w:t>21.5合同价款的其他约定</w:t>
      </w:r>
    </w:p>
    <w:p>
      <w:pPr>
        <w:pStyle w:val="13"/>
        <w:widowControl/>
        <w:adjustRightInd w:val="0"/>
        <w:snapToGrid w:val="0"/>
        <w:spacing w:line="288" w:lineRule="auto"/>
        <w:ind w:firstLine="422"/>
        <w:rPr>
          <w:rFonts w:ascii="宋体" w:hAnsi="宋体" w:cs="宋体"/>
          <w:b/>
          <w:color w:val="auto"/>
          <w:highlight w:val="none"/>
          <w:u w:val="single"/>
        </w:rPr>
      </w:pPr>
      <w:r>
        <w:rPr>
          <w:rFonts w:hint="eastAsia" w:ascii="宋体" w:hAnsi="宋体" w:cs="宋体"/>
          <w:b/>
          <w:color w:val="auto"/>
          <w:highlight w:val="none"/>
          <w:u w:val="single"/>
        </w:rPr>
        <w:t>21.5.1在工程通过竣工验收前，对已完成工程成品的保护工作由承包人负责，费用已在合同价中包干。</w:t>
      </w:r>
    </w:p>
    <w:p>
      <w:pPr>
        <w:pStyle w:val="13"/>
        <w:widowControl/>
        <w:adjustRightInd w:val="0"/>
        <w:snapToGrid w:val="0"/>
        <w:spacing w:line="288" w:lineRule="auto"/>
        <w:ind w:firstLine="422"/>
        <w:rPr>
          <w:rFonts w:ascii="宋体" w:hAnsi="宋体" w:cs="宋体"/>
          <w:b/>
          <w:color w:val="auto"/>
          <w:highlight w:val="none"/>
          <w:u w:val="single"/>
        </w:rPr>
      </w:pPr>
      <w:r>
        <w:rPr>
          <w:rFonts w:hint="eastAsia" w:ascii="宋体" w:hAnsi="宋体" w:cs="宋体"/>
          <w:b/>
          <w:color w:val="auto"/>
          <w:highlight w:val="none"/>
          <w:u w:val="single"/>
        </w:rPr>
        <w:t>21.5.2本工程工期较紧，相应赶工措施费用已包含在合同价中。</w:t>
      </w:r>
    </w:p>
    <w:p>
      <w:pPr>
        <w:pStyle w:val="13"/>
        <w:widowControl/>
        <w:adjustRightInd w:val="0"/>
        <w:snapToGrid w:val="0"/>
        <w:spacing w:line="288" w:lineRule="auto"/>
        <w:ind w:firstLine="422"/>
        <w:rPr>
          <w:rFonts w:ascii="宋体" w:hAnsi="宋体" w:cs="宋体"/>
          <w:b/>
          <w:color w:val="auto"/>
          <w:highlight w:val="none"/>
          <w:u w:val="single"/>
        </w:rPr>
      </w:pPr>
      <w:r>
        <w:rPr>
          <w:rFonts w:hint="eastAsia" w:ascii="宋体" w:hAnsi="宋体" w:cs="宋体"/>
          <w:b/>
          <w:color w:val="auto"/>
          <w:highlight w:val="none"/>
          <w:u w:val="single"/>
        </w:rPr>
        <w:t>21.5.3合同价中已包含危险作业意外伤害保险费用。</w:t>
      </w:r>
    </w:p>
    <w:p>
      <w:pPr>
        <w:pStyle w:val="13"/>
        <w:widowControl/>
        <w:adjustRightInd w:val="0"/>
        <w:snapToGrid w:val="0"/>
        <w:spacing w:line="288" w:lineRule="auto"/>
        <w:ind w:firstLine="422"/>
        <w:rPr>
          <w:rFonts w:ascii="宋体" w:hAnsi="宋体" w:cs="宋体"/>
          <w:b/>
          <w:color w:val="auto"/>
          <w:highlight w:val="none"/>
          <w:u w:val="single"/>
        </w:rPr>
      </w:pPr>
      <w:r>
        <w:rPr>
          <w:rFonts w:hint="eastAsia" w:ascii="宋体" w:hAnsi="宋体" w:cs="宋体"/>
          <w:b/>
          <w:color w:val="auto"/>
          <w:highlight w:val="none"/>
          <w:u w:val="single"/>
        </w:rPr>
        <w:t>21.5.4在合同施工范围内，无论现场施工条件如何变化、设计如何变更、也无论工程量增减的幅度如何，均不再调整施工组织措施费和技术措施费；</w:t>
      </w:r>
    </w:p>
    <w:p>
      <w:pPr>
        <w:pStyle w:val="13"/>
        <w:widowControl/>
        <w:adjustRightInd w:val="0"/>
        <w:snapToGrid w:val="0"/>
        <w:spacing w:line="288" w:lineRule="auto"/>
        <w:ind w:firstLine="422"/>
        <w:rPr>
          <w:rFonts w:ascii="宋体" w:hAnsi="宋体" w:cs="宋体"/>
          <w:b/>
          <w:color w:val="auto"/>
          <w:highlight w:val="none"/>
          <w:u w:val="single"/>
        </w:rPr>
      </w:pPr>
      <w:r>
        <w:rPr>
          <w:rFonts w:hint="eastAsia" w:ascii="宋体" w:hAnsi="宋体" w:cs="宋体"/>
          <w:b/>
          <w:color w:val="auto"/>
          <w:highlight w:val="none"/>
          <w:u w:val="single"/>
        </w:rPr>
        <w:t>21.5.5施工期间由于承包人原因造成施工方案的更改，所增加的工程费用及工期一概不予调整，属施工技术组织措施失误造成的费用及延误工期均由承包人承担。</w:t>
      </w:r>
    </w:p>
    <w:p>
      <w:pPr>
        <w:pStyle w:val="13"/>
        <w:widowControl/>
        <w:adjustRightInd w:val="0"/>
        <w:snapToGrid w:val="0"/>
        <w:spacing w:line="288" w:lineRule="auto"/>
        <w:ind w:firstLine="422"/>
        <w:rPr>
          <w:rFonts w:ascii="宋体" w:hAnsi="宋体" w:cs="宋体"/>
          <w:b/>
          <w:bCs/>
          <w:color w:val="auto"/>
          <w:highlight w:val="none"/>
        </w:rPr>
      </w:pPr>
      <w:r>
        <w:rPr>
          <w:rFonts w:hint="eastAsia" w:ascii="宋体" w:hAnsi="宋体" w:cs="宋体"/>
          <w:b/>
          <w:bCs/>
          <w:color w:val="auto"/>
          <w:highlight w:val="none"/>
        </w:rPr>
        <w:t>21.6其他方面的约定</w:t>
      </w:r>
    </w:p>
    <w:p>
      <w:pPr>
        <w:widowControl/>
        <w:adjustRightInd w:val="0"/>
        <w:snapToGrid w:val="0"/>
        <w:spacing w:line="288" w:lineRule="auto"/>
        <w:ind w:firstLine="422"/>
        <w:rPr>
          <w:rFonts w:cs="宋体"/>
          <w:b/>
          <w:color w:val="auto"/>
          <w:highlight w:val="none"/>
          <w:u w:val="single"/>
        </w:rPr>
      </w:pPr>
      <w:r>
        <w:rPr>
          <w:rFonts w:hint="eastAsia" w:cs="宋体"/>
          <w:b/>
          <w:color w:val="auto"/>
          <w:highlight w:val="none"/>
          <w:u w:val="single"/>
        </w:rPr>
        <w:t>21.6.1如承包人在投标响应时选择的备选材料设备品牌不在发包人推荐范围内，其材料设备进场前必须报发包人、监理审核，经审核如存在材料不满足发包人要求的，则发包人有权在发包人推荐的范围内任意选择</w:t>
      </w:r>
      <w:r>
        <w:rPr>
          <w:rFonts w:hint="eastAsia" w:cs="宋体"/>
          <w:b/>
          <w:bCs/>
          <w:color w:val="auto"/>
          <w:highlight w:val="none"/>
          <w:u w:val="single"/>
        </w:rPr>
        <w:t>或社会上相关产品进行指定</w:t>
      </w:r>
      <w:r>
        <w:rPr>
          <w:rFonts w:hint="eastAsia" w:cs="宋体"/>
          <w:b/>
          <w:color w:val="auto"/>
          <w:highlight w:val="none"/>
          <w:u w:val="single"/>
        </w:rPr>
        <w:t>，且价格不予调整。</w:t>
      </w:r>
    </w:p>
    <w:p>
      <w:pPr>
        <w:widowControl/>
        <w:adjustRightInd w:val="0"/>
        <w:snapToGrid w:val="0"/>
        <w:spacing w:line="288" w:lineRule="auto"/>
        <w:ind w:firstLine="422"/>
        <w:rPr>
          <w:rFonts w:cs="宋体"/>
          <w:b/>
          <w:color w:val="auto"/>
          <w:highlight w:val="none"/>
          <w:u w:val="single"/>
        </w:rPr>
      </w:pPr>
      <w:r>
        <w:rPr>
          <w:rFonts w:hint="eastAsia" w:cs="宋体"/>
          <w:b/>
          <w:color w:val="auto"/>
          <w:highlight w:val="none"/>
          <w:u w:val="single"/>
        </w:rPr>
        <w:t>21.6.2承包人应充分响应杭州市委、市政府及当地政府关于工程运输车安全整治有关问题的相关意见，落实好工程安全运输责任制。</w:t>
      </w:r>
    </w:p>
    <w:p>
      <w:pPr>
        <w:widowControl/>
        <w:adjustRightInd w:val="0"/>
        <w:snapToGrid w:val="0"/>
        <w:spacing w:line="288" w:lineRule="auto"/>
        <w:ind w:firstLine="422"/>
        <w:rPr>
          <w:rFonts w:cs="宋体"/>
          <w:b/>
          <w:color w:val="auto"/>
          <w:kern w:val="0"/>
          <w:highlight w:val="none"/>
          <w:u w:val="single"/>
        </w:rPr>
      </w:pPr>
      <w:r>
        <w:rPr>
          <w:rFonts w:hint="eastAsia" w:cs="宋体"/>
          <w:b/>
          <w:color w:val="auto"/>
          <w:highlight w:val="none"/>
          <w:u w:val="single"/>
        </w:rPr>
        <w:t>21.6.3</w:t>
      </w:r>
      <w:r>
        <w:rPr>
          <w:rFonts w:hint="eastAsia" w:cs="宋体"/>
          <w:b/>
          <w:color w:val="auto"/>
          <w:kern w:val="0"/>
          <w:highlight w:val="none"/>
          <w:u w:val="single"/>
        </w:rPr>
        <w:t>当承包人未按合同约定履行义务，造成质量低下、进度迟缓、管理混乱或将成交项目转让（转包给他人），发包方有权解除合同，没收履约保证金，如给发包人造成的损失超过保证金数额的还应当对超过部份予以赔偿，并依法承担相应的法律责任；</w:t>
      </w:r>
    </w:p>
    <w:p>
      <w:pPr>
        <w:widowControl/>
        <w:adjustRightInd w:val="0"/>
        <w:snapToGrid w:val="0"/>
        <w:spacing w:line="288" w:lineRule="auto"/>
        <w:ind w:firstLine="422"/>
        <w:rPr>
          <w:rFonts w:cs="宋体"/>
          <w:b/>
          <w:color w:val="auto"/>
          <w:highlight w:val="none"/>
          <w:u w:val="single"/>
        </w:rPr>
      </w:pPr>
      <w:r>
        <w:rPr>
          <w:rFonts w:hint="eastAsia" w:cs="宋体"/>
          <w:b/>
          <w:color w:val="auto"/>
          <w:highlight w:val="none"/>
          <w:u w:val="single"/>
        </w:rPr>
        <w:t>21.6.4</w:t>
      </w:r>
      <w:r>
        <w:rPr>
          <w:rFonts w:hint="eastAsia" w:cs="宋体"/>
          <w:b/>
          <w:color w:val="auto"/>
          <w:kern w:val="0"/>
          <w:highlight w:val="none"/>
          <w:u w:val="single"/>
        </w:rPr>
        <w:t>承包人应确保民工工资的及时支付，如不及时支付，视作违约，承包人应按合同价款的1%向发包人支付违约金且由此造成的后果与损失应由承包人承担，同时，发包人有权在工程款中扣除相应费用代为支付民工工资。</w:t>
      </w:r>
    </w:p>
    <w:p>
      <w:pPr>
        <w:pStyle w:val="13"/>
        <w:widowControl/>
        <w:adjustRightInd w:val="0"/>
        <w:snapToGrid w:val="0"/>
        <w:spacing w:line="288" w:lineRule="auto"/>
        <w:ind w:firstLine="422"/>
        <w:rPr>
          <w:rFonts w:ascii="宋体" w:hAnsi="宋体" w:cs="宋体"/>
          <w:b/>
          <w:color w:val="auto"/>
          <w:highlight w:val="none"/>
          <w:u w:val="single"/>
        </w:rPr>
      </w:pPr>
      <w:r>
        <w:rPr>
          <w:rFonts w:hint="eastAsia" w:ascii="宋体" w:hAnsi="宋体" w:cs="宋体"/>
          <w:b/>
          <w:color w:val="auto"/>
          <w:highlight w:val="none"/>
          <w:u w:val="single"/>
        </w:rPr>
        <w:t>21.6.5承包人需加强维修服务意识，信守维修服务承诺书中的各项承诺，维修服务承诺书作为合同附件。</w:t>
      </w:r>
    </w:p>
    <w:p>
      <w:pPr>
        <w:pStyle w:val="13"/>
        <w:widowControl/>
        <w:adjustRightInd w:val="0"/>
        <w:snapToGrid w:val="0"/>
        <w:spacing w:line="288" w:lineRule="auto"/>
        <w:ind w:firstLine="422"/>
        <w:rPr>
          <w:rFonts w:ascii="宋体" w:hAnsi="宋体" w:cs="宋体"/>
          <w:b/>
          <w:color w:val="auto"/>
          <w:highlight w:val="none"/>
          <w:u w:val="single"/>
        </w:rPr>
      </w:pPr>
      <w:r>
        <w:rPr>
          <w:rFonts w:hint="eastAsia" w:ascii="宋体" w:hAnsi="宋体" w:cs="宋体"/>
          <w:b/>
          <w:color w:val="auto"/>
          <w:highlight w:val="none"/>
          <w:u w:val="single"/>
        </w:rPr>
        <w:t>21.6.6工程实施期间，承包人必须确保本工程项目进度款专款专用，发包人（或发包人委托的中介机构）随时有权到承包人处核查工程进度款使用情况，承包人须全力配合不得以任何理由拒绝。</w:t>
      </w:r>
    </w:p>
    <w:p>
      <w:pPr>
        <w:pStyle w:val="13"/>
        <w:widowControl/>
        <w:adjustRightInd w:val="0"/>
        <w:snapToGrid w:val="0"/>
        <w:spacing w:line="288" w:lineRule="auto"/>
        <w:ind w:firstLine="422"/>
        <w:rPr>
          <w:rFonts w:ascii="宋体" w:hAnsi="宋体" w:cs="宋体"/>
          <w:b/>
          <w:color w:val="auto"/>
          <w:highlight w:val="none"/>
          <w:u w:val="single"/>
        </w:rPr>
      </w:pPr>
      <w:r>
        <w:rPr>
          <w:rFonts w:hint="eastAsia" w:ascii="宋体" w:hAnsi="宋体" w:cs="宋体"/>
          <w:b/>
          <w:color w:val="auto"/>
          <w:highlight w:val="none"/>
          <w:u w:val="single"/>
        </w:rPr>
        <w:t>21.6.7承包人应提供所有分部分项工程量清单和技术措施清单项目的综合单价分析表和工料机分析表（工料机分析表由承包人在收到成交通知书两天内提供（须与电子文本完全一致），但电子文本需与投标文件同时提交）。</w:t>
      </w:r>
    </w:p>
    <w:p>
      <w:pPr>
        <w:widowControl/>
        <w:adjustRightInd w:val="0"/>
        <w:snapToGrid w:val="0"/>
        <w:spacing w:line="288" w:lineRule="auto"/>
        <w:ind w:firstLine="422"/>
        <w:rPr>
          <w:rFonts w:cs="宋体"/>
          <w:b/>
          <w:color w:val="auto"/>
          <w:highlight w:val="none"/>
          <w:u w:val="single"/>
        </w:rPr>
      </w:pPr>
      <w:r>
        <w:rPr>
          <w:rFonts w:hint="eastAsia" w:cs="宋体"/>
          <w:b/>
          <w:color w:val="auto"/>
          <w:highlight w:val="none"/>
          <w:u w:val="single"/>
        </w:rPr>
        <w:t>21.6.8承包人已在投标文件中列出所有承包人认为需提供的工日、材料（设备）、机械台班价格，若承包人未列出，在施工期间可由发包人根据投标文件及其它的合同文件确定价格。</w:t>
      </w:r>
    </w:p>
    <w:p>
      <w:pPr>
        <w:widowControl/>
        <w:adjustRightInd w:val="0"/>
        <w:snapToGrid w:val="0"/>
        <w:spacing w:line="288" w:lineRule="auto"/>
        <w:ind w:firstLine="422"/>
        <w:rPr>
          <w:rFonts w:cs="宋体"/>
          <w:b/>
          <w:color w:val="auto"/>
          <w:highlight w:val="none"/>
          <w:u w:val="single"/>
        </w:rPr>
      </w:pPr>
      <w:r>
        <w:rPr>
          <w:rFonts w:hint="eastAsia" w:cs="宋体"/>
          <w:b/>
          <w:color w:val="auto"/>
          <w:highlight w:val="none"/>
          <w:u w:val="single"/>
        </w:rPr>
        <w:t>21.6.9承包人已在投标文件中列出所有承包人认为需列出的材料（设备）的规格、型号、品牌、档次等，若承包人未列出，在施工期间发包人可根据工程需要提出要求，承包人必须按照发包人的要求提供材料（设备）。</w:t>
      </w:r>
    </w:p>
    <w:p>
      <w:pPr>
        <w:widowControl/>
        <w:adjustRightInd w:val="0"/>
        <w:snapToGrid w:val="0"/>
        <w:spacing w:line="288" w:lineRule="auto"/>
        <w:ind w:firstLine="422"/>
        <w:rPr>
          <w:rFonts w:cs="宋体"/>
          <w:b/>
          <w:color w:val="auto"/>
          <w:highlight w:val="none"/>
          <w:u w:val="single"/>
        </w:rPr>
      </w:pPr>
      <w:r>
        <w:rPr>
          <w:rFonts w:hint="eastAsia" w:cs="宋体"/>
          <w:b/>
          <w:color w:val="auto"/>
          <w:highlight w:val="none"/>
          <w:u w:val="single"/>
        </w:rPr>
        <w:t>21.6.10如果承包人提供的工日、材料（设备）、机械台班价格及综合单价分析表和工料机分析表与综合单价有矛盾，结算时应以综合单价为准。</w:t>
      </w:r>
    </w:p>
    <w:p>
      <w:pPr>
        <w:pStyle w:val="13"/>
        <w:widowControl/>
        <w:adjustRightInd w:val="0"/>
        <w:snapToGrid w:val="0"/>
        <w:spacing w:line="288" w:lineRule="auto"/>
        <w:ind w:firstLine="422"/>
        <w:rPr>
          <w:rFonts w:ascii="宋体" w:hAnsi="宋体" w:cs="宋体"/>
          <w:b/>
          <w:color w:val="auto"/>
          <w:highlight w:val="none"/>
          <w:u w:val="single"/>
        </w:rPr>
      </w:pPr>
      <w:r>
        <w:rPr>
          <w:rFonts w:hint="eastAsia" w:ascii="宋体" w:hAnsi="宋体" w:cs="宋体"/>
          <w:b/>
          <w:color w:val="auto"/>
          <w:highlight w:val="none"/>
          <w:u w:val="single"/>
        </w:rPr>
        <w:t>21.6.11承包人应服从发包人的协调组织安排，不得因交叉交错施工影响本工程总体进度。</w:t>
      </w:r>
    </w:p>
    <w:p>
      <w:pPr>
        <w:widowControl/>
        <w:tabs>
          <w:tab w:val="left" w:pos="8080"/>
        </w:tabs>
        <w:adjustRightInd w:val="0"/>
        <w:snapToGrid w:val="0"/>
        <w:spacing w:line="288" w:lineRule="auto"/>
        <w:ind w:firstLine="422"/>
        <w:rPr>
          <w:rFonts w:cs="宋体"/>
          <w:b/>
          <w:color w:val="auto"/>
          <w:highlight w:val="none"/>
          <w:u w:val="single"/>
        </w:rPr>
      </w:pPr>
      <w:r>
        <w:rPr>
          <w:rFonts w:hint="eastAsia" w:cs="宋体"/>
          <w:b/>
          <w:color w:val="auto"/>
          <w:highlight w:val="none"/>
          <w:u w:val="single"/>
        </w:rPr>
        <w:t>21.6.12本工程在实施过程中，如承包人的施工队伍素质、力量、现场管理班子、施工设备、不能很好满足实际施工的需要，现场文明安全施工不符合招标投标文件的承诺，造成现场管理混乱、工程质量和进度达不到招标响应所承诺的要求时，发包人有权要求其调整充实施工力量，承包人必须接受，如措施不力，将视作承包人违约处理直至终止合同,并按本合同的约定追究违约责任。</w:t>
      </w:r>
    </w:p>
    <w:p>
      <w:pPr>
        <w:widowControl/>
        <w:adjustRightInd w:val="0"/>
        <w:snapToGrid w:val="0"/>
        <w:spacing w:line="288" w:lineRule="auto"/>
        <w:ind w:firstLine="422"/>
        <w:rPr>
          <w:rFonts w:cs="宋体"/>
          <w:b/>
          <w:color w:val="auto"/>
          <w:highlight w:val="none"/>
          <w:u w:val="single"/>
        </w:rPr>
      </w:pPr>
      <w:r>
        <w:rPr>
          <w:rFonts w:hint="eastAsia" w:cs="宋体"/>
          <w:b/>
          <w:color w:val="auto"/>
          <w:highlight w:val="none"/>
          <w:u w:val="single"/>
        </w:rPr>
        <w:t>21.6.13中介机构（审计部门）对承包人提交的竣工结算报告进行审核（计）时，承包人必须根据发包人及中介机构（审计部门）的要求履行配合义务，因承包人不配合中介机构（审计部门），导致中介机构（审计部门）无法及时完成造价审核（审计）的，责任由承包人承担，承包人不得以此要求发包人承担逾期付款违约责任。</w:t>
      </w:r>
    </w:p>
    <w:p>
      <w:pPr>
        <w:widowControl/>
        <w:adjustRightInd w:val="0"/>
        <w:snapToGrid w:val="0"/>
        <w:spacing w:line="288" w:lineRule="auto"/>
        <w:ind w:firstLine="422"/>
        <w:rPr>
          <w:rFonts w:cs="宋体"/>
          <w:b/>
          <w:color w:val="auto"/>
          <w:highlight w:val="none"/>
          <w:u w:val="single"/>
        </w:rPr>
      </w:pPr>
      <w:r>
        <w:rPr>
          <w:rFonts w:hint="eastAsia" w:cs="宋体"/>
          <w:b/>
          <w:color w:val="auto"/>
          <w:highlight w:val="none"/>
          <w:u w:val="single"/>
        </w:rPr>
        <w:t>21.6.14本合同所涉及的所有处罚违约金将以现金形式缴纳，月罚月交，如未按时递交违约金，本月工程款暂停支付。</w:t>
      </w:r>
    </w:p>
    <w:p>
      <w:pPr>
        <w:widowControl/>
        <w:adjustRightInd w:val="0"/>
        <w:snapToGrid w:val="0"/>
        <w:spacing w:line="288" w:lineRule="auto"/>
        <w:ind w:firstLine="422"/>
        <w:rPr>
          <w:rFonts w:cs="宋体"/>
          <w:b/>
          <w:color w:val="auto"/>
          <w:highlight w:val="none"/>
          <w:u w:val="single"/>
        </w:rPr>
      </w:pPr>
      <w:r>
        <w:rPr>
          <w:rFonts w:hint="eastAsia" w:cs="宋体"/>
          <w:b/>
          <w:color w:val="auto"/>
          <w:highlight w:val="none"/>
          <w:u w:val="single"/>
        </w:rPr>
        <w:t>21.6.15合同价中已综合考虑本项目涉及到的检测、监测、质检费用。</w:t>
      </w:r>
    </w:p>
    <w:p>
      <w:pPr>
        <w:widowControl/>
        <w:adjustRightInd w:val="0"/>
        <w:snapToGrid w:val="0"/>
        <w:spacing w:line="288" w:lineRule="auto"/>
        <w:ind w:firstLine="422"/>
        <w:rPr>
          <w:rFonts w:cs="宋体"/>
          <w:color w:val="auto"/>
          <w:highlight w:val="none"/>
        </w:rPr>
      </w:pPr>
      <w:r>
        <w:rPr>
          <w:rFonts w:hint="eastAsia" w:cs="宋体"/>
          <w:b/>
          <w:color w:val="auto"/>
          <w:highlight w:val="none"/>
          <w:u w:val="single"/>
        </w:rPr>
        <w:t>21.6.17合同双方确认，本合同及本合同约定的其它文件组成部分中的各项约定都是通过法定采购过程形成的合法成果，不存在与招标文件和承包人投标文件实质性内容不一致的条款。如果存在任何此类不一致的条款，也不是合同双方真实意思的表示，对合同双方不构成任何合同或法律约束力。合同双方也不存在且也不会签订任何背离本合同实质性内容的其他协议或合同。如果存在或签订背离本合同实质性内容的其他协议或合同，也不是合同双方真实意思的表示，对合同双方不构成任何合同或法律约束力。合同履行过程中，经双方协商一致变更、补充本合同内容的，不受本条款限制，补充合同或工程联系单等内容与本合同内容不一致的，以补充合同内容为准</w:t>
      </w:r>
      <w:r>
        <w:rPr>
          <w:rFonts w:hint="eastAsia" w:cs="宋体"/>
          <w:color w:val="auto"/>
          <w:highlight w:val="none"/>
          <w:u w:val="single"/>
        </w:rPr>
        <w:t>。</w:t>
      </w:r>
    </w:p>
    <w:bookmarkEnd w:id="573"/>
    <w:p>
      <w:pPr>
        <w:widowControl/>
        <w:spacing w:before="120" w:beforeLines="50" w:after="120" w:afterLines="50"/>
        <w:ind w:firstLine="420"/>
        <w:rPr>
          <w:rFonts w:cs="宋体"/>
          <w:color w:val="auto"/>
          <w:kern w:val="0"/>
          <w:highlight w:val="none"/>
          <w:lang w:val="zh-CN"/>
        </w:rPr>
        <w:sectPr>
          <w:pgSz w:w="11906" w:h="16838"/>
          <w:pgMar w:top="1418" w:right="1588" w:bottom="1418" w:left="1588" w:header="567" w:footer="567" w:gutter="0"/>
          <w:cols w:space="720" w:num="1"/>
          <w:docGrid w:linePitch="312" w:charSpace="0"/>
        </w:sectPr>
      </w:pPr>
    </w:p>
    <w:p>
      <w:pPr>
        <w:widowControl/>
        <w:spacing w:before="120" w:beforeLines="50" w:after="120" w:afterLines="50"/>
        <w:ind w:firstLine="420"/>
        <w:rPr>
          <w:rFonts w:cs="宋体"/>
          <w:color w:val="auto"/>
          <w:highlight w:val="none"/>
        </w:rPr>
      </w:pPr>
      <w:r>
        <w:rPr>
          <w:rFonts w:hint="eastAsia" w:cs="宋体"/>
          <w:color w:val="auto"/>
          <w:kern w:val="0"/>
          <w:highlight w:val="none"/>
          <w:lang w:val="zh-CN"/>
        </w:rPr>
        <w:t>附件一：工程质量保修书格式</w:t>
      </w:r>
    </w:p>
    <w:p>
      <w:pPr>
        <w:widowControl/>
        <w:spacing w:before="120" w:beforeLines="50" w:after="120" w:afterLines="50"/>
        <w:ind w:firstLine="422"/>
        <w:jc w:val="center"/>
        <w:rPr>
          <w:rFonts w:cs="宋体"/>
          <w:b/>
          <w:bCs/>
          <w:color w:val="auto"/>
          <w:highlight w:val="none"/>
        </w:rPr>
      </w:pPr>
      <w:r>
        <w:rPr>
          <w:rFonts w:hint="eastAsia" w:cs="宋体"/>
          <w:b/>
          <w:bCs/>
          <w:color w:val="auto"/>
          <w:highlight w:val="none"/>
        </w:rPr>
        <w:t>工程质量保修书</w:t>
      </w:r>
    </w:p>
    <w:p>
      <w:pPr>
        <w:widowControl/>
        <w:ind w:firstLine="420"/>
        <w:rPr>
          <w:rFonts w:cs="宋体"/>
          <w:b/>
          <w:color w:val="auto"/>
          <w:highlight w:val="none"/>
          <w:u w:val="single"/>
        </w:rPr>
      </w:pPr>
      <w:r>
        <w:rPr>
          <w:rFonts w:hint="eastAsia" w:cs="宋体"/>
          <w:color w:val="auto"/>
          <w:highlight w:val="none"/>
        </w:rPr>
        <w:t>发包人（全称）：</w:t>
      </w:r>
      <w:r>
        <w:rPr>
          <w:rFonts w:hint="eastAsia" w:cs="宋体"/>
          <w:b/>
          <w:color w:val="auto"/>
          <w:highlight w:val="none"/>
          <w:u w:val="single"/>
        </w:rPr>
        <w:t>浙江出入境边防检查总站</w:t>
      </w:r>
    </w:p>
    <w:p>
      <w:pPr>
        <w:widowControl/>
        <w:ind w:firstLine="420"/>
        <w:rPr>
          <w:rFonts w:hint="default" w:eastAsia="宋体" w:cs="宋体"/>
          <w:color w:val="auto"/>
          <w:highlight w:val="none"/>
          <w:u w:val="single"/>
          <w:lang w:val="en-US" w:eastAsia="zh-CN"/>
        </w:rPr>
      </w:pPr>
      <w:r>
        <w:rPr>
          <w:rFonts w:hint="eastAsia" w:cs="宋体"/>
          <w:color w:val="auto"/>
          <w:highlight w:val="none"/>
        </w:rPr>
        <w:t>承包人（全称）：</w:t>
      </w:r>
      <w:r>
        <w:rPr>
          <w:rFonts w:hint="eastAsia" w:cs="宋体"/>
          <w:color w:val="auto"/>
          <w:highlight w:val="none"/>
          <w:u w:val="single"/>
        </w:rPr>
        <w:t xml:space="preserve"> </w:t>
      </w:r>
      <w:r>
        <w:rPr>
          <w:rFonts w:hint="eastAsia" w:cs="宋体"/>
          <w:color w:val="auto"/>
          <w:highlight w:val="none"/>
          <w:u w:val="single"/>
          <w:lang w:val="en-US" w:eastAsia="zh-CN"/>
        </w:rPr>
        <w:t xml:space="preserve">                     </w:t>
      </w:r>
    </w:p>
    <w:p>
      <w:pPr>
        <w:widowControl/>
        <w:ind w:firstLine="420"/>
        <w:rPr>
          <w:rFonts w:cs="宋体"/>
          <w:color w:val="auto"/>
          <w:highlight w:val="none"/>
        </w:rPr>
      </w:pPr>
      <w:r>
        <w:rPr>
          <w:rFonts w:hint="eastAsia" w:cs="宋体"/>
          <w:color w:val="auto"/>
          <w:highlight w:val="none"/>
        </w:rPr>
        <w:t>发包人和承包人根据《中华人民共和国建筑法》和《建设工程质量管理条例》，经协商一致就</w:t>
      </w:r>
      <w:r>
        <w:rPr>
          <w:rFonts w:hint="eastAsia" w:cs="宋体"/>
          <w:color w:val="auto"/>
          <w:highlight w:val="none"/>
          <w:u w:val="single"/>
        </w:rPr>
        <w:t>浙江出入境边防检查总站室外综合改造设计工程</w:t>
      </w:r>
      <w:r>
        <w:rPr>
          <w:rFonts w:hint="eastAsia" w:cs="宋体"/>
          <w:color w:val="auto"/>
          <w:highlight w:val="none"/>
        </w:rPr>
        <w:t>（工程全称）签订工程质量保修书。</w:t>
      </w:r>
    </w:p>
    <w:p>
      <w:pPr>
        <w:widowControl/>
        <w:ind w:firstLine="420"/>
        <w:rPr>
          <w:rFonts w:cs="宋体"/>
          <w:color w:val="auto"/>
          <w:highlight w:val="none"/>
        </w:rPr>
      </w:pPr>
      <w:r>
        <w:rPr>
          <w:rFonts w:hint="eastAsia" w:cs="宋体"/>
          <w:color w:val="auto"/>
          <w:highlight w:val="none"/>
        </w:rPr>
        <w:t>一、工程质量保修范围和内容</w:t>
      </w:r>
    </w:p>
    <w:p>
      <w:pPr>
        <w:widowControl/>
        <w:ind w:firstLine="420"/>
        <w:rPr>
          <w:rFonts w:cs="宋体"/>
          <w:color w:val="auto"/>
          <w:highlight w:val="none"/>
        </w:rPr>
      </w:pPr>
      <w:r>
        <w:rPr>
          <w:rFonts w:hint="eastAsia" w:cs="宋体"/>
          <w:color w:val="auto"/>
          <w:highlight w:val="none"/>
        </w:rPr>
        <w:t>承包人在质量保修期内，按照有关法律规定和合同约定，承担工程质量保修责任。</w:t>
      </w:r>
    </w:p>
    <w:p>
      <w:pPr>
        <w:widowControl/>
        <w:ind w:firstLine="420"/>
        <w:rPr>
          <w:rFonts w:cs="宋体"/>
          <w:color w:val="auto"/>
          <w:highlight w:val="none"/>
        </w:rPr>
      </w:pPr>
      <w:r>
        <w:rPr>
          <w:rFonts w:hint="eastAsia" w:cs="宋体"/>
          <w:color w:val="auto"/>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widowControl/>
        <w:ind w:firstLine="420"/>
        <w:rPr>
          <w:rFonts w:cs="宋体"/>
          <w:color w:val="auto"/>
          <w:highlight w:val="none"/>
        </w:rPr>
      </w:pPr>
      <w:r>
        <w:rPr>
          <w:rFonts w:hint="eastAsia" w:cs="宋体"/>
          <w:color w:val="auto"/>
          <w:highlight w:val="none"/>
          <w:u w:val="single"/>
        </w:rPr>
        <w:t>本合同承包范围内的全部工程内容</w:t>
      </w:r>
      <w:r>
        <w:rPr>
          <w:rFonts w:hint="eastAsia" w:cs="宋体"/>
          <w:color w:val="auto"/>
          <w:highlight w:val="none"/>
        </w:rPr>
        <w:t>。</w:t>
      </w:r>
    </w:p>
    <w:p>
      <w:pPr>
        <w:widowControl/>
        <w:ind w:firstLine="420"/>
        <w:rPr>
          <w:rFonts w:cs="宋体"/>
          <w:color w:val="auto"/>
          <w:highlight w:val="none"/>
        </w:rPr>
      </w:pPr>
      <w:r>
        <w:rPr>
          <w:rFonts w:hint="eastAsia" w:cs="宋体"/>
          <w:color w:val="auto"/>
          <w:highlight w:val="none"/>
        </w:rPr>
        <w:t>二、质量保修期</w:t>
      </w:r>
    </w:p>
    <w:p>
      <w:pPr>
        <w:widowControl/>
        <w:ind w:firstLine="422"/>
        <w:rPr>
          <w:rFonts w:cs="宋体"/>
          <w:b/>
          <w:color w:val="auto"/>
          <w:highlight w:val="none"/>
        </w:rPr>
      </w:pPr>
      <w:r>
        <w:rPr>
          <w:rFonts w:hint="eastAsia" w:cs="宋体"/>
          <w:b/>
          <w:color w:val="auto"/>
          <w:highlight w:val="none"/>
        </w:rPr>
        <w:t>质量保修期从工程实际竣工验收合格之日算起。</w:t>
      </w:r>
    </w:p>
    <w:p>
      <w:pPr>
        <w:widowControl/>
        <w:ind w:firstLine="422"/>
        <w:rPr>
          <w:rFonts w:cs="宋体"/>
          <w:b/>
          <w:color w:val="auto"/>
          <w:highlight w:val="none"/>
        </w:rPr>
      </w:pPr>
      <w:r>
        <w:rPr>
          <w:rFonts w:hint="eastAsia" w:cs="宋体"/>
          <w:b/>
          <w:color w:val="auto"/>
          <w:highlight w:val="none"/>
        </w:rPr>
        <w:t>双方根据《建设工程质量管理条例》及国家有关规定，结合具体工程情况约定质量保修期如下：</w:t>
      </w:r>
    </w:p>
    <w:p>
      <w:pPr>
        <w:widowControl/>
        <w:ind w:firstLine="422"/>
        <w:rPr>
          <w:rFonts w:cs="宋体"/>
          <w:b/>
          <w:color w:val="auto"/>
          <w:highlight w:val="none"/>
        </w:rPr>
      </w:pPr>
      <w:r>
        <w:rPr>
          <w:rFonts w:hint="eastAsia" w:cs="宋体"/>
          <w:b/>
          <w:color w:val="auto"/>
          <w:highlight w:val="none"/>
        </w:rPr>
        <w:t>1、地基基础工程和主体结构工程为设计文件规定的该工程合理使用年限；</w:t>
      </w:r>
    </w:p>
    <w:p>
      <w:pPr>
        <w:widowControl/>
        <w:ind w:firstLine="422"/>
        <w:rPr>
          <w:rFonts w:cs="宋体"/>
          <w:b/>
          <w:color w:val="auto"/>
          <w:highlight w:val="none"/>
        </w:rPr>
      </w:pPr>
      <w:r>
        <w:rPr>
          <w:rFonts w:hint="eastAsia" w:cs="宋体"/>
          <w:b/>
          <w:color w:val="auto"/>
          <w:highlight w:val="none"/>
        </w:rPr>
        <w:t>2、屋面防水工程、有防水要求的墙面、地面的防渗漏为捌年；</w:t>
      </w:r>
    </w:p>
    <w:p>
      <w:pPr>
        <w:widowControl/>
        <w:ind w:firstLine="422"/>
        <w:rPr>
          <w:rFonts w:cs="宋体"/>
          <w:b/>
          <w:color w:val="auto"/>
          <w:highlight w:val="none"/>
        </w:rPr>
      </w:pPr>
      <w:r>
        <w:rPr>
          <w:rFonts w:hint="eastAsia" w:cs="宋体"/>
          <w:b/>
          <w:color w:val="auto"/>
          <w:highlight w:val="none"/>
        </w:rPr>
        <w:t>3、装修工程为贰年；</w:t>
      </w:r>
    </w:p>
    <w:p>
      <w:pPr>
        <w:widowControl/>
        <w:ind w:firstLine="422"/>
        <w:rPr>
          <w:rFonts w:cs="宋体"/>
          <w:b/>
          <w:color w:val="auto"/>
          <w:highlight w:val="none"/>
        </w:rPr>
      </w:pPr>
      <w:r>
        <w:rPr>
          <w:rFonts w:hint="eastAsia" w:cs="宋体"/>
          <w:b/>
          <w:color w:val="auto"/>
          <w:highlight w:val="none"/>
        </w:rPr>
        <w:t>4、电气管线、给排水管道、设备安装工程为贰年；</w:t>
      </w:r>
    </w:p>
    <w:p>
      <w:pPr>
        <w:widowControl/>
        <w:ind w:firstLine="422"/>
        <w:rPr>
          <w:rFonts w:cs="宋体"/>
          <w:b/>
          <w:color w:val="auto"/>
          <w:highlight w:val="none"/>
        </w:rPr>
      </w:pPr>
      <w:r>
        <w:rPr>
          <w:rFonts w:hint="eastAsia" w:cs="宋体"/>
          <w:b/>
          <w:color w:val="auto"/>
          <w:highlight w:val="none"/>
        </w:rPr>
        <w:t>5、供热与供冷系统为贰个采暖期、供冷期；</w:t>
      </w:r>
    </w:p>
    <w:p>
      <w:pPr>
        <w:widowControl/>
        <w:ind w:firstLine="422"/>
        <w:rPr>
          <w:rFonts w:cs="宋体"/>
          <w:b/>
          <w:color w:val="auto"/>
          <w:highlight w:val="none"/>
        </w:rPr>
      </w:pPr>
      <w:r>
        <w:rPr>
          <w:rFonts w:hint="eastAsia" w:cs="宋体"/>
          <w:b/>
          <w:color w:val="auto"/>
          <w:highlight w:val="none"/>
        </w:rPr>
        <w:t>6、其他约定：</w:t>
      </w:r>
    </w:p>
    <w:p>
      <w:pPr>
        <w:widowControl/>
        <w:ind w:firstLine="420"/>
        <w:rPr>
          <w:rFonts w:cs="宋体"/>
          <w:color w:val="auto"/>
          <w:highlight w:val="none"/>
        </w:rPr>
      </w:pPr>
      <w:r>
        <w:rPr>
          <w:rFonts w:hint="eastAsia" w:cs="宋体"/>
          <w:color w:val="auto"/>
          <w:highlight w:val="none"/>
        </w:rPr>
        <w:t>质量保修期自工程竣工验收合格之日起计算。</w:t>
      </w:r>
    </w:p>
    <w:p>
      <w:pPr>
        <w:widowControl/>
        <w:ind w:firstLine="420"/>
        <w:rPr>
          <w:rFonts w:cs="宋体"/>
          <w:color w:val="auto"/>
          <w:highlight w:val="none"/>
        </w:rPr>
      </w:pPr>
      <w:r>
        <w:rPr>
          <w:rFonts w:hint="eastAsia" w:cs="宋体"/>
          <w:color w:val="auto"/>
          <w:highlight w:val="none"/>
        </w:rPr>
        <w:t>三、缺陷责任期</w:t>
      </w:r>
    </w:p>
    <w:p>
      <w:pPr>
        <w:widowControl/>
        <w:ind w:firstLine="420"/>
        <w:rPr>
          <w:rFonts w:cs="宋体"/>
          <w:color w:val="auto"/>
          <w:highlight w:val="none"/>
        </w:rPr>
      </w:pPr>
      <w:r>
        <w:rPr>
          <w:rFonts w:hint="eastAsia" w:cs="宋体"/>
          <w:color w:val="auto"/>
          <w:highlight w:val="none"/>
        </w:rPr>
        <w:t>工程缺陷责任期为</w:t>
      </w:r>
      <w:r>
        <w:rPr>
          <w:rFonts w:hint="eastAsia" w:cs="宋体"/>
          <w:color w:val="auto"/>
          <w:highlight w:val="none"/>
          <w:u w:val="single"/>
        </w:rPr>
        <w:t xml:space="preserve"> 24 </w:t>
      </w:r>
      <w:r>
        <w:rPr>
          <w:rFonts w:hint="eastAsia" w:cs="宋体"/>
          <w:color w:val="auto"/>
          <w:highlight w:val="none"/>
        </w:rPr>
        <w:t>个月，缺陷责任期自工程通过竣工验收之日起计算。单位工程先于全部工程进行验收，单位工程缺陷责任期自单位工程验收合格之日起算。</w:t>
      </w:r>
    </w:p>
    <w:p>
      <w:pPr>
        <w:widowControl/>
        <w:ind w:firstLine="420"/>
        <w:rPr>
          <w:rFonts w:cs="宋体"/>
          <w:color w:val="auto"/>
          <w:highlight w:val="none"/>
        </w:rPr>
      </w:pPr>
      <w:r>
        <w:rPr>
          <w:rFonts w:hint="eastAsia" w:cs="宋体"/>
          <w:color w:val="auto"/>
          <w:highlight w:val="none"/>
        </w:rPr>
        <w:t>缺陷责任期终止后，发包人应退还剩余的质量保证金（不计息）。</w:t>
      </w:r>
    </w:p>
    <w:p>
      <w:pPr>
        <w:widowControl/>
        <w:ind w:firstLine="420"/>
        <w:rPr>
          <w:rFonts w:cs="宋体"/>
          <w:color w:val="auto"/>
          <w:highlight w:val="none"/>
        </w:rPr>
      </w:pPr>
      <w:r>
        <w:rPr>
          <w:rFonts w:hint="eastAsia" w:cs="宋体"/>
          <w:color w:val="auto"/>
          <w:highlight w:val="none"/>
        </w:rPr>
        <w:t>四、质量保修责任</w:t>
      </w:r>
    </w:p>
    <w:p>
      <w:pPr>
        <w:widowControl/>
        <w:ind w:left="105" w:leftChars="50" w:firstLine="420"/>
        <w:jc w:val="left"/>
        <w:rPr>
          <w:rFonts w:cs="宋体"/>
          <w:color w:val="auto"/>
          <w:highlight w:val="none"/>
        </w:rPr>
      </w:pPr>
      <w:r>
        <w:rPr>
          <w:rFonts w:hint="eastAsia" w:cs="宋体"/>
          <w:color w:val="auto"/>
          <w:highlight w:val="none"/>
        </w:rPr>
        <w:t>1．属于保修范围、内容的项目，承包人应当在接到保修通知之日起7天内派人保修。承包人不在约定期限内派人保修的，发包人可以委托他人修理，费用从质量保证金中直接扣除。</w:t>
      </w:r>
    </w:p>
    <w:p>
      <w:pPr>
        <w:widowControl/>
        <w:ind w:left="105" w:leftChars="50" w:firstLine="420"/>
        <w:jc w:val="left"/>
        <w:rPr>
          <w:rFonts w:cs="宋体"/>
          <w:color w:val="auto"/>
          <w:highlight w:val="none"/>
        </w:rPr>
      </w:pPr>
      <w:r>
        <w:rPr>
          <w:rFonts w:hint="eastAsia" w:cs="宋体"/>
          <w:color w:val="auto"/>
          <w:highlight w:val="none"/>
        </w:rPr>
        <w:t>2．发生紧急事故需抢修的，承包人在接到事故通知后，应当立即到达事故现场抢修。</w:t>
      </w:r>
    </w:p>
    <w:p>
      <w:pPr>
        <w:widowControl/>
        <w:ind w:left="105" w:leftChars="50" w:firstLine="420"/>
        <w:jc w:val="left"/>
        <w:rPr>
          <w:rFonts w:cs="宋体"/>
          <w:color w:val="auto"/>
          <w:highlight w:val="none"/>
        </w:rPr>
      </w:pPr>
      <w:r>
        <w:rPr>
          <w:rFonts w:hint="eastAsia" w:cs="宋体"/>
          <w:color w:val="auto"/>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widowControl/>
        <w:ind w:firstLine="420"/>
        <w:jc w:val="left"/>
        <w:rPr>
          <w:rFonts w:cs="宋体"/>
          <w:color w:val="auto"/>
          <w:highlight w:val="none"/>
        </w:rPr>
      </w:pPr>
      <w:r>
        <w:rPr>
          <w:rFonts w:hint="eastAsia" w:cs="宋体"/>
          <w:color w:val="auto"/>
          <w:highlight w:val="none"/>
        </w:rPr>
        <w:t>4．质量保修完成后，由发包人组织验收。</w:t>
      </w:r>
    </w:p>
    <w:p>
      <w:pPr>
        <w:widowControl/>
        <w:ind w:firstLine="420"/>
        <w:rPr>
          <w:rFonts w:cs="宋体"/>
          <w:color w:val="auto"/>
          <w:highlight w:val="none"/>
        </w:rPr>
      </w:pPr>
      <w:r>
        <w:rPr>
          <w:rFonts w:hint="eastAsia" w:cs="宋体"/>
          <w:color w:val="auto"/>
          <w:highlight w:val="none"/>
        </w:rPr>
        <w:t>五、保修费用</w:t>
      </w:r>
    </w:p>
    <w:p>
      <w:pPr>
        <w:widowControl/>
        <w:ind w:firstLine="420"/>
        <w:rPr>
          <w:rFonts w:cs="宋体"/>
          <w:color w:val="auto"/>
          <w:highlight w:val="none"/>
        </w:rPr>
      </w:pPr>
      <w:r>
        <w:rPr>
          <w:rFonts w:hint="eastAsia" w:cs="宋体"/>
          <w:color w:val="auto"/>
          <w:highlight w:val="none"/>
        </w:rPr>
        <w:t>保修费用由造成质量缺陷的责任方承担。</w:t>
      </w:r>
    </w:p>
    <w:p>
      <w:pPr>
        <w:widowControl/>
        <w:ind w:firstLine="420"/>
        <w:rPr>
          <w:rFonts w:cs="宋体"/>
          <w:color w:val="auto"/>
          <w:highlight w:val="none"/>
        </w:rPr>
      </w:pPr>
      <w:r>
        <w:rPr>
          <w:rFonts w:hint="eastAsia" w:cs="宋体"/>
          <w:color w:val="auto"/>
          <w:highlight w:val="none"/>
        </w:rPr>
        <w:t>六、双方约定的其他工程质量保修事项：</w:t>
      </w:r>
      <w:r>
        <w:rPr>
          <w:rFonts w:hint="eastAsia" w:cs="宋体"/>
          <w:color w:val="auto"/>
          <w:highlight w:val="none"/>
          <w:u w:val="single"/>
        </w:rPr>
        <w:t xml:space="preserve">   /   </w:t>
      </w:r>
      <w:r>
        <w:rPr>
          <w:rFonts w:hint="eastAsia" w:cs="宋体"/>
          <w:color w:val="auto"/>
          <w:highlight w:val="none"/>
        </w:rPr>
        <w:t>。</w:t>
      </w:r>
    </w:p>
    <w:p>
      <w:pPr>
        <w:widowControl/>
        <w:ind w:firstLine="420"/>
        <w:rPr>
          <w:rFonts w:cs="宋体"/>
          <w:color w:val="auto"/>
          <w:highlight w:val="none"/>
        </w:rPr>
      </w:pPr>
      <w:r>
        <w:rPr>
          <w:rFonts w:hint="eastAsia" w:cs="宋体"/>
          <w:color w:val="auto"/>
          <w:highlight w:val="none"/>
        </w:rPr>
        <w:t>工程质量保修书由发包人、承包人在工程竣工验收前共同签署，作为施工合同附件，其有效期限至保修期满。</w:t>
      </w:r>
    </w:p>
    <w:p>
      <w:pPr>
        <w:widowControl/>
        <w:ind w:firstLine="420"/>
        <w:rPr>
          <w:rFonts w:cs="宋体"/>
          <w:color w:val="auto"/>
          <w:highlight w:val="none"/>
        </w:rPr>
      </w:pPr>
    </w:p>
    <w:p>
      <w:pPr>
        <w:widowControl/>
        <w:ind w:firstLine="420"/>
        <w:rPr>
          <w:rFonts w:cs="宋体"/>
          <w:color w:val="auto"/>
          <w:highlight w:val="none"/>
        </w:rPr>
      </w:pPr>
      <w:r>
        <w:rPr>
          <w:rFonts w:hint="eastAsia" w:cs="宋体"/>
          <w:color w:val="auto"/>
          <w:highlight w:val="none"/>
        </w:rPr>
        <w:t>发包人(公章)：                    承包人(公章)：</w:t>
      </w:r>
    </w:p>
    <w:p>
      <w:pPr>
        <w:widowControl/>
        <w:ind w:firstLine="420"/>
        <w:rPr>
          <w:rFonts w:cs="宋体"/>
          <w:color w:val="auto"/>
          <w:highlight w:val="none"/>
        </w:rPr>
      </w:pPr>
      <w:r>
        <w:rPr>
          <w:rFonts w:hint="eastAsia" w:cs="宋体"/>
          <w:color w:val="auto"/>
          <w:highlight w:val="none"/>
        </w:rPr>
        <w:t>地  址：                          地  址：</w:t>
      </w:r>
    </w:p>
    <w:p>
      <w:pPr>
        <w:widowControl/>
        <w:ind w:firstLine="420"/>
        <w:rPr>
          <w:rFonts w:cs="宋体"/>
          <w:color w:val="auto"/>
          <w:highlight w:val="none"/>
        </w:rPr>
      </w:pPr>
      <w:r>
        <w:rPr>
          <w:rFonts w:hint="eastAsia" w:cs="宋体"/>
          <w:color w:val="auto"/>
          <w:highlight w:val="none"/>
        </w:rPr>
        <w:t>法定代表人(签字)：                法定代表人(签字)：</w:t>
      </w:r>
    </w:p>
    <w:p>
      <w:pPr>
        <w:widowControl/>
        <w:ind w:firstLine="420"/>
        <w:rPr>
          <w:rFonts w:cs="宋体"/>
          <w:color w:val="auto"/>
          <w:highlight w:val="none"/>
        </w:rPr>
      </w:pPr>
      <w:r>
        <w:rPr>
          <w:rFonts w:hint="eastAsia" w:cs="宋体"/>
          <w:color w:val="auto"/>
          <w:highlight w:val="none"/>
        </w:rPr>
        <w:t>委托代理人(签字)：                委托代理人(签字)：</w:t>
      </w:r>
    </w:p>
    <w:p>
      <w:pPr>
        <w:widowControl/>
        <w:ind w:firstLine="420"/>
        <w:rPr>
          <w:rFonts w:cs="宋体"/>
          <w:color w:val="auto"/>
          <w:highlight w:val="none"/>
        </w:rPr>
      </w:pPr>
      <w:r>
        <w:rPr>
          <w:rFonts w:hint="eastAsia" w:cs="宋体"/>
          <w:color w:val="auto"/>
          <w:highlight w:val="none"/>
        </w:rPr>
        <w:t>电  话：                          电  话：</w:t>
      </w:r>
    </w:p>
    <w:p>
      <w:pPr>
        <w:widowControl/>
        <w:ind w:firstLine="420"/>
        <w:rPr>
          <w:rFonts w:cs="宋体"/>
          <w:color w:val="auto"/>
          <w:highlight w:val="none"/>
        </w:rPr>
      </w:pPr>
      <w:r>
        <w:rPr>
          <w:rFonts w:hint="eastAsia" w:cs="宋体"/>
          <w:color w:val="auto"/>
          <w:highlight w:val="none"/>
        </w:rPr>
        <w:t>传  真：                          传  真：</w:t>
      </w:r>
    </w:p>
    <w:p>
      <w:pPr>
        <w:widowControl/>
        <w:ind w:firstLine="420"/>
        <w:rPr>
          <w:rFonts w:cs="宋体"/>
          <w:color w:val="auto"/>
          <w:highlight w:val="none"/>
        </w:rPr>
      </w:pPr>
      <w:r>
        <w:rPr>
          <w:rFonts w:hint="eastAsia" w:cs="宋体"/>
          <w:color w:val="auto"/>
          <w:highlight w:val="none"/>
        </w:rPr>
        <w:t>开户银行：                        开户银行：</w:t>
      </w:r>
    </w:p>
    <w:p>
      <w:pPr>
        <w:widowControl/>
        <w:ind w:firstLine="420"/>
        <w:rPr>
          <w:rFonts w:cs="宋体"/>
          <w:color w:val="auto"/>
          <w:highlight w:val="none"/>
        </w:rPr>
      </w:pPr>
      <w:r>
        <w:rPr>
          <w:rFonts w:hint="eastAsia" w:cs="宋体"/>
          <w:color w:val="auto"/>
          <w:highlight w:val="none"/>
        </w:rPr>
        <w:t>账  号：                          账  号：</w:t>
      </w:r>
    </w:p>
    <w:p>
      <w:pPr>
        <w:widowControl/>
        <w:ind w:firstLine="420"/>
        <w:rPr>
          <w:rFonts w:cs="宋体"/>
          <w:color w:val="auto"/>
          <w:highlight w:val="none"/>
        </w:rPr>
      </w:pPr>
      <w:r>
        <w:rPr>
          <w:rFonts w:hint="eastAsia" w:cs="宋体"/>
          <w:color w:val="auto"/>
          <w:highlight w:val="none"/>
        </w:rPr>
        <w:t>邮政编码：                        邮政编码：</w:t>
      </w:r>
    </w:p>
    <w:p>
      <w:pPr>
        <w:widowControl/>
        <w:snapToGrid w:val="0"/>
        <w:ind w:firstLine="422"/>
        <w:rPr>
          <w:rFonts w:cs="宋体"/>
          <w:color w:val="auto"/>
          <w:highlight w:val="none"/>
        </w:rPr>
      </w:pPr>
      <w:r>
        <w:rPr>
          <w:rFonts w:hint="eastAsia" w:cs="宋体"/>
          <w:b/>
          <w:color w:val="auto"/>
          <w:highlight w:val="none"/>
        </w:rPr>
        <w:br w:type="page"/>
      </w:r>
      <w:r>
        <w:rPr>
          <w:rFonts w:hint="eastAsia" w:cs="宋体"/>
          <w:color w:val="auto"/>
          <w:highlight w:val="none"/>
        </w:rPr>
        <w:t>附件二：安全生产责任协议书</w:t>
      </w:r>
    </w:p>
    <w:p>
      <w:pPr>
        <w:widowControl/>
        <w:snapToGrid w:val="0"/>
        <w:ind w:firstLine="422"/>
        <w:jc w:val="center"/>
        <w:rPr>
          <w:rFonts w:cs="宋体"/>
          <w:b/>
          <w:color w:val="auto"/>
          <w:highlight w:val="none"/>
        </w:rPr>
      </w:pPr>
      <w:r>
        <w:rPr>
          <w:rFonts w:hint="eastAsia" w:cs="宋体"/>
          <w:b/>
          <w:color w:val="auto"/>
          <w:highlight w:val="none"/>
        </w:rPr>
        <w:t>安全生产责任协议书</w:t>
      </w:r>
    </w:p>
    <w:p>
      <w:pPr>
        <w:widowControl/>
        <w:snapToGrid w:val="0"/>
        <w:ind w:firstLine="422"/>
        <w:rPr>
          <w:rFonts w:cs="宋体"/>
          <w:b/>
          <w:color w:val="auto"/>
          <w:highlight w:val="none"/>
        </w:rPr>
      </w:pPr>
      <w:r>
        <w:rPr>
          <w:rFonts w:hint="eastAsia" w:cs="宋体"/>
          <w:b/>
          <w:color w:val="auto"/>
          <w:highlight w:val="none"/>
        </w:rPr>
        <w:t>甲方（发包人）：浙江出入境边防检查总站</w:t>
      </w:r>
    </w:p>
    <w:p>
      <w:pPr>
        <w:widowControl/>
        <w:snapToGrid w:val="0"/>
        <w:ind w:firstLine="422"/>
        <w:rPr>
          <w:rFonts w:hint="default" w:eastAsia="宋体" w:cs="宋体"/>
          <w:b/>
          <w:color w:val="auto"/>
          <w:highlight w:val="none"/>
          <w:u w:val="single"/>
          <w:lang w:val="en-US" w:eastAsia="zh-CN"/>
        </w:rPr>
      </w:pPr>
      <w:r>
        <w:rPr>
          <w:rFonts w:hint="eastAsia" w:cs="宋体"/>
          <w:b/>
          <w:color w:val="auto"/>
          <w:highlight w:val="none"/>
        </w:rPr>
        <w:t>乙方（承包人）：</w:t>
      </w:r>
      <w:r>
        <w:rPr>
          <w:rFonts w:hint="eastAsia" w:cs="宋体"/>
          <w:b/>
          <w:color w:val="auto"/>
          <w:highlight w:val="none"/>
          <w:u w:val="single"/>
          <w:lang w:val="en-US" w:eastAsia="zh-CN"/>
        </w:rPr>
        <w:t xml:space="preserve">                      </w:t>
      </w:r>
    </w:p>
    <w:p>
      <w:pPr>
        <w:widowControl/>
        <w:snapToGrid w:val="0"/>
        <w:ind w:firstLine="420"/>
        <w:rPr>
          <w:rFonts w:cs="宋体"/>
          <w:color w:val="auto"/>
          <w:kern w:val="0"/>
          <w:highlight w:val="none"/>
        </w:rPr>
      </w:pPr>
      <w:r>
        <w:rPr>
          <w:rFonts w:hint="eastAsia" w:cs="宋体"/>
          <w:color w:val="auto"/>
          <w:highlight w:val="none"/>
        </w:rPr>
        <w:t>工程项目名称：</w:t>
      </w:r>
      <w:r>
        <w:rPr>
          <w:rFonts w:hint="eastAsia" w:cs="宋体"/>
          <w:color w:val="auto"/>
          <w:kern w:val="0"/>
          <w:highlight w:val="none"/>
        </w:rPr>
        <w:t>浙江出入境边防检查总站室外综合改造设计工程</w:t>
      </w:r>
    </w:p>
    <w:p>
      <w:pPr>
        <w:widowControl/>
        <w:snapToGrid w:val="0"/>
        <w:ind w:firstLine="420"/>
        <w:rPr>
          <w:rFonts w:cs="宋体"/>
          <w:color w:val="auto"/>
          <w:highlight w:val="none"/>
        </w:rPr>
      </w:pPr>
      <w:r>
        <w:rPr>
          <w:rFonts w:hint="eastAsia" w:cs="宋体"/>
          <w:color w:val="auto"/>
          <w:highlight w:val="none"/>
        </w:rPr>
        <w:t>为落实安全生产的管理要求，确保工程建设的顺利进行，按《浙江省建筑安全文明施工标准化工地管理办法》（浙建建[2005]41号)规定，甲乙双方共同协商，一致同意如下：</w:t>
      </w:r>
    </w:p>
    <w:p>
      <w:pPr>
        <w:widowControl/>
        <w:snapToGrid w:val="0"/>
        <w:ind w:firstLine="420"/>
        <w:rPr>
          <w:rFonts w:cs="宋体"/>
          <w:color w:val="auto"/>
          <w:highlight w:val="none"/>
        </w:rPr>
      </w:pPr>
      <w:r>
        <w:rPr>
          <w:rFonts w:hint="eastAsia" w:cs="宋体"/>
          <w:color w:val="auto"/>
          <w:highlight w:val="none"/>
        </w:rPr>
        <w:t>一、发包人在施工开始前向承包人提交必要的施工场地，明确承包人安全生产管理的责任区域和要求，承包人负责施工现场的安全管理工作，是施工现场的安全管理的责任单位。承包人必须建立健全安全生产保证体系，建立健全应急救援体系其相关文件报发包人备案。</w:t>
      </w:r>
    </w:p>
    <w:p>
      <w:pPr>
        <w:widowControl/>
        <w:snapToGrid w:val="0"/>
        <w:ind w:firstLine="420"/>
        <w:rPr>
          <w:rFonts w:cs="宋体"/>
          <w:color w:val="auto"/>
          <w:highlight w:val="none"/>
        </w:rPr>
      </w:pPr>
      <w:r>
        <w:rPr>
          <w:rFonts w:hint="eastAsia" w:cs="宋体"/>
          <w:color w:val="auto"/>
          <w:highlight w:val="none"/>
        </w:rPr>
        <w:t>二、发包人应积极组织和督促承包人开展安全达标活动，及时传达和部署上级的有关安全生产精神和要求，定期听取承包人的意见和要求。加强安全生产的指导和协调。</w:t>
      </w:r>
    </w:p>
    <w:p>
      <w:pPr>
        <w:widowControl/>
        <w:snapToGrid w:val="0"/>
        <w:ind w:firstLine="420"/>
        <w:rPr>
          <w:rFonts w:cs="宋体"/>
          <w:color w:val="auto"/>
          <w:highlight w:val="none"/>
        </w:rPr>
      </w:pPr>
      <w:r>
        <w:rPr>
          <w:rFonts w:hint="eastAsia" w:cs="宋体"/>
          <w:color w:val="auto"/>
          <w:highlight w:val="none"/>
        </w:rPr>
        <w:t>三、发包人负责组织对承包人安全规范作业、文明施工情况的检查，定期组织考核；对承包人及有关人员在安全生产工作中有突出贡献或成绩显著的集体、个人应给予表彰和物资奖励。对承包人及有关人员发出的违章、违法行为和存在的问题以及在安全生产、文明等创优达标活动中不积极配合的，发包人有权制止教育、责成其限期整改。</w:t>
      </w:r>
    </w:p>
    <w:p>
      <w:pPr>
        <w:widowControl/>
        <w:snapToGrid w:val="0"/>
        <w:ind w:firstLine="420"/>
        <w:rPr>
          <w:rFonts w:cs="宋体"/>
          <w:color w:val="auto"/>
          <w:highlight w:val="none"/>
        </w:rPr>
      </w:pPr>
      <w:r>
        <w:rPr>
          <w:rFonts w:hint="eastAsia" w:cs="宋体"/>
          <w:color w:val="auto"/>
          <w:highlight w:val="none"/>
        </w:rPr>
        <w:t>四、凡工地内发生生产事故或重大人员伤亡的，发包人派员参与劳动行政部门、司法机关调查处理。发包人可按其造成的后果及影响，对责任单位以按责任违约给予一次性经济的处理。责任违约的经济处理按约定扣除。事故造成的经济损失及因承包人责任给发包人造成的连带经济损失全部由承包人承担。</w:t>
      </w:r>
    </w:p>
    <w:p>
      <w:pPr>
        <w:widowControl/>
        <w:snapToGrid w:val="0"/>
        <w:ind w:firstLine="420"/>
        <w:rPr>
          <w:rFonts w:cs="宋体"/>
          <w:color w:val="auto"/>
          <w:highlight w:val="none"/>
        </w:rPr>
      </w:pPr>
      <w:r>
        <w:rPr>
          <w:rFonts w:hint="eastAsia" w:cs="宋体"/>
          <w:color w:val="auto"/>
          <w:highlight w:val="none"/>
        </w:rPr>
        <w:t>责任违约的经济处理的约定：</w:t>
      </w:r>
    </w:p>
    <w:p>
      <w:pPr>
        <w:widowControl/>
        <w:snapToGrid w:val="0"/>
        <w:ind w:firstLine="420"/>
        <w:rPr>
          <w:rFonts w:cs="宋体"/>
          <w:color w:val="auto"/>
          <w:highlight w:val="none"/>
        </w:rPr>
      </w:pPr>
      <w:r>
        <w:rPr>
          <w:rFonts w:hint="eastAsia" w:cs="宋体"/>
          <w:color w:val="auto"/>
          <w:highlight w:val="none"/>
        </w:rPr>
        <w:t>依据国家和地方相关法律法规、政策、规定、制度以及本工程施工合同执行。</w:t>
      </w:r>
    </w:p>
    <w:p>
      <w:pPr>
        <w:widowControl/>
        <w:snapToGrid w:val="0"/>
        <w:ind w:firstLine="420"/>
        <w:rPr>
          <w:rFonts w:cs="宋体"/>
          <w:color w:val="auto"/>
          <w:highlight w:val="none"/>
        </w:rPr>
      </w:pPr>
      <w:r>
        <w:rPr>
          <w:rFonts w:hint="eastAsia" w:cs="宋体"/>
          <w:color w:val="auto"/>
          <w:highlight w:val="none"/>
        </w:rPr>
        <w:t>五、承包人应严格贯彻执行国家和市颁布的有关安全生产的法律、法规，严格按照中华人民共和国建设部建标（99）79号“关于发布行业标准《建筑施工安全检查标准》的通知”（编号JGJ59—99）的要求加强内部安全管理，落实各项安全防护措施，确保工程建设中不发生人员死亡事故。</w:t>
      </w:r>
    </w:p>
    <w:p>
      <w:pPr>
        <w:widowControl/>
        <w:snapToGrid w:val="0"/>
        <w:ind w:firstLine="420"/>
        <w:rPr>
          <w:rFonts w:cs="宋体"/>
          <w:color w:val="auto"/>
          <w:highlight w:val="none"/>
        </w:rPr>
      </w:pPr>
      <w:r>
        <w:rPr>
          <w:rFonts w:hint="eastAsia" w:cs="宋体"/>
          <w:color w:val="auto"/>
          <w:highlight w:val="none"/>
        </w:rPr>
        <w:t>六、承包人要按照安全作业规范针对本工程项目的特点、性质、规模以及施工现场条件编制施工组织设计和施工方案，制定和组织落实各项的施工安全技术措施，并向全体施工人员进行安全技术交底。严格按照施工组织设计和有关安全要求施工。</w:t>
      </w:r>
    </w:p>
    <w:p>
      <w:pPr>
        <w:widowControl/>
        <w:snapToGrid w:val="0"/>
        <w:ind w:firstLine="420"/>
        <w:rPr>
          <w:rFonts w:cs="宋体"/>
          <w:color w:val="auto"/>
          <w:highlight w:val="none"/>
        </w:rPr>
      </w:pPr>
      <w:r>
        <w:rPr>
          <w:rFonts w:hint="eastAsia" w:cs="宋体"/>
          <w:color w:val="auto"/>
          <w:highlight w:val="none"/>
        </w:rPr>
        <w:t>七、承包人进入工地后应明确落实施工现场安全生产第一责任人。根据建设部办公厅2000年10号文件要求配置专职安全管理人员。即施工人员超过50人的工地必须配置专职安全管理人员；工程造价在1000万元以上的工地，必须配置2-3名管理安全生产工作人员；工程造价在5000万元以上的工地，要按专业设置专职安全员，组成安全管理组负责工地的安全生产管理工作。并将名单报发包人备案。承包人要建立健全安全生产保证体系，落实各级安全责任制，完善各项安全生产制度（包括奖惩制度）：按照”谁施工谁负责”的原则，负责单位内部和施工责任区域的安全生产管理工作。</w:t>
      </w:r>
    </w:p>
    <w:p>
      <w:pPr>
        <w:widowControl/>
        <w:snapToGrid w:val="0"/>
        <w:ind w:firstLine="420"/>
        <w:rPr>
          <w:rFonts w:cs="宋体"/>
          <w:color w:val="auto"/>
          <w:highlight w:val="none"/>
        </w:rPr>
      </w:pPr>
      <w:r>
        <w:rPr>
          <w:rFonts w:hint="eastAsia" w:cs="宋体"/>
          <w:color w:val="auto"/>
          <w:highlight w:val="none"/>
        </w:rPr>
        <w:t>八、承包人对各分包单位及外聘人员的安全生产工作要纳入本单位统一管理的范围，明确要求，签订管理协议；要加强对全体施工人员安全作业、文明施工和自我保护的宣传教育；做好上岗前的安全培训，特殊工种作业人员必须做到持证上岗：进入本市施工的外市特殊作业人员，还必须经本市有关特种作业考核站进审证教育，禁止实习、学习人员现场作业。严格执行各种安全操作规程，确保施工安全。</w:t>
      </w:r>
    </w:p>
    <w:p>
      <w:pPr>
        <w:widowControl/>
        <w:snapToGrid w:val="0"/>
        <w:ind w:firstLine="420"/>
        <w:rPr>
          <w:rFonts w:cs="宋体"/>
          <w:color w:val="auto"/>
          <w:highlight w:val="none"/>
        </w:rPr>
      </w:pPr>
      <w:r>
        <w:rPr>
          <w:rFonts w:hint="eastAsia" w:cs="宋体"/>
          <w:color w:val="auto"/>
          <w:highlight w:val="none"/>
        </w:rPr>
        <w:t>九、承包人要按照“安全自查，隐患自改、责任自负”的原则加强对施工责任区的日常安全检查。及叫制上和处理各类违章违法行为。对查获的隐患要及时落实整改措施，消除隐患。</w:t>
      </w:r>
    </w:p>
    <w:p>
      <w:pPr>
        <w:widowControl/>
        <w:snapToGrid w:val="0"/>
        <w:ind w:firstLine="420"/>
        <w:rPr>
          <w:rFonts w:cs="宋体"/>
          <w:color w:val="auto"/>
          <w:highlight w:val="none"/>
        </w:rPr>
      </w:pPr>
      <w:r>
        <w:rPr>
          <w:rFonts w:hint="eastAsia" w:cs="宋体"/>
          <w:color w:val="auto"/>
          <w:highlight w:val="none"/>
        </w:rPr>
        <w:t>十、承包人应主动接受发包人在安全生产工作上的业务指导，检查和督促，服从管理；对发包人的工作布置和组织的活动要积极贯彻实施和参加。对发包人给予因责任违约的经济处理如有异议可要求复核。对发包人工作人员利用职权营私舞弊、有意刁难的违法行为，有权检举揭发，要求处理。</w:t>
      </w:r>
    </w:p>
    <w:p>
      <w:pPr>
        <w:widowControl/>
        <w:snapToGrid w:val="0"/>
        <w:ind w:firstLine="420"/>
        <w:rPr>
          <w:rFonts w:cs="宋体"/>
          <w:color w:val="auto"/>
          <w:highlight w:val="none"/>
        </w:rPr>
      </w:pPr>
      <w:r>
        <w:rPr>
          <w:rFonts w:hint="eastAsia" w:cs="宋体"/>
          <w:color w:val="auto"/>
          <w:highlight w:val="none"/>
        </w:rPr>
        <w:t>十一、在施工现场或施工作业过程中，因承包人原因发生安全事故或造成人员伤亡的，由承包人承担处理和所有的经济赔偿责任。承包人须妥善处理事故，积极抢救受伤人员、保护现场，并按规定时限向当地安监等相关政府部门报告，并立即报告发包人，不得迟报瞒报。发包人应积极配合处理。</w:t>
      </w:r>
    </w:p>
    <w:p>
      <w:pPr>
        <w:widowControl/>
        <w:snapToGrid w:val="0"/>
        <w:ind w:firstLine="420"/>
        <w:rPr>
          <w:rFonts w:cs="宋体"/>
          <w:color w:val="auto"/>
          <w:highlight w:val="none"/>
          <w:u w:val="single"/>
        </w:rPr>
      </w:pPr>
      <w:r>
        <w:rPr>
          <w:rFonts w:hint="eastAsia" w:cs="宋体"/>
          <w:color w:val="auto"/>
          <w:highlight w:val="none"/>
          <w:u w:val="single"/>
        </w:rPr>
        <w:t>十二、承包人须参加由发包人召集的每周一次的工程工作列会，对工程进度、工程质量、安全施工等情况向会议进行汇报，并接受发包人的安全检查。</w:t>
      </w:r>
    </w:p>
    <w:p>
      <w:pPr>
        <w:widowControl/>
        <w:snapToGrid w:val="0"/>
        <w:ind w:firstLine="420"/>
        <w:rPr>
          <w:rFonts w:cs="宋体"/>
          <w:color w:val="auto"/>
          <w:highlight w:val="none"/>
          <w:u w:val="single"/>
        </w:rPr>
      </w:pPr>
      <w:r>
        <w:rPr>
          <w:rFonts w:hint="eastAsia" w:cs="宋体"/>
          <w:color w:val="auto"/>
          <w:highlight w:val="none"/>
          <w:u w:val="single"/>
        </w:rPr>
        <w:t>十三、承包人不准将工程项目进行整体转包。</w:t>
      </w:r>
    </w:p>
    <w:p>
      <w:pPr>
        <w:widowControl/>
        <w:snapToGrid w:val="0"/>
        <w:ind w:firstLine="420"/>
        <w:rPr>
          <w:rFonts w:cs="宋体"/>
          <w:color w:val="auto"/>
          <w:highlight w:val="none"/>
          <w:u w:val="single"/>
        </w:rPr>
      </w:pPr>
      <w:r>
        <w:rPr>
          <w:rFonts w:hint="eastAsia" w:cs="宋体"/>
          <w:color w:val="auto"/>
          <w:highlight w:val="none"/>
          <w:u w:val="single"/>
        </w:rPr>
        <w:t>十四、承包人对施工现场的安全负责。在施工过程中或施工现场，因承包人原因造成的安全事故，由承包人承担处理和所有的经济赔偿责任，承包人须按规定将事故发生情况向当地政府相关部门报告，并立即报告发包人。发包人积极协助处理。</w:t>
      </w:r>
    </w:p>
    <w:p>
      <w:pPr>
        <w:widowControl/>
        <w:snapToGrid w:val="0"/>
        <w:ind w:firstLine="420"/>
        <w:rPr>
          <w:rFonts w:cs="宋体"/>
          <w:color w:val="auto"/>
          <w:highlight w:val="none"/>
          <w:u w:val="single"/>
        </w:rPr>
      </w:pPr>
      <w:r>
        <w:rPr>
          <w:rFonts w:hint="eastAsia" w:cs="宋体"/>
          <w:color w:val="auto"/>
          <w:highlight w:val="none"/>
          <w:u w:val="single"/>
        </w:rPr>
        <w:t>十五、承包人须将施工作业人员名册报发包人备案，承包人的施工作业人员必须接受发包人组织的安全培训，培训合格后由发包人发给盖有发包人印章的“施工出入证”。持有“施工出入证”的人员方可进场施工作业。</w:t>
      </w:r>
    </w:p>
    <w:p>
      <w:pPr>
        <w:widowControl/>
        <w:snapToGrid w:val="0"/>
        <w:ind w:firstLine="420"/>
        <w:rPr>
          <w:rFonts w:cs="宋体"/>
          <w:color w:val="auto"/>
          <w:highlight w:val="none"/>
          <w:u w:val="single"/>
        </w:rPr>
      </w:pPr>
      <w:r>
        <w:rPr>
          <w:rFonts w:hint="eastAsia" w:cs="宋体"/>
          <w:color w:val="auto"/>
          <w:highlight w:val="none"/>
          <w:u w:val="single"/>
        </w:rPr>
        <w:t>十六、承包人须为施工作业人员缴纳相关保险，并在合同签订之日起的 个工作日内将缴纳保险凭证复印件交发包人。</w:t>
      </w:r>
    </w:p>
    <w:p>
      <w:pPr>
        <w:widowControl/>
        <w:snapToGrid w:val="0"/>
        <w:ind w:firstLine="420"/>
        <w:rPr>
          <w:rFonts w:cs="宋体"/>
          <w:color w:val="auto"/>
          <w:highlight w:val="none"/>
          <w:u w:val="single"/>
        </w:rPr>
      </w:pPr>
      <w:r>
        <w:rPr>
          <w:rFonts w:hint="eastAsia" w:cs="宋体"/>
          <w:color w:val="auto"/>
          <w:highlight w:val="none"/>
          <w:u w:val="single"/>
        </w:rPr>
        <w:t>十七、承包人必须严格按发包人规范要求进场施工。</w:t>
      </w:r>
    </w:p>
    <w:p>
      <w:pPr>
        <w:widowControl/>
        <w:snapToGrid w:val="0"/>
        <w:ind w:firstLine="420"/>
        <w:rPr>
          <w:rFonts w:cs="宋体"/>
          <w:color w:val="auto"/>
          <w:highlight w:val="none"/>
        </w:rPr>
      </w:pPr>
      <w:r>
        <w:rPr>
          <w:rFonts w:hint="eastAsia" w:cs="宋体"/>
          <w:color w:val="auto"/>
          <w:highlight w:val="none"/>
        </w:rPr>
        <w:t>十八、本协议中木涉及的有关条款，甲乙双方可根据需要协商补充修改。</w:t>
      </w:r>
    </w:p>
    <w:p>
      <w:pPr>
        <w:widowControl/>
        <w:snapToGrid w:val="0"/>
        <w:ind w:firstLine="420"/>
        <w:rPr>
          <w:rFonts w:cs="宋体"/>
          <w:color w:val="auto"/>
          <w:highlight w:val="none"/>
        </w:rPr>
      </w:pPr>
      <w:r>
        <w:rPr>
          <w:rFonts w:hint="eastAsia" w:cs="宋体"/>
          <w:color w:val="auto"/>
          <w:highlight w:val="none"/>
        </w:rPr>
        <w:t>如遇有国家和本市的有关法规不符的，应按国家和本市的有关法规执行。</w:t>
      </w:r>
    </w:p>
    <w:p>
      <w:pPr>
        <w:widowControl/>
        <w:snapToGrid w:val="0"/>
        <w:ind w:firstLine="420"/>
        <w:rPr>
          <w:rFonts w:cs="宋体"/>
          <w:color w:val="auto"/>
          <w:highlight w:val="none"/>
        </w:rPr>
      </w:pPr>
      <w:r>
        <w:rPr>
          <w:rFonts w:hint="eastAsia" w:cs="宋体"/>
          <w:color w:val="auto"/>
          <w:highlight w:val="none"/>
        </w:rPr>
        <w:t>十九、本协议作为甲乙双方工程承包合同的附件，在工程承包合同签约后生效，与工程承包合同具有同等法律效力。工程承包合同期满，本协议终上。</w:t>
      </w:r>
    </w:p>
    <w:p>
      <w:pPr>
        <w:widowControl/>
        <w:snapToGrid w:val="0"/>
        <w:ind w:firstLine="420"/>
        <w:rPr>
          <w:rFonts w:cs="宋体"/>
          <w:color w:val="auto"/>
          <w:highlight w:val="none"/>
        </w:rPr>
      </w:pPr>
    </w:p>
    <w:p>
      <w:pPr>
        <w:widowControl/>
        <w:snapToGrid w:val="0"/>
        <w:ind w:firstLine="420"/>
        <w:rPr>
          <w:rFonts w:cs="宋体"/>
          <w:color w:val="auto"/>
          <w:highlight w:val="none"/>
        </w:rPr>
      </w:pPr>
    </w:p>
    <w:p>
      <w:pPr>
        <w:widowControl/>
        <w:snapToGrid w:val="0"/>
        <w:ind w:firstLine="420"/>
        <w:rPr>
          <w:rFonts w:cs="宋体"/>
          <w:color w:val="auto"/>
          <w:highlight w:val="none"/>
        </w:rPr>
      </w:pPr>
      <w:r>
        <w:rPr>
          <w:rFonts w:hint="eastAsia" w:cs="宋体"/>
          <w:color w:val="auto"/>
          <w:highlight w:val="none"/>
        </w:rPr>
        <w:t>发包人（公章）：                                 承包人（公章）：</w:t>
      </w:r>
    </w:p>
    <w:p>
      <w:pPr>
        <w:widowControl/>
        <w:snapToGrid w:val="0"/>
        <w:ind w:firstLine="420"/>
        <w:rPr>
          <w:rFonts w:cs="宋体"/>
          <w:color w:val="auto"/>
          <w:highlight w:val="none"/>
        </w:rPr>
      </w:pPr>
      <w:r>
        <w:rPr>
          <w:rFonts w:hint="eastAsia" w:cs="宋体"/>
          <w:color w:val="auto"/>
          <w:highlight w:val="none"/>
        </w:rPr>
        <w:t>法定代表人：                                    法定代表人：</w:t>
      </w:r>
    </w:p>
    <w:p>
      <w:pPr>
        <w:widowControl/>
        <w:snapToGrid w:val="0"/>
        <w:ind w:firstLine="420"/>
        <w:rPr>
          <w:rFonts w:cs="宋体"/>
          <w:color w:val="auto"/>
          <w:highlight w:val="none"/>
        </w:rPr>
      </w:pPr>
      <w:r>
        <w:rPr>
          <w:rFonts w:hint="eastAsia" w:cs="宋体"/>
          <w:color w:val="auto"/>
          <w:highlight w:val="none"/>
        </w:rPr>
        <w:t>或委托代理人：                                  或委托代理人：</w:t>
      </w:r>
    </w:p>
    <w:p>
      <w:pPr>
        <w:widowControl/>
        <w:snapToGrid w:val="0"/>
        <w:ind w:firstLine="420"/>
        <w:rPr>
          <w:rFonts w:cs="宋体"/>
          <w:color w:val="auto"/>
          <w:highlight w:val="none"/>
        </w:rPr>
      </w:pPr>
      <w:r>
        <w:rPr>
          <w:rFonts w:hint="eastAsia" w:cs="宋体"/>
          <w:color w:val="auto"/>
          <w:highlight w:val="none"/>
        </w:rPr>
        <w:t xml:space="preserve">      年    月    日                                  年    月    日</w:t>
      </w:r>
    </w:p>
    <w:p>
      <w:pPr>
        <w:widowControl/>
        <w:snapToGrid w:val="0"/>
        <w:ind w:firstLine="420"/>
        <w:rPr>
          <w:rFonts w:cs="宋体"/>
          <w:color w:val="auto"/>
          <w:highlight w:val="none"/>
        </w:rPr>
      </w:pPr>
    </w:p>
    <w:p>
      <w:pPr>
        <w:widowControl/>
        <w:snapToGrid w:val="0"/>
        <w:ind w:firstLine="422"/>
        <w:rPr>
          <w:rFonts w:cs="宋体"/>
          <w:b/>
          <w:color w:val="auto"/>
          <w:highlight w:val="none"/>
        </w:rPr>
        <w:sectPr>
          <w:pgSz w:w="11906" w:h="16838"/>
          <w:pgMar w:top="1418" w:right="1588" w:bottom="1418" w:left="1588" w:header="567" w:footer="567" w:gutter="0"/>
          <w:cols w:space="720" w:num="1"/>
          <w:docGrid w:linePitch="312" w:charSpace="0"/>
        </w:sectPr>
      </w:pPr>
    </w:p>
    <w:p>
      <w:pPr>
        <w:widowControl/>
        <w:snapToGrid w:val="0"/>
        <w:ind w:firstLine="420"/>
        <w:rPr>
          <w:rFonts w:cs="宋体"/>
          <w:b/>
          <w:color w:val="auto"/>
          <w:highlight w:val="none"/>
        </w:rPr>
      </w:pPr>
      <w:r>
        <w:rPr>
          <w:rFonts w:hint="eastAsia" w:cs="宋体"/>
          <w:color w:val="auto"/>
          <w:kern w:val="0"/>
          <w:highlight w:val="none"/>
          <w:lang w:val="zh-CN"/>
        </w:rPr>
        <w:t>附件三 文明施工责任协议书格式</w:t>
      </w:r>
    </w:p>
    <w:p>
      <w:pPr>
        <w:widowControl/>
        <w:snapToGrid w:val="0"/>
        <w:ind w:firstLine="422"/>
        <w:jc w:val="center"/>
        <w:rPr>
          <w:rFonts w:cs="宋体"/>
          <w:b/>
          <w:color w:val="auto"/>
          <w:highlight w:val="none"/>
        </w:rPr>
      </w:pPr>
      <w:r>
        <w:rPr>
          <w:rFonts w:hint="eastAsia" w:cs="宋体"/>
          <w:b/>
          <w:color w:val="auto"/>
          <w:highlight w:val="none"/>
        </w:rPr>
        <w:t>文明施工责任协议书</w:t>
      </w:r>
    </w:p>
    <w:p>
      <w:pPr>
        <w:widowControl/>
        <w:snapToGrid w:val="0"/>
        <w:ind w:firstLine="420"/>
        <w:rPr>
          <w:rFonts w:cs="宋体"/>
          <w:color w:val="auto"/>
          <w:highlight w:val="none"/>
        </w:rPr>
      </w:pPr>
    </w:p>
    <w:p>
      <w:pPr>
        <w:widowControl/>
        <w:snapToGrid w:val="0"/>
        <w:ind w:firstLine="422"/>
        <w:rPr>
          <w:rFonts w:cs="宋体"/>
          <w:b/>
          <w:color w:val="auto"/>
          <w:highlight w:val="none"/>
        </w:rPr>
      </w:pPr>
      <w:r>
        <w:rPr>
          <w:rFonts w:hint="eastAsia" w:cs="宋体"/>
          <w:b/>
          <w:color w:val="auto"/>
          <w:highlight w:val="none"/>
        </w:rPr>
        <w:t>甲方（发包人）：浙江出入境边防检查总站</w:t>
      </w:r>
    </w:p>
    <w:p>
      <w:pPr>
        <w:widowControl/>
        <w:snapToGrid w:val="0"/>
        <w:ind w:firstLine="422"/>
        <w:rPr>
          <w:rFonts w:cs="宋体"/>
          <w:b/>
          <w:color w:val="auto"/>
          <w:highlight w:val="none"/>
        </w:rPr>
      </w:pPr>
      <w:r>
        <w:rPr>
          <w:rFonts w:hint="eastAsia" w:cs="宋体"/>
          <w:b/>
          <w:color w:val="auto"/>
          <w:highlight w:val="none"/>
        </w:rPr>
        <w:t>乙方（承包人）：</w:t>
      </w:r>
      <w:r>
        <w:rPr>
          <w:rFonts w:hint="eastAsia" w:cs="宋体"/>
          <w:b/>
          <w:color w:val="auto"/>
          <w:highlight w:val="none"/>
          <w:u w:val="single"/>
          <w:lang w:val="en-US" w:eastAsia="zh-CN"/>
        </w:rPr>
        <w:t xml:space="preserve">                      </w:t>
      </w:r>
      <w:r>
        <w:rPr>
          <w:rFonts w:hint="eastAsia" w:cs="宋体"/>
          <w:b/>
          <w:color w:val="auto"/>
          <w:highlight w:val="none"/>
        </w:rPr>
        <w:t xml:space="preserve"> </w:t>
      </w:r>
    </w:p>
    <w:p>
      <w:pPr>
        <w:widowControl/>
        <w:snapToGrid w:val="0"/>
        <w:ind w:firstLine="420"/>
        <w:rPr>
          <w:rFonts w:cs="宋体"/>
          <w:color w:val="auto"/>
          <w:kern w:val="0"/>
          <w:highlight w:val="none"/>
        </w:rPr>
      </w:pPr>
      <w:r>
        <w:rPr>
          <w:rFonts w:hint="eastAsia" w:cs="宋体"/>
          <w:color w:val="auto"/>
          <w:highlight w:val="none"/>
        </w:rPr>
        <w:t>工程项目名称：浙江出入境边防检查总站室外综合改造设计工程</w:t>
      </w:r>
    </w:p>
    <w:p>
      <w:pPr>
        <w:widowControl/>
        <w:snapToGrid w:val="0"/>
        <w:ind w:firstLine="420"/>
        <w:rPr>
          <w:rFonts w:cs="宋体"/>
          <w:color w:val="auto"/>
          <w:highlight w:val="none"/>
        </w:rPr>
      </w:pPr>
      <w:r>
        <w:rPr>
          <w:rFonts w:hint="eastAsia" w:cs="宋体"/>
          <w:color w:val="auto"/>
          <w:highlight w:val="none"/>
        </w:rPr>
        <w:t>为认真做好工程建设施工区域内的文明施工，现经甲、乙双方协商同意，明确在文明施工和文明施工管理中的各自职责，并签订如下协议。</w:t>
      </w:r>
    </w:p>
    <w:p>
      <w:pPr>
        <w:widowControl/>
        <w:snapToGrid w:val="0"/>
        <w:ind w:firstLine="420"/>
        <w:rPr>
          <w:rFonts w:cs="宋体"/>
          <w:color w:val="auto"/>
          <w:highlight w:val="none"/>
        </w:rPr>
      </w:pPr>
      <w:r>
        <w:rPr>
          <w:rFonts w:hint="eastAsia" w:cs="宋体"/>
          <w:color w:val="auto"/>
          <w:highlight w:val="none"/>
        </w:rPr>
        <w:t xml:space="preserve">  一、双方同意在在工程管理和工程建设中必须坚持社会效益第一，经济效益和社会效益相—致，“方便人民生活，有利于发展生产、保护生态环境”的原则，坚持便民、利民、为民服务的宗旨。搞好工程建设中的文明施工。</w:t>
      </w:r>
    </w:p>
    <w:p>
      <w:pPr>
        <w:widowControl/>
        <w:snapToGrid w:val="0"/>
        <w:ind w:firstLine="420"/>
        <w:rPr>
          <w:rFonts w:cs="宋体"/>
          <w:color w:val="auto"/>
          <w:highlight w:val="none"/>
        </w:rPr>
      </w:pPr>
      <w:r>
        <w:rPr>
          <w:rFonts w:hint="eastAsia" w:cs="宋体"/>
          <w:color w:val="auto"/>
          <w:highlight w:val="none"/>
        </w:rPr>
        <w:t xml:space="preserve">  二、双方要认真贯彻”建设单位负责，施工单位实施，地方政府监督”的文明施工原则。现场由甲方代表牵头，建立参方共同参与的文明施工管理小组，负责日常管理协调工作，争创文明工地。甲方按合同有关要求，及时拨付有关费用并按市有关创建文明工地的规定，组织、指导、检查、考核、和开展选评工作，创建活动的实施由乙方负责。</w:t>
      </w:r>
    </w:p>
    <w:p>
      <w:pPr>
        <w:widowControl/>
        <w:snapToGrid w:val="0"/>
        <w:ind w:firstLine="420"/>
        <w:rPr>
          <w:rFonts w:cs="宋体"/>
          <w:color w:val="auto"/>
          <w:highlight w:val="none"/>
        </w:rPr>
      </w:pPr>
      <w:r>
        <w:rPr>
          <w:rFonts w:hint="eastAsia" w:cs="宋体"/>
          <w:color w:val="auto"/>
          <w:highlight w:val="none"/>
        </w:rPr>
        <w:t xml:space="preserve">  三、乙方应遵守如下规定：</w:t>
      </w:r>
    </w:p>
    <w:p>
      <w:pPr>
        <w:widowControl/>
        <w:snapToGrid w:val="0"/>
        <w:ind w:firstLine="420"/>
        <w:rPr>
          <w:rFonts w:cs="宋体"/>
          <w:color w:val="auto"/>
          <w:highlight w:val="none"/>
        </w:rPr>
      </w:pPr>
      <w:r>
        <w:rPr>
          <w:rFonts w:hint="eastAsia" w:cs="宋体"/>
          <w:color w:val="auto"/>
          <w:highlight w:val="none"/>
        </w:rPr>
        <w:t>1、根据工程的特点，编制文明施工实施方案，在开工前5日内，将文明施工实施方案报甲方和市安全监督部门备案。</w:t>
      </w:r>
    </w:p>
    <w:p>
      <w:pPr>
        <w:widowControl/>
        <w:snapToGrid w:val="0"/>
        <w:ind w:firstLine="420"/>
        <w:rPr>
          <w:rFonts w:cs="宋体"/>
          <w:color w:val="auto"/>
          <w:highlight w:val="none"/>
        </w:rPr>
      </w:pPr>
      <w:r>
        <w:rPr>
          <w:rFonts w:hint="eastAsia" w:cs="宋体"/>
          <w:color w:val="auto"/>
          <w:highlight w:val="none"/>
        </w:rPr>
        <w:t>2、乙方按有关规定专项包干使用文明施工费，不得挪作他用。</w:t>
      </w:r>
    </w:p>
    <w:p>
      <w:pPr>
        <w:widowControl/>
        <w:snapToGrid w:val="0"/>
        <w:ind w:firstLine="420"/>
        <w:rPr>
          <w:rFonts w:cs="宋体"/>
          <w:color w:val="auto"/>
          <w:highlight w:val="none"/>
        </w:rPr>
      </w:pPr>
      <w:r>
        <w:rPr>
          <w:rFonts w:hint="eastAsia" w:cs="宋体"/>
          <w:color w:val="auto"/>
          <w:highlight w:val="none"/>
        </w:rPr>
        <w:t>3、工地应设置专职文明施工安全员，做到佩证上岗、动态管理，及时收集、记录、整理、管理台帐等技术资料。</w:t>
      </w:r>
    </w:p>
    <w:p>
      <w:pPr>
        <w:widowControl/>
        <w:snapToGrid w:val="0"/>
        <w:ind w:firstLine="420"/>
        <w:rPr>
          <w:rFonts w:cs="宋体"/>
          <w:color w:val="auto"/>
          <w:highlight w:val="none"/>
        </w:rPr>
      </w:pPr>
      <w:r>
        <w:rPr>
          <w:rFonts w:hint="eastAsia" w:cs="宋体"/>
          <w:color w:val="auto"/>
          <w:highlight w:val="none"/>
        </w:rPr>
        <w:t>4、施工现场应按文明施工安全生产的要求，设置各项临时设施，并达到下列要求：</w:t>
      </w:r>
    </w:p>
    <w:p>
      <w:pPr>
        <w:widowControl/>
        <w:snapToGrid w:val="0"/>
        <w:ind w:firstLine="420"/>
        <w:rPr>
          <w:rFonts w:cs="宋体"/>
          <w:color w:val="auto"/>
          <w:highlight w:val="none"/>
        </w:rPr>
      </w:pPr>
      <w:r>
        <w:rPr>
          <w:rFonts w:hint="eastAsia" w:cs="宋体"/>
          <w:color w:val="auto"/>
          <w:highlight w:val="none"/>
        </w:rPr>
        <w:t>（1）施工区域与非施工区域严格分隔。</w:t>
      </w:r>
    </w:p>
    <w:p>
      <w:pPr>
        <w:widowControl/>
        <w:snapToGrid w:val="0"/>
        <w:ind w:firstLine="420"/>
        <w:rPr>
          <w:rFonts w:cs="宋体"/>
          <w:color w:val="auto"/>
          <w:highlight w:val="none"/>
        </w:rPr>
      </w:pPr>
      <w:r>
        <w:rPr>
          <w:rFonts w:hint="eastAsia" w:cs="宋体"/>
          <w:color w:val="auto"/>
          <w:highlight w:val="none"/>
        </w:rPr>
        <w:t>（2）施工区域内应设置能保证施工安全的夜间照明和警示标志，并采取安全防护措施。</w:t>
      </w:r>
    </w:p>
    <w:p>
      <w:pPr>
        <w:widowControl/>
        <w:snapToGrid w:val="0"/>
        <w:ind w:firstLine="420"/>
        <w:rPr>
          <w:rFonts w:cs="宋体"/>
          <w:color w:val="auto"/>
          <w:highlight w:val="none"/>
        </w:rPr>
      </w:pPr>
      <w:r>
        <w:rPr>
          <w:rFonts w:hint="eastAsia" w:cs="宋体"/>
          <w:color w:val="auto"/>
          <w:highlight w:val="none"/>
        </w:rPr>
        <w:t>（3）各类材料、机具设备按工地总平面图的布置，在固定场地整齐堆放，不得侵占场内道路及安全防护等设施。</w:t>
      </w:r>
    </w:p>
    <w:p>
      <w:pPr>
        <w:widowControl/>
        <w:snapToGrid w:val="0"/>
        <w:ind w:firstLine="420"/>
        <w:rPr>
          <w:rFonts w:cs="宋体"/>
          <w:color w:val="auto"/>
          <w:highlight w:val="none"/>
        </w:rPr>
      </w:pPr>
      <w:r>
        <w:rPr>
          <w:rFonts w:hint="eastAsia" w:cs="宋体"/>
          <w:color w:val="auto"/>
          <w:highlight w:val="none"/>
        </w:rPr>
        <w:t>（4）其他要求：</w:t>
      </w:r>
      <w:r>
        <w:rPr>
          <w:rFonts w:hint="eastAsia" w:cs="宋体"/>
          <w:b/>
          <w:color w:val="auto"/>
          <w:highlight w:val="none"/>
        </w:rPr>
        <w:t>严格按发包人现行管理规范要求进场施工。</w:t>
      </w:r>
    </w:p>
    <w:p>
      <w:pPr>
        <w:widowControl/>
        <w:snapToGrid w:val="0"/>
        <w:ind w:firstLine="420"/>
        <w:rPr>
          <w:rFonts w:cs="宋体"/>
          <w:color w:val="auto"/>
          <w:highlight w:val="none"/>
        </w:rPr>
      </w:pPr>
      <w:r>
        <w:rPr>
          <w:rFonts w:hint="eastAsia" w:cs="宋体"/>
          <w:color w:val="auto"/>
          <w:highlight w:val="none"/>
        </w:rPr>
        <w:t>5、工地民工宿舍应符合卫生要求和居住条件，地面应用砼硬化，照明电线敷设应符合规范，不得任意拉线接电。宿舍应保持整洁有序，不得男女混杂居住及居住与施工无关的人员。</w:t>
      </w:r>
    </w:p>
    <w:p>
      <w:pPr>
        <w:widowControl/>
        <w:snapToGrid w:val="0"/>
        <w:ind w:firstLine="420"/>
        <w:rPr>
          <w:rFonts w:cs="宋体"/>
          <w:color w:val="auto"/>
          <w:highlight w:val="none"/>
        </w:rPr>
      </w:pPr>
      <w:r>
        <w:rPr>
          <w:rFonts w:hint="eastAsia" w:cs="宋体"/>
          <w:color w:val="auto"/>
          <w:highlight w:val="none"/>
        </w:rPr>
        <w:t>6、施工现场设有食堂的，应符合杭州市职工食堂管理的有关规定，并配备冷冻、冷藏设备，其位置应远离厕所、垃圾容器等污染源，炊事员应持有效健康证明及岗位培训合格证。</w:t>
      </w:r>
    </w:p>
    <w:p>
      <w:pPr>
        <w:widowControl/>
        <w:snapToGrid w:val="0"/>
        <w:ind w:firstLine="420"/>
        <w:rPr>
          <w:rFonts w:cs="宋体"/>
          <w:color w:val="auto"/>
          <w:highlight w:val="none"/>
        </w:rPr>
      </w:pPr>
      <w:r>
        <w:rPr>
          <w:rFonts w:hint="eastAsia" w:cs="宋体"/>
          <w:color w:val="auto"/>
          <w:highlight w:val="none"/>
        </w:rPr>
        <w:t>施工现场应设置茶桶、保障茶水供应。</w:t>
      </w:r>
    </w:p>
    <w:p>
      <w:pPr>
        <w:widowControl/>
        <w:snapToGrid w:val="0"/>
        <w:ind w:firstLine="420"/>
        <w:rPr>
          <w:rFonts w:cs="宋体"/>
          <w:color w:val="auto"/>
          <w:highlight w:val="none"/>
        </w:rPr>
      </w:pPr>
      <w:r>
        <w:rPr>
          <w:rFonts w:hint="eastAsia" w:cs="宋体"/>
          <w:color w:val="auto"/>
          <w:highlight w:val="none"/>
        </w:rPr>
        <w:t>7、建筑垃圾和其他散体物料装运应实行车辆密闭式运输，冲洗干净后出场，运输过程中严禁沿途抛、洒、滴、漏。</w:t>
      </w:r>
    </w:p>
    <w:p>
      <w:pPr>
        <w:widowControl/>
        <w:snapToGrid w:val="0"/>
        <w:ind w:firstLine="420"/>
        <w:rPr>
          <w:rFonts w:cs="宋体"/>
          <w:color w:val="auto"/>
          <w:highlight w:val="none"/>
        </w:rPr>
      </w:pPr>
      <w:r>
        <w:rPr>
          <w:rFonts w:hint="eastAsia" w:cs="宋体"/>
          <w:color w:val="auto"/>
          <w:highlight w:val="none"/>
        </w:rPr>
        <w:t>8、乙方应当严格依照《中华人民共和国消防条例》的规定，在工地建立和执行防火管理制度，重点部位设置符合消防要求的消防设施，并保持完好的备用状态。　</w:t>
      </w:r>
    </w:p>
    <w:p>
      <w:pPr>
        <w:widowControl/>
        <w:snapToGrid w:val="0"/>
        <w:ind w:firstLine="420"/>
        <w:rPr>
          <w:rFonts w:cs="宋体"/>
          <w:color w:val="auto"/>
          <w:highlight w:val="none"/>
        </w:rPr>
      </w:pPr>
      <w:r>
        <w:rPr>
          <w:rFonts w:hint="eastAsia" w:cs="宋体"/>
          <w:color w:val="auto"/>
          <w:highlight w:val="none"/>
        </w:rPr>
        <w:t>9、遵守建设地的现场管理要求。</w:t>
      </w:r>
    </w:p>
    <w:p>
      <w:pPr>
        <w:widowControl/>
        <w:snapToGrid w:val="0"/>
        <w:ind w:firstLine="420"/>
        <w:rPr>
          <w:rFonts w:cs="宋体"/>
          <w:color w:val="auto"/>
          <w:highlight w:val="none"/>
        </w:rPr>
      </w:pPr>
      <w:r>
        <w:rPr>
          <w:rFonts w:hint="eastAsia" w:cs="宋体"/>
          <w:color w:val="auto"/>
          <w:highlight w:val="none"/>
        </w:rPr>
        <w:t>10、施工单位在施工中应遵守下列规定：</w:t>
      </w:r>
    </w:p>
    <w:p>
      <w:pPr>
        <w:widowControl/>
        <w:snapToGrid w:val="0"/>
        <w:ind w:firstLine="420"/>
        <w:rPr>
          <w:rFonts w:cs="宋体"/>
          <w:color w:val="auto"/>
          <w:highlight w:val="none"/>
        </w:rPr>
      </w:pPr>
      <w:r>
        <w:rPr>
          <w:rFonts w:hint="eastAsia" w:cs="宋体"/>
          <w:color w:val="auto"/>
          <w:highlight w:val="none"/>
        </w:rPr>
        <w:t>（1）完善技术和操作管理规程，确保防汛设施和地下管线通畅、安全。</w:t>
      </w:r>
    </w:p>
    <w:p>
      <w:pPr>
        <w:widowControl/>
        <w:snapToGrid w:val="0"/>
        <w:ind w:firstLine="420"/>
        <w:rPr>
          <w:rFonts w:cs="宋体"/>
          <w:color w:val="auto"/>
          <w:highlight w:val="none"/>
        </w:rPr>
      </w:pPr>
      <w:r>
        <w:rPr>
          <w:rFonts w:hint="eastAsia" w:cs="宋体"/>
          <w:color w:val="auto"/>
          <w:highlight w:val="none"/>
        </w:rPr>
        <w:t>（2）采取各种有效措施，控制扬尘、噪声。</w:t>
      </w:r>
    </w:p>
    <w:p>
      <w:pPr>
        <w:widowControl/>
        <w:snapToGrid w:val="0"/>
        <w:ind w:firstLine="420"/>
        <w:rPr>
          <w:rFonts w:cs="宋体"/>
          <w:color w:val="auto"/>
          <w:highlight w:val="none"/>
        </w:rPr>
      </w:pPr>
      <w:r>
        <w:rPr>
          <w:rFonts w:hint="eastAsia" w:cs="宋体"/>
          <w:color w:val="auto"/>
          <w:highlight w:val="none"/>
        </w:rPr>
        <w:t>（3）设置各种防护设施，防止施工中废弃物、杂物影响周围环境，伤害过往行人。</w:t>
      </w:r>
    </w:p>
    <w:p>
      <w:pPr>
        <w:widowControl/>
        <w:snapToGrid w:val="0"/>
        <w:ind w:firstLine="420"/>
        <w:rPr>
          <w:rFonts w:cs="宋体"/>
          <w:color w:val="auto"/>
          <w:highlight w:val="none"/>
        </w:rPr>
      </w:pPr>
      <w:r>
        <w:rPr>
          <w:rFonts w:hint="eastAsia" w:cs="宋体"/>
          <w:color w:val="auto"/>
          <w:highlight w:val="none"/>
        </w:rPr>
        <w:t>（4）随时清理建筑垃圾，控制工地污染。</w:t>
      </w:r>
    </w:p>
    <w:p>
      <w:pPr>
        <w:widowControl/>
        <w:snapToGrid w:val="0"/>
        <w:ind w:firstLine="420"/>
        <w:rPr>
          <w:rFonts w:cs="宋体"/>
          <w:color w:val="auto"/>
          <w:highlight w:val="none"/>
        </w:rPr>
      </w:pPr>
      <w:r>
        <w:rPr>
          <w:rFonts w:hint="eastAsia" w:cs="宋体"/>
          <w:color w:val="auto"/>
          <w:highlight w:val="none"/>
        </w:rPr>
        <w:t>（5）控制夜间施工作业，确需夜间作业的，必须事先向环保部门申办《夜间施工许可证》。</w:t>
      </w:r>
    </w:p>
    <w:p>
      <w:pPr>
        <w:widowControl/>
        <w:snapToGrid w:val="0"/>
        <w:ind w:firstLine="420"/>
        <w:rPr>
          <w:rFonts w:cs="宋体"/>
          <w:color w:val="auto"/>
          <w:highlight w:val="none"/>
        </w:rPr>
      </w:pPr>
      <w:r>
        <w:rPr>
          <w:rFonts w:hint="eastAsia" w:cs="宋体"/>
          <w:color w:val="auto"/>
          <w:highlight w:val="none"/>
        </w:rPr>
        <w:t>（6）运用其他有效方式，减少施工时对市容、绿化和环境的不良影响。</w:t>
      </w:r>
    </w:p>
    <w:p>
      <w:pPr>
        <w:widowControl/>
        <w:snapToGrid w:val="0"/>
        <w:ind w:firstLine="420"/>
        <w:rPr>
          <w:rFonts w:cs="宋体"/>
          <w:color w:val="auto"/>
          <w:highlight w:val="none"/>
        </w:rPr>
      </w:pPr>
      <w:r>
        <w:rPr>
          <w:rFonts w:hint="eastAsia" w:cs="宋体"/>
          <w:color w:val="auto"/>
          <w:highlight w:val="none"/>
        </w:rPr>
        <w:t>（7）遵守交通管理规定，不得使用人力车、三轮车向场外运输建筑垃圾、废土、物料。</w:t>
      </w:r>
    </w:p>
    <w:p>
      <w:pPr>
        <w:widowControl/>
        <w:snapToGrid w:val="0"/>
        <w:ind w:firstLine="420"/>
        <w:rPr>
          <w:rFonts w:cs="宋体"/>
          <w:color w:val="auto"/>
          <w:highlight w:val="none"/>
        </w:rPr>
      </w:pPr>
      <w:r>
        <w:rPr>
          <w:rFonts w:hint="eastAsia" w:cs="宋体"/>
          <w:color w:val="auto"/>
          <w:highlight w:val="none"/>
        </w:rPr>
        <w:t>11、施工人员在施工中应严格遵守下列规定:</w:t>
      </w:r>
    </w:p>
    <w:p>
      <w:pPr>
        <w:widowControl/>
        <w:snapToGrid w:val="0"/>
        <w:ind w:firstLine="420"/>
        <w:rPr>
          <w:rFonts w:cs="宋体"/>
          <w:color w:val="auto"/>
          <w:highlight w:val="none"/>
        </w:rPr>
      </w:pPr>
      <w:r>
        <w:rPr>
          <w:rFonts w:hint="eastAsia" w:cs="宋体"/>
          <w:color w:val="auto"/>
          <w:highlight w:val="none"/>
        </w:rPr>
        <w:t>（1）施工中产生的各类垃圾应及时清运到市容环境卫生管理部门指定的地点，严禁随意倾倒在城市道路、河道、绿化带、空旷地带和居民生活垃圾容器内。</w:t>
      </w:r>
    </w:p>
    <w:p>
      <w:pPr>
        <w:widowControl/>
        <w:snapToGrid w:val="0"/>
        <w:ind w:firstLine="420"/>
        <w:rPr>
          <w:rFonts w:cs="宋体"/>
          <w:color w:val="auto"/>
          <w:highlight w:val="none"/>
        </w:rPr>
      </w:pPr>
      <w:r>
        <w:rPr>
          <w:rFonts w:hint="eastAsia" w:cs="宋体"/>
          <w:color w:val="auto"/>
          <w:highlight w:val="none"/>
        </w:rPr>
        <w:t>（2）施工中不得随意丢弃废物、旧料和其他杂物。</w:t>
      </w:r>
    </w:p>
    <w:p>
      <w:pPr>
        <w:widowControl/>
        <w:snapToGrid w:val="0"/>
        <w:ind w:firstLine="420"/>
        <w:rPr>
          <w:rFonts w:cs="宋体"/>
          <w:color w:val="auto"/>
          <w:highlight w:val="none"/>
        </w:rPr>
      </w:pPr>
      <w:r>
        <w:rPr>
          <w:rFonts w:hint="eastAsia" w:cs="宋体"/>
          <w:color w:val="auto"/>
          <w:highlight w:val="none"/>
        </w:rPr>
        <w:t>（3）施工中应注意清理施工场地，做到随做随清。</w:t>
      </w:r>
    </w:p>
    <w:p>
      <w:pPr>
        <w:widowControl/>
        <w:snapToGrid w:val="0"/>
        <w:ind w:firstLine="420"/>
        <w:rPr>
          <w:rFonts w:cs="宋体"/>
          <w:color w:val="auto"/>
          <w:highlight w:val="none"/>
        </w:rPr>
      </w:pPr>
      <w:r>
        <w:rPr>
          <w:rFonts w:hint="eastAsia" w:cs="宋体"/>
          <w:color w:val="auto"/>
          <w:highlight w:val="none"/>
        </w:rPr>
        <w:t>（4）其他：</w:t>
      </w:r>
    </w:p>
    <w:p>
      <w:pPr>
        <w:widowControl/>
        <w:snapToGrid w:val="0"/>
        <w:ind w:firstLine="420"/>
        <w:rPr>
          <w:rFonts w:cs="宋体"/>
          <w:color w:val="auto"/>
          <w:highlight w:val="none"/>
        </w:rPr>
      </w:pPr>
      <w:r>
        <w:rPr>
          <w:rFonts w:hint="eastAsia" w:cs="宋体"/>
          <w:color w:val="auto"/>
          <w:highlight w:val="none"/>
        </w:rPr>
        <w:t>12、乙方应确保工地出入口和道路的畅通、安全。施工中造成沿线单位、人员的出入口障碍和道路交通堵塞，应及时采取有效措施。</w:t>
      </w:r>
    </w:p>
    <w:p>
      <w:pPr>
        <w:widowControl/>
        <w:snapToGrid w:val="0"/>
        <w:ind w:firstLine="420"/>
        <w:rPr>
          <w:rFonts w:cs="宋体"/>
          <w:color w:val="auto"/>
          <w:highlight w:val="none"/>
        </w:rPr>
      </w:pPr>
      <w:r>
        <w:rPr>
          <w:rFonts w:hint="eastAsia" w:cs="宋体"/>
          <w:color w:val="auto"/>
          <w:highlight w:val="none"/>
        </w:rPr>
        <w:t>13、施工中造成下水道和其他地下管线堵塞或损坏的，应立即疏浚或修复；对工地周围的单位及人员财产造成损失的，应承担经济赔偿责任。</w:t>
      </w:r>
    </w:p>
    <w:p>
      <w:pPr>
        <w:widowControl/>
        <w:snapToGrid w:val="0"/>
        <w:ind w:firstLine="420"/>
        <w:rPr>
          <w:rFonts w:cs="宋体"/>
          <w:color w:val="auto"/>
          <w:highlight w:val="none"/>
        </w:rPr>
      </w:pPr>
      <w:r>
        <w:rPr>
          <w:rFonts w:hint="eastAsia" w:cs="宋体"/>
          <w:color w:val="auto"/>
          <w:highlight w:val="none"/>
        </w:rPr>
        <w:t xml:space="preserve"> 四、甲方对乙方开展创建文明土地的工作要经常性地给予指导，定期组织检查，对乙方存在的问题应及时通知乙方进行整改，并有权对乙方责任违约，按约定办法进行经济处理。</w:t>
      </w:r>
    </w:p>
    <w:p>
      <w:pPr>
        <w:widowControl/>
        <w:snapToGrid w:val="0"/>
        <w:ind w:firstLine="420"/>
        <w:rPr>
          <w:rFonts w:cs="宋体"/>
          <w:color w:val="auto"/>
          <w:highlight w:val="none"/>
        </w:rPr>
      </w:pPr>
      <w:r>
        <w:rPr>
          <w:rFonts w:hint="eastAsia" w:cs="宋体"/>
          <w:color w:val="auto"/>
          <w:highlight w:val="none"/>
        </w:rPr>
        <w:t xml:space="preserve"> 五、因乙方违反文明施工管理要求，被地方政府有关部门查获而受到的经济处罚，以及由此而使甲方受到的经济损失，均由乙方承担。</w:t>
      </w:r>
    </w:p>
    <w:p>
      <w:pPr>
        <w:widowControl/>
        <w:snapToGrid w:val="0"/>
        <w:ind w:firstLine="420"/>
        <w:rPr>
          <w:rFonts w:cs="宋体"/>
          <w:color w:val="auto"/>
          <w:highlight w:val="none"/>
        </w:rPr>
      </w:pPr>
      <w:r>
        <w:rPr>
          <w:rFonts w:hint="eastAsia" w:cs="宋体"/>
          <w:color w:val="auto"/>
          <w:highlight w:val="none"/>
        </w:rPr>
        <w:t xml:space="preserve"> 六、本协议作为甲乙双方工程合同的附件，在工程合同正式签约后有效，与工程合同具有同等法律效力。工程合同期满，本协议终止。</w:t>
      </w:r>
    </w:p>
    <w:p>
      <w:pPr>
        <w:widowControl/>
        <w:snapToGrid w:val="0"/>
        <w:ind w:firstLine="420"/>
        <w:rPr>
          <w:rFonts w:cs="宋体"/>
          <w:color w:val="auto"/>
          <w:highlight w:val="none"/>
        </w:rPr>
      </w:pPr>
    </w:p>
    <w:p>
      <w:pPr>
        <w:widowControl/>
        <w:snapToGrid w:val="0"/>
        <w:ind w:firstLine="420"/>
        <w:rPr>
          <w:rFonts w:cs="宋体"/>
          <w:color w:val="auto"/>
          <w:highlight w:val="none"/>
        </w:rPr>
      </w:pPr>
      <w:r>
        <w:rPr>
          <w:rFonts w:hint="eastAsia" w:cs="宋体"/>
          <w:color w:val="auto"/>
          <w:highlight w:val="none"/>
        </w:rPr>
        <w:t>发包人（公章）：                                   承包人（公章）：</w:t>
      </w:r>
    </w:p>
    <w:p>
      <w:pPr>
        <w:widowControl/>
        <w:snapToGrid w:val="0"/>
        <w:ind w:firstLine="420"/>
        <w:rPr>
          <w:rFonts w:cs="宋体"/>
          <w:color w:val="auto"/>
          <w:highlight w:val="none"/>
        </w:rPr>
      </w:pPr>
      <w:r>
        <w:rPr>
          <w:rFonts w:hint="eastAsia" w:cs="宋体"/>
          <w:color w:val="auto"/>
          <w:highlight w:val="none"/>
        </w:rPr>
        <w:t>法定代表人：                                      法定代表人：</w:t>
      </w:r>
    </w:p>
    <w:p>
      <w:pPr>
        <w:widowControl/>
        <w:snapToGrid w:val="0"/>
        <w:ind w:firstLine="420"/>
        <w:rPr>
          <w:rFonts w:cs="宋体"/>
          <w:color w:val="auto"/>
          <w:highlight w:val="none"/>
        </w:rPr>
      </w:pPr>
      <w:r>
        <w:rPr>
          <w:rFonts w:hint="eastAsia" w:cs="宋体"/>
          <w:color w:val="auto"/>
          <w:highlight w:val="none"/>
        </w:rPr>
        <w:t>或委托代理人：                                    或委托代理人：</w:t>
      </w:r>
    </w:p>
    <w:p>
      <w:pPr>
        <w:widowControl/>
        <w:adjustRightInd w:val="0"/>
        <w:snapToGrid w:val="0"/>
        <w:ind w:firstLine="420"/>
        <w:rPr>
          <w:rFonts w:cs="宋体"/>
          <w:color w:val="auto"/>
          <w:highlight w:val="none"/>
        </w:rPr>
      </w:pPr>
      <w:r>
        <w:rPr>
          <w:rFonts w:hint="eastAsia" w:cs="宋体"/>
          <w:color w:val="auto"/>
          <w:highlight w:val="none"/>
        </w:rPr>
        <w:t xml:space="preserve">      年    月    日                                年    月    日</w:t>
      </w:r>
    </w:p>
    <w:p>
      <w:pPr>
        <w:widowControl/>
        <w:adjustRightInd w:val="0"/>
        <w:snapToGrid w:val="0"/>
        <w:ind w:firstLine="420"/>
        <w:rPr>
          <w:rFonts w:cs="宋体"/>
          <w:color w:val="auto"/>
          <w:highlight w:val="none"/>
        </w:rPr>
      </w:pPr>
      <w:r>
        <w:rPr>
          <w:rFonts w:hint="eastAsia" w:cs="宋体"/>
          <w:color w:val="auto"/>
          <w:kern w:val="0"/>
          <w:highlight w:val="none"/>
          <w:lang w:val="zh-CN"/>
        </w:rPr>
        <w:br w:type="page"/>
      </w:r>
    </w:p>
    <w:p>
      <w:pPr>
        <w:widowControl/>
        <w:adjustRightInd w:val="0"/>
        <w:snapToGrid w:val="0"/>
        <w:ind w:firstLine="422"/>
        <w:jc w:val="center"/>
        <w:rPr>
          <w:rFonts w:cs="宋体"/>
          <w:color w:val="auto"/>
          <w:highlight w:val="none"/>
        </w:rPr>
      </w:pPr>
      <w:r>
        <w:rPr>
          <w:rFonts w:hint="eastAsia" w:cs="宋体"/>
          <w:b/>
          <w:color w:val="auto"/>
          <w:highlight w:val="none"/>
        </w:rPr>
        <w:t>建设工程廉洁协议书</w:t>
      </w:r>
    </w:p>
    <w:p>
      <w:pPr>
        <w:widowControl/>
        <w:adjustRightInd w:val="0"/>
        <w:snapToGrid w:val="0"/>
        <w:ind w:firstLine="422"/>
        <w:rPr>
          <w:rFonts w:cs="宋体"/>
          <w:b/>
          <w:color w:val="auto"/>
          <w:highlight w:val="none"/>
        </w:rPr>
      </w:pPr>
      <w:r>
        <w:rPr>
          <w:rFonts w:hint="eastAsia" w:cs="宋体"/>
          <w:b/>
          <w:color w:val="auto"/>
          <w:highlight w:val="none"/>
        </w:rPr>
        <w:t>甲方（发包人）：浙江出入境边防检查总站</w:t>
      </w:r>
    </w:p>
    <w:p>
      <w:pPr>
        <w:widowControl/>
        <w:adjustRightInd w:val="0"/>
        <w:snapToGrid w:val="0"/>
        <w:ind w:firstLine="422"/>
        <w:rPr>
          <w:rFonts w:cs="宋体"/>
          <w:b/>
          <w:color w:val="auto"/>
          <w:highlight w:val="none"/>
        </w:rPr>
      </w:pPr>
      <w:r>
        <w:rPr>
          <w:rFonts w:hint="eastAsia" w:cs="宋体"/>
          <w:b/>
          <w:color w:val="auto"/>
          <w:highlight w:val="none"/>
        </w:rPr>
        <w:t xml:space="preserve">乙方（承包人）： </w:t>
      </w:r>
      <w:r>
        <w:rPr>
          <w:rFonts w:hint="eastAsia" w:cs="宋体"/>
          <w:b/>
          <w:color w:val="auto"/>
          <w:highlight w:val="none"/>
          <w:u w:val="single"/>
          <w:lang w:val="en-US" w:eastAsia="zh-CN"/>
        </w:rPr>
        <w:t xml:space="preserve">                      </w:t>
      </w:r>
    </w:p>
    <w:p>
      <w:pPr>
        <w:widowControl/>
        <w:adjustRightInd w:val="0"/>
        <w:snapToGrid w:val="0"/>
        <w:ind w:firstLine="420"/>
        <w:rPr>
          <w:rFonts w:cs="宋体"/>
          <w:color w:val="auto"/>
          <w:kern w:val="0"/>
          <w:highlight w:val="none"/>
        </w:rPr>
      </w:pPr>
      <w:r>
        <w:rPr>
          <w:rFonts w:hint="eastAsia" w:cs="宋体"/>
          <w:color w:val="auto"/>
          <w:highlight w:val="none"/>
        </w:rPr>
        <w:t>工程项目名称：浙江出入境边防检查总站室外综合改造设计工程</w:t>
      </w:r>
    </w:p>
    <w:p>
      <w:pPr>
        <w:widowControl/>
        <w:adjustRightInd w:val="0"/>
        <w:snapToGrid w:val="0"/>
        <w:ind w:firstLine="420"/>
        <w:rPr>
          <w:rFonts w:cs="宋体"/>
          <w:color w:val="auto"/>
          <w:highlight w:val="none"/>
        </w:rPr>
      </w:pPr>
      <w:r>
        <w:rPr>
          <w:rFonts w:hint="eastAsia" w:cs="宋体"/>
          <w:color w:val="auto"/>
          <w:highlight w:val="none"/>
        </w:rPr>
        <w:t>为了在工程建设中保持廉政自律的工作作风，防止各种不正当行为的发生，根据国家和省市有关建设工程承发包和廉政建设的各项规定，结合工程建设的特点，订立本协议如下：</w:t>
      </w:r>
    </w:p>
    <w:p>
      <w:pPr>
        <w:widowControl/>
        <w:adjustRightInd w:val="0"/>
        <w:snapToGrid w:val="0"/>
        <w:ind w:firstLine="420"/>
        <w:rPr>
          <w:rFonts w:cs="宋体"/>
          <w:color w:val="auto"/>
          <w:highlight w:val="none"/>
        </w:rPr>
      </w:pPr>
      <w:r>
        <w:rPr>
          <w:rFonts w:hint="eastAsia" w:cs="宋体"/>
          <w:color w:val="auto"/>
          <w:highlight w:val="none"/>
        </w:rPr>
        <w:t>一、甲乙双方应当自觉遵守国家和市关于建设工程承发包工作规则以及有关廉政建设的各项规定。</w:t>
      </w:r>
    </w:p>
    <w:p>
      <w:pPr>
        <w:widowControl/>
        <w:adjustRightInd w:val="0"/>
        <w:snapToGrid w:val="0"/>
        <w:ind w:firstLine="420"/>
        <w:rPr>
          <w:rFonts w:cs="宋体"/>
          <w:color w:val="auto"/>
          <w:highlight w:val="none"/>
        </w:rPr>
      </w:pPr>
      <w:r>
        <w:rPr>
          <w:rFonts w:hint="eastAsia" w:cs="宋体"/>
          <w:color w:val="auto"/>
          <w:highlight w:val="none"/>
        </w:rPr>
        <w:t>二、甲方及其工作人员不得以任何形式向乙方索要和收受回扣等好处费。</w:t>
      </w:r>
    </w:p>
    <w:p>
      <w:pPr>
        <w:widowControl/>
        <w:adjustRightInd w:val="0"/>
        <w:snapToGrid w:val="0"/>
        <w:ind w:firstLine="420"/>
        <w:rPr>
          <w:rFonts w:cs="宋体"/>
          <w:color w:val="auto"/>
          <w:highlight w:val="none"/>
        </w:rPr>
      </w:pPr>
      <w:r>
        <w:rPr>
          <w:rFonts w:hint="eastAsia" w:cs="宋体"/>
          <w:color w:val="auto"/>
          <w:highlight w:val="none"/>
        </w:rPr>
        <w:t>三、甲方工作人员应当保持与乙方的正常业务交往，不得接受乙方的现金、有价证券和贵重物品，不得在乙方报销任何应有个人支付的费用。</w:t>
      </w:r>
    </w:p>
    <w:p>
      <w:pPr>
        <w:widowControl/>
        <w:adjustRightInd w:val="0"/>
        <w:snapToGrid w:val="0"/>
        <w:ind w:firstLine="420"/>
        <w:rPr>
          <w:rFonts w:cs="宋体"/>
          <w:color w:val="auto"/>
          <w:highlight w:val="none"/>
        </w:rPr>
      </w:pPr>
      <w:r>
        <w:rPr>
          <w:rFonts w:hint="eastAsia" w:cs="宋体"/>
          <w:color w:val="auto"/>
          <w:highlight w:val="none"/>
        </w:rPr>
        <w:t>四、甲方工作人员不得参加可能对公正执行公务有影响的宴请和娱乐活动。</w:t>
      </w:r>
    </w:p>
    <w:p>
      <w:pPr>
        <w:widowControl/>
        <w:adjustRightInd w:val="0"/>
        <w:snapToGrid w:val="0"/>
        <w:ind w:firstLine="420"/>
        <w:rPr>
          <w:rFonts w:cs="宋体"/>
          <w:color w:val="auto"/>
          <w:highlight w:val="none"/>
        </w:rPr>
      </w:pPr>
      <w:r>
        <w:rPr>
          <w:rFonts w:hint="eastAsia" w:cs="宋体"/>
          <w:color w:val="auto"/>
          <w:highlight w:val="none"/>
        </w:rPr>
        <w:t>五、甲方工作人员不得要求接受乙方为其住房装修、婚丧嫁娶、家属和子女的工作安排以及出国等提供方便。</w:t>
      </w:r>
    </w:p>
    <w:p>
      <w:pPr>
        <w:widowControl/>
        <w:adjustRightInd w:val="0"/>
        <w:snapToGrid w:val="0"/>
        <w:ind w:firstLine="420"/>
        <w:rPr>
          <w:rFonts w:cs="宋体"/>
          <w:color w:val="auto"/>
          <w:highlight w:val="none"/>
        </w:rPr>
      </w:pPr>
      <w:r>
        <w:rPr>
          <w:rFonts w:hint="eastAsia" w:cs="宋体"/>
          <w:color w:val="auto"/>
          <w:highlight w:val="none"/>
        </w:rPr>
        <w:t>六、甲方工作人员不得向乙方介绍家属或者亲友从事与甲方工程有关的材料设备供应、工程分包等经济活动。</w:t>
      </w:r>
    </w:p>
    <w:p>
      <w:pPr>
        <w:widowControl/>
        <w:adjustRightInd w:val="0"/>
        <w:snapToGrid w:val="0"/>
        <w:ind w:firstLine="420"/>
        <w:rPr>
          <w:rFonts w:cs="宋体"/>
          <w:color w:val="auto"/>
          <w:highlight w:val="none"/>
        </w:rPr>
      </w:pPr>
      <w:r>
        <w:rPr>
          <w:rFonts w:hint="eastAsia" w:cs="宋体"/>
          <w:color w:val="auto"/>
          <w:highlight w:val="none"/>
        </w:rPr>
        <w:t>七、乙方应当通过正常途径开展相对业务工作，不得为获取某些不正当利益而向甲方工作人员赠送礼金、有价证券和贵重物品等。</w:t>
      </w:r>
    </w:p>
    <w:p>
      <w:pPr>
        <w:widowControl/>
        <w:adjustRightInd w:val="0"/>
        <w:snapToGrid w:val="0"/>
        <w:ind w:firstLine="420"/>
        <w:rPr>
          <w:rFonts w:cs="宋体"/>
          <w:color w:val="auto"/>
          <w:highlight w:val="none"/>
        </w:rPr>
      </w:pPr>
      <w:r>
        <w:rPr>
          <w:rFonts w:hint="eastAsia" w:cs="宋体"/>
          <w:color w:val="auto"/>
          <w:highlight w:val="none"/>
        </w:rPr>
        <w:t>八、乙方不得为谋取私利擅自与甲方工作人员就工程承包、工程费用、材料设备供应、工程量变动、工程验收、工程质量问题处理等进行私下商谈或者达成默契。</w:t>
      </w:r>
    </w:p>
    <w:p>
      <w:pPr>
        <w:widowControl/>
        <w:adjustRightInd w:val="0"/>
        <w:snapToGrid w:val="0"/>
        <w:ind w:firstLine="420"/>
        <w:rPr>
          <w:rFonts w:cs="宋体"/>
          <w:color w:val="auto"/>
          <w:highlight w:val="none"/>
        </w:rPr>
      </w:pPr>
      <w:r>
        <w:rPr>
          <w:rFonts w:hint="eastAsia" w:cs="宋体"/>
          <w:color w:val="auto"/>
          <w:highlight w:val="none"/>
        </w:rPr>
        <w:t>九、乙方不得以洽谈业务、签订经济合同为借口，邀请甲方工作人员外出旅游和进入高档娱乐性场所。</w:t>
      </w:r>
    </w:p>
    <w:p>
      <w:pPr>
        <w:widowControl/>
        <w:adjustRightInd w:val="0"/>
        <w:snapToGrid w:val="0"/>
        <w:ind w:firstLine="420"/>
        <w:rPr>
          <w:rFonts w:cs="宋体"/>
          <w:color w:val="auto"/>
          <w:highlight w:val="none"/>
        </w:rPr>
      </w:pPr>
      <w:r>
        <w:rPr>
          <w:rFonts w:hint="eastAsia" w:cs="宋体"/>
          <w:color w:val="auto"/>
          <w:highlight w:val="none"/>
        </w:rPr>
        <w:t>十、乙方不得为甲方和个人购置或者提供通讯工具、家电、高档办公用品等物品。</w:t>
      </w:r>
    </w:p>
    <w:p>
      <w:pPr>
        <w:widowControl/>
        <w:adjustRightInd w:val="0"/>
        <w:snapToGrid w:val="0"/>
        <w:ind w:firstLine="420"/>
        <w:rPr>
          <w:rFonts w:cs="宋体"/>
          <w:color w:val="auto"/>
          <w:highlight w:val="none"/>
        </w:rPr>
      </w:pPr>
      <w:r>
        <w:rPr>
          <w:rFonts w:hint="eastAsia" w:cs="宋体"/>
          <w:color w:val="auto"/>
          <w:highlight w:val="none"/>
        </w:rPr>
        <w:t>十一、乙方如发现甲方工作人员有违反上述协议者，应向甲方领导或者甲方上级单位举报。甲方不得找任何借口对乙方进行报复。甲方对举报属实和严格遵守廉政协议的乙方，在同等条件下给予承接后续工程的优先邀请投标权。</w:t>
      </w:r>
    </w:p>
    <w:p>
      <w:pPr>
        <w:widowControl/>
        <w:adjustRightInd w:val="0"/>
        <w:snapToGrid w:val="0"/>
        <w:ind w:firstLine="420"/>
        <w:rPr>
          <w:rFonts w:cs="宋体"/>
          <w:color w:val="auto"/>
          <w:highlight w:val="none"/>
        </w:rPr>
      </w:pPr>
      <w:r>
        <w:rPr>
          <w:rFonts w:hint="eastAsia" w:cs="宋体"/>
          <w:color w:val="auto"/>
          <w:highlight w:val="none"/>
        </w:rPr>
        <w:t>十二、甲方发现乙方有违反本协议或者采用不正当的手段行贿甲方工作人员，甲方根据具体情节和造成的后果追究乙方工程合同造价1%—5%的违约金，由此给甲方造成的损失均由乙方承担，乙方用不正当手段获取的非法所得由甲方单位予以追缴。</w:t>
      </w:r>
    </w:p>
    <w:p>
      <w:pPr>
        <w:widowControl/>
        <w:adjustRightInd w:val="0"/>
        <w:snapToGrid w:val="0"/>
        <w:ind w:firstLine="420"/>
        <w:rPr>
          <w:rFonts w:cs="宋体"/>
          <w:color w:val="auto"/>
          <w:highlight w:val="none"/>
        </w:rPr>
      </w:pPr>
      <w:r>
        <w:rPr>
          <w:rFonts w:hint="eastAsia" w:cs="宋体"/>
          <w:color w:val="auto"/>
          <w:highlight w:val="none"/>
        </w:rPr>
        <w:t>十三、严格执行中纪委下发的中纪发【2007】7号《中共中央纪委关于严格禁止利用职务上的便利谋取不正当利益的若干规定》。</w:t>
      </w:r>
    </w:p>
    <w:p>
      <w:pPr>
        <w:widowControl/>
        <w:adjustRightInd w:val="0"/>
        <w:snapToGrid w:val="0"/>
        <w:ind w:firstLine="420"/>
        <w:rPr>
          <w:rFonts w:cs="宋体"/>
          <w:color w:val="auto"/>
          <w:highlight w:val="none"/>
        </w:rPr>
      </w:pPr>
      <w:r>
        <w:rPr>
          <w:rFonts w:hint="eastAsia" w:cs="宋体"/>
          <w:color w:val="auto"/>
          <w:highlight w:val="none"/>
        </w:rPr>
        <w:t>十四、本廉政协议作为工程承发包合同的附件，与工程承发包合同具有同等法律效力，经协议双方签署后立即生效。</w:t>
      </w:r>
    </w:p>
    <w:p>
      <w:pPr>
        <w:widowControl/>
        <w:adjustRightInd w:val="0"/>
        <w:snapToGrid w:val="0"/>
        <w:ind w:firstLine="420"/>
        <w:rPr>
          <w:rFonts w:cs="宋体"/>
          <w:color w:val="auto"/>
          <w:highlight w:val="none"/>
        </w:rPr>
      </w:pPr>
      <w:r>
        <w:rPr>
          <w:rFonts w:hint="eastAsia" w:cs="宋体"/>
          <w:color w:val="auto"/>
          <w:highlight w:val="none"/>
        </w:rPr>
        <w:t>十五、本协议一式三份，甲、乙双方各执一份，送交见证部门一份。</w:t>
      </w:r>
    </w:p>
    <w:p>
      <w:pPr>
        <w:widowControl/>
        <w:adjustRightInd w:val="0"/>
        <w:snapToGrid w:val="0"/>
        <w:ind w:firstLine="420"/>
        <w:rPr>
          <w:rFonts w:cs="宋体"/>
          <w:color w:val="auto"/>
          <w:highlight w:val="none"/>
        </w:rPr>
      </w:pPr>
    </w:p>
    <w:p>
      <w:pPr>
        <w:widowControl/>
        <w:adjustRightInd w:val="0"/>
        <w:snapToGrid w:val="0"/>
        <w:ind w:firstLine="420"/>
        <w:rPr>
          <w:rFonts w:cs="宋体"/>
          <w:color w:val="auto"/>
          <w:highlight w:val="none"/>
        </w:rPr>
      </w:pPr>
      <w:r>
        <w:rPr>
          <w:rFonts w:hint="eastAsia" w:cs="宋体"/>
          <w:color w:val="auto"/>
          <w:highlight w:val="none"/>
        </w:rPr>
        <w:t>发包人（公章）：                                   承包人（公章）：</w:t>
      </w:r>
    </w:p>
    <w:p>
      <w:pPr>
        <w:widowControl/>
        <w:adjustRightInd w:val="0"/>
        <w:snapToGrid w:val="0"/>
        <w:ind w:firstLine="420"/>
        <w:rPr>
          <w:rFonts w:cs="宋体"/>
          <w:color w:val="auto"/>
          <w:highlight w:val="none"/>
        </w:rPr>
      </w:pPr>
    </w:p>
    <w:p>
      <w:pPr>
        <w:widowControl/>
        <w:adjustRightInd w:val="0"/>
        <w:snapToGrid w:val="0"/>
        <w:ind w:firstLine="420"/>
        <w:rPr>
          <w:rFonts w:cs="宋体"/>
          <w:color w:val="auto"/>
          <w:highlight w:val="none"/>
        </w:rPr>
      </w:pPr>
      <w:r>
        <w:rPr>
          <w:rFonts w:hint="eastAsia" w:cs="宋体"/>
          <w:color w:val="auto"/>
          <w:highlight w:val="none"/>
        </w:rPr>
        <w:t>法定代表人：                                      法定代表人：</w:t>
      </w:r>
    </w:p>
    <w:p>
      <w:pPr>
        <w:widowControl/>
        <w:adjustRightInd w:val="0"/>
        <w:snapToGrid w:val="0"/>
        <w:ind w:firstLine="420"/>
        <w:rPr>
          <w:rFonts w:cs="宋体"/>
          <w:color w:val="auto"/>
          <w:highlight w:val="none"/>
        </w:rPr>
      </w:pPr>
    </w:p>
    <w:p>
      <w:pPr>
        <w:widowControl/>
        <w:adjustRightInd w:val="0"/>
        <w:snapToGrid w:val="0"/>
        <w:ind w:firstLine="420"/>
        <w:rPr>
          <w:rFonts w:cs="宋体"/>
          <w:color w:val="auto"/>
          <w:highlight w:val="none"/>
        </w:rPr>
      </w:pPr>
      <w:r>
        <w:rPr>
          <w:rFonts w:hint="eastAsia" w:cs="宋体"/>
          <w:color w:val="auto"/>
          <w:highlight w:val="none"/>
        </w:rPr>
        <w:t>或委托代理人：                                    或委托代理人：</w:t>
      </w:r>
    </w:p>
    <w:p>
      <w:pPr>
        <w:widowControl/>
        <w:adjustRightInd w:val="0"/>
        <w:snapToGrid w:val="0"/>
        <w:ind w:firstLine="420"/>
        <w:rPr>
          <w:rFonts w:cs="宋体"/>
          <w:color w:val="auto"/>
          <w:highlight w:val="none"/>
        </w:rPr>
      </w:pPr>
    </w:p>
    <w:p>
      <w:pPr>
        <w:widowControl/>
        <w:adjustRightInd w:val="0"/>
        <w:snapToGrid w:val="0"/>
        <w:ind w:firstLine="420"/>
        <w:rPr>
          <w:rFonts w:cs="宋体"/>
          <w:color w:val="auto"/>
          <w:highlight w:val="none"/>
        </w:rPr>
      </w:pPr>
      <w:r>
        <w:rPr>
          <w:rFonts w:hint="eastAsia" w:cs="宋体"/>
          <w:color w:val="auto"/>
          <w:highlight w:val="none"/>
        </w:rPr>
        <w:t>年    月   日                                     年    月   日</w:t>
      </w:r>
    </w:p>
    <w:p>
      <w:pPr>
        <w:ind w:firstLine="420"/>
        <w:rPr>
          <w:rFonts w:cs="宋体"/>
          <w:color w:val="auto"/>
          <w:highlight w:val="none"/>
        </w:rPr>
        <w:sectPr>
          <w:footerReference r:id="rId15" w:type="default"/>
          <w:pgSz w:w="11906" w:h="16838"/>
          <w:pgMar w:top="1418" w:right="1418" w:bottom="1418" w:left="1418" w:header="851" w:footer="992" w:gutter="0"/>
          <w:cols w:space="720" w:num="1"/>
          <w:docGrid w:linePitch="380" w:charSpace="0"/>
        </w:sectPr>
      </w:pPr>
    </w:p>
    <w:bookmarkEnd w:id="95"/>
    <w:bookmarkEnd w:id="96"/>
    <w:bookmarkEnd w:id="97"/>
    <w:bookmarkEnd w:id="98"/>
    <w:p>
      <w:pPr>
        <w:pStyle w:val="4"/>
        <w:ind w:firstLine="602"/>
        <w:rPr>
          <w:rFonts w:cs="宋体"/>
          <w:color w:val="auto"/>
          <w:highlight w:val="none"/>
        </w:rPr>
      </w:pPr>
      <w:bookmarkStart w:id="1095" w:name="_Toc28736"/>
      <w:r>
        <w:rPr>
          <w:rFonts w:hint="eastAsia" w:cs="宋体"/>
          <w:color w:val="auto"/>
          <w:highlight w:val="none"/>
        </w:rPr>
        <w:t>第五章  评标办法</w:t>
      </w:r>
      <w:bookmarkEnd w:id="99"/>
      <w:bookmarkEnd w:id="100"/>
      <w:bookmarkEnd w:id="101"/>
      <w:bookmarkEnd w:id="102"/>
      <w:bookmarkEnd w:id="1095"/>
    </w:p>
    <w:p>
      <w:pPr>
        <w:adjustRightInd w:val="0"/>
        <w:snapToGrid w:val="0"/>
        <w:ind w:firstLine="420"/>
        <w:rPr>
          <w:rFonts w:cs="宋体"/>
          <w:color w:val="auto"/>
          <w:szCs w:val="21"/>
          <w:highlight w:val="none"/>
        </w:rPr>
      </w:pPr>
      <w:bookmarkStart w:id="1096" w:name="_Toc415814139"/>
      <w:bookmarkStart w:id="1097" w:name="_Toc249760791"/>
      <w:bookmarkStart w:id="1098" w:name="_Toc367274988"/>
      <w:bookmarkStart w:id="1099" w:name="_Toc251566662"/>
      <w:bookmarkStart w:id="1100" w:name="_Toc295465366"/>
      <w:bookmarkStart w:id="1101" w:name="_Toc227057965"/>
      <w:bookmarkStart w:id="1102" w:name="_Toc107822557"/>
      <w:bookmarkStart w:id="1103" w:name="_Toc226969359"/>
      <w:r>
        <w:rPr>
          <w:rFonts w:hint="eastAsia" w:cs="宋体"/>
          <w:color w:val="auto"/>
          <w:szCs w:val="21"/>
          <w:highlight w:val="none"/>
        </w:rPr>
        <w:t>根据《中华人民共和国政府采购法》、《政府采购货物和服务招标投标管理办法》等有关法律法规，结合本项目的实际，按照公正、公平、科学、择优的原则选择中标人，特制定本办法。</w:t>
      </w:r>
    </w:p>
    <w:p>
      <w:pPr>
        <w:pStyle w:val="5"/>
        <w:ind w:firstLine="482"/>
        <w:rPr>
          <w:rFonts w:ascii="宋体" w:hAnsi="宋体" w:cs="宋体"/>
          <w:color w:val="auto"/>
          <w:highlight w:val="none"/>
        </w:rPr>
      </w:pPr>
      <w:bookmarkStart w:id="1104" w:name="_Toc22408"/>
      <w:bookmarkStart w:id="1105" w:name="_Toc506358625"/>
      <w:r>
        <w:rPr>
          <w:rFonts w:hint="eastAsia" w:ascii="宋体" w:hAnsi="宋体" w:cs="宋体"/>
          <w:color w:val="auto"/>
          <w:highlight w:val="none"/>
        </w:rPr>
        <w:t>一、评标原则</w:t>
      </w:r>
      <w:bookmarkEnd w:id="1104"/>
      <w:bookmarkEnd w:id="1105"/>
    </w:p>
    <w:p>
      <w:pPr>
        <w:pStyle w:val="11"/>
        <w:snapToGrid w:val="0"/>
        <w:ind w:firstLine="3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1.1 评标工作由采购代理机构负责组织，具体评标事务由招标人依法组建的评标委员会负责，并独立履行下列职责：</w:t>
      </w:r>
    </w:p>
    <w:p>
      <w:pPr>
        <w:pStyle w:val="11"/>
        <w:snapToGrid w:val="0"/>
        <w:ind w:firstLine="3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1.1.1审查投标文件是否符合招标文件要求，并作出评价；</w:t>
      </w:r>
    </w:p>
    <w:p>
      <w:pPr>
        <w:pStyle w:val="11"/>
        <w:snapToGrid w:val="0"/>
        <w:ind w:firstLine="3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1.1.2 要求投标供应商对投标文件有关事项作出解释或者澄清；</w:t>
      </w:r>
    </w:p>
    <w:p>
      <w:pPr>
        <w:pStyle w:val="11"/>
        <w:snapToGrid w:val="0"/>
        <w:ind w:firstLine="3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1.1.3 推荐中标候选供应商名单，或者受采购人委托按照事先确定的办法直接确定中标供应商；</w:t>
      </w:r>
    </w:p>
    <w:p>
      <w:pPr>
        <w:pStyle w:val="11"/>
        <w:snapToGrid w:val="0"/>
        <w:ind w:firstLine="3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1.1.4 向招标采购单位或者有关部门报告非法干预评标工作的行为。</w:t>
      </w:r>
    </w:p>
    <w:p>
      <w:pPr>
        <w:pStyle w:val="11"/>
        <w:snapToGrid w:val="0"/>
        <w:ind w:firstLine="3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1.2. 评审专家不得参加与自己有利害关系的政府采购项目的评审活动。评标委员会成员有下列情形之一的，应当回避：</w:t>
      </w:r>
    </w:p>
    <w:p>
      <w:pPr>
        <w:pStyle w:val="11"/>
        <w:snapToGrid w:val="0"/>
        <w:ind w:firstLine="3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1.2.1 参加采购活动前3年内与供应商存在劳动关系；</w:t>
      </w:r>
      <w:r>
        <w:rPr>
          <w:rFonts w:hint="eastAsia" w:ascii="宋体" w:hAnsi="宋体" w:cs="宋体"/>
          <w:color w:val="auto"/>
          <w:spacing w:val="-6"/>
          <w:sz w:val="21"/>
          <w:szCs w:val="21"/>
          <w:highlight w:val="none"/>
        </w:rPr>
        <w:br w:type="textWrapping"/>
      </w:r>
      <w:r>
        <w:rPr>
          <w:rFonts w:hint="eastAsia" w:ascii="宋体" w:hAnsi="宋体" w:cs="宋体"/>
          <w:color w:val="auto"/>
          <w:spacing w:val="-6"/>
          <w:sz w:val="21"/>
          <w:szCs w:val="21"/>
          <w:highlight w:val="none"/>
        </w:rPr>
        <w:t>　　1.2.2 参加采购活动前3年内担任供应商的董事、监事；</w:t>
      </w:r>
      <w:r>
        <w:rPr>
          <w:rFonts w:hint="eastAsia" w:ascii="宋体" w:hAnsi="宋体" w:cs="宋体"/>
          <w:color w:val="auto"/>
          <w:spacing w:val="-6"/>
          <w:sz w:val="21"/>
          <w:szCs w:val="21"/>
          <w:highlight w:val="none"/>
        </w:rPr>
        <w:br w:type="textWrapping"/>
      </w:r>
      <w:r>
        <w:rPr>
          <w:rFonts w:hint="eastAsia" w:ascii="宋体" w:hAnsi="宋体" w:cs="宋体"/>
          <w:color w:val="auto"/>
          <w:spacing w:val="-6"/>
          <w:sz w:val="21"/>
          <w:szCs w:val="21"/>
          <w:highlight w:val="none"/>
        </w:rPr>
        <w:t>　　1.2.3 参加采购活动前3年内是供应商的控股股东或者实际控制人；</w:t>
      </w:r>
      <w:r>
        <w:rPr>
          <w:rFonts w:hint="eastAsia" w:ascii="宋体" w:hAnsi="宋体" w:cs="宋体"/>
          <w:color w:val="auto"/>
          <w:spacing w:val="-6"/>
          <w:sz w:val="21"/>
          <w:szCs w:val="21"/>
          <w:highlight w:val="none"/>
        </w:rPr>
        <w:br w:type="textWrapping"/>
      </w:r>
      <w:r>
        <w:rPr>
          <w:rFonts w:hint="eastAsia" w:ascii="宋体" w:hAnsi="宋体" w:cs="宋体"/>
          <w:color w:val="auto"/>
          <w:spacing w:val="-6"/>
          <w:sz w:val="21"/>
          <w:szCs w:val="21"/>
          <w:highlight w:val="none"/>
        </w:rPr>
        <w:t>　　1.2.4 与供应商的法定代表人或者负责人有夫妻、直系血亲、三代以内旁系血亲或者近姻亲关系；</w:t>
      </w:r>
      <w:r>
        <w:rPr>
          <w:rFonts w:hint="eastAsia" w:ascii="宋体" w:hAnsi="宋体" w:cs="宋体"/>
          <w:color w:val="auto"/>
          <w:spacing w:val="-6"/>
          <w:sz w:val="21"/>
          <w:szCs w:val="21"/>
          <w:highlight w:val="none"/>
        </w:rPr>
        <w:br w:type="textWrapping"/>
      </w:r>
      <w:r>
        <w:rPr>
          <w:rFonts w:hint="eastAsia" w:ascii="宋体" w:hAnsi="宋体" w:cs="宋体"/>
          <w:color w:val="auto"/>
          <w:spacing w:val="-6"/>
          <w:sz w:val="21"/>
          <w:szCs w:val="21"/>
          <w:highlight w:val="none"/>
        </w:rPr>
        <w:t>　　1.2.5 与供应商有其他可能影响政府采购活动公平、公正进行的关系。</w:t>
      </w:r>
    </w:p>
    <w:p>
      <w:pPr>
        <w:pStyle w:val="11"/>
        <w:snapToGrid w:val="0"/>
        <w:ind w:firstLine="3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1.3 评标委员会必须公平、公正、客观，不带任何倾向性和启发性；不得向外界透露任何与评标有关的内容；任何单位和个人不得干扰、影响评标的正常进行；评标委员会及有关工作人员不得私下与投标人接触。</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1.4 评标委员会的评审工作应遵循政府采购的有关规定进行，对投标文件作出的评审结论，应当符合有关法律、法规、规章和招标文件的规定。</w:t>
      </w:r>
    </w:p>
    <w:p>
      <w:pPr>
        <w:pStyle w:val="5"/>
        <w:ind w:firstLine="482"/>
        <w:rPr>
          <w:rFonts w:ascii="宋体" w:hAnsi="宋体" w:cs="宋体"/>
          <w:color w:val="auto"/>
          <w:highlight w:val="none"/>
        </w:rPr>
      </w:pPr>
      <w:bookmarkStart w:id="1106" w:name="_Toc506358626"/>
      <w:bookmarkStart w:id="1107" w:name="_Toc2110"/>
      <w:r>
        <w:rPr>
          <w:rFonts w:hint="eastAsia" w:ascii="宋体" w:hAnsi="宋体" w:cs="宋体"/>
          <w:color w:val="auto"/>
          <w:highlight w:val="none"/>
        </w:rPr>
        <w:t>二、组建评标委员会</w:t>
      </w:r>
      <w:bookmarkEnd w:id="1106"/>
      <w:bookmarkEnd w:id="1107"/>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评标工作由招标人依法组建的评标委员会（评标专家组）负责。</w:t>
      </w:r>
    </w:p>
    <w:p>
      <w:pPr>
        <w:pStyle w:val="5"/>
        <w:ind w:firstLine="482"/>
        <w:rPr>
          <w:rFonts w:ascii="宋体" w:hAnsi="宋体" w:cs="宋体"/>
          <w:color w:val="auto"/>
          <w:highlight w:val="none"/>
        </w:rPr>
      </w:pPr>
      <w:bookmarkStart w:id="1108" w:name="_Toc506358627"/>
      <w:bookmarkStart w:id="1109" w:name="_Toc2593"/>
      <w:r>
        <w:rPr>
          <w:rFonts w:hint="eastAsia" w:ascii="宋体" w:hAnsi="宋体" w:cs="宋体"/>
          <w:color w:val="auto"/>
          <w:highlight w:val="none"/>
        </w:rPr>
        <w:t>三、评标程序和内容（采用综合</w:t>
      </w:r>
      <w:r>
        <w:rPr>
          <w:rFonts w:hint="eastAsia" w:ascii="宋体" w:hAnsi="宋体" w:cs="宋体"/>
          <w:color w:val="auto"/>
          <w:highlight w:val="none"/>
          <w:lang w:eastAsia="zh-CN"/>
        </w:rPr>
        <w:t>评估</w:t>
      </w:r>
      <w:r>
        <w:rPr>
          <w:rFonts w:hint="eastAsia" w:ascii="宋体" w:hAnsi="宋体" w:cs="宋体"/>
          <w:color w:val="auto"/>
          <w:highlight w:val="none"/>
        </w:rPr>
        <w:t>法）</w:t>
      </w:r>
      <w:bookmarkEnd w:id="1108"/>
      <w:bookmarkEnd w:id="1109"/>
    </w:p>
    <w:p>
      <w:pPr>
        <w:pStyle w:val="11"/>
        <w:snapToGrid w:val="0"/>
        <w:ind w:firstLine="390" w:firstLineChars="196"/>
        <w:rPr>
          <w:rFonts w:ascii="宋体" w:hAnsi="宋体" w:cs="宋体"/>
          <w:b/>
          <w:bCs/>
          <w:color w:val="auto"/>
          <w:spacing w:val="-6"/>
          <w:sz w:val="21"/>
          <w:szCs w:val="21"/>
          <w:highlight w:val="none"/>
        </w:rPr>
      </w:pPr>
      <w:r>
        <w:rPr>
          <w:rFonts w:hint="eastAsia" w:ascii="宋体" w:hAnsi="宋体" w:cs="宋体"/>
          <w:b/>
          <w:bCs/>
          <w:color w:val="auto"/>
          <w:spacing w:val="-6"/>
          <w:sz w:val="21"/>
          <w:szCs w:val="21"/>
          <w:highlight w:val="none"/>
        </w:rPr>
        <w:t>3.1评标的一般程序：</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3.1.1推荐评标委员会组长；</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3.1.2熟悉招标文件和评标办法；</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3.1.3投标文件的初步评审；</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3.1.4投标文件的详细评审；</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3.1.5必要时对投标文件中的问题进行澄清；</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3.1.6根据评标办法对投标文件进行评分；</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3.1.7完成评标报告，推荐中标候选人。</w:t>
      </w:r>
    </w:p>
    <w:p>
      <w:pPr>
        <w:adjustRightInd w:val="0"/>
        <w:snapToGrid w:val="0"/>
        <w:ind w:firstLine="413" w:firstLineChars="196"/>
        <w:rPr>
          <w:rFonts w:cs="宋体"/>
          <w:b/>
          <w:color w:val="auto"/>
          <w:szCs w:val="21"/>
          <w:highlight w:val="none"/>
        </w:rPr>
      </w:pPr>
      <w:r>
        <w:rPr>
          <w:rFonts w:hint="eastAsia" w:cs="宋体"/>
          <w:b/>
          <w:color w:val="auto"/>
          <w:szCs w:val="21"/>
          <w:highlight w:val="none"/>
        </w:rPr>
        <w:t>3.2投标文件的资格、符合性评审</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3.2.1开标结束后，采购人和采购代理机构应当依法对投标人的资格进行审查。</w:t>
      </w:r>
    </w:p>
    <w:p>
      <w:pPr>
        <w:pStyle w:val="13"/>
        <w:snapToGrid w:val="0"/>
        <w:ind w:firstLine="420"/>
        <w:rPr>
          <w:rFonts w:ascii="宋体" w:hAnsi="宋体" w:cs="宋体"/>
          <w:color w:val="auto"/>
          <w:highlight w:val="none"/>
        </w:rPr>
      </w:pPr>
      <w:r>
        <w:rPr>
          <w:rFonts w:hint="eastAsia" w:ascii="宋体" w:hAnsi="宋体" w:cs="宋体"/>
          <w:color w:val="auto"/>
          <w:highlight w:val="none"/>
        </w:rPr>
        <w:t>依据法律法规及采购文件的规定，对投标文件中的提供的资格证明材料进行审查，以确定投标人是否具备投标资格。</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3.2.2投标人不得通过补充、修改或撤销投标文件中的内容使其成为实质性响应的投标。投标人在投标截止以后不得提交任何资料作为评标依据。</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3.2.3符合性审查</w:t>
      </w:r>
    </w:p>
    <w:p>
      <w:pPr>
        <w:pStyle w:val="13"/>
        <w:snapToGrid w:val="0"/>
        <w:ind w:firstLine="420"/>
        <w:rPr>
          <w:rFonts w:ascii="宋体" w:hAnsi="宋体" w:cs="宋体"/>
          <w:color w:val="auto"/>
          <w:highlight w:val="none"/>
        </w:rPr>
      </w:pPr>
      <w:r>
        <w:rPr>
          <w:rFonts w:hint="eastAsia" w:ascii="宋体" w:hAnsi="宋体" w:cs="宋体"/>
          <w:color w:val="auto"/>
          <w:highlight w:val="none"/>
        </w:rPr>
        <w:t>依据采购文件的规定，从投标文件的有效性、完整性和对采购文件的响应程度进行审查，以确定是否对采购文件的实质性要求作出响应。</w:t>
      </w:r>
    </w:p>
    <w:p>
      <w:pPr>
        <w:pStyle w:val="11"/>
        <w:snapToGrid w:val="0"/>
        <w:ind w:firstLine="390" w:firstLineChars="196"/>
        <w:rPr>
          <w:rFonts w:ascii="宋体" w:hAnsi="宋体" w:cs="宋体"/>
          <w:b/>
          <w:color w:val="auto"/>
          <w:spacing w:val="-6"/>
          <w:sz w:val="21"/>
          <w:szCs w:val="21"/>
          <w:highlight w:val="none"/>
        </w:rPr>
      </w:pPr>
      <w:r>
        <w:rPr>
          <w:rFonts w:hint="eastAsia" w:ascii="宋体" w:hAnsi="宋体" w:cs="宋体"/>
          <w:b/>
          <w:color w:val="auto"/>
          <w:spacing w:val="-6"/>
          <w:sz w:val="21"/>
          <w:szCs w:val="21"/>
          <w:highlight w:val="none"/>
        </w:rPr>
        <w:t>在符合性审查和商务技术评审时，如发现下列情形之一的，投标文件将被视为无效，不再进入技术评审：</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1）报名的投标人与参加投标的投标人发生实质性变更的且未提供有效证明的；</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2）投标人提交两份或两份以上内容不同的投标文件或技术方案，未声明哪一份有效的；</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3）投标文件非投标人法定代表人签署的，未提供或提供无效的法定代表人授权书；</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4）投标文件中法定代表人和授权代表身份证复印件不齐全的；</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5）未按采购文件规定装订；</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6）投标文件内容未按采购文件规定签字或盖章的；</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7）商务资信及技术文件正、副本份数不足或内容不全或内容字迹模糊辨认不清的等而导致评标活动无法正常进行；</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8）投标人未按采购文件变更通知更改投标文件的；</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9）未实质性响应采购文件中带“▲”条款要求的投标文件；</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10）投标有效期、工期、质保期等商务条款不能满足招标文件要求的；</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11）投标文件附有采购人不能接受的条款；</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12）投标文件中提供了赠品、回扣或者与采购无关的其他商品、服务；</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13）投标人串通投标，妨碍其他投标人的竞争行为，损害采购人或者其他投标人的合法权益；</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14）违反国家及政府部门相关法律、法规、文件规定或经评标委员会认定的其他属于重大偏离。</w:t>
      </w:r>
    </w:p>
    <w:p>
      <w:pPr>
        <w:ind w:firstLine="396"/>
        <w:rPr>
          <w:rFonts w:cs="宋体"/>
          <w:color w:val="auto"/>
          <w:highlight w:val="none"/>
        </w:rPr>
      </w:pPr>
      <w:r>
        <w:rPr>
          <w:rFonts w:hint="eastAsia" w:cs="宋体"/>
          <w:color w:val="auto"/>
          <w:spacing w:val="-6"/>
          <w:szCs w:val="21"/>
          <w:highlight w:val="none"/>
        </w:rPr>
        <w:t>15）</w:t>
      </w:r>
      <w:r>
        <w:rPr>
          <w:rFonts w:hint="eastAsia" w:cs="宋体"/>
          <w:color w:val="auto"/>
          <w:highlight w:val="none"/>
        </w:rPr>
        <w:t>投标人不以自己的名义或未按招标文件要求提供投标保证金，或提供的投标保证金有缺陷而不能接受的；</w:t>
      </w:r>
    </w:p>
    <w:p>
      <w:pPr>
        <w:pStyle w:val="11"/>
        <w:snapToGrid w:val="0"/>
        <w:ind w:firstLine="388" w:firstLineChars="196"/>
        <w:rPr>
          <w:rFonts w:ascii="宋体" w:hAnsi="宋体" w:cs="宋体"/>
          <w:color w:val="auto"/>
          <w:spacing w:val="-6"/>
          <w:sz w:val="21"/>
          <w:szCs w:val="21"/>
          <w:highlight w:val="none"/>
        </w:rPr>
      </w:pPr>
    </w:p>
    <w:p>
      <w:pPr>
        <w:pStyle w:val="11"/>
        <w:snapToGrid w:val="0"/>
        <w:ind w:firstLine="413" w:firstLineChars="196"/>
        <w:rPr>
          <w:rFonts w:ascii="宋体" w:hAnsi="宋体" w:cs="宋体"/>
          <w:b/>
          <w:bCs/>
          <w:color w:val="auto"/>
          <w:sz w:val="21"/>
          <w:szCs w:val="21"/>
          <w:highlight w:val="none"/>
        </w:rPr>
      </w:pPr>
      <w:r>
        <w:rPr>
          <w:rFonts w:hint="eastAsia" w:ascii="宋体" w:hAnsi="宋体" w:cs="宋体"/>
          <w:b/>
          <w:bCs/>
          <w:color w:val="auto"/>
          <w:sz w:val="21"/>
          <w:szCs w:val="21"/>
          <w:highlight w:val="none"/>
        </w:rPr>
        <w:t>3.2.4在报价评审时，如发现下列情形之一的，投标文件将被视为无效，不再进入评标排序：</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1）投标人提交两份或两份以上内容不同的投标报价，未声明哪一份有效的；</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2）投标文件内容未按采购文件规定签字或盖章的；</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3）《开标一览表》和《投标价格组成明细表》内容不完整且不接受修正意见或字迹不能辨认的或未提供；</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4）投标报价超过采购文件规定的预算金额或招标控制价；</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5）《开标一览表》投标报价为零的，或其报价（大写）无法按正常书写方式进行报价唱标的或无投标报价的；</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6）投标报价明显低于其他通过符合性审查投标人的报价，有可能影响产品质量或者不能诚信履约的，且在规定时间内不能合理说明原因并提供证明材料的；</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7）报价文件正、副本份数不足或内容不全或内容字迹模糊辨认不清的等而导致评标活动无法正常进行；</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8）投标人未按采购文件变更通知更改投标文件的；</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9）未实质性响应采购文件中带“▲”条款要求的投标文件；</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10）投标文件附有采购人不能接受的条款；</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11）投标文件中提供了赠品、回扣或者与采购无关的其他商品、服务；</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12）投标人串通投标，妨碍其他投标人的竞争行为，损害采购人或者其他投标人的合法权益；</w:t>
      </w:r>
    </w:p>
    <w:p>
      <w:pPr>
        <w:pStyle w:val="11"/>
        <w:snapToGrid w:val="0"/>
        <w:ind w:firstLine="388" w:firstLineChars="1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13）违反国家及政府部门相关法律、法规、文件规定或经评标委员会认定的其他属于重大偏离。</w:t>
      </w:r>
    </w:p>
    <w:p>
      <w:pPr>
        <w:pStyle w:val="11"/>
        <w:snapToGrid w:val="0"/>
        <w:ind w:firstLine="422"/>
        <w:rPr>
          <w:rFonts w:ascii="宋体" w:hAnsi="宋体" w:cs="宋体"/>
          <w:b/>
          <w:color w:val="auto"/>
          <w:sz w:val="21"/>
          <w:szCs w:val="21"/>
          <w:highlight w:val="none"/>
        </w:rPr>
      </w:pPr>
      <w:r>
        <w:rPr>
          <w:rFonts w:hint="eastAsia" w:ascii="宋体" w:hAnsi="宋体" w:cs="宋体"/>
          <w:b/>
          <w:color w:val="auto"/>
          <w:sz w:val="21"/>
          <w:szCs w:val="21"/>
          <w:highlight w:val="none"/>
        </w:rPr>
        <w:t>3.3 评标委员会的专家负责对通过符合性审查的投标人的投标文件进行详细评审，评审内容分以下三部分：</w:t>
      </w:r>
    </w:p>
    <w:p>
      <w:pPr>
        <w:pStyle w:val="11"/>
        <w:snapToGrid w:val="0"/>
        <w:ind w:firstLine="420"/>
        <w:rPr>
          <w:rFonts w:ascii="宋体" w:hAnsi="宋体" w:cs="宋体"/>
          <w:color w:val="auto"/>
          <w:sz w:val="21"/>
          <w:szCs w:val="21"/>
          <w:highlight w:val="none"/>
        </w:rPr>
      </w:pPr>
      <w:r>
        <w:rPr>
          <w:rFonts w:hint="eastAsia" w:ascii="宋体" w:hAnsi="宋体" w:cs="宋体"/>
          <w:color w:val="auto"/>
          <w:sz w:val="21"/>
          <w:szCs w:val="21"/>
          <w:highlight w:val="none"/>
        </w:rPr>
        <w:t>3.3.1资信部分：由评标专家集体讨论后，按少数服从多数的原则，统一评分分值。</w:t>
      </w:r>
    </w:p>
    <w:p>
      <w:pPr>
        <w:pStyle w:val="11"/>
        <w:snapToGrid w:val="0"/>
        <w:ind w:firstLine="420"/>
        <w:rPr>
          <w:rFonts w:ascii="宋体" w:hAnsi="宋体" w:cs="宋体"/>
          <w:color w:val="auto"/>
          <w:sz w:val="21"/>
          <w:szCs w:val="21"/>
          <w:highlight w:val="none"/>
        </w:rPr>
      </w:pPr>
      <w:r>
        <w:rPr>
          <w:rFonts w:hint="eastAsia" w:ascii="宋体" w:hAnsi="宋体" w:cs="宋体"/>
          <w:color w:val="auto"/>
          <w:sz w:val="21"/>
          <w:szCs w:val="21"/>
          <w:highlight w:val="none"/>
        </w:rPr>
        <w:t>3.3.2技术部分：由评标专家负责，采用记名方式各自评分，此项评分为全部有效评分的算术平均值。如某一份评分表中某一项评分，超过评标细则所规定的分值范围，则该张打分表无效。</w:t>
      </w:r>
    </w:p>
    <w:p>
      <w:pPr>
        <w:pStyle w:val="11"/>
        <w:snapToGrid w:val="0"/>
        <w:ind w:firstLine="420"/>
        <w:rPr>
          <w:rFonts w:ascii="宋体" w:hAnsi="宋体" w:cs="宋体"/>
          <w:color w:val="auto"/>
          <w:sz w:val="21"/>
          <w:szCs w:val="21"/>
          <w:highlight w:val="none"/>
        </w:rPr>
      </w:pPr>
      <w:r>
        <w:rPr>
          <w:rFonts w:hint="eastAsia" w:ascii="宋体" w:hAnsi="宋体" w:cs="宋体"/>
          <w:color w:val="auto"/>
          <w:sz w:val="21"/>
          <w:szCs w:val="21"/>
          <w:highlight w:val="none"/>
        </w:rPr>
        <w:t>3.3.3价格部分：</w:t>
      </w:r>
    </w:p>
    <w:p>
      <w:pPr>
        <w:pStyle w:val="11"/>
        <w:snapToGrid w:val="0"/>
        <w:ind w:firstLine="420"/>
        <w:rPr>
          <w:rFonts w:ascii="宋体" w:hAnsi="宋体" w:cs="宋体"/>
          <w:color w:val="auto"/>
          <w:sz w:val="21"/>
          <w:szCs w:val="21"/>
          <w:highlight w:val="none"/>
        </w:rPr>
      </w:pPr>
      <w:r>
        <w:rPr>
          <w:rFonts w:hint="eastAsia" w:ascii="宋体" w:hAnsi="宋体" w:cs="宋体"/>
          <w:color w:val="auto"/>
          <w:sz w:val="21"/>
          <w:szCs w:val="21"/>
          <w:highlight w:val="none"/>
        </w:rPr>
        <w:t>价格部分由评标委员会统一计算统一评分。</w:t>
      </w:r>
    </w:p>
    <w:p>
      <w:pPr>
        <w:pStyle w:val="11"/>
        <w:snapToGrid w:val="0"/>
        <w:ind w:firstLine="420"/>
        <w:rPr>
          <w:rFonts w:ascii="宋体" w:hAnsi="宋体" w:cs="宋体"/>
          <w:color w:val="auto"/>
          <w:sz w:val="21"/>
          <w:szCs w:val="21"/>
          <w:highlight w:val="none"/>
        </w:rPr>
      </w:pPr>
      <w:r>
        <w:rPr>
          <w:rFonts w:hint="eastAsia" w:ascii="宋体" w:hAnsi="宋体" w:cs="宋体"/>
          <w:color w:val="auto"/>
          <w:sz w:val="21"/>
          <w:szCs w:val="21"/>
          <w:highlight w:val="none"/>
        </w:rPr>
        <w:t>价格部分评分应在报价范围口径一致的评标价基础上进行。评标价应在最终报价的基础上，按照招标文件约定的因素和方法进行计算。凡属招标文件原因造成项目范围或报价口径不一致的，应予以扣除。但因投标人自身失误造成多算、少算或漏算，不得调整。评分由评标委员会对投标文件的商务报价进行仔细查阅、分析与计算，并指定专人进行检查复核。</w:t>
      </w:r>
    </w:p>
    <w:p>
      <w:pPr>
        <w:pStyle w:val="11"/>
        <w:snapToGrid w:val="0"/>
        <w:ind w:firstLine="420"/>
        <w:rPr>
          <w:rFonts w:ascii="宋体" w:hAnsi="宋体" w:cs="宋体"/>
          <w:color w:val="auto"/>
          <w:sz w:val="21"/>
          <w:szCs w:val="21"/>
          <w:highlight w:val="none"/>
        </w:rPr>
      </w:pPr>
      <w:r>
        <w:rPr>
          <w:rFonts w:hint="eastAsia" w:ascii="宋体" w:hAnsi="宋体" w:cs="宋体"/>
          <w:color w:val="auto"/>
          <w:sz w:val="21"/>
          <w:szCs w:val="21"/>
          <w:highlight w:val="none"/>
        </w:rPr>
        <w:t>3.3.4以上评分保留小数2位。</w:t>
      </w:r>
    </w:p>
    <w:p>
      <w:pPr>
        <w:adjustRightInd w:val="0"/>
        <w:snapToGrid w:val="0"/>
        <w:ind w:firstLine="422"/>
        <w:rPr>
          <w:rFonts w:cs="宋体"/>
          <w:b/>
          <w:color w:val="auto"/>
          <w:szCs w:val="21"/>
          <w:highlight w:val="none"/>
        </w:rPr>
      </w:pPr>
      <w:r>
        <w:rPr>
          <w:rFonts w:hint="eastAsia" w:cs="宋体"/>
          <w:b/>
          <w:color w:val="auto"/>
          <w:szCs w:val="21"/>
          <w:highlight w:val="none"/>
        </w:rPr>
        <w:t>3.4必要时对投标文件中的问题进行澄清</w:t>
      </w:r>
    </w:p>
    <w:p>
      <w:pPr>
        <w:adjustRightInd w:val="0"/>
        <w:snapToGrid w:val="0"/>
        <w:ind w:firstLine="396"/>
        <w:rPr>
          <w:rFonts w:cs="宋体"/>
          <w:color w:val="auto"/>
          <w:spacing w:val="-6"/>
          <w:szCs w:val="21"/>
          <w:highlight w:val="none"/>
        </w:rPr>
      </w:pPr>
      <w:r>
        <w:rPr>
          <w:rFonts w:hint="eastAsia" w:cs="宋体"/>
          <w:color w:val="auto"/>
          <w:spacing w:val="-6"/>
          <w:szCs w:val="21"/>
          <w:highlight w:val="none"/>
        </w:rPr>
        <w:t>3.4.1投标文件的澄清</w:t>
      </w:r>
    </w:p>
    <w:p>
      <w:pPr>
        <w:adjustRightInd w:val="0"/>
        <w:snapToGrid w:val="0"/>
        <w:ind w:firstLine="396"/>
        <w:rPr>
          <w:rFonts w:cs="宋体"/>
          <w:color w:val="auto"/>
          <w:spacing w:val="-6"/>
          <w:szCs w:val="21"/>
          <w:highlight w:val="none"/>
        </w:rPr>
      </w:pPr>
      <w:r>
        <w:rPr>
          <w:rFonts w:hint="eastAsia" w:cs="宋体"/>
          <w:color w:val="auto"/>
          <w:spacing w:val="-6"/>
          <w:szCs w:val="21"/>
          <w:highlight w:val="none"/>
        </w:rPr>
        <w:t>开标后，在详细评标前,评标委员会将首先审定每份投标文件是否实质上响应了招标文件的要求，实质性响应的投标文件是指投标文件符合招标文件的所有条款、条件和规定且没有重大偏离和保留。重大偏离或保留是指将会影响到招标文件规定的服务范围、质量标准，或会给合同中规定的招标人的权利和投标人的责任造成实质性限制，而纠正这些偏离或保留将对其他提交了实质性响应的投标文件的投标人产生不公平影响的。如存在细微偏差，评标委员会有权要求存在细微偏差的投标人在评标结束前予以补正，不接受补正的，在详细评审时对细微偏差将做出不利于该投标人的量化。如发现投标文件与招标要求有重大偏离，其投标文件按废标处理。但允许投标文件出现细微偏差，细微偏差是指投标文件在实质上响应招标文件要求的前提下，个别地方存在漏项、细小差异或者提供了不完整的技术信息和数据等情况，并且补正这些遗漏、差异或者不完整不会对其他投标人造成不公平。</w:t>
      </w:r>
    </w:p>
    <w:p>
      <w:pPr>
        <w:adjustRightInd w:val="0"/>
        <w:snapToGrid w:val="0"/>
        <w:ind w:firstLine="396"/>
        <w:rPr>
          <w:rFonts w:cs="宋体"/>
          <w:color w:val="auto"/>
          <w:spacing w:val="-6"/>
          <w:szCs w:val="21"/>
          <w:highlight w:val="none"/>
        </w:rPr>
      </w:pPr>
      <w:r>
        <w:rPr>
          <w:rFonts w:hint="eastAsia" w:cs="宋体"/>
          <w:color w:val="auto"/>
          <w:spacing w:val="-6"/>
          <w:szCs w:val="21"/>
          <w:highlight w:val="none"/>
        </w:rPr>
        <w:t>对投标文件中含义不明确、同类问题表述不一致或者有明显文字和计算错误的内容，评标委员会可要求投标人作出必要的澄清、说明或者纠正。投标人的澄清、说明或者补正应当采用书面形式，由其全权代表签字或盖章确认，并不得超出投标文件的范围或者改变投标文件的实质性内容。</w:t>
      </w:r>
    </w:p>
    <w:p>
      <w:pPr>
        <w:adjustRightInd w:val="0"/>
        <w:snapToGrid w:val="0"/>
        <w:ind w:firstLine="396"/>
        <w:rPr>
          <w:rFonts w:cs="宋体"/>
          <w:color w:val="auto"/>
          <w:spacing w:val="-6"/>
          <w:szCs w:val="21"/>
          <w:highlight w:val="none"/>
        </w:rPr>
      </w:pPr>
      <w:r>
        <w:rPr>
          <w:rFonts w:hint="eastAsia" w:cs="宋体"/>
          <w:color w:val="auto"/>
          <w:spacing w:val="-6"/>
          <w:szCs w:val="21"/>
          <w:highlight w:val="none"/>
        </w:rPr>
        <w:t>3.4.3错误修正</w:t>
      </w:r>
    </w:p>
    <w:p>
      <w:pPr>
        <w:pStyle w:val="11"/>
        <w:snapToGrid w:val="0"/>
        <w:ind w:firstLine="3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投标文件报价出现前后不一致的，按照下列规定修正：</w:t>
      </w:r>
    </w:p>
    <w:p>
      <w:pPr>
        <w:pStyle w:val="11"/>
        <w:snapToGrid w:val="0"/>
        <w:ind w:firstLine="3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(1)投标文件中开标一览表(报价表)内容与投标文件中相应内容不一致的，以开标一览表(报价表)为准；</w:t>
      </w:r>
    </w:p>
    <w:p>
      <w:pPr>
        <w:pStyle w:val="11"/>
        <w:snapToGrid w:val="0"/>
        <w:ind w:firstLine="3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(2)大写金额和小写金额不一致的，以大写金额为准；</w:t>
      </w:r>
    </w:p>
    <w:p>
      <w:pPr>
        <w:pStyle w:val="11"/>
        <w:snapToGrid w:val="0"/>
        <w:ind w:firstLine="3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(3)单价金额小数点或者百分比有明显错位的，以开标一览表的总价为准，并修改单价；</w:t>
      </w:r>
    </w:p>
    <w:p>
      <w:pPr>
        <w:pStyle w:val="11"/>
        <w:snapToGrid w:val="0"/>
        <w:ind w:firstLine="3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(4)总价金额与按单价汇总金额不一致的，以单价金额计算结果为准。</w:t>
      </w:r>
    </w:p>
    <w:p>
      <w:pPr>
        <w:pStyle w:val="11"/>
        <w:snapToGrid w:val="0"/>
        <w:ind w:firstLine="3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同时出现两种以上不一致的，按照前款规定的顺序修正。修正后的报价按照财政部公布第87号令 《政府采购货物和服务招标投标管理办法》第五十一条第二款的规定经投标人确认后产生约束力，投标人不确认的，其投标无效。</w:t>
      </w:r>
    </w:p>
    <w:p>
      <w:pPr>
        <w:pStyle w:val="11"/>
        <w:snapToGrid w:val="0"/>
        <w:ind w:firstLine="3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对投标文件中含义不明、表述不一致或有明显计算错误等内容，评标委员会将对投标人进行询标，并要求投标人作书面澄清；投标人的书面澄清，应由法定代表人或授权代表签字，作为投标文件的补充部分，但澄清的内容不得改变投标文件的实质性内容。</w:t>
      </w:r>
    </w:p>
    <w:p>
      <w:pPr>
        <w:pStyle w:val="11"/>
        <w:snapToGrid w:val="0"/>
        <w:ind w:firstLine="3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按上述修正错误的原则及方法调整或修正投标文件的投标报价，投标人同意后，调整后的投标报价对投标人起约束作用。如果投标人不接受修正后的报价，则其投标将被拒绝并且其投标保证金或投标保函也将被没收，并不影响评标工作。</w:t>
      </w:r>
    </w:p>
    <w:p>
      <w:pPr>
        <w:adjustRightInd w:val="0"/>
        <w:snapToGrid w:val="0"/>
        <w:ind w:firstLine="398"/>
        <w:rPr>
          <w:rFonts w:cs="宋体"/>
          <w:b/>
          <w:color w:val="auto"/>
          <w:spacing w:val="-6"/>
          <w:szCs w:val="21"/>
          <w:highlight w:val="none"/>
        </w:rPr>
      </w:pPr>
      <w:r>
        <w:rPr>
          <w:rFonts w:hint="eastAsia" w:cs="宋体"/>
          <w:b/>
          <w:color w:val="auto"/>
          <w:spacing w:val="-6"/>
          <w:szCs w:val="21"/>
          <w:highlight w:val="none"/>
        </w:rPr>
        <w:t>3.5评分细则</w:t>
      </w:r>
    </w:p>
    <w:p>
      <w:pPr>
        <w:adjustRightInd w:val="0"/>
        <w:snapToGrid w:val="0"/>
        <w:ind w:firstLine="422"/>
        <w:rPr>
          <w:rFonts w:cs="宋体"/>
          <w:b/>
          <w:bCs/>
          <w:color w:val="auto"/>
          <w:highlight w:val="none"/>
        </w:rPr>
      </w:pPr>
      <w:r>
        <w:rPr>
          <w:rFonts w:hint="eastAsia" w:cs="宋体"/>
          <w:b/>
          <w:bCs/>
          <w:color w:val="auto"/>
          <w:highlight w:val="none"/>
        </w:rPr>
        <w:t>3.5.1本次评标采用</w:t>
      </w:r>
      <w:r>
        <w:rPr>
          <w:rFonts w:hint="eastAsia" w:cs="宋体"/>
          <w:b/>
          <w:bCs/>
          <w:color w:val="auto"/>
          <w:highlight w:val="none"/>
          <w:lang w:eastAsia="zh-CN"/>
        </w:rPr>
        <w:t>综合评估法</w:t>
      </w:r>
      <w:r>
        <w:rPr>
          <w:rFonts w:hint="eastAsia" w:cs="宋体"/>
          <w:b/>
          <w:bCs/>
          <w:color w:val="auto"/>
          <w:highlight w:val="none"/>
        </w:rPr>
        <w:t>，投标文件满足招标文件全部实质性要求且按照评审因素的量化指标评审得分最高的供应商为中标候选人。如果二个投标人综合得分相同时，取投标价格低者；如果二个供应商综合得分和投标价格均相同时，由采购人抽签确定。</w:t>
      </w:r>
    </w:p>
    <w:p>
      <w:pPr>
        <w:adjustRightInd w:val="0"/>
        <w:snapToGrid w:val="0"/>
        <w:ind w:firstLine="422"/>
        <w:rPr>
          <w:rFonts w:cs="宋体"/>
          <w:b/>
          <w:bCs/>
          <w:color w:val="auto"/>
          <w:highlight w:val="none"/>
        </w:rPr>
      </w:pPr>
      <w:r>
        <w:rPr>
          <w:rFonts w:hint="eastAsia" w:cs="宋体"/>
          <w:b/>
          <w:bCs/>
          <w:color w:val="auto"/>
          <w:highlight w:val="none"/>
        </w:rPr>
        <w:t>3.5.2</w:t>
      </w:r>
      <w:r>
        <w:rPr>
          <w:rFonts w:hint="eastAsia" w:cs="宋体"/>
          <w:b/>
          <w:bCs/>
          <w:color w:val="auto"/>
          <w:szCs w:val="21"/>
          <w:highlight w:val="none"/>
        </w:rPr>
        <w:t>评标委员会对各投标人的技术和服务方案、资信业绩充分审核、讨论及评议后，每人一份评分表，进行独自打分并签名。在统计得分时，如发现某一单项评分超过评分细则规定的分值范围，则该张评分表无效。</w:t>
      </w:r>
      <w:r>
        <w:rPr>
          <w:rFonts w:hint="eastAsia" w:cs="宋体"/>
          <w:b/>
          <w:bCs/>
          <w:color w:val="auto"/>
          <w:highlight w:val="none"/>
        </w:rPr>
        <w:t>投标人技术部分的得分为评标委员会各成员的有效评分的算术平均值。</w:t>
      </w:r>
    </w:p>
    <w:p>
      <w:pPr>
        <w:adjustRightInd w:val="0"/>
        <w:snapToGrid w:val="0"/>
        <w:ind w:firstLine="422"/>
        <w:rPr>
          <w:rFonts w:cs="宋体"/>
          <w:b/>
          <w:bCs/>
          <w:snapToGrid w:val="0"/>
          <w:color w:val="auto"/>
          <w:kern w:val="0"/>
          <w:szCs w:val="21"/>
          <w:highlight w:val="none"/>
        </w:rPr>
      </w:pPr>
      <w:r>
        <w:rPr>
          <w:rFonts w:hint="eastAsia" w:cs="宋体"/>
          <w:b/>
          <w:bCs/>
          <w:color w:val="auto"/>
          <w:highlight w:val="none"/>
        </w:rPr>
        <w:t>3.5.3</w:t>
      </w:r>
      <w:r>
        <w:rPr>
          <w:rFonts w:hint="eastAsia" w:cs="宋体"/>
          <w:b/>
          <w:bCs/>
          <w:snapToGrid w:val="0"/>
          <w:color w:val="auto"/>
          <w:kern w:val="0"/>
          <w:szCs w:val="21"/>
          <w:highlight w:val="none"/>
        </w:rPr>
        <w:t>投标人的最终总得分为</w:t>
      </w:r>
      <w:r>
        <w:rPr>
          <w:rFonts w:hint="eastAsia" w:cs="宋体"/>
          <w:b/>
          <w:bCs/>
          <w:color w:val="auto"/>
          <w:spacing w:val="-6"/>
          <w:szCs w:val="21"/>
          <w:highlight w:val="none"/>
        </w:rPr>
        <w:t>资信</w:t>
      </w:r>
      <w:r>
        <w:rPr>
          <w:rFonts w:hint="eastAsia" w:cs="宋体"/>
          <w:b/>
          <w:bCs/>
          <w:snapToGrid w:val="0"/>
          <w:color w:val="auto"/>
          <w:kern w:val="0"/>
          <w:szCs w:val="21"/>
          <w:highlight w:val="none"/>
        </w:rPr>
        <w:t>、技术、报价各部分得分的总和。</w:t>
      </w:r>
    </w:p>
    <w:p>
      <w:pPr>
        <w:tabs>
          <w:tab w:val="left" w:pos="735"/>
        </w:tabs>
        <w:adjustRightInd w:val="0"/>
        <w:snapToGrid w:val="0"/>
        <w:ind w:firstLine="422"/>
        <w:rPr>
          <w:rFonts w:cs="宋体"/>
          <w:b/>
          <w:bCs/>
          <w:snapToGrid w:val="0"/>
          <w:color w:val="auto"/>
          <w:kern w:val="0"/>
          <w:szCs w:val="21"/>
          <w:highlight w:val="none"/>
        </w:rPr>
      </w:pPr>
      <w:r>
        <w:rPr>
          <w:rFonts w:hint="eastAsia" w:cs="宋体"/>
          <w:b/>
          <w:bCs/>
          <w:color w:val="auto"/>
          <w:highlight w:val="none"/>
        </w:rPr>
        <w:t>3.5.4</w:t>
      </w:r>
      <w:r>
        <w:rPr>
          <w:rFonts w:hint="eastAsia" w:cs="宋体"/>
          <w:b/>
          <w:bCs/>
          <w:snapToGrid w:val="0"/>
          <w:color w:val="auto"/>
          <w:kern w:val="0"/>
          <w:szCs w:val="21"/>
          <w:highlight w:val="none"/>
        </w:rPr>
        <w:t>报价是中标的一个重要因素，但最低报价不是中标的唯一依据。</w:t>
      </w:r>
    </w:p>
    <w:tbl>
      <w:tblPr>
        <w:tblStyle w:val="21"/>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2"/>
        <w:gridCol w:w="750"/>
        <w:gridCol w:w="76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2" w:type="dxa"/>
            <w:vAlign w:val="center"/>
          </w:tcPr>
          <w:p>
            <w:pPr>
              <w:ind w:firstLine="0" w:firstLineChars="0"/>
              <w:jc w:val="center"/>
              <w:rPr>
                <w:rFonts w:cs="宋体"/>
                <w:b/>
                <w:color w:val="auto"/>
                <w:spacing w:val="-6"/>
                <w:szCs w:val="21"/>
                <w:highlight w:val="none"/>
              </w:rPr>
            </w:pPr>
            <w:r>
              <w:rPr>
                <w:rFonts w:hint="eastAsia" w:cs="宋体"/>
                <w:b/>
                <w:color w:val="auto"/>
                <w:spacing w:val="-6"/>
                <w:szCs w:val="21"/>
                <w:highlight w:val="none"/>
              </w:rPr>
              <w:t>评审因素</w:t>
            </w:r>
          </w:p>
        </w:tc>
        <w:tc>
          <w:tcPr>
            <w:tcW w:w="750" w:type="dxa"/>
            <w:vAlign w:val="center"/>
          </w:tcPr>
          <w:p>
            <w:pPr>
              <w:ind w:firstLine="0" w:firstLineChars="0"/>
              <w:rPr>
                <w:rFonts w:cs="宋体"/>
                <w:b/>
                <w:color w:val="auto"/>
                <w:spacing w:val="-6"/>
                <w:szCs w:val="21"/>
                <w:highlight w:val="none"/>
              </w:rPr>
            </w:pPr>
            <w:r>
              <w:rPr>
                <w:rFonts w:hint="eastAsia" w:cs="宋体"/>
                <w:b/>
                <w:color w:val="auto"/>
                <w:spacing w:val="-6"/>
                <w:szCs w:val="21"/>
                <w:highlight w:val="none"/>
              </w:rPr>
              <w:t>分值</w:t>
            </w:r>
          </w:p>
        </w:tc>
        <w:tc>
          <w:tcPr>
            <w:tcW w:w="7683" w:type="dxa"/>
            <w:vAlign w:val="center"/>
          </w:tcPr>
          <w:p>
            <w:pPr>
              <w:pStyle w:val="33"/>
              <w:spacing w:line="240" w:lineRule="auto"/>
              <w:ind w:firstLine="0" w:firstLineChars="0"/>
              <w:rPr>
                <w:rFonts w:hint="default" w:ascii="宋体" w:hAnsi="宋体" w:eastAsia="宋体" w:cs="宋体"/>
                <w:b/>
                <w:color w:val="auto"/>
                <w:spacing w:val="-6"/>
                <w:sz w:val="21"/>
                <w:szCs w:val="21"/>
                <w:highlight w:val="none"/>
              </w:rPr>
            </w:pPr>
            <w:r>
              <w:rPr>
                <w:rFonts w:ascii="宋体" w:hAnsi="宋体" w:eastAsia="宋体" w:cs="宋体"/>
                <w:b/>
                <w:color w:val="auto"/>
                <w:spacing w:val="-6"/>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05" w:type="dxa"/>
            <w:gridSpan w:val="3"/>
            <w:vAlign w:val="center"/>
          </w:tcPr>
          <w:p>
            <w:pPr>
              <w:pStyle w:val="33"/>
              <w:spacing w:line="240" w:lineRule="auto"/>
              <w:ind w:firstLine="0" w:firstLineChars="0"/>
              <w:rPr>
                <w:rFonts w:hint="default" w:ascii="宋体" w:hAnsi="宋体" w:eastAsia="宋体" w:cs="宋体"/>
                <w:b/>
                <w:color w:val="auto"/>
                <w:spacing w:val="-6"/>
                <w:sz w:val="21"/>
                <w:szCs w:val="21"/>
                <w:highlight w:val="none"/>
              </w:rPr>
            </w:pPr>
            <w:r>
              <w:rPr>
                <w:rFonts w:ascii="宋体" w:hAnsi="宋体" w:eastAsia="宋体" w:cs="宋体"/>
                <w:b/>
                <w:color w:val="auto"/>
                <w:spacing w:val="-6"/>
                <w:sz w:val="21"/>
                <w:szCs w:val="21"/>
                <w:highlight w:val="none"/>
              </w:rPr>
              <w:t>价格分（</w:t>
            </w:r>
            <w:r>
              <w:rPr>
                <w:rFonts w:hint="eastAsia" w:ascii="宋体" w:hAnsi="宋体" w:eastAsia="宋体" w:cs="宋体"/>
                <w:b/>
                <w:color w:val="auto"/>
                <w:spacing w:val="-6"/>
                <w:sz w:val="21"/>
                <w:szCs w:val="21"/>
                <w:highlight w:val="none"/>
                <w:lang w:val="en-US" w:eastAsia="zh-CN"/>
              </w:rPr>
              <w:t>4</w:t>
            </w:r>
            <w:r>
              <w:rPr>
                <w:rFonts w:ascii="宋体" w:hAnsi="宋体" w:eastAsia="宋体" w:cs="宋体"/>
                <w:b/>
                <w:color w:val="auto"/>
                <w:spacing w:val="-6"/>
                <w:sz w:val="21"/>
                <w:szCs w:val="21"/>
                <w:highlight w:val="none"/>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2" w:type="dxa"/>
            <w:vAlign w:val="center"/>
          </w:tcPr>
          <w:p>
            <w:pPr>
              <w:pStyle w:val="33"/>
              <w:spacing w:line="240" w:lineRule="auto"/>
              <w:ind w:firstLine="0" w:firstLineChars="0"/>
              <w:rPr>
                <w:rFonts w:hint="default" w:ascii="宋体" w:hAnsi="宋体" w:eastAsia="宋体" w:cs="宋体"/>
                <w:b/>
                <w:color w:val="auto"/>
                <w:spacing w:val="-6"/>
                <w:sz w:val="21"/>
                <w:szCs w:val="21"/>
                <w:highlight w:val="none"/>
              </w:rPr>
            </w:pPr>
            <w:r>
              <w:rPr>
                <w:rFonts w:ascii="宋体" w:hAnsi="宋体" w:eastAsia="宋体" w:cs="宋体"/>
                <w:b/>
                <w:color w:val="auto"/>
                <w:spacing w:val="-6"/>
                <w:sz w:val="21"/>
                <w:szCs w:val="21"/>
                <w:highlight w:val="none"/>
              </w:rPr>
              <w:t>投标报价</w:t>
            </w:r>
          </w:p>
        </w:tc>
        <w:tc>
          <w:tcPr>
            <w:tcW w:w="750" w:type="dxa"/>
            <w:vAlign w:val="center"/>
          </w:tcPr>
          <w:p>
            <w:pPr>
              <w:pStyle w:val="33"/>
              <w:spacing w:line="240" w:lineRule="auto"/>
              <w:ind w:firstLine="0" w:firstLineChars="0"/>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4</w:t>
            </w:r>
            <w:r>
              <w:rPr>
                <w:rFonts w:ascii="宋体" w:hAnsi="宋体" w:eastAsia="宋体" w:cs="宋体"/>
                <w:b/>
                <w:color w:val="auto"/>
                <w:sz w:val="21"/>
                <w:szCs w:val="21"/>
                <w:highlight w:val="none"/>
              </w:rPr>
              <w:t>0</w:t>
            </w:r>
          </w:p>
        </w:tc>
        <w:tc>
          <w:tcPr>
            <w:tcW w:w="7683" w:type="dxa"/>
            <w:vAlign w:val="center"/>
          </w:tcPr>
          <w:p>
            <w:pPr>
              <w:ind w:firstLine="0" w:firstLineChars="0"/>
              <w:rPr>
                <w:rFonts w:hint="eastAsia" w:cs="宋体"/>
                <w:b/>
                <w:color w:val="auto"/>
                <w:szCs w:val="21"/>
                <w:highlight w:val="none"/>
              </w:rPr>
            </w:pPr>
            <w:r>
              <w:rPr>
                <w:rFonts w:hint="eastAsia" w:cs="宋体"/>
                <w:b/>
                <w:color w:val="auto"/>
                <w:szCs w:val="21"/>
                <w:highlight w:val="none"/>
              </w:rPr>
              <w:t>1.报价评分将在有效投标人范围内进行，最高得</w:t>
            </w:r>
            <w:r>
              <w:rPr>
                <w:rFonts w:hint="eastAsia" w:cs="宋体"/>
                <w:b/>
                <w:color w:val="auto"/>
                <w:szCs w:val="21"/>
                <w:highlight w:val="none"/>
                <w:lang w:val="en-US" w:eastAsia="zh-CN"/>
              </w:rPr>
              <w:t>4</w:t>
            </w:r>
            <w:r>
              <w:rPr>
                <w:rFonts w:hint="eastAsia" w:cs="宋体"/>
                <w:b/>
                <w:color w:val="auto"/>
                <w:szCs w:val="21"/>
                <w:highlight w:val="none"/>
              </w:rPr>
              <w:t>0分，最低得0分，小数点后保留2位小数。满足招标文件要求且投标报价评标基准价为：</w:t>
            </w:r>
          </w:p>
          <w:p>
            <w:pPr>
              <w:ind w:firstLine="0" w:firstLineChars="0"/>
              <w:rPr>
                <w:rFonts w:hint="eastAsia" w:cs="宋体"/>
                <w:b/>
                <w:color w:val="auto"/>
                <w:szCs w:val="21"/>
                <w:highlight w:val="none"/>
              </w:rPr>
            </w:pPr>
            <w:r>
              <w:rPr>
                <w:rFonts w:hint="eastAsia" w:cs="宋体"/>
                <w:b/>
                <w:color w:val="auto"/>
                <w:szCs w:val="21"/>
                <w:highlight w:val="none"/>
              </w:rPr>
              <w:t>①有效投标单位超过</w:t>
            </w:r>
            <w:r>
              <w:rPr>
                <w:rFonts w:hint="eastAsia" w:cs="宋体"/>
                <w:b/>
                <w:color w:val="auto"/>
                <w:szCs w:val="21"/>
                <w:highlight w:val="none"/>
                <w:lang w:val="en-US" w:eastAsia="zh-CN"/>
              </w:rPr>
              <w:t>4</w:t>
            </w:r>
            <w:r>
              <w:rPr>
                <w:rFonts w:hint="eastAsia" w:cs="宋体"/>
                <w:b/>
                <w:color w:val="auto"/>
                <w:szCs w:val="21"/>
                <w:highlight w:val="none"/>
              </w:rPr>
              <w:t>家，其基准价按除去最高和最低报价所得的算术平均值；超过8家的，其基准价按除去最高、次高报价和最低、次低报价所得的算术平均值。</w:t>
            </w:r>
          </w:p>
          <w:p>
            <w:pPr>
              <w:ind w:firstLine="0" w:firstLineChars="0"/>
              <w:rPr>
                <w:rFonts w:hint="eastAsia" w:cs="宋体"/>
                <w:b/>
                <w:color w:val="auto"/>
                <w:szCs w:val="21"/>
                <w:highlight w:val="none"/>
              </w:rPr>
            </w:pPr>
            <w:r>
              <w:rPr>
                <w:rFonts w:hint="eastAsia" w:cs="宋体"/>
                <w:b/>
                <w:color w:val="auto"/>
                <w:szCs w:val="21"/>
                <w:highlight w:val="none"/>
              </w:rPr>
              <w:t>②若有效投标单位少于或等于4家，其基准价按有效投标报价的算术平均值。</w:t>
            </w:r>
          </w:p>
          <w:p>
            <w:pPr>
              <w:ind w:firstLine="0" w:firstLineChars="0"/>
              <w:rPr>
                <w:rFonts w:cs="宋体"/>
                <w:b/>
                <w:color w:val="auto"/>
                <w:szCs w:val="21"/>
                <w:highlight w:val="none"/>
              </w:rPr>
            </w:pPr>
            <w:r>
              <w:rPr>
                <w:rFonts w:hint="eastAsia" w:cs="宋体"/>
                <w:b/>
                <w:color w:val="auto"/>
                <w:szCs w:val="21"/>
                <w:highlight w:val="none"/>
              </w:rPr>
              <w:t>2.有效投标报价等于评标基准价时得</w:t>
            </w:r>
            <w:r>
              <w:rPr>
                <w:rFonts w:hint="eastAsia" w:cs="宋体"/>
                <w:b/>
                <w:color w:val="auto"/>
                <w:szCs w:val="21"/>
                <w:highlight w:val="none"/>
                <w:lang w:val="en-US" w:eastAsia="zh-CN"/>
              </w:rPr>
              <w:t>4</w:t>
            </w:r>
            <w:r>
              <w:rPr>
                <w:rFonts w:hint="eastAsia" w:cs="宋体"/>
                <w:b/>
                <w:color w:val="auto"/>
                <w:szCs w:val="21"/>
                <w:highlight w:val="none"/>
              </w:rPr>
              <w:t>0分，每高于评标基准价1%扣1分，每低于评标基准价1%扣0.5分，以此求出投标投标人的价格得分。不为整数时用插入法计算（分值保留二位小数，四舍五入）。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05" w:type="dxa"/>
            <w:gridSpan w:val="3"/>
            <w:vAlign w:val="center"/>
          </w:tcPr>
          <w:p>
            <w:pPr>
              <w:pStyle w:val="33"/>
              <w:spacing w:line="240" w:lineRule="auto"/>
              <w:ind w:firstLine="0" w:firstLineChars="0"/>
              <w:rPr>
                <w:rFonts w:hint="default" w:ascii="宋体" w:hAnsi="宋体" w:eastAsia="宋体" w:cs="宋体"/>
                <w:b/>
                <w:color w:val="auto"/>
                <w:spacing w:val="-6"/>
                <w:sz w:val="21"/>
                <w:szCs w:val="21"/>
                <w:highlight w:val="none"/>
              </w:rPr>
            </w:pPr>
            <w:r>
              <w:rPr>
                <w:rFonts w:ascii="宋体" w:hAnsi="宋体" w:eastAsia="宋体" w:cs="宋体"/>
                <w:b/>
                <w:color w:val="auto"/>
                <w:spacing w:val="-6"/>
                <w:sz w:val="21"/>
                <w:szCs w:val="21"/>
                <w:highlight w:val="none"/>
              </w:rPr>
              <w:t>资信分（10分）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772" w:type="dxa"/>
            <w:vAlign w:val="center"/>
          </w:tcPr>
          <w:p>
            <w:pPr>
              <w:ind w:firstLine="0" w:firstLineChars="0"/>
              <w:jc w:val="center"/>
              <w:rPr>
                <w:rFonts w:cs="宋体"/>
                <w:color w:val="auto"/>
                <w:spacing w:val="-6"/>
                <w:szCs w:val="21"/>
                <w:highlight w:val="none"/>
              </w:rPr>
            </w:pPr>
            <w:r>
              <w:rPr>
                <w:rFonts w:hint="eastAsia" w:cs="宋体"/>
                <w:color w:val="auto"/>
                <w:spacing w:val="-6"/>
                <w:szCs w:val="21"/>
                <w:highlight w:val="none"/>
              </w:rPr>
              <w:t>企业的资信、业绩</w:t>
            </w:r>
          </w:p>
        </w:tc>
        <w:tc>
          <w:tcPr>
            <w:tcW w:w="750" w:type="dxa"/>
            <w:vAlign w:val="center"/>
          </w:tcPr>
          <w:p>
            <w:pPr>
              <w:ind w:firstLine="0" w:firstLineChars="0"/>
              <w:jc w:val="center"/>
              <w:rPr>
                <w:rFonts w:cs="宋体"/>
                <w:color w:val="auto"/>
                <w:spacing w:val="-6"/>
                <w:szCs w:val="21"/>
                <w:highlight w:val="none"/>
              </w:rPr>
            </w:pPr>
            <w:r>
              <w:rPr>
                <w:rFonts w:hint="eastAsia" w:cs="宋体"/>
                <w:color w:val="auto"/>
                <w:spacing w:val="-6"/>
                <w:szCs w:val="21"/>
                <w:highlight w:val="none"/>
              </w:rPr>
              <w:t>5</w:t>
            </w:r>
          </w:p>
        </w:tc>
        <w:tc>
          <w:tcPr>
            <w:tcW w:w="7683" w:type="dxa"/>
            <w:vAlign w:val="center"/>
          </w:tcPr>
          <w:p>
            <w:pPr>
              <w:ind w:firstLine="0" w:firstLineChars="0"/>
              <w:jc w:val="left"/>
              <w:rPr>
                <w:rFonts w:cs="宋体"/>
                <w:color w:val="auto"/>
                <w:szCs w:val="21"/>
                <w:highlight w:val="none"/>
              </w:rPr>
            </w:pPr>
            <w:r>
              <w:rPr>
                <w:rFonts w:hint="eastAsia" w:cs="宋体"/>
                <w:color w:val="auto"/>
                <w:szCs w:val="21"/>
                <w:highlight w:val="none"/>
              </w:rPr>
              <w:t>投标人自2018年1月1日</w:t>
            </w:r>
            <w:r>
              <w:rPr>
                <w:rFonts w:hint="eastAsia" w:cs="宋体"/>
                <w:color w:val="auto"/>
                <w:spacing w:val="-6"/>
                <w:szCs w:val="21"/>
                <w:highlight w:val="none"/>
              </w:rPr>
              <w:t>【以竣（交）工验收资料时间为准】</w:t>
            </w:r>
            <w:r>
              <w:rPr>
                <w:rFonts w:hint="eastAsia" w:cs="宋体"/>
                <w:color w:val="auto"/>
                <w:szCs w:val="21"/>
                <w:highlight w:val="none"/>
              </w:rPr>
              <w:t>以来承担过类似项目施工业绩，一项工程得1分，最高得5分。</w:t>
            </w:r>
            <w:r>
              <w:rPr>
                <w:rFonts w:hint="eastAsia" w:cs="宋体"/>
                <w:color w:val="auto"/>
                <w:spacing w:val="-6"/>
                <w:szCs w:val="21"/>
                <w:highlight w:val="none"/>
              </w:rPr>
              <w:t>有效证明文件为：</w:t>
            </w:r>
            <w:r>
              <w:rPr>
                <w:rFonts w:hint="eastAsia" w:cs="宋体"/>
                <w:color w:val="auto"/>
                <w:szCs w:val="21"/>
                <w:highlight w:val="none"/>
              </w:rPr>
              <w:t>同时具有</w:t>
            </w:r>
            <w:r>
              <w:rPr>
                <w:rFonts w:hint="eastAsia" w:cs="宋体"/>
                <w:color w:val="auto"/>
                <w:szCs w:val="21"/>
                <w:highlight w:val="none"/>
              </w:rPr>
              <w:fldChar w:fldCharType="begin"/>
            </w:r>
            <w:r>
              <w:rPr>
                <w:rFonts w:hint="eastAsia" w:cs="宋体"/>
                <w:color w:val="auto"/>
                <w:szCs w:val="21"/>
                <w:highlight w:val="none"/>
              </w:rPr>
              <w:instrText xml:space="preserve"> = 1 \* GB3 </w:instrText>
            </w:r>
            <w:r>
              <w:rPr>
                <w:rFonts w:hint="eastAsia" w:cs="宋体"/>
                <w:color w:val="auto"/>
                <w:szCs w:val="21"/>
                <w:highlight w:val="none"/>
              </w:rPr>
              <w:fldChar w:fldCharType="separate"/>
            </w:r>
            <w:r>
              <w:rPr>
                <w:rFonts w:hint="eastAsia" w:cs="宋体"/>
                <w:color w:val="auto"/>
                <w:szCs w:val="21"/>
                <w:highlight w:val="none"/>
              </w:rPr>
              <w:t>①</w:t>
            </w:r>
            <w:r>
              <w:rPr>
                <w:rFonts w:hint="eastAsia" w:cs="宋体"/>
                <w:color w:val="auto"/>
                <w:szCs w:val="21"/>
                <w:highlight w:val="none"/>
              </w:rPr>
              <w:fldChar w:fldCharType="end"/>
            </w:r>
            <w:r>
              <w:rPr>
                <w:rFonts w:hint="eastAsia" w:cs="宋体"/>
                <w:color w:val="auto"/>
                <w:szCs w:val="21"/>
                <w:highlight w:val="none"/>
              </w:rPr>
              <w:t>中标通知书或有效的合同复印件；</w:t>
            </w:r>
            <w:r>
              <w:rPr>
                <w:rFonts w:hint="eastAsia" w:cs="宋体"/>
                <w:color w:val="auto"/>
                <w:szCs w:val="21"/>
                <w:highlight w:val="none"/>
              </w:rPr>
              <w:fldChar w:fldCharType="begin"/>
            </w:r>
            <w:r>
              <w:rPr>
                <w:rFonts w:hint="eastAsia" w:cs="宋体"/>
                <w:color w:val="auto"/>
                <w:szCs w:val="21"/>
                <w:highlight w:val="none"/>
              </w:rPr>
              <w:instrText xml:space="preserve"> = 2 \* GB3 </w:instrText>
            </w:r>
            <w:r>
              <w:rPr>
                <w:rFonts w:hint="eastAsia" w:cs="宋体"/>
                <w:color w:val="auto"/>
                <w:szCs w:val="21"/>
                <w:highlight w:val="none"/>
              </w:rPr>
              <w:fldChar w:fldCharType="separate"/>
            </w:r>
            <w:r>
              <w:rPr>
                <w:rFonts w:hint="eastAsia" w:cs="宋体"/>
                <w:color w:val="auto"/>
                <w:szCs w:val="21"/>
                <w:highlight w:val="none"/>
              </w:rPr>
              <w:t>②</w:t>
            </w:r>
            <w:r>
              <w:rPr>
                <w:rFonts w:hint="eastAsia" w:cs="宋体"/>
                <w:color w:val="auto"/>
                <w:szCs w:val="21"/>
                <w:highlight w:val="none"/>
              </w:rPr>
              <w:fldChar w:fldCharType="end"/>
            </w:r>
            <w:r>
              <w:rPr>
                <w:rFonts w:hint="eastAsia" w:cs="宋体"/>
                <w:color w:val="auto"/>
                <w:szCs w:val="21"/>
                <w:highlight w:val="none"/>
              </w:rPr>
              <w:t>竣（交)工验收资料。（需能体现竣工时间、工程类型）未提供或提供资料不完整的均不得分。（原件备查）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772" w:type="dxa"/>
            <w:vAlign w:val="center"/>
          </w:tcPr>
          <w:p>
            <w:pPr>
              <w:ind w:firstLine="0" w:firstLineChars="0"/>
              <w:jc w:val="center"/>
              <w:rPr>
                <w:rFonts w:cs="宋体"/>
                <w:color w:val="auto"/>
                <w:spacing w:val="-6"/>
                <w:szCs w:val="21"/>
                <w:highlight w:val="none"/>
              </w:rPr>
            </w:pPr>
            <w:r>
              <w:rPr>
                <w:rFonts w:hint="eastAsia" w:cs="宋体"/>
                <w:color w:val="auto"/>
                <w:kern w:val="0"/>
                <w:highlight w:val="none"/>
              </w:rPr>
              <w:t>企业认证证书</w:t>
            </w:r>
          </w:p>
        </w:tc>
        <w:tc>
          <w:tcPr>
            <w:tcW w:w="750" w:type="dxa"/>
            <w:vAlign w:val="center"/>
          </w:tcPr>
          <w:p>
            <w:pPr>
              <w:ind w:firstLine="0" w:firstLineChars="0"/>
              <w:jc w:val="center"/>
              <w:rPr>
                <w:rFonts w:cs="宋体"/>
                <w:color w:val="auto"/>
                <w:spacing w:val="-6"/>
                <w:szCs w:val="21"/>
                <w:highlight w:val="none"/>
              </w:rPr>
            </w:pPr>
            <w:r>
              <w:rPr>
                <w:rFonts w:hint="eastAsia" w:cs="宋体"/>
                <w:color w:val="auto"/>
                <w:spacing w:val="-6"/>
                <w:highlight w:val="none"/>
              </w:rPr>
              <w:t>3</w:t>
            </w:r>
          </w:p>
        </w:tc>
        <w:tc>
          <w:tcPr>
            <w:tcW w:w="7683" w:type="dxa"/>
            <w:vAlign w:val="center"/>
          </w:tcPr>
          <w:p>
            <w:pPr>
              <w:pStyle w:val="34"/>
              <w:ind w:firstLine="0" w:firstLineChars="0"/>
              <w:rPr>
                <w:rFonts w:ascii="宋体" w:hAnsi="宋体" w:cs="宋体"/>
                <w:color w:val="auto"/>
                <w:szCs w:val="21"/>
                <w:highlight w:val="none"/>
              </w:rPr>
            </w:pPr>
            <w:r>
              <w:rPr>
                <w:rFonts w:hint="eastAsia" w:ascii="宋体" w:hAnsi="宋体" w:cs="宋体"/>
                <w:color w:val="auto"/>
                <w:szCs w:val="24"/>
                <w:highlight w:val="none"/>
              </w:rPr>
              <w:t>投标人具有有效期内的ISO9001质量管理体系认证证书、ISO14001环境管理体系认证证书、ISO15000职业健康安全管理体系认证证书的，每提供一项有效证书得1分，共计3分。（提供证书复印件加盖公章）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772" w:type="dxa"/>
            <w:vAlign w:val="center"/>
          </w:tcPr>
          <w:p>
            <w:pPr>
              <w:ind w:firstLine="0" w:firstLineChars="0"/>
              <w:jc w:val="center"/>
              <w:rPr>
                <w:rFonts w:cs="宋体"/>
                <w:color w:val="auto"/>
                <w:spacing w:val="-6"/>
                <w:szCs w:val="21"/>
                <w:highlight w:val="none"/>
              </w:rPr>
            </w:pPr>
            <w:r>
              <w:rPr>
                <w:rFonts w:hint="eastAsia" w:cs="宋体"/>
                <w:color w:val="auto"/>
                <w:kern w:val="0"/>
                <w:highlight w:val="none"/>
              </w:rPr>
              <w:t>信用报告</w:t>
            </w:r>
          </w:p>
        </w:tc>
        <w:tc>
          <w:tcPr>
            <w:tcW w:w="750" w:type="dxa"/>
            <w:vAlign w:val="center"/>
          </w:tcPr>
          <w:p>
            <w:pPr>
              <w:ind w:firstLine="0" w:firstLineChars="0"/>
              <w:jc w:val="center"/>
              <w:rPr>
                <w:rFonts w:cs="宋体"/>
                <w:color w:val="auto"/>
                <w:spacing w:val="-6"/>
                <w:szCs w:val="21"/>
                <w:highlight w:val="none"/>
              </w:rPr>
            </w:pPr>
            <w:r>
              <w:rPr>
                <w:rFonts w:hint="eastAsia" w:cs="宋体"/>
                <w:color w:val="auto"/>
                <w:spacing w:val="-6"/>
                <w:highlight w:val="none"/>
              </w:rPr>
              <w:t>2</w:t>
            </w:r>
          </w:p>
        </w:tc>
        <w:tc>
          <w:tcPr>
            <w:tcW w:w="7683" w:type="dxa"/>
            <w:vAlign w:val="center"/>
          </w:tcPr>
          <w:p>
            <w:pPr>
              <w:ind w:firstLine="0" w:firstLineChars="0"/>
              <w:jc w:val="left"/>
              <w:rPr>
                <w:rFonts w:cs="宋体"/>
                <w:color w:val="auto"/>
                <w:szCs w:val="21"/>
                <w:highlight w:val="none"/>
              </w:rPr>
            </w:pPr>
            <w:r>
              <w:rPr>
                <w:rFonts w:hint="eastAsia" w:cs="宋体"/>
                <w:color w:val="auto"/>
                <w:highlight w:val="none"/>
              </w:rPr>
              <w:t>投标人具有信用报告AAA级证书且在有效期内的得2分，A级或AA级的得1分，其他不得分。提供证书复印件。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0205" w:type="dxa"/>
            <w:gridSpan w:val="3"/>
            <w:vAlign w:val="center"/>
          </w:tcPr>
          <w:p>
            <w:pPr>
              <w:ind w:firstLine="0" w:firstLineChars="0"/>
              <w:jc w:val="center"/>
              <w:rPr>
                <w:rFonts w:cs="宋体"/>
                <w:color w:val="auto"/>
                <w:spacing w:val="-6"/>
                <w:szCs w:val="21"/>
                <w:highlight w:val="none"/>
              </w:rPr>
            </w:pPr>
            <w:r>
              <w:rPr>
                <w:rFonts w:hint="eastAsia" w:cs="宋体"/>
                <w:b/>
                <w:color w:val="auto"/>
                <w:spacing w:val="-6"/>
                <w:szCs w:val="21"/>
                <w:highlight w:val="none"/>
              </w:rPr>
              <w:t>技术分（</w:t>
            </w:r>
            <w:r>
              <w:rPr>
                <w:rFonts w:hint="eastAsia" w:cs="宋体"/>
                <w:b/>
                <w:color w:val="auto"/>
                <w:spacing w:val="-6"/>
                <w:szCs w:val="21"/>
                <w:highlight w:val="none"/>
                <w:lang w:val="en-US" w:eastAsia="zh-CN"/>
              </w:rPr>
              <w:t>5</w:t>
            </w:r>
            <w:r>
              <w:rPr>
                <w:rFonts w:hint="eastAsia" w:cs="宋体"/>
                <w:b/>
                <w:color w:val="auto"/>
                <w:spacing w:val="-6"/>
                <w:szCs w:val="21"/>
                <w:highlight w:val="none"/>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2" w:type="dxa"/>
            <w:vMerge w:val="restart"/>
            <w:vAlign w:val="center"/>
          </w:tcPr>
          <w:p>
            <w:pPr>
              <w:ind w:firstLine="0" w:firstLineChars="0"/>
              <w:jc w:val="center"/>
              <w:rPr>
                <w:rFonts w:cs="宋体"/>
                <w:color w:val="auto"/>
                <w:spacing w:val="-6"/>
                <w:szCs w:val="21"/>
                <w:highlight w:val="none"/>
              </w:rPr>
            </w:pPr>
            <w:r>
              <w:rPr>
                <w:rFonts w:hint="eastAsia" w:cs="宋体"/>
                <w:color w:val="auto"/>
                <w:spacing w:val="-6"/>
                <w:szCs w:val="21"/>
                <w:highlight w:val="none"/>
              </w:rPr>
              <w:t>技术</w:t>
            </w:r>
          </w:p>
        </w:tc>
        <w:tc>
          <w:tcPr>
            <w:tcW w:w="750" w:type="dxa"/>
            <w:vAlign w:val="center"/>
          </w:tcPr>
          <w:p>
            <w:pPr>
              <w:ind w:firstLine="0" w:firstLineChars="0"/>
              <w:jc w:val="center"/>
              <w:rPr>
                <w:rFonts w:hint="eastAsia" w:eastAsia="宋体" w:cs="宋体"/>
                <w:color w:val="auto"/>
                <w:spacing w:val="-6"/>
                <w:szCs w:val="21"/>
                <w:highlight w:val="none"/>
                <w:lang w:eastAsia="zh-CN"/>
              </w:rPr>
            </w:pPr>
            <w:r>
              <w:rPr>
                <w:rFonts w:hint="eastAsia" w:cs="宋体"/>
                <w:color w:val="auto"/>
                <w:spacing w:val="-6"/>
                <w:szCs w:val="21"/>
                <w:highlight w:val="none"/>
                <w:lang w:val="en-US" w:eastAsia="zh-CN"/>
              </w:rPr>
              <w:t>3</w:t>
            </w:r>
          </w:p>
        </w:tc>
        <w:tc>
          <w:tcPr>
            <w:tcW w:w="7683" w:type="dxa"/>
            <w:vAlign w:val="center"/>
          </w:tcPr>
          <w:p>
            <w:pPr>
              <w:ind w:firstLine="0" w:firstLineChars="0"/>
              <w:rPr>
                <w:rFonts w:cs="宋体"/>
                <w:color w:val="auto"/>
                <w:spacing w:val="-6"/>
                <w:szCs w:val="21"/>
                <w:highlight w:val="none"/>
                <w:lang w:val="zh-CN"/>
              </w:rPr>
            </w:pPr>
            <w:r>
              <w:rPr>
                <w:rFonts w:hint="eastAsia" w:cs="宋体"/>
                <w:color w:val="auto"/>
                <w:spacing w:val="-6"/>
                <w:highlight w:val="none"/>
              </w:rPr>
              <w:t>总体概述：工程概况,工程立体效果图，对边检职业文化的理解,施工组织总体设想、方案的针对性及施工阶段的划分等方面情况，按实际情况酌情给分。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1772" w:type="dxa"/>
            <w:vMerge w:val="continue"/>
            <w:vAlign w:val="center"/>
          </w:tcPr>
          <w:p>
            <w:pPr>
              <w:ind w:firstLine="0" w:firstLineChars="0"/>
              <w:jc w:val="center"/>
              <w:rPr>
                <w:rFonts w:cs="宋体"/>
                <w:color w:val="auto"/>
                <w:szCs w:val="21"/>
                <w:highlight w:val="none"/>
              </w:rPr>
            </w:pPr>
          </w:p>
        </w:tc>
        <w:tc>
          <w:tcPr>
            <w:tcW w:w="750" w:type="dxa"/>
            <w:vAlign w:val="center"/>
          </w:tcPr>
          <w:p>
            <w:pPr>
              <w:ind w:firstLine="0" w:firstLineChars="0"/>
              <w:jc w:val="center"/>
              <w:rPr>
                <w:rFonts w:hint="eastAsia" w:eastAsia="宋体" w:cs="宋体"/>
                <w:color w:val="auto"/>
                <w:spacing w:val="-6"/>
                <w:szCs w:val="21"/>
                <w:highlight w:val="none"/>
                <w:lang w:eastAsia="zh-CN"/>
              </w:rPr>
            </w:pPr>
            <w:r>
              <w:rPr>
                <w:rFonts w:hint="eastAsia" w:cs="宋体"/>
                <w:color w:val="auto"/>
                <w:spacing w:val="-6"/>
                <w:szCs w:val="21"/>
                <w:highlight w:val="none"/>
                <w:lang w:val="en-US" w:eastAsia="zh-CN"/>
              </w:rPr>
              <w:t>3</w:t>
            </w:r>
          </w:p>
        </w:tc>
        <w:tc>
          <w:tcPr>
            <w:tcW w:w="7683" w:type="dxa"/>
            <w:vAlign w:val="center"/>
          </w:tcPr>
          <w:p>
            <w:pPr>
              <w:ind w:firstLine="0" w:firstLineChars="0"/>
              <w:rPr>
                <w:rFonts w:cs="宋体"/>
                <w:color w:val="auto"/>
                <w:szCs w:val="21"/>
                <w:highlight w:val="none"/>
              </w:rPr>
            </w:pPr>
            <w:r>
              <w:rPr>
                <w:rFonts w:hint="eastAsia" w:cs="宋体"/>
                <w:color w:val="auto"/>
                <w:highlight w:val="none"/>
              </w:rPr>
              <w:t>具体施工方案以及技术方案（含本项目中特殊施工环境所采取的施工方案及技术方案）是否详实、全面、完备，是否科学、合理、针对，并具有可操作性，</w:t>
            </w:r>
            <w:r>
              <w:rPr>
                <w:rFonts w:hint="eastAsia" w:cs="宋体"/>
                <w:color w:val="auto"/>
                <w:spacing w:val="-6"/>
                <w:highlight w:val="none"/>
              </w:rPr>
              <w:t>按实际情况酌情给分。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2" w:type="dxa"/>
            <w:vMerge w:val="continue"/>
            <w:vAlign w:val="center"/>
          </w:tcPr>
          <w:p>
            <w:pPr>
              <w:ind w:firstLine="0" w:firstLineChars="0"/>
              <w:jc w:val="center"/>
              <w:rPr>
                <w:rFonts w:cs="宋体"/>
                <w:color w:val="auto"/>
                <w:spacing w:val="-6"/>
                <w:szCs w:val="21"/>
                <w:highlight w:val="none"/>
              </w:rPr>
            </w:pPr>
          </w:p>
        </w:tc>
        <w:tc>
          <w:tcPr>
            <w:tcW w:w="750" w:type="dxa"/>
            <w:vAlign w:val="center"/>
          </w:tcPr>
          <w:p>
            <w:pPr>
              <w:ind w:firstLine="0" w:firstLineChars="0"/>
              <w:jc w:val="center"/>
              <w:rPr>
                <w:rFonts w:hint="eastAsia" w:eastAsia="宋体" w:cs="宋体"/>
                <w:color w:val="auto"/>
                <w:spacing w:val="-6"/>
                <w:szCs w:val="21"/>
                <w:highlight w:val="none"/>
                <w:lang w:eastAsia="zh-CN"/>
              </w:rPr>
            </w:pPr>
            <w:r>
              <w:rPr>
                <w:rFonts w:hint="eastAsia" w:cs="宋体"/>
                <w:color w:val="auto"/>
                <w:spacing w:val="-6"/>
                <w:szCs w:val="21"/>
                <w:highlight w:val="none"/>
                <w:lang w:val="en-US" w:eastAsia="zh-CN"/>
              </w:rPr>
              <w:t>3</w:t>
            </w:r>
          </w:p>
        </w:tc>
        <w:tc>
          <w:tcPr>
            <w:tcW w:w="7683" w:type="dxa"/>
            <w:vAlign w:val="center"/>
          </w:tcPr>
          <w:p>
            <w:pPr>
              <w:ind w:firstLine="0" w:firstLineChars="0"/>
              <w:rPr>
                <w:rFonts w:cs="宋体"/>
                <w:color w:val="auto"/>
                <w:spacing w:val="-6"/>
                <w:szCs w:val="21"/>
                <w:highlight w:val="none"/>
              </w:rPr>
            </w:pPr>
            <w:r>
              <w:rPr>
                <w:rFonts w:hint="eastAsia" w:cs="宋体"/>
                <w:color w:val="auto"/>
                <w:highlight w:val="none"/>
              </w:rPr>
              <w:t>针对本工程项目实施的重点和难点的解决方案、施工进度中所突发事件的应急措施及故障处理的针对性、完整性、合理性</w:t>
            </w:r>
            <w:r>
              <w:rPr>
                <w:rFonts w:hint="eastAsia" w:cs="宋体"/>
                <w:color w:val="auto"/>
                <w:spacing w:val="-6"/>
                <w:highlight w:val="none"/>
              </w:rPr>
              <w:t>，按实际情况酌情给分。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2" w:type="dxa"/>
            <w:vMerge w:val="continue"/>
            <w:vAlign w:val="center"/>
          </w:tcPr>
          <w:p>
            <w:pPr>
              <w:ind w:firstLine="0" w:firstLineChars="0"/>
              <w:jc w:val="center"/>
              <w:rPr>
                <w:rFonts w:cs="宋体"/>
                <w:color w:val="auto"/>
                <w:spacing w:val="-6"/>
                <w:szCs w:val="21"/>
                <w:highlight w:val="none"/>
              </w:rPr>
            </w:pPr>
          </w:p>
        </w:tc>
        <w:tc>
          <w:tcPr>
            <w:tcW w:w="750" w:type="dxa"/>
            <w:vAlign w:val="center"/>
          </w:tcPr>
          <w:p>
            <w:pPr>
              <w:ind w:firstLine="0" w:firstLineChars="0"/>
              <w:jc w:val="center"/>
              <w:rPr>
                <w:rFonts w:hint="default" w:eastAsia="宋体" w:cs="宋体"/>
                <w:color w:val="auto"/>
                <w:spacing w:val="-6"/>
                <w:szCs w:val="21"/>
                <w:highlight w:val="none"/>
                <w:lang w:val="en-US" w:eastAsia="zh-CN"/>
              </w:rPr>
            </w:pPr>
            <w:r>
              <w:rPr>
                <w:rFonts w:hint="eastAsia" w:cs="宋体"/>
                <w:color w:val="auto"/>
                <w:spacing w:val="-6"/>
                <w:szCs w:val="21"/>
                <w:highlight w:val="none"/>
                <w:lang w:val="en-US" w:eastAsia="zh-CN"/>
              </w:rPr>
              <w:t>12</w:t>
            </w:r>
          </w:p>
        </w:tc>
        <w:tc>
          <w:tcPr>
            <w:tcW w:w="7683" w:type="dxa"/>
            <w:vAlign w:val="center"/>
          </w:tcPr>
          <w:p>
            <w:pPr>
              <w:ind w:firstLine="0" w:firstLineChars="0"/>
              <w:rPr>
                <w:rFonts w:hint="default" w:eastAsia="宋体" w:cs="宋体"/>
                <w:color w:val="auto"/>
                <w:spacing w:val="-6"/>
                <w:szCs w:val="21"/>
                <w:highlight w:val="none"/>
                <w:lang w:val="en-US" w:eastAsia="zh-CN"/>
              </w:rPr>
            </w:pPr>
            <w:r>
              <w:rPr>
                <w:rFonts w:hint="eastAsia" w:cs="宋体"/>
                <w:color w:val="auto"/>
                <w:spacing w:val="-6"/>
                <w:szCs w:val="21"/>
                <w:highlight w:val="none"/>
                <w:lang w:eastAsia="zh-CN"/>
              </w:rPr>
              <w:t>投标人选用的网络摄像机、交换机、储存设备、</w:t>
            </w:r>
            <w:r>
              <w:rPr>
                <w:rFonts w:hint="eastAsia"/>
                <w:color w:val="auto"/>
                <w:highlight w:val="none"/>
                <w:lang w:eastAsia="zh-CN"/>
              </w:rPr>
              <w:t>人脸考勤识别一体机、门禁管理系统对招标文件要求的响应情况，每有一条负偏离扣</w:t>
            </w:r>
            <w:r>
              <w:rPr>
                <w:rFonts w:hint="eastAsia"/>
                <w:color w:val="auto"/>
                <w:highlight w:val="none"/>
                <w:lang w:val="en-US" w:eastAsia="zh-CN"/>
              </w:rPr>
              <w:t>3分，扣完为止。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2" w:type="dxa"/>
            <w:vMerge w:val="continue"/>
            <w:vAlign w:val="center"/>
          </w:tcPr>
          <w:p>
            <w:pPr>
              <w:ind w:firstLine="0" w:firstLineChars="0"/>
              <w:jc w:val="center"/>
              <w:rPr>
                <w:rFonts w:cs="宋体"/>
                <w:color w:val="auto"/>
                <w:spacing w:val="-6"/>
                <w:szCs w:val="21"/>
                <w:highlight w:val="none"/>
              </w:rPr>
            </w:pPr>
          </w:p>
        </w:tc>
        <w:tc>
          <w:tcPr>
            <w:tcW w:w="750" w:type="dxa"/>
            <w:vAlign w:val="center"/>
          </w:tcPr>
          <w:p>
            <w:pPr>
              <w:ind w:firstLine="0" w:firstLineChars="0"/>
              <w:jc w:val="center"/>
              <w:rPr>
                <w:rFonts w:hint="eastAsia" w:ascii="宋体" w:hAnsi="宋体" w:eastAsia="宋体" w:cs="宋体"/>
                <w:color w:val="auto"/>
                <w:spacing w:val="-6"/>
                <w:kern w:val="2"/>
                <w:sz w:val="21"/>
                <w:szCs w:val="21"/>
                <w:highlight w:val="none"/>
                <w:lang w:val="en-US" w:eastAsia="zh-CN" w:bidi="ar-SA"/>
              </w:rPr>
            </w:pPr>
            <w:r>
              <w:rPr>
                <w:rFonts w:hint="eastAsia" w:cs="宋体"/>
                <w:color w:val="auto"/>
                <w:spacing w:val="-6"/>
                <w:szCs w:val="21"/>
                <w:highlight w:val="none"/>
                <w:lang w:val="en-US" w:eastAsia="zh-CN"/>
              </w:rPr>
              <w:t>3</w:t>
            </w:r>
          </w:p>
        </w:tc>
        <w:tc>
          <w:tcPr>
            <w:tcW w:w="7683" w:type="dxa"/>
            <w:vAlign w:val="center"/>
          </w:tcPr>
          <w:p>
            <w:pPr>
              <w:ind w:firstLine="0" w:firstLineChars="0"/>
              <w:rPr>
                <w:rFonts w:hint="eastAsia" w:ascii="宋体" w:hAnsi="宋体" w:eastAsia="宋体" w:cs="宋体"/>
                <w:color w:val="auto"/>
                <w:spacing w:val="-6"/>
                <w:kern w:val="2"/>
                <w:sz w:val="21"/>
                <w:szCs w:val="21"/>
                <w:highlight w:val="none"/>
                <w:lang w:val="en-US" w:eastAsia="zh-CN" w:bidi="ar-SA"/>
              </w:rPr>
            </w:pPr>
            <w:r>
              <w:rPr>
                <w:rFonts w:hint="eastAsia" w:cs="宋体"/>
                <w:color w:val="auto"/>
                <w:highlight w:val="none"/>
              </w:rPr>
              <w:t>主要材料设备品牌、知名度、产品性能指标、产品配置、选型优劣等比较</w:t>
            </w:r>
            <w:r>
              <w:rPr>
                <w:rFonts w:hint="eastAsia" w:cs="宋体"/>
                <w:color w:val="auto"/>
                <w:spacing w:val="-6"/>
                <w:highlight w:val="none"/>
              </w:rPr>
              <w:t>，按实际情况酌情给分。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2" w:type="dxa"/>
            <w:vMerge w:val="continue"/>
            <w:vAlign w:val="center"/>
          </w:tcPr>
          <w:p>
            <w:pPr>
              <w:ind w:firstLine="0" w:firstLineChars="0"/>
              <w:jc w:val="center"/>
              <w:rPr>
                <w:rFonts w:cs="宋体"/>
                <w:color w:val="auto"/>
                <w:spacing w:val="-6"/>
                <w:szCs w:val="21"/>
                <w:highlight w:val="none"/>
              </w:rPr>
            </w:pPr>
          </w:p>
        </w:tc>
        <w:tc>
          <w:tcPr>
            <w:tcW w:w="750" w:type="dxa"/>
            <w:vAlign w:val="center"/>
          </w:tcPr>
          <w:p>
            <w:pPr>
              <w:ind w:firstLine="0" w:firstLineChars="0"/>
              <w:jc w:val="center"/>
              <w:rPr>
                <w:rFonts w:hint="eastAsia" w:eastAsia="宋体" w:cs="宋体"/>
                <w:color w:val="auto"/>
                <w:spacing w:val="-6"/>
                <w:szCs w:val="21"/>
                <w:highlight w:val="none"/>
                <w:lang w:eastAsia="zh-CN"/>
              </w:rPr>
            </w:pPr>
            <w:r>
              <w:rPr>
                <w:rFonts w:hint="eastAsia" w:cs="宋体"/>
                <w:color w:val="auto"/>
                <w:spacing w:val="-6"/>
                <w:szCs w:val="21"/>
                <w:highlight w:val="none"/>
                <w:lang w:val="en-US" w:eastAsia="zh-CN"/>
              </w:rPr>
              <w:t>3</w:t>
            </w:r>
          </w:p>
        </w:tc>
        <w:tc>
          <w:tcPr>
            <w:tcW w:w="7683" w:type="dxa"/>
            <w:vAlign w:val="center"/>
          </w:tcPr>
          <w:p>
            <w:pPr>
              <w:ind w:firstLine="0" w:firstLineChars="0"/>
              <w:rPr>
                <w:rFonts w:cs="宋体"/>
                <w:color w:val="auto"/>
                <w:szCs w:val="21"/>
                <w:highlight w:val="none"/>
              </w:rPr>
            </w:pPr>
            <w:r>
              <w:rPr>
                <w:rFonts w:hint="eastAsia" w:cs="宋体"/>
                <w:color w:val="auto"/>
                <w:szCs w:val="21"/>
                <w:highlight w:val="none"/>
              </w:rPr>
              <w:t>施工总平面布置情况：是否符合施工现场实际情况，施工总平面安排科学合理，符合本项目施工实际要求。根据材料堆场、施工通道的安排和施工人员住宿安排计划的科学性、合理性进行打分。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jc w:val="center"/>
        </w:trPr>
        <w:tc>
          <w:tcPr>
            <w:tcW w:w="1772" w:type="dxa"/>
            <w:vMerge w:val="restart"/>
            <w:vAlign w:val="center"/>
          </w:tcPr>
          <w:p>
            <w:pPr>
              <w:ind w:firstLine="0" w:firstLineChars="0"/>
              <w:jc w:val="center"/>
              <w:rPr>
                <w:rFonts w:cs="宋体"/>
                <w:color w:val="auto"/>
                <w:spacing w:val="-6"/>
                <w:szCs w:val="21"/>
                <w:highlight w:val="none"/>
              </w:rPr>
            </w:pPr>
            <w:r>
              <w:rPr>
                <w:rFonts w:hint="eastAsia" w:cs="宋体"/>
                <w:color w:val="auto"/>
                <w:spacing w:val="-6"/>
                <w:szCs w:val="21"/>
                <w:highlight w:val="none"/>
              </w:rPr>
              <w:t>人员情况</w:t>
            </w:r>
          </w:p>
        </w:tc>
        <w:tc>
          <w:tcPr>
            <w:tcW w:w="750" w:type="dxa"/>
            <w:vAlign w:val="center"/>
          </w:tcPr>
          <w:p>
            <w:pPr>
              <w:ind w:firstLine="0" w:firstLineChars="0"/>
              <w:jc w:val="center"/>
              <w:rPr>
                <w:rFonts w:cs="宋体"/>
                <w:color w:val="auto"/>
                <w:spacing w:val="-6"/>
                <w:szCs w:val="21"/>
                <w:highlight w:val="none"/>
              </w:rPr>
            </w:pPr>
            <w:r>
              <w:rPr>
                <w:rFonts w:hint="eastAsia" w:cs="宋体"/>
                <w:color w:val="auto"/>
                <w:spacing w:val="-6"/>
                <w:szCs w:val="21"/>
                <w:highlight w:val="none"/>
              </w:rPr>
              <w:t>3</w:t>
            </w:r>
          </w:p>
        </w:tc>
        <w:tc>
          <w:tcPr>
            <w:tcW w:w="7683" w:type="dxa"/>
            <w:vAlign w:val="center"/>
          </w:tcPr>
          <w:p>
            <w:pPr>
              <w:ind w:firstLine="0" w:firstLineChars="0"/>
              <w:rPr>
                <w:rFonts w:cs="宋体"/>
                <w:color w:val="auto"/>
                <w:szCs w:val="21"/>
                <w:highlight w:val="none"/>
              </w:rPr>
            </w:pPr>
            <w:r>
              <w:rPr>
                <w:rFonts w:hint="eastAsia" w:cs="宋体"/>
                <w:color w:val="auto"/>
                <w:szCs w:val="21"/>
                <w:highlight w:val="none"/>
              </w:rPr>
              <w:t>（1）项目经理自2018年1月1日【以竣（交）工验收资料时间为准】以来，以项目负责人身份完成过类似工程业绩。每个业绩得1分，最多得3分。（3分）</w:t>
            </w:r>
          </w:p>
          <w:p>
            <w:pPr>
              <w:ind w:firstLine="0" w:firstLineChars="0"/>
              <w:rPr>
                <w:rFonts w:cs="宋体"/>
                <w:color w:val="auto"/>
                <w:szCs w:val="21"/>
                <w:highlight w:val="none"/>
              </w:rPr>
            </w:pPr>
            <w:r>
              <w:rPr>
                <w:rFonts w:hint="eastAsia" w:cs="宋体"/>
                <w:color w:val="auto"/>
                <w:szCs w:val="21"/>
                <w:highlight w:val="none"/>
              </w:rPr>
              <w:t>有效证明文件为：同时具有①中标通知书或有效的合同复印件；②竣（交)工验收资料。（需能体现项目负责人、竣工时间、工程类型）、（原件备查）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jc w:val="center"/>
        </w:trPr>
        <w:tc>
          <w:tcPr>
            <w:tcW w:w="1772" w:type="dxa"/>
            <w:vMerge w:val="continue"/>
            <w:vAlign w:val="center"/>
          </w:tcPr>
          <w:p>
            <w:pPr>
              <w:ind w:firstLine="0" w:firstLineChars="0"/>
              <w:jc w:val="center"/>
              <w:rPr>
                <w:rFonts w:cs="宋体"/>
                <w:color w:val="auto"/>
                <w:spacing w:val="-6"/>
                <w:szCs w:val="21"/>
                <w:highlight w:val="none"/>
              </w:rPr>
            </w:pPr>
          </w:p>
        </w:tc>
        <w:tc>
          <w:tcPr>
            <w:tcW w:w="750" w:type="dxa"/>
            <w:vAlign w:val="center"/>
          </w:tcPr>
          <w:p>
            <w:pPr>
              <w:ind w:firstLine="0" w:firstLineChars="0"/>
              <w:jc w:val="center"/>
              <w:rPr>
                <w:rFonts w:cs="宋体"/>
                <w:color w:val="auto"/>
                <w:spacing w:val="-6"/>
                <w:szCs w:val="21"/>
                <w:highlight w:val="none"/>
              </w:rPr>
            </w:pPr>
            <w:r>
              <w:rPr>
                <w:rFonts w:hint="eastAsia" w:cs="宋体"/>
                <w:color w:val="auto"/>
                <w:spacing w:val="-6"/>
                <w:szCs w:val="21"/>
                <w:highlight w:val="none"/>
              </w:rPr>
              <w:t>3</w:t>
            </w:r>
          </w:p>
        </w:tc>
        <w:tc>
          <w:tcPr>
            <w:tcW w:w="7683" w:type="dxa"/>
            <w:vAlign w:val="center"/>
          </w:tcPr>
          <w:p>
            <w:pPr>
              <w:ind w:firstLine="0" w:firstLineChars="0"/>
              <w:rPr>
                <w:rFonts w:cs="宋体"/>
                <w:color w:val="auto"/>
                <w:szCs w:val="21"/>
                <w:highlight w:val="none"/>
              </w:rPr>
            </w:pPr>
            <w:r>
              <w:rPr>
                <w:rFonts w:hint="eastAsia" w:cs="宋体"/>
                <w:color w:val="auto"/>
                <w:szCs w:val="21"/>
                <w:highlight w:val="none"/>
              </w:rPr>
              <w:t>（2）根据投标供应商所提供的项目管理班子人员有效材料以及项目组人员（包含质量员、技术员、资料员、安全员等）有效材料，判定其数量是否充分、工种是否齐全、配备是否合理、有无类似经验、资质情况（其中资质情况以所提供的有效从业资格证书为准，不提供，视为未有相应资质）等，按实际情况酌情给分。（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2" w:type="dxa"/>
            <w:vAlign w:val="center"/>
          </w:tcPr>
          <w:p>
            <w:pPr>
              <w:ind w:firstLine="0" w:firstLineChars="0"/>
              <w:jc w:val="center"/>
              <w:rPr>
                <w:rFonts w:cs="宋体"/>
                <w:color w:val="auto"/>
                <w:spacing w:val="-6"/>
                <w:szCs w:val="21"/>
                <w:highlight w:val="none"/>
              </w:rPr>
            </w:pPr>
            <w:r>
              <w:rPr>
                <w:rFonts w:hint="eastAsia" w:cs="宋体"/>
                <w:color w:val="auto"/>
                <w:spacing w:val="-6"/>
                <w:szCs w:val="21"/>
                <w:highlight w:val="none"/>
              </w:rPr>
              <w:t>施工机械设备投入</w:t>
            </w:r>
          </w:p>
        </w:tc>
        <w:tc>
          <w:tcPr>
            <w:tcW w:w="750" w:type="dxa"/>
            <w:vAlign w:val="center"/>
          </w:tcPr>
          <w:p>
            <w:pPr>
              <w:ind w:firstLine="0" w:firstLineChars="0"/>
              <w:jc w:val="center"/>
              <w:rPr>
                <w:rFonts w:hint="eastAsia" w:eastAsia="宋体" w:cs="宋体"/>
                <w:color w:val="auto"/>
                <w:spacing w:val="-6"/>
                <w:szCs w:val="21"/>
                <w:highlight w:val="none"/>
                <w:lang w:eastAsia="zh-CN"/>
              </w:rPr>
            </w:pPr>
            <w:r>
              <w:rPr>
                <w:rFonts w:hint="eastAsia" w:cs="宋体"/>
                <w:color w:val="auto"/>
                <w:spacing w:val="-6"/>
                <w:szCs w:val="21"/>
                <w:highlight w:val="none"/>
                <w:lang w:val="en-US" w:eastAsia="zh-CN"/>
              </w:rPr>
              <w:t>3</w:t>
            </w:r>
          </w:p>
        </w:tc>
        <w:tc>
          <w:tcPr>
            <w:tcW w:w="7683" w:type="dxa"/>
            <w:vAlign w:val="center"/>
          </w:tcPr>
          <w:p>
            <w:pPr>
              <w:ind w:firstLine="0" w:firstLineChars="0"/>
              <w:rPr>
                <w:rFonts w:cs="宋体"/>
                <w:color w:val="auto"/>
                <w:highlight w:val="none"/>
              </w:rPr>
            </w:pPr>
            <w:r>
              <w:rPr>
                <w:rFonts w:hint="eastAsia" w:cs="宋体"/>
                <w:color w:val="auto"/>
                <w:spacing w:val="-6"/>
                <w:szCs w:val="21"/>
                <w:highlight w:val="none"/>
              </w:rPr>
              <w:t>施工机具和检验仪器的投入是否能够满足工程质量和进度的要求，</w:t>
            </w:r>
            <w:r>
              <w:rPr>
                <w:rFonts w:hint="eastAsia" w:cs="宋体"/>
                <w:color w:val="auto"/>
                <w:szCs w:val="21"/>
                <w:highlight w:val="none"/>
              </w:rPr>
              <w:t>最高得</w:t>
            </w:r>
            <w:r>
              <w:rPr>
                <w:rFonts w:hint="eastAsia" w:cs="宋体"/>
                <w:color w:val="auto"/>
                <w:szCs w:val="21"/>
                <w:highlight w:val="none"/>
                <w:lang w:val="en-US" w:eastAsia="zh-CN"/>
              </w:rPr>
              <w:t>3</w:t>
            </w:r>
            <w:r>
              <w:rPr>
                <w:rFonts w:hint="eastAsia" w:cs="宋体"/>
                <w:color w:val="auto"/>
                <w:szCs w:val="21"/>
                <w:highlight w:val="none"/>
              </w:rPr>
              <w:t>分，其余酌情扣分。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2" w:type="dxa"/>
            <w:vMerge w:val="restart"/>
            <w:vAlign w:val="center"/>
          </w:tcPr>
          <w:p>
            <w:pPr>
              <w:ind w:firstLine="0" w:firstLineChars="0"/>
              <w:jc w:val="center"/>
              <w:rPr>
                <w:rFonts w:cs="宋体"/>
                <w:color w:val="auto"/>
                <w:spacing w:val="-6"/>
                <w:szCs w:val="21"/>
                <w:highlight w:val="none"/>
              </w:rPr>
            </w:pPr>
            <w:r>
              <w:rPr>
                <w:rFonts w:hint="eastAsia" w:cs="宋体"/>
                <w:color w:val="auto"/>
                <w:spacing w:val="-6"/>
                <w:szCs w:val="21"/>
                <w:highlight w:val="none"/>
              </w:rPr>
              <w:t>保障措施</w:t>
            </w:r>
          </w:p>
        </w:tc>
        <w:tc>
          <w:tcPr>
            <w:tcW w:w="750" w:type="dxa"/>
            <w:vAlign w:val="center"/>
          </w:tcPr>
          <w:p>
            <w:pPr>
              <w:ind w:firstLine="0" w:firstLineChars="0"/>
              <w:jc w:val="center"/>
              <w:rPr>
                <w:rFonts w:hint="eastAsia" w:eastAsia="宋体" w:cs="宋体"/>
                <w:color w:val="auto"/>
                <w:spacing w:val="-6"/>
                <w:szCs w:val="21"/>
                <w:highlight w:val="none"/>
                <w:lang w:eastAsia="zh-CN"/>
              </w:rPr>
            </w:pPr>
            <w:r>
              <w:rPr>
                <w:rFonts w:hint="eastAsia" w:cs="宋体"/>
                <w:color w:val="auto"/>
                <w:spacing w:val="-6"/>
                <w:szCs w:val="21"/>
                <w:highlight w:val="none"/>
                <w:lang w:val="en-US" w:eastAsia="zh-CN"/>
              </w:rPr>
              <w:t>3</w:t>
            </w:r>
          </w:p>
        </w:tc>
        <w:tc>
          <w:tcPr>
            <w:tcW w:w="7683" w:type="dxa"/>
            <w:vAlign w:val="center"/>
          </w:tcPr>
          <w:p>
            <w:pPr>
              <w:ind w:firstLine="0" w:firstLineChars="0"/>
              <w:rPr>
                <w:rFonts w:cs="宋体"/>
                <w:color w:val="auto"/>
                <w:spacing w:val="-6"/>
                <w:szCs w:val="21"/>
                <w:highlight w:val="none"/>
              </w:rPr>
            </w:pPr>
            <w:r>
              <w:rPr>
                <w:rFonts w:hint="eastAsia" w:cs="宋体"/>
                <w:color w:val="auto"/>
                <w:highlight w:val="none"/>
              </w:rPr>
              <w:t>施工各阶段的进度计划以及进度保证措施，劳动力、施工机械设备及材料的投入安排，施工的质量保证措施、安全文明施工、环境保护和消防措施</w:t>
            </w:r>
            <w:r>
              <w:rPr>
                <w:rFonts w:hint="eastAsia" w:cs="宋体"/>
                <w:color w:val="auto"/>
                <w:spacing w:val="-6"/>
                <w:highlight w:val="none"/>
              </w:rPr>
              <w:t>，按实际情况酌情给分。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2" w:type="dxa"/>
            <w:vMerge w:val="continue"/>
            <w:vAlign w:val="center"/>
          </w:tcPr>
          <w:p>
            <w:pPr>
              <w:ind w:firstLine="0" w:firstLineChars="0"/>
              <w:jc w:val="center"/>
              <w:rPr>
                <w:rFonts w:cs="宋体"/>
                <w:color w:val="auto"/>
                <w:spacing w:val="-6"/>
                <w:szCs w:val="21"/>
                <w:highlight w:val="none"/>
              </w:rPr>
            </w:pPr>
          </w:p>
        </w:tc>
        <w:tc>
          <w:tcPr>
            <w:tcW w:w="750" w:type="dxa"/>
            <w:vAlign w:val="center"/>
          </w:tcPr>
          <w:p>
            <w:pPr>
              <w:ind w:firstLine="0" w:firstLineChars="0"/>
              <w:jc w:val="center"/>
              <w:rPr>
                <w:rFonts w:hint="eastAsia" w:eastAsia="宋体" w:cs="宋体"/>
                <w:color w:val="auto"/>
                <w:spacing w:val="-6"/>
                <w:szCs w:val="21"/>
                <w:highlight w:val="none"/>
                <w:lang w:eastAsia="zh-CN"/>
              </w:rPr>
            </w:pPr>
            <w:r>
              <w:rPr>
                <w:rFonts w:hint="eastAsia" w:cs="宋体"/>
                <w:color w:val="auto"/>
                <w:spacing w:val="-6"/>
                <w:szCs w:val="21"/>
                <w:highlight w:val="none"/>
                <w:lang w:val="en-US" w:eastAsia="zh-CN"/>
              </w:rPr>
              <w:t>3</w:t>
            </w:r>
          </w:p>
        </w:tc>
        <w:tc>
          <w:tcPr>
            <w:tcW w:w="7683" w:type="dxa"/>
            <w:vAlign w:val="center"/>
          </w:tcPr>
          <w:p>
            <w:pPr>
              <w:ind w:firstLine="0" w:firstLineChars="0"/>
              <w:rPr>
                <w:rFonts w:cs="宋体"/>
                <w:color w:val="auto"/>
                <w:spacing w:val="-6"/>
                <w:szCs w:val="21"/>
                <w:highlight w:val="none"/>
              </w:rPr>
            </w:pPr>
            <w:r>
              <w:rPr>
                <w:rFonts w:hint="eastAsia" w:cs="宋体"/>
                <w:color w:val="auto"/>
                <w:highlight w:val="none"/>
              </w:rPr>
              <w:t>内部管理制度是否全面、有针对性、措施完善，措施得力，服从招标人协调和统一管理及配合措施，以及特殊承诺措施</w:t>
            </w:r>
            <w:r>
              <w:rPr>
                <w:rFonts w:hint="eastAsia" w:cs="宋体"/>
                <w:color w:val="auto"/>
                <w:spacing w:val="-6"/>
                <w:highlight w:val="none"/>
              </w:rPr>
              <w:t>，按实际情况酌情给分。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2" w:type="dxa"/>
            <w:vMerge w:val="restart"/>
            <w:vAlign w:val="center"/>
          </w:tcPr>
          <w:p>
            <w:pPr>
              <w:ind w:firstLine="0" w:firstLineChars="0"/>
              <w:jc w:val="center"/>
              <w:rPr>
                <w:rFonts w:cs="宋体"/>
                <w:color w:val="auto"/>
                <w:spacing w:val="-6"/>
                <w:szCs w:val="21"/>
                <w:highlight w:val="none"/>
              </w:rPr>
            </w:pPr>
            <w:r>
              <w:rPr>
                <w:rFonts w:hint="eastAsia" w:cs="宋体"/>
                <w:color w:val="auto"/>
                <w:spacing w:val="-6"/>
                <w:szCs w:val="21"/>
                <w:highlight w:val="none"/>
              </w:rPr>
              <w:t>售后服务</w:t>
            </w:r>
          </w:p>
        </w:tc>
        <w:tc>
          <w:tcPr>
            <w:tcW w:w="750" w:type="dxa"/>
            <w:vAlign w:val="center"/>
          </w:tcPr>
          <w:p>
            <w:pPr>
              <w:ind w:firstLine="0" w:firstLineChars="0"/>
              <w:jc w:val="center"/>
              <w:rPr>
                <w:rFonts w:cs="宋体"/>
                <w:color w:val="auto"/>
                <w:spacing w:val="-6"/>
                <w:szCs w:val="21"/>
                <w:highlight w:val="none"/>
              </w:rPr>
            </w:pPr>
            <w:r>
              <w:rPr>
                <w:rFonts w:hint="eastAsia" w:cs="宋体"/>
                <w:color w:val="auto"/>
                <w:spacing w:val="-6"/>
                <w:szCs w:val="21"/>
                <w:highlight w:val="none"/>
              </w:rPr>
              <w:t>3</w:t>
            </w:r>
          </w:p>
        </w:tc>
        <w:tc>
          <w:tcPr>
            <w:tcW w:w="7683" w:type="dxa"/>
            <w:vAlign w:val="center"/>
          </w:tcPr>
          <w:p>
            <w:pPr>
              <w:ind w:firstLine="0" w:firstLineChars="0"/>
              <w:rPr>
                <w:rFonts w:cs="宋体"/>
                <w:color w:val="auto"/>
                <w:spacing w:val="-6"/>
                <w:szCs w:val="21"/>
                <w:highlight w:val="none"/>
              </w:rPr>
            </w:pPr>
            <w:r>
              <w:rPr>
                <w:rFonts w:hint="eastAsia" w:cs="宋体"/>
                <w:color w:val="auto"/>
                <w:highlight w:val="none"/>
              </w:rPr>
              <w:t>（1）针对本项目的合理化建议匹配性、针对性、合理性进行酌情给分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2" w:type="dxa"/>
            <w:vMerge w:val="continue"/>
            <w:vAlign w:val="center"/>
          </w:tcPr>
          <w:p>
            <w:pPr>
              <w:ind w:firstLine="0" w:firstLineChars="0"/>
              <w:jc w:val="center"/>
              <w:rPr>
                <w:rFonts w:cs="宋体"/>
                <w:color w:val="auto"/>
                <w:spacing w:val="-6"/>
                <w:szCs w:val="21"/>
                <w:highlight w:val="none"/>
              </w:rPr>
            </w:pPr>
          </w:p>
        </w:tc>
        <w:tc>
          <w:tcPr>
            <w:tcW w:w="750" w:type="dxa"/>
            <w:vAlign w:val="center"/>
          </w:tcPr>
          <w:p>
            <w:pPr>
              <w:ind w:firstLine="0" w:firstLineChars="0"/>
              <w:jc w:val="center"/>
              <w:rPr>
                <w:rFonts w:cs="宋体"/>
                <w:color w:val="auto"/>
                <w:spacing w:val="-6"/>
                <w:szCs w:val="21"/>
                <w:highlight w:val="none"/>
              </w:rPr>
            </w:pPr>
            <w:r>
              <w:rPr>
                <w:rFonts w:hint="eastAsia" w:cs="宋体"/>
                <w:color w:val="auto"/>
                <w:spacing w:val="-6"/>
                <w:szCs w:val="21"/>
                <w:highlight w:val="none"/>
              </w:rPr>
              <w:t>3</w:t>
            </w:r>
          </w:p>
        </w:tc>
        <w:tc>
          <w:tcPr>
            <w:tcW w:w="7683" w:type="dxa"/>
            <w:vAlign w:val="center"/>
          </w:tcPr>
          <w:p>
            <w:pPr>
              <w:ind w:firstLine="0" w:firstLineChars="0"/>
              <w:rPr>
                <w:rFonts w:cs="宋体"/>
                <w:color w:val="auto"/>
                <w:highlight w:val="none"/>
              </w:rPr>
            </w:pPr>
            <w:r>
              <w:rPr>
                <w:rFonts w:hint="eastAsia" w:cs="宋体"/>
                <w:color w:val="auto"/>
                <w:highlight w:val="none"/>
              </w:rPr>
              <w:t>（2）根据售后技术支持、服务体系（含服务标准、服务流程、服务内容等）完整性、针对性、合理性进行酌情给分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2" w:type="dxa"/>
            <w:vAlign w:val="center"/>
          </w:tcPr>
          <w:p>
            <w:pPr>
              <w:ind w:firstLine="0" w:firstLineChars="0"/>
              <w:jc w:val="center"/>
              <w:rPr>
                <w:rFonts w:cs="宋体"/>
                <w:color w:val="auto"/>
                <w:spacing w:val="-6"/>
                <w:szCs w:val="21"/>
                <w:highlight w:val="none"/>
              </w:rPr>
            </w:pPr>
            <w:r>
              <w:rPr>
                <w:rFonts w:hint="eastAsia" w:cs="宋体"/>
                <w:color w:val="auto"/>
                <w:spacing w:val="-6"/>
                <w:szCs w:val="21"/>
                <w:highlight w:val="none"/>
              </w:rPr>
              <w:t>投标文件制作</w:t>
            </w:r>
          </w:p>
        </w:tc>
        <w:tc>
          <w:tcPr>
            <w:tcW w:w="750" w:type="dxa"/>
            <w:vAlign w:val="center"/>
          </w:tcPr>
          <w:p>
            <w:pPr>
              <w:ind w:firstLine="0" w:firstLineChars="0"/>
              <w:jc w:val="center"/>
              <w:rPr>
                <w:rFonts w:cs="宋体"/>
                <w:color w:val="auto"/>
                <w:spacing w:val="-6"/>
                <w:szCs w:val="21"/>
                <w:highlight w:val="none"/>
              </w:rPr>
            </w:pPr>
            <w:r>
              <w:rPr>
                <w:rFonts w:hint="eastAsia" w:cs="宋体"/>
                <w:color w:val="auto"/>
                <w:spacing w:val="-6"/>
                <w:szCs w:val="21"/>
                <w:highlight w:val="none"/>
              </w:rPr>
              <w:t>2</w:t>
            </w:r>
          </w:p>
        </w:tc>
        <w:tc>
          <w:tcPr>
            <w:tcW w:w="7683" w:type="dxa"/>
            <w:vAlign w:val="center"/>
          </w:tcPr>
          <w:p>
            <w:pPr>
              <w:ind w:firstLine="0" w:firstLineChars="0"/>
              <w:rPr>
                <w:rFonts w:cs="宋体"/>
                <w:color w:val="auto"/>
                <w:highlight w:val="none"/>
              </w:rPr>
            </w:pPr>
            <w:r>
              <w:rPr>
                <w:rFonts w:hint="eastAsia" w:cs="宋体"/>
                <w:color w:val="auto"/>
                <w:highlight w:val="none"/>
              </w:rPr>
              <w:t>根据投标文件的装订情况，内容是否完整，是否有评分索引、目录等进行打分</w:t>
            </w:r>
          </w:p>
        </w:tc>
      </w:tr>
      <w:bookmarkEnd w:id="1096"/>
      <w:bookmarkEnd w:id="1097"/>
      <w:bookmarkEnd w:id="1098"/>
      <w:bookmarkEnd w:id="1099"/>
      <w:bookmarkEnd w:id="1100"/>
    </w:tbl>
    <w:p>
      <w:pPr>
        <w:adjustRightInd w:val="0"/>
        <w:snapToGrid w:val="0"/>
        <w:ind w:firstLine="398"/>
        <w:rPr>
          <w:rFonts w:cs="宋体"/>
          <w:b/>
          <w:color w:val="auto"/>
          <w:spacing w:val="-6"/>
          <w:szCs w:val="21"/>
          <w:highlight w:val="none"/>
        </w:rPr>
      </w:pPr>
      <w:r>
        <w:rPr>
          <w:rFonts w:hint="eastAsia" w:cs="宋体"/>
          <w:b/>
          <w:color w:val="auto"/>
          <w:spacing w:val="-6"/>
          <w:szCs w:val="21"/>
          <w:highlight w:val="none"/>
        </w:rPr>
        <w:t>3.6完成评标报告，推荐中标候选人</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3.6.1评标委员会应根据评标情况和结果，向招标人提交评标报告。评标报告由评标委员会成员起草，经评标委员会三分之二以上的成员同意通过。评标委员会全体成员应在评标报告上签字确认，评标专家如有保留意见可以在评标报告中阐明。</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3.6.2评标委员会根据综合评分对进入评分范围的投标文件综合评分由高到低进行排序，依次按招标文件规定的数量推荐中标候选人，</w:t>
      </w:r>
      <w:r>
        <w:rPr>
          <w:rFonts w:hint="eastAsia" w:cs="宋体"/>
          <w:bCs/>
          <w:color w:val="auto"/>
          <w:spacing w:val="-6"/>
          <w:highlight w:val="none"/>
        </w:rPr>
        <w:t>若排名第一的投标人为第一中标候选人,排名第二的投标人为第二中标候选人</w:t>
      </w:r>
      <w:r>
        <w:rPr>
          <w:rFonts w:hint="eastAsia" w:cs="宋体"/>
          <w:snapToGrid w:val="0"/>
          <w:color w:val="auto"/>
          <w:kern w:val="0"/>
          <w:szCs w:val="21"/>
          <w:highlight w:val="none"/>
        </w:rPr>
        <w:t>。评分相同时，报价低者优先。评分、报价均相同时，技术的分高者优先。评分、报价、技术的分均相同时，由评标委员会全体成员记名投票（不得弃权）决定排序。</w:t>
      </w:r>
    </w:p>
    <w:p>
      <w:pPr>
        <w:adjustRightInd w:val="0"/>
        <w:snapToGrid w:val="0"/>
        <w:ind w:firstLine="420"/>
        <w:rPr>
          <w:rFonts w:cs="宋体"/>
          <w:b/>
          <w:color w:val="auto"/>
          <w:spacing w:val="-6"/>
          <w:szCs w:val="21"/>
          <w:highlight w:val="none"/>
        </w:rPr>
      </w:pPr>
      <w:r>
        <w:rPr>
          <w:rFonts w:hint="eastAsia" w:cs="宋体"/>
          <w:snapToGrid w:val="0"/>
          <w:color w:val="auto"/>
          <w:kern w:val="0"/>
          <w:highlight w:val="none"/>
        </w:rPr>
        <w:t>3.6.3</w:t>
      </w:r>
      <w:r>
        <w:rPr>
          <w:rFonts w:hint="eastAsia" w:cs="宋体"/>
          <w:bCs/>
          <w:color w:val="auto"/>
          <w:spacing w:val="-6"/>
          <w:highlight w:val="none"/>
        </w:rPr>
        <w:t>若第一中标候选人在履约过程中违约及不响应招标文件要求的,排名第二的投标人为第二中标候选人</w:t>
      </w:r>
      <w:r>
        <w:rPr>
          <w:rFonts w:hint="eastAsia" w:cs="宋体"/>
          <w:snapToGrid w:val="0"/>
          <w:color w:val="auto"/>
          <w:kern w:val="0"/>
          <w:highlight w:val="none"/>
        </w:rPr>
        <w:t>。</w:t>
      </w:r>
    </w:p>
    <w:p>
      <w:pPr>
        <w:pStyle w:val="11"/>
        <w:snapToGrid w:val="0"/>
        <w:ind w:firstLine="480"/>
        <w:rPr>
          <w:rFonts w:ascii="宋体" w:hAnsi="宋体" w:cs="宋体"/>
          <w:color w:val="auto"/>
          <w:highlight w:val="none"/>
        </w:rPr>
        <w:sectPr>
          <w:pgSz w:w="11906" w:h="16838"/>
          <w:pgMar w:top="1418" w:right="1418" w:bottom="1418" w:left="1418" w:header="851" w:footer="992" w:gutter="0"/>
          <w:cols w:space="720" w:num="1"/>
          <w:docGrid w:linePitch="380" w:charSpace="0"/>
        </w:sectPr>
      </w:pPr>
    </w:p>
    <w:p>
      <w:pPr>
        <w:pStyle w:val="4"/>
        <w:ind w:firstLine="602"/>
        <w:rPr>
          <w:rFonts w:cs="宋体"/>
          <w:color w:val="auto"/>
          <w:highlight w:val="none"/>
        </w:rPr>
      </w:pPr>
      <w:bookmarkStart w:id="1110" w:name="_Toc506358628"/>
      <w:bookmarkStart w:id="1111" w:name="_Toc12630"/>
      <w:bookmarkStart w:id="1112" w:name="_Toc415814145"/>
      <w:r>
        <w:rPr>
          <w:rFonts w:hint="eastAsia" w:cs="宋体"/>
          <w:color w:val="auto"/>
          <w:highlight w:val="none"/>
        </w:rPr>
        <w:t>第六章  投标文件格式</w:t>
      </w:r>
      <w:bookmarkEnd w:id="1110"/>
      <w:bookmarkEnd w:id="1111"/>
      <w:bookmarkEnd w:id="1112"/>
    </w:p>
    <w:p>
      <w:pPr>
        <w:tabs>
          <w:tab w:val="left" w:pos="709"/>
        </w:tabs>
        <w:adjustRightInd w:val="0"/>
        <w:snapToGrid w:val="0"/>
        <w:ind w:firstLine="420"/>
        <w:jc w:val="left"/>
        <w:rPr>
          <w:rFonts w:cs="宋体"/>
          <w:color w:val="auto"/>
          <w:szCs w:val="21"/>
          <w:highlight w:val="none"/>
        </w:rPr>
      </w:pPr>
      <w:r>
        <w:rPr>
          <w:rFonts w:hint="eastAsia" w:cs="宋体"/>
          <w:color w:val="auto"/>
          <w:szCs w:val="21"/>
          <w:highlight w:val="none"/>
        </w:rPr>
        <w:t>说明：</w:t>
      </w:r>
    </w:p>
    <w:p>
      <w:pPr>
        <w:tabs>
          <w:tab w:val="left" w:pos="709"/>
        </w:tabs>
        <w:adjustRightInd w:val="0"/>
        <w:snapToGrid w:val="0"/>
        <w:ind w:firstLine="420"/>
        <w:jc w:val="left"/>
        <w:rPr>
          <w:rFonts w:cs="宋体"/>
          <w:color w:val="auto"/>
          <w:szCs w:val="21"/>
          <w:highlight w:val="none"/>
        </w:rPr>
      </w:pPr>
      <w:r>
        <w:rPr>
          <w:rFonts w:hint="eastAsia" w:cs="宋体"/>
          <w:color w:val="auto"/>
          <w:szCs w:val="21"/>
          <w:highlight w:val="none"/>
        </w:rPr>
        <w:t>1．投标文件建议根据照招标文件要求参照附件格式编制、选用。</w:t>
      </w:r>
    </w:p>
    <w:p>
      <w:pPr>
        <w:tabs>
          <w:tab w:val="left" w:pos="709"/>
        </w:tabs>
        <w:adjustRightInd w:val="0"/>
        <w:snapToGrid w:val="0"/>
        <w:ind w:firstLine="420"/>
        <w:jc w:val="left"/>
        <w:rPr>
          <w:rFonts w:cs="宋体"/>
          <w:color w:val="auto"/>
          <w:szCs w:val="21"/>
          <w:highlight w:val="none"/>
        </w:rPr>
      </w:pPr>
      <w:r>
        <w:rPr>
          <w:rFonts w:hint="eastAsia" w:cs="宋体"/>
          <w:color w:val="auto"/>
          <w:szCs w:val="21"/>
          <w:highlight w:val="none"/>
        </w:rPr>
        <w:t>2．投标人根据实际情况，格式的字体、编排，表格的内容可以做适当调整。</w:t>
      </w:r>
    </w:p>
    <w:p>
      <w:pPr>
        <w:tabs>
          <w:tab w:val="left" w:pos="709"/>
        </w:tabs>
        <w:adjustRightInd w:val="0"/>
        <w:snapToGrid w:val="0"/>
        <w:ind w:firstLine="420"/>
        <w:jc w:val="left"/>
        <w:rPr>
          <w:rFonts w:cs="宋体"/>
          <w:color w:val="auto"/>
          <w:szCs w:val="21"/>
          <w:highlight w:val="none"/>
        </w:rPr>
      </w:pPr>
      <w:r>
        <w:rPr>
          <w:rFonts w:hint="eastAsia" w:cs="宋体"/>
          <w:color w:val="auto"/>
          <w:szCs w:val="21"/>
          <w:highlight w:val="none"/>
        </w:rPr>
        <w:t>3．招标文件中没有参考格式的，投标人自行编制。</w:t>
      </w:r>
    </w:p>
    <w:p>
      <w:pPr>
        <w:ind w:firstLine="480"/>
        <w:rPr>
          <w:rFonts w:cs="宋体"/>
          <w:color w:val="auto"/>
          <w:sz w:val="24"/>
          <w:highlight w:val="none"/>
        </w:rPr>
        <w:sectPr>
          <w:footerReference r:id="rId16" w:type="default"/>
          <w:footerReference r:id="rId17" w:type="even"/>
          <w:pgSz w:w="11906" w:h="16838"/>
          <w:pgMar w:top="1418" w:right="1418" w:bottom="1418" w:left="1418" w:header="851" w:footer="992" w:gutter="0"/>
          <w:cols w:space="720" w:num="1"/>
          <w:docGrid w:linePitch="380" w:charSpace="0"/>
        </w:sectPr>
      </w:pPr>
    </w:p>
    <w:bookmarkEnd w:id="1101"/>
    <w:bookmarkEnd w:id="1102"/>
    <w:bookmarkEnd w:id="1103"/>
    <w:p>
      <w:pPr>
        <w:pStyle w:val="13"/>
        <w:spacing w:line="264" w:lineRule="auto"/>
        <w:ind w:firstLine="720"/>
        <w:jc w:val="center"/>
        <w:rPr>
          <w:rFonts w:ascii="宋体" w:hAnsi="宋体" w:cs="宋体"/>
          <w:color w:val="auto"/>
          <w:sz w:val="36"/>
          <w:highlight w:val="none"/>
        </w:rPr>
      </w:pPr>
    </w:p>
    <w:p>
      <w:pPr>
        <w:pStyle w:val="13"/>
        <w:spacing w:line="264" w:lineRule="auto"/>
        <w:ind w:firstLine="0" w:firstLineChars="0"/>
        <w:jc w:val="center"/>
        <w:rPr>
          <w:rFonts w:ascii="宋体" w:hAnsi="宋体" w:cs="宋体"/>
          <w:color w:val="auto"/>
          <w:sz w:val="36"/>
          <w:highlight w:val="none"/>
        </w:rPr>
      </w:pPr>
    </w:p>
    <w:p>
      <w:pPr>
        <w:ind w:firstLine="0" w:firstLineChars="0"/>
        <w:rPr>
          <w:rFonts w:cs="宋体"/>
          <w:b/>
          <w:bCs/>
          <w:color w:val="auto"/>
          <w:sz w:val="32"/>
          <w:szCs w:val="32"/>
          <w:highlight w:val="none"/>
        </w:rPr>
      </w:pPr>
      <w:bookmarkStart w:id="1113" w:name="_Toc14922"/>
      <w:r>
        <w:rPr>
          <w:rFonts w:hint="eastAsia" w:cs="宋体"/>
          <w:b/>
          <w:bCs/>
          <w:color w:val="auto"/>
          <w:sz w:val="32"/>
          <w:szCs w:val="32"/>
          <w:highlight w:val="none"/>
        </w:rPr>
        <w:t>项目名称：</w:t>
      </w:r>
      <w:bookmarkEnd w:id="1113"/>
    </w:p>
    <w:p>
      <w:pPr>
        <w:ind w:firstLine="0" w:firstLineChars="0"/>
        <w:rPr>
          <w:rFonts w:cs="宋体"/>
          <w:b/>
          <w:bCs/>
          <w:color w:val="auto"/>
          <w:sz w:val="32"/>
          <w:szCs w:val="32"/>
          <w:highlight w:val="none"/>
        </w:rPr>
      </w:pPr>
      <w:bookmarkStart w:id="1114" w:name="_Toc21545"/>
      <w:r>
        <w:rPr>
          <w:rFonts w:hint="eastAsia" w:cs="宋体"/>
          <w:b/>
          <w:bCs/>
          <w:color w:val="auto"/>
          <w:sz w:val="32"/>
          <w:szCs w:val="32"/>
          <w:highlight w:val="none"/>
        </w:rPr>
        <w:t>招标编号</w:t>
      </w:r>
      <w:bookmarkEnd w:id="1114"/>
    </w:p>
    <w:p>
      <w:pPr>
        <w:pStyle w:val="13"/>
        <w:spacing w:line="264" w:lineRule="auto"/>
        <w:ind w:firstLine="0" w:firstLineChars="0"/>
        <w:jc w:val="center"/>
        <w:rPr>
          <w:rFonts w:ascii="宋体" w:hAnsi="宋体" w:cs="宋体"/>
          <w:b/>
          <w:color w:val="auto"/>
          <w:sz w:val="84"/>
          <w:highlight w:val="none"/>
        </w:rPr>
      </w:pPr>
    </w:p>
    <w:p>
      <w:pPr>
        <w:pStyle w:val="13"/>
        <w:spacing w:line="264" w:lineRule="auto"/>
        <w:ind w:firstLine="0" w:firstLineChars="0"/>
        <w:jc w:val="center"/>
        <w:rPr>
          <w:rFonts w:ascii="宋体" w:hAnsi="宋体" w:cs="宋体"/>
          <w:color w:val="auto"/>
          <w:sz w:val="28"/>
          <w:highlight w:val="none"/>
        </w:rPr>
      </w:pPr>
      <w:r>
        <w:rPr>
          <w:rFonts w:hint="eastAsia" w:ascii="宋体" w:hAnsi="宋体" w:cs="宋体"/>
          <w:b/>
          <w:color w:val="auto"/>
          <w:sz w:val="84"/>
          <w:highlight w:val="none"/>
        </w:rPr>
        <w:t>投 标 文 件</w:t>
      </w:r>
    </w:p>
    <w:p>
      <w:pPr>
        <w:pStyle w:val="13"/>
        <w:spacing w:line="264" w:lineRule="auto"/>
        <w:ind w:firstLine="0" w:firstLineChars="0"/>
        <w:jc w:val="center"/>
        <w:rPr>
          <w:rFonts w:ascii="宋体" w:hAnsi="宋体" w:cs="宋体"/>
          <w:color w:val="auto"/>
          <w:sz w:val="72"/>
          <w:highlight w:val="none"/>
        </w:rPr>
      </w:pPr>
      <w:r>
        <w:rPr>
          <w:rFonts w:hint="eastAsia" w:ascii="宋体" w:hAnsi="宋体" w:cs="宋体"/>
          <w:color w:val="auto"/>
          <w:sz w:val="72"/>
          <w:highlight w:val="none"/>
        </w:rPr>
        <w:t>（</w:t>
      </w:r>
      <w:r>
        <w:rPr>
          <w:rFonts w:hint="eastAsia" w:ascii="宋体" w:hAnsi="宋体" w:cs="宋体"/>
          <w:color w:val="auto"/>
          <w:sz w:val="72"/>
          <w:highlight w:val="none"/>
          <w:u w:val="single"/>
        </w:rPr>
        <w:t>资格证明文件</w:t>
      </w:r>
      <w:r>
        <w:rPr>
          <w:rFonts w:hint="eastAsia" w:ascii="宋体" w:hAnsi="宋体" w:cs="宋体"/>
          <w:color w:val="auto"/>
          <w:sz w:val="72"/>
          <w:highlight w:val="none"/>
        </w:rPr>
        <w:t>）</w:t>
      </w:r>
    </w:p>
    <w:p>
      <w:pPr>
        <w:pStyle w:val="13"/>
        <w:spacing w:line="264" w:lineRule="auto"/>
        <w:ind w:firstLine="0" w:firstLineChars="0"/>
        <w:jc w:val="center"/>
        <w:rPr>
          <w:rFonts w:ascii="宋体" w:hAnsi="宋体" w:cs="宋体"/>
          <w:color w:val="auto"/>
          <w:sz w:val="72"/>
          <w:highlight w:val="none"/>
        </w:rPr>
      </w:pPr>
    </w:p>
    <w:p>
      <w:pPr>
        <w:pStyle w:val="13"/>
        <w:spacing w:line="264" w:lineRule="auto"/>
        <w:ind w:firstLine="1440"/>
        <w:jc w:val="center"/>
        <w:rPr>
          <w:rFonts w:ascii="宋体" w:hAnsi="宋体" w:cs="宋体"/>
          <w:color w:val="auto"/>
          <w:sz w:val="72"/>
          <w:highlight w:val="none"/>
        </w:rPr>
      </w:pPr>
    </w:p>
    <w:p>
      <w:pPr>
        <w:pStyle w:val="13"/>
        <w:spacing w:before="240" w:after="240"/>
        <w:ind w:left="630" w:firstLine="600"/>
        <w:jc w:val="left"/>
        <w:rPr>
          <w:rFonts w:ascii="宋体" w:hAnsi="宋体" w:cs="宋体"/>
          <w:color w:val="auto"/>
          <w:sz w:val="30"/>
          <w:highlight w:val="none"/>
        </w:rPr>
      </w:pPr>
      <w:r>
        <w:rPr>
          <w:rFonts w:hint="eastAsia" w:ascii="宋体" w:hAnsi="宋体" w:cs="宋体"/>
          <w:color w:val="auto"/>
          <w:sz w:val="30"/>
          <w:highlight w:val="none"/>
        </w:rPr>
        <w:t>投   标   人:</w:t>
      </w:r>
      <w:r>
        <w:rPr>
          <w:rFonts w:hint="eastAsia" w:ascii="宋体" w:hAnsi="宋体" w:cs="宋体"/>
          <w:color w:val="auto"/>
          <w:sz w:val="30"/>
          <w:highlight w:val="none"/>
          <w:u w:val="single"/>
        </w:rPr>
        <w:t xml:space="preserve">          （盖投标人单位公章）           </w:t>
      </w:r>
    </w:p>
    <w:p>
      <w:pPr>
        <w:pStyle w:val="13"/>
        <w:spacing w:before="240" w:after="240"/>
        <w:ind w:left="630" w:firstLine="600"/>
        <w:rPr>
          <w:rFonts w:ascii="宋体" w:hAnsi="宋体" w:cs="宋体"/>
          <w:color w:val="auto"/>
          <w:sz w:val="30"/>
          <w:highlight w:val="none"/>
        </w:rPr>
      </w:pPr>
      <w:r>
        <w:rPr>
          <w:rFonts w:hint="eastAsia" w:ascii="宋体" w:hAnsi="宋体" w:cs="宋体"/>
          <w:color w:val="auto"/>
          <w:sz w:val="30"/>
          <w:highlight w:val="none"/>
        </w:rPr>
        <w:t>法定代表人或其委托代理人：</w:t>
      </w:r>
      <w:r>
        <w:rPr>
          <w:rFonts w:hint="eastAsia" w:ascii="宋体" w:hAnsi="宋体" w:cs="宋体"/>
          <w:color w:val="auto"/>
          <w:sz w:val="30"/>
          <w:highlight w:val="none"/>
          <w:u w:val="single"/>
        </w:rPr>
        <w:t xml:space="preserve">   （签字或盖章）</w:t>
      </w:r>
    </w:p>
    <w:p>
      <w:pPr>
        <w:pStyle w:val="13"/>
        <w:spacing w:before="240" w:after="240"/>
        <w:ind w:left="630" w:firstLine="600"/>
        <w:rPr>
          <w:rFonts w:ascii="宋体" w:hAnsi="宋体" w:cs="宋体"/>
          <w:color w:val="auto"/>
          <w:sz w:val="30"/>
          <w:highlight w:val="none"/>
        </w:rPr>
      </w:pPr>
      <w:r>
        <w:rPr>
          <w:rFonts w:hint="eastAsia" w:ascii="宋体" w:hAnsi="宋体" w:cs="宋体"/>
          <w:color w:val="auto"/>
          <w:sz w:val="30"/>
          <w:highlight w:val="none"/>
        </w:rPr>
        <w:t>日期：__________年_____月_____日</w:t>
      </w:r>
    </w:p>
    <w:p>
      <w:pPr>
        <w:pStyle w:val="13"/>
        <w:spacing w:before="240" w:after="240"/>
        <w:ind w:left="630" w:firstLine="600"/>
        <w:rPr>
          <w:rFonts w:ascii="宋体" w:hAnsi="宋体" w:cs="宋体"/>
          <w:color w:val="auto"/>
          <w:sz w:val="30"/>
          <w:highlight w:val="none"/>
        </w:rPr>
      </w:pPr>
    </w:p>
    <w:p>
      <w:pPr>
        <w:pStyle w:val="13"/>
        <w:spacing w:before="240" w:after="240"/>
        <w:ind w:left="630" w:firstLine="600"/>
        <w:rPr>
          <w:rFonts w:ascii="宋体" w:hAnsi="宋体" w:cs="宋体"/>
          <w:color w:val="auto"/>
          <w:sz w:val="30"/>
          <w:highlight w:val="none"/>
        </w:rPr>
      </w:pPr>
    </w:p>
    <w:p>
      <w:pPr>
        <w:pStyle w:val="13"/>
        <w:spacing w:before="240" w:after="240"/>
        <w:ind w:left="630" w:firstLine="600"/>
        <w:rPr>
          <w:rFonts w:ascii="宋体" w:hAnsi="宋体" w:cs="宋体"/>
          <w:color w:val="auto"/>
          <w:sz w:val="30"/>
          <w:highlight w:val="none"/>
        </w:rPr>
      </w:pP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说明：“部分”为资格证明文件、或商务资信及技术文件部分、或报价文件部分。</w:t>
      </w:r>
    </w:p>
    <w:p>
      <w:pPr>
        <w:pStyle w:val="5"/>
        <w:ind w:firstLine="482"/>
        <w:rPr>
          <w:rFonts w:ascii="宋体" w:hAnsi="宋体" w:cs="宋体"/>
          <w:color w:val="auto"/>
          <w:sz w:val="28"/>
          <w:szCs w:val="28"/>
          <w:highlight w:val="none"/>
        </w:rPr>
      </w:pPr>
      <w:r>
        <w:rPr>
          <w:rFonts w:hint="eastAsia" w:ascii="宋体" w:hAnsi="宋体" w:cs="宋体"/>
          <w:snapToGrid w:val="0"/>
          <w:color w:val="auto"/>
          <w:kern w:val="0"/>
          <w:highlight w:val="none"/>
        </w:rPr>
        <w:br w:type="page"/>
      </w:r>
      <w:bookmarkStart w:id="1115" w:name="_Toc5896"/>
      <w:bookmarkStart w:id="1116" w:name="_Toc506358631"/>
      <w:r>
        <w:rPr>
          <w:rFonts w:hint="eastAsia" w:ascii="宋体" w:hAnsi="宋体" w:cs="宋体"/>
          <w:color w:val="auto"/>
          <w:sz w:val="28"/>
          <w:szCs w:val="28"/>
          <w:highlight w:val="none"/>
        </w:rPr>
        <w:t>资格审查资料目录</w:t>
      </w:r>
      <w:bookmarkEnd w:id="1115"/>
    </w:p>
    <w:p>
      <w:pPr>
        <w:spacing w:line="33" w:lineRule="exact"/>
        <w:ind w:firstLine="400"/>
        <w:rPr>
          <w:rFonts w:cs="宋体"/>
          <w:color w:val="auto"/>
          <w:sz w:val="20"/>
          <w:szCs w:val="20"/>
          <w:highlight w:val="none"/>
        </w:rPr>
      </w:pPr>
    </w:p>
    <w:p>
      <w:pPr>
        <w:spacing w:line="258" w:lineRule="exact"/>
        <w:ind w:firstLine="400"/>
        <w:rPr>
          <w:rFonts w:cs="宋体"/>
          <w:color w:val="auto"/>
          <w:sz w:val="20"/>
          <w:szCs w:val="20"/>
          <w:highlight w:val="none"/>
        </w:rPr>
      </w:pPr>
    </w:p>
    <w:p>
      <w:pPr>
        <w:widowControl/>
        <w:rPr>
          <w:rFonts w:cs="宋体"/>
          <w:b/>
          <w:bCs/>
          <w:color w:val="auto"/>
          <w:sz w:val="20"/>
          <w:szCs w:val="20"/>
          <w:highlight w:val="none"/>
        </w:rPr>
      </w:pPr>
      <w:r>
        <w:rPr>
          <w:rFonts w:hint="eastAsia" w:cs="宋体"/>
          <w:b/>
          <w:bCs/>
          <w:color w:val="auto"/>
          <w:szCs w:val="21"/>
          <w:highlight w:val="none"/>
        </w:rPr>
        <w:t>（一）资格审查须知</w:t>
      </w:r>
    </w:p>
    <w:p>
      <w:pPr>
        <w:bidi w:val="0"/>
        <w:rPr>
          <w:color w:val="auto"/>
          <w:highlight w:val="none"/>
        </w:rPr>
      </w:pPr>
      <w:r>
        <w:rPr>
          <w:rFonts w:hint="eastAsia"/>
          <w:color w:val="auto"/>
          <w:highlight w:val="none"/>
        </w:rPr>
        <w:t>1、供应商必须认真填写招标文件规定的所有表格，并对其真实性负责，招标人</w:t>
      </w:r>
    </w:p>
    <w:p>
      <w:pPr>
        <w:bidi w:val="0"/>
        <w:rPr>
          <w:color w:val="auto"/>
          <w:highlight w:val="none"/>
        </w:rPr>
      </w:pPr>
      <w:r>
        <w:rPr>
          <w:rFonts w:hint="eastAsia"/>
          <w:color w:val="auto"/>
          <w:highlight w:val="none"/>
        </w:rPr>
        <w:t>有权对其进行调查核实和要求澄清。</w:t>
      </w:r>
    </w:p>
    <w:p>
      <w:pPr>
        <w:bidi w:val="0"/>
        <w:rPr>
          <w:color w:val="auto"/>
          <w:highlight w:val="none"/>
        </w:rPr>
      </w:pPr>
      <w:r>
        <w:rPr>
          <w:rFonts w:hint="eastAsia"/>
          <w:color w:val="auto"/>
          <w:highlight w:val="none"/>
        </w:rPr>
        <w:t>2、资格审查按通过和不通过两种方式进行评定，供应商的资格等方面的要求作为资格</w:t>
      </w:r>
    </w:p>
    <w:p>
      <w:pPr>
        <w:bidi w:val="0"/>
        <w:rPr>
          <w:color w:val="auto"/>
          <w:highlight w:val="none"/>
        </w:rPr>
      </w:pPr>
      <w:r>
        <w:rPr>
          <w:rFonts w:hint="eastAsia"/>
          <w:color w:val="auto"/>
          <w:highlight w:val="none"/>
        </w:rPr>
        <w:t>审查通过的强制性资格条件，经核实有一项不符合要求，则供应商的资格为不通过，不通过的供应商对其投标文件不进行后续评审。</w:t>
      </w:r>
    </w:p>
    <w:p>
      <w:pPr>
        <w:widowControl/>
        <w:rPr>
          <w:rFonts w:cs="宋体"/>
          <w:b/>
          <w:bCs/>
          <w:color w:val="auto"/>
          <w:sz w:val="20"/>
          <w:szCs w:val="20"/>
          <w:highlight w:val="none"/>
        </w:rPr>
      </w:pPr>
      <w:r>
        <w:rPr>
          <w:rFonts w:hint="eastAsia" w:cs="宋体"/>
          <w:b/>
          <w:bCs/>
          <w:color w:val="auto"/>
          <w:szCs w:val="21"/>
          <w:highlight w:val="none"/>
        </w:rPr>
        <w:t>（二）资格审查资料格式</w:t>
      </w:r>
    </w:p>
    <w:p>
      <w:pPr>
        <w:widowControl/>
        <w:ind w:left="360" w:firstLine="420"/>
        <w:rPr>
          <w:rFonts w:cs="宋体"/>
          <w:color w:val="auto"/>
          <w:szCs w:val="21"/>
          <w:highlight w:val="none"/>
        </w:rPr>
      </w:pPr>
      <w:bookmarkStart w:id="1117" w:name="_Toc20710"/>
      <w:r>
        <w:rPr>
          <w:rFonts w:hint="eastAsia" w:cs="宋体"/>
          <w:color w:val="auto"/>
          <w:szCs w:val="21"/>
          <w:highlight w:val="none"/>
        </w:rPr>
        <w:t>附件一 强制性资格条件</w:t>
      </w:r>
      <w:bookmarkEnd w:id="1117"/>
    </w:p>
    <w:p>
      <w:pPr>
        <w:widowControl/>
        <w:ind w:left="360" w:firstLine="420"/>
        <w:rPr>
          <w:rFonts w:cs="宋体"/>
          <w:color w:val="auto"/>
          <w:szCs w:val="21"/>
          <w:highlight w:val="none"/>
        </w:rPr>
      </w:pPr>
      <w:bookmarkStart w:id="1118" w:name="_Toc16393"/>
      <w:r>
        <w:rPr>
          <w:rFonts w:hint="eastAsia" w:cs="宋体"/>
          <w:color w:val="auto"/>
          <w:szCs w:val="21"/>
          <w:highlight w:val="none"/>
        </w:rPr>
        <w:t>附件二 基本资格条件审查资料</w:t>
      </w:r>
      <w:bookmarkEnd w:id="1118"/>
    </w:p>
    <w:p>
      <w:pPr>
        <w:bidi w:val="0"/>
        <w:rPr>
          <w:color w:val="auto"/>
          <w:highlight w:val="none"/>
        </w:rPr>
      </w:pPr>
    </w:p>
    <w:p>
      <w:pPr>
        <w:bidi w:val="0"/>
        <w:rPr>
          <w:color w:val="auto"/>
          <w:highlight w:val="none"/>
        </w:rPr>
      </w:pPr>
    </w:p>
    <w:p>
      <w:pPr>
        <w:bidi w:val="0"/>
        <w:rPr>
          <w:color w:val="auto"/>
          <w:highlight w:val="none"/>
        </w:rPr>
      </w:pPr>
    </w:p>
    <w:p>
      <w:pPr>
        <w:bidi w:val="0"/>
        <w:rPr>
          <w:color w:val="auto"/>
          <w:highlight w:val="none"/>
        </w:rPr>
      </w:pPr>
    </w:p>
    <w:p>
      <w:pPr>
        <w:bidi w:val="0"/>
        <w:rPr>
          <w:color w:val="auto"/>
          <w:highlight w:val="none"/>
        </w:rPr>
      </w:pPr>
    </w:p>
    <w:p>
      <w:pPr>
        <w:bidi w:val="0"/>
        <w:rPr>
          <w:color w:val="auto"/>
          <w:highlight w:val="none"/>
        </w:rPr>
      </w:pPr>
    </w:p>
    <w:p>
      <w:pPr>
        <w:bidi w:val="0"/>
        <w:rPr>
          <w:color w:val="auto"/>
          <w:highlight w:val="none"/>
        </w:rPr>
      </w:pPr>
    </w:p>
    <w:p>
      <w:pPr>
        <w:bidi w:val="0"/>
        <w:rPr>
          <w:color w:val="auto"/>
          <w:highlight w:val="none"/>
        </w:rPr>
      </w:pPr>
    </w:p>
    <w:p>
      <w:pPr>
        <w:bidi w:val="0"/>
        <w:rPr>
          <w:color w:val="auto"/>
          <w:highlight w:val="none"/>
        </w:rPr>
        <w:sectPr>
          <w:pgSz w:w="11900" w:h="16838"/>
          <w:pgMar w:top="1440" w:right="1440" w:bottom="158" w:left="1440" w:header="567" w:footer="567" w:gutter="0"/>
          <w:cols w:space="720" w:num="1"/>
        </w:sectPr>
      </w:pPr>
    </w:p>
    <w:p>
      <w:pPr>
        <w:pStyle w:val="6"/>
        <w:ind w:firstLine="482"/>
        <w:rPr>
          <w:rFonts w:cs="宋体"/>
          <w:color w:val="auto"/>
          <w:highlight w:val="none"/>
        </w:rPr>
      </w:pPr>
      <w:bookmarkStart w:id="1119" w:name="page79"/>
      <w:bookmarkEnd w:id="1119"/>
      <w:bookmarkStart w:id="1120" w:name="_Toc28631"/>
      <w:r>
        <w:rPr>
          <w:rFonts w:hint="eastAsia" w:cs="宋体"/>
          <w:color w:val="auto"/>
          <w:highlight w:val="none"/>
        </w:rPr>
        <w:t>附件一：强制性资格条件</w:t>
      </w:r>
      <w:bookmarkEnd w:id="1120"/>
    </w:p>
    <w:p>
      <w:pPr>
        <w:spacing w:line="149" w:lineRule="exact"/>
        <w:ind w:firstLine="400"/>
        <w:rPr>
          <w:rFonts w:cs="宋体"/>
          <w:color w:val="auto"/>
          <w:sz w:val="20"/>
          <w:szCs w:val="20"/>
          <w:highlight w:val="none"/>
        </w:rPr>
      </w:pPr>
    </w:p>
    <w:tbl>
      <w:tblPr>
        <w:tblStyle w:val="21"/>
        <w:tblW w:w="10280" w:type="dxa"/>
        <w:tblInd w:w="0" w:type="dxa"/>
        <w:tblLayout w:type="fixed"/>
        <w:tblCellMar>
          <w:top w:w="0" w:type="dxa"/>
          <w:left w:w="0" w:type="dxa"/>
          <w:bottom w:w="0" w:type="dxa"/>
          <w:right w:w="0" w:type="dxa"/>
        </w:tblCellMar>
      </w:tblPr>
      <w:tblGrid>
        <w:gridCol w:w="650"/>
        <w:gridCol w:w="4689"/>
        <w:gridCol w:w="2209"/>
        <w:gridCol w:w="2372"/>
        <w:gridCol w:w="360"/>
      </w:tblGrid>
      <w:tr>
        <w:tblPrEx>
          <w:tblCellMar>
            <w:top w:w="0" w:type="dxa"/>
            <w:left w:w="0" w:type="dxa"/>
            <w:bottom w:w="0" w:type="dxa"/>
            <w:right w:w="0" w:type="dxa"/>
          </w:tblCellMar>
        </w:tblPrEx>
        <w:trPr>
          <w:trHeight w:val="249" w:hRule="atLeast"/>
        </w:trPr>
        <w:tc>
          <w:tcPr>
            <w:tcW w:w="650"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r>
              <w:rPr>
                <w:rFonts w:hint="eastAsia" w:cs="宋体"/>
                <w:color w:val="auto"/>
                <w:w w:val="99"/>
                <w:szCs w:val="21"/>
                <w:highlight w:val="none"/>
              </w:rPr>
              <w:t>序号</w:t>
            </w:r>
          </w:p>
        </w:tc>
        <w:tc>
          <w:tcPr>
            <w:tcW w:w="4689"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r>
              <w:rPr>
                <w:rFonts w:hint="eastAsia" w:cs="宋体"/>
                <w:color w:val="auto"/>
                <w:szCs w:val="21"/>
                <w:highlight w:val="none"/>
              </w:rPr>
              <w:t>强制性资格条件</w:t>
            </w:r>
          </w:p>
        </w:tc>
        <w:tc>
          <w:tcPr>
            <w:tcW w:w="2209"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r>
              <w:rPr>
                <w:rFonts w:hint="eastAsia" w:cs="宋体"/>
                <w:color w:val="auto"/>
                <w:szCs w:val="21"/>
                <w:highlight w:val="none"/>
              </w:rPr>
              <w:t>供应商对能达到程度的简述（供应商填写）</w:t>
            </w:r>
          </w:p>
        </w:tc>
        <w:tc>
          <w:tcPr>
            <w:tcW w:w="2372"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r>
              <w:rPr>
                <w:rFonts w:hint="eastAsia" w:cs="宋体"/>
                <w:color w:val="auto"/>
                <w:szCs w:val="21"/>
                <w:highlight w:val="none"/>
              </w:rPr>
              <w:t>证明资料附后（复印件加盖公章）</w:t>
            </w:r>
          </w:p>
        </w:tc>
        <w:tc>
          <w:tcPr>
            <w:tcW w:w="360" w:type="dxa"/>
            <w:tcBorders>
              <w:left w:val="single" w:color="auto" w:sz="4" w:space="0"/>
            </w:tcBorders>
            <w:vAlign w:val="center"/>
          </w:tcPr>
          <w:p>
            <w:pPr>
              <w:widowControl/>
              <w:ind w:firstLine="0" w:firstLineChars="0"/>
              <w:jc w:val="center"/>
              <w:rPr>
                <w:rFonts w:cs="宋体"/>
                <w:color w:val="auto"/>
                <w:szCs w:val="21"/>
                <w:highlight w:val="none"/>
              </w:rPr>
            </w:pPr>
          </w:p>
        </w:tc>
      </w:tr>
      <w:tr>
        <w:tblPrEx>
          <w:tblCellMar>
            <w:top w:w="0" w:type="dxa"/>
            <w:left w:w="0" w:type="dxa"/>
            <w:bottom w:w="0" w:type="dxa"/>
            <w:right w:w="0" w:type="dxa"/>
          </w:tblCellMar>
        </w:tblPrEx>
        <w:trPr>
          <w:trHeight w:val="294" w:hRule="atLeast"/>
        </w:trPr>
        <w:tc>
          <w:tcPr>
            <w:tcW w:w="650"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r>
              <w:rPr>
                <w:rFonts w:hint="eastAsia" w:cs="宋体"/>
                <w:b/>
                <w:bCs/>
                <w:color w:val="auto"/>
                <w:szCs w:val="21"/>
                <w:highlight w:val="none"/>
              </w:rPr>
              <w:t>一</w:t>
            </w:r>
          </w:p>
        </w:tc>
        <w:tc>
          <w:tcPr>
            <w:tcW w:w="4689"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r>
              <w:rPr>
                <w:rFonts w:hint="eastAsia" w:cs="宋体"/>
                <w:b/>
                <w:bCs/>
                <w:color w:val="auto"/>
                <w:szCs w:val="21"/>
                <w:highlight w:val="none"/>
              </w:rPr>
              <w:t>企业资质要求</w:t>
            </w:r>
          </w:p>
        </w:tc>
        <w:tc>
          <w:tcPr>
            <w:tcW w:w="2209"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p>
        </w:tc>
        <w:tc>
          <w:tcPr>
            <w:tcW w:w="2372"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p>
        </w:tc>
        <w:tc>
          <w:tcPr>
            <w:tcW w:w="360" w:type="dxa"/>
            <w:tcBorders>
              <w:left w:val="single" w:color="auto" w:sz="4" w:space="0"/>
            </w:tcBorders>
            <w:vAlign w:val="center"/>
          </w:tcPr>
          <w:p>
            <w:pPr>
              <w:widowControl/>
              <w:ind w:firstLine="0" w:firstLineChars="0"/>
              <w:jc w:val="center"/>
              <w:rPr>
                <w:rFonts w:cs="宋体"/>
                <w:color w:val="auto"/>
                <w:szCs w:val="21"/>
                <w:highlight w:val="none"/>
              </w:rPr>
            </w:pPr>
          </w:p>
        </w:tc>
      </w:tr>
      <w:tr>
        <w:tblPrEx>
          <w:tblCellMar>
            <w:top w:w="0" w:type="dxa"/>
            <w:left w:w="0" w:type="dxa"/>
            <w:bottom w:w="0" w:type="dxa"/>
            <w:right w:w="0" w:type="dxa"/>
          </w:tblCellMar>
        </w:tblPrEx>
        <w:trPr>
          <w:trHeight w:val="229" w:hRule="atLeast"/>
        </w:trPr>
        <w:tc>
          <w:tcPr>
            <w:tcW w:w="650"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hint="eastAsia" w:eastAsia="宋体" w:cs="宋体"/>
                <w:color w:val="auto"/>
                <w:szCs w:val="21"/>
                <w:highlight w:val="none"/>
                <w:lang w:val="en-US" w:eastAsia="zh-CN"/>
              </w:rPr>
            </w:pPr>
            <w:r>
              <w:rPr>
                <w:rFonts w:hint="eastAsia" w:cs="宋体"/>
                <w:color w:val="auto"/>
                <w:szCs w:val="21"/>
                <w:highlight w:val="none"/>
                <w:lang w:val="en-US" w:eastAsia="zh-CN"/>
              </w:rPr>
              <w:t>1</w:t>
            </w:r>
          </w:p>
        </w:tc>
        <w:tc>
          <w:tcPr>
            <w:tcW w:w="4689" w:type="dxa"/>
            <w:tcBorders>
              <w:top w:val="single" w:color="auto" w:sz="4" w:space="0"/>
              <w:left w:val="single" w:color="auto" w:sz="4" w:space="0"/>
              <w:bottom w:val="single" w:color="auto" w:sz="4" w:space="0"/>
              <w:right w:val="single" w:color="auto" w:sz="4" w:space="0"/>
            </w:tcBorders>
            <w:vAlign w:val="center"/>
          </w:tcPr>
          <w:p>
            <w:pPr>
              <w:pStyle w:val="19"/>
              <w:spacing w:beforeAutospacing="0" w:afterAutospacing="0"/>
              <w:ind w:firstLine="0" w:firstLineChars="0"/>
              <w:textAlignment w:val="baseline"/>
              <w:rPr>
                <w:rFonts w:ascii="宋体" w:hAnsi="宋体" w:cs="宋体"/>
                <w:color w:val="auto"/>
                <w:szCs w:val="21"/>
                <w:highlight w:val="none"/>
              </w:rPr>
            </w:pPr>
            <w:r>
              <w:rPr>
                <w:rFonts w:hint="eastAsia" w:ascii="宋体" w:hAnsi="宋体" w:cs="宋体"/>
                <w:color w:val="auto"/>
                <w:sz w:val="21"/>
                <w:szCs w:val="21"/>
                <w:highlight w:val="none"/>
                <w:shd w:val="clear" w:color="auto" w:fill="FFFFFF"/>
              </w:rPr>
              <w:t>具有建设主管部门颁发的房屋建筑工程施工总承包三级及以上资质；</w:t>
            </w:r>
          </w:p>
        </w:tc>
        <w:tc>
          <w:tcPr>
            <w:tcW w:w="2209"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p>
        </w:tc>
        <w:tc>
          <w:tcPr>
            <w:tcW w:w="2372" w:type="dxa"/>
            <w:tcBorders>
              <w:top w:val="single" w:color="auto" w:sz="4" w:space="0"/>
              <w:left w:val="single" w:color="auto" w:sz="4" w:space="0"/>
              <w:bottom w:val="single" w:color="auto" w:sz="4" w:space="0"/>
              <w:right w:val="single" w:color="auto" w:sz="4" w:space="0"/>
            </w:tcBorders>
            <w:vAlign w:val="center"/>
          </w:tcPr>
          <w:p>
            <w:pPr>
              <w:widowControl/>
              <w:ind w:left="100" w:firstLine="0" w:firstLineChars="0"/>
              <w:jc w:val="center"/>
              <w:rPr>
                <w:rFonts w:cs="宋体"/>
                <w:color w:val="auto"/>
                <w:szCs w:val="21"/>
                <w:highlight w:val="none"/>
              </w:rPr>
            </w:pPr>
          </w:p>
        </w:tc>
        <w:tc>
          <w:tcPr>
            <w:tcW w:w="360" w:type="dxa"/>
            <w:tcBorders>
              <w:left w:val="single" w:color="auto" w:sz="4" w:space="0"/>
            </w:tcBorders>
            <w:vAlign w:val="center"/>
          </w:tcPr>
          <w:p>
            <w:pPr>
              <w:widowControl/>
              <w:ind w:firstLine="0" w:firstLineChars="0"/>
              <w:jc w:val="center"/>
              <w:rPr>
                <w:rFonts w:cs="宋体"/>
                <w:color w:val="auto"/>
                <w:szCs w:val="21"/>
                <w:highlight w:val="none"/>
              </w:rPr>
            </w:pPr>
          </w:p>
        </w:tc>
      </w:tr>
      <w:tr>
        <w:tblPrEx>
          <w:tblCellMar>
            <w:top w:w="0" w:type="dxa"/>
            <w:left w:w="0" w:type="dxa"/>
            <w:bottom w:w="0" w:type="dxa"/>
            <w:right w:w="0" w:type="dxa"/>
          </w:tblCellMar>
        </w:tblPrEx>
        <w:trPr>
          <w:trHeight w:val="305" w:hRule="atLeast"/>
        </w:trPr>
        <w:tc>
          <w:tcPr>
            <w:tcW w:w="650"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hint="eastAsia" w:eastAsia="宋体" w:cs="宋体"/>
                <w:color w:val="auto"/>
                <w:szCs w:val="21"/>
                <w:highlight w:val="none"/>
                <w:lang w:val="en-US" w:eastAsia="zh-CN"/>
              </w:rPr>
            </w:pPr>
            <w:r>
              <w:rPr>
                <w:rFonts w:hint="eastAsia" w:cs="宋体"/>
                <w:color w:val="auto"/>
                <w:szCs w:val="21"/>
                <w:highlight w:val="none"/>
                <w:lang w:val="en-US" w:eastAsia="zh-CN"/>
              </w:rPr>
              <w:t>2</w:t>
            </w:r>
          </w:p>
        </w:tc>
        <w:tc>
          <w:tcPr>
            <w:tcW w:w="4689" w:type="dxa"/>
            <w:tcBorders>
              <w:top w:val="single" w:color="auto" w:sz="4" w:space="0"/>
              <w:left w:val="single" w:color="auto" w:sz="4" w:space="0"/>
              <w:bottom w:val="single" w:color="auto" w:sz="4" w:space="0"/>
              <w:right w:val="single" w:color="auto" w:sz="4" w:space="0"/>
            </w:tcBorders>
            <w:vAlign w:val="center"/>
          </w:tcPr>
          <w:p>
            <w:pPr>
              <w:pStyle w:val="19"/>
              <w:spacing w:beforeAutospacing="0" w:afterAutospacing="0"/>
              <w:ind w:firstLine="0" w:firstLineChars="0"/>
              <w:textAlignment w:val="baseline"/>
              <w:rPr>
                <w:rFonts w:ascii="宋体" w:hAnsi="宋体" w:cs="宋体"/>
                <w:color w:val="auto"/>
                <w:szCs w:val="21"/>
                <w:highlight w:val="none"/>
              </w:rPr>
            </w:pPr>
            <w:r>
              <w:rPr>
                <w:rFonts w:hint="eastAsia" w:ascii="宋体" w:hAnsi="宋体" w:cs="宋体"/>
                <w:color w:val="auto"/>
                <w:sz w:val="21"/>
                <w:szCs w:val="21"/>
                <w:highlight w:val="none"/>
                <w:shd w:val="clear" w:color="auto" w:fill="FFFFFF"/>
              </w:rPr>
              <w:t>企业具有安全生产许可证，且在有效期内；</w:t>
            </w:r>
          </w:p>
        </w:tc>
        <w:tc>
          <w:tcPr>
            <w:tcW w:w="2209"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p>
        </w:tc>
        <w:tc>
          <w:tcPr>
            <w:tcW w:w="2372"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p>
        </w:tc>
        <w:tc>
          <w:tcPr>
            <w:tcW w:w="360" w:type="dxa"/>
            <w:tcBorders>
              <w:left w:val="single" w:color="auto" w:sz="4" w:space="0"/>
            </w:tcBorders>
            <w:vAlign w:val="center"/>
          </w:tcPr>
          <w:p>
            <w:pPr>
              <w:widowControl/>
              <w:ind w:firstLine="0" w:firstLineChars="0"/>
              <w:jc w:val="center"/>
              <w:rPr>
                <w:rFonts w:cs="宋体"/>
                <w:color w:val="auto"/>
                <w:szCs w:val="21"/>
                <w:highlight w:val="none"/>
              </w:rPr>
            </w:pPr>
          </w:p>
        </w:tc>
      </w:tr>
      <w:tr>
        <w:tblPrEx>
          <w:tblCellMar>
            <w:top w:w="0" w:type="dxa"/>
            <w:left w:w="0" w:type="dxa"/>
            <w:bottom w:w="0" w:type="dxa"/>
            <w:right w:w="0" w:type="dxa"/>
          </w:tblCellMar>
        </w:tblPrEx>
        <w:trPr>
          <w:trHeight w:val="86" w:hRule="atLeast"/>
        </w:trPr>
        <w:tc>
          <w:tcPr>
            <w:tcW w:w="65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ind w:firstLine="0" w:firstLineChars="0"/>
              <w:jc w:val="center"/>
              <w:rPr>
                <w:rFonts w:hint="eastAsia" w:eastAsia="宋体" w:cs="宋体"/>
                <w:color w:val="auto"/>
                <w:szCs w:val="21"/>
                <w:highlight w:val="none"/>
                <w:lang w:val="en-US" w:eastAsia="zh-CN"/>
              </w:rPr>
            </w:pPr>
            <w:r>
              <w:rPr>
                <w:rFonts w:hint="eastAsia" w:cs="宋体"/>
                <w:color w:val="auto"/>
                <w:szCs w:val="21"/>
                <w:highlight w:val="none"/>
                <w:lang w:val="en-US" w:eastAsia="zh-CN"/>
              </w:rPr>
              <w:t>3</w:t>
            </w:r>
          </w:p>
        </w:tc>
        <w:tc>
          <w:tcPr>
            <w:tcW w:w="4689"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ind w:firstLine="0" w:firstLineChars="0"/>
              <w:jc w:val="left"/>
              <w:rPr>
                <w:rFonts w:cs="宋体"/>
                <w:color w:val="auto"/>
                <w:szCs w:val="21"/>
                <w:highlight w:val="none"/>
              </w:rPr>
            </w:pPr>
            <w:r>
              <w:rPr>
                <w:rFonts w:hint="eastAsia" w:cs="宋体"/>
                <w:color w:val="auto"/>
                <w:szCs w:val="21"/>
                <w:highlight w:val="none"/>
                <w:shd w:val="clear" w:color="auto" w:fill="FFFFFF"/>
              </w:rPr>
              <w:t>拟派项目经理具有建筑工程专业二级及以上建造师注册证书。</w:t>
            </w:r>
          </w:p>
        </w:tc>
        <w:tc>
          <w:tcPr>
            <w:tcW w:w="2209"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p>
        </w:tc>
        <w:tc>
          <w:tcPr>
            <w:tcW w:w="2372"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p>
        </w:tc>
        <w:tc>
          <w:tcPr>
            <w:tcW w:w="360" w:type="dxa"/>
            <w:tcBorders>
              <w:left w:val="single" w:color="auto" w:sz="4" w:space="0"/>
            </w:tcBorders>
            <w:vAlign w:val="center"/>
          </w:tcPr>
          <w:p>
            <w:pPr>
              <w:widowControl/>
              <w:ind w:firstLine="0" w:firstLineChars="0"/>
              <w:jc w:val="center"/>
              <w:rPr>
                <w:rFonts w:cs="宋体"/>
                <w:color w:val="auto"/>
                <w:szCs w:val="21"/>
                <w:highlight w:val="none"/>
              </w:rPr>
            </w:pPr>
          </w:p>
        </w:tc>
      </w:tr>
      <w:tr>
        <w:tblPrEx>
          <w:tblCellMar>
            <w:top w:w="0" w:type="dxa"/>
            <w:left w:w="0" w:type="dxa"/>
            <w:bottom w:w="0" w:type="dxa"/>
            <w:right w:w="0" w:type="dxa"/>
          </w:tblCellMar>
        </w:tblPrEx>
        <w:trPr>
          <w:trHeight w:val="772" w:hRule="atLeast"/>
        </w:trPr>
        <w:tc>
          <w:tcPr>
            <w:tcW w:w="650"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r>
              <w:rPr>
                <w:rFonts w:hint="eastAsia" w:cs="宋体"/>
                <w:color w:val="auto"/>
                <w:szCs w:val="21"/>
                <w:highlight w:val="none"/>
              </w:rPr>
              <w:t>4</w:t>
            </w:r>
          </w:p>
        </w:tc>
        <w:tc>
          <w:tcPr>
            <w:tcW w:w="4689" w:type="dxa"/>
            <w:tcBorders>
              <w:top w:val="single" w:color="auto" w:sz="4" w:space="0"/>
              <w:left w:val="single" w:color="auto" w:sz="4" w:space="0"/>
              <w:bottom w:val="single" w:color="auto" w:sz="4" w:space="0"/>
              <w:right w:val="single" w:color="auto" w:sz="4" w:space="0"/>
            </w:tcBorders>
            <w:vAlign w:val="center"/>
          </w:tcPr>
          <w:p>
            <w:pPr>
              <w:widowControl/>
              <w:ind w:left="100" w:firstLine="0" w:firstLineChars="0"/>
              <w:jc w:val="center"/>
              <w:rPr>
                <w:rFonts w:cs="宋体"/>
                <w:color w:val="auto"/>
                <w:szCs w:val="21"/>
                <w:highlight w:val="none"/>
              </w:rPr>
            </w:pPr>
            <w:r>
              <w:rPr>
                <w:rFonts w:hint="eastAsia" w:cs="宋体"/>
                <w:color w:val="auto"/>
                <w:szCs w:val="21"/>
                <w:highlight w:val="none"/>
              </w:rPr>
              <w:t>符合《中华人民共和国政府采购法》第二十二条的规定；</w:t>
            </w:r>
          </w:p>
        </w:tc>
        <w:tc>
          <w:tcPr>
            <w:tcW w:w="2209"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p>
        </w:tc>
        <w:tc>
          <w:tcPr>
            <w:tcW w:w="2372"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r>
              <w:rPr>
                <w:rFonts w:hint="eastAsia" w:cs="宋体"/>
                <w:color w:val="auto"/>
                <w:szCs w:val="21"/>
                <w:highlight w:val="none"/>
              </w:rPr>
              <w:t>见附件二</w:t>
            </w:r>
          </w:p>
        </w:tc>
        <w:tc>
          <w:tcPr>
            <w:tcW w:w="360" w:type="dxa"/>
            <w:tcBorders>
              <w:left w:val="single" w:color="auto" w:sz="4" w:space="0"/>
            </w:tcBorders>
            <w:vAlign w:val="center"/>
          </w:tcPr>
          <w:p>
            <w:pPr>
              <w:widowControl/>
              <w:ind w:firstLine="0" w:firstLineChars="0"/>
              <w:jc w:val="center"/>
              <w:rPr>
                <w:color w:val="auto"/>
                <w:highlight w:val="none"/>
              </w:rPr>
            </w:pPr>
          </w:p>
          <w:p>
            <w:pPr>
              <w:pStyle w:val="2"/>
              <w:rPr>
                <w:color w:val="auto"/>
                <w:highlight w:val="none"/>
              </w:rPr>
            </w:pPr>
          </w:p>
          <w:p>
            <w:pPr>
              <w:pStyle w:val="29"/>
              <w:rPr>
                <w:color w:val="auto"/>
                <w:highlight w:val="none"/>
              </w:rPr>
            </w:pPr>
          </w:p>
        </w:tc>
      </w:tr>
      <w:tr>
        <w:tblPrEx>
          <w:tblCellMar>
            <w:top w:w="0" w:type="dxa"/>
            <w:left w:w="0" w:type="dxa"/>
            <w:bottom w:w="0" w:type="dxa"/>
            <w:right w:w="0" w:type="dxa"/>
          </w:tblCellMar>
        </w:tblPrEx>
        <w:trPr>
          <w:trHeight w:val="231" w:hRule="atLeast"/>
        </w:trPr>
        <w:tc>
          <w:tcPr>
            <w:tcW w:w="650"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r>
              <w:rPr>
                <w:rFonts w:hint="eastAsia" w:cs="宋体"/>
                <w:color w:val="auto"/>
                <w:szCs w:val="21"/>
                <w:highlight w:val="none"/>
              </w:rPr>
              <w:t>5</w:t>
            </w:r>
          </w:p>
        </w:tc>
        <w:tc>
          <w:tcPr>
            <w:tcW w:w="4689"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r>
              <w:rPr>
                <w:rFonts w:hint="eastAsia" w:cs="宋体"/>
                <w:color w:val="auto"/>
                <w:szCs w:val="21"/>
                <w:highlight w:val="none"/>
              </w:rPr>
              <w:t>参加采购活动前三年内，在经营活动中没有重大违法记录</w:t>
            </w:r>
          </w:p>
        </w:tc>
        <w:tc>
          <w:tcPr>
            <w:tcW w:w="2209"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p>
        </w:tc>
        <w:tc>
          <w:tcPr>
            <w:tcW w:w="2372"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r>
              <w:rPr>
                <w:rFonts w:hint="eastAsia" w:cs="宋体"/>
                <w:color w:val="auto"/>
                <w:szCs w:val="21"/>
                <w:highlight w:val="none"/>
              </w:rPr>
              <w:t>内容见承诺书</w:t>
            </w:r>
          </w:p>
        </w:tc>
        <w:tc>
          <w:tcPr>
            <w:tcW w:w="360" w:type="dxa"/>
            <w:tcBorders>
              <w:left w:val="single" w:color="auto" w:sz="4" w:space="0"/>
            </w:tcBorders>
            <w:vAlign w:val="center"/>
          </w:tcPr>
          <w:p>
            <w:pPr>
              <w:widowControl/>
              <w:ind w:firstLine="0" w:firstLineChars="0"/>
              <w:jc w:val="center"/>
              <w:rPr>
                <w:rFonts w:cs="宋体"/>
                <w:color w:val="auto"/>
                <w:highlight w:val="none"/>
              </w:rPr>
            </w:pPr>
          </w:p>
          <w:p>
            <w:pPr>
              <w:pStyle w:val="2"/>
              <w:rPr>
                <w:rFonts w:ascii="宋体" w:hAnsi="宋体" w:eastAsia="宋体" w:cs="宋体"/>
                <w:color w:val="auto"/>
                <w:highlight w:val="none"/>
              </w:rPr>
            </w:pPr>
          </w:p>
          <w:p>
            <w:pPr>
              <w:pStyle w:val="3"/>
              <w:rPr>
                <w:rFonts w:ascii="宋体" w:hAnsi="宋体" w:eastAsia="宋体" w:cs="宋体"/>
                <w:color w:val="auto"/>
                <w:highlight w:val="none"/>
              </w:rPr>
            </w:pPr>
          </w:p>
        </w:tc>
      </w:tr>
      <w:tr>
        <w:tblPrEx>
          <w:tblCellMar>
            <w:top w:w="0" w:type="dxa"/>
            <w:left w:w="0" w:type="dxa"/>
            <w:bottom w:w="0" w:type="dxa"/>
            <w:right w:w="0" w:type="dxa"/>
          </w:tblCellMar>
        </w:tblPrEx>
        <w:trPr>
          <w:trHeight w:val="231" w:hRule="atLeast"/>
        </w:trPr>
        <w:tc>
          <w:tcPr>
            <w:tcW w:w="650"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r>
              <w:rPr>
                <w:rFonts w:hint="eastAsia" w:cs="宋体"/>
                <w:color w:val="auto"/>
                <w:szCs w:val="21"/>
                <w:highlight w:val="none"/>
              </w:rPr>
              <w:t>6</w:t>
            </w:r>
          </w:p>
        </w:tc>
        <w:tc>
          <w:tcPr>
            <w:tcW w:w="4689"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r>
              <w:rPr>
                <w:rFonts w:hint="eastAsia" w:cs="宋体"/>
                <w:color w:val="auto"/>
                <w:highlight w:val="none"/>
              </w:rPr>
              <w:t>投标保证金缴纳记录</w:t>
            </w:r>
          </w:p>
        </w:tc>
        <w:tc>
          <w:tcPr>
            <w:tcW w:w="2209"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rPr>
                <w:rFonts w:cs="宋体"/>
                <w:color w:val="auto"/>
                <w:szCs w:val="21"/>
                <w:highlight w:val="none"/>
              </w:rPr>
            </w:pPr>
          </w:p>
        </w:tc>
        <w:tc>
          <w:tcPr>
            <w:tcW w:w="2372"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r>
              <w:rPr>
                <w:rFonts w:hint="eastAsia" w:cs="宋体"/>
                <w:color w:val="auto"/>
                <w:highlight w:val="none"/>
              </w:rPr>
              <w:t>代理机构开具的投标保证金收款收据或电汇对账单或银行汇款凭证等复印件</w:t>
            </w:r>
          </w:p>
        </w:tc>
        <w:tc>
          <w:tcPr>
            <w:tcW w:w="360" w:type="dxa"/>
            <w:tcBorders>
              <w:left w:val="single" w:color="auto" w:sz="4" w:space="0"/>
            </w:tcBorders>
            <w:vAlign w:val="center"/>
          </w:tcPr>
          <w:p>
            <w:pPr>
              <w:pStyle w:val="3"/>
              <w:rPr>
                <w:rFonts w:ascii="宋体" w:hAnsi="宋体" w:eastAsia="宋体" w:cs="宋体"/>
                <w:color w:val="auto"/>
                <w:highlight w:val="none"/>
              </w:rPr>
            </w:pPr>
          </w:p>
        </w:tc>
      </w:tr>
      <w:tr>
        <w:tblPrEx>
          <w:tblCellMar>
            <w:top w:w="0" w:type="dxa"/>
            <w:left w:w="0" w:type="dxa"/>
            <w:bottom w:w="0" w:type="dxa"/>
            <w:right w:w="0" w:type="dxa"/>
          </w:tblCellMar>
        </w:tblPrEx>
        <w:trPr>
          <w:trHeight w:val="229" w:hRule="atLeast"/>
        </w:trPr>
        <w:tc>
          <w:tcPr>
            <w:tcW w:w="650"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r>
              <w:rPr>
                <w:rFonts w:hint="eastAsia" w:cs="宋体"/>
                <w:color w:val="auto"/>
                <w:szCs w:val="21"/>
                <w:highlight w:val="none"/>
              </w:rPr>
              <w:t>7</w:t>
            </w:r>
          </w:p>
        </w:tc>
        <w:tc>
          <w:tcPr>
            <w:tcW w:w="4689" w:type="dxa"/>
            <w:tcBorders>
              <w:top w:val="single" w:color="auto" w:sz="4" w:space="0"/>
              <w:left w:val="single" w:color="auto" w:sz="4" w:space="0"/>
              <w:bottom w:val="single" w:color="auto" w:sz="4" w:space="0"/>
              <w:right w:val="single" w:color="auto" w:sz="4" w:space="0"/>
            </w:tcBorders>
            <w:vAlign w:val="center"/>
          </w:tcPr>
          <w:p>
            <w:pPr>
              <w:widowControl/>
              <w:ind w:left="100" w:firstLine="0" w:firstLineChars="0"/>
              <w:jc w:val="center"/>
              <w:rPr>
                <w:rFonts w:cs="宋体"/>
                <w:color w:val="auto"/>
                <w:szCs w:val="21"/>
                <w:highlight w:val="none"/>
              </w:rPr>
            </w:pPr>
            <w:r>
              <w:rPr>
                <w:rFonts w:hint="eastAsia" w:cs="宋体"/>
                <w:color w:val="auto"/>
                <w:szCs w:val="21"/>
                <w:highlight w:val="none"/>
              </w:rPr>
              <w:t>供应商未被列入失信被执行人名单、重大税收违法案</w:t>
            </w:r>
            <w:r>
              <w:rPr>
                <w:rFonts w:hint="eastAsia" w:cs="宋体"/>
                <w:color w:val="auto"/>
                <w:w w:val="97"/>
                <w:szCs w:val="21"/>
                <w:highlight w:val="none"/>
              </w:rPr>
              <w:t>件当事人名单</w:t>
            </w:r>
            <w:r>
              <w:rPr>
                <w:rFonts w:hint="eastAsia" w:cs="宋体"/>
                <w:color w:val="auto"/>
                <w:szCs w:val="21"/>
                <w:highlight w:val="none"/>
              </w:rPr>
              <w:t>、政府采购严重违法失信行为记录名单，信用信息以信用中国网站（www.creditchina.gov.cn）、中国政府采购网（www.ccgp.gov.cn）公布为准；</w:t>
            </w:r>
          </w:p>
        </w:tc>
        <w:tc>
          <w:tcPr>
            <w:tcW w:w="2209"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p>
        </w:tc>
        <w:tc>
          <w:tcPr>
            <w:tcW w:w="2372"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r>
              <w:rPr>
                <w:rFonts w:hint="eastAsia" w:cs="宋体"/>
                <w:color w:val="auto"/>
                <w:szCs w:val="21"/>
                <w:highlight w:val="none"/>
              </w:rPr>
              <w:t>以采购代理机构开标前网页查询为准</w:t>
            </w:r>
          </w:p>
        </w:tc>
        <w:tc>
          <w:tcPr>
            <w:tcW w:w="360" w:type="dxa"/>
            <w:tcBorders>
              <w:left w:val="single" w:color="auto" w:sz="4" w:space="0"/>
            </w:tcBorders>
            <w:vAlign w:val="center"/>
          </w:tcPr>
          <w:p>
            <w:pPr>
              <w:widowControl/>
              <w:ind w:firstLine="0" w:firstLineChars="0"/>
              <w:jc w:val="center"/>
              <w:rPr>
                <w:rFonts w:cs="宋体"/>
                <w:color w:val="auto"/>
                <w:szCs w:val="21"/>
                <w:highlight w:val="none"/>
              </w:rPr>
            </w:pPr>
          </w:p>
        </w:tc>
      </w:tr>
      <w:tr>
        <w:tblPrEx>
          <w:tblCellMar>
            <w:top w:w="0" w:type="dxa"/>
            <w:left w:w="0" w:type="dxa"/>
            <w:bottom w:w="0" w:type="dxa"/>
            <w:right w:w="0" w:type="dxa"/>
          </w:tblCellMar>
        </w:tblPrEx>
        <w:trPr>
          <w:trHeight w:val="229" w:hRule="atLeast"/>
        </w:trPr>
        <w:tc>
          <w:tcPr>
            <w:tcW w:w="650"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hint="eastAsia" w:eastAsia="宋体" w:cs="宋体"/>
                <w:color w:val="auto"/>
                <w:szCs w:val="21"/>
                <w:highlight w:val="none"/>
                <w:lang w:val="en-US" w:eastAsia="zh-CN"/>
              </w:rPr>
            </w:pPr>
            <w:r>
              <w:rPr>
                <w:rFonts w:hint="eastAsia" w:cs="宋体"/>
                <w:color w:val="auto"/>
                <w:szCs w:val="21"/>
                <w:highlight w:val="none"/>
                <w:lang w:val="en-US" w:eastAsia="zh-CN"/>
              </w:rPr>
              <w:t>8</w:t>
            </w:r>
          </w:p>
        </w:tc>
        <w:tc>
          <w:tcPr>
            <w:tcW w:w="4689" w:type="dxa"/>
            <w:tcBorders>
              <w:top w:val="single" w:color="auto" w:sz="4" w:space="0"/>
              <w:left w:val="single" w:color="auto" w:sz="4" w:space="0"/>
              <w:bottom w:val="single" w:color="auto" w:sz="4" w:space="0"/>
              <w:right w:val="single" w:color="auto" w:sz="4" w:space="0"/>
            </w:tcBorders>
            <w:vAlign w:val="center"/>
          </w:tcPr>
          <w:p>
            <w:pPr>
              <w:widowControl/>
              <w:ind w:left="100" w:firstLine="0" w:firstLineChars="0"/>
              <w:jc w:val="center"/>
              <w:rPr>
                <w:rFonts w:hint="eastAsia" w:eastAsia="宋体" w:cs="宋体"/>
                <w:color w:val="auto"/>
                <w:szCs w:val="21"/>
                <w:highlight w:val="none"/>
                <w:lang w:eastAsia="zh-CN"/>
              </w:rPr>
            </w:pPr>
            <w:r>
              <w:rPr>
                <w:rFonts w:hint="eastAsia" w:cs="宋体"/>
                <w:color w:val="auto"/>
                <w:szCs w:val="21"/>
                <w:highlight w:val="none"/>
                <w:lang w:eastAsia="zh-CN"/>
              </w:rPr>
              <w:t>本项目专门面向中小企业采购</w:t>
            </w:r>
          </w:p>
        </w:tc>
        <w:tc>
          <w:tcPr>
            <w:tcW w:w="2209"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cs="宋体"/>
                <w:color w:val="auto"/>
                <w:szCs w:val="21"/>
                <w:highlight w:val="none"/>
              </w:rPr>
            </w:pPr>
          </w:p>
        </w:tc>
        <w:tc>
          <w:tcPr>
            <w:tcW w:w="2372"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hint="eastAsia" w:eastAsia="宋体" w:cs="宋体"/>
                <w:color w:val="auto"/>
                <w:szCs w:val="21"/>
                <w:highlight w:val="none"/>
                <w:lang w:eastAsia="zh-CN"/>
              </w:rPr>
            </w:pPr>
            <w:r>
              <w:rPr>
                <w:rFonts w:hint="eastAsia" w:cs="宋体"/>
                <w:color w:val="auto"/>
                <w:szCs w:val="21"/>
                <w:highlight w:val="none"/>
                <w:lang w:eastAsia="zh-CN"/>
              </w:rPr>
              <w:t>提供《中小企业声明函》，格式附后</w:t>
            </w:r>
          </w:p>
        </w:tc>
        <w:tc>
          <w:tcPr>
            <w:tcW w:w="360" w:type="dxa"/>
            <w:tcBorders>
              <w:left w:val="single" w:color="auto" w:sz="4" w:space="0"/>
            </w:tcBorders>
            <w:vAlign w:val="center"/>
          </w:tcPr>
          <w:p>
            <w:pPr>
              <w:widowControl/>
              <w:ind w:firstLine="0" w:firstLineChars="0"/>
              <w:jc w:val="center"/>
              <w:rPr>
                <w:rFonts w:cs="宋体"/>
                <w:color w:val="auto"/>
                <w:szCs w:val="21"/>
                <w:highlight w:val="none"/>
              </w:rPr>
            </w:pPr>
          </w:p>
        </w:tc>
      </w:tr>
    </w:tbl>
    <w:p>
      <w:pPr>
        <w:spacing w:line="200" w:lineRule="exact"/>
        <w:ind w:firstLine="400"/>
        <w:rPr>
          <w:rFonts w:cs="宋体"/>
          <w:color w:val="auto"/>
          <w:sz w:val="20"/>
          <w:szCs w:val="20"/>
          <w:highlight w:val="none"/>
        </w:rPr>
      </w:pPr>
    </w:p>
    <w:p>
      <w:pPr>
        <w:spacing w:line="200" w:lineRule="exact"/>
        <w:ind w:firstLine="400"/>
        <w:rPr>
          <w:rFonts w:cs="宋体"/>
          <w:color w:val="auto"/>
          <w:sz w:val="20"/>
          <w:szCs w:val="20"/>
          <w:highlight w:val="none"/>
        </w:rPr>
      </w:pPr>
    </w:p>
    <w:p>
      <w:pPr>
        <w:spacing w:line="203" w:lineRule="exact"/>
        <w:ind w:firstLine="400"/>
        <w:rPr>
          <w:rFonts w:cs="宋体"/>
          <w:color w:val="auto"/>
          <w:sz w:val="20"/>
          <w:szCs w:val="20"/>
          <w:highlight w:val="none"/>
        </w:rPr>
      </w:pPr>
    </w:p>
    <w:p>
      <w:pPr>
        <w:spacing w:line="255" w:lineRule="exact"/>
        <w:ind w:firstLine="422"/>
        <w:rPr>
          <w:rFonts w:cs="宋体"/>
          <w:color w:val="auto"/>
          <w:sz w:val="20"/>
          <w:szCs w:val="20"/>
          <w:highlight w:val="none"/>
        </w:rPr>
      </w:pPr>
      <w:r>
        <w:rPr>
          <w:rFonts w:hint="eastAsia" w:cs="宋体"/>
          <w:b/>
          <w:bCs/>
          <w:color w:val="auto"/>
          <w:szCs w:val="21"/>
          <w:highlight w:val="none"/>
        </w:rPr>
        <w:t>注：1、证明材料复印件需齐全，不得缺页，否则证明无效，加盖公章。</w:t>
      </w:r>
    </w:p>
    <w:p>
      <w:pPr>
        <w:spacing w:line="156" w:lineRule="exact"/>
        <w:ind w:firstLine="0" w:firstLineChars="0"/>
        <w:rPr>
          <w:rFonts w:cs="宋体"/>
          <w:color w:val="auto"/>
          <w:sz w:val="20"/>
          <w:szCs w:val="20"/>
          <w:highlight w:val="none"/>
        </w:rPr>
      </w:pPr>
    </w:p>
    <w:p>
      <w:pPr>
        <w:spacing w:line="255" w:lineRule="exact"/>
        <w:ind w:firstLine="843" w:firstLineChars="400"/>
        <w:rPr>
          <w:rFonts w:cs="宋体"/>
          <w:color w:val="auto"/>
          <w:sz w:val="20"/>
          <w:szCs w:val="20"/>
          <w:highlight w:val="none"/>
        </w:rPr>
      </w:pPr>
      <w:r>
        <w:rPr>
          <w:rFonts w:hint="eastAsia" w:cs="宋体"/>
          <w:b/>
          <w:bCs/>
          <w:color w:val="auto"/>
          <w:szCs w:val="21"/>
          <w:highlight w:val="none"/>
        </w:rPr>
        <w:t>2、证明材料因具备充分性，与要求相对应，否则由此产生的责任和风险投标人承担。</w:t>
      </w:r>
    </w:p>
    <w:p>
      <w:pPr>
        <w:spacing w:line="200" w:lineRule="exact"/>
        <w:ind w:firstLine="0" w:firstLineChars="0"/>
        <w:rPr>
          <w:rFonts w:cs="宋体"/>
          <w:color w:val="auto"/>
          <w:sz w:val="20"/>
          <w:szCs w:val="20"/>
          <w:highlight w:val="none"/>
        </w:rPr>
      </w:pPr>
    </w:p>
    <w:p>
      <w:pPr>
        <w:spacing w:line="315" w:lineRule="exact"/>
        <w:ind w:firstLine="0" w:firstLineChars="0"/>
        <w:rPr>
          <w:rFonts w:cs="宋体"/>
          <w:color w:val="auto"/>
          <w:sz w:val="20"/>
          <w:szCs w:val="20"/>
          <w:highlight w:val="none"/>
        </w:rPr>
      </w:pPr>
    </w:p>
    <w:p>
      <w:pPr>
        <w:spacing w:line="240" w:lineRule="exact"/>
        <w:ind w:left="900" w:firstLine="0" w:firstLineChars="0"/>
        <w:rPr>
          <w:rFonts w:cs="宋体"/>
          <w:color w:val="auto"/>
          <w:sz w:val="20"/>
          <w:szCs w:val="20"/>
          <w:highlight w:val="none"/>
        </w:rPr>
      </w:pPr>
      <w:r>
        <w:rPr>
          <w:rFonts w:hint="eastAsia" w:cs="宋体"/>
          <w:color w:val="auto"/>
          <w:szCs w:val="21"/>
          <w:highlight w:val="none"/>
        </w:rPr>
        <w:t>供应商全称（盖单位公章）：</w:t>
      </w:r>
    </w:p>
    <w:p>
      <w:pPr>
        <w:spacing w:line="168" w:lineRule="exact"/>
        <w:ind w:firstLine="0" w:firstLineChars="0"/>
        <w:rPr>
          <w:rFonts w:cs="宋体"/>
          <w:color w:val="auto"/>
          <w:sz w:val="20"/>
          <w:szCs w:val="20"/>
          <w:highlight w:val="none"/>
        </w:rPr>
      </w:pPr>
    </w:p>
    <w:p>
      <w:pPr>
        <w:spacing w:line="240" w:lineRule="exact"/>
        <w:ind w:left="900" w:firstLine="0" w:firstLineChars="0"/>
        <w:rPr>
          <w:rFonts w:cs="宋体"/>
          <w:color w:val="auto"/>
          <w:sz w:val="20"/>
          <w:szCs w:val="20"/>
          <w:highlight w:val="none"/>
        </w:rPr>
      </w:pPr>
      <w:r>
        <w:rPr>
          <w:rFonts w:hint="eastAsia" w:cs="宋体"/>
          <w:color w:val="auto"/>
          <w:szCs w:val="21"/>
          <w:highlight w:val="none"/>
        </w:rPr>
        <w:t>投标文件签署人（签字或盖章）：</w:t>
      </w:r>
    </w:p>
    <w:p>
      <w:pPr>
        <w:spacing w:line="168" w:lineRule="exact"/>
        <w:ind w:firstLine="0" w:firstLineChars="0"/>
        <w:rPr>
          <w:rFonts w:cs="宋体"/>
          <w:color w:val="auto"/>
          <w:sz w:val="20"/>
          <w:szCs w:val="20"/>
          <w:highlight w:val="none"/>
        </w:rPr>
      </w:pPr>
    </w:p>
    <w:p>
      <w:pPr>
        <w:spacing w:line="240" w:lineRule="exact"/>
        <w:ind w:left="900" w:firstLine="0" w:firstLineChars="0"/>
        <w:rPr>
          <w:rFonts w:cs="宋体"/>
          <w:color w:val="auto"/>
          <w:sz w:val="20"/>
          <w:szCs w:val="20"/>
          <w:highlight w:val="none"/>
        </w:rPr>
      </w:pPr>
      <w:r>
        <w:rPr>
          <w:rFonts w:hint="eastAsia" w:cs="宋体"/>
          <w:color w:val="auto"/>
          <w:szCs w:val="21"/>
          <w:highlight w:val="none"/>
        </w:rPr>
        <w:t>日期：</w:t>
      </w:r>
    </w:p>
    <w:p>
      <w:pPr>
        <w:spacing w:line="200" w:lineRule="exact"/>
        <w:ind w:firstLine="400"/>
        <w:rPr>
          <w:rFonts w:cs="宋体"/>
          <w:color w:val="auto"/>
          <w:sz w:val="20"/>
          <w:szCs w:val="20"/>
          <w:highlight w:val="none"/>
        </w:rPr>
      </w:pPr>
    </w:p>
    <w:p>
      <w:pPr>
        <w:ind w:firstLine="420"/>
        <w:rPr>
          <w:rFonts w:cs="宋体"/>
          <w:color w:val="auto"/>
          <w:highlight w:val="none"/>
        </w:rPr>
        <w:sectPr>
          <w:pgSz w:w="11900" w:h="16838"/>
          <w:pgMar w:top="1440" w:right="1106" w:bottom="158" w:left="900" w:header="567" w:footer="567" w:gutter="0"/>
          <w:cols w:space="720" w:num="1"/>
        </w:sectPr>
      </w:pPr>
    </w:p>
    <w:p>
      <w:pPr>
        <w:pStyle w:val="6"/>
        <w:ind w:firstLine="482"/>
        <w:rPr>
          <w:rFonts w:cs="宋体"/>
          <w:color w:val="auto"/>
          <w:highlight w:val="none"/>
        </w:rPr>
      </w:pPr>
      <w:bookmarkStart w:id="1121" w:name="page80"/>
      <w:bookmarkEnd w:id="1121"/>
      <w:bookmarkStart w:id="1122" w:name="_Toc11900"/>
      <w:r>
        <w:rPr>
          <w:rFonts w:hint="eastAsia" w:cs="宋体"/>
          <w:color w:val="auto"/>
          <w:highlight w:val="none"/>
        </w:rPr>
        <w:t>附件二：基本资格条件审查资料</w:t>
      </w:r>
      <w:bookmarkEnd w:id="1122"/>
    </w:p>
    <w:p>
      <w:pPr>
        <w:spacing w:line="200" w:lineRule="exact"/>
        <w:ind w:firstLine="400"/>
        <w:rPr>
          <w:rFonts w:cs="宋体"/>
          <w:color w:val="auto"/>
          <w:sz w:val="20"/>
          <w:szCs w:val="20"/>
          <w:highlight w:val="none"/>
        </w:rPr>
      </w:pPr>
    </w:p>
    <w:p>
      <w:pPr>
        <w:pStyle w:val="11"/>
        <w:widowControl/>
        <w:adjustRightInd/>
        <w:ind w:firstLine="3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（1）有效的法人或者其他组织的营业执照等证明文件（复印件加盖公章），自然人的身份证明；</w:t>
      </w:r>
    </w:p>
    <w:p>
      <w:pPr>
        <w:pStyle w:val="11"/>
        <w:widowControl/>
        <w:adjustRightInd/>
        <w:ind w:firstLine="3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（2）最近六个月任意一月依法缴纳税收的证明材料；（依法免税的投标供应商，应提供相应文件证明其依法免税）</w:t>
      </w:r>
    </w:p>
    <w:p>
      <w:pPr>
        <w:pStyle w:val="11"/>
        <w:widowControl/>
        <w:adjustRightInd/>
        <w:ind w:firstLine="396"/>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（3）最近六个月任意一月依法缴社会保障资金的证明材料；（依法不需要缴纳社会保障资金的投标供应商，应提供相应文件证明其依法不需要缴纳社会保障资金）</w:t>
      </w:r>
    </w:p>
    <w:p>
      <w:pPr>
        <w:widowControl/>
        <w:ind w:firstLine="420"/>
        <w:rPr>
          <w:rFonts w:cs="宋体"/>
          <w:color w:val="auto"/>
          <w:sz w:val="20"/>
          <w:szCs w:val="20"/>
          <w:highlight w:val="none"/>
        </w:rPr>
      </w:pPr>
      <w:r>
        <w:rPr>
          <w:rFonts w:hint="eastAsia" w:cs="宋体"/>
          <w:color w:val="auto"/>
          <w:szCs w:val="21"/>
          <w:highlight w:val="none"/>
        </w:rPr>
        <w:t>（4）具有履行合同所必需的设备和专业技术能力的承诺函；</w:t>
      </w:r>
    </w:p>
    <w:p>
      <w:pPr>
        <w:widowControl/>
        <w:ind w:firstLine="420"/>
        <w:rPr>
          <w:rFonts w:cs="宋体"/>
          <w:color w:val="auto"/>
          <w:szCs w:val="21"/>
          <w:highlight w:val="none"/>
        </w:rPr>
        <w:sectPr>
          <w:pgSz w:w="11900" w:h="16838"/>
          <w:pgMar w:top="1440" w:right="1440" w:bottom="158" w:left="1440" w:header="567" w:footer="567" w:gutter="0"/>
          <w:cols w:space="720" w:num="1"/>
        </w:sectPr>
      </w:pPr>
      <w:r>
        <w:rPr>
          <w:rFonts w:hint="eastAsia" w:cs="宋体"/>
          <w:color w:val="auto"/>
          <w:szCs w:val="21"/>
          <w:highlight w:val="none"/>
        </w:rPr>
        <w:t>（5）参加政府采购活动前 3 年内在经营活动中没有重大违法记录的声明函；</w:t>
      </w:r>
    </w:p>
    <w:p>
      <w:pPr>
        <w:pStyle w:val="6"/>
        <w:ind w:firstLine="482"/>
        <w:rPr>
          <w:rFonts w:cs="宋体"/>
          <w:color w:val="auto"/>
          <w:highlight w:val="none"/>
        </w:rPr>
      </w:pPr>
      <w:r>
        <w:rPr>
          <w:rFonts w:hint="eastAsia" w:cs="宋体"/>
          <w:color w:val="auto"/>
          <w:highlight w:val="none"/>
        </w:rPr>
        <w:t>具有履行合同所必需的设备和专业技术能力的承诺函</w:t>
      </w:r>
    </w:p>
    <w:p>
      <w:pPr>
        <w:widowControl/>
        <w:ind w:left="360" w:firstLine="420"/>
        <w:rPr>
          <w:rFonts w:cs="宋体"/>
          <w:color w:val="auto"/>
          <w:sz w:val="20"/>
          <w:szCs w:val="20"/>
          <w:highlight w:val="none"/>
        </w:rPr>
      </w:pPr>
      <w:r>
        <w:rPr>
          <w:rFonts w:hint="eastAsia" w:cs="宋体"/>
          <w:color w:val="auto"/>
          <w:szCs w:val="21"/>
          <w:highlight w:val="none"/>
          <w:u w:val="single"/>
        </w:rPr>
        <w:t>（采购人）</w:t>
      </w:r>
      <w:r>
        <w:rPr>
          <w:rFonts w:hint="eastAsia" w:cs="宋体"/>
          <w:color w:val="auto"/>
          <w:szCs w:val="21"/>
          <w:highlight w:val="none"/>
        </w:rPr>
        <w:t>：</w:t>
      </w:r>
    </w:p>
    <w:p>
      <w:pPr>
        <w:widowControl/>
        <w:ind w:firstLine="420"/>
        <w:rPr>
          <w:rFonts w:cs="宋体"/>
          <w:color w:val="auto"/>
          <w:sz w:val="20"/>
          <w:szCs w:val="20"/>
          <w:highlight w:val="none"/>
        </w:rPr>
      </w:pPr>
      <w:r>
        <w:rPr>
          <w:rFonts w:hint="eastAsia" w:cs="宋体"/>
          <w:color w:val="auto"/>
          <w:szCs w:val="21"/>
          <w:highlight w:val="none"/>
        </w:rPr>
        <w:t>我方承诺具有履行合同所必需的设备和专业技术能力。如有虚假，采购人可取消我方任何资格（投标/中标/签订合同），我方对此无任何异议。</w:t>
      </w:r>
    </w:p>
    <w:p>
      <w:pPr>
        <w:widowControl/>
        <w:ind w:firstLine="400"/>
        <w:rPr>
          <w:rFonts w:cs="宋体"/>
          <w:color w:val="auto"/>
          <w:sz w:val="20"/>
          <w:szCs w:val="20"/>
          <w:highlight w:val="none"/>
        </w:rPr>
      </w:pPr>
    </w:p>
    <w:p>
      <w:pPr>
        <w:widowControl/>
        <w:ind w:left="780" w:firstLine="420"/>
        <w:rPr>
          <w:rFonts w:cs="宋体"/>
          <w:color w:val="auto"/>
          <w:sz w:val="20"/>
          <w:szCs w:val="20"/>
          <w:highlight w:val="none"/>
        </w:rPr>
      </w:pPr>
      <w:r>
        <w:rPr>
          <w:rFonts w:hint="eastAsia" w:cs="宋体"/>
          <w:color w:val="auto"/>
          <w:szCs w:val="21"/>
          <w:highlight w:val="none"/>
        </w:rPr>
        <w:t>特此承诺！</w:t>
      </w:r>
    </w:p>
    <w:p>
      <w:pPr>
        <w:widowControl/>
        <w:ind w:left="780" w:firstLine="420"/>
        <w:rPr>
          <w:rFonts w:cs="宋体"/>
          <w:color w:val="auto"/>
          <w:sz w:val="20"/>
          <w:szCs w:val="20"/>
          <w:highlight w:val="none"/>
        </w:rPr>
      </w:pPr>
      <w:r>
        <w:rPr>
          <w:rFonts w:hint="eastAsia" w:cs="宋体"/>
          <w:color w:val="auto"/>
          <w:szCs w:val="21"/>
          <w:highlight w:val="none"/>
        </w:rPr>
        <w:t>供应商名称（盖章） ：</w:t>
      </w:r>
    </w:p>
    <w:p>
      <w:pPr>
        <w:widowControl/>
        <w:ind w:left="780" w:firstLine="420"/>
        <w:rPr>
          <w:rFonts w:cs="宋体"/>
          <w:color w:val="auto"/>
          <w:sz w:val="20"/>
          <w:szCs w:val="20"/>
          <w:highlight w:val="none"/>
        </w:rPr>
      </w:pPr>
      <w:r>
        <w:rPr>
          <w:rFonts w:hint="eastAsia" w:cs="宋体"/>
          <w:color w:val="auto"/>
          <w:szCs w:val="21"/>
          <w:highlight w:val="none"/>
        </w:rPr>
        <w:t>法定代表人或其授权代表（签字或盖章）：</w:t>
      </w:r>
    </w:p>
    <w:p>
      <w:pPr>
        <w:widowControl/>
        <w:tabs>
          <w:tab w:val="left" w:pos="1920"/>
          <w:tab w:val="left" w:pos="2340"/>
          <w:tab w:val="left" w:pos="2760"/>
        </w:tabs>
        <w:ind w:left="780" w:firstLine="420"/>
        <w:rPr>
          <w:rFonts w:cs="宋体"/>
          <w:color w:val="auto"/>
          <w:sz w:val="20"/>
          <w:szCs w:val="20"/>
          <w:highlight w:val="none"/>
        </w:rPr>
      </w:pPr>
      <w:r>
        <w:rPr>
          <w:rFonts w:hint="eastAsia" w:cs="宋体"/>
          <w:color w:val="auto"/>
          <w:szCs w:val="21"/>
          <w:highlight w:val="none"/>
        </w:rPr>
        <w:t xml:space="preserve">日期：  年  </w:t>
      </w:r>
      <w:r>
        <w:rPr>
          <w:rFonts w:hint="eastAsia" w:cs="宋体"/>
          <w:color w:val="auto"/>
          <w:szCs w:val="21"/>
          <w:highlight w:val="none"/>
        </w:rPr>
        <w:tab/>
      </w:r>
      <w:r>
        <w:rPr>
          <w:rFonts w:hint="eastAsia" w:cs="宋体"/>
          <w:color w:val="auto"/>
          <w:szCs w:val="21"/>
          <w:highlight w:val="none"/>
        </w:rPr>
        <w:t>月</w:t>
      </w:r>
      <w:r>
        <w:rPr>
          <w:rFonts w:hint="eastAsia" w:cs="宋体"/>
          <w:color w:val="auto"/>
          <w:sz w:val="20"/>
          <w:szCs w:val="20"/>
          <w:highlight w:val="none"/>
        </w:rPr>
        <w:tab/>
      </w:r>
      <w:r>
        <w:rPr>
          <w:rFonts w:hint="eastAsia" w:cs="宋体"/>
          <w:color w:val="auto"/>
          <w:sz w:val="20"/>
          <w:szCs w:val="20"/>
          <w:highlight w:val="none"/>
        </w:rPr>
        <w:t xml:space="preserve"> 日</w:t>
      </w:r>
    </w:p>
    <w:p>
      <w:pPr>
        <w:spacing w:line="200" w:lineRule="exact"/>
        <w:ind w:firstLine="400"/>
        <w:rPr>
          <w:rFonts w:cs="宋体"/>
          <w:color w:val="auto"/>
          <w:sz w:val="20"/>
          <w:szCs w:val="20"/>
          <w:highlight w:val="none"/>
        </w:rPr>
      </w:pPr>
    </w:p>
    <w:p>
      <w:pPr>
        <w:ind w:firstLine="420"/>
        <w:rPr>
          <w:rFonts w:cs="宋体"/>
          <w:color w:val="auto"/>
          <w:highlight w:val="none"/>
        </w:rPr>
        <w:sectPr>
          <w:pgSz w:w="11900" w:h="16838"/>
          <w:pgMar w:top="1440" w:right="1440" w:bottom="158" w:left="1440" w:header="567" w:footer="567" w:gutter="0"/>
          <w:cols w:space="720" w:num="1"/>
        </w:sectPr>
      </w:pPr>
    </w:p>
    <w:p>
      <w:pPr>
        <w:pStyle w:val="6"/>
        <w:ind w:firstLine="482"/>
        <w:rPr>
          <w:rFonts w:cs="宋体"/>
          <w:color w:val="auto"/>
          <w:highlight w:val="none"/>
        </w:rPr>
      </w:pPr>
      <w:bookmarkStart w:id="1123" w:name="page81"/>
      <w:bookmarkEnd w:id="1123"/>
      <w:r>
        <w:rPr>
          <w:rFonts w:hint="eastAsia" w:cs="宋体"/>
          <w:color w:val="auto"/>
          <w:highlight w:val="none"/>
        </w:rPr>
        <w:t>没有重大违法记录承诺函</w:t>
      </w:r>
    </w:p>
    <w:p>
      <w:pPr>
        <w:spacing w:line="375" w:lineRule="exact"/>
        <w:ind w:firstLine="400"/>
        <w:rPr>
          <w:rFonts w:cs="宋体"/>
          <w:color w:val="auto"/>
          <w:sz w:val="20"/>
          <w:szCs w:val="20"/>
          <w:highlight w:val="none"/>
        </w:rPr>
      </w:pPr>
    </w:p>
    <w:p>
      <w:pPr>
        <w:widowControl/>
        <w:ind w:left="360" w:firstLine="210" w:firstLineChars="100"/>
        <w:rPr>
          <w:rFonts w:cs="宋体"/>
          <w:color w:val="auto"/>
          <w:sz w:val="20"/>
          <w:szCs w:val="20"/>
          <w:highlight w:val="none"/>
        </w:rPr>
      </w:pPr>
      <w:r>
        <w:rPr>
          <w:rFonts w:hint="eastAsia" w:cs="宋体"/>
          <w:color w:val="auto"/>
          <w:szCs w:val="21"/>
          <w:highlight w:val="none"/>
          <w:u w:val="single"/>
        </w:rPr>
        <w:t>（采购人）：</w:t>
      </w:r>
    </w:p>
    <w:p>
      <w:pPr>
        <w:widowControl/>
        <w:ind w:right="346" w:firstLine="630" w:firstLineChars="300"/>
        <w:rPr>
          <w:rFonts w:cs="宋体"/>
          <w:color w:val="auto"/>
          <w:szCs w:val="21"/>
          <w:highlight w:val="none"/>
        </w:rPr>
      </w:pPr>
      <w:r>
        <w:rPr>
          <w:rFonts w:hint="eastAsia" w:cs="宋体"/>
          <w:color w:val="auto"/>
          <w:szCs w:val="21"/>
          <w:highlight w:val="none"/>
        </w:rPr>
        <w:t>我方</w:t>
      </w:r>
      <w:r>
        <w:rPr>
          <w:rFonts w:hint="eastAsia" w:cs="宋体"/>
          <w:color w:val="auto"/>
          <w:szCs w:val="21"/>
          <w:highlight w:val="none"/>
          <w:u w:val="single"/>
        </w:rPr>
        <w:t>（供应商）</w:t>
      </w:r>
      <w:r>
        <w:rPr>
          <w:rFonts w:hint="eastAsia" w:cs="宋体"/>
          <w:color w:val="auto"/>
          <w:szCs w:val="21"/>
          <w:highlight w:val="none"/>
        </w:rPr>
        <w:t>具有良好的商业信誉，依法缴纳税收和社会保障资金，未被列入失信被执行人名单、重大税收违法案件当事人名单、政府采购严重违法失信行为记录名单，在参加政府采购活动前三年内没有重大违法记录（重大违法记录是指因违法经营受到刑事处罚、没有被责令停产停业、被吊销许可证或者执照、被处以较大数额罚款等行政处罚），没有因违法经营被禁止参加政府采购活动的期限未满情形。如有虚假，采购人可取消我方任何资格（投标/中标/签订合同），我方对此无任何异议。</w:t>
      </w:r>
    </w:p>
    <w:p>
      <w:pPr>
        <w:widowControl/>
        <w:ind w:right="346" w:firstLine="630" w:firstLineChars="300"/>
        <w:rPr>
          <w:rFonts w:cs="宋体"/>
          <w:color w:val="auto"/>
          <w:szCs w:val="21"/>
          <w:highlight w:val="none"/>
        </w:rPr>
      </w:pPr>
    </w:p>
    <w:p>
      <w:pPr>
        <w:widowControl/>
        <w:ind w:right="346" w:firstLine="630" w:firstLineChars="300"/>
        <w:rPr>
          <w:rFonts w:cs="宋体"/>
          <w:color w:val="auto"/>
          <w:szCs w:val="21"/>
          <w:highlight w:val="none"/>
        </w:rPr>
      </w:pPr>
    </w:p>
    <w:p>
      <w:pPr>
        <w:widowControl/>
        <w:ind w:left="780" w:firstLine="420"/>
        <w:rPr>
          <w:rFonts w:cs="宋体"/>
          <w:color w:val="auto"/>
          <w:sz w:val="20"/>
          <w:szCs w:val="20"/>
          <w:highlight w:val="none"/>
        </w:rPr>
      </w:pPr>
      <w:r>
        <w:rPr>
          <w:rFonts w:hint="eastAsia" w:cs="宋体"/>
          <w:color w:val="auto"/>
          <w:szCs w:val="21"/>
          <w:highlight w:val="none"/>
        </w:rPr>
        <w:t>特此承诺！</w:t>
      </w:r>
    </w:p>
    <w:p>
      <w:pPr>
        <w:widowControl/>
        <w:ind w:left="360" w:firstLine="420"/>
        <w:rPr>
          <w:rFonts w:cs="宋体"/>
          <w:color w:val="auto"/>
          <w:szCs w:val="21"/>
          <w:highlight w:val="none"/>
        </w:rPr>
      </w:pPr>
    </w:p>
    <w:p>
      <w:pPr>
        <w:widowControl/>
        <w:ind w:left="360" w:firstLine="420"/>
        <w:rPr>
          <w:rFonts w:cs="宋体"/>
          <w:color w:val="auto"/>
          <w:szCs w:val="21"/>
          <w:highlight w:val="none"/>
        </w:rPr>
      </w:pPr>
    </w:p>
    <w:p>
      <w:pPr>
        <w:widowControl/>
        <w:ind w:left="360" w:firstLine="420"/>
        <w:rPr>
          <w:rFonts w:cs="宋体"/>
          <w:color w:val="auto"/>
          <w:sz w:val="20"/>
          <w:szCs w:val="20"/>
          <w:highlight w:val="none"/>
        </w:rPr>
      </w:pPr>
      <w:r>
        <w:rPr>
          <w:rFonts w:hint="eastAsia" w:cs="宋体"/>
          <w:color w:val="auto"/>
          <w:szCs w:val="21"/>
          <w:highlight w:val="none"/>
        </w:rPr>
        <w:t>供应商全称（盖单位公章）：</w:t>
      </w:r>
    </w:p>
    <w:p>
      <w:pPr>
        <w:widowControl/>
        <w:ind w:left="360" w:firstLine="420"/>
        <w:rPr>
          <w:rFonts w:cs="宋体"/>
          <w:color w:val="auto"/>
          <w:sz w:val="20"/>
          <w:szCs w:val="20"/>
          <w:highlight w:val="none"/>
        </w:rPr>
      </w:pPr>
      <w:r>
        <w:rPr>
          <w:rFonts w:hint="eastAsia" w:cs="宋体"/>
          <w:color w:val="auto"/>
          <w:szCs w:val="21"/>
          <w:highlight w:val="none"/>
        </w:rPr>
        <w:t>投标文件签署人（签字或盖章）：</w:t>
      </w:r>
    </w:p>
    <w:p>
      <w:pPr>
        <w:widowControl/>
        <w:ind w:left="360" w:firstLine="420"/>
        <w:rPr>
          <w:rFonts w:cs="宋体"/>
          <w:color w:val="auto"/>
          <w:sz w:val="20"/>
          <w:szCs w:val="20"/>
          <w:highlight w:val="none"/>
        </w:rPr>
      </w:pPr>
      <w:r>
        <w:rPr>
          <w:rFonts w:hint="eastAsia" w:cs="宋体"/>
          <w:color w:val="auto"/>
          <w:szCs w:val="21"/>
          <w:highlight w:val="none"/>
        </w:rPr>
        <w:t>日期：</w:t>
      </w:r>
    </w:p>
    <w:p>
      <w:pPr>
        <w:pStyle w:val="19"/>
        <w:adjustRightInd w:val="0"/>
        <w:snapToGrid w:val="0"/>
        <w:spacing w:beforeAutospacing="0" w:afterAutospacing="0"/>
        <w:ind w:left="420" w:leftChars="200" w:firstLine="422"/>
        <w:rPr>
          <w:rFonts w:ascii="宋体" w:hAnsi="宋体" w:cs="宋体"/>
          <w:b/>
          <w:bCs/>
          <w:color w:val="auto"/>
          <w:sz w:val="21"/>
          <w:szCs w:val="21"/>
          <w:highlight w:val="none"/>
        </w:rPr>
      </w:pPr>
    </w:p>
    <w:p>
      <w:pPr>
        <w:pStyle w:val="5"/>
        <w:ind w:firstLine="482"/>
        <w:jc w:val="both"/>
        <w:rPr>
          <w:rFonts w:ascii="宋体" w:hAnsi="宋体" w:cs="宋体"/>
          <w:color w:val="auto"/>
          <w:highlight w:val="none"/>
        </w:rPr>
        <w:sectPr>
          <w:footerReference r:id="rId18" w:type="default"/>
          <w:footerReference r:id="rId19" w:type="even"/>
          <w:pgSz w:w="11906" w:h="16838"/>
          <w:pgMar w:top="1418" w:right="1418" w:bottom="1418" w:left="1418" w:header="851" w:footer="992" w:gutter="0"/>
          <w:cols w:space="720" w:num="1"/>
          <w:docGrid w:linePitch="312" w:charSpace="0"/>
        </w:sectPr>
      </w:pPr>
    </w:p>
    <w:p>
      <w:pPr>
        <w:pStyle w:val="6"/>
        <w:ind w:firstLine="482"/>
        <w:rPr>
          <w:rFonts w:cs="宋体"/>
          <w:color w:val="auto"/>
          <w:highlight w:val="none"/>
        </w:rPr>
      </w:pPr>
      <w:r>
        <w:rPr>
          <w:rFonts w:hint="eastAsia" w:cs="宋体"/>
          <w:color w:val="auto"/>
          <w:highlight w:val="none"/>
        </w:rPr>
        <w:t>声明函</w:t>
      </w:r>
    </w:p>
    <w:p>
      <w:pPr>
        <w:snapToGrid w:val="0"/>
        <w:ind w:firstLine="420"/>
        <w:rPr>
          <w:rFonts w:cs="宋体"/>
          <w:color w:val="auto"/>
          <w:szCs w:val="21"/>
          <w:highlight w:val="none"/>
          <w:u w:val="single"/>
        </w:rPr>
      </w:pPr>
      <w:r>
        <w:rPr>
          <w:rFonts w:hint="eastAsia" w:cs="宋体"/>
          <w:color w:val="auto"/>
          <w:szCs w:val="21"/>
          <w:highlight w:val="none"/>
          <w:u w:val="single"/>
        </w:rPr>
        <w:t>（采购人）：</w:t>
      </w:r>
    </w:p>
    <w:p>
      <w:pPr>
        <w:snapToGrid w:val="0"/>
        <w:ind w:firstLine="420"/>
        <w:rPr>
          <w:rFonts w:cs="宋体"/>
          <w:color w:val="auto"/>
          <w:szCs w:val="21"/>
          <w:highlight w:val="none"/>
        </w:rPr>
      </w:pPr>
      <w:r>
        <w:rPr>
          <w:rFonts w:hint="eastAsia" w:cs="宋体"/>
          <w:color w:val="auto"/>
          <w:szCs w:val="21"/>
          <w:highlight w:val="none"/>
        </w:rPr>
        <w:t>我方</w:t>
      </w:r>
      <w:r>
        <w:rPr>
          <w:rFonts w:hint="eastAsia" w:cs="宋体"/>
          <w:color w:val="auto"/>
          <w:szCs w:val="21"/>
          <w:highlight w:val="none"/>
          <w:u w:val="single"/>
        </w:rPr>
        <w:t>（供应商）</w:t>
      </w:r>
      <w:r>
        <w:rPr>
          <w:rFonts w:hint="eastAsia" w:cs="宋体"/>
          <w:color w:val="auto"/>
          <w:szCs w:val="21"/>
          <w:highlight w:val="none"/>
        </w:rPr>
        <w:t>在参加采购活动前三年内，具有良好的商业信誉，依法缴纳税收和社会保障资金，</w:t>
      </w:r>
      <w:r>
        <w:rPr>
          <w:rFonts w:hint="eastAsia" w:cs="宋体"/>
          <w:color w:val="auto"/>
          <w:kern w:val="0"/>
          <w:szCs w:val="21"/>
          <w:highlight w:val="none"/>
        </w:rPr>
        <w:t>未被列入失信被执行人名单、重大税收违法案件当事人名单、政府采购严重违法失信行为记录名单，</w:t>
      </w:r>
      <w:r>
        <w:rPr>
          <w:rFonts w:hint="eastAsia" w:cs="宋体"/>
          <w:color w:val="auto"/>
          <w:szCs w:val="21"/>
          <w:highlight w:val="none"/>
        </w:rPr>
        <w:t>在经营活动中没有重大违法记录（没有因违法经营受到刑事处罚，没有被责令停产停业、被吊销许可证或者执照、被处以较大数额罚款等行政处罚，没有因违法经营被禁止参加政府采购活动的期限未满情形）</w:t>
      </w:r>
      <w:r>
        <w:rPr>
          <w:rFonts w:hint="eastAsia" w:cs="宋体"/>
          <w:color w:val="auto"/>
          <w:kern w:val="0"/>
          <w:szCs w:val="21"/>
          <w:highlight w:val="none"/>
        </w:rPr>
        <w:t>。如有虚假，采购人可取消我方任何资格（投标/中标/签订合同），我方对此无任何异议。</w:t>
      </w:r>
    </w:p>
    <w:p>
      <w:pPr>
        <w:snapToGrid w:val="0"/>
        <w:ind w:firstLine="420"/>
        <w:rPr>
          <w:rFonts w:cs="宋体"/>
          <w:color w:val="auto"/>
          <w:szCs w:val="21"/>
          <w:highlight w:val="none"/>
        </w:rPr>
      </w:pPr>
      <w:r>
        <w:rPr>
          <w:rFonts w:hint="eastAsia" w:cs="宋体"/>
          <w:color w:val="auto"/>
          <w:szCs w:val="21"/>
          <w:highlight w:val="none"/>
        </w:rPr>
        <w:t>特此声明！</w:t>
      </w:r>
    </w:p>
    <w:p>
      <w:pPr>
        <w:snapToGrid w:val="0"/>
        <w:ind w:firstLine="420"/>
        <w:rPr>
          <w:rFonts w:cs="宋体"/>
          <w:color w:val="auto"/>
          <w:highlight w:val="none"/>
        </w:rPr>
      </w:pPr>
    </w:p>
    <w:p>
      <w:pPr>
        <w:snapToGrid w:val="0"/>
        <w:ind w:firstLine="420"/>
        <w:rPr>
          <w:rFonts w:cs="宋体"/>
          <w:color w:val="auto"/>
          <w:spacing w:val="20"/>
          <w:highlight w:val="none"/>
          <w:u w:val="single"/>
        </w:rPr>
      </w:pPr>
      <w:r>
        <w:rPr>
          <w:rFonts w:hint="eastAsia" w:cs="宋体"/>
          <w:color w:val="auto"/>
          <w:highlight w:val="none"/>
        </w:rPr>
        <w:t>投标人全称（盖单位公章）：</w:t>
      </w:r>
    </w:p>
    <w:p>
      <w:pPr>
        <w:snapToGrid w:val="0"/>
        <w:ind w:firstLine="420"/>
        <w:rPr>
          <w:rFonts w:cs="宋体"/>
          <w:color w:val="auto"/>
          <w:spacing w:val="20"/>
          <w:highlight w:val="none"/>
          <w:u w:val="single"/>
        </w:rPr>
      </w:pPr>
      <w:r>
        <w:rPr>
          <w:rFonts w:hint="eastAsia" w:cs="宋体"/>
          <w:color w:val="auto"/>
          <w:highlight w:val="none"/>
        </w:rPr>
        <w:t>投标文件签署人（签字或盖章）：</w:t>
      </w:r>
    </w:p>
    <w:p>
      <w:pPr>
        <w:snapToGrid w:val="0"/>
        <w:ind w:firstLine="500"/>
        <w:rPr>
          <w:rFonts w:cs="宋体"/>
          <w:color w:val="auto"/>
          <w:spacing w:val="20"/>
          <w:highlight w:val="none"/>
        </w:rPr>
      </w:pPr>
      <w:r>
        <w:rPr>
          <w:rFonts w:hint="eastAsia" w:cs="宋体"/>
          <w:color w:val="auto"/>
          <w:spacing w:val="20"/>
          <w:highlight w:val="none"/>
        </w:rPr>
        <w:t xml:space="preserve">日期：  </w:t>
      </w:r>
      <w:r>
        <w:rPr>
          <w:rFonts w:hint="eastAsia" w:cs="宋体"/>
          <w:color w:val="auto"/>
          <w:highlight w:val="none"/>
        </w:rPr>
        <w:t>年  月  日</w:t>
      </w:r>
    </w:p>
    <w:p>
      <w:pPr>
        <w:pStyle w:val="19"/>
        <w:tabs>
          <w:tab w:val="left" w:pos="630"/>
          <w:tab w:val="left" w:pos="840"/>
          <w:tab w:val="left" w:pos="1050"/>
        </w:tabs>
        <w:adjustRightInd w:val="0"/>
        <w:snapToGrid w:val="0"/>
        <w:spacing w:beforeAutospacing="0" w:afterAutospacing="0"/>
        <w:ind w:left="420" w:firstLine="420"/>
        <w:rPr>
          <w:rFonts w:ascii="宋体" w:hAnsi="宋体" w:cs="宋体"/>
          <w:bCs/>
          <w:color w:val="auto"/>
          <w:sz w:val="21"/>
          <w:szCs w:val="21"/>
          <w:highlight w:val="none"/>
        </w:rPr>
        <w:sectPr>
          <w:pgSz w:w="11906" w:h="16838"/>
          <w:pgMar w:top="1418" w:right="1418" w:bottom="1418" w:left="1418" w:header="851" w:footer="992" w:gutter="0"/>
          <w:cols w:space="720" w:num="1"/>
          <w:docGrid w:linePitch="312" w:charSpace="0"/>
        </w:sectPr>
      </w:pPr>
    </w:p>
    <w:p>
      <w:pPr>
        <w:pStyle w:val="6"/>
        <w:ind w:left="0" w:leftChars="0" w:right="0" w:righ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中小企业声明函（工程）</w:t>
      </w:r>
    </w:p>
    <w:p>
      <w:pPr>
        <w:bidi w:val="0"/>
        <w:rPr>
          <w:color w:val="auto"/>
          <w:highlight w:val="none"/>
          <w:lang w:val="en-US" w:eastAsia="zh-CN"/>
        </w:rPr>
      </w:pPr>
    </w:p>
    <w:p>
      <w:pPr>
        <w:bidi w:val="0"/>
        <w:rPr>
          <w:color w:val="auto"/>
          <w:highlight w:val="none"/>
        </w:rPr>
      </w:pPr>
      <w:r>
        <w:rPr>
          <w:color w:val="auto"/>
          <w:highlight w:val="none"/>
          <w:lang w:val="en-US" w:eastAsia="zh-CN"/>
        </w:rPr>
        <w:t>本公司郑重声明，根据《政府采购促进中小</w:t>
      </w:r>
      <w:r>
        <w:rPr>
          <w:rFonts w:hint="eastAsia"/>
          <w:color w:val="auto"/>
          <w:highlight w:val="none"/>
          <w:lang w:val="en-US" w:eastAsia="zh-CN"/>
        </w:rPr>
        <w:t>企业发展管理办法》（财库﹝2020﹞46 号）的规定，本公司参加</w:t>
      </w:r>
      <w:r>
        <w:rPr>
          <w:rFonts w:hint="eastAsia"/>
          <w:color w:val="auto"/>
          <w:highlight w:val="none"/>
          <w:u w:val="single"/>
          <w:lang w:val="en-US" w:eastAsia="zh-CN"/>
        </w:rPr>
        <w:t>（单位名称）</w:t>
      </w:r>
      <w:r>
        <w:rPr>
          <w:rFonts w:hint="eastAsia"/>
          <w:color w:val="auto"/>
          <w:highlight w:val="none"/>
          <w:lang w:val="en-US" w:eastAsia="zh-CN"/>
        </w:rPr>
        <w:t>的</w:t>
      </w:r>
      <w:r>
        <w:rPr>
          <w:rFonts w:hint="eastAsia"/>
          <w:color w:val="auto"/>
          <w:highlight w:val="none"/>
          <w:u w:val="single"/>
          <w:lang w:val="en-US" w:eastAsia="zh-CN"/>
        </w:rPr>
        <w:t>（项目名称）</w:t>
      </w:r>
      <w:r>
        <w:rPr>
          <w:rFonts w:hint="eastAsia"/>
          <w:color w:val="auto"/>
          <w:highlight w:val="none"/>
          <w:lang w:val="en-US" w:eastAsia="zh-CN"/>
        </w:rPr>
        <w:t>采购活动，工程的施工单位全部为符合政策要求的中小企业。相关企业的具体情况如下：</w:t>
      </w:r>
    </w:p>
    <w:p>
      <w:pPr>
        <w:bidi w:val="0"/>
        <w:rPr>
          <w:color w:val="auto"/>
          <w:highlight w:val="none"/>
        </w:rPr>
      </w:pPr>
      <w:r>
        <w:rPr>
          <w:rFonts w:hint="eastAsia"/>
          <w:color w:val="auto"/>
          <w:highlight w:val="none"/>
          <w:u w:val="single"/>
          <w:lang w:val="en-US" w:eastAsia="zh-CN"/>
        </w:rPr>
        <w:t xml:space="preserve"> （项目名称） </w:t>
      </w:r>
      <w:r>
        <w:rPr>
          <w:rFonts w:hint="eastAsia"/>
          <w:color w:val="auto"/>
          <w:highlight w:val="none"/>
          <w:lang w:val="en-US" w:eastAsia="zh-CN"/>
        </w:rPr>
        <w:t>，属于</w:t>
      </w:r>
      <w:r>
        <w:rPr>
          <w:rFonts w:hint="eastAsia"/>
          <w:color w:val="auto"/>
          <w:highlight w:val="none"/>
          <w:u w:val="single"/>
          <w:lang w:val="en-US" w:eastAsia="zh-CN"/>
        </w:rPr>
        <w:t>（采购文件中明确的所属行业）</w:t>
      </w:r>
      <w:r>
        <w:rPr>
          <w:rFonts w:hint="eastAsia"/>
          <w:color w:val="auto"/>
          <w:highlight w:val="none"/>
          <w:lang w:val="en-US" w:eastAsia="zh-CN"/>
        </w:rPr>
        <w:t>；承建（承接）企业为</w:t>
      </w:r>
      <w:r>
        <w:rPr>
          <w:rFonts w:hint="eastAsia"/>
          <w:color w:val="auto"/>
          <w:highlight w:val="none"/>
          <w:u w:val="single"/>
          <w:lang w:val="en-US" w:eastAsia="zh-CN"/>
        </w:rPr>
        <w:t>（企业名称）</w:t>
      </w:r>
      <w:r>
        <w:rPr>
          <w:rFonts w:hint="eastAsia"/>
          <w:color w:val="auto"/>
          <w:highlight w:val="none"/>
          <w:lang w:val="en-US" w:eastAsia="zh-CN"/>
        </w:rPr>
        <w:t>，从业人员</w:t>
      </w:r>
      <w:r>
        <w:rPr>
          <w:rFonts w:hint="eastAsia"/>
          <w:color w:val="auto"/>
          <w:highlight w:val="none"/>
          <w:u w:val="single"/>
          <w:lang w:val="en-US" w:eastAsia="zh-CN"/>
        </w:rPr>
        <w:t xml:space="preserve">      </w:t>
      </w:r>
      <w:r>
        <w:rPr>
          <w:rFonts w:hint="eastAsia"/>
          <w:color w:val="auto"/>
          <w:highlight w:val="none"/>
          <w:lang w:val="en-US" w:eastAsia="zh-CN"/>
        </w:rPr>
        <w:t>人，营业</w:t>
      </w:r>
      <w:r>
        <w:rPr>
          <w:rFonts w:hint="eastAsia"/>
          <w:color w:val="auto"/>
          <w:highlight w:val="none"/>
          <w:u w:val="single"/>
          <w:lang w:val="en-US" w:eastAsia="zh-CN"/>
        </w:rPr>
        <w:t xml:space="preserve">      </w:t>
      </w:r>
      <w:r>
        <w:rPr>
          <w:rFonts w:hint="eastAsia"/>
          <w:color w:val="auto"/>
          <w:highlight w:val="none"/>
          <w:lang w:val="en-US" w:eastAsia="zh-CN"/>
        </w:rPr>
        <w:t>收入为</w:t>
      </w:r>
      <w:r>
        <w:rPr>
          <w:rFonts w:hint="eastAsia"/>
          <w:color w:val="auto"/>
          <w:highlight w:val="none"/>
          <w:u w:val="single"/>
          <w:lang w:val="en-US" w:eastAsia="zh-CN"/>
        </w:rPr>
        <w:t xml:space="preserve">      </w:t>
      </w:r>
      <w:r>
        <w:rPr>
          <w:rFonts w:hint="eastAsia"/>
          <w:color w:val="auto"/>
          <w:highlight w:val="none"/>
          <w:lang w:val="en-US" w:eastAsia="zh-CN"/>
        </w:rPr>
        <w:t>万元，资产总额为</w:t>
      </w:r>
      <w:r>
        <w:rPr>
          <w:rFonts w:hint="eastAsia"/>
          <w:color w:val="auto"/>
          <w:highlight w:val="none"/>
          <w:u w:val="single"/>
          <w:lang w:val="en-US" w:eastAsia="zh-CN"/>
        </w:rPr>
        <w:t xml:space="preserve">       </w:t>
      </w:r>
      <w:r>
        <w:rPr>
          <w:rFonts w:hint="eastAsia"/>
          <w:color w:val="auto"/>
          <w:highlight w:val="none"/>
          <w:lang w:val="en-US" w:eastAsia="zh-CN"/>
        </w:rPr>
        <w:t>万元，属于</w:t>
      </w:r>
      <w:r>
        <w:rPr>
          <w:rFonts w:hint="eastAsia"/>
          <w:color w:val="auto"/>
          <w:highlight w:val="none"/>
          <w:u w:val="single"/>
          <w:lang w:val="en-US" w:eastAsia="zh-CN"/>
        </w:rPr>
        <w:t>（中型企业、小型企业、微型企业</w:t>
      </w:r>
      <w:r>
        <w:rPr>
          <w:rFonts w:hint="eastAsia"/>
          <w:color w:val="auto"/>
          <w:highlight w:val="none"/>
          <w:lang w:val="en-US" w:eastAsia="zh-CN"/>
        </w:rPr>
        <w:t xml:space="preserve">）； </w:t>
      </w:r>
    </w:p>
    <w:p>
      <w:pPr>
        <w:bidi w:val="0"/>
        <w:rPr>
          <w:color w:val="auto"/>
          <w:highlight w:val="none"/>
        </w:rPr>
      </w:pPr>
      <w:r>
        <w:rPr>
          <w:rFonts w:hint="eastAsia"/>
          <w:color w:val="auto"/>
          <w:highlight w:val="none"/>
          <w:lang w:val="en-US" w:eastAsia="zh-CN"/>
        </w:rPr>
        <w:t>以上企业，不属于大企业的分支机构，不存在控股股东为大企业的情形，也不存在与大企业的负责人为同一人的情形。</w:t>
      </w:r>
    </w:p>
    <w:p>
      <w:pPr>
        <w:bidi w:val="0"/>
        <w:rPr>
          <w:color w:val="auto"/>
          <w:highlight w:val="none"/>
        </w:rPr>
      </w:pPr>
      <w:r>
        <w:rPr>
          <w:rFonts w:hint="eastAsia"/>
          <w:color w:val="auto"/>
          <w:highlight w:val="none"/>
          <w:lang w:val="en-US" w:eastAsia="zh-CN"/>
        </w:rPr>
        <w:t xml:space="preserve">本企业对上述声明内容的真实性负责。如有虚假，将依法承担相应责任。 </w:t>
      </w:r>
    </w:p>
    <w:p>
      <w:pPr>
        <w:bidi w:val="0"/>
        <w:rPr>
          <w:rFonts w:hint="eastAsia"/>
          <w:color w:val="auto"/>
          <w:highlight w:val="none"/>
          <w:lang w:val="en-US" w:eastAsia="zh-CN"/>
        </w:rPr>
      </w:pPr>
    </w:p>
    <w:p>
      <w:pPr>
        <w:bidi w:val="0"/>
        <w:rPr>
          <w:rFonts w:hint="eastAsia"/>
          <w:color w:val="auto"/>
          <w:highlight w:val="none"/>
          <w:lang w:val="en-US" w:eastAsia="zh-CN"/>
        </w:rPr>
      </w:pPr>
    </w:p>
    <w:p>
      <w:pPr>
        <w:bidi w:val="0"/>
        <w:rPr>
          <w:rFonts w:hint="eastAsia"/>
          <w:color w:val="auto"/>
          <w:highlight w:val="none"/>
          <w:lang w:val="en-US" w:eastAsia="zh-CN"/>
        </w:rPr>
      </w:pPr>
    </w:p>
    <w:p>
      <w:pPr>
        <w:bidi w:val="0"/>
        <w:rPr>
          <w:rFonts w:hint="eastAsia"/>
          <w:color w:val="auto"/>
          <w:highlight w:val="none"/>
          <w:lang w:val="en-US" w:eastAsia="zh-CN"/>
        </w:rPr>
      </w:pPr>
    </w:p>
    <w:p>
      <w:pPr>
        <w:bidi w:val="0"/>
        <w:rPr>
          <w:color w:val="auto"/>
          <w:highlight w:val="none"/>
        </w:rPr>
      </w:pPr>
      <w:r>
        <w:rPr>
          <w:rFonts w:hint="eastAsia"/>
          <w:color w:val="auto"/>
          <w:highlight w:val="none"/>
          <w:lang w:val="en-US" w:eastAsia="zh-CN"/>
        </w:rPr>
        <w:t xml:space="preserve">企业名称（盖章）： </w:t>
      </w:r>
    </w:p>
    <w:p>
      <w:pPr>
        <w:bidi w:val="0"/>
        <w:rPr>
          <w:color w:val="auto"/>
          <w:highlight w:val="none"/>
        </w:rPr>
      </w:pPr>
      <w:r>
        <w:rPr>
          <w:rFonts w:hint="eastAsia"/>
          <w:color w:val="auto"/>
          <w:highlight w:val="none"/>
          <w:lang w:val="en-US" w:eastAsia="zh-CN"/>
        </w:rPr>
        <w:t>日 期：</w:t>
      </w:r>
    </w:p>
    <w:p>
      <w:pPr>
        <w:pStyle w:val="3"/>
        <w:rPr>
          <w:rFonts w:hint="eastAsia"/>
          <w:color w:val="auto"/>
          <w:highlight w:val="none"/>
        </w:rPr>
      </w:pPr>
    </w:p>
    <w:p>
      <w:pPr>
        <w:rPr>
          <w:rFonts w:hint="eastAsia"/>
          <w:color w:val="auto"/>
          <w:highlight w:val="none"/>
        </w:rPr>
      </w:pPr>
    </w:p>
    <w:p>
      <w:pPr>
        <w:pStyle w:val="2"/>
        <w:rPr>
          <w:rFonts w:hint="eastAsia"/>
          <w:color w:val="auto"/>
          <w:highlight w:val="none"/>
        </w:rPr>
      </w:pPr>
    </w:p>
    <w:p>
      <w:pPr>
        <w:ind w:firstLine="480"/>
        <w:rPr>
          <w:rFonts w:ascii="宋体" w:hAnsi="宋体"/>
          <w:b/>
          <w:bCs/>
          <w:color w:val="auto"/>
          <w:sz w:val="21"/>
          <w:szCs w:val="21"/>
          <w:highlight w:val="none"/>
        </w:rPr>
      </w:pPr>
      <w:r>
        <w:rPr>
          <w:rFonts w:hint="eastAsia" w:ascii="宋体" w:hAnsi="宋体"/>
          <w:b/>
          <w:bCs/>
          <w:color w:val="auto"/>
          <w:sz w:val="21"/>
          <w:szCs w:val="21"/>
          <w:highlight w:val="none"/>
        </w:rPr>
        <w:t>说明：</w:t>
      </w:r>
    </w:p>
    <w:p>
      <w:pPr>
        <w:ind w:firstLine="422"/>
        <w:jc w:val="left"/>
        <w:rPr>
          <w:rFonts w:hint="eastAsia" w:ascii="宋体" w:hAnsi="宋体" w:eastAsia="宋体"/>
          <w:b/>
          <w:bCs/>
          <w:color w:val="auto"/>
          <w:sz w:val="21"/>
          <w:szCs w:val="21"/>
          <w:highlight w:val="none"/>
          <w:lang w:eastAsia="zh-CN"/>
        </w:rPr>
      </w:pPr>
      <w:r>
        <w:rPr>
          <w:rFonts w:hint="eastAsia" w:ascii="宋体" w:hAnsi="宋体" w:eastAsia="宋体"/>
          <w:b/>
          <w:bCs/>
          <w:color w:val="auto"/>
          <w:sz w:val="21"/>
          <w:szCs w:val="21"/>
          <w:highlight w:val="none"/>
        </w:rPr>
        <w:t>1.从业人员、营业收入、资产总额填报上一年度数据，数据未填写的视为未提供《中小企业声明函》</w:t>
      </w:r>
      <w:r>
        <w:rPr>
          <w:rFonts w:hint="eastAsia" w:ascii="宋体" w:hAnsi="宋体" w:eastAsia="宋体"/>
          <w:b/>
          <w:bCs/>
          <w:color w:val="auto"/>
          <w:sz w:val="21"/>
          <w:szCs w:val="21"/>
          <w:highlight w:val="none"/>
          <w:lang w:eastAsia="zh-CN"/>
        </w:rPr>
        <w:t>；</w:t>
      </w:r>
    </w:p>
    <w:p>
      <w:pPr>
        <w:ind w:firstLine="422"/>
        <w:jc w:val="left"/>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2.企业类型必须明确属于何种类型（中型/小型/微型），供应商应根据自身情况参考下表《中小微行业划型标准规定》填写确认；</w:t>
      </w:r>
    </w:p>
    <w:p>
      <w:pPr>
        <w:ind w:firstLine="422"/>
        <w:jc w:val="left"/>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eastAsia="zh-CN"/>
        </w:rPr>
        <w:t>3.以上内容有任何缺漏的，均视作</w:t>
      </w:r>
      <w:r>
        <w:rPr>
          <w:rFonts w:hint="eastAsia" w:ascii="宋体" w:hAnsi="宋体" w:eastAsia="宋体"/>
          <w:b/>
          <w:bCs/>
          <w:color w:val="auto"/>
          <w:sz w:val="21"/>
          <w:szCs w:val="21"/>
          <w:highlight w:val="none"/>
        </w:rPr>
        <w:t>未提供《中小企业声明函》</w:t>
      </w:r>
      <w:r>
        <w:rPr>
          <w:rFonts w:hint="eastAsia" w:ascii="宋体" w:hAnsi="宋体" w:eastAsia="宋体"/>
          <w:b/>
          <w:bCs/>
          <w:color w:val="auto"/>
          <w:sz w:val="21"/>
          <w:szCs w:val="21"/>
          <w:highlight w:val="none"/>
          <w:lang w:eastAsia="zh-CN"/>
        </w:rPr>
        <w:t>。</w:t>
      </w:r>
    </w:p>
    <w:p>
      <w:pPr>
        <w:pStyle w:val="13"/>
        <w:spacing w:line="264" w:lineRule="auto"/>
        <w:ind w:firstLine="643"/>
        <w:jc w:val="left"/>
        <w:rPr>
          <w:rFonts w:ascii="宋体" w:hAnsi="宋体" w:cs="宋体"/>
          <w:b/>
          <w:snapToGrid w:val="0"/>
          <w:color w:val="auto"/>
          <w:kern w:val="0"/>
          <w:sz w:val="32"/>
          <w:szCs w:val="32"/>
          <w:highlight w:val="none"/>
        </w:rPr>
      </w:pPr>
    </w:p>
    <w:p>
      <w:pPr>
        <w:pStyle w:val="13"/>
        <w:spacing w:line="264" w:lineRule="auto"/>
        <w:ind w:firstLine="643"/>
        <w:jc w:val="left"/>
        <w:rPr>
          <w:rFonts w:ascii="宋体" w:hAnsi="宋体" w:cs="宋体"/>
          <w:b/>
          <w:snapToGrid w:val="0"/>
          <w:color w:val="auto"/>
          <w:kern w:val="0"/>
          <w:sz w:val="32"/>
          <w:szCs w:val="32"/>
          <w:highlight w:val="none"/>
        </w:rPr>
        <w:sectPr>
          <w:pgSz w:w="11906" w:h="16838"/>
          <w:pgMar w:top="1418" w:right="1418" w:bottom="1418" w:left="1418" w:header="851" w:footer="992" w:gutter="0"/>
          <w:cols w:space="720" w:num="1"/>
          <w:docGrid w:linePitch="312" w:charSpace="0"/>
        </w:sectPr>
      </w:pPr>
    </w:p>
    <w:tbl>
      <w:tblPr>
        <w:tblStyle w:val="21"/>
        <w:tblW w:w="4998" w:type="pct"/>
        <w:tblInd w:w="0" w:type="dxa"/>
        <w:tblLayout w:type="autofit"/>
        <w:tblCellMar>
          <w:top w:w="0" w:type="dxa"/>
          <w:left w:w="108" w:type="dxa"/>
          <w:bottom w:w="0" w:type="dxa"/>
          <w:right w:w="108" w:type="dxa"/>
        </w:tblCellMar>
      </w:tblPr>
      <w:tblGrid>
        <w:gridCol w:w="1870"/>
        <w:gridCol w:w="1407"/>
        <w:gridCol w:w="1660"/>
        <w:gridCol w:w="1572"/>
        <w:gridCol w:w="1165"/>
        <w:gridCol w:w="1467"/>
        <w:gridCol w:w="1504"/>
        <w:gridCol w:w="1205"/>
        <w:gridCol w:w="1199"/>
        <w:gridCol w:w="1029"/>
        <w:gridCol w:w="134"/>
      </w:tblGrid>
      <w:tr>
        <w:tblPrEx>
          <w:tblCellMar>
            <w:top w:w="0" w:type="dxa"/>
            <w:left w:w="108" w:type="dxa"/>
            <w:bottom w:w="0" w:type="dxa"/>
            <w:right w:w="108" w:type="dxa"/>
          </w:tblCellMar>
        </w:tblPrEx>
        <w:trPr>
          <w:gridAfter w:val="1"/>
          <w:wAfter w:w="48" w:type="pct"/>
          <w:trHeight w:val="420" w:hRule="atLeast"/>
        </w:trPr>
        <w:tc>
          <w:tcPr>
            <w:tcW w:w="4951" w:type="pct"/>
            <w:gridSpan w:val="10"/>
            <w:tcBorders>
              <w:top w:val="nil"/>
              <w:left w:val="nil"/>
              <w:bottom w:val="nil"/>
              <w:right w:val="nil"/>
            </w:tcBorders>
            <w:noWrap w:val="0"/>
            <w:vAlign w:val="bottom"/>
          </w:tcPr>
          <w:p>
            <w:pPr>
              <w:ind w:firstLine="0" w:firstLineChars="0"/>
              <w:jc w:val="center"/>
              <w:rPr>
                <w:rFonts w:ascii="宋体" w:hAnsi="宋体" w:cs="宋体"/>
                <w:b/>
                <w:bCs/>
                <w:color w:val="auto"/>
                <w:sz w:val="15"/>
                <w:szCs w:val="15"/>
                <w:highlight w:val="none"/>
              </w:rPr>
            </w:pPr>
            <w:r>
              <w:rPr>
                <w:rFonts w:hint="eastAsia" w:ascii="宋体" w:hAnsi="宋体" w:cs="宋体"/>
                <w:b/>
                <w:bCs/>
                <w:color w:val="auto"/>
                <w:sz w:val="15"/>
                <w:szCs w:val="15"/>
                <w:highlight w:val="none"/>
              </w:rPr>
              <w:t>中小微行业划型标准规定（根据工信部联企业〔2011〕300号制定）</w:t>
            </w:r>
          </w:p>
        </w:tc>
      </w:tr>
      <w:tr>
        <w:tblPrEx>
          <w:tblCellMar>
            <w:top w:w="0" w:type="dxa"/>
            <w:left w:w="108" w:type="dxa"/>
            <w:bottom w:w="0" w:type="dxa"/>
            <w:right w:w="108" w:type="dxa"/>
          </w:tblCellMar>
        </w:tblPrEx>
        <w:trPr>
          <w:trHeight w:val="465" w:hRule="atLeast"/>
        </w:trPr>
        <w:tc>
          <w:tcPr>
            <w:tcW w:w="658" w:type="pct"/>
            <w:vMerge w:val="restart"/>
            <w:tcBorders>
              <w:top w:val="single" w:color="auto" w:sz="8" w:space="0"/>
              <w:left w:val="single" w:color="auto" w:sz="8" w:space="0"/>
              <w:bottom w:val="single" w:color="000000" w:sz="4" w:space="0"/>
              <w:right w:val="single" w:color="auto" w:sz="8" w:space="0"/>
            </w:tcBorders>
            <w:noWrap w:val="0"/>
            <w:vAlign w:val="center"/>
          </w:tcPr>
          <w:p>
            <w:pPr>
              <w:ind w:firstLine="0" w:firstLineChars="0"/>
              <w:jc w:val="center"/>
              <w:rPr>
                <w:rFonts w:ascii="宋体" w:hAnsi="宋体" w:cs="宋体"/>
                <w:b/>
                <w:bCs/>
                <w:color w:val="auto"/>
                <w:sz w:val="15"/>
                <w:szCs w:val="15"/>
                <w:highlight w:val="none"/>
              </w:rPr>
            </w:pPr>
            <w:r>
              <w:rPr>
                <w:rFonts w:hint="eastAsia" w:ascii="宋体" w:hAnsi="宋体" w:cs="宋体"/>
                <w:b/>
                <w:bCs/>
                <w:color w:val="auto"/>
                <w:sz w:val="15"/>
                <w:szCs w:val="15"/>
                <w:highlight w:val="none"/>
              </w:rPr>
              <w:t>行业</w:t>
            </w:r>
          </w:p>
        </w:tc>
        <w:tc>
          <w:tcPr>
            <w:tcW w:w="1632" w:type="pct"/>
            <w:gridSpan w:val="3"/>
            <w:tcBorders>
              <w:top w:val="single" w:color="auto" w:sz="8" w:space="0"/>
              <w:left w:val="nil"/>
              <w:bottom w:val="single" w:color="auto" w:sz="4" w:space="0"/>
              <w:right w:val="single" w:color="000000" w:sz="8" w:space="0"/>
            </w:tcBorders>
            <w:noWrap w:val="0"/>
            <w:vAlign w:val="bottom"/>
          </w:tcPr>
          <w:p>
            <w:pPr>
              <w:ind w:firstLine="0" w:firstLineChars="0"/>
              <w:jc w:val="center"/>
              <w:rPr>
                <w:rFonts w:ascii="宋体" w:hAnsi="宋体" w:cs="宋体"/>
                <w:b/>
                <w:bCs/>
                <w:color w:val="auto"/>
                <w:sz w:val="15"/>
                <w:szCs w:val="15"/>
                <w:highlight w:val="none"/>
              </w:rPr>
            </w:pPr>
            <w:r>
              <w:rPr>
                <w:rFonts w:hint="eastAsia" w:ascii="宋体" w:hAnsi="宋体" w:cs="宋体"/>
                <w:b/>
                <w:bCs/>
                <w:color w:val="auto"/>
                <w:sz w:val="15"/>
                <w:szCs w:val="15"/>
                <w:highlight w:val="none"/>
              </w:rPr>
              <w:t>中型企业</w:t>
            </w:r>
          </w:p>
        </w:tc>
        <w:tc>
          <w:tcPr>
            <w:tcW w:w="1455" w:type="pct"/>
            <w:gridSpan w:val="3"/>
            <w:tcBorders>
              <w:top w:val="single" w:color="auto" w:sz="8" w:space="0"/>
              <w:left w:val="nil"/>
              <w:bottom w:val="single" w:color="auto" w:sz="4" w:space="0"/>
              <w:right w:val="single" w:color="000000" w:sz="8" w:space="0"/>
            </w:tcBorders>
            <w:noWrap w:val="0"/>
            <w:vAlign w:val="bottom"/>
          </w:tcPr>
          <w:p>
            <w:pPr>
              <w:ind w:firstLine="0" w:firstLineChars="0"/>
              <w:jc w:val="center"/>
              <w:rPr>
                <w:rFonts w:ascii="宋体" w:hAnsi="宋体" w:cs="宋体"/>
                <w:b/>
                <w:bCs/>
                <w:color w:val="auto"/>
                <w:sz w:val="15"/>
                <w:szCs w:val="15"/>
                <w:highlight w:val="none"/>
              </w:rPr>
            </w:pPr>
            <w:r>
              <w:rPr>
                <w:rFonts w:hint="eastAsia" w:ascii="宋体" w:hAnsi="宋体" w:cs="宋体"/>
                <w:b/>
                <w:bCs/>
                <w:color w:val="auto"/>
                <w:sz w:val="15"/>
                <w:szCs w:val="15"/>
                <w:highlight w:val="none"/>
              </w:rPr>
              <w:t>小型企业</w:t>
            </w:r>
          </w:p>
        </w:tc>
        <w:tc>
          <w:tcPr>
            <w:tcW w:w="1253" w:type="pct"/>
            <w:gridSpan w:val="4"/>
            <w:tcBorders>
              <w:top w:val="single" w:color="auto" w:sz="8" w:space="0"/>
              <w:left w:val="nil"/>
              <w:bottom w:val="single" w:color="auto" w:sz="4" w:space="0"/>
              <w:right w:val="single" w:color="000000" w:sz="8" w:space="0"/>
            </w:tcBorders>
            <w:noWrap w:val="0"/>
            <w:vAlign w:val="bottom"/>
          </w:tcPr>
          <w:p>
            <w:pPr>
              <w:ind w:firstLine="0" w:firstLineChars="0"/>
              <w:jc w:val="center"/>
              <w:rPr>
                <w:rFonts w:ascii="宋体" w:hAnsi="宋体" w:cs="宋体"/>
                <w:b/>
                <w:bCs/>
                <w:color w:val="auto"/>
                <w:sz w:val="15"/>
                <w:szCs w:val="15"/>
                <w:highlight w:val="none"/>
              </w:rPr>
            </w:pPr>
            <w:r>
              <w:rPr>
                <w:rFonts w:hint="eastAsia" w:ascii="宋体" w:hAnsi="宋体" w:cs="宋体"/>
                <w:b/>
                <w:bCs/>
                <w:color w:val="auto"/>
                <w:sz w:val="15"/>
                <w:szCs w:val="15"/>
                <w:highlight w:val="none"/>
              </w:rPr>
              <w:t>微型企业</w:t>
            </w:r>
          </w:p>
        </w:tc>
      </w:tr>
      <w:tr>
        <w:trPr>
          <w:trHeight w:val="525" w:hRule="atLeast"/>
        </w:trPr>
        <w:tc>
          <w:tcPr>
            <w:tcW w:w="658" w:type="pct"/>
            <w:vMerge w:val="continue"/>
            <w:tcBorders>
              <w:top w:val="single" w:color="auto" w:sz="8" w:space="0"/>
              <w:left w:val="single" w:color="auto" w:sz="8" w:space="0"/>
              <w:bottom w:val="single" w:color="000000" w:sz="4" w:space="0"/>
              <w:right w:val="single" w:color="auto" w:sz="8" w:space="0"/>
            </w:tcBorders>
            <w:noWrap w:val="0"/>
            <w:vAlign w:val="center"/>
          </w:tcPr>
          <w:p>
            <w:pPr>
              <w:ind w:firstLine="0" w:firstLineChars="0"/>
              <w:rPr>
                <w:rFonts w:ascii="宋体" w:hAnsi="宋体" w:cs="宋体"/>
                <w:b/>
                <w:bCs/>
                <w:color w:val="auto"/>
                <w:sz w:val="15"/>
                <w:szCs w:val="15"/>
                <w:highlight w:val="none"/>
              </w:rPr>
            </w:pPr>
          </w:p>
        </w:tc>
        <w:tc>
          <w:tcPr>
            <w:tcW w:w="495" w:type="pct"/>
            <w:tcBorders>
              <w:top w:val="nil"/>
              <w:left w:val="nil"/>
              <w:bottom w:val="single" w:color="auto" w:sz="4" w:space="0"/>
              <w:right w:val="single" w:color="auto" w:sz="4" w:space="0"/>
            </w:tcBorders>
            <w:noWrap w:val="0"/>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从业人员X（人）</w:t>
            </w:r>
          </w:p>
        </w:tc>
        <w:tc>
          <w:tcPr>
            <w:tcW w:w="584" w:type="pct"/>
            <w:tcBorders>
              <w:top w:val="nil"/>
              <w:left w:val="nil"/>
              <w:bottom w:val="single" w:color="auto" w:sz="4" w:space="0"/>
              <w:right w:val="single" w:color="auto" w:sz="4" w:space="0"/>
            </w:tcBorders>
            <w:noWrap w:val="0"/>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营业收入Y</w:t>
            </w:r>
          </w:p>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（万元）</w:t>
            </w:r>
          </w:p>
        </w:tc>
        <w:tc>
          <w:tcPr>
            <w:tcW w:w="552" w:type="pct"/>
            <w:tcBorders>
              <w:top w:val="nil"/>
              <w:left w:val="nil"/>
              <w:bottom w:val="single" w:color="auto" w:sz="4" w:space="0"/>
              <w:right w:val="single" w:color="auto" w:sz="8" w:space="0"/>
            </w:tcBorders>
            <w:noWrap w:val="0"/>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资产总额Z</w:t>
            </w:r>
          </w:p>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（万元）</w:t>
            </w:r>
          </w:p>
        </w:tc>
        <w:tc>
          <w:tcPr>
            <w:tcW w:w="410" w:type="pct"/>
            <w:tcBorders>
              <w:top w:val="nil"/>
              <w:left w:val="nil"/>
              <w:bottom w:val="single" w:color="auto" w:sz="4" w:space="0"/>
              <w:right w:val="single" w:color="auto" w:sz="4" w:space="0"/>
            </w:tcBorders>
            <w:noWrap w:val="0"/>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从业人员X（人）</w:t>
            </w:r>
          </w:p>
        </w:tc>
        <w:tc>
          <w:tcPr>
            <w:tcW w:w="516" w:type="pct"/>
            <w:tcBorders>
              <w:top w:val="nil"/>
              <w:left w:val="nil"/>
              <w:bottom w:val="single" w:color="auto" w:sz="4" w:space="0"/>
              <w:right w:val="single" w:color="auto" w:sz="4" w:space="0"/>
            </w:tcBorders>
            <w:noWrap w:val="0"/>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营业收入Y</w:t>
            </w:r>
          </w:p>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（万元）</w:t>
            </w:r>
          </w:p>
        </w:tc>
        <w:tc>
          <w:tcPr>
            <w:tcW w:w="528" w:type="pct"/>
            <w:tcBorders>
              <w:top w:val="nil"/>
              <w:left w:val="nil"/>
              <w:bottom w:val="single" w:color="auto" w:sz="4" w:space="0"/>
              <w:right w:val="single" w:color="auto" w:sz="8" w:space="0"/>
            </w:tcBorders>
            <w:noWrap w:val="0"/>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资产总额Z</w:t>
            </w:r>
          </w:p>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（万元）</w:t>
            </w:r>
          </w:p>
        </w:tc>
        <w:tc>
          <w:tcPr>
            <w:tcW w:w="424" w:type="pct"/>
            <w:tcBorders>
              <w:top w:val="nil"/>
              <w:left w:val="nil"/>
              <w:bottom w:val="single" w:color="auto" w:sz="4" w:space="0"/>
              <w:right w:val="single" w:color="auto" w:sz="4" w:space="0"/>
            </w:tcBorders>
            <w:noWrap w:val="0"/>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从业人员X（人）</w:t>
            </w:r>
          </w:p>
        </w:tc>
        <w:tc>
          <w:tcPr>
            <w:tcW w:w="422" w:type="pct"/>
            <w:tcBorders>
              <w:top w:val="nil"/>
              <w:left w:val="nil"/>
              <w:bottom w:val="single" w:color="auto" w:sz="4" w:space="0"/>
              <w:right w:val="single" w:color="auto" w:sz="4" w:space="0"/>
            </w:tcBorders>
            <w:noWrap w:val="0"/>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营业收入Y（万元）</w:t>
            </w:r>
          </w:p>
        </w:tc>
        <w:tc>
          <w:tcPr>
            <w:tcW w:w="406" w:type="pct"/>
            <w:gridSpan w:val="2"/>
            <w:tcBorders>
              <w:top w:val="nil"/>
              <w:left w:val="nil"/>
              <w:bottom w:val="single" w:color="auto" w:sz="4" w:space="0"/>
              <w:right w:val="single" w:color="auto" w:sz="8" w:space="0"/>
            </w:tcBorders>
            <w:noWrap w:val="0"/>
            <w:vAlign w:val="bottom"/>
          </w:tcPr>
          <w:p>
            <w:pPr>
              <w:ind w:firstLine="0" w:firstLineChars="0"/>
              <w:jc w:val="center"/>
              <w:rPr>
                <w:rFonts w:ascii="宋体" w:hAnsi="宋体" w:cs="宋体"/>
                <w:color w:val="auto"/>
                <w:sz w:val="15"/>
                <w:szCs w:val="15"/>
                <w:highlight w:val="none"/>
              </w:rPr>
            </w:pPr>
            <w:r>
              <w:rPr>
                <w:rFonts w:hint="eastAsia" w:ascii="宋体" w:hAnsi="宋体" w:cs="宋体"/>
                <w:color w:val="auto"/>
                <w:sz w:val="15"/>
                <w:szCs w:val="15"/>
                <w:highlight w:val="none"/>
              </w:rPr>
              <w:t>资产总额Z（万元）</w:t>
            </w:r>
          </w:p>
        </w:tc>
      </w:tr>
      <w:tr>
        <w:tblPrEx>
          <w:tblCellMar>
            <w:top w:w="0" w:type="dxa"/>
            <w:left w:w="108" w:type="dxa"/>
            <w:bottom w:w="0" w:type="dxa"/>
            <w:right w:w="108" w:type="dxa"/>
          </w:tblCellMar>
        </w:tblPrEx>
        <w:trPr>
          <w:trHeight w:val="360" w:hRule="atLeast"/>
        </w:trPr>
        <w:tc>
          <w:tcPr>
            <w:tcW w:w="658" w:type="pct"/>
            <w:tcBorders>
              <w:top w:val="nil"/>
              <w:left w:val="single" w:color="auto" w:sz="8" w:space="0"/>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1、农林牧渔业</w:t>
            </w:r>
          </w:p>
        </w:tc>
        <w:tc>
          <w:tcPr>
            <w:tcW w:w="495"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p>
        </w:tc>
        <w:tc>
          <w:tcPr>
            <w:tcW w:w="58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500≤Y＜20000</w:t>
            </w:r>
          </w:p>
        </w:tc>
        <w:tc>
          <w:tcPr>
            <w:tcW w:w="552"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10"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p>
        </w:tc>
        <w:tc>
          <w:tcPr>
            <w:tcW w:w="516"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50≤Y＜500</w:t>
            </w:r>
          </w:p>
        </w:tc>
        <w:tc>
          <w:tcPr>
            <w:tcW w:w="528"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2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p>
        </w:tc>
        <w:tc>
          <w:tcPr>
            <w:tcW w:w="422"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Y＜50</w:t>
            </w:r>
          </w:p>
        </w:tc>
        <w:tc>
          <w:tcPr>
            <w:tcW w:w="406" w:type="pct"/>
            <w:gridSpan w:val="2"/>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658" w:type="pct"/>
            <w:tcBorders>
              <w:top w:val="nil"/>
              <w:left w:val="single" w:color="auto" w:sz="8" w:space="0"/>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2、工业</w:t>
            </w:r>
          </w:p>
        </w:tc>
        <w:tc>
          <w:tcPr>
            <w:tcW w:w="495"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300≤X＜1000</w:t>
            </w:r>
          </w:p>
        </w:tc>
        <w:tc>
          <w:tcPr>
            <w:tcW w:w="58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2000≤Y＜40000</w:t>
            </w:r>
          </w:p>
        </w:tc>
        <w:tc>
          <w:tcPr>
            <w:tcW w:w="552"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10"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20≤X＜300</w:t>
            </w:r>
          </w:p>
        </w:tc>
        <w:tc>
          <w:tcPr>
            <w:tcW w:w="516"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300≤Y＜2000</w:t>
            </w:r>
          </w:p>
        </w:tc>
        <w:tc>
          <w:tcPr>
            <w:tcW w:w="528"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2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X＜20</w:t>
            </w:r>
          </w:p>
        </w:tc>
        <w:tc>
          <w:tcPr>
            <w:tcW w:w="422"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Y＜300</w:t>
            </w:r>
          </w:p>
        </w:tc>
        <w:tc>
          <w:tcPr>
            <w:tcW w:w="406" w:type="pct"/>
            <w:gridSpan w:val="2"/>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658" w:type="pct"/>
            <w:tcBorders>
              <w:top w:val="nil"/>
              <w:left w:val="single" w:color="auto" w:sz="8" w:space="0"/>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3、建筑业</w:t>
            </w:r>
          </w:p>
        </w:tc>
        <w:tc>
          <w:tcPr>
            <w:tcW w:w="495"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p>
        </w:tc>
        <w:tc>
          <w:tcPr>
            <w:tcW w:w="58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6000≤Y＜80000</w:t>
            </w:r>
          </w:p>
        </w:tc>
        <w:tc>
          <w:tcPr>
            <w:tcW w:w="552"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5000≤Z＜80000</w:t>
            </w:r>
          </w:p>
        </w:tc>
        <w:tc>
          <w:tcPr>
            <w:tcW w:w="410"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p>
        </w:tc>
        <w:tc>
          <w:tcPr>
            <w:tcW w:w="516"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300≤Y＜6000</w:t>
            </w:r>
          </w:p>
        </w:tc>
        <w:tc>
          <w:tcPr>
            <w:tcW w:w="528"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300≤Z＜5000</w:t>
            </w:r>
          </w:p>
        </w:tc>
        <w:tc>
          <w:tcPr>
            <w:tcW w:w="42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p>
        </w:tc>
        <w:tc>
          <w:tcPr>
            <w:tcW w:w="422"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Y＜300</w:t>
            </w:r>
          </w:p>
        </w:tc>
        <w:tc>
          <w:tcPr>
            <w:tcW w:w="406" w:type="pct"/>
            <w:gridSpan w:val="2"/>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Z＜300</w:t>
            </w:r>
          </w:p>
        </w:tc>
      </w:tr>
      <w:tr>
        <w:tblPrEx>
          <w:tblCellMar>
            <w:top w:w="0" w:type="dxa"/>
            <w:left w:w="108" w:type="dxa"/>
            <w:bottom w:w="0" w:type="dxa"/>
            <w:right w:w="108" w:type="dxa"/>
          </w:tblCellMar>
        </w:tblPrEx>
        <w:trPr>
          <w:trHeight w:val="360" w:hRule="atLeast"/>
        </w:trPr>
        <w:tc>
          <w:tcPr>
            <w:tcW w:w="658" w:type="pct"/>
            <w:tcBorders>
              <w:top w:val="nil"/>
              <w:left w:val="single" w:color="auto" w:sz="8" w:space="0"/>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4、批发业</w:t>
            </w:r>
          </w:p>
        </w:tc>
        <w:tc>
          <w:tcPr>
            <w:tcW w:w="495"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20≤X＜200</w:t>
            </w:r>
          </w:p>
        </w:tc>
        <w:tc>
          <w:tcPr>
            <w:tcW w:w="58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5000≤Y＜40000</w:t>
            </w:r>
          </w:p>
        </w:tc>
        <w:tc>
          <w:tcPr>
            <w:tcW w:w="552"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10"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5≤X＜20</w:t>
            </w:r>
          </w:p>
        </w:tc>
        <w:tc>
          <w:tcPr>
            <w:tcW w:w="516"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1000≤Y＜5000</w:t>
            </w:r>
          </w:p>
        </w:tc>
        <w:tc>
          <w:tcPr>
            <w:tcW w:w="528"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2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X＜5</w:t>
            </w:r>
          </w:p>
        </w:tc>
        <w:tc>
          <w:tcPr>
            <w:tcW w:w="422"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Y＜1000</w:t>
            </w:r>
          </w:p>
        </w:tc>
        <w:tc>
          <w:tcPr>
            <w:tcW w:w="406" w:type="pct"/>
            <w:gridSpan w:val="2"/>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658" w:type="pct"/>
            <w:tcBorders>
              <w:top w:val="nil"/>
              <w:left w:val="single" w:color="auto" w:sz="8" w:space="0"/>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5、零售业</w:t>
            </w:r>
          </w:p>
        </w:tc>
        <w:tc>
          <w:tcPr>
            <w:tcW w:w="495"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50≤X＜300</w:t>
            </w:r>
          </w:p>
        </w:tc>
        <w:tc>
          <w:tcPr>
            <w:tcW w:w="58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500≤Y＜20000</w:t>
            </w:r>
          </w:p>
        </w:tc>
        <w:tc>
          <w:tcPr>
            <w:tcW w:w="552"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10"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10≤X＜50</w:t>
            </w:r>
          </w:p>
        </w:tc>
        <w:tc>
          <w:tcPr>
            <w:tcW w:w="516"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100≤Y＜500</w:t>
            </w:r>
          </w:p>
        </w:tc>
        <w:tc>
          <w:tcPr>
            <w:tcW w:w="528"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2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X＜10</w:t>
            </w:r>
          </w:p>
        </w:tc>
        <w:tc>
          <w:tcPr>
            <w:tcW w:w="422"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Y＜100</w:t>
            </w:r>
          </w:p>
        </w:tc>
        <w:tc>
          <w:tcPr>
            <w:tcW w:w="406" w:type="pct"/>
            <w:gridSpan w:val="2"/>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658" w:type="pct"/>
            <w:tcBorders>
              <w:top w:val="nil"/>
              <w:left w:val="single" w:color="auto" w:sz="8" w:space="0"/>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6、交通运输业</w:t>
            </w:r>
          </w:p>
        </w:tc>
        <w:tc>
          <w:tcPr>
            <w:tcW w:w="495"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300≤X＜1000</w:t>
            </w:r>
          </w:p>
        </w:tc>
        <w:tc>
          <w:tcPr>
            <w:tcW w:w="58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3000≤Y＜30000</w:t>
            </w:r>
          </w:p>
        </w:tc>
        <w:tc>
          <w:tcPr>
            <w:tcW w:w="552"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10"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20≤X＜300</w:t>
            </w:r>
          </w:p>
        </w:tc>
        <w:tc>
          <w:tcPr>
            <w:tcW w:w="516"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200≤Y＜3000</w:t>
            </w:r>
          </w:p>
        </w:tc>
        <w:tc>
          <w:tcPr>
            <w:tcW w:w="528"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2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X＜20</w:t>
            </w:r>
          </w:p>
        </w:tc>
        <w:tc>
          <w:tcPr>
            <w:tcW w:w="422"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V＜200</w:t>
            </w:r>
          </w:p>
        </w:tc>
        <w:tc>
          <w:tcPr>
            <w:tcW w:w="406" w:type="pct"/>
            <w:gridSpan w:val="2"/>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658" w:type="pct"/>
            <w:tcBorders>
              <w:top w:val="nil"/>
              <w:left w:val="single" w:color="auto" w:sz="8" w:space="0"/>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7、仓储业</w:t>
            </w:r>
          </w:p>
        </w:tc>
        <w:tc>
          <w:tcPr>
            <w:tcW w:w="495"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100≤X＜200</w:t>
            </w:r>
          </w:p>
        </w:tc>
        <w:tc>
          <w:tcPr>
            <w:tcW w:w="58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1000≤Y＜30000</w:t>
            </w:r>
          </w:p>
        </w:tc>
        <w:tc>
          <w:tcPr>
            <w:tcW w:w="552"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10"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20≤X＜100</w:t>
            </w:r>
          </w:p>
        </w:tc>
        <w:tc>
          <w:tcPr>
            <w:tcW w:w="516"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100≤Y＜1000</w:t>
            </w:r>
          </w:p>
        </w:tc>
        <w:tc>
          <w:tcPr>
            <w:tcW w:w="528"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2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X＜20</w:t>
            </w:r>
          </w:p>
        </w:tc>
        <w:tc>
          <w:tcPr>
            <w:tcW w:w="422"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Y＜100</w:t>
            </w:r>
          </w:p>
        </w:tc>
        <w:tc>
          <w:tcPr>
            <w:tcW w:w="406" w:type="pct"/>
            <w:gridSpan w:val="2"/>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658" w:type="pct"/>
            <w:tcBorders>
              <w:top w:val="nil"/>
              <w:left w:val="single" w:color="auto" w:sz="8" w:space="0"/>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8、邮政业</w:t>
            </w:r>
          </w:p>
        </w:tc>
        <w:tc>
          <w:tcPr>
            <w:tcW w:w="495"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300≤X＜1000</w:t>
            </w:r>
          </w:p>
        </w:tc>
        <w:tc>
          <w:tcPr>
            <w:tcW w:w="58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2000≤Y＜30000</w:t>
            </w:r>
          </w:p>
        </w:tc>
        <w:tc>
          <w:tcPr>
            <w:tcW w:w="552"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10"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20≤X＜300</w:t>
            </w:r>
          </w:p>
        </w:tc>
        <w:tc>
          <w:tcPr>
            <w:tcW w:w="516"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100≤Y＜2000</w:t>
            </w:r>
          </w:p>
        </w:tc>
        <w:tc>
          <w:tcPr>
            <w:tcW w:w="528"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2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X＜20</w:t>
            </w:r>
          </w:p>
        </w:tc>
        <w:tc>
          <w:tcPr>
            <w:tcW w:w="422"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Y＜100</w:t>
            </w:r>
          </w:p>
        </w:tc>
        <w:tc>
          <w:tcPr>
            <w:tcW w:w="406" w:type="pct"/>
            <w:gridSpan w:val="2"/>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658" w:type="pct"/>
            <w:tcBorders>
              <w:top w:val="nil"/>
              <w:left w:val="single" w:color="auto" w:sz="8" w:space="0"/>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9、住宿业</w:t>
            </w:r>
          </w:p>
        </w:tc>
        <w:tc>
          <w:tcPr>
            <w:tcW w:w="495"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100≤X＜300</w:t>
            </w:r>
          </w:p>
        </w:tc>
        <w:tc>
          <w:tcPr>
            <w:tcW w:w="58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2000≤Y＜10000</w:t>
            </w:r>
          </w:p>
        </w:tc>
        <w:tc>
          <w:tcPr>
            <w:tcW w:w="552"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10"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10≤X＜100</w:t>
            </w:r>
          </w:p>
        </w:tc>
        <w:tc>
          <w:tcPr>
            <w:tcW w:w="516"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100≤Y＜2000</w:t>
            </w:r>
          </w:p>
        </w:tc>
        <w:tc>
          <w:tcPr>
            <w:tcW w:w="528"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2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X＜10</w:t>
            </w:r>
          </w:p>
        </w:tc>
        <w:tc>
          <w:tcPr>
            <w:tcW w:w="422"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Y＜100</w:t>
            </w:r>
          </w:p>
        </w:tc>
        <w:tc>
          <w:tcPr>
            <w:tcW w:w="406" w:type="pct"/>
            <w:gridSpan w:val="2"/>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658" w:type="pct"/>
            <w:tcBorders>
              <w:top w:val="nil"/>
              <w:left w:val="single" w:color="auto" w:sz="8" w:space="0"/>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10、餐饮业</w:t>
            </w:r>
          </w:p>
        </w:tc>
        <w:tc>
          <w:tcPr>
            <w:tcW w:w="495"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100≤X＜300</w:t>
            </w:r>
          </w:p>
        </w:tc>
        <w:tc>
          <w:tcPr>
            <w:tcW w:w="58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2000≤Y＜10000</w:t>
            </w:r>
          </w:p>
        </w:tc>
        <w:tc>
          <w:tcPr>
            <w:tcW w:w="552"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10"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10≤X＜100</w:t>
            </w:r>
          </w:p>
        </w:tc>
        <w:tc>
          <w:tcPr>
            <w:tcW w:w="516"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100≤Y＜2000</w:t>
            </w:r>
          </w:p>
        </w:tc>
        <w:tc>
          <w:tcPr>
            <w:tcW w:w="528"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2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X＜10</w:t>
            </w:r>
          </w:p>
        </w:tc>
        <w:tc>
          <w:tcPr>
            <w:tcW w:w="422"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V＜100</w:t>
            </w:r>
          </w:p>
        </w:tc>
        <w:tc>
          <w:tcPr>
            <w:tcW w:w="406" w:type="pct"/>
            <w:gridSpan w:val="2"/>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658" w:type="pct"/>
            <w:tcBorders>
              <w:top w:val="nil"/>
              <w:left w:val="single" w:color="auto" w:sz="8" w:space="0"/>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11、信息传输业</w:t>
            </w:r>
          </w:p>
        </w:tc>
        <w:tc>
          <w:tcPr>
            <w:tcW w:w="495"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100≤X＜2000</w:t>
            </w:r>
          </w:p>
        </w:tc>
        <w:tc>
          <w:tcPr>
            <w:tcW w:w="58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1000≤Y＜100000</w:t>
            </w:r>
          </w:p>
        </w:tc>
        <w:tc>
          <w:tcPr>
            <w:tcW w:w="552"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10"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10≤X＜100</w:t>
            </w:r>
          </w:p>
        </w:tc>
        <w:tc>
          <w:tcPr>
            <w:tcW w:w="516"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100≤Y＜1000</w:t>
            </w:r>
          </w:p>
        </w:tc>
        <w:tc>
          <w:tcPr>
            <w:tcW w:w="528"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2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X＜10</w:t>
            </w:r>
          </w:p>
        </w:tc>
        <w:tc>
          <w:tcPr>
            <w:tcW w:w="422"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Y＜100</w:t>
            </w:r>
          </w:p>
        </w:tc>
        <w:tc>
          <w:tcPr>
            <w:tcW w:w="406" w:type="pct"/>
            <w:gridSpan w:val="2"/>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658" w:type="pct"/>
            <w:tcBorders>
              <w:top w:val="nil"/>
              <w:left w:val="single" w:color="auto" w:sz="8" w:space="0"/>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12、软件和信息技术服务业</w:t>
            </w:r>
          </w:p>
        </w:tc>
        <w:tc>
          <w:tcPr>
            <w:tcW w:w="495"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100≤X＜300</w:t>
            </w:r>
          </w:p>
        </w:tc>
        <w:tc>
          <w:tcPr>
            <w:tcW w:w="58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1000≤Y＜10000</w:t>
            </w:r>
          </w:p>
        </w:tc>
        <w:tc>
          <w:tcPr>
            <w:tcW w:w="552"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10"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10≤X＜100</w:t>
            </w:r>
          </w:p>
        </w:tc>
        <w:tc>
          <w:tcPr>
            <w:tcW w:w="516"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50≤Y＜1000</w:t>
            </w:r>
          </w:p>
        </w:tc>
        <w:tc>
          <w:tcPr>
            <w:tcW w:w="528"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2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X＜10</w:t>
            </w:r>
          </w:p>
        </w:tc>
        <w:tc>
          <w:tcPr>
            <w:tcW w:w="422"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Y＜50</w:t>
            </w:r>
          </w:p>
        </w:tc>
        <w:tc>
          <w:tcPr>
            <w:tcW w:w="406" w:type="pct"/>
            <w:gridSpan w:val="2"/>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658" w:type="pct"/>
            <w:tcBorders>
              <w:top w:val="nil"/>
              <w:left w:val="single" w:color="auto" w:sz="8" w:space="0"/>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13、房地产开发经营</w:t>
            </w:r>
          </w:p>
        </w:tc>
        <w:tc>
          <w:tcPr>
            <w:tcW w:w="495"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p>
        </w:tc>
        <w:tc>
          <w:tcPr>
            <w:tcW w:w="58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1000≤Y＜200000</w:t>
            </w:r>
          </w:p>
        </w:tc>
        <w:tc>
          <w:tcPr>
            <w:tcW w:w="552"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5000≤Z＜10000</w:t>
            </w:r>
          </w:p>
        </w:tc>
        <w:tc>
          <w:tcPr>
            <w:tcW w:w="410"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p>
        </w:tc>
        <w:tc>
          <w:tcPr>
            <w:tcW w:w="516"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100≤Y＜1000</w:t>
            </w:r>
          </w:p>
        </w:tc>
        <w:tc>
          <w:tcPr>
            <w:tcW w:w="528"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2000≤Z＜5000</w:t>
            </w:r>
          </w:p>
        </w:tc>
        <w:tc>
          <w:tcPr>
            <w:tcW w:w="42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p>
        </w:tc>
        <w:tc>
          <w:tcPr>
            <w:tcW w:w="422"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Y＜100</w:t>
            </w:r>
          </w:p>
        </w:tc>
        <w:tc>
          <w:tcPr>
            <w:tcW w:w="406" w:type="pct"/>
            <w:gridSpan w:val="2"/>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Z＜2000</w:t>
            </w:r>
          </w:p>
        </w:tc>
      </w:tr>
      <w:tr>
        <w:tblPrEx>
          <w:tblCellMar>
            <w:top w:w="0" w:type="dxa"/>
            <w:left w:w="108" w:type="dxa"/>
            <w:bottom w:w="0" w:type="dxa"/>
            <w:right w:w="108" w:type="dxa"/>
          </w:tblCellMar>
        </w:tblPrEx>
        <w:trPr>
          <w:trHeight w:val="360" w:hRule="atLeast"/>
        </w:trPr>
        <w:tc>
          <w:tcPr>
            <w:tcW w:w="658" w:type="pct"/>
            <w:tcBorders>
              <w:top w:val="nil"/>
              <w:left w:val="single" w:color="auto" w:sz="8" w:space="0"/>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14、物业管理</w:t>
            </w:r>
          </w:p>
        </w:tc>
        <w:tc>
          <w:tcPr>
            <w:tcW w:w="495"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300≤X＜1000</w:t>
            </w:r>
          </w:p>
        </w:tc>
        <w:tc>
          <w:tcPr>
            <w:tcW w:w="58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1000≤Y＜5000</w:t>
            </w:r>
          </w:p>
        </w:tc>
        <w:tc>
          <w:tcPr>
            <w:tcW w:w="552"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10"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100≤X＜300</w:t>
            </w:r>
          </w:p>
        </w:tc>
        <w:tc>
          <w:tcPr>
            <w:tcW w:w="516"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500≤Y＜1000</w:t>
            </w:r>
          </w:p>
        </w:tc>
        <w:tc>
          <w:tcPr>
            <w:tcW w:w="528"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2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X＜100</w:t>
            </w:r>
          </w:p>
        </w:tc>
        <w:tc>
          <w:tcPr>
            <w:tcW w:w="422"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Y＜500</w:t>
            </w:r>
          </w:p>
        </w:tc>
        <w:tc>
          <w:tcPr>
            <w:tcW w:w="406" w:type="pct"/>
            <w:gridSpan w:val="2"/>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trHeight w:val="360" w:hRule="atLeast"/>
        </w:trPr>
        <w:tc>
          <w:tcPr>
            <w:tcW w:w="658" w:type="pct"/>
            <w:tcBorders>
              <w:top w:val="nil"/>
              <w:left w:val="single" w:color="auto" w:sz="8" w:space="0"/>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15、租赁和商务服务业</w:t>
            </w:r>
          </w:p>
        </w:tc>
        <w:tc>
          <w:tcPr>
            <w:tcW w:w="495"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100≤X＜300</w:t>
            </w:r>
          </w:p>
        </w:tc>
        <w:tc>
          <w:tcPr>
            <w:tcW w:w="58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p>
        </w:tc>
        <w:tc>
          <w:tcPr>
            <w:tcW w:w="552"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8000≤Z＜120000</w:t>
            </w:r>
          </w:p>
        </w:tc>
        <w:tc>
          <w:tcPr>
            <w:tcW w:w="410"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10≤X＜100</w:t>
            </w:r>
          </w:p>
        </w:tc>
        <w:tc>
          <w:tcPr>
            <w:tcW w:w="516"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p>
        </w:tc>
        <w:tc>
          <w:tcPr>
            <w:tcW w:w="528" w:type="pct"/>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 xml:space="preserve"> 100≤Z＜8000</w:t>
            </w:r>
          </w:p>
        </w:tc>
        <w:tc>
          <w:tcPr>
            <w:tcW w:w="424"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X＜10</w:t>
            </w:r>
          </w:p>
        </w:tc>
        <w:tc>
          <w:tcPr>
            <w:tcW w:w="422" w:type="pct"/>
            <w:tcBorders>
              <w:top w:val="nil"/>
              <w:left w:val="nil"/>
              <w:bottom w:val="single" w:color="auto" w:sz="4" w:space="0"/>
              <w:right w:val="single" w:color="auto" w:sz="4" w:space="0"/>
            </w:tcBorders>
            <w:noWrap w:val="0"/>
            <w:vAlign w:val="bottom"/>
          </w:tcPr>
          <w:p>
            <w:pPr>
              <w:ind w:firstLine="0" w:firstLineChars="0"/>
              <w:rPr>
                <w:rFonts w:ascii="宋体" w:hAnsi="宋体" w:cs="宋体"/>
                <w:color w:val="auto"/>
                <w:sz w:val="15"/>
                <w:szCs w:val="15"/>
                <w:highlight w:val="none"/>
              </w:rPr>
            </w:pPr>
          </w:p>
        </w:tc>
        <w:tc>
          <w:tcPr>
            <w:tcW w:w="406" w:type="pct"/>
            <w:gridSpan w:val="2"/>
            <w:tcBorders>
              <w:top w:val="nil"/>
              <w:left w:val="nil"/>
              <w:bottom w:val="single" w:color="auto" w:sz="4" w:space="0"/>
              <w:right w:val="single" w:color="auto" w:sz="8"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Z＜100</w:t>
            </w:r>
          </w:p>
        </w:tc>
      </w:tr>
      <w:tr>
        <w:tblPrEx>
          <w:tblCellMar>
            <w:top w:w="0" w:type="dxa"/>
            <w:left w:w="108" w:type="dxa"/>
            <w:bottom w:w="0" w:type="dxa"/>
            <w:right w:w="108" w:type="dxa"/>
          </w:tblCellMar>
        </w:tblPrEx>
        <w:trPr>
          <w:trHeight w:val="360" w:hRule="atLeast"/>
        </w:trPr>
        <w:tc>
          <w:tcPr>
            <w:tcW w:w="658" w:type="pct"/>
            <w:tcBorders>
              <w:top w:val="nil"/>
              <w:left w:val="single" w:color="auto" w:sz="8" w:space="0"/>
              <w:bottom w:val="single" w:color="auto" w:sz="8" w:space="0"/>
              <w:right w:val="single" w:color="auto" w:sz="8"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16、其他未列明行业</w:t>
            </w:r>
          </w:p>
        </w:tc>
        <w:tc>
          <w:tcPr>
            <w:tcW w:w="495" w:type="pct"/>
            <w:tcBorders>
              <w:top w:val="nil"/>
              <w:left w:val="nil"/>
              <w:bottom w:val="single" w:color="auto" w:sz="8"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100≤X＜300</w:t>
            </w:r>
          </w:p>
        </w:tc>
        <w:tc>
          <w:tcPr>
            <w:tcW w:w="584" w:type="pct"/>
            <w:tcBorders>
              <w:top w:val="nil"/>
              <w:left w:val="nil"/>
              <w:bottom w:val="single" w:color="auto" w:sz="8" w:space="0"/>
              <w:right w:val="single" w:color="auto" w:sz="4" w:space="0"/>
            </w:tcBorders>
            <w:noWrap w:val="0"/>
            <w:vAlign w:val="bottom"/>
          </w:tcPr>
          <w:p>
            <w:pPr>
              <w:ind w:firstLine="0" w:firstLineChars="0"/>
              <w:rPr>
                <w:rFonts w:ascii="宋体" w:hAnsi="宋体" w:cs="宋体"/>
                <w:color w:val="auto"/>
                <w:sz w:val="15"/>
                <w:szCs w:val="15"/>
                <w:highlight w:val="none"/>
              </w:rPr>
            </w:pPr>
          </w:p>
        </w:tc>
        <w:tc>
          <w:tcPr>
            <w:tcW w:w="552" w:type="pct"/>
            <w:tcBorders>
              <w:top w:val="nil"/>
              <w:left w:val="nil"/>
              <w:bottom w:val="single" w:color="auto" w:sz="8"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10" w:type="pct"/>
            <w:tcBorders>
              <w:top w:val="nil"/>
              <w:left w:val="nil"/>
              <w:bottom w:val="single" w:color="auto" w:sz="8"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10≤X＜100</w:t>
            </w:r>
          </w:p>
        </w:tc>
        <w:tc>
          <w:tcPr>
            <w:tcW w:w="516" w:type="pct"/>
            <w:tcBorders>
              <w:top w:val="nil"/>
              <w:left w:val="nil"/>
              <w:bottom w:val="single" w:color="auto" w:sz="8" w:space="0"/>
              <w:right w:val="single" w:color="auto" w:sz="4" w:space="0"/>
            </w:tcBorders>
            <w:noWrap w:val="0"/>
            <w:vAlign w:val="bottom"/>
          </w:tcPr>
          <w:p>
            <w:pPr>
              <w:ind w:firstLine="0" w:firstLineChars="0"/>
              <w:rPr>
                <w:rFonts w:ascii="宋体" w:hAnsi="宋体" w:cs="宋体"/>
                <w:color w:val="auto"/>
                <w:sz w:val="15"/>
                <w:szCs w:val="15"/>
                <w:highlight w:val="none"/>
              </w:rPr>
            </w:pPr>
          </w:p>
        </w:tc>
        <w:tc>
          <w:tcPr>
            <w:tcW w:w="528" w:type="pct"/>
            <w:tcBorders>
              <w:top w:val="nil"/>
              <w:left w:val="nil"/>
              <w:bottom w:val="single" w:color="auto" w:sz="8" w:space="0"/>
              <w:right w:val="single" w:color="auto" w:sz="8" w:space="0"/>
            </w:tcBorders>
            <w:noWrap w:val="0"/>
            <w:vAlign w:val="bottom"/>
          </w:tcPr>
          <w:p>
            <w:pPr>
              <w:ind w:firstLine="0" w:firstLineChars="0"/>
              <w:rPr>
                <w:rFonts w:ascii="宋体" w:hAnsi="宋体" w:cs="宋体"/>
                <w:color w:val="auto"/>
                <w:sz w:val="15"/>
                <w:szCs w:val="15"/>
                <w:highlight w:val="none"/>
              </w:rPr>
            </w:pPr>
          </w:p>
        </w:tc>
        <w:tc>
          <w:tcPr>
            <w:tcW w:w="424" w:type="pct"/>
            <w:tcBorders>
              <w:top w:val="nil"/>
              <w:left w:val="nil"/>
              <w:bottom w:val="single" w:color="auto" w:sz="8" w:space="0"/>
              <w:right w:val="single" w:color="auto" w:sz="4" w:space="0"/>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X＜10</w:t>
            </w:r>
          </w:p>
        </w:tc>
        <w:tc>
          <w:tcPr>
            <w:tcW w:w="422" w:type="pct"/>
            <w:tcBorders>
              <w:top w:val="nil"/>
              <w:left w:val="nil"/>
              <w:bottom w:val="single" w:color="auto" w:sz="8" w:space="0"/>
              <w:right w:val="single" w:color="auto" w:sz="4" w:space="0"/>
            </w:tcBorders>
            <w:noWrap w:val="0"/>
            <w:vAlign w:val="bottom"/>
          </w:tcPr>
          <w:p>
            <w:pPr>
              <w:ind w:firstLine="0" w:firstLineChars="0"/>
              <w:rPr>
                <w:rFonts w:ascii="宋体" w:hAnsi="宋体" w:cs="宋体"/>
                <w:color w:val="auto"/>
                <w:sz w:val="15"/>
                <w:szCs w:val="15"/>
                <w:highlight w:val="none"/>
              </w:rPr>
            </w:pPr>
          </w:p>
        </w:tc>
        <w:tc>
          <w:tcPr>
            <w:tcW w:w="406" w:type="pct"/>
            <w:gridSpan w:val="2"/>
            <w:tcBorders>
              <w:top w:val="nil"/>
              <w:left w:val="nil"/>
              <w:bottom w:val="single" w:color="auto" w:sz="8" w:space="0"/>
              <w:right w:val="single" w:color="auto" w:sz="8" w:space="0"/>
            </w:tcBorders>
            <w:noWrap w:val="0"/>
            <w:vAlign w:val="bottom"/>
          </w:tcPr>
          <w:p>
            <w:pPr>
              <w:ind w:firstLine="0" w:firstLineChars="0"/>
              <w:rPr>
                <w:rFonts w:ascii="宋体" w:hAnsi="宋体" w:cs="宋体"/>
                <w:color w:val="auto"/>
                <w:sz w:val="15"/>
                <w:szCs w:val="15"/>
                <w:highlight w:val="none"/>
              </w:rPr>
            </w:pPr>
          </w:p>
        </w:tc>
      </w:tr>
      <w:tr>
        <w:tblPrEx>
          <w:tblCellMar>
            <w:top w:w="0" w:type="dxa"/>
            <w:left w:w="108" w:type="dxa"/>
            <w:bottom w:w="0" w:type="dxa"/>
            <w:right w:w="108" w:type="dxa"/>
          </w:tblCellMar>
        </w:tblPrEx>
        <w:trPr>
          <w:gridAfter w:val="1"/>
          <w:wAfter w:w="48" w:type="pct"/>
          <w:trHeight w:val="285" w:hRule="atLeast"/>
        </w:trPr>
        <w:tc>
          <w:tcPr>
            <w:tcW w:w="4951" w:type="pct"/>
            <w:gridSpan w:val="10"/>
            <w:tcBorders>
              <w:top w:val="nil"/>
              <w:left w:val="nil"/>
              <w:bottom w:val="nil"/>
              <w:right w:val="nil"/>
            </w:tcBorders>
            <w:noWrap w:val="0"/>
            <w:vAlign w:val="bottom"/>
          </w:tcPr>
          <w:p>
            <w:p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说明1、企业类型的划分以统计部门的统计数据为依据。</w:t>
            </w:r>
          </w:p>
          <w:p>
            <w:pPr>
              <w:numPr>
                <w:ilvl w:val="0"/>
                <w:numId w:val="6"/>
              </w:num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个体工商户和本规定以外的行业，参照本规定进行划型。</w:t>
            </w:r>
          </w:p>
          <w:p>
            <w:pPr>
              <w:numPr>
                <w:ilvl w:val="0"/>
                <w:numId w:val="6"/>
              </w:numPr>
              <w:ind w:firstLine="0" w:firstLineChars="0"/>
              <w:rPr>
                <w:rFonts w:ascii="宋体" w:hAnsi="宋体" w:cs="宋体"/>
                <w:color w:val="auto"/>
                <w:sz w:val="15"/>
                <w:szCs w:val="15"/>
                <w:highlight w:val="none"/>
              </w:rPr>
            </w:pPr>
            <w:r>
              <w:rPr>
                <w:rFonts w:hint="eastAsia" w:ascii="宋体" w:hAnsi="宋体" w:cs="宋体"/>
                <w:color w:val="auto"/>
                <w:sz w:val="15"/>
                <w:szCs w:val="15"/>
                <w:highlight w:val="none"/>
              </w:rPr>
              <w:t>本规定的中型企业标准上限即为大型企业标准的下限。</w:t>
            </w:r>
          </w:p>
        </w:tc>
      </w:tr>
    </w:tbl>
    <w:p>
      <w:pPr>
        <w:pStyle w:val="13"/>
        <w:spacing w:line="264" w:lineRule="auto"/>
        <w:ind w:firstLine="643"/>
        <w:jc w:val="left"/>
        <w:rPr>
          <w:rFonts w:ascii="宋体" w:hAnsi="宋体" w:cs="宋体"/>
          <w:b/>
          <w:snapToGrid w:val="0"/>
          <w:color w:val="auto"/>
          <w:kern w:val="0"/>
          <w:sz w:val="32"/>
          <w:szCs w:val="32"/>
          <w:highlight w:val="none"/>
        </w:rPr>
        <w:sectPr>
          <w:pgSz w:w="16838" w:h="11906" w:orient="landscape"/>
          <w:pgMar w:top="1418" w:right="1418" w:bottom="1418" w:left="1418" w:header="851" w:footer="992" w:gutter="0"/>
          <w:cols w:space="720" w:num="1"/>
          <w:docGrid w:linePitch="312" w:charSpace="0"/>
        </w:sectPr>
      </w:pPr>
    </w:p>
    <w:p>
      <w:pPr>
        <w:pStyle w:val="13"/>
        <w:spacing w:line="264" w:lineRule="auto"/>
        <w:ind w:firstLine="0" w:firstLineChars="0"/>
        <w:jc w:val="left"/>
        <w:rPr>
          <w:rFonts w:ascii="宋体" w:hAnsi="宋体" w:cs="宋体"/>
          <w:b/>
          <w:snapToGrid w:val="0"/>
          <w:color w:val="auto"/>
          <w:kern w:val="0"/>
          <w:sz w:val="32"/>
          <w:szCs w:val="32"/>
          <w:highlight w:val="none"/>
        </w:rPr>
      </w:pPr>
      <w:r>
        <w:rPr>
          <w:rFonts w:hint="eastAsia" w:ascii="宋体" w:hAnsi="宋体" w:cs="宋体"/>
          <w:b/>
          <w:snapToGrid w:val="0"/>
          <w:color w:val="auto"/>
          <w:kern w:val="0"/>
          <w:sz w:val="32"/>
          <w:szCs w:val="32"/>
          <w:highlight w:val="none"/>
        </w:rPr>
        <w:t>项目名称：</w:t>
      </w:r>
    </w:p>
    <w:p>
      <w:pPr>
        <w:pStyle w:val="13"/>
        <w:spacing w:line="264" w:lineRule="auto"/>
        <w:ind w:firstLine="0" w:firstLineChars="0"/>
        <w:jc w:val="left"/>
        <w:rPr>
          <w:rFonts w:ascii="宋体" w:hAnsi="宋体" w:cs="宋体"/>
          <w:b/>
          <w:snapToGrid w:val="0"/>
          <w:color w:val="auto"/>
          <w:kern w:val="0"/>
          <w:sz w:val="32"/>
          <w:szCs w:val="32"/>
          <w:highlight w:val="none"/>
        </w:rPr>
      </w:pPr>
      <w:r>
        <w:rPr>
          <w:rFonts w:hint="eastAsia" w:ascii="宋体" w:hAnsi="宋体" w:cs="宋体"/>
          <w:b/>
          <w:snapToGrid w:val="0"/>
          <w:color w:val="auto"/>
          <w:kern w:val="0"/>
          <w:sz w:val="32"/>
          <w:szCs w:val="32"/>
          <w:highlight w:val="none"/>
        </w:rPr>
        <w:t>招标编号</w:t>
      </w:r>
    </w:p>
    <w:p>
      <w:pPr>
        <w:pStyle w:val="13"/>
        <w:spacing w:line="264" w:lineRule="auto"/>
        <w:ind w:firstLine="0" w:firstLineChars="0"/>
        <w:jc w:val="center"/>
        <w:rPr>
          <w:rFonts w:ascii="宋体" w:hAnsi="宋体" w:cs="宋体"/>
          <w:b/>
          <w:color w:val="auto"/>
          <w:sz w:val="84"/>
          <w:highlight w:val="none"/>
        </w:rPr>
      </w:pPr>
    </w:p>
    <w:p>
      <w:pPr>
        <w:pStyle w:val="13"/>
        <w:spacing w:line="264" w:lineRule="auto"/>
        <w:ind w:firstLine="0" w:firstLineChars="0"/>
        <w:jc w:val="center"/>
        <w:rPr>
          <w:rFonts w:ascii="宋体" w:hAnsi="宋体" w:cs="宋体"/>
          <w:b/>
          <w:color w:val="auto"/>
          <w:sz w:val="84"/>
          <w:highlight w:val="none"/>
        </w:rPr>
      </w:pPr>
    </w:p>
    <w:p>
      <w:pPr>
        <w:pStyle w:val="13"/>
        <w:spacing w:line="264" w:lineRule="auto"/>
        <w:ind w:firstLine="0" w:firstLineChars="0"/>
        <w:jc w:val="center"/>
        <w:rPr>
          <w:rFonts w:ascii="宋体" w:hAnsi="宋体" w:cs="宋体"/>
          <w:color w:val="auto"/>
          <w:sz w:val="28"/>
          <w:highlight w:val="none"/>
        </w:rPr>
      </w:pPr>
      <w:r>
        <w:rPr>
          <w:rFonts w:hint="eastAsia" w:ascii="宋体" w:hAnsi="宋体" w:cs="宋体"/>
          <w:b/>
          <w:color w:val="auto"/>
          <w:sz w:val="84"/>
          <w:highlight w:val="none"/>
        </w:rPr>
        <w:t>投 标 文 件</w:t>
      </w:r>
    </w:p>
    <w:p>
      <w:pPr>
        <w:pStyle w:val="13"/>
        <w:spacing w:line="264" w:lineRule="auto"/>
        <w:ind w:firstLine="0" w:firstLineChars="0"/>
        <w:jc w:val="center"/>
        <w:rPr>
          <w:rFonts w:ascii="宋体" w:hAnsi="宋体" w:cs="宋体"/>
          <w:color w:val="auto"/>
          <w:sz w:val="72"/>
          <w:highlight w:val="none"/>
        </w:rPr>
      </w:pPr>
      <w:r>
        <w:rPr>
          <w:rFonts w:hint="eastAsia" w:ascii="宋体" w:hAnsi="宋体" w:cs="宋体"/>
          <w:color w:val="auto"/>
          <w:sz w:val="72"/>
          <w:highlight w:val="none"/>
        </w:rPr>
        <w:t>（</w:t>
      </w:r>
      <w:r>
        <w:rPr>
          <w:rFonts w:hint="eastAsia" w:ascii="宋体" w:hAnsi="宋体" w:cs="宋体"/>
          <w:color w:val="auto"/>
          <w:sz w:val="72"/>
          <w:highlight w:val="none"/>
          <w:u w:val="single"/>
        </w:rPr>
        <w:t>商务资信及技术文件</w:t>
      </w:r>
      <w:r>
        <w:rPr>
          <w:rFonts w:hint="eastAsia" w:ascii="宋体" w:hAnsi="宋体" w:cs="宋体"/>
          <w:color w:val="auto"/>
          <w:sz w:val="72"/>
          <w:highlight w:val="none"/>
        </w:rPr>
        <w:t>）</w:t>
      </w:r>
    </w:p>
    <w:p>
      <w:pPr>
        <w:pStyle w:val="13"/>
        <w:spacing w:line="264" w:lineRule="auto"/>
        <w:ind w:firstLine="0" w:firstLineChars="0"/>
        <w:jc w:val="center"/>
        <w:rPr>
          <w:rFonts w:ascii="宋体" w:hAnsi="宋体" w:cs="宋体"/>
          <w:color w:val="auto"/>
          <w:sz w:val="72"/>
          <w:highlight w:val="none"/>
        </w:rPr>
      </w:pPr>
    </w:p>
    <w:p>
      <w:pPr>
        <w:pStyle w:val="13"/>
        <w:spacing w:line="264" w:lineRule="auto"/>
        <w:ind w:firstLine="0" w:firstLineChars="0"/>
        <w:jc w:val="center"/>
        <w:rPr>
          <w:rFonts w:ascii="宋体" w:hAnsi="宋体" w:cs="宋体"/>
          <w:color w:val="auto"/>
          <w:sz w:val="72"/>
          <w:highlight w:val="none"/>
        </w:rPr>
      </w:pPr>
    </w:p>
    <w:p>
      <w:pPr>
        <w:pStyle w:val="13"/>
        <w:spacing w:before="240" w:after="240"/>
        <w:ind w:left="630" w:firstLine="600"/>
        <w:jc w:val="left"/>
        <w:rPr>
          <w:rFonts w:ascii="宋体" w:hAnsi="宋体" w:cs="宋体"/>
          <w:color w:val="auto"/>
          <w:sz w:val="30"/>
          <w:highlight w:val="none"/>
        </w:rPr>
      </w:pPr>
    </w:p>
    <w:p>
      <w:pPr>
        <w:pStyle w:val="13"/>
        <w:spacing w:before="240" w:after="240"/>
        <w:ind w:left="630" w:firstLine="600"/>
        <w:jc w:val="left"/>
        <w:rPr>
          <w:rFonts w:ascii="宋体" w:hAnsi="宋体" w:cs="宋体"/>
          <w:color w:val="auto"/>
          <w:sz w:val="30"/>
          <w:highlight w:val="none"/>
        </w:rPr>
      </w:pPr>
      <w:r>
        <w:rPr>
          <w:rFonts w:hint="eastAsia" w:ascii="宋体" w:hAnsi="宋体" w:cs="宋体"/>
          <w:color w:val="auto"/>
          <w:sz w:val="30"/>
          <w:highlight w:val="none"/>
        </w:rPr>
        <w:t>投   标   人:</w:t>
      </w:r>
      <w:r>
        <w:rPr>
          <w:rFonts w:hint="eastAsia" w:ascii="宋体" w:hAnsi="宋体" w:cs="宋体"/>
          <w:color w:val="auto"/>
          <w:sz w:val="30"/>
          <w:highlight w:val="none"/>
          <w:u w:val="single"/>
        </w:rPr>
        <w:t xml:space="preserve">          （盖投标人单位公章）           </w:t>
      </w:r>
    </w:p>
    <w:p>
      <w:pPr>
        <w:pStyle w:val="13"/>
        <w:spacing w:before="240" w:after="240"/>
        <w:ind w:left="630" w:firstLine="600"/>
        <w:rPr>
          <w:rFonts w:ascii="宋体" w:hAnsi="宋体" w:cs="宋体"/>
          <w:color w:val="auto"/>
          <w:sz w:val="30"/>
          <w:highlight w:val="none"/>
        </w:rPr>
      </w:pPr>
      <w:r>
        <w:rPr>
          <w:rFonts w:hint="eastAsia" w:ascii="宋体" w:hAnsi="宋体" w:cs="宋体"/>
          <w:color w:val="auto"/>
          <w:sz w:val="30"/>
          <w:highlight w:val="none"/>
        </w:rPr>
        <w:t>法定代表人或其委托代理人：</w:t>
      </w:r>
      <w:r>
        <w:rPr>
          <w:rFonts w:hint="eastAsia" w:ascii="宋体" w:hAnsi="宋体" w:cs="宋体"/>
          <w:color w:val="auto"/>
          <w:sz w:val="30"/>
          <w:highlight w:val="none"/>
          <w:u w:val="single"/>
        </w:rPr>
        <w:t xml:space="preserve">   （签字或盖章）</w:t>
      </w:r>
    </w:p>
    <w:p>
      <w:pPr>
        <w:pStyle w:val="13"/>
        <w:spacing w:before="240" w:after="240"/>
        <w:ind w:left="630" w:firstLine="600"/>
        <w:rPr>
          <w:rFonts w:ascii="宋体" w:hAnsi="宋体" w:cs="宋体"/>
          <w:color w:val="auto"/>
          <w:sz w:val="30"/>
          <w:highlight w:val="none"/>
        </w:rPr>
      </w:pPr>
      <w:r>
        <w:rPr>
          <w:rFonts w:hint="eastAsia" w:ascii="宋体" w:hAnsi="宋体" w:cs="宋体"/>
          <w:color w:val="auto"/>
          <w:sz w:val="30"/>
          <w:highlight w:val="none"/>
        </w:rPr>
        <w:t>日期：__________年_____月_____日</w:t>
      </w:r>
    </w:p>
    <w:p>
      <w:pPr>
        <w:pStyle w:val="13"/>
        <w:spacing w:before="240" w:after="240"/>
        <w:ind w:left="630" w:firstLine="600"/>
        <w:rPr>
          <w:rFonts w:ascii="宋体" w:hAnsi="宋体" w:cs="宋体"/>
          <w:color w:val="auto"/>
          <w:sz w:val="30"/>
          <w:highlight w:val="none"/>
        </w:rPr>
      </w:pPr>
    </w:p>
    <w:p>
      <w:pPr>
        <w:pStyle w:val="13"/>
        <w:spacing w:before="240" w:after="240"/>
        <w:ind w:left="630" w:firstLine="600"/>
        <w:rPr>
          <w:rFonts w:ascii="宋体" w:hAnsi="宋体" w:cs="宋体"/>
          <w:color w:val="auto"/>
          <w:sz w:val="30"/>
          <w:highlight w:val="none"/>
        </w:rPr>
      </w:pPr>
    </w:p>
    <w:p>
      <w:pPr>
        <w:pStyle w:val="13"/>
        <w:spacing w:before="240" w:after="240"/>
        <w:ind w:left="630" w:firstLine="600"/>
        <w:rPr>
          <w:rFonts w:ascii="宋体" w:hAnsi="宋体" w:cs="宋体"/>
          <w:color w:val="auto"/>
          <w:sz w:val="30"/>
          <w:highlight w:val="none"/>
        </w:rPr>
      </w:pPr>
    </w:p>
    <w:p>
      <w:pPr>
        <w:adjustRightInd w:val="0"/>
        <w:snapToGrid w:val="0"/>
        <w:ind w:firstLine="422"/>
        <w:jc w:val="left"/>
        <w:rPr>
          <w:rFonts w:cs="宋体"/>
          <w:b/>
          <w:bCs/>
          <w:snapToGrid w:val="0"/>
          <w:color w:val="auto"/>
          <w:kern w:val="0"/>
          <w:szCs w:val="21"/>
          <w:highlight w:val="none"/>
        </w:rPr>
        <w:sectPr>
          <w:pgSz w:w="11906" w:h="16838"/>
          <w:pgMar w:top="1418" w:right="1418" w:bottom="1418" w:left="1418" w:header="851" w:footer="992" w:gutter="0"/>
          <w:cols w:space="720" w:num="1"/>
          <w:docGrid w:linePitch="312" w:charSpace="0"/>
        </w:sectPr>
      </w:pPr>
    </w:p>
    <w:bookmarkEnd w:id="1116"/>
    <w:p>
      <w:pPr>
        <w:pStyle w:val="5"/>
        <w:ind w:firstLine="482"/>
        <w:rPr>
          <w:rFonts w:ascii="宋体" w:hAnsi="宋体" w:cs="宋体"/>
          <w:color w:val="auto"/>
          <w:highlight w:val="none"/>
        </w:rPr>
      </w:pPr>
      <w:bookmarkStart w:id="1124" w:name="_Toc30543"/>
      <w:r>
        <w:rPr>
          <w:rFonts w:hint="eastAsia" w:ascii="宋体" w:hAnsi="宋体" w:cs="宋体"/>
          <w:color w:val="auto"/>
          <w:highlight w:val="none"/>
        </w:rPr>
        <w:t>商务资信及技术文件目录</w:t>
      </w:r>
      <w:bookmarkEnd w:id="1124"/>
    </w:p>
    <w:p>
      <w:pPr>
        <w:adjustRightInd w:val="0"/>
        <w:snapToGrid w:val="0"/>
        <w:ind w:firstLine="422"/>
        <w:jc w:val="left"/>
        <w:rPr>
          <w:rFonts w:cs="宋体"/>
          <w:b/>
          <w:bCs/>
          <w:snapToGrid w:val="0"/>
          <w:color w:val="auto"/>
          <w:kern w:val="0"/>
          <w:szCs w:val="21"/>
          <w:highlight w:val="none"/>
        </w:rPr>
      </w:pPr>
      <w:r>
        <w:rPr>
          <w:rFonts w:hint="eastAsia" w:cs="宋体"/>
          <w:b/>
          <w:bCs/>
          <w:snapToGrid w:val="0"/>
          <w:color w:val="auto"/>
          <w:kern w:val="0"/>
          <w:szCs w:val="21"/>
          <w:highlight w:val="none"/>
        </w:rPr>
        <w:t>评分索引表</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商务文件：</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（1）法定代表人资格证明书或附有法定代表人资格证明书的法定代表人授权书；</w:t>
      </w:r>
    </w:p>
    <w:p>
      <w:pPr>
        <w:adjustRightInd w:val="0"/>
        <w:snapToGrid w:val="0"/>
        <w:ind w:firstLine="420"/>
        <w:jc w:val="left"/>
        <w:rPr>
          <w:rFonts w:cs="宋体"/>
          <w:color w:val="auto"/>
          <w:highlight w:val="none"/>
        </w:rPr>
      </w:pPr>
      <w:r>
        <w:rPr>
          <w:rFonts w:hint="eastAsia" w:cs="宋体"/>
          <w:snapToGrid w:val="0"/>
          <w:color w:val="auto"/>
          <w:kern w:val="0"/>
          <w:szCs w:val="21"/>
          <w:highlight w:val="none"/>
        </w:rPr>
        <w:t>（2）</w:t>
      </w:r>
      <w:r>
        <w:rPr>
          <w:rFonts w:hint="eastAsia" w:cs="宋体"/>
          <w:color w:val="auto"/>
          <w:highlight w:val="none"/>
        </w:rPr>
        <w:t>提供有效的经营执照复印件并加盖公司公章；（按照资格条件要求提供，如有）；</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（3）</w:t>
      </w:r>
      <w:r>
        <w:rPr>
          <w:rFonts w:hint="eastAsia" w:cs="宋体"/>
          <w:color w:val="auto"/>
          <w:highlight w:val="none"/>
        </w:rPr>
        <w:t>廉政承诺书；</w:t>
      </w:r>
    </w:p>
    <w:p>
      <w:pPr>
        <w:adjustRightInd w:val="0"/>
        <w:snapToGrid w:val="0"/>
        <w:ind w:firstLine="420"/>
        <w:jc w:val="left"/>
        <w:rPr>
          <w:rFonts w:cs="宋体"/>
          <w:snapToGrid w:val="0"/>
          <w:color w:val="auto"/>
          <w:kern w:val="0"/>
          <w:szCs w:val="21"/>
          <w:highlight w:val="none"/>
        </w:rPr>
      </w:pPr>
      <w:r>
        <w:rPr>
          <w:rFonts w:hint="eastAsia" w:cs="宋体"/>
          <w:color w:val="auto"/>
          <w:highlight w:val="none"/>
        </w:rPr>
        <w:t>（4）</w:t>
      </w:r>
      <w:r>
        <w:rPr>
          <w:rFonts w:hint="eastAsia" w:cs="宋体"/>
          <w:snapToGrid w:val="0"/>
          <w:color w:val="auto"/>
          <w:kern w:val="0"/>
          <w:szCs w:val="21"/>
          <w:highlight w:val="none"/>
        </w:rPr>
        <w:t>公司基本情况介绍；</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（5）投标声明书；</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（6）供应商类似工程业绩；</w:t>
      </w:r>
    </w:p>
    <w:p>
      <w:pPr>
        <w:adjustRightInd w:val="0"/>
        <w:snapToGrid w:val="0"/>
        <w:ind w:firstLine="420"/>
        <w:jc w:val="left"/>
        <w:rPr>
          <w:rFonts w:cs="宋体"/>
          <w:color w:val="auto"/>
          <w:highlight w:val="none"/>
        </w:rPr>
      </w:pPr>
      <w:r>
        <w:rPr>
          <w:rFonts w:hint="eastAsia" w:cs="宋体"/>
          <w:snapToGrid w:val="0"/>
          <w:color w:val="auto"/>
          <w:kern w:val="0"/>
          <w:szCs w:val="21"/>
          <w:highlight w:val="none"/>
        </w:rPr>
        <w:t>（7）投标保证金缴纳凭证；</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技术文件：</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（1）施工方案；</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（2）软装设备配置清单；</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（3）质量保证措施；</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（4）施工机具和检验仪器的投入；</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（5）工期承诺、进度控制措施及施工质量控制措施；</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（6）投入本项目的工程技术管理人员的专业配置情况；</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（7）关键工序、复杂环节的相应技术措施；</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（8）安全文明施工保证措施；</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（9）材料设备进场计划及施工计划情况；</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（10）合理化建议及售后服务；</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（11）供应商认为需要提供的资料。</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采用文字表述外可附下列图表，图表及格式要求附后，没有图表的可格式自拟。</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附表一  拟投入的主要施工设备表</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附表二  拟配备的试验和检测仪器设备表</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附表三  项目管理班子配备情况表</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附表四、项目经理简历表</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附表五、技术负责人简历表</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附表六、劳动力计划表</w:t>
      </w:r>
    </w:p>
    <w:p>
      <w:pPr>
        <w:adjustRightInd w:val="0"/>
        <w:snapToGrid w:val="0"/>
        <w:ind w:firstLine="420"/>
        <w:jc w:val="left"/>
        <w:rPr>
          <w:rFonts w:cs="宋体"/>
          <w:snapToGrid w:val="0"/>
          <w:color w:val="auto"/>
          <w:kern w:val="0"/>
          <w:sz w:val="32"/>
          <w:szCs w:val="32"/>
          <w:highlight w:val="none"/>
        </w:rPr>
        <w:sectPr>
          <w:pgSz w:w="11906" w:h="16838"/>
          <w:pgMar w:top="1418" w:right="1418" w:bottom="1418" w:left="1418" w:header="851" w:footer="992" w:gutter="0"/>
          <w:cols w:space="720" w:num="1"/>
          <w:docGrid w:linePitch="312" w:charSpace="0"/>
        </w:sectPr>
      </w:pPr>
      <w:r>
        <w:rPr>
          <w:rFonts w:hint="eastAsia" w:cs="宋体"/>
          <w:snapToGrid w:val="0"/>
          <w:color w:val="auto"/>
          <w:kern w:val="0"/>
          <w:szCs w:val="21"/>
          <w:highlight w:val="none"/>
        </w:rPr>
        <w:t>附表七、计划开、竣工日期和施工进度网络图或横道图</w:t>
      </w:r>
    </w:p>
    <w:p>
      <w:pPr>
        <w:pStyle w:val="6"/>
        <w:ind w:firstLine="643"/>
        <w:rPr>
          <w:rFonts w:cs="宋体"/>
          <w:snapToGrid w:val="0"/>
          <w:color w:val="auto"/>
          <w:kern w:val="0"/>
          <w:highlight w:val="none"/>
        </w:rPr>
      </w:pPr>
      <w:r>
        <w:rPr>
          <w:rFonts w:hint="eastAsia" w:cs="宋体"/>
          <w:snapToGrid w:val="0"/>
          <w:color w:val="auto"/>
          <w:kern w:val="0"/>
          <w:sz w:val="32"/>
          <w:highlight w:val="none"/>
        </w:rPr>
        <w:t>一、评分索引表</w:t>
      </w:r>
    </w:p>
    <w:p>
      <w:pPr>
        <w:ind w:firstLine="420"/>
        <w:rPr>
          <w:rFonts w:cs="宋体"/>
          <w:color w:val="auto"/>
          <w:highlight w:val="none"/>
        </w:rPr>
      </w:pPr>
    </w:p>
    <w:tbl>
      <w:tblPr>
        <w:tblStyle w:val="21"/>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7"/>
        <w:gridCol w:w="943"/>
        <w:gridCol w:w="5814"/>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727" w:type="dxa"/>
            <w:vAlign w:val="center"/>
          </w:tcPr>
          <w:p>
            <w:pPr>
              <w:ind w:firstLine="0" w:firstLineChars="0"/>
              <w:jc w:val="center"/>
              <w:rPr>
                <w:rFonts w:cs="宋体"/>
                <w:color w:val="auto"/>
                <w:spacing w:val="-6"/>
                <w:szCs w:val="21"/>
                <w:highlight w:val="none"/>
              </w:rPr>
            </w:pPr>
            <w:r>
              <w:rPr>
                <w:rFonts w:hint="eastAsia" w:cs="宋体"/>
                <w:b/>
                <w:color w:val="auto"/>
                <w:spacing w:val="-6"/>
                <w:sz w:val="24"/>
                <w:highlight w:val="none"/>
              </w:rPr>
              <w:t>评审因素</w:t>
            </w:r>
          </w:p>
        </w:tc>
        <w:tc>
          <w:tcPr>
            <w:tcW w:w="943" w:type="dxa"/>
            <w:vAlign w:val="center"/>
          </w:tcPr>
          <w:p>
            <w:pPr>
              <w:ind w:firstLine="0" w:firstLineChars="0"/>
              <w:jc w:val="center"/>
              <w:rPr>
                <w:rFonts w:cs="宋体"/>
                <w:color w:val="auto"/>
                <w:spacing w:val="-6"/>
                <w:szCs w:val="21"/>
                <w:highlight w:val="none"/>
              </w:rPr>
            </w:pPr>
            <w:r>
              <w:rPr>
                <w:rFonts w:hint="eastAsia" w:cs="宋体"/>
                <w:b/>
                <w:color w:val="auto"/>
                <w:spacing w:val="-6"/>
                <w:sz w:val="24"/>
                <w:highlight w:val="none"/>
              </w:rPr>
              <w:t>分值</w:t>
            </w:r>
          </w:p>
        </w:tc>
        <w:tc>
          <w:tcPr>
            <w:tcW w:w="5814" w:type="dxa"/>
            <w:vAlign w:val="center"/>
          </w:tcPr>
          <w:p>
            <w:pPr>
              <w:ind w:firstLine="0" w:firstLineChars="0"/>
              <w:jc w:val="center"/>
              <w:rPr>
                <w:rFonts w:cs="宋体"/>
                <w:color w:val="auto"/>
                <w:szCs w:val="21"/>
                <w:highlight w:val="none"/>
              </w:rPr>
            </w:pPr>
            <w:r>
              <w:rPr>
                <w:rFonts w:hint="eastAsia" w:cs="宋体"/>
                <w:b/>
                <w:color w:val="auto"/>
                <w:spacing w:val="-6"/>
                <w:sz w:val="24"/>
                <w:highlight w:val="none"/>
              </w:rPr>
              <w:t>评分细则</w:t>
            </w:r>
          </w:p>
        </w:tc>
        <w:tc>
          <w:tcPr>
            <w:tcW w:w="756" w:type="dxa"/>
            <w:vAlign w:val="center"/>
          </w:tcPr>
          <w:p>
            <w:pPr>
              <w:ind w:firstLine="0" w:firstLineChars="0"/>
              <w:jc w:val="left"/>
              <w:rPr>
                <w:rFonts w:cs="宋体"/>
                <w:color w:val="auto"/>
                <w:szCs w:val="21"/>
                <w:highlight w:val="none"/>
              </w:rPr>
            </w:pPr>
            <w:r>
              <w:rPr>
                <w:rFonts w:hint="eastAsia" w:cs="宋体"/>
                <w:color w:val="auto"/>
                <w:szCs w:val="21"/>
                <w:highlight w:val="none"/>
              </w:rPr>
              <w:t>所在页码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727" w:type="dxa"/>
            <w:vMerge w:val="restart"/>
            <w:vAlign w:val="center"/>
          </w:tcPr>
          <w:p>
            <w:pPr>
              <w:ind w:firstLine="0" w:firstLineChars="0"/>
              <w:jc w:val="center"/>
              <w:rPr>
                <w:rFonts w:cs="宋体"/>
                <w:color w:val="auto"/>
                <w:kern w:val="0"/>
                <w:szCs w:val="21"/>
                <w:highlight w:val="none"/>
              </w:rPr>
            </w:pPr>
          </w:p>
        </w:tc>
        <w:tc>
          <w:tcPr>
            <w:tcW w:w="943" w:type="dxa"/>
            <w:vAlign w:val="center"/>
          </w:tcPr>
          <w:p>
            <w:pPr>
              <w:ind w:firstLine="0" w:firstLineChars="0"/>
              <w:jc w:val="center"/>
              <w:rPr>
                <w:rFonts w:cs="宋体"/>
                <w:color w:val="auto"/>
                <w:spacing w:val="-6"/>
                <w:szCs w:val="21"/>
                <w:highlight w:val="none"/>
              </w:rPr>
            </w:pPr>
          </w:p>
        </w:tc>
        <w:tc>
          <w:tcPr>
            <w:tcW w:w="5814" w:type="dxa"/>
            <w:vAlign w:val="center"/>
          </w:tcPr>
          <w:p>
            <w:pPr>
              <w:pStyle w:val="34"/>
              <w:ind w:firstLine="0" w:firstLineChars="0"/>
              <w:rPr>
                <w:rFonts w:ascii="宋体" w:hAnsi="宋体" w:cs="宋体"/>
                <w:color w:val="auto"/>
                <w:sz w:val="21"/>
                <w:szCs w:val="21"/>
                <w:highlight w:val="none"/>
              </w:rPr>
            </w:pPr>
          </w:p>
        </w:tc>
        <w:tc>
          <w:tcPr>
            <w:tcW w:w="756" w:type="dxa"/>
            <w:vAlign w:val="center"/>
          </w:tcPr>
          <w:p>
            <w:pPr>
              <w:pStyle w:val="34"/>
              <w:ind w:firstLine="0" w:firstLineChars="0"/>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727" w:type="dxa"/>
            <w:vMerge w:val="continue"/>
            <w:vAlign w:val="center"/>
          </w:tcPr>
          <w:p>
            <w:pPr>
              <w:ind w:firstLine="0" w:firstLineChars="0"/>
              <w:jc w:val="center"/>
              <w:rPr>
                <w:rFonts w:cs="宋体"/>
                <w:color w:val="auto"/>
                <w:kern w:val="0"/>
                <w:szCs w:val="21"/>
                <w:highlight w:val="none"/>
              </w:rPr>
            </w:pPr>
          </w:p>
        </w:tc>
        <w:tc>
          <w:tcPr>
            <w:tcW w:w="943" w:type="dxa"/>
            <w:vAlign w:val="center"/>
          </w:tcPr>
          <w:p>
            <w:pPr>
              <w:ind w:firstLine="0" w:firstLineChars="0"/>
              <w:jc w:val="center"/>
              <w:rPr>
                <w:rFonts w:cs="宋体"/>
                <w:color w:val="auto"/>
                <w:spacing w:val="-6"/>
                <w:szCs w:val="21"/>
                <w:highlight w:val="none"/>
              </w:rPr>
            </w:pPr>
          </w:p>
        </w:tc>
        <w:tc>
          <w:tcPr>
            <w:tcW w:w="5814" w:type="dxa"/>
            <w:vAlign w:val="center"/>
          </w:tcPr>
          <w:p>
            <w:pPr>
              <w:pStyle w:val="34"/>
              <w:ind w:firstLine="0" w:firstLineChars="0"/>
              <w:rPr>
                <w:rFonts w:ascii="宋体" w:hAnsi="宋体" w:cs="宋体"/>
                <w:color w:val="auto"/>
                <w:sz w:val="21"/>
                <w:szCs w:val="21"/>
                <w:highlight w:val="none"/>
              </w:rPr>
            </w:pPr>
          </w:p>
        </w:tc>
        <w:tc>
          <w:tcPr>
            <w:tcW w:w="756" w:type="dxa"/>
            <w:vAlign w:val="center"/>
          </w:tcPr>
          <w:p>
            <w:pPr>
              <w:pStyle w:val="34"/>
              <w:ind w:firstLine="0" w:firstLineChars="0"/>
              <w:rPr>
                <w:rFonts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727" w:type="dxa"/>
            <w:vAlign w:val="center"/>
          </w:tcPr>
          <w:p>
            <w:pPr>
              <w:ind w:firstLine="0" w:firstLineChars="0"/>
              <w:jc w:val="center"/>
              <w:rPr>
                <w:rFonts w:cs="宋体"/>
                <w:color w:val="auto"/>
                <w:kern w:val="0"/>
                <w:szCs w:val="21"/>
                <w:highlight w:val="none"/>
              </w:rPr>
            </w:pPr>
          </w:p>
        </w:tc>
        <w:tc>
          <w:tcPr>
            <w:tcW w:w="943" w:type="dxa"/>
            <w:vAlign w:val="center"/>
          </w:tcPr>
          <w:p>
            <w:pPr>
              <w:ind w:firstLine="0" w:firstLineChars="0"/>
              <w:jc w:val="center"/>
              <w:rPr>
                <w:rFonts w:cs="宋体"/>
                <w:color w:val="auto"/>
                <w:spacing w:val="-6"/>
                <w:szCs w:val="21"/>
                <w:highlight w:val="none"/>
              </w:rPr>
            </w:pPr>
          </w:p>
        </w:tc>
        <w:tc>
          <w:tcPr>
            <w:tcW w:w="5814" w:type="dxa"/>
            <w:vAlign w:val="center"/>
          </w:tcPr>
          <w:p>
            <w:pPr>
              <w:ind w:firstLine="0" w:firstLineChars="0"/>
              <w:jc w:val="left"/>
              <w:rPr>
                <w:rFonts w:cs="宋体"/>
                <w:color w:val="auto"/>
                <w:szCs w:val="21"/>
                <w:highlight w:val="none"/>
              </w:rPr>
            </w:pPr>
          </w:p>
        </w:tc>
        <w:tc>
          <w:tcPr>
            <w:tcW w:w="756" w:type="dxa"/>
            <w:vAlign w:val="center"/>
          </w:tcPr>
          <w:p>
            <w:pPr>
              <w:ind w:firstLine="0" w:firstLineChars="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1727" w:type="dxa"/>
            <w:vAlign w:val="center"/>
          </w:tcPr>
          <w:p>
            <w:pPr>
              <w:ind w:firstLine="0" w:firstLineChars="0"/>
              <w:jc w:val="center"/>
              <w:rPr>
                <w:rFonts w:cs="宋体"/>
                <w:color w:val="auto"/>
                <w:spacing w:val="-6"/>
                <w:szCs w:val="21"/>
                <w:highlight w:val="none"/>
              </w:rPr>
            </w:pPr>
          </w:p>
        </w:tc>
        <w:tc>
          <w:tcPr>
            <w:tcW w:w="943" w:type="dxa"/>
            <w:vAlign w:val="center"/>
          </w:tcPr>
          <w:p>
            <w:pPr>
              <w:ind w:firstLine="0" w:firstLineChars="0"/>
              <w:jc w:val="center"/>
              <w:rPr>
                <w:rFonts w:cs="宋体"/>
                <w:color w:val="auto"/>
                <w:spacing w:val="-6"/>
                <w:szCs w:val="21"/>
                <w:highlight w:val="none"/>
              </w:rPr>
            </w:pPr>
          </w:p>
        </w:tc>
        <w:tc>
          <w:tcPr>
            <w:tcW w:w="5814" w:type="dxa"/>
            <w:vAlign w:val="center"/>
          </w:tcPr>
          <w:p>
            <w:pPr>
              <w:ind w:firstLine="0" w:firstLineChars="0"/>
              <w:rPr>
                <w:rFonts w:cs="宋体"/>
                <w:color w:val="auto"/>
                <w:spacing w:val="-6"/>
                <w:szCs w:val="21"/>
                <w:highlight w:val="none"/>
              </w:rPr>
            </w:pPr>
          </w:p>
        </w:tc>
        <w:tc>
          <w:tcPr>
            <w:tcW w:w="756" w:type="dxa"/>
            <w:vAlign w:val="center"/>
          </w:tcPr>
          <w:p>
            <w:pPr>
              <w:ind w:firstLine="0" w:firstLineChars="0"/>
              <w:rPr>
                <w:rFonts w:cs="宋体"/>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27" w:type="dxa"/>
            <w:vAlign w:val="center"/>
          </w:tcPr>
          <w:p>
            <w:pPr>
              <w:ind w:firstLine="0" w:firstLineChars="0"/>
              <w:jc w:val="center"/>
              <w:rPr>
                <w:rFonts w:cs="宋体"/>
                <w:color w:val="auto"/>
                <w:spacing w:val="-6"/>
                <w:szCs w:val="21"/>
                <w:highlight w:val="none"/>
              </w:rPr>
            </w:pPr>
          </w:p>
        </w:tc>
        <w:tc>
          <w:tcPr>
            <w:tcW w:w="943" w:type="dxa"/>
            <w:vAlign w:val="center"/>
          </w:tcPr>
          <w:p>
            <w:pPr>
              <w:ind w:firstLine="0" w:firstLineChars="0"/>
              <w:jc w:val="center"/>
              <w:rPr>
                <w:rFonts w:cs="宋体"/>
                <w:color w:val="auto"/>
                <w:spacing w:val="-6"/>
                <w:szCs w:val="21"/>
                <w:highlight w:val="none"/>
              </w:rPr>
            </w:pPr>
          </w:p>
        </w:tc>
        <w:tc>
          <w:tcPr>
            <w:tcW w:w="5814" w:type="dxa"/>
            <w:vAlign w:val="center"/>
          </w:tcPr>
          <w:p>
            <w:pPr>
              <w:ind w:firstLine="0" w:firstLineChars="0"/>
              <w:rPr>
                <w:rFonts w:cs="宋体"/>
                <w:color w:val="auto"/>
                <w:spacing w:val="-6"/>
                <w:szCs w:val="21"/>
                <w:highlight w:val="none"/>
                <w:lang w:val="zh-CN"/>
              </w:rPr>
            </w:pPr>
          </w:p>
        </w:tc>
        <w:tc>
          <w:tcPr>
            <w:tcW w:w="756" w:type="dxa"/>
            <w:vAlign w:val="center"/>
          </w:tcPr>
          <w:p>
            <w:pPr>
              <w:ind w:firstLine="0" w:firstLineChars="0"/>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27" w:type="dxa"/>
            <w:vAlign w:val="center"/>
          </w:tcPr>
          <w:p>
            <w:pPr>
              <w:ind w:firstLine="0" w:firstLineChars="0"/>
              <w:jc w:val="center"/>
              <w:rPr>
                <w:rFonts w:cs="宋体"/>
                <w:color w:val="auto"/>
                <w:szCs w:val="21"/>
                <w:highlight w:val="none"/>
              </w:rPr>
            </w:pPr>
          </w:p>
        </w:tc>
        <w:tc>
          <w:tcPr>
            <w:tcW w:w="943" w:type="dxa"/>
            <w:vAlign w:val="center"/>
          </w:tcPr>
          <w:p>
            <w:pPr>
              <w:ind w:firstLine="0" w:firstLineChars="0"/>
              <w:jc w:val="center"/>
              <w:rPr>
                <w:rFonts w:cs="宋体"/>
                <w:color w:val="auto"/>
                <w:spacing w:val="-6"/>
                <w:szCs w:val="21"/>
                <w:highlight w:val="none"/>
              </w:rPr>
            </w:pPr>
          </w:p>
        </w:tc>
        <w:tc>
          <w:tcPr>
            <w:tcW w:w="5814" w:type="dxa"/>
            <w:vAlign w:val="center"/>
          </w:tcPr>
          <w:p>
            <w:pPr>
              <w:ind w:firstLine="0" w:firstLineChars="0"/>
              <w:rPr>
                <w:rFonts w:cs="宋体"/>
                <w:color w:val="auto"/>
                <w:szCs w:val="21"/>
                <w:highlight w:val="none"/>
              </w:rPr>
            </w:pPr>
          </w:p>
        </w:tc>
        <w:tc>
          <w:tcPr>
            <w:tcW w:w="756" w:type="dxa"/>
            <w:vAlign w:val="center"/>
          </w:tcPr>
          <w:p>
            <w:pPr>
              <w:ind w:firstLine="0" w:firstLineChars="0"/>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27" w:type="dxa"/>
            <w:vAlign w:val="center"/>
          </w:tcPr>
          <w:p>
            <w:pPr>
              <w:ind w:firstLine="0" w:firstLineChars="0"/>
              <w:jc w:val="center"/>
              <w:rPr>
                <w:rFonts w:cs="宋体"/>
                <w:color w:val="auto"/>
                <w:spacing w:val="-6"/>
                <w:szCs w:val="21"/>
                <w:highlight w:val="none"/>
              </w:rPr>
            </w:pPr>
          </w:p>
        </w:tc>
        <w:tc>
          <w:tcPr>
            <w:tcW w:w="943" w:type="dxa"/>
            <w:vAlign w:val="center"/>
          </w:tcPr>
          <w:p>
            <w:pPr>
              <w:ind w:firstLine="0" w:firstLineChars="0"/>
              <w:jc w:val="center"/>
              <w:rPr>
                <w:rFonts w:cs="宋体"/>
                <w:color w:val="auto"/>
                <w:spacing w:val="-6"/>
                <w:szCs w:val="21"/>
                <w:highlight w:val="none"/>
              </w:rPr>
            </w:pPr>
          </w:p>
        </w:tc>
        <w:tc>
          <w:tcPr>
            <w:tcW w:w="5814" w:type="dxa"/>
            <w:vAlign w:val="center"/>
          </w:tcPr>
          <w:p>
            <w:pPr>
              <w:ind w:firstLine="0" w:firstLineChars="0"/>
              <w:rPr>
                <w:rFonts w:cs="宋体"/>
                <w:color w:val="auto"/>
                <w:spacing w:val="-6"/>
                <w:szCs w:val="21"/>
                <w:highlight w:val="none"/>
              </w:rPr>
            </w:pPr>
          </w:p>
        </w:tc>
        <w:tc>
          <w:tcPr>
            <w:tcW w:w="756" w:type="dxa"/>
            <w:vAlign w:val="center"/>
          </w:tcPr>
          <w:p>
            <w:pPr>
              <w:ind w:firstLine="0" w:firstLineChars="0"/>
              <w:rPr>
                <w:rFonts w:cs="宋体"/>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27" w:type="dxa"/>
            <w:vAlign w:val="center"/>
          </w:tcPr>
          <w:p>
            <w:pPr>
              <w:ind w:firstLine="0" w:firstLineChars="0"/>
              <w:jc w:val="center"/>
              <w:rPr>
                <w:rFonts w:cs="宋体"/>
                <w:color w:val="auto"/>
                <w:spacing w:val="-6"/>
                <w:szCs w:val="21"/>
                <w:highlight w:val="none"/>
              </w:rPr>
            </w:pPr>
          </w:p>
        </w:tc>
        <w:tc>
          <w:tcPr>
            <w:tcW w:w="943" w:type="dxa"/>
            <w:vAlign w:val="center"/>
          </w:tcPr>
          <w:p>
            <w:pPr>
              <w:ind w:firstLine="0" w:firstLineChars="0"/>
              <w:jc w:val="center"/>
              <w:rPr>
                <w:rFonts w:cs="宋体"/>
                <w:color w:val="auto"/>
                <w:spacing w:val="-6"/>
                <w:szCs w:val="21"/>
                <w:highlight w:val="none"/>
              </w:rPr>
            </w:pPr>
          </w:p>
        </w:tc>
        <w:tc>
          <w:tcPr>
            <w:tcW w:w="5814" w:type="dxa"/>
            <w:vAlign w:val="center"/>
          </w:tcPr>
          <w:p>
            <w:pPr>
              <w:ind w:firstLine="0" w:firstLineChars="0"/>
              <w:rPr>
                <w:rFonts w:cs="宋体"/>
                <w:color w:val="auto"/>
                <w:spacing w:val="-6"/>
                <w:szCs w:val="21"/>
                <w:highlight w:val="none"/>
              </w:rPr>
            </w:pPr>
          </w:p>
        </w:tc>
        <w:tc>
          <w:tcPr>
            <w:tcW w:w="756" w:type="dxa"/>
            <w:vAlign w:val="center"/>
          </w:tcPr>
          <w:p>
            <w:pPr>
              <w:ind w:firstLine="0" w:firstLineChars="0"/>
              <w:rPr>
                <w:rFonts w:cs="宋体"/>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27" w:type="dxa"/>
            <w:vAlign w:val="center"/>
          </w:tcPr>
          <w:p>
            <w:pPr>
              <w:ind w:firstLine="0" w:firstLineChars="0"/>
              <w:jc w:val="center"/>
              <w:rPr>
                <w:rFonts w:cs="宋体"/>
                <w:color w:val="auto"/>
                <w:spacing w:val="-6"/>
                <w:szCs w:val="21"/>
                <w:highlight w:val="none"/>
              </w:rPr>
            </w:pPr>
          </w:p>
        </w:tc>
        <w:tc>
          <w:tcPr>
            <w:tcW w:w="943" w:type="dxa"/>
            <w:vAlign w:val="center"/>
          </w:tcPr>
          <w:p>
            <w:pPr>
              <w:ind w:firstLine="0" w:firstLineChars="0"/>
              <w:jc w:val="center"/>
              <w:rPr>
                <w:rFonts w:cs="宋体"/>
                <w:color w:val="auto"/>
                <w:spacing w:val="-6"/>
                <w:szCs w:val="21"/>
                <w:highlight w:val="none"/>
              </w:rPr>
            </w:pPr>
          </w:p>
        </w:tc>
        <w:tc>
          <w:tcPr>
            <w:tcW w:w="5814" w:type="dxa"/>
            <w:vAlign w:val="center"/>
          </w:tcPr>
          <w:p>
            <w:pPr>
              <w:ind w:firstLine="0" w:firstLineChars="0"/>
              <w:rPr>
                <w:rFonts w:cs="宋体"/>
                <w:color w:val="auto"/>
                <w:spacing w:val="-6"/>
                <w:szCs w:val="21"/>
                <w:highlight w:val="none"/>
              </w:rPr>
            </w:pPr>
          </w:p>
        </w:tc>
        <w:tc>
          <w:tcPr>
            <w:tcW w:w="756" w:type="dxa"/>
            <w:vAlign w:val="center"/>
          </w:tcPr>
          <w:p>
            <w:pPr>
              <w:ind w:firstLine="0" w:firstLineChars="0"/>
              <w:rPr>
                <w:rFonts w:cs="宋体"/>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27" w:type="dxa"/>
            <w:vAlign w:val="center"/>
          </w:tcPr>
          <w:p>
            <w:pPr>
              <w:ind w:firstLine="0" w:firstLineChars="0"/>
              <w:jc w:val="center"/>
              <w:rPr>
                <w:rFonts w:cs="宋体"/>
                <w:color w:val="auto"/>
                <w:spacing w:val="-6"/>
                <w:szCs w:val="21"/>
                <w:highlight w:val="none"/>
              </w:rPr>
            </w:pPr>
          </w:p>
        </w:tc>
        <w:tc>
          <w:tcPr>
            <w:tcW w:w="943" w:type="dxa"/>
            <w:vAlign w:val="center"/>
          </w:tcPr>
          <w:p>
            <w:pPr>
              <w:ind w:firstLine="0" w:firstLineChars="0"/>
              <w:jc w:val="center"/>
              <w:rPr>
                <w:rFonts w:cs="宋体"/>
                <w:color w:val="auto"/>
                <w:spacing w:val="-6"/>
                <w:szCs w:val="21"/>
                <w:highlight w:val="none"/>
              </w:rPr>
            </w:pPr>
          </w:p>
        </w:tc>
        <w:tc>
          <w:tcPr>
            <w:tcW w:w="5814" w:type="dxa"/>
            <w:vAlign w:val="center"/>
          </w:tcPr>
          <w:p>
            <w:pPr>
              <w:ind w:firstLine="0" w:firstLineChars="0"/>
              <w:rPr>
                <w:rFonts w:cs="宋体"/>
                <w:color w:val="auto"/>
                <w:spacing w:val="-6"/>
                <w:szCs w:val="21"/>
                <w:highlight w:val="none"/>
              </w:rPr>
            </w:pPr>
          </w:p>
        </w:tc>
        <w:tc>
          <w:tcPr>
            <w:tcW w:w="756" w:type="dxa"/>
            <w:vAlign w:val="center"/>
          </w:tcPr>
          <w:p>
            <w:pPr>
              <w:ind w:firstLine="0" w:firstLineChars="0"/>
              <w:rPr>
                <w:rFonts w:cs="宋体"/>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27" w:type="dxa"/>
            <w:vAlign w:val="center"/>
          </w:tcPr>
          <w:p>
            <w:pPr>
              <w:ind w:firstLine="0" w:firstLineChars="0"/>
              <w:jc w:val="center"/>
              <w:rPr>
                <w:rFonts w:cs="宋体"/>
                <w:color w:val="auto"/>
                <w:spacing w:val="-6"/>
                <w:szCs w:val="21"/>
                <w:highlight w:val="none"/>
              </w:rPr>
            </w:pPr>
          </w:p>
        </w:tc>
        <w:tc>
          <w:tcPr>
            <w:tcW w:w="943" w:type="dxa"/>
            <w:vAlign w:val="center"/>
          </w:tcPr>
          <w:p>
            <w:pPr>
              <w:ind w:firstLine="0" w:firstLineChars="0"/>
              <w:jc w:val="center"/>
              <w:rPr>
                <w:rFonts w:cs="宋体"/>
                <w:color w:val="auto"/>
                <w:spacing w:val="-6"/>
                <w:szCs w:val="21"/>
                <w:highlight w:val="none"/>
              </w:rPr>
            </w:pPr>
          </w:p>
        </w:tc>
        <w:tc>
          <w:tcPr>
            <w:tcW w:w="5814" w:type="dxa"/>
            <w:vAlign w:val="center"/>
          </w:tcPr>
          <w:p>
            <w:pPr>
              <w:ind w:firstLine="0" w:firstLineChars="0"/>
              <w:rPr>
                <w:rFonts w:cs="宋体"/>
                <w:color w:val="auto"/>
                <w:spacing w:val="-6"/>
                <w:szCs w:val="21"/>
                <w:highlight w:val="none"/>
              </w:rPr>
            </w:pPr>
          </w:p>
        </w:tc>
        <w:tc>
          <w:tcPr>
            <w:tcW w:w="756" w:type="dxa"/>
            <w:vAlign w:val="center"/>
          </w:tcPr>
          <w:p>
            <w:pPr>
              <w:ind w:firstLine="0" w:firstLineChars="0"/>
              <w:rPr>
                <w:rFonts w:cs="宋体"/>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27" w:type="dxa"/>
            <w:vAlign w:val="center"/>
          </w:tcPr>
          <w:p>
            <w:pPr>
              <w:ind w:firstLine="0" w:firstLineChars="0"/>
              <w:jc w:val="center"/>
              <w:rPr>
                <w:rFonts w:cs="宋体"/>
                <w:color w:val="auto"/>
                <w:spacing w:val="-6"/>
                <w:szCs w:val="21"/>
                <w:highlight w:val="none"/>
              </w:rPr>
            </w:pPr>
          </w:p>
        </w:tc>
        <w:tc>
          <w:tcPr>
            <w:tcW w:w="943" w:type="dxa"/>
            <w:vAlign w:val="center"/>
          </w:tcPr>
          <w:p>
            <w:pPr>
              <w:ind w:firstLine="0" w:firstLineChars="0"/>
              <w:jc w:val="center"/>
              <w:rPr>
                <w:rFonts w:cs="宋体"/>
                <w:color w:val="auto"/>
                <w:spacing w:val="-6"/>
                <w:szCs w:val="21"/>
                <w:highlight w:val="none"/>
              </w:rPr>
            </w:pPr>
          </w:p>
        </w:tc>
        <w:tc>
          <w:tcPr>
            <w:tcW w:w="5814" w:type="dxa"/>
            <w:vAlign w:val="center"/>
          </w:tcPr>
          <w:p>
            <w:pPr>
              <w:pStyle w:val="11"/>
              <w:adjustRightInd/>
              <w:spacing w:line="240" w:lineRule="auto"/>
              <w:ind w:firstLine="0" w:firstLineChars="0"/>
              <w:rPr>
                <w:rFonts w:ascii="宋体" w:hAnsi="宋体" w:cs="宋体"/>
                <w:color w:val="auto"/>
                <w:spacing w:val="-6"/>
                <w:sz w:val="21"/>
                <w:szCs w:val="21"/>
                <w:highlight w:val="none"/>
              </w:rPr>
            </w:pPr>
          </w:p>
        </w:tc>
        <w:tc>
          <w:tcPr>
            <w:tcW w:w="756" w:type="dxa"/>
            <w:vAlign w:val="center"/>
          </w:tcPr>
          <w:p>
            <w:pPr>
              <w:pStyle w:val="11"/>
              <w:adjustRightInd/>
              <w:spacing w:line="240" w:lineRule="auto"/>
              <w:ind w:firstLine="0" w:firstLineChars="0"/>
              <w:rPr>
                <w:rFonts w:ascii="宋体" w:hAnsi="宋体" w:cs="宋体"/>
                <w:color w:val="auto"/>
                <w:sz w:val="21"/>
                <w:szCs w:val="21"/>
                <w:highlight w:val="none"/>
              </w:rPr>
            </w:pPr>
          </w:p>
        </w:tc>
      </w:tr>
    </w:tbl>
    <w:p>
      <w:pPr>
        <w:adjustRightInd w:val="0"/>
        <w:snapToGrid w:val="0"/>
        <w:ind w:firstLine="422"/>
        <w:jc w:val="center"/>
        <w:rPr>
          <w:rFonts w:cs="宋体"/>
          <w:b/>
          <w:color w:val="auto"/>
          <w:szCs w:val="21"/>
          <w:highlight w:val="none"/>
        </w:rPr>
      </w:pPr>
    </w:p>
    <w:p>
      <w:pPr>
        <w:spacing w:line="366" w:lineRule="exact"/>
        <w:ind w:firstLine="643"/>
        <w:jc w:val="center"/>
        <w:rPr>
          <w:rFonts w:cs="宋体"/>
          <w:b/>
          <w:bCs/>
          <w:snapToGrid w:val="0"/>
          <w:color w:val="auto"/>
          <w:kern w:val="0"/>
          <w:sz w:val="32"/>
          <w:szCs w:val="32"/>
          <w:highlight w:val="none"/>
        </w:rPr>
        <w:sectPr>
          <w:pgSz w:w="11906" w:h="16838"/>
          <w:pgMar w:top="1418" w:right="1418" w:bottom="1418" w:left="1418" w:header="851" w:footer="992" w:gutter="0"/>
          <w:cols w:space="720" w:num="1"/>
          <w:docGrid w:linePitch="312" w:charSpace="0"/>
        </w:sectPr>
      </w:pPr>
    </w:p>
    <w:p>
      <w:pPr>
        <w:pStyle w:val="6"/>
        <w:ind w:firstLine="482"/>
        <w:rPr>
          <w:rFonts w:cs="宋体"/>
          <w:color w:val="auto"/>
          <w:highlight w:val="none"/>
        </w:rPr>
      </w:pPr>
      <w:r>
        <w:rPr>
          <w:rFonts w:hint="eastAsia" w:cs="宋体"/>
          <w:color w:val="auto"/>
          <w:highlight w:val="none"/>
        </w:rPr>
        <w:t>二、法定代表人资格证明书</w:t>
      </w:r>
    </w:p>
    <w:p>
      <w:pPr>
        <w:pStyle w:val="13"/>
        <w:adjustRightInd w:val="0"/>
        <w:ind w:firstLine="480" w:firstLineChars="229"/>
        <w:rPr>
          <w:rFonts w:ascii="宋体" w:hAnsi="宋体" w:cs="宋体"/>
          <w:color w:val="auto"/>
          <w:highlight w:val="none"/>
          <w:u w:val="single"/>
        </w:rPr>
      </w:pPr>
    </w:p>
    <w:p>
      <w:pPr>
        <w:pStyle w:val="13"/>
        <w:adjustRightInd w:val="0"/>
        <w:ind w:firstLine="480" w:firstLineChars="229"/>
        <w:rPr>
          <w:rFonts w:ascii="宋体" w:hAnsi="宋体" w:cs="宋体"/>
          <w:color w:val="auto"/>
          <w:highlight w:val="none"/>
          <w:u w:val="single"/>
        </w:rPr>
      </w:pPr>
      <w:r>
        <w:rPr>
          <w:rFonts w:hint="eastAsia" w:ascii="宋体" w:hAnsi="宋体" w:cs="宋体"/>
          <w:color w:val="auto"/>
          <w:highlight w:val="none"/>
          <w:u w:val="single"/>
        </w:rPr>
        <w:t xml:space="preserve">（采购人单位名称）：         </w:t>
      </w:r>
    </w:p>
    <w:p>
      <w:pPr>
        <w:pStyle w:val="13"/>
        <w:adjustRightInd w:val="0"/>
        <w:ind w:firstLine="420"/>
        <w:rPr>
          <w:rFonts w:ascii="宋体" w:hAnsi="宋体" w:cs="宋体"/>
          <w:color w:val="auto"/>
          <w:highlight w:val="none"/>
        </w:rPr>
      </w:pPr>
      <w:r>
        <w:rPr>
          <w:rFonts w:hint="eastAsia" w:ascii="宋体" w:hAnsi="宋体" w:cs="宋体"/>
          <w:color w:val="auto"/>
          <w:highlight w:val="none"/>
          <w:u w:val="single"/>
        </w:rPr>
        <w:t>浙江五石工程咨询有限公司：</w:t>
      </w:r>
    </w:p>
    <w:p>
      <w:pPr>
        <w:pStyle w:val="11"/>
        <w:ind w:firstLine="420"/>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u w:val="single"/>
        </w:rPr>
        <w:t xml:space="preserve">     （姓名）    </w:t>
      </w:r>
      <w:r>
        <w:rPr>
          <w:rFonts w:hint="eastAsia" w:ascii="宋体" w:hAnsi="宋体" w:cs="宋体"/>
          <w:snapToGrid w:val="0"/>
          <w:color w:val="auto"/>
          <w:sz w:val="21"/>
          <w:szCs w:val="21"/>
          <w:highlight w:val="none"/>
        </w:rPr>
        <w:t>系</w:t>
      </w:r>
      <w:r>
        <w:rPr>
          <w:rFonts w:hint="eastAsia" w:ascii="宋体" w:hAnsi="宋体" w:cs="宋体"/>
          <w:snapToGrid w:val="0"/>
          <w:color w:val="auto"/>
          <w:sz w:val="21"/>
          <w:szCs w:val="21"/>
          <w:highlight w:val="none"/>
          <w:u w:val="single"/>
        </w:rPr>
        <w:t xml:space="preserve">  （单位名称）  </w:t>
      </w:r>
      <w:r>
        <w:rPr>
          <w:rFonts w:hint="eastAsia" w:ascii="宋体" w:hAnsi="宋体" w:cs="宋体"/>
          <w:snapToGrid w:val="0"/>
          <w:color w:val="auto"/>
          <w:sz w:val="21"/>
          <w:szCs w:val="21"/>
          <w:highlight w:val="none"/>
        </w:rPr>
        <w:t>的法定代表人，</w:t>
      </w:r>
      <w:r>
        <w:rPr>
          <w:rFonts w:hint="eastAsia" w:ascii="宋体" w:hAnsi="宋体" w:cs="宋体"/>
          <w:snapToGrid w:val="0"/>
          <w:color w:val="auto"/>
          <w:sz w:val="21"/>
          <w:szCs w:val="21"/>
          <w:highlight w:val="none"/>
          <w:u w:val="single"/>
        </w:rPr>
        <w:t xml:space="preserve">   （身份证号）     </w:t>
      </w:r>
      <w:r>
        <w:rPr>
          <w:rFonts w:hint="eastAsia" w:ascii="宋体" w:hAnsi="宋体" w:cs="宋体"/>
          <w:snapToGrid w:val="0"/>
          <w:color w:val="auto"/>
          <w:sz w:val="21"/>
          <w:szCs w:val="21"/>
          <w:highlight w:val="none"/>
        </w:rPr>
        <w:t>。</w:t>
      </w:r>
    </w:p>
    <w:p>
      <w:pPr>
        <w:pStyle w:val="11"/>
        <w:ind w:firstLine="420"/>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特此证明。</w:t>
      </w:r>
    </w:p>
    <w:p>
      <w:pPr>
        <w:pStyle w:val="11"/>
        <w:ind w:firstLine="420"/>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rPr>
        <w:t>投标人：（盖单位公章）</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日期：年月日</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附：</w:t>
      </w:r>
    </w:p>
    <w:p>
      <w:pPr>
        <w:adjustRightInd w:val="0"/>
        <w:snapToGrid w:val="0"/>
        <w:ind w:firstLine="420"/>
        <w:rPr>
          <w:rFonts w:cs="宋体"/>
          <w:snapToGrid w:val="0"/>
          <w:color w:val="auto"/>
          <w:kern w:val="0"/>
          <w:szCs w:val="21"/>
          <w:highlight w:val="none"/>
        </w:rPr>
      </w:pPr>
      <w:r>
        <w:rPr>
          <w:rFonts w:hint="eastAsia" w:cs="宋体"/>
          <w:snapToGrid w:val="0"/>
          <w:color w:val="auto"/>
          <w:kern w:val="0"/>
          <w:szCs w:val="21"/>
          <w:highlight w:val="none"/>
        </w:rPr>
        <w:t>法定代表人联系方式及身份证复印件</w:t>
      </w:r>
    </w:p>
    <w:p>
      <w:pPr>
        <w:adjustRightInd w:val="0"/>
        <w:snapToGrid w:val="0"/>
        <w:ind w:firstLine="422"/>
        <w:rPr>
          <w:rFonts w:cs="宋体"/>
          <w:b/>
          <w:bCs/>
          <w:color w:val="auto"/>
          <w:szCs w:val="21"/>
          <w:highlight w:val="none"/>
        </w:rPr>
      </w:pPr>
      <w:r>
        <w:rPr>
          <w:rFonts w:hint="eastAsia" w:cs="宋体"/>
          <w:b/>
          <w:snapToGrid w:val="0"/>
          <w:color w:val="auto"/>
          <w:kern w:val="0"/>
          <w:szCs w:val="21"/>
          <w:highlight w:val="none"/>
        </w:rPr>
        <w:t>注：法定代表人直接签署投标文件并参加投标的，在投标文件中出具此资格证明书及身份证复印件。</w:t>
      </w:r>
    </w:p>
    <w:p>
      <w:pPr>
        <w:spacing w:line="366" w:lineRule="exact"/>
        <w:ind w:firstLine="562"/>
        <w:jc w:val="center"/>
        <w:rPr>
          <w:rFonts w:cs="宋体"/>
          <w:b/>
          <w:bCs/>
          <w:color w:val="auto"/>
          <w:sz w:val="28"/>
          <w:szCs w:val="28"/>
          <w:highlight w:val="none"/>
        </w:rPr>
      </w:pPr>
    </w:p>
    <w:p>
      <w:pPr>
        <w:spacing w:line="366" w:lineRule="exact"/>
        <w:ind w:firstLine="562"/>
        <w:jc w:val="center"/>
        <w:rPr>
          <w:rFonts w:cs="宋体"/>
          <w:b/>
          <w:bCs/>
          <w:color w:val="auto"/>
          <w:sz w:val="28"/>
          <w:szCs w:val="28"/>
          <w:highlight w:val="none"/>
        </w:rPr>
      </w:pPr>
      <w:r>
        <w:rPr>
          <w:rFonts w:hint="eastAsia" w:cs="宋体"/>
          <w:b/>
          <w:bCs/>
          <w:color w:val="auto"/>
          <w:sz w:val="28"/>
          <w:szCs w:val="28"/>
          <w:highlight w:val="none"/>
        </w:rPr>
        <w:t>法定代表人授权委托书</w:t>
      </w:r>
    </w:p>
    <w:p>
      <w:pPr>
        <w:pStyle w:val="13"/>
        <w:adjustRightInd w:val="0"/>
        <w:ind w:firstLine="420"/>
        <w:rPr>
          <w:rFonts w:ascii="宋体" w:hAnsi="宋体" w:cs="宋体"/>
          <w:color w:val="auto"/>
          <w:highlight w:val="none"/>
          <w:u w:val="single"/>
        </w:rPr>
      </w:pPr>
    </w:p>
    <w:p>
      <w:pPr>
        <w:pStyle w:val="13"/>
        <w:adjustRightInd w:val="0"/>
        <w:ind w:firstLine="420"/>
        <w:rPr>
          <w:rFonts w:ascii="宋体" w:hAnsi="宋体" w:cs="宋体"/>
          <w:color w:val="auto"/>
          <w:highlight w:val="none"/>
          <w:u w:val="single"/>
        </w:rPr>
      </w:pPr>
      <w:r>
        <w:rPr>
          <w:rFonts w:hint="eastAsia" w:ascii="宋体" w:hAnsi="宋体" w:cs="宋体"/>
          <w:color w:val="auto"/>
          <w:highlight w:val="none"/>
          <w:u w:val="single"/>
        </w:rPr>
        <w:t>（采购人单位名称）：</w:t>
      </w:r>
    </w:p>
    <w:p>
      <w:pPr>
        <w:pStyle w:val="13"/>
        <w:adjustRightInd w:val="0"/>
        <w:ind w:firstLine="420"/>
        <w:rPr>
          <w:rFonts w:ascii="宋体" w:hAnsi="宋体" w:cs="宋体"/>
          <w:color w:val="auto"/>
          <w:highlight w:val="none"/>
          <w:u w:val="single"/>
        </w:rPr>
      </w:pPr>
      <w:r>
        <w:rPr>
          <w:rFonts w:hint="eastAsia" w:ascii="宋体" w:hAnsi="宋体" w:cs="宋体"/>
          <w:color w:val="auto"/>
          <w:highlight w:val="none"/>
          <w:u w:val="single"/>
        </w:rPr>
        <w:t>浙江五石工程咨询有限公司：</w:t>
      </w:r>
    </w:p>
    <w:p>
      <w:pPr>
        <w:pStyle w:val="13"/>
        <w:ind w:firstLine="420"/>
        <w:rPr>
          <w:rFonts w:ascii="宋体" w:hAnsi="宋体" w:cs="宋体"/>
          <w:color w:val="auto"/>
          <w:highlight w:val="none"/>
        </w:rPr>
      </w:pPr>
      <w:r>
        <w:rPr>
          <w:rFonts w:hint="eastAsia" w:ascii="宋体" w:hAnsi="宋体" w:cs="宋体"/>
          <w:color w:val="auto"/>
          <w:highlight w:val="none"/>
        </w:rPr>
        <w:t>我以</w:t>
      </w:r>
      <w:r>
        <w:rPr>
          <w:rFonts w:hint="eastAsia" w:ascii="宋体" w:hAnsi="宋体" w:cs="宋体"/>
          <w:color w:val="auto"/>
          <w:highlight w:val="none"/>
          <w:u w:val="single"/>
        </w:rPr>
        <w:t xml:space="preserve">        （投标人全称）    </w:t>
      </w:r>
      <w:r>
        <w:rPr>
          <w:rFonts w:hint="eastAsia" w:ascii="宋体" w:hAnsi="宋体" w:cs="宋体"/>
          <w:color w:val="auto"/>
          <w:highlight w:val="none"/>
        </w:rPr>
        <w:t>法定代表人的身份授权</w:t>
      </w:r>
      <w:r>
        <w:rPr>
          <w:rFonts w:hint="eastAsia" w:ascii="宋体" w:hAnsi="宋体" w:cs="宋体"/>
          <w:color w:val="auto"/>
          <w:highlight w:val="none"/>
          <w:u w:val="single"/>
        </w:rPr>
        <w:t>（全权代表姓名）</w:t>
      </w:r>
      <w:r>
        <w:rPr>
          <w:rFonts w:hint="eastAsia" w:ascii="宋体" w:hAnsi="宋体" w:cs="宋体"/>
          <w:color w:val="auto"/>
          <w:highlight w:val="none"/>
        </w:rPr>
        <w:t>、</w:t>
      </w:r>
      <w:r>
        <w:rPr>
          <w:rFonts w:hint="eastAsia" w:ascii="宋体" w:hAnsi="宋体" w:cs="宋体"/>
          <w:color w:val="auto"/>
          <w:highlight w:val="none"/>
          <w:u w:val="single"/>
        </w:rPr>
        <w:t xml:space="preserve">  （身份证号</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rPr>
        <w:t>，为我单位的全权代表，参加贵处组织的</w:t>
      </w:r>
      <w:r>
        <w:rPr>
          <w:rFonts w:hint="eastAsia" w:ascii="宋体" w:hAnsi="宋体" w:cs="宋体"/>
          <w:color w:val="auto"/>
          <w:highlight w:val="none"/>
          <w:u w:val="single"/>
        </w:rPr>
        <w:t xml:space="preserve">  （项目名称） </w:t>
      </w:r>
      <w:r>
        <w:rPr>
          <w:rFonts w:hint="eastAsia" w:ascii="宋体" w:hAnsi="宋体" w:cs="宋体"/>
          <w:color w:val="auto"/>
          <w:highlight w:val="none"/>
        </w:rPr>
        <w:t>（</w:t>
      </w:r>
      <w:r>
        <w:rPr>
          <w:rFonts w:hint="eastAsia" w:ascii="宋体" w:hAnsi="宋体" w:cs="宋体"/>
          <w:color w:val="auto"/>
          <w:highlight w:val="none"/>
          <w:u w:val="single"/>
        </w:rPr>
        <w:t>招标项目编号</w:t>
      </w:r>
      <w:r>
        <w:rPr>
          <w:rFonts w:hint="eastAsia" w:ascii="宋体" w:hAnsi="宋体" w:cs="宋体"/>
          <w:color w:val="auto"/>
          <w:highlight w:val="none"/>
        </w:rPr>
        <w:t>）</w:t>
      </w:r>
      <w:r>
        <w:rPr>
          <w:rFonts w:hint="eastAsia" w:ascii="宋体" w:hAnsi="宋体" w:cs="宋体"/>
          <w:color w:val="auto"/>
          <w:highlight w:val="none"/>
          <w:u w:val="single"/>
        </w:rPr>
        <w:t xml:space="preserve">  （标项内容）</w:t>
      </w:r>
      <w:r>
        <w:rPr>
          <w:rFonts w:hint="eastAsia" w:ascii="宋体" w:hAnsi="宋体" w:cs="宋体"/>
          <w:color w:val="auto"/>
          <w:highlight w:val="none"/>
        </w:rPr>
        <w:t>的招标，签署本项目相关投标文件并全权处理投标活动中的一切事宜。我单位承认全权代表做出的与本项目招投标活动有关的全部行为。</w:t>
      </w:r>
    </w:p>
    <w:p>
      <w:pPr>
        <w:pStyle w:val="13"/>
        <w:ind w:firstLine="420"/>
        <w:rPr>
          <w:rFonts w:ascii="宋体" w:hAnsi="宋体" w:cs="宋体"/>
          <w:color w:val="auto"/>
          <w:highlight w:val="none"/>
        </w:rPr>
      </w:pPr>
      <w:r>
        <w:rPr>
          <w:rFonts w:hint="eastAsia" w:ascii="宋体" w:hAnsi="宋体" w:cs="宋体"/>
          <w:color w:val="auto"/>
          <w:highlight w:val="none"/>
        </w:rPr>
        <w:t>投标人全称（盖单位公章）：</w:t>
      </w:r>
    </w:p>
    <w:p>
      <w:pPr>
        <w:pStyle w:val="13"/>
        <w:ind w:firstLine="420"/>
        <w:rPr>
          <w:rFonts w:ascii="宋体" w:hAnsi="宋体" w:cs="宋体"/>
          <w:color w:val="auto"/>
          <w:highlight w:val="none"/>
        </w:rPr>
      </w:pPr>
      <w:r>
        <w:rPr>
          <w:rFonts w:hint="eastAsia" w:ascii="宋体" w:hAnsi="宋体" w:cs="宋体"/>
          <w:color w:val="auto"/>
          <w:highlight w:val="none"/>
        </w:rPr>
        <w:t>法定代表人（签字或盖章）：</w:t>
      </w:r>
    </w:p>
    <w:p>
      <w:pPr>
        <w:pStyle w:val="13"/>
        <w:ind w:firstLine="420"/>
        <w:rPr>
          <w:rFonts w:ascii="宋体" w:hAnsi="宋体" w:cs="宋体"/>
          <w:color w:val="auto"/>
          <w:highlight w:val="none"/>
        </w:rPr>
      </w:pPr>
      <w:r>
        <w:rPr>
          <w:rFonts w:hint="eastAsia" w:ascii="宋体" w:hAnsi="宋体" w:cs="宋体"/>
          <w:color w:val="auto"/>
          <w:highlight w:val="none"/>
        </w:rPr>
        <w:t>电话：</w:t>
      </w:r>
    </w:p>
    <w:p>
      <w:pPr>
        <w:pStyle w:val="13"/>
        <w:ind w:firstLine="420"/>
        <w:rPr>
          <w:rFonts w:ascii="宋体" w:hAnsi="宋体" w:cs="宋体"/>
          <w:color w:val="auto"/>
          <w:highlight w:val="none"/>
        </w:rPr>
      </w:pPr>
      <w:r>
        <w:rPr>
          <w:rFonts w:hint="eastAsia" w:ascii="宋体" w:hAnsi="宋体" w:cs="宋体"/>
          <w:color w:val="auto"/>
          <w:highlight w:val="none"/>
        </w:rPr>
        <w:t>日期：</w:t>
      </w:r>
    </w:p>
    <w:p>
      <w:pPr>
        <w:pStyle w:val="13"/>
        <w:ind w:firstLine="420"/>
        <w:rPr>
          <w:rFonts w:ascii="宋体" w:hAnsi="宋体" w:cs="宋体"/>
          <w:color w:val="auto"/>
          <w:highlight w:val="none"/>
        </w:rPr>
      </w:pPr>
      <w:r>
        <w:rPr>
          <w:rFonts w:hint="eastAsia" w:ascii="宋体" w:hAnsi="宋体" w:cs="宋体"/>
          <w:color w:val="auto"/>
          <w:highlight w:val="none"/>
        </w:rPr>
        <w:t>附：</w:t>
      </w:r>
    </w:p>
    <w:p>
      <w:pPr>
        <w:pStyle w:val="13"/>
        <w:ind w:firstLine="420"/>
        <w:rPr>
          <w:rFonts w:ascii="宋体" w:hAnsi="宋体" w:cs="宋体"/>
          <w:color w:val="auto"/>
          <w:highlight w:val="none"/>
        </w:rPr>
      </w:pPr>
      <w:r>
        <w:rPr>
          <w:rFonts w:hint="eastAsia" w:ascii="宋体" w:hAnsi="宋体" w:cs="宋体"/>
          <w:color w:val="auto"/>
          <w:highlight w:val="none"/>
        </w:rPr>
        <w:t>全权代表姓名：     身份证号码：      职  务：         电  话：</w:t>
      </w:r>
    </w:p>
    <w:p>
      <w:pPr>
        <w:ind w:firstLine="422"/>
        <w:rPr>
          <w:rFonts w:cs="宋体"/>
          <w:b/>
          <w:color w:val="auto"/>
          <w:szCs w:val="21"/>
          <w:highlight w:val="none"/>
        </w:rPr>
      </w:pPr>
      <w:r>
        <w:rPr>
          <w:rFonts w:hint="eastAsia" w:cs="宋体"/>
          <w:b/>
          <w:color w:val="auto"/>
          <w:szCs w:val="21"/>
          <w:highlight w:val="none"/>
        </w:rPr>
        <w:t>全权代表身份证复印件：</w:t>
      </w:r>
    </w:p>
    <w:p>
      <w:pPr>
        <w:widowControl/>
        <w:ind w:firstLine="422"/>
        <w:rPr>
          <w:rFonts w:cs="宋体"/>
          <w:b/>
          <w:color w:val="auto"/>
          <w:szCs w:val="21"/>
          <w:highlight w:val="none"/>
        </w:rPr>
      </w:pPr>
      <w:r>
        <w:rPr>
          <w:rFonts w:hint="eastAsia" w:cs="宋体"/>
          <w:b/>
          <w:color w:val="auto"/>
          <w:szCs w:val="21"/>
          <w:highlight w:val="none"/>
        </w:rPr>
        <w:t>注：法定代表人授权其公司员工签署及参加投标的，在投标文件中同时出具法定代表人资格证明书及此授权书，并附身份证复印件。</w:t>
      </w:r>
    </w:p>
    <w:p>
      <w:pPr>
        <w:widowControl/>
        <w:ind w:firstLine="422"/>
        <w:rPr>
          <w:rFonts w:cs="宋体"/>
          <w:b/>
          <w:color w:val="auto"/>
          <w:szCs w:val="21"/>
          <w:highlight w:val="none"/>
        </w:rPr>
      </w:pPr>
      <w:r>
        <w:rPr>
          <w:rFonts w:hint="eastAsia" w:cs="宋体"/>
          <w:b/>
          <w:color w:val="auto"/>
          <w:szCs w:val="21"/>
          <w:highlight w:val="none"/>
        </w:rPr>
        <w:t>投标文件格式中所提到的投标文件签署人是指以上两文件确定的签署人员。</w:t>
      </w:r>
    </w:p>
    <w:p>
      <w:pPr>
        <w:widowControl/>
        <w:ind w:firstLine="422"/>
        <w:rPr>
          <w:rFonts w:cs="宋体"/>
          <w:b/>
          <w:color w:val="auto"/>
          <w:szCs w:val="21"/>
          <w:highlight w:val="none"/>
        </w:rPr>
        <w:sectPr>
          <w:pgSz w:w="11906" w:h="16838"/>
          <w:pgMar w:top="1418" w:right="1418" w:bottom="1418" w:left="1418" w:header="851" w:footer="992" w:gutter="0"/>
          <w:cols w:space="720" w:num="1"/>
          <w:docGrid w:linePitch="312" w:charSpace="0"/>
        </w:sectPr>
      </w:pPr>
      <w:r>
        <w:rPr>
          <w:rFonts w:hint="eastAsia" w:cs="宋体"/>
          <w:b/>
          <w:color w:val="auto"/>
          <w:szCs w:val="21"/>
          <w:highlight w:val="none"/>
        </w:rPr>
        <w:t>如参加开标并在开评标过程中签署文件的人员与投标文件签署人不一致，须另行提供授权书。</w:t>
      </w:r>
    </w:p>
    <w:p>
      <w:pPr>
        <w:pStyle w:val="6"/>
        <w:ind w:firstLine="482"/>
        <w:rPr>
          <w:rFonts w:cs="宋体"/>
          <w:color w:val="auto"/>
          <w:highlight w:val="none"/>
        </w:rPr>
      </w:pPr>
      <w:r>
        <w:rPr>
          <w:rFonts w:hint="eastAsia" w:cs="宋体"/>
          <w:color w:val="auto"/>
          <w:highlight w:val="none"/>
        </w:rPr>
        <w:t>三、有效的经营执照</w:t>
      </w:r>
    </w:p>
    <w:p>
      <w:pPr>
        <w:adjustRightInd w:val="0"/>
        <w:snapToGrid w:val="0"/>
        <w:ind w:firstLine="422"/>
        <w:jc w:val="left"/>
        <w:rPr>
          <w:rFonts w:cs="宋体"/>
          <w:b/>
          <w:bCs/>
          <w:color w:val="auto"/>
          <w:szCs w:val="21"/>
          <w:highlight w:val="none"/>
        </w:rPr>
      </w:pPr>
    </w:p>
    <w:p>
      <w:pPr>
        <w:adjustRightInd w:val="0"/>
        <w:snapToGrid w:val="0"/>
        <w:ind w:firstLine="422"/>
        <w:jc w:val="left"/>
        <w:rPr>
          <w:rFonts w:cs="宋体"/>
          <w:b/>
          <w:bCs/>
          <w:color w:val="auto"/>
          <w:szCs w:val="21"/>
          <w:highlight w:val="none"/>
        </w:rPr>
      </w:pPr>
    </w:p>
    <w:p>
      <w:pPr>
        <w:adjustRightInd w:val="0"/>
        <w:snapToGrid w:val="0"/>
        <w:ind w:firstLine="422"/>
        <w:jc w:val="left"/>
        <w:rPr>
          <w:rFonts w:cs="宋体"/>
          <w:b/>
          <w:bCs/>
          <w:color w:val="auto"/>
          <w:szCs w:val="21"/>
          <w:highlight w:val="none"/>
        </w:rPr>
      </w:pPr>
    </w:p>
    <w:p>
      <w:pPr>
        <w:pStyle w:val="5"/>
        <w:ind w:firstLine="482"/>
        <w:rPr>
          <w:rFonts w:ascii="宋体" w:hAnsi="宋体" w:cs="宋体"/>
          <w:color w:val="auto"/>
          <w:highlight w:val="none"/>
        </w:rPr>
        <w:sectPr>
          <w:pgSz w:w="11906" w:h="16838"/>
          <w:pgMar w:top="1418" w:right="1418" w:bottom="1418" w:left="1418" w:header="851" w:footer="992" w:gutter="0"/>
          <w:cols w:space="720" w:num="1"/>
          <w:docGrid w:linePitch="312" w:charSpace="0"/>
        </w:sectPr>
      </w:pPr>
    </w:p>
    <w:p>
      <w:pPr>
        <w:pStyle w:val="6"/>
        <w:ind w:firstLine="482"/>
        <w:rPr>
          <w:rFonts w:cs="宋体"/>
          <w:color w:val="auto"/>
          <w:highlight w:val="none"/>
        </w:rPr>
      </w:pPr>
      <w:r>
        <w:rPr>
          <w:rFonts w:hint="eastAsia" w:cs="宋体"/>
          <w:color w:val="auto"/>
          <w:highlight w:val="none"/>
        </w:rPr>
        <w:t>四、廉政承诺书</w:t>
      </w:r>
    </w:p>
    <w:p>
      <w:pPr>
        <w:pStyle w:val="13"/>
        <w:adjustRightInd w:val="0"/>
        <w:ind w:firstLine="420"/>
        <w:rPr>
          <w:rFonts w:ascii="宋体" w:hAnsi="宋体" w:cs="宋体"/>
          <w:color w:val="auto"/>
          <w:highlight w:val="none"/>
          <w:u w:val="single"/>
        </w:rPr>
      </w:pPr>
      <w:r>
        <w:rPr>
          <w:rFonts w:hint="eastAsia" w:ascii="宋体" w:hAnsi="宋体" w:cs="宋体"/>
          <w:color w:val="auto"/>
          <w:highlight w:val="none"/>
          <w:u w:val="single"/>
        </w:rPr>
        <w:t>（采购人单位名称）：</w:t>
      </w:r>
    </w:p>
    <w:p>
      <w:pPr>
        <w:ind w:firstLine="420"/>
        <w:rPr>
          <w:rFonts w:cs="宋体"/>
          <w:color w:val="auto"/>
          <w:highlight w:val="none"/>
        </w:rPr>
      </w:pPr>
      <w:r>
        <w:rPr>
          <w:rFonts w:hint="eastAsia" w:cs="宋体"/>
          <w:color w:val="auto"/>
          <w:highlight w:val="none"/>
        </w:rPr>
        <w:t xml:space="preserve">我单位响应你单位项目招标要求参加投标。在这次投标过程中和中标后，我们将严格遵守国家法律法规要求，并郑重承诺： </w:t>
      </w:r>
    </w:p>
    <w:p>
      <w:pPr>
        <w:ind w:firstLine="420"/>
        <w:rPr>
          <w:rFonts w:cs="宋体"/>
          <w:color w:val="auto"/>
          <w:highlight w:val="none"/>
        </w:rPr>
      </w:pPr>
      <w:r>
        <w:rPr>
          <w:rFonts w:hint="eastAsia" w:cs="宋体"/>
          <w:color w:val="auto"/>
          <w:highlight w:val="none"/>
        </w:rPr>
        <w:t>一、不向项目有关人员及部门赠送礼金礼物、有价证券、回扣以及中介费、介绍费、咨询费等好处费；</w:t>
      </w:r>
    </w:p>
    <w:p>
      <w:pPr>
        <w:ind w:firstLine="420"/>
        <w:rPr>
          <w:rFonts w:cs="宋体"/>
          <w:color w:val="auto"/>
          <w:highlight w:val="none"/>
        </w:rPr>
      </w:pPr>
      <w:r>
        <w:rPr>
          <w:rFonts w:hint="eastAsia" w:cs="宋体"/>
          <w:color w:val="auto"/>
          <w:highlight w:val="none"/>
        </w:rPr>
        <w:t>二、不为项目有关人员及部门报销应由你方单位或个人支付的费用；</w:t>
      </w:r>
    </w:p>
    <w:p>
      <w:pPr>
        <w:ind w:firstLine="420"/>
        <w:rPr>
          <w:rFonts w:cs="宋体"/>
          <w:color w:val="auto"/>
          <w:highlight w:val="none"/>
        </w:rPr>
      </w:pPr>
      <w:r>
        <w:rPr>
          <w:rFonts w:hint="eastAsia" w:cs="宋体"/>
          <w:color w:val="auto"/>
          <w:highlight w:val="none"/>
        </w:rPr>
        <w:t>三、不向项目有关人员及部门提供有可能影响公正的宴请和健身娱乐等活动；</w:t>
      </w:r>
    </w:p>
    <w:p>
      <w:pPr>
        <w:ind w:firstLine="420"/>
        <w:rPr>
          <w:rFonts w:cs="宋体"/>
          <w:color w:val="auto"/>
          <w:highlight w:val="none"/>
        </w:rPr>
      </w:pPr>
      <w:r>
        <w:rPr>
          <w:rFonts w:hint="eastAsia" w:cs="宋体"/>
          <w:color w:val="auto"/>
          <w:highlight w:val="none"/>
        </w:rPr>
        <w:t>四、不为项目有关人员及部门出国（境）、旅游等提供方便；</w:t>
      </w:r>
    </w:p>
    <w:p>
      <w:pPr>
        <w:ind w:firstLine="420"/>
        <w:rPr>
          <w:rFonts w:cs="宋体"/>
          <w:color w:val="auto"/>
          <w:highlight w:val="none"/>
        </w:rPr>
      </w:pPr>
      <w:r>
        <w:rPr>
          <w:rFonts w:hint="eastAsia" w:cs="宋体"/>
          <w:color w:val="auto"/>
          <w:highlight w:val="none"/>
        </w:rPr>
        <w:t>五、不为项目有关人员个人装修住房、婚丧嫁娶、配偶子女工作安排等提供好处；</w:t>
      </w:r>
    </w:p>
    <w:p>
      <w:pPr>
        <w:ind w:firstLine="420"/>
        <w:rPr>
          <w:rFonts w:cs="宋体"/>
          <w:color w:val="auto"/>
          <w:highlight w:val="none"/>
        </w:rPr>
      </w:pPr>
      <w:r>
        <w:rPr>
          <w:rFonts w:hint="eastAsia" w:cs="宋体"/>
          <w:color w:val="auto"/>
          <w:highlight w:val="none"/>
        </w:rPr>
        <w:t>六、严格遵守政府采购法、招标投标法、合同法等法律，诚实守信，合法经营，坚决抵制各种违法违纪行为。</w:t>
      </w:r>
    </w:p>
    <w:p>
      <w:pPr>
        <w:ind w:firstLine="420"/>
        <w:rPr>
          <w:rFonts w:cs="宋体"/>
          <w:color w:val="auto"/>
          <w:highlight w:val="none"/>
        </w:rPr>
      </w:pPr>
      <w:r>
        <w:rPr>
          <w:rFonts w:hint="eastAsia" w:cs="宋体"/>
          <w:color w:val="auto"/>
          <w:highlight w:val="none"/>
        </w:rPr>
        <w:t>如违反上述承诺，你单位有权立即取消我单位投标、中标或在建项目的建设资格，有权拒绝我单位在一定时期内进入你单位进行工程建设或其他经营活动，并通报省采购监管处。由此引起的相应损失均由我单位承担。</w:t>
      </w:r>
    </w:p>
    <w:p>
      <w:pPr>
        <w:ind w:firstLine="420"/>
        <w:rPr>
          <w:rFonts w:cs="宋体"/>
          <w:color w:val="auto"/>
          <w:highlight w:val="none"/>
        </w:rPr>
      </w:pPr>
    </w:p>
    <w:p>
      <w:pPr>
        <w:ind w:firstLine="420"/>
        <w:rPr>
          <w:rFonts w:cs="宋体"/>
          <w:color w:val="auto"/>
          <w:highlight w:val="none"/>
        </w:rPr>
      </w:pPr>
    </w:p>
    <w:p>
      <w:pPr>
        <w:ind w:firstLine="420"/>
        <w:jc w:val="left"/>
        <w:rPr>
          <w:rFonts w:cs="宋体"/>
          <w:color w:val="auto"/>
          <w:highlight w:val="none"/>
        </w:rPr>
      </w:pPr>
    </w:p>
    <w:p>
      <w:pPr>
        <w:ind w:firstLine="199" w:firstLineChars="95"/>
        <w:jc w:val="left"/>
        <w:rPr>
          <w:rFonts w:cs="宋体"/>
          <w:color w:val="auto"/>
          <w:highlight w:val="none"/>
        </w:rPr>
      </w:pPr>
      <w:r>
        <w:rPr>
          <w:rFonts w:hint="eastAsia" w:cs="宋体"/>
          <w:color w:val="auto"/>
          <w:highlight w:val="none"/>
        </w:rPr>
        <w:t>投标人（公章）：</w:t>
      </w:r>
    </w:p>
    <w:p>
      <w:pPr>
        <w:ind w:firstLine="199" w:firstLineChars="95"/>
        <w:jc w:val="left"/>
        <w:rPr>
          <w:rFonts w:cs="宋体"/>
          <w:color w:val="auto"/>
          <w:highlight w:val="none"/>
        </w:rPr>
      </w:pPr>
      <w:r>
        <w:rPr>
          <w:rFonts w:hint="eastAsia" w:cs="宋体"/>
          <w:color w:val="auto"/>
          <w:highlight w:val="none"/>
        </w:rPr>
        <w:t>法定代表人</w:t>
      </w:r>
      <w:r>
        <w:rPr>
          <w:rFonts w:hint="eastAsia" w:cs="宋体"/>
          <w:color w:val="auto"/>
          <w:spacing w:val="20"/>
          <w:highlight w:val="none"/>
        </w:rPr>
        <w:t>（签字或盖章）</w:t>
      </w:r>
      <w:r>
        <w:rPr>
          <w:rFonts w:hint="eastAsia" w:cs="宋体"/>
          <w:color w:val="auto"/>
          <w:highlight w:val="none"/>
        </w:rPr>
        <w:t>：</w:t>
      </w:r>
    </w:p>
    <w:p>
      <w:pPr>
        <w:adjustRightInd w:val="0"/>
        <w:snapToGrid w:val="0"/>
        <w:ind w:firstLine="210" w:firstLineChars="100"/>
        <w:jc w:val="left"/>
        <w:rPr>
          <w:rFonts w:cs="宋体"/>
          <w:b/>
          <w:bCs/>
          <w:color w:val="auto"/>
          <w:szCs w:val="21"/>
          <w:highlight w:val="none"/>
        </w:rPr>
      </w:pPr>
      <w:r>
        <w:rPr>
          <w:rFonts w:hint="eastAsia" w:cs="宋体"/>
          <w:color w:val="auto"/>
          <w:highlight w:val="none"/>
        </w:rPr>
        <w:t>日期：2019年  月  日</w:t>
      </w:r>
    </w:p>
    <w:p>
      <w:pPr>
        <w:spacing w:line="366" w:lineRule="exact"/>
        <w:ind w:firstLine="643"/>
        <w:jc w:val="center"/>
        <w:rPr>
          <w:rFonts w:cs="宋体"/>
          <w:b/>
          <w:bCs/>
          <w:snapToGrid w:val="0"/>
          <w:color w:val="auto"/>
          <w:kern w:val="0"/>
          <w:sz w:val="32"/>
          <w:szCs w:val="32"/>
          <w:highlight w:val="none"/>
        </w:rPr>
      </w:pPr>
    </w:p>
    <w:p>
      <w:pPr>
        <w:spacing w:line="366" w:lineRule="exact"/>
        <w:ind w:firstLine="643"/>
        <w:jc w:val="center"/>
        <w:rPr>
          <w:rFonts w:cs="宋体"/>
          <w:b/>
          <w:bCs/>
          <w:snapToGrid w:val="0"/>
          <w:color w:val="auto"/>
          <w:kern w:val="0"/>
          <w:sz w:val="32"/>
          <w:szCs w:val="32"/>
          <w:highlight w:val="none"/>
        </w:rPr>
      </w:pPr>
    </w:p>
    <w:p>
      <w:pPr>
        <w:spacing w:line="366" w:lineRule="exact"/>
        <w:ind w:firstLine="643"/>
        <w:jc w:val="center"/>
        <w:rPr>
          <w:rFonts w:cs="宋体"/>
          <w:b/>
          <w:bCs/>
          <w:snapToGrid w:val="0"/>
          <w:color w:val="auto"/>
          <w:kern w:val="0"/>
          <w:sz w:val="32"/>
          <w:szCs w:val="32"/>
          <w:highlight w:val="none"/>
        </w:rPr>
      </w:pPr>
    </w:p>
    <w:p>
      <w:pPr>
        <w:spacing w:line="366" w:lineRule="exact"/>
        <w:ind w:firstLine="643"/>
        <w:jc w:val="center"/>
        <w:rPr>
          <w:rFonts w:cs="宋体"/>
          <w:b/>
          <w:bCs/>
          <w:snapToGrid w:val="0"/>
          <w:color w:val="auto"/>
          <w:kern w:val="0"/>
          <w:sz w:val="32"/>
          <w:szCs w:val="32"/>
          <w:highlight w:val="none"/>
        </w:rPr>
      </w:pPr>
    </w:p>
    <w:p>
      <w:pPr>
        <w:pStyle w:val="5"/>
        <w:ind w:firstLine="482"/>
        <w:rPr>
          <w:rFonts w:ascii="宋体" w:hAnsi="宋体" w:cs="宋体"/>
          <w:color w:val="auto"/>
          <w:highlight w:val="none"/>
        </w:rPr>
        <w:sectPr>
          <w:pgSz w:w="11906" w:h="16838"/>
          <w:pgMar w:top="1418" w:right="1418" w:bottom="1418" w:left="1418" w:header="851" w:footer="992" w:gutter="0"/>
          <w:cols w:space="720" w:num="1"/>
          <w:docGrid w:linePitch="312" w:charSpace="0"/>
        </w:sectPr>
      </w:pPr>
    </w:p>
    <w:p>
      <w:pPr>
        <w:pStyle w:val="6"/>
        <w:ind w:firstLine="482"/>
        <w:rPr>
          <w:rFonts w:cs="宋体"/>
          <w:color w:val="auto"/>
          <w:highlight w:val="none"/>
        </w:rPr>
      </w:pPr>
      <w:r>
        <w:rPr>
          <w:rFonts w:hint="eastAsia" w:cs="宋体"/>
          <w:color w:val="auto"/>
          <w:highlight w:val="none"/>
        </w:rPr>
        <w:t>五、投标人简介、投标人基本情况表；</w:t>
      </w:r>
    </w:p>
    <w:p>
      <w:pPr>
        <w:spacing w:line="240" w:lineRule="atLeast"/>
        <w:ind w:firstLine="562"/>
        <w:jc w:val="center"/>
        <w:rPr>
          <w:rFonts w:cs="宋体"/>
          <w:b/>
          <w:color w:val="auto"/>
          <w:sz w:val="28"/>
          <w:szCs w:val="28"/>
          <w:highlight w:val="none"/>
        </w:rPr>
      </w:pPr>
      <w:r>
        <w:rPr>
          <w:rFonts w:hint="eastAsia" w:cs="宋体"/>
          <w:b/>
          <w:color w:val="auto"/>
          <w:sz w:val="28"/>
          <w:szCs w:val="28"/>
          <w:highlight w:val="none"/>
        </w:rPr>
        <w:t>投标人基本情况表</w:t>
      </w:r>
    </w:p>
    <w:tbl>
      <w:tblPr>
        <w:tblStyle w:val="21"/>
        <w:tblW w:w="886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09"/>
        <w:gridCol w:w="1693"/>
        <w:gridCol w:w="1948"/>
        <w:gridCol w:w="682"/>
        <w:gridCol w:w="68"/>
        <w:gridCol w:w="869"/>
        <w:gridCol w:w="1154"/>
        <w:gridCol w:w="74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0" w:hRule="atLeast"/>
          <w:jc w:val="center"/>
        </w:trPr>
        <w:tc>
          <w:tcPr>
            <w:tcW w:w="1709" w:type="dxa"/>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r>
              <w:rPr>
                <w:rFonts w:hint="eastAsia" w:cs="宋体"/>
                <w:color w:val="auto"/>
                <w:kern w:val="0"/>
                <w:szCs w:val="21"/>
                <w:highlight w:val="none"/>
              </w:rPr>
              <w:t xml:space="preserve">单位名称 </w:t>
            </w:r>
          </w:p>
        </w:tc>
        <w:tc>
          <w:tcPr>
            <w:tcW w:w="1693" w:type="dxa"/>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p>
        </w:tc>
        <w:tc>
          <w:tcPr>
            <w:tcW w:w="1948" w:type="dxa"/>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r>
              <w:rPr>
                <w:rFonts w:hint="eastAsia" w:cs="宋体"/>
                <w:color w:val="auto"/>
                <w:kern w:val="0"/>
                <w:szCs w:val="21"/>
                <w:highlight w:val="none"/>
              </w:rPr>
              <w:t xml:space="preserve">单位地址 </w:t>
            </w:r>
          </w:p>
        </w:tc>
        <w:tc>
          <w:tcPr>
            <w:tcW w:w="3515" w:type="dxa"/>
            <w:gridSpan w:val="5"/>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0" w:hRule="atLeast"/>
          <w:jc w:val="center"/>
        </w:trPr>
        <w:tc>
          <w:tcPr>
            <w:tcW w:w="1709" w:type="dxa"/>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r>
              <w:rPr>
                <w:rFonts w:hint="eastAsia" w:cs="宋体"/>
                <w:color w:val="auto"/>
                <w:kern w:val="0"/>
                <w:szCs w:val="21"/>
                <w:highlight w:val="none"/>
              </w:rPr>
              <w:t xml:space="preserve">联系电话 </w:t>
            </w:r>
          </w:p>
        </w:tc>
        <w:tc>
          <w:tcPr>
            <w:tcW w:w="1693" w:type="dxa"/>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p>
        </w:tc>
        <w:tc>
          <w:tcPr>
            <w:tcW w:w="1948" w:type="dxa"/>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r>
              <w:rPr>
                <w:rFonts w:hint="eastAsia" w:cs="宋体"/>
                <w:color w:val="auto"/>
                <w:kern w:val="0"/>
                <w:szCs w:val="21"/>
                <w:highlight w:val="none"/>
              </w:rPr>
              <w:t>联系人</w:t>
            </w:r>
          </w:p>
        </w:tc>
        <w:tc>
          <w:tcPr>
            <w:tcW w:w="3515" w:type="dxa"/>
            <w:gridSpan w:val="5"/>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0" w:hRule="atLeast"/>
          <w:jc w:val="center"/>
        </w:trPr>
        <w:tc>
          <w:tcPr>
            <w:tcW w:w="1709" w:type="dxa"/>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r>
              <w:rPr>
                <w:rFonts w:hint="eastAsia" w:cs="宋体"/>
                <w:color w:val="auto"/>
                <w:kern w:val="0"/>
                <w:szCs w:val="21"/>
                <w:highlight w:val="none"/>
              </w:rPr>
              <w:t xml:space="preserve">成立时间 </w:t>
            </w:r>
          </w:p>
        </w:tc>
        <w:tc>
          <w:tcPr>
            <w:tcW w:w="1693" w:type="dxa"/>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p>
        </w:tc>
        <w:tc>
          <w:tcPr>
            <w:tcW w:w="1948" w:type="dxa"/>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r>
              <w:rPr>
                <w:rFonts w:hint="eastAsia" w:cs="宋体"/>
                <w:color w:val="auto"/>
                <w:kern w:val="0"/>
                <w:szCs w:val="21"/>
                <w:highlight w:val="none"/>
              </w:rPr>
              <w:t xml:space="preserve">注册资金（万元） </w:t>
            </w:r>
          </w:p>
        </w:tc>
        <w:tc>
          <w:tcPr>
            <w:tcW w:w="750" w:type="dxa"/>
            <w:gridSpan w:val="2"/>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p>
        </w:tc>
        <w:tc>
          <w:tcPr>
            <w:tcW w:w="2023" w:type="dxa"/>
            <w:gridSpan w:val="2"/>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r>
              <w:rPr>
                <w:rFonts w:hint="eastAsia" w:cs="宋体"/>
                <w:color w:val="auto"/>
                <w:kern w:val="0"/>
                <w:szCs w:val="21"/>
                <w:highlight w:val="none"/>
              </w:rPr>
              <w:t xml:space="preserve">固定资产（万元） </w:t>
            </w:r>
          </w:p>
        </w:tc>
        <w:tc>
          <w:tcPr>
            <w:tcW w:w="742" w:type="dxa"/>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0" w:hRule="atLeast"/>
          <w:jc w:val="center"/>
        </w:trPr>
        <w:tc>
          <w:tcPr>
            <w:tcW w:w="1709" w:type="dxa"/>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r>
              <w:rPr>
                <w:rFonts w:hint="eastAsia" w:cs="宋体"/>
                <w:color w:val="auto"/>
                <w:kern w:val="0"/>
                <w:szCs w:val="21"/>
                <w:highlight w:val="none"/>
              </w:rPr>
              <w:t xml:space="preserve">法人代表 </w:t>
            </w:r>
          </w:p>
        </w:tc>
        <w:tc>
          <w:tcPr>
            <w:tcW w:w="1693" w:type="dxa"/>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p>
        </w:tc>
        <w:tc>
          <w:tcPr>
            <w:tcW w:w="1948" w:type="dxa"/>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r>
              <w:rPr>
                <w:rFonts w:hint="eastAsia" w:cs="宋体"/>
                <w:color w:val="auto"/>
                <w:kern w:val="0"/>
                <w:szCs w:val="21"/>
                <w:highlight w:val="none"/>
              </w:rPr>
              <w:t xml:space="preserve">技术负责人 </w:t>
            </w:r>
          </w:p>
        </w:tc>
        <w:tc>
          <w:tcPr>
            <w:tcW w:w="3515" w:type="dxa"/>
            <w:gridSpan w:val="5"/>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70" w:hRule="atLeast"/>
          <w:jc w:val="center"/>
        </w:trPr>
        <w:tc>
          <w:tcPr>
            <w:tcW w:w="1709" w:type="dxa"/>
            <w:vMerge w:val="restart"/>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r>
              <w:rPr>
                <w:rFonts w:hint="eastAsia" w:cs="宋体"/>
                <w:color w:val="auto"/>
                <w:kern w:val="0"/>
                <w:szCs w:val="21"/>
                <w:highlight w:val="none"/>
              </w:rPr>
              <w:t xml:space="preserve">资质等级情况 </w:t>
            </w:r>
          </w:p>
        </w:tc>
        <w:tc>
          <w:tcPr>
            <w:tcW w:w="1693" w:type="dxa"/>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r>
              <w:rPr>
                <w:rFonts w:hint="eastAsia" w:cs="宋体"/>
                <w:color w:val="auto"/>
                <w:kern w:val="0"/>
                <w:szCs w:val="21"/>
                <w:highlight w:val="none"/>
              </w:rPr>
              <w:t xml:space="preserve">资质名称 </w:t>
            </w:r>
          </w:p>
        </w:tc>
        <w:tc>
          <w:tcPr>
            <w:tcW w:w="1948" w:type="dxa"/>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r>
              <w:rPr>
                <w:rFonts w:hint="eastAsia" w:cs="宋体"/>
                <w:color w:val="auto"/>
                <w:kern w:val="0"/>
                <w:szCs w:val="21"/>
                <w:highlight w:val="none"/>
              </w:rPr>
              <w:t xml:space="preserve">颁发部门 </w:t>
            </w:r>
          </w:p>
        </w:tc>
        <w:tc>
          <w:tcPr>
            <w:tcW w:w="1619" w:type="dxa"/>
            <w:gridSpan w:val="3"/>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r>
              <w:rPr>
                <w:rFonts w:hint="eastAsia" w:cs="宋体"/>
                <w:color w:val="auto"/>
                <w:kern w:val="0"/>
                <w:szCs w:val="21"/>
                <w:highlight w:val="none"/>
              </w:rPr>
              <w:t xml:space="preserve">资质等级 </w:t>
            </w:r>
          </w:p>
        </w:tc>
        <w:tc>
          <w:tcPr>
            <w:tcW w:w="1896" w:type="dxa"/>
            <w:gridSpan w:val="2"/>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r>
              <w:rPr>
                <w:rFonts w:hint="eastAsia" w:cs="宋体"/>
                <w:color w:val="auto"/>
                <w:kern w:val="0"/>
                <w:szCs w:val="21"/>
                <w:highlight w:val="none"/>
              </w:rPr>
              <w:t xml:space="preserve">颁发时间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70" w:hRule="atLeast"/>
          <w:jc w:val="center"/>
        </w:trPr>
        <w:tc>
          <w:tcPr>
            <w:tcW w:w="1709" w:type="dxa"/>
            <w:vMerge w:val="continue"/>
            <w:vAlign w:val="center"/>
          </w:tcPr>
          <w:p>
            <w:pPr>
              <w:widowControl/>
              <w:ind w:firstLine="0" w:firstLineChars="0"/>
              <w:jc w:val="left"/>
              <w:rPr>
                <w:rFonts w:cs="宋体"/>
                <w:color w:val="auto"/>
                <w:kern w:val="0"/>
                <w:szCs w:val="21"/>
                <w:highlight w:val="none"/>
              </w:rPr>
            </w:pPr>
          </w:p>
        </w:tc>
        <w:tc>
          <w:tcPr>
            <w:tcW w:w="1693" w:type="dxa"/>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p>
        </w:tc>
        <w:tc>
          <w:tcPr>
            <w:tcW w:w="1948" w:type="dxa"/>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p>
        </w:tc>
        <w:tc>
          <w:tcPr>
            <w:tcW w:w="1619" w:type="dxa"/>
            <w:gridSpan w:val="3"/>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p>
        </w:tc>
        <w:tc>
          <w:tcPr>
            <w:tcW w:w="1896" w:type="dxa"/>
            <w:gridSpan w:val="2"/>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70" w:hRule="atLeast"/>
          <w:jc w:val="center"/>
        </w:trPr>
        <w:tc>
          <w:tcPr>
            <w:tcW w:w="1709" w:type="dxa"/>
            <w:vMerge w:val="continue"/>
            <w:vAlign w:val="center"/>
          </w:tcPr>
          <w:p>
            <w:pPr>
              <w:widowControl/>
              <w:ind w:firstLine="0" w:firstLineChars="0"/>
              <w:jc w:val="left"/>
              <w:rPr>
                <w:rFonts w:cs="宋体"/>
                <w:color w:val="auto"/>
                <w:kern w:val="0"/>
                <w:szCs w:val="21"/>
                <w:highlight w:val="none"/>
              </w:rPr>
            </w:pPr>
          </w:p>
        </w:tc>
        <w:tc>
          <w:tcPr>
            <w:tcW w:w="1693" w:type="dxa"/>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p>
        </w:tc>
        <w:tc>
          <w:tcPr>
            <w:tcW w:w="1948" w:type="dxa"/>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p>
        </w:tc>
        <w:tc>
          <w:tcPr>
            <w:tcW w:w="1619" w:type="dxa"/>
            <w:gridSpan w:val="3"/>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p>
        </w:tc>
        <w:tc>
          <w:tcPr>
            <w:tcW w:w="1896" w:type="dxa"/>
            <w:gridSpan w:val="2"/>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0" w:hRule="atLeast"/>
          <w:jc w:val="center"/>
        </w:trPr>
        <w:tc>
          <w:tcPr>
            <w:tcW w:w="6032" w:type="dxa"/>
            <w:gridSpan w:val="4"/>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r>
              <w:rPr>
                <w:rFonts w:hint="eastAsia" w:cs="宋体"/>
                <w:color w:val="auto"/>
                <w:kern w:val="0"/>
                <w:szCs w:val="21"/>
                <w:highlight w:val="none"/>
              </w:rPr>
              <w:t xml:space="preserve">投标人近三年有无不良记录或因招投标违规涉及司法诉讼情况 </w:t>
            </w:r>
          </w:p>
        </w:tc>
        <w:tc>
          <w:tcPr>
            <w:tcW w:w="2833" w:type="dxa"/>
            <w:gridSpan w:val="4"/>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r>
              <w:rPr>
                <w:rFonts w:hint="eastAsia" w:cs="宋体"/>
                <w:color w:val="auto"/>
                <w:kern w:val="0"/>
                <w:szCs w:val="21"/>
                <w:highlight w:val="none"/>
              </w:rPr>
              <w:t xml:space="preserve">有（），无（ ）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25" w:hRule="atLeast"/>
          <w:jc w:val="center"/>
        </w:trPr>
        <w:tc>
          <w:tcPr>
            <w:tcW w:w="1709" w:type="dxa"/>
            <w:vAlign w:val="center"/>
          </w:tcPr>
          <w:p>
            <w:pPr>
              <w:adjustRightInd w:val="0"/>
              <w:snapToGrid w:val="0"/>
              <w:spacing w:before="100" w:beforeAutospacing="1" w:after="100" w:afterAutospacing="1"/>
              <w:ind w:firstLine="0" w:firstLineChars="0"/>
              <w:rPr>
                <w:rFonts w:cs="宋体"/>
                <w:color w:val="auto"/>
                <w:kern w:val="0"/>
                <w:szCs w:val="21"/>
                <w:highlight w:val="none"/>
              </w:rPr>
            </w:pPr>
            <w:r>
              <w:rPr>
                <w:rFonts w:hint="eastAsia" w:cs="宋体"/>
                <w:color w:val="auto"/>
                <w:kern w:val="0"/>
                <w:szCs w:val="21"/>
                <w:highlight w:val="none"/>
              </w:rPr>
              <w:t>投标人</w:t>
            </w:r>
            <w:r>
              <w:rPr>
                <w:rFonts w:hint="eastAsia" w:cs="宋体"/>
                <w:color w:val="auto"/>
                <w:szCs w:val="21"/>
                <w:highlight w:val="none"/>
              </w:rPr>
              <w:t>简介</w:t>
            </w:r>
          </w:p>
        </w:tc>
        <w:tc>
          <w:tcPr>
            <w:tcW w:w="7156" w:type="dxa"/>
            <w:gridSpan w:val="7"/>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p>
          <w:p>
            <w:pPr>
              <w:widowControl/>
              <w:adjustRightInd w:val="0"/>
              <w:snapToGrid w:val="0"/>
              <w:spacing w:before="100" w:beforeAutospacing="1" w:after="100" w:afterAutospacing="1"/>
              <w:ind w:firstLine="0" w:firstLineChars="0"/>
              <w:jc w:val="center"/>
              <w:rPr>
                <w:rFonts w:cs="宋体"/>
                <w:color w:val="auto"/>
                <w:kern w:val="0"/>
                <w:szCs w:val="21"/>
                <w:highlight w:val="none"/>
              </w:rPr>
            </w:pPr>
          </w:p>
          <w:p>
            <w:pPr>
              <w:widowControl/>
              <w:adjustRightInd w:val="0"/>
              <w:snapToGrid w:val="0"/>
              <w:spacing w:before="100" w:beforeAutospacing="1" w:after="100" w:afterAutospacing="1"/>
              <w:ind w:firstLine="0" w:firstLineChars="0"/>
              <w:jc w:val="center"/>
              <w:rPr>
                <w:rFonts w:cs="宋体"/>
                <w:color w:val="auto"/>
                <w:kern w:val="0"/>
                <w:szCs w:val="21"/>
                <w:highlight w:val="none"/>
              </w:rPr>
            </w:pPr>
          </w:p>
          <w:p>
            <w:pPr>
              <w:widowControl/>
              <w:adjustRightInd w:val="0"/>
              <w:snapToGrid w:val="0"/>
              <w:spacing w:before="100" w:beforeAutospacing="1" w:after="100" w:afterAutospacing="1"/>
              <w:ind w:firstLine="0" w:firstLineChars="0"/>
              <w:jc w:val="center"/>
              <w:rPr>
                <w:rFonts w:cs="宋体"/>
                <w:color w:val="auto"/>
                <w:kern w:val="0"/>
                <w:szCs w:val="21"/>
                <w:highlight w:val="none"/>
              </w:rPr>
            </w:pPr>
          </w:p>
          <w:p>
            <w:pPr>
              <w:adjustRightInd w:val="0"/>
              <w:snapToGrid w:val="0"/>
              <w:spacing w:before="100" w:beforeAutospacing="1" w:after="100" w:afterAutospacing="1"/>
              <w:ind w:firstLine="0" w:firstLineChars="0"/>
              <w:jc w:val="center"/>
              <w:rPr>
                <w:rFonts w:cs="宋体"/>
                <w:color w:val="auto"/>
                <w:kern w:val="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06" w:hRule="atLeast"/>
          <w:jc w:val="center"/>
        </w:trPr>
        <w:tc>
          <w:tcPr>
            <w:tcW w:w="1709" w:type="dxa"/>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r>
              <w:rPr>
                <w:rFonts w:hint="eastAsia" w:cs="宋体"/>
                <w:color w:val="auto"/>
                <w:kern w:val="0"/>
                <w:szCs w:val="21"/>
                <w:highlight w:val="none"/>
              </w:rPr>
              <w:t xml:space="preserve">其他有竞争力 </w:t>
            </w:r>
          </w:p>
          <w:p>
            <w:pPr>
              <w:widowControl/>
              <w:adjustRightInd w:val="0"/>
              <w:snapToGrid w:val="0"/>
              <w:spacing w:before="100" w:beforeAutospacing="1" w:after="100" w:afterAutospacing="1"/>
              <w:ind w:firstLine="0" w:firstLineChars="0"/>
              <w:jc w:val="center"/>
              <w:rPr>
                <w:rFonts w:cs="宋体"/>
                <w:color w:val="auto"/>
                <w:kern w:val="0"/>
                <w:szCs w:val="21"/>
                <w:highlight w:val="none"/>
              </w:rPr>
            </w:pPr>
            <w:r>
              <w:rPr>
                <w:rFonts w:hint="eastAsia" w:cs="宋体"/>
                <w:color w:val="auto"/>
                <w:kern w:val="0"/>
                <w:szCs w:val="21"/>
                <w:highlight w:val="none"/>
              </w:rPr>
              <w:t xml:space="preserve">的说明 </w:t>
            </w:r>
          </w:p>
        </w:tc>
        <w:tc>
          <w:tcPr>
            <w:tcW w:w="7156" w:type="dxa"/>
            <w:gridSpan w:val="7"/>
            <w:vAlign w:val="center"/>
          </w:tcPr>
          <w:p>
            <w:pPr>
              <w:widowControl/>
              <w:adjustRightInd w:val="0"/>
              <w:snapToGrid w:val="0"/>
              <w:spacing w:before="100" w:beforeAutospacing="1" w:after="100" w:afterAutospacing="1"/>
              <w:ind w:firstLine="0" w:firstLineChars="0"/>
              <w:jc w:val="center"/>
              <w:rPr>
                <w:rFonts w:cs="宋体"/>
                <w:color w:val="auto"/>
                <w:kern w:val="0"/>
                <w:szCs w:val="21"/>
                <w:highlight w:val="none"/>
              </w:rPr>
            </w:pPr>
          </w:p>
          <w:p>
            <w:pPr>
              <w:widowControl/>
              <w:adjustRightInd w:val="0"/>
              <w:snapToGrid w:val="0"/>
              <w:spacing w:before="100" w:beforeAutospacing="1" w:after="100" w:afterAutospacing="1"/>
              <w:ind w:firstLine="0" w:firstLineChars="0"/>
              <w:jc w:val="center"/>
              <w:rPr>
                <w:rFonts w:cs="宋体"/>
                <w:color w:val="auto"/>
                <w:kern w:val="0"/>
                <w:szCs w:val="21"/>
                <w:highlight w:val="none"/>
              </w:rPr>
            </w:pPr>
          </w:p>
          <w:p>
            <w:pPr>
              <w:widowControl/>
              <w:adjustRightInd w:val="0"/>
              <w:snapToGrid w:val="0"/>
              <w:spacing w:before="100" w:beforeAutospacing="1" w:after="100" w:afterAutospacing="1"/>
              <w:ind w:firstLine="0" w:firstLineChars="0"/>
              <w:jc w:val="center"/>
              <w:rPr>
                <w:rFonts w:cs="宋体"/>
                <w:color w:val="auto"/>
                <w:kern w:val="0"/>
                <w:szCs w:val="21"/>
                <w:highlight w:val="none"/>
              </w:rPr>
            </w:pPr>
          </w:p>
        </w:tc>
      </w:tr>
    </w:tbl>
    <w:p>
      <w:pPr>
        <w:autoSpaceDE w:val="0"/>
        <w:autoSpaceDN w:val="0"/>
        <w:adjustRightInd w:val="0"/>
        <w:snapToGrid w:val="0"/>
        <w:ind w:firstLine="420"/>
        <w:rPr>
          <w:rFonts w:cs="宋体"/>
          <w:color w:val="auto"/>
          <w:highlight w:val="none"/>
        </w:rPr>
      </w:pPr>
    </w:p>
    <w:p>
      <w:pPr>
        <w:autoSpaceDE w:val="0"/>
        <w:autoSpaceDN w:val="0"/>
        <w:adjustRightInd w:val="0"/>
        <w:snapToGrid w:val="0"/>
        <w:ind w:firstLine="420"/>
        <w:rPr>
          <w:rFonts w:cs="宋体"/>
          <w:color w:val="auto"/>
          <w:szCs w:val="21"/>
          <w:highlight w:val="none"/>
          <w:lang w:val="zh-CN"/>
        </w:rPr>
      </w:pPr>
      <w:r>
        <w:rPr>
          <w:rFonts w:hint="eastAsia" w:cs="宋体"/>
          <w:color w:val="auto"/>
          <w:highlight w:val="none"/>
        </w:rPr>
        <w:t>说明：1、</w:t>
      </w:r>
      <w:r>
        <w:rPr>
          <w:rFonts w:hint="eastAsia" w:cs="宋体"/>
          <w:color w:val="auto"/>
          <w:szCs w:val="21"/>
          <w:highlight w:val="none"/>
          <w:lang w:val="zh-CN"/>
        </w:rPr>
        <w:t>附企业</w:t>
      </w:r>
      <w:r>
        <w:rPr>
          <w:rFonts w:hint="eastAsia" w:cs="宋体"/>
          <w:color w:val="auto"/>
          <w:highlight w:val="none"/>
        </w:rPr>
        <w:t>加盖公章的营业执照副本、相关资质类证书复印件</w:t>
      </w:r>
      <w:r>
        <w:rPr>
          <w:rFonts w:hint="eastAsia" w:cs="宋体"/>
          <w:color w:val="auto"/>
          <w:szCs w:val="21"/>
          <w:highlight w:val="none"/>
          <w:lang w:val="zh-CN"/>
        </w:rPr>
        <w:t>。</w:t>
      </w:r>
    </w:p>
    <w:p>
      <w:pPr>
        <w:tabs>
          <w:tab w:val="left" w:pos="8640"/>
        </w:tabs>
        <w:spacing w:line="400" w:lineRule="exact"/>
        <w:ind w:firstLine="482"/>
        <w:rPr>
          <w:rFonts w:cs="宋体"/>
          <w:b/>
          <w:bCs/>
          <w:color w:val="auto"/>
          <w:sz w:val="24"/>
          <w:highlight w:val="none"/>
        </w:rPr>
      </w:pPr>
    </w:p>
    <w:p>
      <w:pPr>
        <w:pStyle w:val="13"/>
        <w:ind w:firstLine="643"/>
        <w:jc w:val="center"/>
        <w:rPr>
          <w:rFonts w:ascii="宋体" w:hAnsi="宋体" w:cs="宋体"/>
          <w:b/>
          <w:bCs/>
          <w:snapToGrid w:val="0"/>
          <w:color w:val="auto"/>
          <w:kern w:val="0"/>
          <w:sz w:val="32"/>
          <w:szCs w:val="32"/>
          <w:highlight w:val="none"/>
        </w:rPr>
      </w:pPr>
    </w:p>
    <w:p>
      <w:pPr>
        <w:ind w:firstLine="420"/>
        <w:rPr>
          <w:rFonts w:cs="宋体"/>
          <w:color w:val="auto"/>
          <w:highlight w:val="none"/>
        </w:rPr>
        <w:sectPr>
          <w:pgSz w:w="11906" w:h="16838"/>
          <w:pgMar w:top="1418" w:right="1418" w:bottom="1418" w:left="1418" w:header="851" w:footer="992" w:gutter="0"/>
          <w:cols w:space="720" w:num="1"/>
          <w:docGrid w:linePitch="312" w:charSpace="0"/>
        </w:sectPr>
      </w:pPr>
    </w:p>
    <w:p>
      <w:pPr>
        <w:pStyle w:val="6"/>
        <w:ind w:firstLine="482"/>
        <w:rPr>
          <w:rFonts w:cs="宋体"/>
          <w:color w:val="auto"/>
          <w:highlight w:val="none"/>
        </w:rPr>
      </w:pPr>
      <w:r>
        <w:rPr>
          <w:rFonts w:hint="eastAsia" w:cs="宋体"/>
          <w:color w:val="auto"/>
          <w:highlight w:val="none"/>
        </w:rPr>
        <w:t>六、投标声明书</w:t>
      </w:r>
    </w:p>
    <w:p>
      <w:pPr>
        <w:pStyle w:val="13"/>
        <w:adjustRightInd w:val="0"/>
        <w:ind w:firstLine="420"/>
        <w:rPr>
          <w:rFonts w:ascii="宋体" w:hAnsi="宋体" w:cs="宋体"/>
          <w:color w:val="auto"/>
          <w:highlight w:val="none"/>
          <w:u w:val="single"/>
        </w:rPr>
      </w:pPr>
      <w:r>
        <w:rPr>
          <w:rFonts w:hint="eastAsia" w:ascii="宋体" w:hAnsi="宋体" w:cs="宋体"/>
          <w:color w:val="auto"/>
          <w:highlight w:val="none"/>
        </w:rPr>
        <w:t>致：</w:t>
      </w:r>
      <w:r>
        <w:rPr>
          <w:rFonts w:hint="eastAsia" w:ascii="宋体" w:hAnsi="宋体" w:cs="宋体"/>
          <w:color w:val="auto"/>
          <w:highlight w:val="none"/>
          <w:u w:val="single"/>
        </w:rPr>
        <w:t>（采购人单位名称）：</w:t>
      </w:r>
    </w:p>
    <w:p>
      <w:pPr>
        <w:pStyle w:val="13"/>
        <w:adjustRightInd w:val="0"/>
        <w:ind w:firstLine="420"/>
        <w:rPr>
          <w:rFonts w:ascii="宋体" w:hAnsi="宋体" w:cs="宋体"/>
          <w:color w:val="auto"/>
          <w:highlight w:val="none"/>
        </w:rPr>
      </w:pPr>
      <w:r>
        <w:rPr>
          <w:rFonts w:hint="eastAsia" w:ascii="宋体" w:hAnsi="宋体" w:cs="宋体"/>
          <w:color w:val="auto"/>
          <w:highlight w:val="none"/>
          <w:u w:val="single"/>
        </w:rPr>
        <w:t>浙江五石工程咨询有限公司：</w:t>
      </w:r>
    </w:p>
    <w:p>
      <w:pPr>
        <w:adjustRightInd w:val="0"/>
        <w:snapToGrid w:val="0"/>
        <w:ind w:firstLine="420"/>
        <w:jc w:val="left"/>
        <w:rPr>
          <w:rFonts w:cs="宋体"/>
          <w:color w:val="auto"/>
          <w:highlight w:val="none"/>
        </w:rPr>
      </w:pPr>
      <w:r>
        <w:rPr>
          <w:rFonts w:hint="eastAsia" w:cs="宋体"/>
          <w:color w:val="auto"/>
          <w:highlight w:val="none"/>
        </w:rPr>
        <w:t>（投标人名称）系中华人民共和国合法企业，经营地址 。</w:t>
      </w:r>
    </w:p>
    <w:p>
      <w:pPr>
        <w:adjustRightInd w:val="0"/>
        <w:snapToGrid w:val="0"/>
        <w:ind w:firstLine="420"/>
        <w:jc w:val="left"/>
        <w:rPr>
          <w:rFonts w:cs="宋体"/>
          <w:color w:val="auto"/>
          <w:highlight w:val="none"/>
        </w:rPr>
      </w:pPr>
      <w:r>
        <w:rPr>
          <w:rFonts w:hint="eastAsia" w:cs="宋体"/>
          <w:color w:val="auto"/>
          <w:highlight w:val="none"/>
        </w:rPr>
        <w:t>我方愿意参加贵方组织的浙江出入境边防检查总站 项目的投标，为便于贵方公正、择优地确定中标人及其投标产品和服务，我方就本次投标有关事项郑重声明如下：</w:t>
      </w:r>
    </w:p>
    <w:p>
      <w:pPr>
        <w:adjustRightInd w:val="0"/>
        <w:snapToGrid w:val="0"/>
        <w:ind w:firstLine="420"/>
        <w:jc w:val="left"/>
        <w:rPr>
          <w:rFonts w:cs="宋体"/>
          <w:color w:val="auto"/>
          <w:highlight w:val="none"/>
        </w:rPr>
      </w:pPr>
      <w:r>
        <w:rPr>
          <w:rFonts w:hint="eastAsia" w:cs="宋体"/>
          <w:color w:val="auto"/>
          <w:highlight w:val="none"/>
        </w:rPr>
        <w:t>1.我方向贵方提交的所有投标文件、资料都是准确的和真实的；</w:t>
      </w:r>
    </w:p>
    <w:p>
      <w:pPr>
        <w:adjustRightInd w:val="0"/>
        <w:snapToGrid w:val="0"/>
        <w:ind w:firstLine="420"/>
        <w:jc w:val="left"/>
        <w:rPr>
          <w:rFonts w:cs="宋体"/>
          <w:color w:val="auto"/>
          <w:highlight w:val="none"/>
        </w:rPr>
      </w:pPr>
      <w:r>
        <w:rPr>
          <w:rFonts w:hint="eastAsia" w:cs="宋体"/>
          <w:color w:val="auto"/>
          <w:highlight w:val="none"/>
        </w:rPr>
        <w:t>2.我方不是采购人的附属机构；在获知本项目信息后，与采购人聘请的为此项目提供咨询服务的公司及其附属机构没有任何联系。</w:t>
      </w:r>
    </w:p>
    <w:p>
      <w:pPr>
        <w:adjustRightInd w:val="0"/>
        <w:snapToGrid w:val="0"/>
        <w:ind w:firstLine="420"/>
        <w:jc w:val="left"/>
        <w:rPr>
          <w:rFonts w:cs="宋体"/>
          <w:color w:val="auto"/>
          <w:highlight w:val="none"/>
        </w:rPr>
      </w:pPr>
      <w:r>
        <w:rPr>
          <w:rFonts w:hint="eastAsia" w:cs="宋体"/>
          <w:color w:val="auto"/>
          <w:highlight w:val="none"/>
        </w:rPr>
        <w:t>3.我方最近三年内的被公开披露或查处的违法违规行为有：</w:t>
      </w:r>
    </w:p>
    <w:p>
      <w:pPr>
        <w:adjustRightInd w:val="0"/>
        <w:snapToGrid w:val="0"/>
        <w:ind w:left="210" w:leftChars="100" w:firstLine="210" w:firstLineChars="100"/>
        <w:jc w:val="left"/>
        <w:rPr>
          <w:rFonts w:cs="宋体"/>
          <w:color w:val="auto"/>
          <w:highlight w:val="none"/>
        </w:rPr>
      </w:pPr>
      <w:r>
        <w:rPr>
          <w:rFonts w:hint="eastAsia" w:cs="宋体"/>
          <w:color w:val="auto"/>
          <w:highlight w:val="none"/>
        </w:rPr>
        <w:t>___________________________________________________________________________</w:t>
      </w:r>
      <w:r>
        <w:rPr>
          <w:rFonts w:hint="eastAsia" w:cs="宋体"/>
          <w:color w:val="auto"/>
          <w:highlight w:val="none"/>
          <w:u w:val="single"/>
        </w:rPr>
        <w:t xml:space="preserve">                                                       。</w:t>
      </w:r>
    </w:p>
    <w:p>
      <w:pPr>
        <w:adjustRightInd w:val="0"/>
        <w:snapToGrid w:val="0"/>
        <w:ind w:firstLine="420"/>
        <w:jc w:val="left"/>
        <w:rPr>
          <w:rFonts w:cs="宋体"/>
          <w:color w:val="auto"/>
          <w:highlight w:val="none"/>
        </w:rPr>
      </w:pPr>
      <w:r>
        <w:rPr>
          <w:rFonts w:hint="eastAsia" w:cs="宋体"/>
          <w:color w:val="auto"/>
          <w:highlight w:val="none"/>
        </w:rPr>
        <w:t>4.以上事项如有虚假或隐瞒，我方愿意承担一切后果和责任。</w:t>
      </w:r>
    </w:p>
    <w:p>
      <w:pPr>
        <w:adjustRightInd w:val="0"/>
        <w:snapToGrid w:val="0"/>
        <w:ind w:firstLine="420"/>
        <w:jc w:val="left"/>
        <w:rPr>
          <w:rFonts w:cs="宋体"/>
          <w:color w:val="auto"/>
          <w:highlight w:val="none"/>
        </w:rPr>
      </w:pPr>
    </w:p>
    <w:p>
      <w:pPr>
        <w:adjustRightInd w:val="0"/>
        <w:snapToGrid w:val="0"/>
        <w:ind w:firstLine="420"/>
        <w:jc w:val="left"/>
        <w:rPr>
          <w:rFonts w:cs="宋体"/>
          <w:color w:val="auto"/>
          <w:highlight w:val="none"/>
        </w:rPr>
      </w:pPr>
    </w:p>
    <w:p>
      <w:pPr>
        <w:adjustRightInd w:val="0"/>
        <w:snapToGrid w:val="0"/>
        <w:ind w:firstLine="420"/>
        <w:jc w:val="left"/>
        <w:rPr>
          <w:rFonts w:cs="宋体"/>
          <w:color w:val="auto"/>
          <w:highlight w:val="none"/>
        </w:rPr>
      </w:pPr>
    </w:p>
    <w:p>
      <w:pPr>
        <w:adjustRightInd w:val="0"/>
        <w:snapToGrid w:val="0"/>
        <w:ind w:firstLine="420"/>
        <w:jc w:val="left"/>
        <w:rPr>
          <w:rFonts w:cs="宋体"/>
          <w:color w:val="auto"/>
          <w:highlight w:val="none"/>
        </w:rPr>
      </w:pPr>
    </w:p>
    <w:p>
      <w:pPr>
        <w:adjustRightInd w:val="0"/>
        <w:snapToGrid w:val="0"/>
        <w:ind w:firstLine="420"/>
        <w:jc w:val="left"/>
        <w:rPr>
          <w:rFonts w:cs="宋体"/>
          <w:color w:val="auto"/>
          <w:highlight w:val="none"/>
        </w:rPr>
      </w:pPr>
    </w:p>
    <w:p>
      <w:pPr>
        <w:adjustRightInd w:val="0"/>
        <w:snapToGrid w:val="0"/>
        <w:ind w:firstLine="420"/>
        <w:jc w:val="left"/>
        <w:rPr>
          <w:rFonts w:cs="宋体"/>
          <w:color w:val="auto"/>
          <w:highlight w:val="none"/>
        </w:rPr>
      </w:pPr>
      <w:r>
        <w:rPr>
          <w:rFonts w:hint="eastAsia" w:cs="宋体"/>
          <w:color w:val="auto"/>
          <w:highlight w:val="none"/>
        </w:rPr>
        <w:t>投标方名称（盖章）：</w:t>
      </w:r>
    </w:p>
    <w:p>
      <w:pPr>
        <w:adjustRightInd w:val="0"/>
        <w:snapToGrid w:val="0"/>
        <w:ind w:firstLine="420"/>
        <w:jc w:val="left"/>
        <w:rPr>
          <w:rFonts w:cs="宋体"/>
          <w:color w:val="auto"/>
          <w:highlight w:val="none"/>
        </w:rPr>
      </w:pPr>
      <w:r>
        <w:rPr>
          <w:rFonts w:hint="eastAsia" w:cs="宋体"/>
          <w:color w:val="auto"/>
          <w:highlight w:val="none"/>
        </w:rPr>
        <w:t>投标方代表签字：</w:t>
      </w:r>
    </w:p>
    <w:p>
      <w:pPr>
        <w:adjustRightInd w:val="0"/>
        <w:snapToGrid w:val="0"/>
        <w:ind w:firstLine="420"/>
        <w:jc w:val="left"/>
        <w:rPr>
          <w:rFonts w:cs="宋体"/>
          <w:color w:val="auto"/>
          <w:highlight w:val="none"/>
        </w:rPr>
        <w:sectPr>
          <w:pgSz w:w="11906" w:h="16838"/>
          <w:pgMar w:top="1418" w:right="1418" w:bottom="1418" w:left="1418" w:header="851" w:footer="992" w:gutter="0"/>
          <w:cols w:space="720" w:num="1"/>
          <w:docGrid w:linePitch="312" w:charSpace="0"/>
        </w:sectPr>
      </w:pPr>
      <w:r>
        <w:rPr>
          <w:rFonts w:hint="eastAsia" w:cs="宋体"/>
          <w:color w:val="auto"/>
          <w:highlight w:val="none"/>
        </w:rPr>
        <w:t>日期：    年  月  日</w:t>
      </w:r>
    </w:p>
    <w:p>
      <w:pPr>
        <w:pStyle w:val="6"/>
        <w:ind w:firstLine="482"/>
        <w:rPr>
          <w:rFonts w:cs="宋体"/>
          <w:color w:val="auto"/>
          <w:highlight w:val="none"/>
        </w:rPr>
      </w:pPr>
      <w:r>
        <w:rPr>
          <w:rFonts w:hint="eastAsia" w:cs="宋体"/>
          <w:color w:val="auto"/>
          <w:highlight w:val="none"/>
        </w:rPr>
        <w:t>七、供应商类似工程业绩</w:t>
      </w:r>
    </w:p>
    <w:p>
      <w:pPr>
        <w:ind w:firstLine="420"/>
        <w:rPr>
          <w:rFonts w:cs="宋体"/>
          <w:b/>
          <w:bCs/>
          <w:color w:val="auto"/>
          <w:highlight w:val="none"/>
          <w:lang w:val="zh-CN"/>
        </w:rPr>
      </w:pPr>
      <w:r>
        <w:rPr>
          <w:rFonts w:hint="eastAsia" w:cs="宋体"/>
          <w:color w:val="auto"/>
          <w:highlight w:val="none"/>
        </w:rPr>
        <w:t xml:space="preserve">招标项目名称：                   招标编号：              </w:t>
      </w:r>
    </w:p>
    <w:tbl>
      <w:tblPr>
        <w:tblStyle w:val="21"/>
        <w:tblW w:w="93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2160"/>
        <w:gridCol w:w="1440"/>
        <w:gridCol w:w="2340"/>
        <w:gridCol w:w="1676"/>
        <w:gridCol w:w="102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highlight w:val="none"/>
              </w:rPr>
            </w:pPr>
            <w:r>
              <w:rPr>
                <w:rFonts w:hint="eastAsia" w:cs="宋体"/>
                <w:color w:val="auto"/>
                <w:highlight w:val="none"/>
                <w:lang w:val="zh-CN"/>
              </w:rPr>
              <w:t>序号</w:t>
            </w:r>
          </w:p>
        </w:tc>
        <w:tc>
          <w:tcPr>
            <w:tcW w:w="216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highlight w:val="none"/>
              </w:rPr>
            </w:pPr>
            <w:r>
              <w:rPr>
                <w:rFonts w:hint="eastAsia" w:cs="宋体"/>
                <w:color w:val="auto"/>
                <w:highlight w:val="none"/>
                <w:lang w:val="zh-CN"/>
              </w:rPr>
              <w:t>项目名称</w:t>
            </w:r>
          </w:p>
        </w:tc>
        <w:tc>
          <w:tcPr>
            <w:tcW w:w="144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highlight w:val="none"/>
              </w:rPr>
            </w:pPr>
            <w:r>
              <w:rPr>
                <w:rFonts w:hint="eastAsia" w:cs="宋体"/>
                <w:color w:val="auto"/>
                <w:highlight w:val="none"/>
                <w:lang w:val="zh-CN"/>
              </w:rPr>
              <w:t>项目时间</w:t>
            </w:r>
          </w:p>
          <w:p>
            <w:pPr>
              <w:ind w:firstLine="0" w:firstLineChars="0"/>
              <w:jc w:val="center"/>
              <w:rPr>
                <w:rFonts w:cs="宋体"/>
                <w:color w:val="auto"/>
                <w:highlight w:val="none"/>
              </w:rPr>
            </w:pPr>
            <w:r>
              <w:rPr>
                <w:rFonts w:hint="eastAsia" w:cs="宋体"/>
                <w:color w:val="auto"/>
                <w:highlight w:val="none"/>
                <w:lang w:val="zh-CN"/>
              </w:rPr>
              <w:t>年/月</w:t>
            </w:r>
          </w:p>
        </w:tc>
        <w:tc>
          <w:tcPr>
            <w:tcW w:w="2340"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highlight w:val="none"/>
              </w:rPr>
            </w:pPr>
            <w:r>
              <w:rPr>
                <w:rFonts w:hint="eastAsia" w:cs="宋体"/>
                <w:color w:val="auto"/>
                <w:highlight w:val="none"/>
                <w:lang w:val="zh-CN"/>
              </w:rPr>
              <w:t>使用单位名称、地址及联系方式</w:t>
            </w:r>
          </w:p>
        </w:tc>
        <w:tc>
          <w:tcPr>
            <w:tcW w:w="167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highlight w:val="none"/>
              </w:rPr>
            </w:pPr>
            <w:r>
              <w:rPr>
                <w:rFonts w:hint="eastAsia" w:cs="宋体"/>
                <w:color w:val="auto"/>
                <w:highlight w:val="none"/>
                <w:lang w:val="zh-CN"/>
              </w:rPr>
              <w:t>项目合同金额（单位：万元）</w:t>
            </w:r>
          </w:p>
        </w:tc>
        <w:tc>
          <w:tcPr>
            <w:tcW w:w="1024"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宋体"/>
                <w:color w:val="auto"/>
                <w:highlight w:val="none"/>
              </w:rPr>
            </w:pPr>
            <w:r>
              <w:rPr>
                <w:rFonts w:hint="eastAsia" w:cs="宋体"/>
                <w:color w:val="auto"/>
                <w:highlight w:val="none"/>
                <w:lang w:val="zh-CN"/>
              </w:rPr>
              <w:t>备 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1</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2</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3</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4</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5</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6</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7</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8</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tcPr>
          <w:p>
            <w:pPr>
              <w:ind w:firstLine="0" w:firstLineChars="0"/>
              <w:jc w:val="center"/>
              <w:rPr>
                <w:rFonts w:cs="宋体"/>
                <w:color w:val="auto"/>
                <w:highlight w:val="none"/>
              </w:rPr>
            </w:pPr>
            <w:r>
              <w:rPr>
                <w:rFonts w:hint="eastAsia" w:cs="宋体"/>
                <w:color w:val="auto"/>
                <w:highlight w:val="none"/>
              </w:rPr>
              <w:t>9</w:t>
            </w:r>
          </w:p>
        </w:tc>
        <w:tc>
          <w:tcPr>
            <w:tcW w:w="216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4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2340"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676"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c>
          <w:tcPr>
            <w:tcW w:w="1024" w:type="dxa"/>
            <w:tcBorders>
              <w:top w:val="single" w:color="auto" w:sz="4" w:space="0"/>
              <w:left w:val="single" w:color="auto" w:sz="4" w:space="0"/>
              <w:bottom w:val="single" w:color="auto" w:sz="4" w:space="0"/>
              <w:right w:val="single" w:color="auto" w:sz="4" w:space="0"/>
            </w:tcBorders>
          </w:tcPr>
          <w:p>
            <w:pPr>
              <w:ind w:firstLine="0" w:firstLineChars="0"/>
              <w:rPr>
                <w:rFonts w:cs="宋体"/>
                <w:color w:val="auto"/>
                <w:highlight w:val="none"/>
              </w:rPr>
            </w:pPr>
          </w:p>
        </w:tc>
      </w:tr>
    </w:tbl>
    <w:p>
      <w:pPr>
        <w:ind w:firstLine="420"/>
        <w:rPr>
          <w:rFonts w:cs="宋体"/>
          <w:color w:val="auto"/>
          <w:highlight w:val="none"/>
        </w:rPr>
      </w:pPr>
    </w:p>
    <w:p>
      <w:pPr>
        <w:ind w:left="-720" w:right="-960" w:firstLine="436"/>
        <w:rPr>
          <w:rFonts w:cs="宋体"/>
          <w:color w:val="auto"/>
          <w:spacing w:val="4"/>
          <w:highlight w:val="none"/>
        </w:rPr>
      </w:pPr>
    </w:p>
    <w:p>
      <w:pPr>
        <w:adjustRightInd w:val="0"/>
        <w:snapToGrid w:val="0"/>
        <w:ind w:firstLine="420"/>
        <w:jc w:val="left"/>
        <w:rPr>
          <w:rFonts w:cs="宋体"/>
          <w:color w:val="auto"/>
          <w:highlight w:val="none"/>
        </w:rPr>
      </w:pPr>
      <w:r>
        <w:rPr>
          <w:rFonts w:hint="eastAsia" w:cs="宋体"/>
          <w:color w:val="auto"/>
          <w:highlight w:val="none"/>
        </w:rPr>
        <w:t>投标方名称（盖章）：</w:t>
      </w:r>
    </w:p>
    <w:p>
      <w:pPr>
        <w:adjustRightInd w:val="0"/>
        <w:snapToGrid w:val="0"/>
        <w:ind w:firstLine="420"/>
        <w:jc w:val="left"/>
        <w:rPr>
          <w:rFonts w:cs="宋体"/>
          <w:color w:val="auto"/>
          <w:highlight w:val="none"/>
        </w:rPr>
      </w:pPr>
      <w:r>
        <w:rPr>
          <w:rFonts w:hint="eastAsia" w:cs="宋体"/>
          <w:color w:val="auto"/>
          <w:highlight w:val="none"/>
        </w:rPr>
        <w:t>投标方代表签字：</w:t>
      </w:r>
    </w:p>
    <w:p>
      <w:pPr>
        <w:ind w:firstLine="420"/>
        <w:rPr>
          <w:rFonts w:cs="宋体"/>
          <w:color w:val="auto"/>
          <w:highlight w:val="none"/>
        </w:rPr>
      </w:pPr>
      <w:r>
        <w:rPr>
          <w:rFonts w:hint="eastAsia" w:cs="宋体"/>
          <w:color w:val="auto"/>
          <w:highlight w:val="none"/>
        </w:rPr>
        <w:t>日期：    年  月  日</w:t>
      </w:r>
    </w:p>
    <w:p>
      <w:pPr>
        <w:adjustRightInd w:val="0"/>
        <w:snapToGrid w:val="0"/>
        <w:ind w:firstLine="420"/>
        <w:jc w:val="left"/>
        <w:rPr>
          <w:rFonts w:cs="宋体"/>
          <w:snapToGrid w:val="0"/>
          <w:color w:val="auto"/>
          <w:kern w:val="0"/>
          <w:szCs w:val="21"/>
          <w:highlight w:val="none"/>
        </w:rPr>
      </w:pPr>
    </w:p>
    <w:p>
      <w:pPr>
        <w:pStyle w:val="5"/>
        <w:ind w:firstLine="482"/>
        <w:rPr>
          <w:rFonts w:ascii="宋体" w:hAnsi="宋体" w:cs="宋体"/>
          <w:color w:val="auto"/>
          <w:highlight w:val="none"/>
        </w:rPr>
        <w:sectPr>
          <w:pgSz w:w="11906" w:h="16838"/>
          <w:pgMar w:top="1418" w:right="1418" w:bottom="1418" w:left="1418" w:header="851" w:footer="992" w:gutter="0"/>
          <w:cols w:space="720" w:num="1"/>
          <w:docGrid w:linePitch="312" w:charSpace="0"/>
        </w:sectPr>
      </w:pPr>
    </w:p>
    <w:p>
      <w:pPr>
        <w:pStyle w:val="6"/>
        <w:ind w:firstLine="482"/>
        <w:rPr>
          <w:rFonts w:cs="宋体"/>
          <w:color w:val="auto"/>
          <w:highlight w:val="none"/>
        </w:rPr>
      </w:pPr>
      <w:r>
        <w:rPr>
          <w:rFonts w:hint="eastAsia" w:cs="宋体"/>
          <w:color w:val="auto"/>
          <w:highlight w:val="none"/>
        </w:rPr>
        <w:t>八、投标保证金</w:t>
      </w:r>
    </w:p>
    <w:p>
      <w:pPr>
        <w:pStyle w:val="2"/>
        <w:rPr>
          <w:rFonts w:ascii="宋体" w:hAnsi="宋体" w:eastAsia="宋体" w:cs="宋体"/>
          <w:color w:val="auto"/>
          <w:highlight w:val="none"/>
        </w:rPr>
      </w:pPr>
    </w:p>
    <w:p>
      <w:pPr>
        <w:widowControl/>
        <w:adjustRightInd w:val="0"/>
        <w:snapToGrid w:val="0"/>
        <w:ind w:firstLine="0" w:firstLineChars="0"/>
        <w:rPr>
          <w:rFonts w:cs="宋体"/>
          <w:b/>
          <w:color w:val="auto"/>
          <w:sz w:val="24"/>
          <w:highlight w:val="none"/>
        </w:rPr>
      </w:pPr>
      <w:r>
        <w:rPr>
          <w:rFonts w:hint="eastAsia" w:cs="宋体"/>
          <w:b/>
          <w:color w:val="auto"/>
          <w:sz w:val="24"/>
          <w:highlight w:val="none"/>
        </w:rPr>
        <w:t>附：投标须知前附表规定的投标保证金交纳凭证（电汇凭证或代理机构出具的收据）</w:t>
      </w:r>
    </w:p>
    <w:p>
      <w:pPr>
        <w:widowControl/>
        <w:adjustRightInd w:val="0"/>
        <w:snapToGrid w:val="0"/>
        <w:ind w:firstLine="0" w:firstLineChars="0"/>
        <w:rPr>
          <w:rFonts w:cs="宋体"/>
          <w:b/>
          <w:color w:val="auto"/>
          <w:sz w:val="24"/>
          <w:highlight w:val="none"/>
        </w:rPr>
      </w:pPr>
    </w:p>
    <w:p>
      <w:pPr>
        <w:ind w:firstLine="0" w:firstLineChars="0"/>
        <w:rPr>
          <w:rFonts w:cs="宋体"/>
          <w:b/>
          <w:bCs/>
          <w:color w:val="auto"/>
          <w:sz w:val="24"/>
          <w:highlight w:val="none"/>
        </w:rPr>
      </w:pPr>
      <w:r>
        <w:rPr>
          <w:rFonts w:hint="eastAsia" w:cs="宋体"/>
          <w:b/>
          <w:bCs/>
          <w:color w:val="auto"/>
          <w:sz w:val="24"/>
          <w:highlight w:val="none"/>
        </w:rPr>
        <w:t>备注说明：</w:t>
      </w:r>
    </w:p>
    <w:p>
      <w:pPr>
        <w:ind w:firstLine="0" w:firstLineChars="0"/>
        <w:rPr>
          <w:rFonts w:cs="宋体"/>
          <w:b/>
          <w:bCs/>
          <w:color w:val="auto"/>
          <w:sz w:val="24"/>
          <w:highlight w:val="none"/>
        </w:rPr>
      </w:pPr>
      <w:r>
        <w:rPr>
          <w:rFonts w:hint="eastAsia" w:cs="宋体"/>
          <w:b/>
          <w:bCs/>
          <w:color w:val="auto"/>
          <w:sz w:val="24"/>
          <w:highlight w:val="none"/>
        </w:rPr>
        <w:t>一、投标保证金缴纳须知说明：</w:t>
      </w:r>
    </w:p>
    <w:p>
      <w:pPr>
        <w:ind w:firstLine="0" w:firstLineChars="0"/>
        <w:rPr>
          <w:rFonts w:cs="宋体"/>
          <w:b/>
          <w:bCs/>
          <w:color w:val="auto"/>
          <w:sz w:val="24"/>
          <w:highlight w:val="none"/>
        </w:rPr>
      </w:pPr>
      <w:r>
        <w:rPr>
          <w:rFonts w:hint="eastAsia" w:cs="宋体"/>
          <w:b/>
          <w:bCs/>
          <w:color w:val="auto"/>
          <w:sz w:val="24"/>
          <w:highlight w:val="none"/>
        </w:rPr>
        <w:t>1、投标人交纳投标保证金后，将投标保证金交纳凭证发至2810140286@qq.com，并注明项目名称。</w:t>
      </w:r>
    </w:p>
    <w:p>
      <w:pPr>
        <w:ind w:firstLine="0" w:firstLineChars="0"/>
        <w:rPr>
          <w:rFonts w:cs="宋体"/>
          <w:b/>
          <w:bCs/>
          <w:color w:val="auto"/>
          <w:sz w:val="24"/>
          <w:highlight w:val="none"/>
        </w:rPr>
      </w:pPr>
      <w:r>
        <w:rPr>
          <w:rFonts w:hint="eastAsia" w:cs="宋体"/>
          <w:b/>
          <w:bCs/>
          <w:color w:val="auto"/>
          <w:sz w:val="24"/>
          <w:highlight w:val="none"/>
        </w:rPr>
        <w:t>2、将电汇凭证或代理机构出具的收据复印件作为投标保证金交纳凭证编入投标文件。</w:t>
      </w:r>
    </w:p>
    <w:p>
      <w:pPr>
        <w:ind w:firstLine="0" w:firstLineChars="0"/>
        <w:rPr>
          <w:rFonts w:cs="宋体"/>
          <w:b/>
          <w:bCs/>
          <w:color w:val="auto"/>
          <w:sz w:val="24"/>
          <w:highlight w:val="none"/>
        </w:rPr>
      </w:pPr>
      <w:r>
        <w:rPr>
          <w:rFonts w:hint="eastAsia" w:cs="宋体"/>
          <w:b/>
          <w:bCs/>
          <w:color w:val="auto"/>
          <w:sz w:val="24"/>
          <w:highlight w:val="none"/>
        </w:rPr>
        <w:t>3、投标保证金须在招标文件规定时间前到达指定账户。</w:t>
      </w:r>
    </w:p>
    <w:p>
      <w:pPr>
        <w:ind w:firstLine="0" w:firstLineChars="0"/>
        <w:rPr>
          <w:rFonts w:cs="宋体"/>
          <w:b/>
          <w:bCs/>
          <w:color w:val="auto"/>
          <w:sz w:val="24"/>
          <w:highlight w:val="none"/>
        </w:rPr>
      </w:pPr>
      <w:r>
        <w:rPr>
          <w:rFonts w:hint="eastAsia" w:cs="宋体"/>
          <w:b/>
          <w:bCs/>
          <w:color w:val="auto"/>
          <w:sz w:val="24"/>
          <w:highlight w:val="none"/>
        </w:rPr>
        <w:t>二、投标保证金退还说明：</w:t>
      </w:r>
    </w:p>
    <w:p>
      <w:pPr>
        <w:ind w:firstLine="0" w:firstLineChars="0"/>
        <w:rPr>
          <w:rFonts w:cs="宋体"/>
          <w:b/>
          <w:bCs/>
          <w:color w:val="auto"/>
          <w:sz w:val="24"/>
          <w:highlight w:val="none"/>
        </w:rPr>
      </w:pPr>
      <w:r>
        <w:rPr>
          <w:rFonts w:hint="eastAsia" w:cs="宋体"/>
          <w:b/>
          <w:bCs/>
          <w:color w:val="auto"/>
          <w:sz w:val="24"/>
          <w:highlight w:val="none"/>
        </w:rPr>
        <w:t>1、投标保证金退还时间：中标结果公告发布后将退还未中标投标人的投标保证金，合同签订后将退还中标投标人的投标保证金。</w:t>
      </w:r>
    </w:p>
    <w:p>
      <w:pPr>
        <w:ind w:firstLine="0" w:firstLineChars="0"/>
        <w:rPr>
          <w:rFonts w:cs="宋体"/>
          <w:b/>
          <w:bCs/>
          <w:color w:val="auto"/>
          <w:sz w:val="24"/>
          <w:highlight w:val="none"/>
        </w:rPr>
      </w:pPr>
      <w:r>
        <w:rPr>
          <w:rFonts w:hint="eastAsia" w:cs="宋体"/>
          <w:b/>
          <w:bCs/>
          <w:color w:val="auto"/>
          <w:sz w:val="24"/>
          <w:highlight w:val="none"/>
        </w:rPr>
        <w:t>2、投标保证金退还事宜：</w:t>
      </w:r>
    </w:p>
    <w:p>
      <w:pPr>
        <w:ind w:firstLine="0" w:firstLineChars="0"/>
        <w:rPr>
          <w:rFonts w:cs="宋体"/>
          <w:b/>
          <w:bCs/>
          <w:color w:val="auto"/>
          <w:sz w:val="24"/>
          <w:highlight w:val="none"/>
        </w:rPr>
      </w:pPr>
      <w:r>
        <w:rPr>
          <w:rFonts w:hint="eastAsia" w:cs="宋体"/>
          <w:b/>
          <w:bCs/>
          <w:color w:val="auto"/>
          <w:sz w:val="24"/>
          <w:highlight w:val="none"/>
        </w:rPr>
        <w:t>已领取投标保证金收据原件的，需凭采购代理机构出具的收据原件或投标人另行开具退还投标保证金收据退还投标保证金，投标保证金将以电汇方式汇入投标人的开户银行指定账户。</w:t>
      </w:r>
    </w:p>
    <w:p>
      <w:pPr>
        <w:ind w:firstLine="0" w:firstLineChars="0"/>
        <w:rPr>
          <w:rFonts w:cs="宋体"/>
          <w:b/>
          <w:bCs/>
          <w:color w:val="auto"/>
          <w:sz w:val="24"/>
          <w:highlight w:val="none"/>
        </w:rPr>
        <w:sectPr>
          <w:pgSz w:w="11906" w:h="16838"/>
          <w:pgMar w:top="1418" w:right="1418" w:bottom="1418" w:left="1418" w:header="851" w:footer="992" w:gutter="0"/>
          <w:cols w:space="720" w:num="1"/>
          <w:docGrid w:linePitch="312" w:charSpace="0"/>
        </w:sectPr>
      </w:pPr>
      <w:r>
        <w:rPr>
          <w:rFonts w:hint="eastAsia" w:cs="宋体"/>
          <w:b/>
          <w:bCs/>
          <w:color w:val="auto"/>
          <w:sz w:val="24"/>
          <w:highlight w:val="none"/>
        </w:rPr>
        <w:t>未领取投标保证金收据原件的，联系采购代理机构核对账号后，采购代理机构将投标保证金以电汇方式汇入投标人的银行开户许可证指定账户。</w:t>
      </w:r>
    </w:p>
    <w:p>
      <w:pPr>
        <w:pStyle w:val="6"/>
        <w:ind w:firstLine="482"/>
        <w:rPr>
          <w:rFonts w:cs="宋体"/>
          <w:color w:val="auto"/>
          <w:highlight w:val="none"/>
        </w:rPr>
      </w:pPr>
      <w:r>
        <w:rPr>
          <w:rFonts w:hint="eastAsia" w:cs="宋体"/>
          <w:color w:val="auto"/>
          <w:highlight w:val="none"/>
        </w:rPr>
        <w:t>九、技术服务方案</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（1）施工方案；</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（2）软装设备配置清单</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（3）质量保证措施；</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（4）施工机具和检验仪器的投入；</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（5）工期承诺、进度控制措施及施工质量控制措施；</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（6）投入本项目的工程技术管理人员的专业配置情况；</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（7）关键工序、复杂环节的相应技术措施；</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（8）安全文明施工保证措施；</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（9）材料设备进场计划及施工计划情况；</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（10）合理化建议及售后服务；</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（11）供应商认为需要提供的资料。</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采用文字表述外可附下列图表，图表及格式要求附后，没有图表的可格式自拟。</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附表一  拟投入的主要施工设备表</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附表二  拟配备的试验和检测仪器设备表</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附表三  项目管理班子配备情况表</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附表四、项目经理简历表</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附表五、技术负责人简历表</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附表六、劳动力计划表</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附表七、计划开、竣工日期和施工进度网络图或横道图</w:t>
      </w:r>
    </w:p>
    <w:p>
      <w:pPr>
        <w:pStyle w:val="2"/>
        <w:rPr>
          <w:rFonts w:ascii="宋体" w:hAnsi="宋体" w:eastAsia="宋体" w:cs="宋体"/>
          <w:color w:val="auto"/>
          <w:kern w:val="2"/>
          <w:sz w:val="21"/>
          <w:highlight w:val="none"/>
        </w:rPr>
      </w:pPr>
    </w:p>
    <w:p>
      <w:pPr>
        <w:pStyle w:val="6"/>
        <w:ind w:firstLine="482"/>
        <w:rPr>
          <w:rFonts w:cs="宋体"/>
          <w:color w:val="auto"/>
          <w:highlight w:val="none"/>
        </w:rPr>
        <w:sectPr>
          <w:pgSz w:w="11906" w:h="16838"/>
          <w:pgMar w:top="1418" w:right="1418" w:bottom="1418" w:left="1418" w:header="851" w:footer="992" w:gutter="0"/>
          <w:cols w:space="720" w:num="1"/>
          <w:docGrid w:linePitch="312" w:charSpace="0"/>
        </w:sectPr>
      </w:pPr>
    </w:p>
    <w:p>
      <w:pPr>
        <w:pStyle w:val="6"/>
        <w:ind w:firstLine="482"/>
        <w:rPr>
          <w:color w:val="auto"/>
          <w:highlight w:val="none"/>
        </w:rPr>
      </w:pPr>
      <w:bookmarkStart w:id="1125" w:name="_Toc445"/>
      <w:r>
        <w:rPr>
          <w:rFonts w:hint="eastAsia"/>
          <w:color w:val="auto"/>
          <w:highlight w:val="none"/>
        </w:rPr>
        <w:t>软装设备配置清单</w:t>
      </w:r>
    </w:p>
    <w:p>
      <w:pPr>
        <w:pStyle w:val="19"/>
        <w:snapToGrid w:val="0"/>
        <w:ind w:firstLine="480"/>
        <w:rPr>
          <w:color w:val="auto"/>
          <w:highlight w:val="none"/>
        </w:rPr>
      </w:pPr>
      <w:r>
        <w:rPr>
          <w:rFonts w:hint="eastAsia" w:ascii="宋体" w:hAnsi="宋体" w:cs="宋体"/>
          <w:color w:val="auto"/>
          <w:kern w:val="2"/>
          <w:sz w:val="24"/>
          <w:szCs w:val="24"/>
          <w:highlight w:val="none"/>
        </w:rPr>
        <w:t>项目名称：</w:t>
      </w:r>
      <w:r>
        <w:rPr>
          <w:rFonts w:hint="eastAsia" w:ascii="宋体" w:hAnsi="宋体" w:cs="宋体"/>
          <w:color w:val="auto"/>
          <w:kern w:val="2"/>
          <w:sz w:val="24"/>
          <w:szCs w:val="24"/>
          <w:highlight w:val="none"/>
          <w:u w:val="single"/>
        </w:rPr>
        <w:t xml:space="preserve">              </w:t>
      </w:r>
      <w:r>
        <w:rPr>
          <w:rFonts w:hint="eastAsia" w:ascii="宋体" w:hAnsi="宋体" w:cs="宋体"/>
          <w:color w:val="auto"/>
          <w:kern w:val="2"/>
          <w:sz w:val="24"/>
          <w:szCs w:val="24"/>
          <w:highlight w:val="none"/>
        </w:rPr>
        <w:t xml:space="preserve">           项目编号： </w:t>
      </w:r>
      <w:r>
        <w:rPr>
          <w:rFonts w:hint="eastAsia" w:ascii="宋体" w:hAnsi="宋体" w:cs="宋体"/>
          <w:color w:val="auto"/>
          <w:kern w:val="2"/>
          <w:sz w:val="24"/>
          <w:szCs w:val="24"/>
          <w:highlight w:val="none"/>
          <w:u w:val="single"/>
        </w:rPr>
        <w:t xml:space="preserve">            </w:t>
      </w:r>
      <w:r>
        <w:rPr>
          <w:rFonts w:hint="eastAsia" w:ascii="宋体" w:hAnsi="宋体" w:cs="宋体"/>
          <w:color w:val="auto"/>
          <w:kern w:val="2"/>
          <w:sz w:val="24"/>
          <w:szCs w:val="24"/>
          <w:highlight w:val="none"/>
        </w:rPr>
        <w:t xml:space="preserve">      </w:t>
      </w:r>
    </w:p>
    <w:tbl>
      <w:tblPr>
        <w:tblStyle w:val="21"/>
        <w:tblW w:w="4997" w:type="pct"/>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autofit"/>
        <w:tblCellMar>
          <w:top w:w="0" w:type="dxa"/>
          <w:left w:w="108" w:type="dxa"/>
          <w:bottom w:w="0" w:type="dxa"/>
          <w:right w:w="108" w:type="dxa"/>
        </w:tblCellMar>
      </w:tblPr>
      <w:tblGrid>
        <w:gridCol w:w="1265"/>
        <w:gridCol w:w="2473"/>
        <w:gridCol w:w="1207"/>
        <w:gridCol w:w="2448"/>
        <w:gridCol w:w="2223"/>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444" w:hRule="atLeast"/>
          <w:jc w:val="center"/>
        </w:trPr>
        <w:tc>
          <w:tcPr>
            <w:tcW w:w="658"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r>
              <w:rPr>
                <w:rFonts w:hint="eastAsia" w:cs="宋体"/>
                <w:color w:val="auto"/>
                <w:sz w:val="24"/>
                <w:highlight w:val="none"/>
                <w:lang w:bidi="ar"/>
              </w:rPr>
              <w:t>序号</w:t>
            </w:r>
          </w:p>
        </w:tc>
        <w:tc>
          <w:tcPr>
            <w:tcW w:w="1285"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r>
              <w:rPr>
                <w:rFonts w:hint="eastAsia" w:cs="宋体"/>
                <w:color w:val="auto"/>
                <w:sz w:val="24"/>
                <w:highlight w:val="none"/>
                <w:lang w:bidi="ar"/>
              </w:rPr>
              <w:t>名称</w:t>
            </w:r>
          </w:p>
        </w:tc>
        <w:tc>
          <w:tcPr>
            <w:tcW w:w="627" w:type="pct"/>
            <w:tcBorders>
              <w:top w:val="single" w:color="auto" w:sz="4" w:space="0"/>
              <w:left w:val="nil"/>
              <w:bottom w:val="single" w:color="auto" w:sz="4" w:space="0"/>
              <w:right w:val="single" w:color="auto" w:sz="4" w:space="0"/>
            </w:tcBorders>
            <w:shd w:val="clear" w:color="auto" w:fill="auto"/>
            <w:vAlign w:val="center"/>
          </w:tcPr>
          <w:p>
            <w:pPr>
              <w:pStyle w:val="19"/>
              <w:snapToGrid w:val="0"/>
              <w:ind w:firstLine="0" w:firstLineChars="0"/>
              <w:jc w:val="center"/>
              <w:rPr>
                <w:color w:val="auto"/>
                <w:highlight w:val="none"/>
              </w:rPr>
            </w:pPr>
            <w:r>
              <w:rPr>
                <w:rFonts w:hint="eastAsia" w:ascii="宋体" w:hAnsi="宋体" w:cs="宋体"/>
                <w:color w:val="auto"/>
                <w:spacing w:val="-20"/>
                <w:sz w:val="24"/>
                <w:szCs w:val="24"/>
                <w:highlight w:val="none"/>
              </w:rPr>
              <w:t>品牌</w:t>
            </w:r>
          </w:p>
        </w:tc>
        <w:tc>
          <w:tcPr>
            <w:tcW w:w="1272"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r>
              <w:rPr>
                <w:rFonts w:hint="eastAsia" w:cs="宋体"/>
                <w:color w:val="auto"/>
                <w:sz w:val="24"/>
                <w:highlight w:val="none"/>
                <w:lang w:bidi="ar"/>
              </w:rPr>
              <w:t>规格型号</w:t>
            </w:r>
          </w:p>
        </w:tc>
        <w:tc>
          <w:tcPr>
            <w:tcW w:w="1155"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r>
              <w:rPr>
                <w:rFonts w:hint="eastAsia" w:cs="宋体"/>
                <w:color w:val="auto"/>
                <w:sz w:val="24"/>
                <w:highlight w:val="none"/>
                <w:lang w:bidi="ar"/>
              </w:rPr>
              <w:t>单位及数量</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jc w:val="center"/>
        </w:trPr>
        <w:tc>
          <w:tcPr>
            <w:tcW w:w="658"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285"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627"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272"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155"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jc w:val="center"/>
        </w:trPr>
        <w:tc>
          <w:tcPr>
            <w:tcW w:w="658"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285"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627"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272"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155"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jc w:val="center"/>
        </w:trPr>
        <w:tc>
          <w:tcPr>
            <w:tcW w:w="658"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285"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627"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272"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155"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jc w:val="center"/>
        </w:trPr>
        <w:tc>
          <w:tcPr>
            <w:tcW w:w="658"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285"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627"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272"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155"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jc w:val="center"/>
        </w:trPr>
        <w:tc>
          <w:tcPr>
            <w:tcW w:w="658"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285"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627"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272"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155"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jc w:val="center"/>
        </w:trPr>
        <w:tc>
          <w:tcPr>
            <w:tcW w:w="658"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285"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627"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272"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155"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jc w:val="center"/>
        </w:trPr>
        <w:tc>
          <w:tcPr>
            <w:tcW w:w="658"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285"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627"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272"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155"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69" w:hRule="atLeast"/>
          <w:jc w:val="center"/>
        </w:trPr>
        <w:tc>
          <w:tcPr>
            <w:tcW w:w="658"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285"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627"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272"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155"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51" w:hRule="atLeast"/>
          <w:jc w:val="center"/>
        </w:trPr>
        <w:tc>
          <w:tcPr>
            <w:tcW w:w="658"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285"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627"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272"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155"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475" w:hRule="atLeast"/>
          <w:jc w:val="center"/>
        </w:trPr>
        <w:tc>
          <w:tcPr>
            <w:tcW w:w="658"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285"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627"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272"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c>
          <w:tcPr>
            <w:tcW w:w="1155"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Autospacing="1" w:afterAutospacing="1"/>
              <w:ind w:firstLine="0" w:firstLineChars="0"/>
              <w:jc w:val="center"/>
              <w:rPr>
                <w:color w:val="auto"/>
                <w:highlight w:val="none"/>
              </w:rPr>
            </w:pPr>
          </w:p>
        </w:tc>
      </w:tr>
    </w:tbl>
    <w:p>
      <w:pPr>
        <w:pStyle w:val="19"/>
        <w:snapToGrid w:val="0"/>
        <w:ind w:firstLine="480"/>
        <w:rPr>
          <w:color w:val="auto"/>
          <w:highlight w:val="none"/>
        </w:rPr>
      </w:pPr>
      <w:r>
        <w:rPr>
          <w:rFonts w:hint="eastAsia" w:ascii="宋体" w:hAnsi="宋体" w:cs="宋体"/>
          <w:color w:val="auto"/>
          <w:kern w:val="2"/>
          <w:sz w:val="24"/>
          <w:szCs w:val="24"/>
          <w:highlight w:val="none"/>
        </w:rPr>
        <w:t xml:space="preserve"> </w:t>
      </w:r>
    </w:p>
    <w:p>
      <w:pPr>
        <w:widowControl/>
        <w:spacing w:beforeAutospacing="1" w:afterAutospacing="1"/>
        <w:ind w:firstLine="480"/>
        <w:jc w:val="left"/>
        <w:rPr>
          <w:color w:val="auto"/>
          <w:highlight w:val="none"/>
        </w:rPr>
      </w:pPr>
      <w:r>
        <w:rPr>
          <w:rFonts w:hint="eastAsia" w:cs="宋体"/>
          <w:color w:val="auto"/>
          <w:sz w:val="24"/>
          <w:highlight w:val="none"/>
          <w:lang w:bidi="ar"/>
        </w:rPr>
        <w:t>投标人名称（盖章）：</w:t>
      </w:r>
    </w:p>
    <w:p>
      <w:pPr>
        <w:widowControl/>
        <w:spacing w:beforeAutospacing="1" w:afterAutospacing="1"/>
        <w:ind w:firstLine="480"/>
        <w:jc w:val="left"/>
        <w:rPr>
          <w:color w:val="auto"/>
          <w:highlight w:val="none"/>
        </w:rPr>
      </w:pPr>
      <w:r>
        <w:rPr>
          <w:rFonts w:hint="eastAsia" w:cs="宋体"/>
          <w:color w:val="auto"/>
          <w:sz w:val="24"/>
          <w:highlight w:val="none"/>
          <w:lang w:bidi="ar"/>
        </w:rPr>
        <w:t>法定代表人或授权代表（签字或盖章）：</w:t>
      </w:r>
    </w:p>
    <w:p>
      <w:pPr>
        <w:widowControl/>
        <w:spacing w:beforeAutospacing="1" w:afterAutospacing="1"/>
        <w:ind w:firstLine="480"/>
        <w:jc w:val="left"/>
        <w:rPr>
          <w:color w:val="auto"/>
          <w:highlight w:val="none"/>
        </w:rPr>
      </w:pPr>
      <w:r>
        <w:rPr>
          <w:rFonts w:hint="eastAsia" w:cs="宋体"/>
          <w:color w:val="auto"/>
          <w:sz w:val="24"/>
          <w:highlight w:val="none"/>
          <w:lang w:bidi="ar"/>
        </w:rPr>
        <w:t>日期：    年   月   日</w:t>
      </w:r>
    </w:p>
    <w:p>
      <w:pPr>
        <w:spacing w:beforeAutospacing="1" w:afterAutospacing="1"/>
        <w:ind w:firstLine="480"/>
        <w:rPr>
          <w:rFonts w:cs="宋体"/>
          <w:color w:val="auto"/>
          <w:sz w:val="24"/>
          <w:highlight w:val="none"/>
        </w:rPr>
        <w:sectPr>
          <w:pgSz w:w="12242" w:h="15842"/>
          <w:pgMar w:top="1418" w:right="1418" w:bottom="1418" w:left="1418" w:header="851" w:footer="992" w:gutter="0"/>
          <w:cols w:space="720" w:num="1"/>
          <w:docGrid w:linePitch="312" w:charSpace="0"/>
        </w:sectPr>
      </w:pPr>
    </w:p>
    <w:p>
      <w:pPr>
        <w:pStyle w:val="6"/>
        <w:ind w:firstLine="482"/>
        <w:rPr>
          <w:rFonts w:cs="宋体"/>
          <w:color w:val="auto"/>
          <w:highlight w:val="none"/>
        </w:rPr>
      </w:pPr>
      <w:r>
        <w:rPr>
          <w:rFonts w:hint="eastAsia" w:cs="宋体"/>
          <w:color w:val="auto"/>
          <w:highlight w:val="none"/>
        </w:rPr>
        <w:t>附件一 拟投入的主要施工设备表</w:t>
      </w:r>
      <w:bookmarkEnd w:id="1125"/>
    </w:p>
    <w:tbl>
      <w:tblPr>
        <w:tblStyle w:val="21"/>
        <w:tblW w:w="96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
        <w:gridCol w:w="925"/>
        <w:gridCol w:w="926"/>
        <w:gridCol w:w="926"/>
        <w:gridCol w:w="926"/>
        <w:gridCol w:w="928"/>
        <w:gridCol w:w="947"/>
        <w:gridCol w:w="928"/>
        <w:gridCol w:w="1285"/>
        <w:gridCol w:w="9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925"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序号</w:t>
            </w:r>
          </w:p>
        </w:tc>
        <w:tc>
          <w:tcPr>
            <w:tcW w:w="925"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设备</w:t>
            </w:r>
          </w:p>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名称</w:t>
            </w:r>
          </w:p>
        </w:tc>
        <w:tc>
          <w:tcPr>
            <w:tcW w:w="926"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型号</w:t>
            </w:r>
          </w:p>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规格</w:t>
            </w:r>
          </w:p>
        </w:tc>
        <w:tc>
          <w:tcPr>
            <w:tcW w:w="926"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数量</w:t>
            </w:r>
          </w:p>
        </w:tc>
        <w:tc>
          <w:tcPr>
            <w:tcW w:w="926"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国别</w:t>
            </w:r>
          </w:p>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产地</w:t>
            </w:r>
          </w:p>
        </w:tc>
        <w:tc>
          <w:tcPr>
            <w:tcW w:w="928"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制造</w:t>
            </w:r>
          </w:p>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年份</w:t>
            </w:r>
          </w:p>
        </w:tc>
        <w:tc>
          <w:tcPr>
            <w:tcW w:w="947"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额定功率（KW）</w:t>
            </w:r>
          </w:p>
        </w:tc>
        <w:tc>
          <w:tcPr>
            <w:tcW w:w="928"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生产</w:t>
            </w:r>
          </w:p>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能力</w:t>
            </w:r>
          </w:p>
        </w:tc>
        <w:tc>
          <w:tcPr>
            <w:tcW w:w="1285"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用于施工部位</w:t>
            </w:r>
          </w:p>
        </w:tc>
        <w:tc>
          <w:tcPr>
            <w:tcW w:w="928"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5"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5"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6"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6"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6"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8"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47"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8"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285"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8"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5"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5"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6"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6"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6"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8"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47"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8"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285"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8"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r>
    </w:tbl>
    <w:p>
      <w:pPr>
        <w:tabs>
          <w:tab w:val="left" w:pos="639"/>
          <w:tab w:val="left" w:pos="3663"/>
          <w:tab w:val="left" w:pos="4968"/>
          <w:tab w:val="left" w:pos="6559"/>
          <w:tab w:val="left" w:pos="8199"/>
        </w:tabs>
        <w:ind w:firstLine="420"/>
        <w:jc w:val="left"/>
        <w:rPr>
          <w:rFonts w:cs="宋体"/>
          <w:color w:val="auto"/>
          <w:szCs w:val="21"/>
          <w:highlight w:val="none"/>
        </w:rPr>
      </w:pPr>
    </w:p>
    <w:p>
      <w:pPr>
        <w:pStyle w:val="6"/>
        <w:ind w:firstLine="482"/>
        <w:rPr>
          <w:rFonts w:cs="宋体"/>
          <w:color w:val="auto"/>
          <w:highlight w:val="none"/>
        </w:rPr>
      </w:pPr>
      <w:bookmarkStart w:id="1126" w:name="_Toc179632818"/>
      <w:bookmarkStart w:id="1127" w:name="_Toc144974866"/>
      <w:bookmarkStart w:id="1128" w:name="_Toc246392156"/>
      <w:bookmarkStart w:id="1129" w:name="_Toc152045798"/>
      <w:bookmarkStart w:id="1130" w:name="_Toc152042587"/>
      <w:bookmarkStart w:id="1131" w:name="_Toc6703"/>
      <w:r>
        <w:rPr>
          <w:rFonts w:hint="eastAsia" w:cs="宋体"/>
          <w:color w:val="auto"/>
          <w:highlight w:val="none"/>
        </w:rPr>
        <w:t>附表二 拟配备的试验和检测仪器设备表</w:t>
      </w:r>
      <w:bookmarkEnd w:id="1126"/>
      <w:bookmarkEnd w:id="1127"/>
      <w:bookmarkEnd w:id="1128"/>
      <w:bookmarkEnd w:id="1129"/>
      <w:bookmarkEnd w:id="1130"/>
      <w:bookmarkEnd w:id="1131"/>
    </w:p>
    <w:tbl>
      <w:tblPr>
        <w:tblStyle w:val="21"/>
        <w:tblW w:w="95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1231"/>
        <w:gridCol w:w="1045"/>
        <w:gridCol w:w="1124"/>
        <w:gridCol w:w="1028"/>
        <w:gridCol w:w="1022"/>
        <w:gridCol w:w="1200"/>
        <w:gridCol w:w="1203"/>
        <w:gridCol w:w="7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891"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序号</w:t>
            </w:r>
          </w:p>
        </w:tc>
        <w:tc>
          <w:tcPr>
            <w:tcW w:w="1231"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仪器设备名称</w:t>
            </w:r>
          </w:p>
        </w:tc>
        <w:tc>
          <w:tcPr>
            <w:tcW w:w="1045"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型号</w:t>
            </w:r>
          </w:p>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规格</w:t>
            </w:r>
          </w:p>
        </w:tc>
        <w:tc>
          <w:tcPr>
            <w:tcW w:w="1124"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数量</w:t>
            </w:r>
          </w:p>
        </w:tc>
        <w:tc>
          <w:tcPr>
            <w:tcW w:w="1028"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国别</w:t>
            </w:r>
          </w:p>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产地</w:t>
            </w:r>
          </w:p>
        </w:tc>
        <w:tc>
          <w:tcPr>
            <w:tcW w:w="1022"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制造</w:t>
            </w:r>
          </w:p>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年份</w:t>
            </w:r>
          </w:p>
        </w:tc>
        <w:tc>
          <w:tcPr>
            <w:tcW w:w="1200"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已使用</w:t>
            </w:r>
          </w:p>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台时数</w:t>
            </w:r>
          </w:p>
        </w:tc>
        <w:tc>
          <w:tcPr>
            <w:tcW w:w="1203"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用途</w:t>
            </w:r>
          </w:p>
        </w:tc>
        <w:tc>
          <w:tcPr>
            <w:tcW w:w="771"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91"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231"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045"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124"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028"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022"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200"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203"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771"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91"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231"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045"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124"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028"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022"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200"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203"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771"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91"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231"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045"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124"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028"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022"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200"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203"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771"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91"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231"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045"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124"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028"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022"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200"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203"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771"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r>
    </w:tbl>
    <w:p>
      <w:pPr>
        <w:tabs>
          <w:tab w:val="left" w:pos="639"/>
          <w:tab w:val="left" w:pos="3663"/>
          <w:tab w:val="left" w:pos="4968"/>
          <w:tab w:val="left" w:pos="6559"/>
          <w:tab w:val="left" w:pos="8199"/>
        </w:tabs>
        <w:ind w:firstLine="420"/>
        <w:jc w:val="left"/>
        <w:rPr>
          <w:rFonts w:cs="宋体"/>
          <w:color w:val="auto"/>
          <w:szCs w:val="21"/>
          <w:highlight w:val="none"/>
        </w:rPr>
      </w:pPr>
    </w:p>
    <w:p>
      <w:pPr>
        <w:pStyle w:val="6"/>
        <w:ind w:firstLine="482"/>
        <w:rPr>
          <w:rFonts w:cs="宋体"/>
          <w:color w:val="auto"/>
          <w:highlight w:val="none"/>
        </w:rPr>
      </w:pPr>
      <w:bookmarkStart w:id="1132" w:name="_Toc13912"/>
      <w:r>
        <w:rPr>
          <w:rFonts w:hint="eastAsia" w:cs="宋体"/>
          <w:color w:val="auto"/>
          <w:highlight w:val="none"/>
        </w:rPr>
        <w:t>附表三 项目管理班子配备情况表</w:t>
      </w:r>
      <w:bookmarkEnd w:id="1132"/>
    </w:p>
    <w:tbl>
      <w:tblPr>
        <w:tblStyle w:val="21"/>
        <w:tblW w:w="95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747"/>
        <w:gridCol w:w="746"/>
        <w:gridCol w:w="920"/>
        <w:gridCol w:w="921"/>
        <w:gridCol w:w="920"/>
        <w:gridCol w:w="921"/>
        <w:gridCol w:w="1542"/>
        <w:gridCol w:w="921"/>
        <w:gridCol w:w="12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71" w:type="dxa"/>
            <w:vMerge w:val="restart"/>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职务</w:t>
            </w:r>
          </w:p>
        </w:tc>
        <w:tc>
          <w:tcPr>
            <w:tcW w:w="747" w:type="dxa"/>
            <w:vMerge w:val="restart"/>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姓名</w:t>
            </w:r>
          </w:p>
        </w:tc>
        <w:tc>
          <w:tcPr>
            <w:tcW w:w="746" w:type="dxa"/>
            <w:vMerge w:val="restart"/>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职称</w:t>
            </w:r>
          </w:p>
        </w:tc>
        <w:tc>
          <w:tcPr>
            <w:tcW w:w="5224" w:type="dxa"/>
            <w:gridSpan w:val="5"/>
            <w:vAlign w:val="center"/>
          </w:tcPr>
          <w:p>
            <w:pPr>
              <w:tabs>
                <w:tab w:val="left" w:pos="639"/>
                <w:tab w:val="left" w:pos="3663"/>
                <w:tab w:val="left" w:pos="4968"/>
                <w:tab w:val="left" w:pos="6559"/>
                <w:tab w:val="left" w:pos="8199"/>
              </w:tabs>
              <w:ind w:firstLine="0" w:firstLineChars="0"/>
              <w:jc w:val="center"/>
              <w:rPr>
                <w:rFonts w:cs="宋体"/>
                <w:color w:val="auto"/>
                <w:szCs w:val="21"/>
                <w:highlight w:val="none"/>
              </w:rPr>
            </w:pPr>
            <w:r>
              <w:rPr>
                <w:rFonts w:hint="eastAsia" w:cs="宋体"/>
                <w:color w:val="auto"/>
                <w:szCs w:val="21"/>
                <w:highlight w:val="none"/>
              </w:rPr>
              <w:t>上岗资格证明</w:t>
            </w:r>
          </w:p>
        </w:tc>
        <w:tc>
          <w:tcPr>
            <w:tcW w:w="2127" w:type="dxa"/>
            <w:gridSpan w:val="2"/>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已承担在建工程情况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71" w:type="dxa"/>
            <w:vMerge w:val="continue"/>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747" w:type="dxa"/>
            <w:vMerge w:val="continue"/>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746" w:type="dxa"/>
            <w:vMerge w:val="continue"/>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0"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证书</w:t>
            </w:r>
          </w:p>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名称</w:t>
            </w:r>
          </w:p>
        </w:tc>
        <w:tc>
          <w:tcPr>
            <w:tcW w:w="921"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级别</w:t>
            </w:r>
          </w:p>
        </w:tc>
        <w:tc>
          <w:tcPr>
            <w:tcW w:w="920"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证号</w:t>
            </w:r>
          </w:p>
        </w:tc>
        <w:tc>
          <w:tcPr>
            <w:tcW w:w="921"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专业</w:t>
            </w:r>
          </w:p>
        </w:tc>
        <w:tc>
          <w:tcPr>
            <w:tcW w:w="1542"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原服务单位</w:t>
            </w:r>
          </w:p>
        </w:tc>
        <w:tc>
          <w:tcPr>
            <w:tcW w:w="921"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项目数</w:t>
            </w:r>
          </w:p>
        </w:tc>
        <w:tc>
          <w:tcPr>
            <w:tcW w:w="1206"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主要项目名称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jc w:val="center"/>
        </w:trPr>
        <w:tc>
          <w:tcPr>
            <w:tcW w:w="671"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747"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746"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0"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1"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0"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1"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42"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1"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206"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jc w:val="center"/>
        </w:trPr>
        <w:tc>
          <w:tcPr>
            <w:tcW w:w="671"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747"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746"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0"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1"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0"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1"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42"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1"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206"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jc w:val="center"/>
        </w:trPr>
        <w:tc>
          <w:tcPr>
            <w:tcW w:w="671"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747"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746"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0"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1"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0"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1"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42"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1"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206"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jc w:val="center"/>
        </w:trPr>
        <w:tc>
          <w:tcPr>
            <w:tcW w:w="671"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747"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746"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0"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1"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0"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1"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42"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921"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206"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6" w:hRule="exact"/>
          <w:jc w:val="center"/>
        </w:trPr>
        <w:tc>
          <w:tcPr>
            <w:tcW w:w="9515" w:type="dxa"/>
            <w:gridSpan w:val="10"/>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本项目一旦我单位中标，将实行项目经理负责制，并配备上述项目管理班子。上述填报内容真实，若不真实，愿按有关规定接受处理。项目管理班子机构设置、职责分工等情况另附资料说明。</w:t>
            </w:r>
          </w:p>
        </w:tc>
      </w:tr>
    </w:tbl>
    <w:p>
      <w:pPr>
        <w:pStyle w:val="6"/>
        <w:ind w:firstLine="482"/>
        <w:rPr>
          <w:rFonts w:cs="宋体"/>
          <w:color w:val="auto"/>
          <w:highlight w:val="none"/>
        </w:rPr>
        <w:sectPr>
          <w:pgSz w:w="11906" w:h="16838"/>
          <w:pgMar w:top="1418" w:right="1418" w:bottom="1418" w:left="1418" w:header="851" w:footer="992" w:gutter="0"/>
          <w:cols w:space="720" w:num="1"/>
          <w:docGrid w:linePitch="312" w:charSpace="0"/>
        </w:sectPr>
      </w:pPr>
      <w:bookmarkStart w:id="1133" w:name="_Toc19283"/>
    </w:p>
    <w:p>
      <w:pPr>
        <w:pStyle w:val="6"/>
        <w:ind w:firstLine="482"/>
        <w:rPr>
          <w:rFonts w:cs="宋体"/>
          <w:color w:val="auto"/>
          <w:highlight w:val="none"/>
        </w:rPr>
      </w:pPr>
      <w:r>
        <w:rPr>
          <w:rFonts w:hint="eastAsia" w:cs="宋体"/>
          <w:color w:val="auto"/>
          <w:highlight w:val="none"/>
        </w:rPr>
        <w:t>附表四 项目经理简历表</w:t>
      </w:r>
      <w:bookmarkEnd w:id="1133"/>
    </w:p>
    <w:tbl>
      <w:tblPr>
        <w:tblStyle w:val="21"/>
        <w:tblW w:w="9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3"/>
        <w:gridCol w:w="1563"/>
        <w:gridCol w:w="1563"/>
        <w:gridCol w:w="1698"/>
        <w:gridCol w:w="1564"/>
        <w:gridCol w:w="15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3"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姓名</w:t>
            </w:r>
          </w:p>
        </w:tc>
        <w:tc>
          <w:tcPr>
            <w:tcW w:w="1563"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3"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性别</w:t>
            </w:r>
          </w:p>
        </w:tc>
        <w:tc>
          <w:tcPr>
            <w:tcW w:w="1698"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4"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年龄</w:t>
            </w:r>
          </w:p>
        </w:tc>
        <w:tc>
          <w:tcPr>
            <w:tcW w:w="1564"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3"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职务</w:t>
            </w:r>
          </w:p>
        </w:tc>
        <w:tc>
          <w:tcPr>
            <w:tcW w:w="1563"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3"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职称</w:t>
            </w:r>
          </w:p>
        </w:tc>
        <w:tc>
          <w:tcPr>
            <w:tcW w:w="1698"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4"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学历</w:t>
            </w:r>
          </w:p>
        </w:tc>
        <w:tc>
          <w:tcPr>
            <w:tcW w:w="1564"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6" w:type="dxa"/>
            <w:gridSpan w:val="2"/>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参加工作时间</w:t>
            </w:r>
          </w:p>
        </w:tc>
        <w:tc>
          <w:tcPr>
            <w:tcW w:w="1563"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3262" w:type="dxa"/>
            <w:gridSpan w:val="2"/>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从事项目经理年限</w:t>
            </w:r>
          </w:p>
        </w:tc>
        <w:tc>
          <w:tcPr>
            <w:tcW w:w="1564"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6" w:type="dxa"/>
            <w:gridSpan w:val="2"/>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项目经理资格证书编号</w:t>
            </w:r>
          </w:p>
        </w:tc>
        <w:tc>
          <w:tcPr>
            <w:tcW w:w="6389" w:type="dxa"/>
            <w:gridSpan w:val="4"/>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15" w:type="dxa"/>
            <w:gridSpan w:val="6"/>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在建和已完工程项目情况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3"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建设单位</w:t>
            </w:r>
          </w:p>
        </w:tc>
        <w:tc>
          <w:tcPr>
            <w:tcW w:w="1563"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项目名称</w:t>
            </w:r>
          </w:p>
        </w:tc>
        <w:tc>
          <w:tcPr>
            <w:tcW w:w="1563"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建设规模</w:t>
            </w:r>
          </w:p>
        </w:tc>
        <w:tc>
          <w:tcPr>
            <w:tcW w:w="1698"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开、竣工日期</w:t>
            </w:r>
          </w:p>
        </w:tc>
        <w:tc>
          <w:tcPr>
            <w:tcW w:w="1564"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在建或已完</w:t>
            </w:r>
          </w:p>
        </w:tc>
        <w:tc>
          <w:tcPr>
            <w:tcW w:w="1564"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工程质量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563"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3"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3"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698"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4"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4"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563"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3"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3"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698"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4"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4"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563"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3"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3"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698"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4"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4"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563"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3"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3"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698"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4"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4"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r>
    </w:tbl>
    <w:p>
      <w:pPr>
        <w:tabs>
          <w:tab w:val="left" w:pos="639"/>
          <w:tab w:val="left" w:pos="3663"/>
          <w:tab w:val="left" w:pos="4968"/>
          <w:tab w:val="left" w:pos="6559"/>
          <w:tab w:val="left" w:pos="8199"/>
        </w:tabs>
        <w:ind w:firstLine="420"/>
        <w:jc w:val="left"/>
        <w:rPr>
          <w:rFonts w:cs="宋体"/>
          <w:color w:val="auto"/>
          <w:szCs w:val="21"/>
          <w:highlight w:val="none"/>
        </w:rPr>
      </w:pPr>
      <w:r>
        <w:rPr>
          <w:rFonts w:hint="eastAsia" w:cs="宋体"/>
          <w:color w:val="auto"/>
          <w:szCs w:val="21"/>
          <w:highlight w:val="none"/>
        </w:rPr>
        <w:t>备注：后附项目经理注册证书、B证、职称证等</w:t>
      </w:r>
    </w:p>
    <w:p>
      <w:pPr>
        <w:tabs>
          <w:tab w:val="left" w:pos="639"/>
          <w:tab w:val="left" w:pos="3663"/>
          <w:tab w:val="left" w:pos="4968"/>
          <w:tab w:val="left" w:pos="6559"/>
          <w:tab w:val="left" w:pos="8199"/>
        </w:tabs>
        <w:ind w:firstLine="420"/>
        <w:jc w:val="left"/>
        <w:rPr>
          <w:rFonts w:cs="宋体"/>
          <w:color w:val="auto"/>
          <w:szCs w:val="21"/>
          <w:highlight w:val="none"/>
        </w:rPr>
      </w:pPr>
    </w:p>
    <w:p>
      <w:pPr>
        <w:pStyle w:val="6"/>
        <w:ind w:firstLine="482"/>
        <w:rPr>
          <w:rFonts w:cs="宋体"/>
          <w:color w:val="auto"/>
          <w:highlight w:val="none"/>
        </w:rPr>
      </w:pPr>
      <w:bookmarkStart w:id="1134" w:name="_Toc16943"/>
      <w:r>
        <w:rPr>
          <w:rFonts w:hint="eastAsia" w:cs="宋体"/>
          <w:color w:val="auto"/>
          <w:highlight w:val="none"/>
        </w:rPr>
        <w:t>附表五 技术负责人简历表</w:t>
      </w:r>
      <w:bookmarkEnd w:id="1134"/>
    </w:p>
    <w:tbl>
      <w:tblPr>
        <w:tblStyle w:val="21"/>
        <w:tblW w:w="9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3"/>
        <w:gridCol w:w="1563"/>
        <w:gridCol w:w="1563"/>
        <w:gridCol w:w="1698"/>
        <w:gridCol w:w="1564"/>
        <w:gridCol w:w="15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63"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姓名</w:t>
            </w:r>
          </w:p>
        </w:tc>
        <w:tc>
          <w:tcPr>
            <w:tcW w:w="1563"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3"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性别</w:t>
            </w:r>
          </w:p>
        </w:tc>
        <w:tc>
          <w:tcPr>
            <w:tcW w:w="1698"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4"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年龄</w:t>
            </w:r>
          </w:p>
        </w:tc>
        <w:tc>
          <w:tcPr>
            <w:tcW w:w="1564"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63"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职务</w:t>
            </w:r>
          </w:p>
        </w:tc>
        <w:tc>
          <w:tcPr>
            <w:tcW w:w="1563"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3"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职称</w:t>
            </w:r>
          </w:p>
        </w:tc>
        <w:tc>
          <w:tcPr>
            <w:tcW w:w="1698"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4"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学历</w:t>
            </w:r>
          </w:p>
        </w:tc>
        <w:tc>
          <w:tcPr>
            <w:tcW w:w="1564"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126" w:type="dxa"/>
            <w:gridSpan w:val="2"/>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参加工作时间</w:t>
            </w:r>
          </w:p>
        </w:tc>
        <w:tc>
          <w:tcPr>
            <w:tcW w:w="1563"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3262" w:type="dxa"/>
            <w:gridSpan w:val="2"/>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从事技术负责人年限</w:t>
            </w:r>
          </w:p>
        </w:tc>
        <w:tc>
          <w:tcPr>
            <w:tcW w:w="1564"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126" w:type="dxa"/>
            <w:gridSpan w:val="2"/>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资格证书名称及编号</w:t>
            </w:r>
          </w:p>
        </w:tc>
        <w:tc>
          <w:tcPr>
            <w:tcW w:w="6389" w:type="dxa"/>
            <w:gridSpan w:val="4"/>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15" w:type="dxa"/>
            <w:gridSpan w:val="6"/>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在建和已完工程项目情况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63"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建设单位</w:t>
            </w:r>
          </w:p>
        </w:tc>
        <w:tc>
          <w:tcPr>
            <w:tcW w:w="1563"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项目名称</w:t>
            </w:r>
          </w:p>
        </w:tc>
        <w:tc>
          <w:tcPr>
            <w:tcW w:w="1563"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建设规模</w:t>
            </w:r>
          </w:p>
        </w:tc>
        <w:tc>
          <w:tcPr>
            <w:tcW w:w="1698"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开、竣工日期</w:t>
            </w:r>
          </w:p>
        </w:tc>
        <w:tc>
          <w:tcPr>
            <w:tcW w:w="1564"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在建或已完</w:t>
            </w:r>
          </w:p>
        </w:tc>
        <w:tc>
          <w:tcPr>
            <w:tcW w:w="1564" w:type="dxa"/>
            <w:vAlign w:val="center"/>
          </w:tcPr>
          <w:p>
            <w:pPr>
              <w:tabs>
                <w:tab w:val="left" w:pos="639"/>
                <w:tab w:val="left" w:pos="3663"/>
                <w:tab w:val="left" w:pos="4968"/>
                <w:tab w:val="left" w:pos="6559"/>
                <w:tab w:val="left" w:pos="8199"/>
              </w:tabs>
              <w:ind w:firstLine="0" w:firstLineChars="0"/>
              <w:jc w:val="left"/>
              <w:rPr>
                <w:rFonts w:cs="宋体"/>
                <w:color w:val="auto"/>
                <w:szCs w:val="21"/>
                <w:highlight w:val="none"/>
              </w:rPr>
            </w:pPr>
            <w:r>
              <w:rPr>
                <w:rFonts w:hint="eastAsia" w:cs="宋体"/>
                <w:color w:val="auto"/>
                <w:szCs w:val="21"/>
                <w:highlight w:val="none"/>
              </w:rPr>
              <w:t>工程质量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563"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3"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3"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698"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4"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4"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563"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3"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3"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698"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4"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4"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563"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3"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3"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698"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4"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c>
          <w:tcPr>
            <w:tcW w:w="1564" w:type="dxa"/>
          </w:tcPr>
          <w:p>
            <w:pPr>
              <w:tabs>
                <w:tab w:val="left" w:pos="639"/>
                <w:tab w:val="left" w:pos="3663"/>
                <w:tab w:val="left" w:pos="4968"/>
                <w:tab w:val="left" w:pos="6559"/>
                <w:tab w:val="left" w:pos="8199"/>
              </w:tabs>
              <w:ind w:firstLine="0" w:firstLineChars="0"/>
              <w:jc w:val="left"/>
              <w:rPr>
                <w:rFonts w:cs="宋体"/>
                <w:color w:val="auto"/>
                <w:szCs w:val="21"/>
                <w:highlight w:val="none"/>
              </w:rPr>
            </w:pPr>
          </w:p>
        </w:tc>
      </w:tr>
    </w:tbl>
    <w:p>
      <w:pPr>
        <w:tabs>
          <w:tab w:val="left" w:pos="639"/>
          <w:tab w:val="left" w:pos="3663"/>
          <w:tab w:val="left" w:pos="4968"/>
          <w:tab w:val="left" w:pos="6559"/>
          <w:tab w:val="left" w:pos="8199"/>
        </w:tabs>
        <w:ind w:firstLine="420"/>
        <w:jc w:val="left"/>
        <w:rPr>
          <w:rFonts w:cs="宋体"/>
          <w:color w:val="auto"/>
          <w:szCs w:val="21"/>
          <w:highlight w:val="none"/>
        </w:rPr>
      </w:pPr>
    </w:p>
    <w:p>
      <w:pPr>
        <w:tabs>
          <w:tab w:val="left" w:pos="639"/>
          <w:tab w:val="left" w:pos="3663"/>
          <w:tab w:val="left" w:pos="4968"/>
          <w:tab w:val="left" w:pos="6559"/>
          <w:tab w:val="left" w:pos="8199"/>
        </w:tabs>
        <w:ind w:firstLine="420"/>
        <w:jc w:val="left"/>
        <w:rPr>
          <w:rFonts w:cs="宋体"/>
          <w:color w:val="auto"/>
          <w:szCs w:val="21"/>
          <w:highlight w:val="none"/>
        </w:rPr>
      </w:pPr>
    </w:p>
    <w:p>
      <w:pPr>
        <w:pStyle w:val="6"/>
        <w:ind w:firstLine="482"/>
        <w:rPr>
          <w:rFonts w:cs="宋体"/>
          <w:color w:val="auto"/>
          <w:highlight w:val="none"/>
        </w:rPr>
      </w:pPr>
      <w:bookmarkStart w:id="1135" w:name="_Toc152045799"/>
      <w:bookmarkStart w:id="1136" w:name="_Toc246392157"/>
      <w:bookmarkStart w:id="1137" w:name="_Toc9639"/>
      <w:bookmarkStart w:id="1138" w:name="_Toc179632819"/>
      <w:bookmarkStart w:id="1139" w:name="_Toc144974867"/>
      <w:bookmarkStart w:id="1140" w:name="_Toc152042588"/>
      <w:r>
        <w:rPr>
          <w:rFonts w:hint="eastAsia" w:cs="宋体"/>
          <w:color w:val="auto"/>
          <w:highlight w:val="none"/>
        </w:rPr>
        <w:t>附表六 劳动力计划表</w:t>
      </w:r>
      <w:bookmarkEnd w:id="1135"/>
      <w:bookmarkEnd w:id="1136"/>
      <w:bookmarkEnd w:id="1137"/>
      <w:bookmarkEnd w:id="1138"/>
      <w:bookmarkEnd w:id="1139"/>
      <w:bookmarkEnd w:id="1140"/>
    </w:p>
    <w:p>
      <w:pPr>
        <w:tabs>
          <w:tab w:val="left" w:pos="639"/>
          <w:tab w:val="left" w:pos="3663"/>
          <w:tab w:val="left" w:pos="4968"/>
          <w:tab w:val="left" w:pos="6559"/>
          <w:tab w:val="left" w:pos="8199"/>
        </w:tabs>
        <w:ind w:firstLine="420"/>
        <w:jc w:val="left"/>
        <w:rPr>
          <w:rFonts w:cs="宋体"/>
          <w:color w:val="auto"/>
          <w:szCs w:val="21"/>
          <w:highlight w:val="none"/>
        </w:rPr>
      </w:pPr>
      <w:r>
        <w:rPr>
          <w:rFonts w:hint="eastAsia" w:cs="宋体"/>
          <w:color w:val="auto"/>
          <w:szCs w:val="21"/>
          <w:highlight w:val="none"/>
        </w:rPr>
        <w:t>单位：人</w:t>
      </w:r>
    </w:p>
    <w:tbl>
      <w:tblPr>
        <w:tblStyle w:val="21"/>
        <w:tblW w:w="9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949"/>
        <w:gridCol w:w="1234"/>
        <w:gridCol w:w="1234"/>
        <w:gridCol w:w="953"/>
        <w:gridCol w:w="1234"/>
        <w:gridCol w:w="1234"/>
        <w:gridCol w:w="12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9" w:type="dxa"/>
            <w:vAlign w:val="center"/>
          </w:tcPr>
          <w:p>
            <w:pPr>
              <w:tabs>
                <w:tab w:val="left" w:pos="639"/>
                <w:tab w:val="left" w:pos="3663"/>
                <w:tab w:val="left" w:pos="4968"/>
                <w:tab w:val="left" w:pos="6559"/>
                <w:tab w:val="left" w:pos="8199"/>
              </w:tabs>
              <w:ind w:firstLine="420"/>
              <w:jc w:val="left"/>
              <w:rPr>
                <w:rFonts w:cs="宋体"/>
                <w:color w:val="auto"/>
                <w:szCs w:val="21"/>
                <w:highlight w:val="none"/>
              </w:rPr>
            </w:pPr>
            <w:r>
              <w:rPr>
                <w:rFonts w:hint="eastAsia" w:cs="宋体"/>
                <w:color w:val="auto"/>
                <w:szCs w:val="21"/>
                <w:highlight w:val="none"/>
              </w:rPr>
              <w:t>工种</w:t>
            </w:r>
          </w:p>
        </w:tc>
        <w:tc>
          <w:tcPr>
            <w:tcW w:w="8061" w:type="dxa"/>
            <w:gridSpan w:val="7"/>
            <w:vAlign w:val="center"/>
          </w:tcPr>
          <w:p>
            <w:pPr>
              <w:tabs>
                <w:tab w:val="left" w:pos="639"/>
                <w:tab w:val="left" w:pos="3663"/>
                <w:tab w:val="left" w:pos="4968"/>
                <w:tab w:val="left" w:pos="6559"/>
                <w:tab w:val="left" w:pos="8199"/>
              </w:tabs>
              <w:ind w:firstLine="420"/>
              <w:jc w:val="left"/>
              <w:rPr>
                <w:rFonts w:cs="宋体"/>
                <w:color w:val="auto"/>
                <w:szCs w:val="21"/>
                <w:highlight w:val="none"/>
              </w:rPr>
            </w:pPr>
            <w:r>
              <w:rPr>
                <w:rFonts w:hint="eastAsia" w:cs="宋体"/>
                <w:color w:val="auto"/>
                <w:szCs w:val="21"/>
                <w:highlight w:val="none"/>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9" w:type="dxa"/>
            <w:vAlign w:val="center"/>
          </w:tcPr>
          <w:p>
            <w:pPr>
              <w:tabs>
                <w:tab w:val="left" w:pos="639"/>
                <w:tab w:val="left" w:pos="3663"/>
                <w:tab w:val="left" w:pos="4968"/>
                <w:tab w:val="left" w:pos="6559"/>
                <w:tab w:val="left" w:pos="8199"/>
              </w:tabs>
              <w:ind w:firstLine="420"/>
              <w:jc w:val="left"/>
              <w:rPr>
                <w:rFonts w:cs="宋体"/>
                <w:color w:val="auto"/>
                <w:szCs w:val="21"/>
                <w:highlight w:val="none"/>
              </w:rPr>
            </w:pPr>
          </w:p>
        </w:tc>
        <w:tc>
          <w:tcPr>
            <w:tcW w:w="949" w:type="dxa"/>
            <w:vAlign w:val="center"/>
          </w:tcPr>
          <w:p>
            <w:pPr>
              <w:tabs>
                <w:tab w:val="left" w:pos="639"/>
                <w:tab w:val="left" w:pos="3663"/>
                <w:tab w:val="left" w:pos="4968"/>
                <w:tab w:val="left" w:pos="6559"/>
                <w:tab w:val="left" w:pos="8199"/>
              </w:tabs>
              <w:ind w:firstLine="420"/>
              <w:jc w:val="left"/>
              <w:rPr>
                <w:rFonts w:cs="宋体"/>
                <w:color w:val="auto"/>
                <w:szCs w:val="21"/>
                <w:highlight w:val="none"/>
              </w:rPr>
            </w:pPr>
          </w:p>
        </w:tc>
        <w:tc>
          <w:tcPr>
            <w:tcW w:w="1234" w:type="dxa"/>
            <w:vAlign w:val="center"/>
          </w:tcPr>
          <w:p>
            <w:pPr>
              <w:tabs>
                <w:tab w:val="left" w:pos="639"/>
                <w:tab w:val="left" w:pos="3663"/>
                <w:tab w:val="left" w:pos="4968"/>
                <w:tab w:val="left" w:pos="6559"/>
                <w:tab w:val="left" w:pos="8199"/>
              </w:tabs>
              <w:ind w:firstLine="420"/>
              <w:jc w:val="left"/>
              <w:rPr>
                <w:rFonts w:cs="宋体"/>
                <w:color w:val="auto"/>
                <w:szCs w:val="21"/>
                <w:highlight w:val="none"/>
              </w:rPr>
            </w:pPr>
          </w:p>
        </w:tc>
        <w:tc>
          <w:tcPr>
            <w:tcW w:w="1234" w:type="dxa"/>
            <w:vAlign w:val="center"/>
          </w:tcPr>
          <w:p>
            <w:pPr>
              <w:tabs>
                <w:tab w:val="left" w:pos="639"/>
                <w:tab w:val="left" w:pos="3663"/>
                <w:tab w:val="left" w:pos="4968"/>
                <w:tab w:val="left" w:pos="6559"/>
                <w:tab w:val="left" w:pos="8199"/>
              </w:tabs>
              <w:ind w:firstLine="420"/>
              <w:jc w:val="left"/>
              <w:rPr>
                <w:rFonts w:cs="宋体"/>
                <w:color w:val="auto"/>
                <w:szCs w:val="21"/>
                <w:highlight w:val="none"/>
              </w:rPr>
            </w:pPr>
          </w:p>
        </w:tc>
        <w:tc>
          <w:tcPr>
            <w:tcW w:w="953" w:type="dxa"/>
            <w:vAlign w:val="center"/>
          </w:tcPr>
          <w:p>
            <w:pPr>
              <w:tabs>
                <w:tab w:val="left" w:pos="639"/>
                <w:tab w:val="left" w:pos="3663"/>
                <w:tab w:val="left" w:pos="4968"/>
                <w:tab w:val="left" w:pos="6559"/>
                <w:tab w:val="left" w:pos="8199"/>
              </w:tabs>
              <w:ind w:firstLine="420"/>
              <w:jc w:val="left"/>
              <w:rPr>
                <w:rFonts w:cs="宋体"/>
                <w:color w:val="auto"/>
                <w:szCs w:val="21"/>
                <w:highlight w:val="none"/>
              </w:rPr>
            </w:pPr>
          </w:p>
        </w:tc>
        <w:tc>
          <w:tcPr>
            <w:tcW w:w="1234" w:type="dxa"/>
            <w:vAlign w:val="center"/>
          </w:tcPr>
          <w:p>
            <w:pPr>
              <w:tabs>
                <w:tab w:val="left" w:pos="639"/>
                <w:tab w:val="left" w:pos="3663"/>
                <w:tab w:val="left" w:pos="4968"/>
                <w:tab w:val="left" w:pos="6559"/>
                <w:tab w:val="left" w:pos="8199"/>
              </w:tabs>
              <w:ind w:firstLine="420"/>
              <w:jc w:val="left"/>
              <w:rPr>
                <w:rFonts w:cs="宋体"/>
                <w:color w:val="auto"/>
                <w:szCs w:val="21"/>
                <w:highlight w:val="none"/>
              </w:rPr>
            </w:pPr>
          </w:p>
        </w:tc>
        <w:tc>
          <w:tcPr>
            <w:tcW w:w="1234" w:type="dxa"/>
            <w:vAlign w:val="center"/>
          </w:tcPr>
          <w:p>
            <w:pPr>
              <w:tabs>
                <w:tab w:val="left" w:pos="639"/>
                <w:tab w:val="left" w:pos="3663"/>
                <w:tab w:val="left" w:pos="4968"/>
                <w:tab w:val="left" w:pos="6559"/>
                <w:tab w:val="left" w:pos="8199"/>
              </w:tabs>
              <w:ind w:firstLine="420"/>
              <w:jc w:val="left"/>
              <w:rPr>
                <w:rFonts w:cs="宋体"/>
                <w:color w:val="auto"/>
                <w:szCs w:val="21"/>
                <w:highlight w:val="none"/>
              </w:rPr>
            </w:pPr>
          </w:p>
        </w:tc>
        <w:tc>
          <w:tcPr>
            <w:tcW w:w="1223" w:type="dxa"/>
            <w:vAlign w:val="center"/>
          </w:tcPr>
          <w:p>
            <w:pPr>
              <w:tabs>
                <w:tab w:val="left" w:pos="639"/>
                <w:tab w:val="left" w:pos="3663"/>
                <w:tab w:val="left" w:pos="4968"/>
                <w:tab w:val="left" w:pos="6559"/>
                <w:tab w:val="left" w:pos="8199"/>
              </w:tabs>
              <w:ind w:firstLine="42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9" w:type="dxa"/>
            <w:vAlign w:val="center"/>
          </w:tcPr>
          <w:p>
            <w:pPr>
              <w:tabs>
                <w:tab w:val="left" w:pos="639"/>
                <w:tab w:val="left" w:pos="3663"/>
                <w:tab w:val="left" w:pos="4968"/>
                <w:tab w:val="left" w:pos="6559"/>
                <w:tab w:val="left" w:pos="8199"/>
              </w:tabs>
              <w:ind w:firstLine="420"/>
              <w:jc w:val="left"/>
              <w:rPr>
                <w:rFonts w:cs="宋体"/>
                <w:color w:val="auto"/>
                <w:szCs w:val="21"/>
                <w:highlight w:val="none"/>
              </w:rPr>
            </w:pPr>
          </w:p>
        </w:tc>
        <w:tc>
          <w:tcPr>
            <w:tcW w:w="949" w:type="dxa"/>
            <w:vAlign w:val="center"/>
          </w:tcPr>
          <w:p>
            <w:pPr>
              <w:tabs>
                <w:tab w:val="left" w:pos="639"/>
                <w:tab w:val="left" w:pos="3663"/>
                <w:tab w:val="left" w:pos="4968"/>
                <w:tab w:val="left" w:pos="6559"/>
                <w:tab w:val="left" w:pos="8199"/>
              </w:tabs>
              <w:ind w:firstLine="420"/>
              <w:jc w:val="left"/>
              <w:rPr>
                <w:rFonts w:cs="宋体"/>
                <w:color w:val="auto"/>
                <w:szCs w:val="21"/>
                <w:highlight w:val="none"/>
              </w:rPr>
            </w:pPr>
          </w:p>
        </w:tc>
        <w:tc>
          <w:tcPr>
            <w:tcW w:w="1234" w:type="dxa"/>
            <w:vAlign w:val="center"/>
          </w:tcPr>
          <w:p>
            <w:pPr>
              <w:tabs>
                <w:tab w:val="left" w:pos="639"/>
                <w:tab w:val="left" w:pos="3663"/>
                <w:tab w:val="left" w:pos="4968"/>
                <w:tab w:val="left" w:pos="6559"/>
                <w:tab w:val="left" w:pos="8199"/>
              </w:tabs>
              <w:ind w:firstLine="420"/>
              <w:jc w:val="left"/>
              <w:rPr>
                <w:rFonts w:cs="宋体"/>
                <w:color w:val="auto"/>
                <w:szCs w:val="21"/>
                <w:highlight w:val="none"/>
              </w:rPr>
            </w:pPr>
          </w:p>
        </w:tc>
        <w:tc>
          <w:tcPr>
            <w:tcW w:w="1234" w:type="dxa"/>
            <w:vAlign w:val="center"/>
          </w:tcPr>
          <w:p>
            <w:pPr>
              <w:tabs>
                <w:tab w:val="left" w:pos="639"/>
                <w:tab w:val="left" w:pos="3663"/>
                <w:tab w:val="left" w:pos="4968"/>
                <w:tab w:val="left" w:pos="6559"/>
                <w:tab w:val="left" w:pos="8199"/>
              </w:tabs>
              <w:ind w:firstLine="420"/>
              <w:jc w:val="left"/>
              <w:rPr>
                <w:rFonts w:cs="宋体"/>
                <w:color w:val="auto"/>
                <w:szCs w:val="21"/>
                <w:highlight w:val="none"/>
              </w:rPr>
            </w:pPr>
          </w:p>
        </w:tc>
        <w:tc>
          <w:tcPr>
            <w:tcW w:w="953" w:type="dxa"/>
            <w:vAlign w:val="center"/>
          </w:tcPr>
          <w:p>
            <w:pPr>
              <w:tabs>
                <w:tab w:val="left" w:pos="639"/>
                <w:tab w:val="left" w:pos="3663"/>
                <w:tab w:val="left" w:pos="4968"/>
                <w:tab w:val="left" w:pos="6559"/>
                <w:tab w:val="left" w:pos="8199"/>
              </w:tabs>
              <w:ind w:firstLine="420"/>
              <w:jc w:val="left"/>
              <w:rPr>
                <w:rFonts w:cs="宋体"/>
                <w:color w:val="auto"/>
                <w:szCs w:val="21"/>
                <w:highlight w:val="none"/>
              </w:rPr>
            </w:pPr>
          </w:p>
        </w:tc>
        <w:tc>
          <w:tcPr>
            <w:tcW w:w="1234" w:type="dxa"/>
            <w:vAlign w:val="center"/>
          </w:tcPr>
          <w:p>
            <w:pPr>
              <w:tabs>
                <w:tab w:val="left" w:pos="639"/>
                <w:tab w:val="left" w:pos="3663"/>
                <w:tab w:val="left" w:pos="4968"/>
                <w:tab w:val="left" w:pos="6559"/>
                <w:tab w:val="left" w:pos="8199"/>
              </w:tabs>
              <w:ind w:firstLine="420"/>
              <w:jc w:val="left"/>
              <w:rPr>
                <w:rFonts w:cs="宋体"/>
                <w:color w:val="auto"/>
                <w:szCs w:val="21"/>
                <w:highlight w:val="none"/>
              </w:rPr>
            </w:pPr>
          </w:p>
        </w:tc>
        <w:tc>
          <w:tcPr>
            <w:tcW w:w="1234" w:type="dxa"/>
            <w:vAlign w:val="center"/>
          </w:tcPr>
          <w:p>
            <w:pPr>
              <w:tabs>
                <w:tab w:val="left" w:pos="639"/>
                <w:tab w:val="left" w:pos="3663"/>
                <w:tab w:val="left" w:pos="4968"/>
                <w:tab w:val="left" w:pos="6559"/>
                <w:tab w:val="left" w:pos="8199"/>
              </w:tabs>
              <w:ind w:firstLine="420"/>
              <w:jc w:val="left"/>
              <w:rPr>
                <w:rFonts w:cs="宋体"/>
                <w:color w:val="auto"/>
                <w:szCs w:val="21"/>
                <w:highlight w:val="none"/>
              </w:rPr>
            </w:pPr>
          </w:p>
        </w:tc>
        <w:tc>
          <w:tcPr>
            <w:tcW w:w="1223" w:type="dxa"/>
            <w:vAlign w:val="center"/>
          </w:tcPr>
          <w:p>
            <w:pPr>
              <w:tabs>
                <w:tab w:val="left" w:pos="639"/>
                <w:tab w:val="left" w:pos="3663"/>
                <w:tab w:val="left" w:pos="4968"/>
                <w:tab w:val="left" w:pos="6559"/>
                <w:tab w:val="left" w:pos="8199"/>
              </w:tabs>
              <w:ind w:firstLine="42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9" w:type="dxa"/>
          </w:tcPr>
          <w:p>
            <w:pPr>
              <w:tabs>
                <w:tab w:val="left" w:pos="639"/>
                <w:tab w:val="left" w:pos="3663"/>
                <w:tab w:val="left" w:pos="4968"/>
                <w:tab w:val="left" w:pos="6559"/>
                <w:tab w:val="left" w:pos="8199"/>
              </w:tabs>
              <w:ind w:firstLine="420"/>
              <w:jc w:val="left"/>
              <w:rPr>
                <w:rFonts w:cs="宋体"/>
                <w:color w:val="auto"/>
                <w:szCs w:val="21"/>
                <w:highlight w:val="none"/>
              </w:rPr>
            </w:pPr>
          </w:p>
        </w:tc>
        <w:tc>
          <w:tcPr>
            <w:tcW w:w="949" w:type="dxa"/>
          </w:tcPr>
          <w:p>
            <w:pPr>
              <w:tabs>
                <w:tab w:val="left" w:pos="639"/>
                <w:tab w:val="left" w:pos="3663"/>
                <w:tab w:val="left" w:pos="4968"/>
                <w:tab w:val="left" w:pos="6559"/>
                <w:tab w:val="left" w:pos="8199"/>
              </w:tabs>
              <w:ind w:firstLine="420"/>
              <w:jc w:val="left"/>
              <w:rPr>
                <w:rFonts w:cs="宋体"/>
                <w:color w:val="auto"/>
                <w:szCs w:val="21"/>
                <w:highlight w:val="none"/>
              </w:rPr>
            </w:pPr>
          </w:p>
        </w:tc>
        <w:tc>
          <w:tcPr>
            <w:tcW w:w="1234" w:type="dxa"/>
          </w:tcPr>
          <w:p>
            <w:pPr>
              <w:tabs>
                <w:tab w:val="left" w:pos="639"/>
                <w:tab w:val="left" w:pos="3663"/>
                <w:tab w:val="left" w:pos="4968"/>
                <w:tab w:val="left" w:pos="6559"/>
                <w:tab w:val="left" w:pos="8199"/>
              </w:tabs>
              <w:ind w:firstLine="420"/>
              <w:jc w:val="left"/>
              <w:rPr>
                <w:rFonts w:cs="宋体"/>
                <w:color w:val="auto"/>
                <w:szCs w:val="21"/>
                <w:highlight w:val="none"/>
              </w:rPr>
            </w:pPr>
          </w:p>
        </w:tc>
        <w:tc>
          <w:tcPr>
            <w:tcW w:w="1234" w:type="dxa"/>
          </w:tcPr>
          <w:p>
            <w:pPr>
              <w:tabs>
                <w:tab w:val="left" w:pos="639"/>
                <w:tab w:val="left" w:pos="3663"/>
                <w:tab w:val="left" w:pos="4968"/>
                <w:tab w:val="left" w:pos="6559"/>
                <w:tab w:val="left" w:pos="8199"/>
              </w:tabs>
              <w:ind w:firstLine="420"/>
              <w:jc w:val="left"/>
              <w:rPr>
                <w:rFonts w:cs="宋体"/>
                <w:color w:val="auto"/>
                <w:szCs w:val="21"/>
                <w:highlight w:val="none"/>
              </w:rPr>
            </w:pPr>
          </w:p>
        </w:tc>
        <w:tc>
          <w:tcPr>
            <w:tcW w:w="953" w:type="dxa"/>
          </w:tcPr>
          <w:p>
            <w:pPr>
              <w:tabs>
                <w:tab w:val="left" w:pos="639"/>
                <w:tab w:val="left" w:pos="3663"/>
                <w:tab w:val="left" w:pos="4968"/>
                <w:tab w:val="left" w:pos="6559"/>
                <w:tab w:val="left" w:pos="8199"/>
              </w:tabs>
              <w:ind w:firstLine="420"/>
              <w:jc w:val="left"/>
              <w:rPr>
                <w:rFonts w:cs="宋体"/>
                <w:color w:val="auto"/>
                <w:szCs w:val="21"/>
                <w:highlight w:val="none"/>
              </w:rPr>
            </w:pPr>
          </w:p>
        </w:tc>
        <w:tc>
          <w:tcPr>
            <w:tcW w:w="1234" w:type="dxa"/>
          </w:tcPr>
          <w:p>
            <w:pPr>
              <w:tabs>
                <w:tab w:val="left" w:pos="639"/>
                <w:tab w:val="left" w:pos="3663"/>
                <w:tab w:val="left" w:pos="4968"/>
                <w:tab w:val="left" w:pos="6559"/>
                <w:tab w:val="left" w:pos="8199"/>
              </w:tabs>
              <w:ind w:firstLine="420"/>
              <w:jc w:val="left"/>
              <w:rPr>
                <w:rFonts w:cs="宋体"/>
                <w:color w:val="auto"/>
                <w:szCs w:val="21"/>
                <w:highlight w:val="none"/>
              </w:rPr>
            </w:pPr>
          </w:p>
        </w:tc>
        <w:tc>
          <w:tcPr>
            <w:tcW w:w="1234" w:type="dxa"/>
          </w:tcPr>
          <w:p>
            <w:pPr>
              <w:tabs>
                <w:tab w:val="left" w:pos="639"/>
                <w:tab w:val="left" w:pos="3663"/>
                <w:tab w:val="left" w:pos="4968"/>
                <w:tab w:val="left" w:pos="6559"/>
                <w:tab w:val="left" w:pos="8199"/>
              </w:tabs>
              <w:ind w:firstLine="420"/>
              <w:jc w:val="left"/>
              <w:rPr>
                <w:rFonts w:cs="宋体"/>
                <w:color w:val="auto"/>
                <w:szCs w:val="21"/>
                <w:highlight w:val="none"/>
              </w:rPr>
            </w:pPr>
          </w:p>
        </w:tc>
        <w:tc>
          <w:tcPr>
            <w:tcW w:w="1223" w:type="dxa"/>
          </w:tcPr>
          <w:p>
            <w:pPr>
              <w:tabs>
                <w:tab w:val="left" w:pos="639"/>
                <w:tab w:val="left" w:pos="3663"/>
                <w:tab w:val="left" w:pos="4968"/>
                <w:tab w:val="left" w:pos="6559"/>
                <w:tab w:val="left" w:pos="8199"/>
              </w:tabs>
              <w:ind w:firstLine="42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9" w:type="dxa"/>
          </w:tcPr>
          <w:p>
            <w:pPr>
              <w:tabs>
                <w:tab w:val="left" w:pos="639"/>
                <w:tab w:val="left" w:pos="3663"/>
                <w:tab w:val="left" w:pos="4968"/>
                <w:tab w:val="left" w:pos="6559"/>
                <w:tab w:val="left" w:pos="8199"/>
              </w:tabs>
              <w:ind w:firstLine="420"/>
              <w:jc w:val="left"/>
              <w:rPr>
                <w:rFonts w:cs="宋体"/>
                <w:color w:val="auto"/>
                <w:szCs w:val="21"/>
                <w:highlight w:val="none"/>
              </w:rPr>
            </w:pPr>
          </w:p>
        </w:tc>
        <w:tc>
          <w:tcPr>
            <w:tcW w:w="949" w:type="dxa"/>
          </w:tcPr>
          <w:p>
            <w:pPr>
              <w:tabs>
                <w:tab w:val="left" w:pos="639"/>
                <w:tab w:val="left" w:pos="3663"/>
                <w:tab w:val="left" w:pos="4968"/>
                <w:tab w:val="left" w:pos="6559"/>
                <w:tab w:val="left" w:pos="8199"/>
              </w:tabs>
              <w:ind w:firstLine="420"/>
              <w:jc w:val="left"/>
              <w:rPr>
                <w:rFonts w:cs="宋体"/>
                <w:color w:val="auto"/>
                <w:szCs w:val="21"/>
                <w:highlight w:val="none"/>
              </w:rPr>
            </w:pPr>
          </w:p>
        </w:tc>
        <w:tc>
          <w:tcPr>
            <w:tcW w:w="1234" w:type="dxa"/>
          </w:tcPr>
          <w:p>
            <w:pPr>
              <w:tabs>
                <w:tab w:val="left" w:pos="639"/>
                <w:tab w:val="left" w:pos="3663"/>
                <w:tab w:val="left" w:pos="4968"/>
                <w:tab w:val="left" w:pos="6559"/>
                <w:tab w:val="left" w:pos="8199"/>
              </w:tabs>
              <w:ind w:firstLine="420"/>
              <w:jc w:val="left"/>
              <w:rPr>
                <w:rFonts w:cs="宋体"/>
                <w:color w:val="auto"/>
                <w:szCs w:val="21"/>
                <w:highlight w:val="none"/>
              </w:rPr>
            </w:pPr>
          </w:p>
        </w:tc>
        <w:tc>
          <w:tcPr>
            <w:tcW w:w="1234" w:type="dxa"/>
          </w:tcPr>
          <w:p>
            <w:pPr>
              <w:tabs>
                <w:tab w:val="left" w:pos="639"/>
                <w:tab w:val="left" w:pos="3663"/>
                <w:tab w:val="left" w:pos="4968"/>
                <w:tab w:val="left" w:pos="6559"/>
                <w:tab w:val="left" w:pos="8199"/>
              </w:tabs>
              <w:ind w:firstLine="420"/>
              <w:jc w:val="left"/>
              <w:rPr>
                <w:rFonts w:cs="宋体"/>
                <w:color w:val="auto"/>
                <w:szCs w:val="21"/>
                <w:highlight w:val="none"/>
              </w:rPr>
            </w:pPr>
          </w:p>
        </w:tc>
        <w:tc>
          <w:tcPr>
            <w:tcW w:w="953" w:type="dxa"/>
          </w:tcPr>
          <w:p>
            <w:pPr>
              <w:tabs>
                <w:tab w:val="left" w:pos="639"/>
                <w:tab w:val="left" w:pos="3663"/>
                <w:tab w:val="left" w:pos="4968"/>
                <w:tab w:val="left" w:pos="6559"/>
                <w:tab w:val="left" w:pos="8199"/>
              </w:tabs>
              <w:ind w:firstLine="420"/>
              <w:jc w:val="left"/>
              <w:rPr>
                <w:rFonts w:cs="宋体"/>
                <w:color w:val="auto"/>
                <w:szCs w:val="21"/>
                <w:highlight w:val="none"/>
              </w:rPr>
            </w:pPr>
          </w:p>
        </w:tc>
        <w:tc>
          <w:tcPr>
            <w:tcW w:w="1234" w:type="dxa"/>
          </w:tcPr>
          <w:p>
            <w:pPr>
              <w:tabs>
                <w:tab w:val="left" w:pos="639"/>
                <w:tab w:val="left" w:pos="3663"/>
                <w:tab w:val="left" w:pos="4968"/>
                <w:tab w:val="left" w:pos="6559"/>
                <w:tab w:val="left" w:pos="8199"/>
              </w:tabs>
              <w:ind w:firstLine="420"/>
              <w:jc w:val="left"/>
              <w:rPr>
                <w:rFonts w:cs="宋体"/>
                <w:color w:val="auto"/>
                <w:szCs w:val="21"/>
                <w:highlight w:val="none"/>
              </w:rPr>
            </w:pPr>
          </w:p>
        </w:tc>
        <w:tc>
          <w:tcPr>
            <w:tcW w:w="1234" w:type="dxa"/>
          </w:tcPr>
          <w:p>
            <w:pPr>
              <w:tabs>
                <w:tab w:val="left" w:pos="639"/>
                <w:tab w:val="left" w:pos="3663"/>
                <w:tab w:val="left" w:pos="4968"/>
                <w:tab w:val="left" w:pos="6559"/>
                <w:tab w:val="left" w:pos="8199"/>
              </w:tabs>
              <w:ind w:firstLine="420"/>
              <w:jc w:val="left"/>
              <w:rPr>
                <w:rFonts w:cs="宋体"/>
                <w:color w:val="auto"/>
                <w:szCs w:val="21"/>
                <w:highlight w:val="none"/>
              </w:rPr>
            </w:pPr>
          </w:p>
        </w:tc>
        <w:tc>
          <w:tcPr>
            <w:tcW w:w="1223" w:type="dxa"/>
          </w:tcPr>
          <w:p>
            <w:pPr>
              <w:tabs>
                <w:tab w:val="left" w:pos="639"/>
                <w:tab w:val="left" w:pos="3663"/>
                <w:tab w:val="left" w:pos="4968"/>
                <w:tab w:val="left" w:pos="6559"/>
                <w:tab w:val="left" w:pos="8199"/>
              </w:tabs>
              <w:ind w:firstLine="420"/>
              <w:jc w:val="left"/>
              <w:rPr>
                <w:rFonts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9" w:type="dxa"/>
          </w:tcPr>
          <w:p>
            <w:pPr>
              <w:tabs>
                <w:tab w:val="left" w:pos="639"/>
                <w:tab w:val="left" w:pos="3663"/>
                <w:tab w:val="left" w:pos="4968"/>
                <w:tab w:val="left" w:pos="6559"/>
                <w:tab w:val="left" w:pos="8199"/>
              </w:tabs>
              <w:ind w:firstLine="420"/>
              <w:jc w:val="left"/>
              <w:rPr>
                <w:rFonts w:cs="宋体"/>
                <w:color w:val="auto"/>
                <w:szCs w:val="21"/>
                <w:highlight w:val="none"/>
              </w:rPr>
            </w:pPr>
          </w:p>
        </w:tc>
        <w:tc>
          <w:tcPr>
            <w:tcW w:w="949" w:type="dxa"/>
          </w:tcPr>
          <w:p>
            <w:pPr>
              <w:tabs>
                <w:tab w:val="left" w:pos="639"/>
                <w:tab w:val="left" w:pos="3663"/>
                <w:tab w:val="left" w:pos="4968"/>
                <w:tab w:val="left" w:pos="6559"/>
                <w:tab w:val="left" w:pos="8199"/>
              </w:tabs>
              <w:ind w:firstLine="420"/>
              <w:jc w:val="left"/>
              <w:rPr>
                <w:rFonts w:cs="宋体"/>
                <w:color w:val="auto"/>
                <w:szCs w:val="21"/>
                <w:highlight w:val="none"/>
              </w:rPr>
            </w:pPr>
          </w:p>
        </w:tc>
        <w:tc>
          <w:tcPr>
            <w:tcW w:w="1234" w:type="dxa"/>
          </w:tcPr>
          <w:p>
            <w:pPr>
              <w:tabs>
                <w:tab w:val="left" w:pos="639"/>
                <w:tab w:val="left" w:pos="3663"/>
                <w:tab w:val="left" w:pos="4968"/>
                <w:tab w:val="left" w:pos="6559"/>
                <w:tab w:val="left" w:pos="8199"/>
              </w:tabs>
              <w:ind w:firstLine="420"/>
              <w:jc w:val="left"/>
              <w:rPr>
                <w:rFonts w:cs="宋体"/>
                <w:color w:val="auto"/>
                <w:szCs w:val="21"/>
                <w:highlight w:val="none"/>
              </w:rPr>
            </w:pPr>
          </w:p>
        </w:tc>
        <w:tc>
          <w:tcPr>
            <w:tcW w:w="1234" w:type="dxa"/>
          </w:tcPr>
          <w:p>
            <w:pPr>
              <w:tabs>
                <w:tab w:val="left" w:pos="639"/>
                <w:tab w:val="left" w:pos="3663"/>
                <w:tab w:val="left" w:pos="4968"/>
                <w:tab w:val="left" w:pos="6559"/>
                <w:tab w:val="left" w:pos="8199"/>
              </w:tabs>
              <w:ind w:firstLine="420"/>
              <w:jc w:val="left"/>
              <w:rPr>
                <w:rFonts w:cs="宋体"/>
                <w:color w:val="auto"/>
                <w:szCs w:val="21"/>
                <w:highlight w:val="none"/>
              </w:rPr>
            </w:pPr>
          </w:p>
        </w:tc>
        <w:tc>
          <w:tcPr>
            <w:tcW w:w="953" w:type="dxa"/>
          </w:tcPr>
          <w:p>
            <w:pPr>
              <w:tabs>
                <w:tab w:val="left" w:pos="639"/>
                <w:tab w:val="left" w:pos="3663"/>
                <w:tab w:val="left" w:pos="4968"/>
                <w:tab w:val="left" w:pos="6559"/>
                <w:tab w:val="left" w:pos="8199"/>
              </w:tabs>
              <w:ind w:firstLine="420"/>
              <w:jc w:val="left"/>
              <w:rPr>
                <w:rFonts w:cs="宋体"/>
                <w:color w:val="auto"/>
                <w:szCs w:val="21"/>
                <w:highlight w:val="none"/>
              </w:rPr>
            </w:pPr>
          </w:p>
        </w:tc>
        <w:tc>
          <w:tcPr>
            <w:tcW w:w="1234" w:type="dxa"/>
          </w:tcPr>
          <w:p>
            <w:pPr>
              <w:tabs>
                <w:tab w:val="left" w:pos="639"/>
                <w:tab w:val="left" w:pos="3663"/>
                <w:tab w:val="left" w:pos="4968"/>
                <w:tab w:val="left" w:pos="6559"/>
                <w:tab w:val="left" w:pos="8199"/>
              </w:tabs>
              <w:ind w:firstLine="420"/>
              <w:jc w:val="left"/>
              <w:rPr>
                <w:rFonts w:cs="宋体"/>
                <w:color w:val="auto"/>
                <w:szCs w:val="21"/>
                <w:highlight w:val="none"/>
              </w:rPr>
            </w:pPr>
          </w:p>
        </w:tc>
        <w:tc>
          <w:tcPr>
            <w:tcW w:w="1234" w:type="dxa"/>
          </w:tcPr>
          <w:p>
            <w:pPr>
              <w:tabs>
                <w:tab w:val="left" w:pos="639"/>
                <w:tab w:val="left" w:pos="3663"/>
                <w:tab w:val="left" w:pos="4968"/>
                <w:tab w:val="left" w:pos="6559"/>
                <w:tab w:val="left" w:pos="8199"/>
              </w:tabs>
              <w:ind w:firstLine="420"/>
              <w:jc w:val="left"/>
              <w:rPr>
                <w:rFonts w:cs="宋体"/>
                <w:color w:val="auto"/>
                <w:szCs w:val="21"/>
                <w:highlight w:val="none"/>
              </w:rPr>
            </w:pPr>
          </w:p>
        </w:tc>
        <w:tc>
          <w:tcPr>
            <w:tcW w:w="1223" w:type="dxa"/>
          </w:tcPr>
          <w:p>
            <w:pPr>
              <w:tabs>
                <w:tab w:val="left" w:pos="639"/>
                <w:tab w:val="left" w:pos="3663"/>
                <w:tab w:val="left" w:pos="4968"/>
                <w:tab w:val="left" w:pos="6559"/>
                <w:tab w:val="left" w:pos="8199"/>
              </w:tabs>
              <w:ind w:firstLine="420"/>
              <w:jc w:val="left"/>
              <w:rPr>
                <w:rFonts w:cs="宋体"/>
                <w:color w:val="auto"/>
                <w:szCs w:val="21"/>
                <w:highlight w:val="none"/>
              </w:rPr>
            </w:pPr>
          </w:p>
        </w:tc>
      </w:tr>
    </w:tbl>
    <w:p>
      <w:pPr>
        <w:tabs>
          <w:tab w:val="left" w:pos="639"/>
          <w:tab w:val="left" w:pos="3663"/>
          <w:tab w:val="left" w:pos="4968"/>
          <w:tab w:val="left" w:pos="6559"/>
          <w:tab w:val="left" w:pos="8199"/>
        </w:tabs>
        <w:ind w:firstLine="420"/>
        <w:jc w:val="left"/>
        <w:rPr>
          <w:rFonts w:cs="宋体"/>
          <w:color w:val="auto"/>
          <w:szCs w:val="21"/>
          <w:highlight w:val="none"/>
        </w:rPr>
      </w:pPr>
    </w:p>
    <w:p>
      <w:pPr>
        <w:pStyle w:val="2"/>
        <w:rPr>
          <w:rFonts w:ascii="宋体" w:hAnsi="宋体" w:eastAsia="宋体" w:cs="宋体"/>
          <w:color w:val="auto"/>
          <w:highlight w:val="none"/>
        </w:rPr>
      </w:pPr>
    </w:p>
    <w:p>
      <w:pPr>
        <w:pStyle w:val="6"/>
        <w:ind w:firstLine="482"/>
        <w:rPr>
          <w:rFonts w:cs="宋体"/>
          <w:color w:val="auto"/>
          <w:highlight w:val="none"/>
        </w:rPr>
      </w:pPr>
      <w:bookmarkStart w:id="1141" w:name="_Toc152042589"/>
      <w:bookmarkStart w:id="1142" w:name="_Toc246392158"/>
      <w:bookmarkStart w:id="1143" w:name="_Toc144974868"/>
      <w:bookmarkStart w:id="1144" w:name="_Toc179632820"/>
      <w:bookmarkStart w:id="1145" w:name="_Toc152045800"/>
      <w:bookmarkStart w:id="1146" w:name="_Toc9928"/>
      <w:r>
        <w:rPr>
          <w:rFonts w:hint="eastAsia" w:cs="宋体"/>
          <w:color w:val="auto"/>
          <w:highlight w:val="none"/>
        </w:rPr>
        <w:t>附表七 计划开、竣工日期和施工进度网络图</w:t>
      </w:r>
      <w:bookmarkEnd w:id="1141"/>
      <w:bookmarkEnd w:id="1142"/>
      <w:bookmarkEnd w:id="1143"/>
      <w:bookmarkEnd w:id="1144"/>
      <w:bookmarkEnd w:id="1145"/>
      <w:bookmarkEnd w:id="1146"/>
    </w:p>
    <w:p>
      <w:pPr>
        <w:ind w:firstLine="420"/>
        <w:rPr>
          <w:rFonts w:cs="宋体"/>
          <w:color w:val="auto"/>
          <w:highlight w:val="none"/>
        </w:rPr>
      </w:pPr>
      <w:r>
        <w:rPr>
          <w:rFonts w:hint="eastAsia" w:cs="宋体"/>
          <w:color w:val="auto"/>
          <w:highlight w:val="none"/>
        </w:rPr>
        <w:t>1. 投标人应递交施工进度网络图或施工进度表，说明按招标文件要求的计划工期进行施工的各个关键日期。</w:t>
      </w:r>
    </w:p>
    <w:p>
      <w:pPr>
        <w:ind w:firstLine="420"/>
        <w:rPr>
          <w:rFonts w:cs="宋体"/>
          <w:color w:val="auto"/>
          <w:szCs w:val="21"/>
          <w:highlight w:val="none"/>
        </w:rPr>
        <w:sectPr>
          <w:pgSz w:w="11906" w:h="16838"/>
          <w:pgMar w:top="1418" w:right="1418" w:bottom="1418" w:left="1418" w:header="851" w:footer="992" w:gutter="0"/>
          <w:cols w:space="720" w:num="1"/>
          <w:docGrid w:linePitch="312" w:charSpace="0"/>
        </w:sectPr>
      </w:pPr>
      <w:r>
        <w:rPr>
          <w:rFonts w:hint="eastAsia" w:cs="宋体"/>
          <w:color w:val="auto"/>
          <w:highlight w:val="none"/>
        </w:rPr>
        <w:t>2. 施工进度</w:t>
      </w:r>
      <w:r>
        <w:rPr>
          <w:rFonts w:hint="eastAsia" w:cs="宋体"/>
          <w:color w:val="auto"/>
          <w:szCs w:val="21"/>
          <w:highlight w:val="none"/>
        </w:rPr>
        <w:t>表可采用网络图（或横道图）表示。</w:t>
      </w:r>
    </w:p>
    <w:p>
      <w:pPr>
        <w:ind w:firstLine="0" w:firstLineChars="0"/>
        <w:rPr>
          <w:rFonts w:cs="宋体"/>
          <w:b/>
          <w:bCs/>
          <w:color w:val="auto"/>
          <w:sz w:val="32"/>
          <w:szCs w:val="32"/>
          <w:highlight w:val="none"/>
        </w:rPr>
      </w:pPr>
      <w:bookmarkStart w:id="1147" w:name="_Toc21948"/>
      <w:r>
        <w:rPr>
          <w:rFonts w:hint="eastAsia" w:cs="宋体"/>
          <w:b/>
          <w:bCs/>
          <w:color w:val="auto"/>
          <w:sz w:val="32"/>
          <w:szCs w:val="32"/>
          <w:highlight w:val="none"/>
        </w:rPr>
        <w:t>项目名称：</w:t>
      </w:r>
      <w:bookmarkEnd w:id="1147"/>
    </w:p>
    <w:p>
      <w:pPr>
        <w:ind w:firstLine="0" w:firstLineChars="0"/>
        <w:rPr>
          <w:rFonts w:cs="宋体"/>
          <w:b/>
          <w:bCs/>
          <w:color w:val="auto"/>
          <w:sz w:val="32"/>
          <w:szCs w:val="32"/>
          <w:highlight w:val="none"/>
        </w:rPr>
      </w:pPr>
      <w:bookmarkStart w:id="1148" w:name="_Toc21259"/>
      <w:r>
        <w:rPr>
          <w:rFonts w:hint="eastAsia" w:cs="宋体"/>
          <w:b/>
          <w:bCs/>
          <w:color w:val="auto"/>
          <w:sz w:val="32"/>
          <w:szCs w:val="32"/>
          <w:highlight w:val="none"/>
        </w:rPr>
        <w:t>招标编号</w:t>
      </w:r>
      <w:bookmarkEnd w:id="1148"/>
    </w:p>
    <w:p>
      <w:pPr>
        <w:pStyle w:val="13"/>
        <w:spacing w:line="264" w:lineRule="auto"/>
        <w:ind w:firstLine="0" w:firstLineChars="0"/>
        <w:jc w:val="center"/>
        <w:rPr>
          <w:rFonts w:ascii="宋体" w:hAnsi="宋体" w:cs="宋体"/>
          <w:b/>
          <w:color w:val="auto"/>
          <w:sz w:val="84"/>
          <w:highlight w:val="none"/>
        </w:rPr>
      </w:pPr>
    </w:p>
    <w:p>
      <w:pPr>
        <w:pStyle w:val="13"/>
        <w:spacing w:line="264" w:lineRule="auto"/>
        <w:ind w:firstLine="0" w:firstLineChars="0"/>
        <w:jc w:val="center"/>
        <w:rPr>
          <w:rFonts w:ascii="宋体" w:hAnsi="宋体" w:cs="宋体"/>
          <w:b/>
          <w:color w:val="auto"/>
          <w:sz w:val="84"/>
          <w:highlight w:val="none"/>
        </w:rPr>
      </w:pPr>
    </w:p>
    <w:p>
      <w:pPr>
        <w:pStyle w:val="13"/>
        <w:spacing w:line="264" w:lineRule="auto"/>
        <w:ind w:firstLine="0" w:firstLineChars="0"/>
        <w:jc w:val="center"/>
        <w:rPr>
          <w:rFonts w:ascii="宋体" w:hAnsi="宋体" w:cs="宋体"/>
          <w:color w:val="auto"/>
          <w:sz w:val="28"/>
          <w:highlight w:val="none"/>
        </w:rPr>
      </w:pPr>
      <w:r>
        <w:rPr>
          <w:rFonts w:hint="eastAsia" w:ascii="宋体" w:hAnsi="宋体" w:cs="宋体"/>
          <w:b/>
          <w:color w:val="auto"/>
          <w:sz w:val="84"/>
          <w:highlight w:val="none"/>
        </w:rPr>
        <w:t>投 标 文 件</w:t>
      </w:r>
    </w:p>
    <w:p>
      <w:pPr>
        <w:pStyle w:val="13"/>
        <w:spacing w:line="264" w:lineRule="auto"/>
        <w:ind w:firstLine="0" w:firstLineChars="0"/>
        <w:jc w:val="center"/>
        <w:rPr>
          <w:rFonts w:ascii="宋体" w:hAnsi="宋体" w:cs="宋体"/>
          <w:color w:val="auto"/>
          <w:sz w:val="72"/>
          <w:highlight w:val="none"/>
        </w:rPr>
      </w:pPr>
      <w:r>
        <w:rPr>
          <w:rFonts w:hint="eastAsia" w:ascii="宋体" w:hAnsi="宋体" w:cs="宋体"/>
          <w:color w:val="auto"/>
          <w:sz w:val="72"/>
          <w:highlight w:val="none"/>
        </w:rPr>
        <w:t>（</w:t>
      </w:r>
      <w:r>
        <w:rPr>
          <w:rFonts w:hint="eastAsia" w:ascii="宋体" w:hAnsi="宋体" w:cs="宋体"/>
          <w:color w:val="auto"/>
          <w:sz w:val="72"/>
          <w:highlight w:val="none"/>
          <w:u w:val="single"/>
        </w:rPr>
        <w:t>价格文件</w:t>
      </w:r>
      <w:r>
        <w:rPr>
          <w:rFonts w:hint="eastAsia" w:ascii="宋体" w:hAnsi="宋体" w:cs="宋体"/>
          <w:color w:val="auto"/>
          <w:sz w:val="72"/>
          <w:highlight w:val="none"/>
        </w:rPr>
        <w:t>）</w:t>
      </w:r>
    </w:p>
    <w:p>
      <w:pPr>
        <w:pStyle w:val="13"/>
        <w:spacing w:line="264" w:lineRule="auto"/>
        <w:ind w:firstLine="0" w:firstLineChars="0"/>
        <w:jc w:val="center"/>
        <w:rPr>
          <w:rFonts w:ascii="宋体" w:hAnsi="宋体" w:cs="宋体"/>
          <w:color w:val="auto"/>
          <w:sz w:val="72"/>
          <w:highlight w:val="none"/>
        </w:rPr>
      </w:pPr>
    </w:p>
    <w:p>
      <w:pPr>
        <w:pStyle w:val="13"/>
        <w:spacing w:line="264" w:lineRule="auto"/>
        <w:ind w:firstLine="0" w:firstLineChars="0"/>
        <w:jc w:val="center"/>
        <w:rPr>
          <w:rFonts w:ascii="宋体" w:hAnsi="宋体" w:cs="宋体"/>
          <w:color w:val="auto"/>
          <w:sz w:val="72"/>
          <w:highlight w:val="none"/>
        </w:rPr>
      </w:pPr>
    </w:p>
    <w:p>
      <w:pPr>
        <w:pStyle w:val="13"/>
        <w:spacing w:line="264" w:lineRule="auto"/>
        <w:ind w:firstLine="0" w:firstLineChars="0"/>
        <w:jc w:val="center"/>
        <w:rPr>
          <w:rFonts w:ascii="宋体" w:hAnsi="宋体" w:cs="宋体"/>
          <w:color w:val="auto"/>
          <w:sz w:val="72"/>
          <w:highlight w:val="none"/>
        </w:rPr>
      </w:pPr>
    </w:p>
    <w:p>
      <w:pPr>
        <w:pStyle w:val="13"/>
        <w:spacing w:before="240" w:after="240"/>
        <w:ind w:left="630" w:firstLine="600"/>
        <w:jc w:val="left"/>
        <w:rPr>
          <w:rFonts w:ascii="宋体" w:hAnsi="宋体" w:cs="宋体"/>
          <w:color w:val="auto"/>
          <w:sz w:val="30"/>
          <w:highlight w:val="none"/>
        </w:rPr>
      </w:pPr>
      <w:r>
        <w:rPr>
          <w:rFonts w:hint="eastAsia" w:ascii="宋体" w:hAnsi="宋体" w:cs="宋体"/>
          <w:color w:val="auto"/>
          <w:sz w:val="30"/>
          <w:highlight w:val="none"/>
        </w:rPr>
        <w:t>投   标   人:</w:t>
      </w:r>
      <w:r>
        <w:rPr>
          <w:rFonts w:hint="eastAsia" w:ascii="宋体" w:hAnsi="宋体" w:cs="宋体"/>
          <w:color w:val="auto"/>
          <w:sz w:val="30"/>
          <w:highlight w:val="none"/>
          <w:u w:val="single"/>
        </w:rPr>
        <w:t xml:space="preserve">          （盖投标人单位公章）           </w:t>
      </w:r>
    </w:p>
    <w:p>
      <w:pPr>
        <w:pStyle w:val="13"/>
        <w:spacing w:before="240" w:after="240"/>
        <w:ind w:left="630" w:firstLine="600"/>
        <w:rPr>
          <w:rFonts w:ascii="宋体" w:hAnsi="宋体" w:cs="宋体"/>
          <w:color w:val="auto"/>
          <w:sz w:val="30"/>
          <w:highlight w:val="none"/>
        </w:rPr>
      </w:pPr>
      <w:r>
        <w:rPr>
          <w:rFonts w:hint="eastAsia" w:ascii="宋体" w:hAnsi="宋体" w:cs="宋体"/>
          <w:color w:val="auto"/>
          <w:sz w:val="30"/>
          <w:highlight w:val="none"/>
        </w:rPr>
        <w:t>法定代表人或其委托代理人：</w:t>
      </w:r>
      <w:r>
        <w:rPr>
          <w:rFonts w:hint="eastAsia" w:ascii="宋体" w:hAnsi="宋体" w:cs="宋体"/>
          <w:color w:val="auto"/>
          <w:sz w:val="30"/>
          <w:highlight w:val="none"/>
          <w:u w:val="single"/>
        </w:rPr>
        <w:t xml:space="preserve">   （签字或盖章）</w:t>
      </w:r>
    </w:p>
    <w:p>
      <w:pPr>
        <w:pStyle w:val="13"/>
        <w:spacing w:before="240" w:after="240"/>
        <w:ind w:left="630" w:firstLine="600"/>
        <w:rPr>
          <w:rFonts w:ascii="宋体" w:hAnsi="宋体" w:cs="宋体"/>
          <w:color w:val="auto"/>
          <w:sz w:val="30"/>
          <w:highlight w:val="none"/>
        </w:rPr>
      </w:pPr>
      <w:r>
        <w:rPr>
          <w:rFonts w:hint="eastAsia" w:ascii="宋体" w:hAnsi="宋体" w:cs="宋体"/>
          <w:color w:val="auto"/>
          <w:sz w:val="30"/>
          <w:highlight w:val="none"/>
        </w:rPr>
        <w:t>日期：__________年_____月_____日</w:t>
      </w:r>
    </w:p>
    <w:p>
      <w:pPr>
        <w:pStyle w:val="2"/>
        <w:rPr>
          <w:rFonts w:ascii="宋体" w:hAnsi="宋体" w:eastAsia="宋体" w:cs="宋体"/>
          <w:color w:val="auto"/>
          <w:kern w:val="2"/>
          <w:sz w:val="21"/>
          <w:highlight w:val="none"/>
        </w:rPr>
      </w:pPr>
    </w:p>
    <w:p>
      <w:pPr>
        <w:pStyle w:val="2"/>
        <w:rPr>
          <w:rFonts w:ascii="宋体" w:hAnsi="宋体" w:eastAsia="宋体" w:cs="宋体"/>
          <w:color w:val="auto"/>
          <w:kern w:val="2"/>
          <w:sz w:val="21"/>
          <w:highlight w:val="none"/>
        </w:rPr>
      </w:pPr>
    </w:p>
    <w:p>
      <w:pPr>
        <w:adjustRightInd w:val="0"/>
        <w:snapToGrid w:val="0"/>
        <w:ind w:firstLine="420"/>
        <w:jc w:val="left"/>
        <w:rPr>
          <w:rFonts w:cs="宋体"/>
          <w:snapToGrid w:val="0"/>
          <w:color w:val="auto"/>
          <w:kern w:val="0"/>
          <w:szCs w:val="21"/>
          <w:highlight w:val="none"/>
        </w:rPr>
        <w:sectPr>
          <w:pgSz w:w="11906" w:h="16838"/>
          <w:pgMar w:top="1418" w:right="1418" w:bottom="1418" w:left="1418" w:header="851" w:footer="992" w:gutter="0"/>
          <w:cols w:space="720" w:num="1"/>
          <w:docGrid w:linePitch="312" w:charSpace="0"/>
        </w:sectPr>
      </w:pPr>
    </w:p>
    <w:p>
      <w:pPr>
        <w:pStyle w:val="5"/>
        <w:ind w:firstLine="482"/>
        <w:rPr>
          <w:rFonts w:ascii="宋体" w:hAnsi="宋体" w:cs="宋体"/>
          <w:color w:val="auto"/>
          <w:highlight w:val="none"/>
        </w:rPr>
      </w:pPr>
      <w:bookmarkStart w:id="1149" w:name="_Toc6409"/>
      <w:r>
        <w:rPr>
          <w:rFonts w:hint="eastAsia" w:ascii="宋体" w:hAnsi="宋体" w:cs="宋体"/>
          <w:color w:val="auto"/>
          <w:highlight w:val="none"/>
        </w:rPr>
        <w:t>报价文件目录</w:t>
      </w:r>
      <w:bookmarkEnd w:id="1149"/>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（1）投标函；</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（2）开标一览表；</w:t>
      </w:r>
    </w:p>
    <w:p>
      <w:pPr>
        <w:adjustRightInd w:val="0"/>
        <w:snapToGrid w:val="0"/>
        <w:ind w:firstLine="420"/>
        <w:jc w:val="left"/>
        <w:rPr>
          <w:rFonts w:cs="宋体"/>
          <w:b/>
          <w:bCs/>
          <w:snapToGrid w:val="0"/>
          <w:color w:val="auto"/>
          <w:kern w:val="0"/>
          <w:szCs w:val="21"/>
          <w:highlight w:val="none"/>
        </w:rPr>
      </w:pPr>
      <w:r>
        <w:rPr>
          <w:rFonts w:hint="eastAsia" w:cs="宋体"/>
          <w:snapToGrid w:val="0"/>
          <w:color w:val="auto"/>
          <w:kern w:val="0"/>
          <w:szCs w:val="21"/>
          <w:highlight w:val="none"/>
        </w:rPr>
        <w:t>（3）已标价工程量清单报价格式</w:t>
      </w:r>
      <w:r>
        <w:rPr>
          <w:rFonts w:hint="eastAsia" w:cs="宋体"/>
          <w:b/>
          <w:bCs/>
          <w:snapToGrid w:val="0"/>
          <w:color w:val="auto"/>
          <w:kern w:val="0"/>
          <w:szCs w:val="21"/>
          <w:highlight w:val="none"/>
        </w:rPr>
        <w:t>；</w:t>
      </w:r>
    </w:p>
    <w:p>
      <w:pPr>
        <w:adjustRightInd w:val="0"/>
        <w:snapToGrid w:val="0"/>
        <w:ind w:firstLine="420"/>
        <w:jc w:val="left"/>
        <w:rPr>
          <w:rFonts w:cs="宋体"/>
          <w:snapToGrid w:val="0"/>
          <w:color w:val="auto"/>
          <w:kern w:val="0"/>
          <w:szCs w:val="21"/>
          <w:highlight w:val="none"/>
        </w:rPr>
      </w:pPr>
      <w:r>
        <w:rPr>
          <w:rFonts w:hint="eastAsia" w:cs="宋体"/>
          <w:snapToGrid w:val="0"/>
          <w:color w:val="auto"/>
          <w:kern w:val="0"/>
          <w:szCs w:val="21"/>
          <w:highlight w:val="none"/>
        </w:rPr>
        <w:t>（4）投标方认为需要的其他文件资料。</w:t>
      </w:r>
    </w:p>
    <w:p>
      <w:pPr>
        <w:adjustRightInd w:val="0"/>
        <w:snapToGrid w:val="0"/>
        <w:ind w:firstLine="420"/>
        <w:jc w:val="left"/>
        <w:rPr>
          <w:rFonts w:cs="宋体"/>
          <w:snapToGrid w:val="0"/>
          <w:color w:val="auto"/>
          <w:kern w:val="0"/>
          <w:szCs w:val="21"/>
          <w:highlight w:val="none"/>
        </w:rPr>
        <w:sectPr>
          <w:pgSz w:w="11906" w:h="16838"/>
          <w:pgMar w:top="1418" w:right="1418" w:bottom="1418" w:left="1418" w:header="851" w:footer="992" w:gutter="0"/>
          <w:cols w:space="720" w:num="1"/>
          <w:docGrid w:linePitch="312" w:charSpace="0"/>
        </w:sectPr>
      </w:pPr>
    </w:p>
    <w:p>
      <w:pPr>
        <w:pStyle w:val="6"/>
        <w:ind w:firstLine="482"/>
        <w:rPr>
          <w:rFonts w:cs="宋体"/>
          <w:color w:val="auto"/>
          <w:highlight w:val="none"/>
        </w:rPr>
      </w:pPr>
      <w:r>
        <w:rPr>
          <w:rFonts w:hint="eastAsia" w:cs="宋体"/>
          <w:color w:val="auto"/>
          <w:highlight w:val="none"/>
        </w:rPr>
        <w:t>一、投标函</w:t>
      </w:r>
    </w:p>
    <w:p>
      <w:pPr>
        <w:ind w:firstLine="420"/>
        <w:rPr>
          <w:rFonts w:cs="宋体"/>
          <w:color w:val="auto"/>
          <w:highlight w:val="none"/>
        </w:rPr>
      </w:pPr>
      <w:r>
        <w:rPr>
          <w:rFonts w:hint="eastAsia" w:cs="宋体"/>
          <w:color w:val="auto"/>
          <w:highlight w:val="none"/>
        </w:rPr>
        <w:t>致：</w:t>
      </w:r>
      <w:r>
        <w:rPr>
          <w:rFonts w:hint="eastAsia" w:cs="宋体"/>
          <w:bCs/>
          <w:color w:val="auto"/>
          <w:spacing w:val="-6"/>
          <w:highlight w:val="none"/>
        </w:rPr>
        <w:t>、浙江五石工程咨询有限公司</w:t>
      </w:r>
      <w:r>
        <w:rPr>
          <w:rFonts w:hint="eastAsia" w:cs="宋体"/>
          <w:color w:val="auto"/>
          <w:spacing w:val="-6"/>
          <w:highlight w:val="none"/>
        </w:rPr>
        <w:t>：</w:t>
      </w:r>
    </w:p>
    <w:p>
      <w:pPr>
        <w:ind w:firstLine="420"/>
        <w:rPr>
          <w:rFonts w:cs="宋体"/>
          <w:color w:val="auto"/>
          <w:highlight w:val="none"/>
        </w:rPr>
      </w:pPr>
      <w:r>
        <w:rPr>
          <w:rFonts w:hint="eastAsia" w:cs="宋体"/>
          <w:color w:val="auto"/>
          <w:highlight w:val="none"/>
        </w:rPr>
        <w:t>（投标方全称）授权 （全权代表姓名）（职务、职称）为全权代表，参加贵方组织的（招标编号、招标项目名称）招标的有关活动，并对（标段号）进行投标。据此函，全权代表宣布同意如下：</w:t>
      </w:r>
    </w:p>
    <w:p>
      <w:pPr>
        <w:ind w:firstLine="420"/>
        <w:rPr>
          <w:rFonts w:cs="宋体"/>
          <w:color w:val="auto"/>
          <w:highlight w:val="none"/>
        </w:rPr>
      </w:pPr>
      <w:r>
        <w:rPr>
          <w:rFonts w:hint="eastAsia" w:cs="宋体"/>
          <w:color w:val="auto"/>
          <w:highlight w:val="none"/>
        </w:rPr>
        <w:t>1、提供投标须知规定的全部投标文件：</w:t>
      </w:r>
    </w:p>
    <w:p>
      <w:pPr>
        <w:tabs>
          <w:tab w:val="left" w:pos="945"/>
          <w:tab w:val="left" w:pos="1260"/>
        </w:tabs>
        <w:ind w:firstLine="420"/>
        <w:rPr>
          <w:rFonts w:cs="宋体"/>
          <w:color w:val="auto"/>
          <w:highlight w:val="none"/>
        </w:rPr>
      </w:pPr>
      <w:r>
        <w:rPr>
          <w:rFonts w:hint="eastAsia" w:cs="宋体"/>
          <w:color w:val="auto"/>
          <w:szCs w:val="32"/>
          <w:highlight w:val="none"/>
        </w:rPr>
        <w:t>a、资格证明文件</w:t>
      </w:r>
      <w:r>
        <w:rPr>
          <w:rFonts w:hint="eastAsia" w:cs="宋体"/>
          <w:color w:val="auto"/>
          <w:highlight w:val="none"/>
        </w:rPr>
        <w:t>正本</w:t>
      </w:r>
      <w:r>
        <w:rPr>
          <w:rFonts w:hint="eastAsia" w:cs="宋体"/>
          <w:color w:val="auto"/>
          <w:highlight w:val="none"/>
          <w:u w:val="single"/>
        </w:rPr>
        <w:t xml:space="preserve">  份</w:t>
      </w:r>
      <w:r>
        <w:rPr>
          <w:rFonts w:hint="eastAsia" w:cs="宋体"/>
          <w:color w:val="auto"/>
          <w:highlight w:val="none"/>
        </w:rPr>
        <w:t>，副本</w:t>
      </w:r>
      <w:r>
        <w:rPr>
          <w:rFonts w:hint="eastAsia" w:cs="宋体"/>
          <w:color w:val="auto"/>
          <w:highlight w:val="none"/>
          <w:u w:val="single"/>
        </w:rPr>
        <w:t xml:space="preserve">  份</w:t>
      </w:r>
      <w:r>
        <w:rPr>
          <w:rFonts w:hint="eastAsia" w:cs="宋体"/>
          <w:color w:val="auto"/>
          <w:highlight w:val="none"/>
        </w:rPr>
        <w:t>；</w:t>
      </w:r>
    </w:p>
    <w:p>
      <w:pPr>
        <w:tabs>
          <w:tab w:val="left" w:pos="945"/>
          <w:tab w:val="left" w:pos="1260"/>
        </w:tabs>
        <w:ind w:firstLine="420"/>
        <w:rPr>
          <w:rFonts w:cs="宋体"/>
          <w:color w:val="auto"/>
          <w:highlight w:val="none"/>
        </w:rPr>
      </w:pPr>
      <w:r>
        <w:rPr>
          <w:rFonts w:hint="eastAsia" w:cs="宋体"/>
          <w:color w:val="auto"/>
          <w:highlight w:val="none"/>
        </w:rPr>
        <w:t>b、商务资信及技术文件正本</w:t>
      </w:r>
      <w:r>
        <w:rPr>
          <w:rFonts w:hint="eastAsia" w:cs="宋体"/>
          <w:color w:val="auto"/>
          <w:highlight w:val="none"/>
          <w:u w:val="single"/>
        </w:rPr>
        <w:t xml:space="preserve">  份</w:t>
      </w:r>
      <w:r>
        <w:rPr>
          <w:rFonts w:hint="eastAsia" w:cs="宋体"/>
          <w:color w:val="auto"/>
          <w:highlight w:val="none"/>
        </w:rPr>
        <w:t>，副本</w:t>
      </w:r>
      <w:r>
        <w:rPr>
          <w:rFonts w:hint="eastAsia" w:cs="宋体"/>
          <w:color w:val="auto"/>
          <w:highlight w:val="none"/>
          <w:u w:val="single"/>
        </w:rPr>
        <w:t xml:space="preserve">  份</w:t>
      </w:r>
      <w:r>
        <w:rPr>
          <w:rFonts w:hint="eastAsia" w:cs="宋体"/>
          <w:color w:val="auto"/>
          <w:highlight w:val="none"/>
        </w:rPr>
        <w:t>，电子文本</w:t>
      </w:r>
      <w:r>
        <w:rPr>
          <w:rFonts w:hint="eastAsia" w:cs="宋体"/>
          <w:color w:val="auto"/>
          <w:highlight w:val="none"/>
          <w:u w:val="single"/>
        </w:rPr>
        <w:t xml:space="preserve">  份</w:t>
      </w:r>
      <w:r>
        <w:rPr>
          <w:rFonts w:hint="eastAsia" w:cs="宋体"/>
          <w:color w:val="auto"/>
          <w:highlight w:val="none"/>
        </w:rPr>
        <w:t>；</w:t>
      </w:r>
    </w:p>
    <w:p>
      <w:pPr>
        <w:tabs>
          <w:tab w:val="left" w:pos="945"/>
          <w:tab w:val="left" w:pos="1260"/>
        </w:tabs>
        <w:ind w:firstLine="420"/>
        <w:rPr>
          <w:rFonts w:cs="宋体"/>
          <w:color w:val="auto"/>
          <w:highlight w:val="none"/>
        </w:rPr>
      </w:pPr>
      <w:r>
        <w:rPr>
          <w:rFonts w:hint="eastAsia" w:cs="宋体"/>
          <w:color w:val="auto"/>
          <w:highlight w:val="none"/>
        </w:rPr>
        <w:t>C、报价文件正本</w:t>
      </w:r>
      <w:r>
        <w:rPr>
          <w:rFonts w:hint="eastAsia" w:cs="宋体"/>
          <w:color w:val="auto"/>
          <w:highlight w:val="none"/>
          <w:u w:val="single"/>
        </w:rPr>
        <w:t xml:space="preserve">  份</w:t>
      </w:r>
      <w:r>
        <w:rPr>
          <w:rFonts w:hint="eastAsia" w:cs="宋体"/>
          <w:color w:val="auto"/>
          <w:highlight w:val="none"/>
        </w:rPr>
        <w:t>，副本</w:t>
      </w:r>
      <w:r>
        <w:rPr>
          <w:rFonts w:hint="eastAsia" w:cs="宋体"/>
          <w:color w:val="auto"/>
          <w:highlight w:val="none"/>
          <w:u w:val="single"/>
        </w:rPr>
        <w:t xml:space="preserve">  份</w:t>
      </w:r>
      <w:r>
        <w:rPr>
          <w:rFonts w:hint="eastAsia" w:cs="宋体"/>
          <w:color w:val="auto"/>
          <w:highlight w:val="none"/>
        </w:rPr>
        <w:t>；</w:t>
      </w:r>
    </w:p>
    <w:p>
      <w:pPr>
        <w:ind w:firstLine="420"/>
        <w:rPr>
          <w:rFonts w:cs="宋体"/>
          <w:color w:val="auto"/>
          <w:highlight w:val="none"/>
        </w:rPr>
      </w:pPr>
      <w:r>
        <w:rPr>
          <w:rFonts w:hint="eastAsia" w:cs="宋体"/>
          <w:color w:val="auto"/>
          <w:highlight w:val="none"/>
        </w:rPr>
        <w:t>2、投标项目的总投标价为：人民币（大写）：</w:t>
      </w:r>
      <w:r>
        <w:rPr>
          <w:rFonts w:hint="eastAsia" w:cs="宋体"/>
          <w:color w:val="auto"/>
          <w:highlight w:val="none"/>
          <w:u w:val="single"/>
        </w:rPr>
        <w:t xml:space="preserve">      元</w:t>
      </w:r>
      <w:r>
        <w:rPr>
          <w:rFonts w:hint="eastAsia" w:cs="宋体"/>
          <w:color w:val="auto"/>
          <w:highlight w:val="none"/>
        </w:rPr>
        <w:t>。</w:t>
      </w:r>
    </w:p>
    <w:p>
      <w:pPr>
        <w:ind w:firstLine="420"/>
        <w:rPr>
          <w:rFonts w:cs="宋体"/>
          <w:color w:val="auto"/>
          <w:highlight w:val="none"/>
        </w:rPr>
      </w:pPr>
      <w:r>
        <w:rPr>
          <w:rFonts w:hint="eastAsia" w:cs="宋体"/>
          <w:color w:val="auto"/>
          <w:highlight w:val="none"/>
        </w:rPr>
        <w:t>3、投标方已详细审查全部招标文件，包括修改文件（如需要修改）以及全部参考资料和有关附件。我们完全理解并同意放弃对这方面有不明及误解的权利。</w:t>
      </w:r>
    </w:p>
    <w:p>
      <w:pPr>
        <w:ind w:firstLine="420"/>
        <w:rPr>
          <w:rFonts w:cs="宋体"/>
          <w:color w:val="auto"/>
          <w:highlight w:val="none"/>
        </w:rPr>
      </w:pPr>
      <w:r>
        <w:rPr>
          <w:rFonts w:hint="eastAsia" w:cs="宋体"/>
          <w:color w:val="auto"/>
          <w:highlight w:val="none"/>
        </w:rPr>
        <w:t>4、投标方将按招标文件的规定履行合同责任和义务。</w:t>
      </w:r>
    </w:p>
    <w:p>
      <w:pPr>
        <w:ind w:firstLine="420"/>
        <w:rPr>
          <w:rFonts w:cs="宋体"/>
          <w:color w:val="auto"/>
          <w:highlight w:val="none"/>
        </w:rPr>
      </w:pPr>
      <w:r>
        <w:rPr>
          <w:rFonts w:hint="eastAsia" w:cs="宋体"/>
          <w:color w:val="auto"/>
          <w:highlight w:val="none"/>
        </w:rPr>
        <w:t>5、投标方同意提供按照贵方可能要求的与其投标有关的一切数据或资料。</w:t>
      </w:r>
    </w:p>
    <w:p>
      <w:pPr>
        <w:ind w:firstLine="420"/>
        <w:rPr>
          <w:rFonts w:cs="宋体"/>
          <w:color w:val="auto"/>
          <w:highlight w:val="none"/>
        </w:rPr>
      </w:pPr>
      <w:r>
        <w:rPr>
          <w:rFonts w:hint="eastAsia" w:cs="宋体"/>
          <w:color w:val="auto"/>
          <w:highlight w:val="none"/>
        </w:rPr>
        <w:t>6、从提交投标文件的截止之日起</w:t>
      </w:r>
      <w:r>
        <w:rPr>
          <w:rFonts w:hint="eastAsia" w:cs="宋体"/>
          <w:color w:val="auto"/>
          <w:highlight w:val="none"/>
          <w:u w:val="single"/>
        </w:rPr>
        <w:t xml:space="preserve">     天</w:t>
      </w:r>
      <w:r>
        <w:rPr>
          <w:rFonts w:hint="eastAsia" w:cs="宋体"/>
          <w:color w:val="auto"/>
          <w:highlight w:val="none"/>
        </w:rPr>
        <w:t>。</w:t>
      </w:r>
    </w:p>
    <w:p>
      <w:pPr>
        <w:ind w:firstLine="420"/>
        <w:rPr>
          <w:rFonts w:cs="宋体"/>
          <w:color w:val="auto"/>
          <w:highlight w:val="none"/>
        </w:rPr>
      </w:pPr>
      <w:r>
        <w:rPr>
          <w:rFonts w:hint="eastAsia" w:cs="宋体"/>
          <w:color w:val="auto"/>
          <w:highlight w:val="none"/>
        </w:rPr>
        <w:t>7、与本投标有关的一切往来通讯请寄：</w:t>
      </w:r>
    </w:p>
    <w:p>
      <w:pPr>
        <w:ind w:left="525" w:firstLine="420"/>
        <w:rPr>
          <w:rFonts w:cs="宋体"/>
          <w:color w:val="auto"/>
          <w:highlight w:val="none"/>
        </w:rPr>
      </w:pPr>
    </w:p>
    <w:p>
      <w:pPr>
        <w:ind w:firstLine="420"/>
        <w:rPr>
          <w:rFonts w:cs="宋体"/>
          <w:color w:val="auto"/>
          <w:highlight w:val="none"/>
        </w:rPr>
      </w:pPr>
      <w:r>
        <w:rPr>
          <w:rFonts w:hint="eastAsia" w:cs="宋体"/>
          <w:color w:val="auto"/>
          <w:highlight w:val="none"/>
        </w:rPr>
        <w:t>名称：</w:t>
      </w:r>
    </w:p>
    <w:p>
      <w:pPr>
        <w:ind w:firstLine="420"/>
        <w:rPr>
          <w:rFonts w:cs="宋体"/>
          <w:color w:val="auto"/>
          <w:highlight w:val="none"/>
        </w:rPr>
      </w:pPr>
      <w:r>
        <w:rPr>
          <w:rFonts w:hint="eastAsia" w:cs="宋体"/>
          <w:color w:val="auto"/>
          <w:highlight w:val="none"/>
        </w:rPr>
        <w:t xml:space="preserve">地址：邮编： </w:t>
      </w:r>
    </w:p>
    <w:p>
      <w:pPr>
        <w:ind w:firstLine="420"/>
        <w:rPr>
          <w:rFonts w:cs="宋体"/>
          <w:color w:val="auto"/>
          <w:highlight w:val="none"/>
        </w:rPr>
      </w:pPr>
      <w:r>
        <w:rPr>
          <w:rFonts w:hint="eastAsia" w:cs="宋体"/>
          <w:color w:val="auto"/>
          <w:highlight w:val="none"/>
        </w:rPr>
        <w:t>联系人：电话：  传真：</w:t>
      </w:r>
    </w:p>
    <w:p>
      <w:pPr>
        <w:ind w:firstLine="420"/>
        <w:rPr>
          <w:rFonts w:cs="宋体"/>
          <w:color w:val="auto"/>
          <w:highlight w:val="none"/>
          <w:u w:val="single"/>
        </w:rPr>
      </w:pPr>
      <w:r>
        <w:rPr>
          <w:rFonts w:hint="eastAsia" w:cs="宋体"/>
          <w:color w:val="auto"/>
          <w:highlight w:val="none"/>
        </w:rPr>
        <w:t>移动电话：电子邮件：</w:t>
      </w:r>
    </w:p>
    <w:p>
      <w:pPr>
        <w:adjustRightInd w:val="0"/>
        <w:snapToGrid w:val="0"/>
        <w:ind w:firstLine="420"/>
        <w:rPr>
          <w:rFonts w:cs="宋体"/>
          <w:color w:val="auto"/>
          <w:szCs w:val="20"/>
          <w:highlight w:val="none"/>
        </w:rPr>
      </w:pPr>
      <w:r>
        <w:rPr>
          <w:rFonts w:hint="eastAsia" w:cs="宋体"/>
          <w:color w:val="auto"/>
          <w:szCs w:val="20"/>
          <w:highlight w:val="none"/>
        </w:rPr>
        <w:t>为了便于处理投标保证金相关事宜，请务必注明以下信息：</w:t>
      </w:r>
    </w:p>
    <w:p>
      <w:pPr>
        <w:adjustRightInd w:val="0"/>
        <w:snapToGrid w:val="0"/>
        <w:ind w:firstLine="420"/>
        <w:rPr>
          <w:rFonts w:cs="宋体"/>
          <w:color w:val="auto"/>
          <w:szCs w:val="20"/>
          <w:highlight w:val="none"/>
        </w:rPr>
      </w:pPr>
      <w:r>
        <w:rPr>
          <w:rFonts w:hint="eastAsia" w:cs="宋体"/>
          <w:color w:val="auto"/>
          <w:szCs w:val="20"/>
          <w:highlight w:val="none"/>
        </w:rPr>
        <w:t>户名：</w:t>
      </w:r>
    </w:p>
    <w:p>
      <w:pPr>
        <w:adjustRightInd w:val="0"/>
        <w:snapToGrid w:val="0"/>
        <w:ind w:firstLine="420"/>
        <w:rPr>
          <w:rFonts w:cs="宋体"/>
          <w:color w:val="auto"/>
          <w:szCs w:val="20"/>
          <w:highlight w:val="none"/>
        </w:rPr>
      </w:pPr>
      <w:r>
        <w:rPr>
          <w:rFonts w:hint="eastAsia" w:cs="宋体"/>
          <w:color w:val="auto"/>
          <w:szCs w:val="20"/>
          <w:highlight w:val="none"/>
        </w:rPr>
        <w:t>开户银行：</w:t>
      </w:r>
    </w:p>
    <w:p>
      <w:pPr>
        <w:adjustRightInd w:val="0"/>
        <w:snapToGrid w:val="0"/>
        <w:ind w:firstLine="420"/>
        <w:rPr>
          <w:rFonts w:cs="宋体"/>
          <w:color w:val="auto"/>
          <w:szCs w:val="20"/>
          <w:highlight w:val="none"/>
        </w:rPr>
      </w:pPr>
      <w:r>
        <w:rPr>
          <w:rFonts w:hint="eastAsia" w:cs="宋体"/>
          <w:color w:val="auto"/>
          <w:szCs w:val="20"/>
          <w:highlight w:val="none"/>
        </w:rPr>
        <w:t>账号：</w:t>
      </w:r>
    </w:p>
    <w:p>
      <w:pPr>
        <w:ind w:left="525" w:firstLine="420"/>
        <w:rPr>
          <w:rFonts w:cs="宋体"/>
          <w:color w:val="auto"/>
          <w:highlight w:val="none"/>
        </w:rPr>
      </w:pPr>
    </w:p>
    <w:p>
      <w:pPr>
        <w:ind w:firstLine="420"/>
        <w:rPr>
          <w:rFonts w:cs="宋体"/>
          <w:color w:val="auto"/>
          <w:highlight w:val="none"/>
        </w:rPr>
      </w:pPr>
      <w:r>
        <w:rPr>
          <w:rFonts w:hint="eastAsia" w:cs="宋体"/>
          <w:color w:val="auto"/>
          <w:highlight w:val="none"/>
        </w:rPr>
        <w:t>投标方（盖章）：</w:t>
      </w:r>
    </w:p>
    <w:p>
      <w:pPr>
        <w:ind w:firstLine="420"/>
        <w:rPr>
          <w:rFonts w:cs="宋体"/>
          <w:color w:val="auto"/>
          <w:highlight w:val="none"/>
        </w:rPr>
      </w:pPr>
      <w:r>
        <w:rPr>
          <w:rFonts w:hint="eastAsia" w:cs="宋体"/>
          <w:color w:val="auto"/>
          <w:highlight w:val="none"/>
        </w:rPr>
        <w:t>全权代表（签字）：</w:t>
      </w:r>
    </w:p>
    <w:p>
      <w:pPr>
        <w:ind w:firstLine="420"/>
        <w:rPr>
          <w:rFonts w:cs="宋体"/>
          <w:i/>
          <w:iCs/>
          <w:color w:val="auto"/>
          <w:sz w:val="36"/>
          <w:szCs w:val="32"/>
          <w:highlight w:val="none"/>
        </w:rPr>
      </w:pPr>
      <w:r>
        <w:rPr>
          <w:rFonts w:hint="eastAsia" w:cs="宋体"/>
          <w:color w:val="auto"/>
          <w:highlight w:val="none"/>
        </w:rPr>
        <w:t>日     期：</w:t>
      </w:r>
    </w:p>
    <w:p>
      <w:pPr>
        <w:pStyle w:val="2"/>
        <w:rPr>
          <w:rFonts w:ascii="宋体" w:hAnsi="宋体" w:eastAsia="宋体" w:cs="宋体"/>
          <w:color w:val="auto"/>
          <w:kern w:val="2"/>
          <w:sz w:val="21"/>
          <w:highlight w:val="none"/>
        </w:rPr>
      </w:pPr>
    </w:p>
    <w:p>
      <w:pPr>
        <w:ind w:firstLine="420"/>
        <w:rPr>
          <w:rFonts w:cs="宋体"/>
          <w:color w:val="auto"/>
          <w:highlight w:val="none"/>
        </w:rPr>
      </w:pPr>
    </w:p>
    <w:p>
      <w:pPr>
        <w:ind w:firstLine="420"/>
        <w:rPr>
          <w:rFonts w:cs="宋体"/>
          <w:color w:val="auto"/>
          <w:highlight w:val="none"/>
        </w:rPr>
        <w:sectPr>
          <w:pgSz w:w="11906" w:h="16838"/>
          <w:pgMar w:top="1418" w:right="1418" w:bottom="1418" w:left="1418" w:header="851" w:footer="992" w:gutter="0"/>
          <w:cols w:space="720" w:num="1"/>
          <w:docGrid w:linePitch="312" w:charSpace="0"/>
        </w:sectPr>
      </w:pPr>
    </w:p>
    <w:p>
      <w:pPr>
        <w:pStyle w:val="6"/>
        <w:ind w:firstLine="482"/>
        <w:rPr>
          <w:rFonts w:cs="宋体"/>
          <w:color w:val="auto"/>
          <w:highlight w:val="none"/>
        </w:rPr>
      </w:pPr>
      <w:r>
        <w:rPr>
          <w:rFonts w:hint="eastAsia" w:cs="宋体"/>
          <w:color w:val="auto"/>
          <w:highlight w:val="none"/>
        </w:rPr>
        <w:t>二、开标一览表</w:t>
      </w:r>
    </w:p>
    <w:p>
      <w:pPr>
        <w:ind w:firstLine="396"/>
        <w:rPr>
          <w:rFonts w:cs="宋体"/>
          <w:bCs/>
          <w:color w:val="auto"/>
          <w:spacing w:val="-6"/>
          <w:highlight w:val="none"/>
        </w:rPr>
      </w:pPr>
      <w:r>
        <w:rPr>
          <w:rFonts w:hint="eastAsia" w:cs="宋体"/>
          <w:color w:val="auto"/>
          <w:spacing w:val="-6"/>
          <w:highlight w:val="none"/>
        </w:rPr>
        <w:t>项目编号：</w:t>
      </w:r>
    </w:p>
    <w:p>
      <w:pPr>
        <w:ind w:firstLine="396"/>
        <w:rPr>
          <w:rFonts w:cs="宋体"/>
          <w:color w:val="auto"/>
          <w:spacing w:val="-6"/>
          <w:highlight w:val="none"/>
        </w:rPr>
      </w:pPr>
      <w:r>
        <w:rPr>
          <w:rFonts w:hint="eastAsia" w:cs="宋体"/>
          <w:color w:val="auto"/>
          <w:spacing w:val="-6"/>
          <w:highlight w:val="none"/>
        </w:rPr>
        <w:t>投标供应商名称：</w:t>
      </w:r>
    </w:p>
    <w:tbl>
      <w:tblPr>
        <w:tblStyle w:val="21"/>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pPr>
              <w:ind w:firstLine="398"/>
              <w:jc w:val="center"/>
              <w:rPr>
                <w:rFonts w:cs="宋体"/>
                <w:color w:val="auto"/>
                <w:spacing w:val="-6"/>
                <w:highlight w:val="none"/>
                <w:u w:val="single"/>
              </w:rPr>
            </w:pPr>
            <w:r>
              <w:rPr>
                <w:rFonts w:hint="eastAsia" w:cs="宋体"/>
                <w:b/>
                <w:color w:val="auto"/>
                <w:spacing w:val="-6"/>
                <w:highlight w:val="none"/>
              </w:rPr>
              <w:t>投标报价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pPr>
              <w:ind w:firstLine="398"/>
              <w:rPr>
                <w:rFonts w:cs="宋体"/>
                <w:b/>
                <w:color w:val="auto"/>
                <w:spacing w:val="-6"/>
                <w:highlight w:val="none"/>
              </w:rPr>
            </w:pPr>
          </w:p>
          <w:p>
            <w:pPr>
              <w:ind w:firstLine="396"/>
              <w:rPr>
                <w:rFonts w:cs="宋体"/>
                <w:color w:val="auto"/>
                <w:spacing w:val="-6"/>
                <w:highlight w:val="none"/>
                <w:u w:val="single"/>
              </w:rPr>
            </w:pPr>
            <w:r>
              <w:rPr>
                <w:rFonts w:hint="eastAsia" w:cs="宋体"/>
                <w:color w:val="auto"/>
                <w:spacing w:val="-6"/>
                <w:highlight w:val="none"/>
              </w:rPr>
              <w:t>金额大写：，小写：</w:t>
            </w:r>
          </w:p>
          <w:p>
            <w:pPr>
              <w:ind w:firstLine="458"/>
              <w:rPr>
                <w:rFonts w:cs="宋体"/>
                <w:b/>
                <w:bCs/>
                <w:color w:val="auto"/>
                <w:spacing w:val="-6"/>
                <w:sz w:val="24"/>
                <w:highlight w:val="none"/>
                <w:u w:val="single"/>
              </w:rPr>
            </w:pPr>
          </w:p>
          <w:p>
            <w:pPr>
              <w:ind w:firstLine="396"/>
              <w:rPr>
                <w:rFonts w:cs="宋体"/>
                <w:b/>
                <w:color w:val="auto"/>
                <w:spacing w:val="-6"/>
                <w:highlight w:val="none"/>
              </w:rPr>
            </w:pPr>
            <w:r>
              <w:rPr>
                <w:rFonts w:hint="eastAsia" w:cs="宋体"/>
                <w:color w:val="auto"/>
                <w:spacing w:val="-6"/>
                <w:highlight w:val="none"/>
              </w:rPr>
              <w:t>单位：人民币元</w:t>
            </w:r>
          </w:p>
        </w:tc>
      </w:tr>
    </w:tbl>
    <w:p>
      <w:pPr>
        <w:ind w:firstLine="396"/>
        <w:jc w:val="left"/>
        <w:rPr>
          <w:rFonts w:cs="宋体"/>
          <w:color w:val="auto"/>
          <w:spacing w:val="-6"/>
          <w:highlight w:val="none"/>
        </w:rPr>
      </w:pPr>
    </w:p>
    <w:p>
      <w:pPr>
        <w:ind w:firstLine="398"/>
        <w:jc w:val="left"/>
        <w:rPr>
          <w:rFonts w:cs="宋体"/>
          <w:b/>
          <w:color w:val="auto"/>
          <w:spacing w:val="-6"/>
          <w:highlight w:val="none"/>
        </w:rPr>
      </w:pPr>
      <w:r>
        <w:rPr>
          <w:rFonts w:hint="eastAsia" w:cs="宋体"/>
          <w:b/>
          <w:color w:val="auto"/>
          <w:spacing w:val="-6"/>
          <w:highlight w:val="none"/>
        </w:rPr>
        <w:t>说明:</w:t>
      </w:r>
    </w:p>
    <w:p>
      <w:pPr>
        <w:ind w:firstLine="398"/>
        <w:jc w:val="left"/>
        <w:rPr>
          <w:rFonts w:cs="宋体"/>
          <w:b/>
          <w:color w:val="auto"/>
          <w:spacing w:val="-6"/>
          <w:highlight w:val="none"/>
        </w:rPr>
      </w:pPr>
      <w:r>
        <w:rPr>
          <w:rFonts w:hint="eastAsia" w:cs="宋体"/>
          <w:b/>
          <w:color w:val="auto"/>
          <w:spacing w:val="-6"/>
          <w:highlight w:val="none"/>
        </w:rPr>
        <w:t>1、投标报价包括完成所有产品供货及履行所有规定服务所产生的全部费用。</w:t>
      </w:r>
    </w:p>
    <w:p>
      <w:pPr>
        <w:ind w:firstLine="398"/>
        <w:jc w:val="left"/>
        <w:rPr>
          <w:rFonts w:cs="宋体"/>
          <w:b/>
          <w:color w:val="auto"/>
          <w:spacing w:val="-6"/>
          <w:highlight w:val="none"/>
        </w:rPr>
      </w:pPr>
      <w:r>
        <w:rPr>
          <w:rFonts w:hint="eastAsia" w:cs="宋体"/>
          <w:b/>
          <w:color w:val="auto"/>
          <w:spacing w:val="-6"/>
          <w:highlight w:val="none"/>
        </w:rPr>
        <w:t>2、以上报价应与“已标价工程量清单报价表”中的总价相一致。</w:t>
      </w:r>
    </w:p>
    <w:p>
      <w:pPr>
        <w:ind w:firstLine="398"/>
        <w:rPr>
          <w:rFonts w:cs="宋体"/>
          <w:b/>
          <w:color w:val="auto"/>
          <w:spacing w:val="-6"/>
          <w:highlight w:val="none"/>
        </w:rPr>
      </w:pPr>
      <w:r>
        <w:rPr>
          <w:rFonts w:hint="eastAsia" w:cs="宋体"/>
          <w:b/>
          <w:color w:val="auto"/>
          <w:spacing w:val="-6"/>
          <w:highlight w:val="none"/>
        </w:rPr>
        <w:t>3、此表在不改变格式要求的情况下，可自行制作。</w:t>
      </w:r>
    </w:p>
    <w:p>
      <w:pPr>
        <w:pStyle w:val="2"/>
        <w:rPr>
          <w:color w:val="auto"/>
          <w:highlight w:val="none"/>
        </w:rPr>
      </w:pPr>
    </w:p>
    <w:p>
      <w:pPr>
        <w:ind w:right="-817" w:rightChars="-389" w:firstLine="396"/>
        <w:rPr>
          <w:rFonts w:cs="宋体"/>
          <w:color w:val="auto"/>
          <w:spacing w:val="-6"/>
          <w:highlight w:val="none"/>
        </w:rPr>
      </w:pPr>
      <w:r>
        <w:rPr>
          <w:rFonts w:hint="eastAsia" w:cs="宋体"/>
          <w:color w:val="auto"/>
          <w:spacing w:val="-6"/>
          <w:highlight w:val="none"/>
        </w:rPr>
        <w:t>投标供应商名称（盖章）：</w:t>
      </w:r>
    </w:p>
    <w:p>
      <w:pPr>
        <w:ind w:right="-817" w:rightChars="-389" w:firstLine="396"/>
        <w:rPr>
          <w:rFonts w:cs="宋体"/>
          <w:color w:val="auto"/>
          <w:spacing w:val="-6"/>
          <w:highlight w:val="none"/>
        </w:rPr>
      </w:pPr>
      <w:r>
        <w:rPr>
          <w:rFonts w:hint="eastAsia" w:cs="宋体"/>
          <w:color w:val="auto"/>
          <w:spacing w:val="-6"/>
          <w:highlight w:val="none"/>
        </w:rPr>
        <w:t>授权代表签字：</w:t>
      </w:r>
    </w:p>
    <w:p>
      <w:pPr>
        <w:ind w:right="-817" w:rightChars="-389" w:firstLine="396"/>
        <w:rPr>
          <w:rFonts w:cs="宋体"/>
          <w:color w:val="auto"/>
          <w:spacing w:val="-6"/>
          <w:highlight w:val="none"/>
        </w:rPr>
      </w:pPr>
      <w:r>
        <w:rPr>
          <w:rFonts w:hint="eastAsia" w:cs="宋体"/>
          <w:bCs/>
          <w:color w:val="auto"/>
          <w:spacing w:val="-6"/>
          <w:highlight w:val="none"/>
        </w:rPr>
        <w:t>日期：    年  月  日</w:t>
      </w:r>
    </w:p>
    <w:p>
      <w:pPr>
        <w:pStyle w:val="2"/>
        <w:rPr>
          <w:rFonts w:ascii="宋体" w:hAnsi="宋体" w:eastAsia="宋体" w:cs="宋体"/>
          <w:color w:val="auto"/>
          <w:kern w:val="2"/>
          <w:sz w:val="21"/>
          <w:highlight w:val="none"/>
        </w:rPr>
      </w:pPr>
    </w:p>
    <w:p>
      <w:pPr>
        <w:pStyle w:val="6"/>
        <w:ind w:firstLine="482"/>
        <w:rPr>
          <w:rFonts w:cs="宋体"/>
          <w:color w:val="auto"/>
          <w:highlight w:val="none"/>
        </w:rPr>
        <w:sectPr>
          <w:pgSz w:w="11906" w:h="16838"/>
          <w:pgMar w:top="1418" w:right="1418" w:bottom="1418" w:left="1418" w:header="851" w:footer="992" w:gutter="0"/>
          <w:cols w:space="720" w:num="1"/>
          <w:docGrid w:linePitch="312" w:charSpace="0"/>
        </w:sectPr>
      </w:pPr>
    </w:p>
    <w:p>
      <w:pPr>
        <w:pStyle w:val="6"/>
        <w:ind w:firstLine="482"/>
        <w:rPr>
          <w:rFonts w:cs="宋体"/>
          <w:color w:val="auto"/>
          <w:highlight w:val="none"/>
        </w:rPr>
      </w:pPr>
      <w:r>
        <w:rPr>
          <w:rFonts w:hint="eastAsia" w:cs="宋体"/>
          <w:color w:val="auto"/>
          <w:highlight w:val="none"/>
        </w:rPr>
        <w:t>三、已标价工程量清单报价表格式</w:t>
      </w:r>
    </w:p>
    <w:p>
      <w:pPr>
        <w:ind w:firstLine="420"/>
        <w:rPr>
          <w:rFonts w:cs="宋体"/>
          <w:color w:val="auto"/>
          <w:highlight w:val="none"/>
        </w:rPr>
      </w:pPr>
    </w:p>
    <w:p>
      <w:pPr>
        <w:widowControl/>
        <w:ind w:firstLine="562"/>
        <w:jc w:val="center"/>
        <w:rPr>
          <w:rFonts w:cs="宋体"/>
          <w:b/>
          <w:bCs/>
          <w:color w:val="auto"/>
          <w:sz w:val="28"/>
          <w:szCs w:val="28"/>
          <w:highlight w:val="none"/>
        </w:rPr>
      </w:pPr>
      <w:r>
        <w:rPr>
          <w:rFonts w:hint="eastAsia" w:cs="宋体"/>
          <w:b/>
          <w:bCs/>
          <w:color w:val="auto"/>
          <w:sz w:val="28"/>
          <w:szCs w:val="28"/>
          <w:highlight w:val="none"/>
        </w:rPr>
        <w:t>（具体请按照《浙江省建设工程计价规则》（2018版）投标报价格式编制）</w:t>
      </w:r>
    </w:p>
    <w:p>
      <w:pPr>
        <w:pStyle w:val="2"/>
        <w:rPr>
          <w:rFonts w:ascii="宋体" w:hAnsi="宋体" w:eastAsia="宋体" w:cs="宋体"/>
          <w:color w:val="auto"/>
          <w:kern w:val="2"/>
          <w:sz w:val="21"/>
          <w:highlight w:val="none"/>
        </w:rPr>
      </w:pPr>
    </w:p>
    <w:p>
      <w:pPr>
        <w:ind w:firstLine="0" w:firstLineChars="0"/>
        <w:rPr>
          <w:rFonts w:cs="宋体"/>
          <w:color w:val="auto"/>
          <w:highlight w:val="none"/>
        </w:rPr>
      </w:pPr>
    </w:p>
    <w:p>
      <w:pPr>
        <w:ind w:firstLine="420"/>
        <w:rPr>
          <w:rFonts w:cs="宋体"/>
          <w:color w:val="auto"/>
          <w:highlight w:val="none"/>
        </w:rPr>
        <w:sectPr>
          <w:pgSz w:w="11906" w:h="16838"/>
          <w:pgMar w:top="1418" w:right="1418" w:bottom="1418" w:left="1418" w:header="851" w:footer="992" w:gutter="0"/>
          <w:cols w:space="720" w:num="1"/>
          <w:docGrid w:linePitch="312" w:charSpace="0"/>
        </w:sectPr>
      </w:pPr>
    </w:p>
    <w:p>
      <w:pPr>
        <w:pStyle w:val="6"/>
        <w:ind w:firstLine="482"/>
        <w:rPr>
          <w:rFonts w:cs="宋体"/>
          <w:color w:val="auto"/>
          <w:highlight w:val="none"/>
        </w:rPr>
      </w:pPr>
      <w:r>
        <w:rPr>
          <w:rFonts w:hint="eastAsia" w:cs="宋体"/>
          <w:color w:val="auto"/>
          <w:highlight w:val="none"/>
        </w:rPr>
        <w:t>四、投标方认为需要的其他文件资料</w:t>
      </w:r>
    </w:p>
    <w:p>
      <w:pPr>
        <w:ind w:firstLine="562"/>
        <w:rPr>
          <w:rFonts w:cs="宋体"/>
          <w:b/>
          <w:color w:val="auto"/>
          <w:sz w:val="28"/>
          <w:szCs w:val="28"/>
          <w:highlight w:val="none"/>
        </w:rPr>
        <w:sectPr>
          <w:pgSz w:w="11906" w:h="16838"/>
          <w:pgMar w:top="1418" w:right="1418" w:bottom="1418" w:left="1418" w:header="851" w:footer="992" w:gutter="0"/>
          <w:cols w:space="720" w:num="1"/>
          <w:docGrid w:linePitch="312" w:charSpace="0"/>
        </w:sectPr>
      </w:pPr>
    </w:p>
    <w:p>
      <w:pPr>
        <w:pStyle w:val="5"/>
        <w:ind w:firstLine="482"/>
        <w:rPr>
          <w:rFonts w:ascii="宋体" w:hAnsi="宋体" w:cs="宋体"/>
          <w:color w:val="auto"/>
          <w:highlight w:val="none"/>
        </w:rPr>
      </w:pPr>
      <w:bookmarkStart w:id="1150" w:name="_Toc14333"/>
      <w:r>
        <w:rPr>
          <w:rFonts w:hint="eastAsia" w:ascii="宋体" w:hAnsi="宋体" w:cs="宋体"/>
          <w:color w:val="auto"/>
          <w:highlight w:val="none"/>
        </w:rPr>
        <w:t>其他格式要求</w:t>
      </w:r>
      <w:bookmarkEnd w:id="1150"/>
    </w:p>
    <w:p>
      <w:pPr>
        <w:pStyle w:val="6"/>
        <w:ind w:firstLine="482"/>
        <w:rPr>
          <w:rFonts w:cs="宋体"/>
          <w:color w:val="auto"/>
          <w:highlight w:val="none"/>
        </w:rPr>
      </w:pPr>
      <w:r>
        <w:rPr>
          <w:rFonts w:hint="eastAsia" w:cs="宋体"/>
          <w:color w:val="auto"/>
          <w:highlight w:val="none"/>
        </w:rPr>
        <w:t>一、弃标函</w:t>
      </w:r>
    </w:p>
    <w:p>
      <w:pPr>
        <w:spacing w:line="240" w:lineRule="auto"/>
        <w:ind w:firstLine="480" w:firstLineChars="0"/>
        <w:rPr>
          <w:rFonts w:cs="宋体"/>
          <w:color w:val="auto"/>
          <w:szCs w:val="32"/>
          <w:highlight w:val="none"/>
        </w:rPr>
      </w:pPr>
    </w:p>
    <w:p>
      <w:pPr>
        <w:ind w:firstLine="0" w:firstLineChars="0"/>
        <w:rPr>
          <w:rFonts w:cs="宋体"/>
          <w:b/>
          <w:color w:val="auto"/>
          <w:highlight w:val="none"/>
        </w:rPr>
      </w:pPr>
      <w:r>
        <w:rPr>
          <w:rFonts w:hint="eastAsia" w:cs="宋体"/>
          <w:color w:val="auto"/>
          <w:highlight w:val="none"/>
        </w:rPr>
        <w:t>浙江出入境边防检查总站，浙江五石工程咨询有限公司：</w:t>
      </w:r>
    </w:p>
    <w:p>
      <w:pPr>
        <w:ind w:firstLine="480" w:firstLineChars="0"/>
        <w:rPr>
          <w:rFonts w:cs="宋体"/>
          <w:color w:val="auto"/>
          <w:szCs w:val="32"/>
          <w:highlight w:val="none"/>
        </w:rPr>
      </w:pPr>
    </w:p>
    <w:p>
      <w:pPr>
        <w:pStyle w:val="18"/>
        <w:shd w:val="clear" w:color="auto" w:fill="FFFFFF"/>
        <w:spacing w:after="270" w:line="360" w:lineRule="auto"/>
        <w:ind w:firstLine="720" w:firstLineChars="3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我公司，于</w:t>
      </w:r>
      <w:r>
        <w:rPr>
          <w:rFonts w:hint="eastAsia" w:ascii="宋体" w:hAnsi="宋体" w:eastAsia="宋体" w:cs="宋体"/>
          <w:color w:val="auto"/>
          <w:sz w:val="24"/>
          <w:szCs w:val="24"/>
          <w:highlight w:val="none"/>
          <w:u w:val="single"/>
          <w:shd w:val="clear" w:color="auto" w:fill="FFFFFF"/>
        </w:rPr>
        <w:t xml:space="preserve"> 2021</w:t>
      </w:r>
      <w:r>
        <w:rPr>
          <w:rFonts w:hint="eastAsia" w:ascii="宋体" w:hAnsi="宋体" w:eastAsia="宋体" w:cs="宋体"/>
          <w:color w:val="auto"/>
          <w:sz w:val="24"/>
          <w:szCs w:val="24"/>
          <w:highlight w:val="none"/>
          <w:shd w:val="clear" w:color="auto" w:fill="FFFFFF"/>
        </w:rPr>
        <w:t>年月日报名参与</w:t>
      </w:r>
      <w:r>
        <w:rPr>
          <w:rFonts w:hint="eastAsia" w:ascii="宋体" w:hAnsi="宋体" w:eastAsia="宋体" w:cs="宋体"/>
          <w:color w:val="auto"/>
          <w:sz w:val="24"/>
          <w:szCs w:val="24"/>
          <w:highlight w:val="none"/>
          <w:u w:val="single"/>
          <w:shd w:val="clear" w:color="auto" w:fill="FFFFFF"/>
        </w:rPr>
        <w:t xml:space="preserve">  （项目名称）     </w:t>
      </w:r>
      <w:r>
        <w:rPr>
          <w:rFonts w:hint="eastAsia" w:ascii="宋体" w:hAnsi="宋体" w:eastAsia="宋体" w:cs="宋体"/>
          <w:color w:val="auto"/>
          <w:sz w:val="24"/>
          <w:szCs w:val="24"/>
          <w:highlight w:val="none"/>
          <w:shd w:val="clear" w:color="auto" w:fill="FFFFFF"/>
        </w:rPr>
        <w:t>项目，由于原因，经研究决定放弃投标。特此声明。</w:t>
      </w:r>
    </w:p>
    <w:p>
      <w:pPr>
        <w:ind w:firstLine="420"/>
        <w:rPr>
          <w:rFonts w:cs="宋体"/>
          <w:color w:val="auto"/>
          <w:szCs w:val="40"/>
          <w:highlight w:val="none"/>
        </w:rPr>
      </w:pPr>
    </w:p>
    <w:p>
      <w:pPr>
        <w:ind w:firstLine="420"/>
        <w:rPr>
          <w:rFonts w:cs="宋体"/>
          <w:color w:val="auto"/>
          <w:szCs w:val="40"/>
          <w:highlight w:val="none"/>
        </w:rPr>
      </w:pPr>
    </w:p>
    <w:p>
      <w:pPr>
        <w:ind w:firstLine="420"/>
        <w:rPr>
          <w:rFonts w:cs="宋体"/>
          <w:color w:val="auto"/>
          <w:szCs w:val="40"/>
          <w:highlight w:val="none"/>
        </w:rPr>
      </w:pPr>
    </w:p>
    <w:p>
      <w:pPr>
        <w:ind w:firstLine="420"/>
        <w:rPr>
          <w:rFonts w:cs="宋体"/>
          <w:color w:val="auto"/>
          <w:szCs w:val="40"/>
          <w:highlight w:val="none"/>
        </w:rPr>
      </w:pPr>
    </w:p>
    <w:p>
      <w:pPr>
        <w:ind w:firstLine="420"/>
        <w:rPr>
          <w:rFonts w:cs="宋体"/>
          <w:color w:val="auto"/>
          <w:szCs w:val="40"/>
          <w:highlight w:val="none"/>
        </w:rPr>
      </w:pPr>
    </w:p>
    <w:p>
      <w:pPr>
        <w:ind w:firstLine="199" w:firstLineChars="95"/>
        <w:jc w:val="left"/>
        <w:rPr>
          <w:rFonts w:cs="宋体"/>
          <w:color w:val="auto"/>
          <w:highlight w:val="none"/>
        </w:rPr>
      </w:pPr>
      <w:r>
        <w:rPr>
          <w:rFonts w:hint="eastAsia" w:cs="宋体"/>
          <w:color w:val="auto"/>
          <w:szCs w:val="22"/>
          <w:highlight w:val="none"/>
        </w:rPr>
        <w:t>投标方全称</w:t>
      </w:r>
      <w:r>
        <w:rPr>
          <w:rFonts w:hint="eastAsia" w:cs="宋体"/>
          <w:color w:val="auto"/>
          <w:highlight w:val="none"/>
        </w:rPr>
        <w:t>（公章）：</w:t>
      </w:r>
    </w:p>
    <w:p>
      <w:pPr>
        <w:ind w:firstLine="199" w:firstLineChars="95"/>
        <w:jc w:val="left"/>
        <w:rPr>
          <w:rFonts w:cs="宋体"/>
          <w:color w:val="auto"/>
          <w:highlight w:val="none"/>
        </w:rPr>
      </w:pPr>
      <w:r>
        <w:rPr>
          <w:rFonts w:hint="eastAsia" w:cs="宋体"/>
          <w:color w:val="auto"/>
          <w:highlight w:val="none"/>
        </w:rPr>
        <w:t>日期：2021年  月  日</w:t>
      </w:r>
    </w:p>
    <w:p>
      <w:pPr>
        <w:ind w:firstLine="420"/>
        <w:rPr>
          <w:rFonts w:cs="宋体"/>
          <w:color w:val="auto"/>
          <w:szCs w:val="40"/>
          <w:highlight w:val="none"/>
        </w:rPr>
      </w:pPr>
    </w:p>
    <w:p>
      <w:pPr>
        <w:ind w:firstLine="420"/>
        <w:rPr>
          <w:rFonts w:cs="宋体"/>
          <w:color w:val="auto"/>
          <w:szCs w:val="40"/>
          <w:highlight w:val="none"/>
        </w:rPr>
      </w:pPr>
    </w:p>
    <w:p>
      <w:pPr>
        <w:ind w:firstLine="420"/>
        <w:rPr>
          <w:rFonts w:cs="宋体"/>
          <w:color w:val="auto"/>
          <w:szCs w:val="40"/>
          <w:highlight w:val="none"/>
        </w:rPr>
      </w:pPr>
      <w:r>
        <w:rPr>
          <w:rFonts w:hint="eastAsia" w:cs="宋体"/>
          <w:color w:val="auto"/>
          <w:szCs w:val="40"/>
          <w:highlight w:val="none"/>
        </w:rPr>
        <w:t>注：报名单位若不参与该项目的投标，请于开标截止前3个工作日内将弃标函盖章发送至我公司邮箱。邮箱：2810140286@qq.com。</w:t>
      </w:r>
    </w:p>
    <w:p>
      <w:pPr>
        <w:ind w:firstLine="420"/>
        <w:rPr>
          <w:rFonts w:cs="宋体"/>
          <w:color w:val="auto"/>
          <w:highlight w:val="none"/>
        </w:rPr>
      </w:pPr>
    </w:p>
    <w:p>
      <w:pPr>
        <w:pStyle w:val="6"/>
        <w:ind w:firstLine="482"/>
        <w:rPr>
          <w:rFonts w:cs="宋体"/>
          <w:color w:val="auto"/>
          <w:highlight w:val="none"/>
        </w:rPr>
        <w:sectPr>
          <w:pgSz w:w="11906" w:h="16838"/>
          <w:pgMar w:top="1418" w:right="1418" w:bottom="1418" w:left="1418" w:header="851" w:footer="992" w:gutter="0"/>
          <w:cols w:space="720" w:num="1"/>
          <w:docGrid w:linePitch="312" w:charSpace="0"/>
        </w:sectPr>
      </w:pPr>
    </w:p>
    <w:p>
      <w:pPr>
        <w:pStyle w:val="6"/>
        <w:ind w:firstLine="482"/>
        <w:rPr>
          <w:rFonts w:cs="宋体"/>
          <w:color w:val="auto"/>
          <w:highlight w:val="none"/>
        </w:rPr>
      </w:pPr>
      <w:r>
        <w:rPr>
          <w:rFonts w:hint="eastAsia" w:cs="宋体"/>
          <w:color w:val="auto"/>
          <w:highlight w:val="none"/>
        </w:rPr>
        <w:t>二、质疑函</w:t>
      </w:r>
    </w:p>
    <w:p>
      <w:pPr>
        <w:adjustRightInd w:val="0"/>
        <w:snapToGrid w:val="0"/>
        <w:spacing w:before="240" w:beforeLines="100"/>
        <w:ind w:firstLine="422"/>
        <w:rPr>
          <w:rFonts w:cs="宋体"/>
          <w:b/>
          <w:color w:val="auto"/>
          <w:highlight w:val="none"/>
        </w:rPr>
      </w:pPr>
      <w:r>
        <w:rPr>
          <w:rFonts w:hint="eastAsia" w:cs="宋体"/>
          <w:b/>
          <w:color w:val="auto"/>
          <w:highlight w:val="none"/>
        </w:rPr>
        <w:t>一、质疑供应商基本信息</w:t>
      </w:r>
    </w:p>
    <w:p>
      <w:pPr>
        <w:adjustRightInd w:val="0"/>
        <w:snapToGrid w:val="0"/>
        <w:ind w:firstLine="420"/>
        <w:rPr>
          <w:rFonts w:cs="宋体"/>
          <w:color w:val="auto"/>
          <w:highlight w:val="none"/>
          <w:u w:val="dotted"/>
        </w:rPr>
      </w:pPr>
      <w:r>
        <w:rPr>
          <w:rFonts w:hint="eastAsia" w:cs="宋体"/>
          <w:color w:val="auto"/>
          <w:highlight w:val="none"/>
        </w:rPr>
        <w:t>质疑供应商：</w:t>
      </w:r>
    </w:p>
    <w:p>
      <w:pPr>
        <w:adjustRightInd w:val="0"/>
        <w:snapToGrid w:val="0"/>
        <w:ind w:firstLine="420"/>
        <w:rPr>
          <w:rFonts w:cs="宋体"/>
          <w:color w:val="auto"/>
          <w:highlight w:val="none"/>
        </w:rPr>
      </w:pPr>
      <w:r>
        <w:rPr>
          <w:rFonts w:hint="eastAsia" w:cs="宋体"/>
          <w:color w:val="auto"/>
          <w:highlight w:val="none"/>
        </w:rPr>
        <w:t>地址：                          邮编：</w:t>
      </w:r>
    </w:p>
    <w:p>
      <w:pPr>
        <w:adjustRightInd w:val="0"/>
        <w:snapToGrid w:val="0"/>
        <w:ind w:firstLine="420"/>
        <w:rPr>
          <w:rFonts w:cs="宋体"/>
          <w:color w:val="auto"/>
          <w:highlight w:val="none"/>
        </w:rPr>
      </w:pPr>
      <w:r>
        <w:rPr>
          <w:rFonts w:hint="eastAsia" w:cs="宋体"/>
          <w:color w:val="auto"/>
          <w:highlight w:val="none"/>
        </w:rPr>
        <w:t>联系人：                        联系电话：</w:t>
      </w:r>
    </w:p>
    <w:p>
      <w:pPr>
        <w:adjustRightInd w:val="0"/>
        <w:snapToGrid w:val="0"/>
        <w:ind w:firstLine="420"/>
        <w:rPr>
          <w:rFonts w:cs="宋体"/>
          <w:color w:val="auto"/>
          <w:highlight w:val="none"/>
          <w:u w:val="dotted"/>
        </w:rPr>
      </w:pPr>
      <w:r>
        <w:rPr>
          <w:rFonts w:hint="eastAsia" w:cs="宋体"/>
          <w:color w:val="auto"/>
          <w:highlight w:val="none"/>
        </w:rPr>
        <w:t>授权代表：</w:t>
      </w:r>
    </w:p>
    <w:p>
      <w:pPr>
        <w:adjustRightInd w:val="0"/>
        <w:snapToGrid w:val="0"/>
        <w:ind w:firstLine="420"/>
        <w:rPr>
          <w:rFonts w:cs="宋体"/>
          <w:color w:val="auto"/>
          <w:highlight w:val="none"/>
        </w:rPr>
      </w:pPr>
      <w:r>
        <w:rPr>
          <w:rFonts w:hint="eastAsia" w:cs="宋体"/>
          <w:color w:val="auto"/>
          <w:highlight w:val="none"/>
        </w:rPr>
        <w:t>联系电话：</w:t>
      </w:r>
    </w:p>
    <w:p>
      <w:pPr>
        <w:adjustRightInd w:val="0"/>
        <w:snapToGrid w:val="0"/>
        <w:ind w:firstLine="420"/>
        <w:rPr>
          <w:rFonts w:cs="宋体"/>
          <w:color w:val="auto"/>
          <w:highlight w:val="none"/>
        </w:rPr>
      </w:pPr>
      <w:r>
        <w:rPr>
          <w:rFonts w:hint="eastAsia" w:cs="宋体"/>
          <w:color w:val="auto"/>
          <w:highlight w:val="none"/>
        </w:rPr>
        <w:t>地址：                          邮编：</w:t>
      </w:r>
    </w:p>
    <w:p>
      <w:pPr>
        <w:adjustRightInd w:val="0"/>
        <w:snapToGrid w:val="0"/>
        <w:ind w:firstLine="422"/>
        <w:rPr>
          <w:rFonts w:cs="宋体"/>
          <w:b/>
          <w:color w:val="auto"/>
          <w:highlight w:val="none"/>
        </w:rPr>
      </w:pPr>
      <w:r>
        <w:rPr>
          <w:rFonts w:hint="eastAsia" w:cs="宋体"/>
          <w:b/>
          <w:color w:val="auto"/>
          <w:highlight w:val="none"/>
        </w:rPr>
        <w:t>二、质疑项目基本情况</w:t>
      </w:r>
    </w:p>
    <w:p>
      <w:pPr>
        <w:adjustRightInd w:val="0"/>
        <w:snapToGrid w:val="0"/>
        <w:ind w:firstLine="420"/>
        <w:rPr>
          <w:rFonts w:cs="宋体"/>
          <w:color w:val="auto"/>
          <w:highlight w:val="none"/>
        </w:rPr>
      </w:pPr>
      <w:r>
        <w:rPr>
          <w:rFonts w:hint="eastAsia" w:cs="宋体"/>
          <w:color w:val="auto"/>
          <w:highlight w:val="none"/>
        </w:rPr>
        <w:t>质疑项目的名称：</w:t>
      </w:r>
    </w:p>
    <w:p>
      <w:pPr>
        <w:adjustRightInd w:val="0"/>
        <w:snapToGrid w:val="0"/>
        <w:ind w:firstLine="420"/>
        <w:rPr>
          <w:rFonts w:cs="宋体"/>
          <w:color w:val="auto"/>
          <w:highlight w:val="none"/>
        </w:rPr>
      </w:pPr>
      <w:r>
        <w:rPr>
          <w:rFonts w:hint="eastAsia" w:cs="宋体"/>
          <w:color w:val="auto"/>
          <w:highlight w:val="none"/>
        </w:rPr>
        <w:t>质疑项目的编号：                包号：</w:t>
      </w:r>
    </w:p>
    <w:p>
      <w:pPr>
        <w:adjustRightInd w:val="0"/>
        <w:snapToGrid w:val="0"/>
        <w:ind w:firstLine="420"/>
        <w:rPr>
          <w:rFonts w:cs="宋体"/>
          <w:color w:val="auto"/>
          <w:highlight w:val="none"/>
          <w:u w:val="dotted"/>
        </w:rPr>
      </w:pPr>
      <w:r>
        <w:rPr>
          <w:rFonts w:hint="eastAsia" w:cs="宋体"/>
          <w:color w:val="auto"/>
          <w:highlight w:val="none"/>
        </w:rPr>
        <w:t>采购人名称：</w:t>
      </w:r>
    </w:p>
    <w:p>
      <w:pPr>
        <w:adjustRightInd w:val="0"/>
        <w:snapToGrid w:val="0"/>
        <w:ind w:firstLine="420"/>
        <w:rPr>
          <w:rFonts w:cs="宋体"/>
          <w:color w:val="auto"/>
          <w:highlight w:val="none"/>
        </w:rPr>
      </w:pPr>
      <w:r>
        <w:rPr>
          <w:rFonts w:hint="eastAsia" w:cs="宋体"/>
          <w:color w:val="auto"/>
          <w:highlight w:val="none"/>
        </w:rPr>
        <w:t>采购文件获取日期：</w:t>
      </w:r>
    </w:p>
    <w:p>
      <w:pPr>
        <w:adjustRightInd w:val="0"/>
        <w:snapToGrid w:val="0"/>
        <w:ind w:firstLine="422"/>
        <w:rPr>
          <w:rFonts w:cs="宋体"/>
          <w:b/>
          <w:color w:val="auto"/>
          <w:highlight w:val="none"/>
        </w:rPr>
      </w:pPr>
      <w:r>
        <w:rPr>
          <w:rFonts w:hint="eastAsia" w:cs="宋体"/>
          <w:b/>
          <w:color w:val="auto"/>
          <w:highlight w:val="none"/>
        </w:rPr>
        <w:t>三、质疑事项具体内容</w:t>
      </w:r>
    </w:p>
    <w:p>
      <w:pPr>
        <w:adjustRightInd w:val="0"/>
        <w:snapToGrid w:val="0"/>
        <w:ind w:firstLine="420"/>
        <w:rPr>
          <w:rFonts w:cs="宋体"/>
          <w:color w:val="auto"/>
          <w:highlight w:val="none"/>
          <w:u w:val="single"/>
        </w:rPr>
      </w:pPr>
      <w:r>
        <w:rPr>
          <w:rFonts w:hint="eastAsia" w:cs="宋体"/>
          <w:color w:val="auto"/>
          <w:highlight w:val="none"/>
        </w:rPr>
        <w:t>质疑事项1：</w:t>
      </w:r>
    </w:p>
    <w:p>
      <w:pPr>
        <w:adjustRightInd w:val="0"/>
        <w:snapToGrid w:val="0"/>
        <w:ind w:firstLine="420"/>
        <w:rPr>
          <w:rFonts w:cs="宋体"/>
          <w:color w:val="auto"/>
          <w:highlight w:val="none"/>
          <w:u w:val="dotted"/>
        </w:rPr>
      </w:pPr>
      <w:r>
        <w:rPr>
          <w:rFonts w:hint="eastAsia" w:cs="宋体"/>
          <w:color w:val="auto"/>
          <w:highlight w:val="none"/>
        </w:rPr>
        <w:t>事实依据：</w:t>
      </w:r>
    </w:p>
    <w:p>
      <w:pPr>
        <w:adjustRightInd w:val="0"/>
        <w:snapToGrid w:val="0"/>
        <w:ind w:firstLine="420"/>
        <w:rPr>
          <w:rFonts w:cs="宋体"/>
          <w:color w:val="auto"/>
          <w:highlight w:val="none"/>
          <w:u w:val="dotted"/>
        </w:rPr>
      </w:pPr>
      <w:r>
        <w:rPr>
          <w:rFonts w:hint="eastAsia" w:cs="宋体"/>
          <w:color w:val="auto"/>
          <w:highlight w:val="none"/>
        </w:rPr>
        <w:t>法律依据：</w:t>
      </w:r>
    </w:p>
    <w:p>
      <w:pPr>
        <w:adjustRightInd w:val="0"/>
        <w:snapToGrid w:val="0"/>
        <w:ind w:firstLine="420"/>
        <w:rPr>
          <w:rFonts w:cs="宋体"/>
          <w:color w:val="auto"/>
          <w:highlight w:val="none"/>
          <w:u w:val="dotted"/>
        </w:rPr>
      </w:pPr>
      <w:r>
        <w:rPr>
          <w:rFonts w:hint="eastAsia" w:cs="宋体"/>
          <w:color w:val="auto"/>
          <w:highlight w:val="none"/>
        </w:rPr>
        <w:t>质疑事项2</w:t>
      </w:r>
    </w:p>
    <w:p>
      <w:pPr>
        <w:adjustRightInd w:val="0"/>
        <w:snapToGrid w:val="0"/>
        <w:ind w:firstLine="420"/>
        <w:rPr>
          <w:rFonts w:cs="宋体"/>
          <w:color w:val="auto"/>
          <w:highlight w:val="none"/>
        </w:rPr>
      </w:pPr>
      <w:r>
        <w:rPr>
          <w:rFonts w:hint="eastAsia" w:cs="宋体"/>
          <w:color w:val="auto"/>
          <w:highlight w:val="none"/>
        </w:rPr>
        <w:t>……</w:t>
      </w:r>
    </w:p>
    <w:p>
      <w:pPr>
        <w:adjustRightInd w:val="0"/>
        <w:snapToGrid w:val="0"/>
        <w:ind w:firstLine="422"/>
        <w:rPr>
          <w:rFonts w:cs="宋体"/>
          <w:b/>
          <w:color w:val="auto"/>
          <w:highlight w:val="none"/>
        </w:rPr>
      </w:pPr>
      <w:r>
        <w:rPr>
          <w:rFonts w:hint="eastAsia" w:cs="宋体"/>
          <w:b/>
          <w:color w:val="auto"/>
          <w:highlight w:val="none"/>
        </w:rPr>
        <w:t>四、与质疑事项相关的质疑请求</w:t>
      </w:r>
    </w:p>
    <w:p>
      <w:pPr>
        <w:adjustRightInd w:val="0"/>
        <w:snapToGrid w:val="0"/>
        <w:ind w:firstLine="420"/>
        <w:rPr>
          <w:rFonts w:cs="宋体"/>
          <w:color w:val="auto"/>
          <w:highlight w:val="none"/>
          <w:u w:val="dotted"/>
        </w:rPr>
      </w:pPr>
      <w:r>
        <w:rPr>
          <w:rFonts w:hint="eastAsia" w:cs="宋体"/>
          <w:color w:val="auto"/>
          <w:highlight w:val="none"/>
        </w:rPr>
        <w:t>请求：</w:t>
      </w:r>
    </w:p>
    <w:p>
      <w:pPr>
        <w:ind w:firstLine="420"/>
        <w:rPr>
          <w:rFonts w:cs="宋体"/>
          <w:color w:val="auto"/>
          <w:highlight w:val="none"/>
        </w:rPr>
      </w:pPr>
      <w:r>
        <w:rPr>
          <w:rFonts w:hint="eastAsia" w:cs="宋体"/>
          <w:color w:val="auto"/>
          <w:highlight w:val="none"/>
        </w:rPr>
        <w:t xml:space="preserve">签字(签章)：                    公章：                      </w:t>
      </w:r>
    </w:p>
    <w:p>
      <w:pPr>
        <w:ind w:firstLine="420"/>
        <w:rPr>
          <w:rFonts w:cs="宋体"/>
          <w:color w:val="auto"/>
          <w:highlight w:val="none"/>
        </w:rPr>
      </w:pPr>
      <w:r>
        <w:rPr>
          <w:rFonts w:hint="eastAsia" w:cs="宋体"/>
          <w:color w:val="auto"/>
          <w:highlight w:val="none"/>
        </w:rPr>
        <w:t xml:space="preserve">日期：     </w:t>
      </w:r>
    </w:p>
    <w:p>
      <w:pPr>
        <w:ind w:firstLine="420"/>
        <w:rPr>
          <w:rFonts w:cs="宋体"/>
          <w:i/>
          <w:iCs/>
          <w:color w:val="auto"/>
          <w:highlight w:val="none"/>
        </w:rPr>
      </w:pPr>
      <w:bookmarkStart w:id="1151" w:name="_Toc18501"/>
      <w:r>
        <w:rPr>
          <w:rFonts w:hint="eastAsia" w:cs="宋体"/>
          <w:i/>
          <w:iCs/>
          <w:color w:val="auto"/>
          <w:highlight w:val="none"/>
        </w:rPr>
        <w:t>质疑函制作说明：</w:t>
      </w:r>
      <w:bookmarkEnd w:id="1151"/>
    </w:p>
    <w:p>
      <w:pPr>
        <w:ind w:firstLine="420"/>
        <w:rPr>
          <w:rFonts w:cs="宋体"/>
          <w:i/>
          <w:iCs/>
          <w:color w:val="auto"/>
          <w:highlight w:val="none"/>
        </w:rPr>
      </w:pPr>
      <w:r>
        <w:rPr>
          <w:rFonts w:hint="eastAsia" w:cs="宋体"/>
          <w:i/>
          <w:iCs/>
          <w:color w:val="auto"/>
          <w:highlight w:val="none"/>
        </w:rPr>
        <w:t>1.供应商提出质疑时，应提交质疑函和必要的证明材料。</w:t>
      </w:r>
    </w:p>
    <w:p>
      <w:pPr>
        <w:ind w:firstLine="420"/>
        <w:rPr>
          <w:rFonts w:cs="宋体"/>
          <w:i/>
          <w:iCs/>
          <w:color w:val="auto"/>
          <w:highlight w:val="none"/>
        </w:rPr>
      </w:pPr>
      <w:r>
        <w:rPr>
          <w:rFonts w:hint="eastAsia" w:cs="宋体"/>
          <w:i/>
          <w:iCs/>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ind w:firstLine="420"/>
        <w:rPr>
          <w:rFonts w:cs="宋体"/>
          <w:i/>
          <w:iCs/>
          <w:color w:val="auto"/>
          <w:highlight w:val="none"/>
        </w:rPr>
      </w:pPr>
      <w:r>
        <w:rPr>
          <w:rFonts w:hint="eastAsia" w:cs="宋体"/>
          <w:i/>
          <w:iCs/>
          <w:color w:val="auto"/>
          <w:highlight w:val="none"/>
        </w:rPr>
        <w:t>3.质疑供应商若对项目的某一分包进行质疑，质疑函中应列明具体分包号。</w:t>
      </w:r>
    </w:p>
    <w:p>
      <w:pPr>
        <w:ind w:firstLine="420"/>
        <w:rPr>
          <w:rFonts w:cs="宋体"/>
          <w:i/>
          <w:iCs/>
          <w:color w:val="auto"/>
          <w:highlight w:val="none"/>
        </w:rPr>
      </w:pPr>
      <w:r>
        <w:rPr>
          <w:rFonts w:hint="eastAsia" w:cs="宋体"/>
          <w:i/>
          <w:iCs/>
          <w:color w:val="auto"/>
          <w:highlight w:val="none"/>
        </w:rPr>
        <w:t>4.质疑函的质疑事项应具体、明确，并有必要的事实依据和法律依据。</w:t>
      </w:r>
    </w:p>
    <w:p>
      <w:pPr>
        <w:ind w:firstLine="420"/>
        <w:rPr>
          <w:rFonts w:cs="宋体"/>
          <w:i/>
          <w:iCs/>
          <w:color w:val="auto"/>
          <w:highlight w:val="none"/>
        </w:rPr>
      </w:pPr>
      <w:r>
        <w:rPr>
          <w:rFonts w:hint="eastAsia" w:cs="宋体"/>
          <w:i/>
          <w:iCs/>
          <w:color w:val="auto"/>
          <w:highlight w:val="none"/>
        </w:rPr>
        <w:t>5.质疑函的质疑请求应与质疑事项相关。</w:t>
      </w:r>
    </w:p>
    <w:p>
      <w:pPr>
        <w:ind w:firstLine="420"/>
        <w:rPr>
          <w:rFonts w:cs="宋体"/>
          <w:i/>
          <w:iCs/>
          <w:color w:val="auto"/>
          <w:highlight w:val="none"/>
        </w:rPr>
      </w:pPr>
      <w:r>
        <w:rPr>
          <w:rFonts w:hint="eastAsia" w:cs="宋体"/>
          <w:i/>
          <w:iCs/>
          <w:color w:val="auto"/>
          <w:highlight w:val="none"/>
        </w:rPr>
        <w:t>6.质疑供应商为自然人的，质疑函应由本人签字；质疑供应商为法人或者其他组织的，质疑函应由法定代表人、主要负责人，或者其授权代表签字或者盖章，并加盖公章。</w:t>
      </w:r>
    </w:p>
    <w:sectPr>
      <w:pgSz w:w="11906" w:h="16838"/>
      <w:pgMar w:top="1418" w:right="1418" w:bottom="1418" w:left="1418" w:header="851" w:footer="992" w:gutter="0"/>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楷体_GB2312">
    <w:altName w:val="楷体"/>
    <w:panose1 w:val="00000000000000000000"/>
    <w:charset w:val="86"/>
    <w:family w:val="modern"/>
    <w:pitch w:val="default"/>
    <w:sig w:usb0="00000000" w:usb1="00000000" w:usb2="00000010" w:usb3="00000000" w:csb0="00040000" w:csb1="00000000"/>
  </w:font>
  <w:font w:name="Arial Unicode MS">
    <w:panose1 w:val="020B0604020202020204"/>
    <w:charset w:val="86"/>
    <w:family w:val="swiss"/>
    <w:pitch w:val="default"/>
    <w:sig w:usb0="FFFFFFFF" w:usb1="E9FFFFFF" w:usb2="0000003F" w:usb3="00000000" w:csb0="603F01FF" w:csb1="FFFF0000"/>
  </w:font>
  <w:font w:name="等线 Light">
    <w:altName w:val="宋体"/>
    <w:panose1 w:val="00000000000000000000"/>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r>
      <w:fldChar w:fldCharType="begin"/>
    </w:r>
    <w:r>
      <w:instrText xml:space="preserve"> PAGE   \* MERGEFORMAT </w:instrText>
    </w:r>
    <w:r>
      <w:fldChar w:fldCharType="separate"/>
    </w:r>
    <w:r>
      <w:rPr>
        <w:lang w:val="zh-CN"/>
      </w:rPr>
      <w:t>2</w:t>
    </w:r>
    <w:r>
      <w:rPr>
        <w:lang w:val="zh-CN"/>
      </w:rPr>
      <w:fldChar w:fldCharType="end"/>
    </w:r>
    <w:r>
      <w:tab/>
    </w:r>
    <w:r>
      <w:rPr>
        <w:rFonts w:hint="eastAsia"/>
      </w:rPr>
      <w:t>浙江五石工程咨询有限公司</w:t>
    </w: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00785" cy="222250"/>
              <wp:effectExtent l="0" t="0" r="12065" b="0"/>
              <wp:wrapNone/>
              <wp:docPr id="1" name="文本框 1"/>
              <wp:cNvGraphicFramePr/>
              <a:graphic xmlns:a="http://schemas.openxmlformats.org/drawingml/2006/main">
                <a:graphicData uri="http://schemas.microsoft.com/office/word/2010/wordprocessingShape">
                  <wps:wsp>
                    <wps:cNvSpPr txBox="1"/>
                    <wps:spPr>
                      <a:xfrm>
                        <a:off x="0" y="0"/>
                        <a:ext cx="1200785" cy="222250"/>
                      </a:xfrm>
                      <a:prstGeom prst="rect">
                        <a:avLst/>
                      </a:prstGeom>
                      <a:noFill/>
                      <a:ln w="6350">
                        <a:noFill/>
                      </a:ln>
                    </wps:spPr>
                    <wps:txbx>
                      <w:txbxContent>
                        <w:p>
                          <w:pPr>
                            <w:pStyle w:val="15"/>
                            <w:ind w:firstLine="360"/>
                            <w:rPr>
                              <w:rFonts w:eastAsiaTheme="minorEastAsia"/>
                            </w:rPr>
                          </w:pPr>
                          <w:r>
                            <w:rPr>
                              <w:rFonts w:hint="eastAsia"/>
                            </w:rPr>
                            <w:t xml:space="preserve">第 </w:t>
                          </w:r>
                          <w:r>
                            <w:fldChar w:fldCharType="begin"/>
                          </w:r>
                          <w:r>
                            <w:instrText xml:space="preserve"> PAGE  \* MERGEFORMAT </w:instrText>
                          </w:r>
                          <w:r>
                            <w:fldChar w:fldCharType="separate"/>
                          </w:r>
                          <w:r>
                            <w:t>3</w:t>
                          </w:r>
                          <w:r>
                            <w:fldChar w:fldCharType="end"/>
                          </w:r>
                          <w:r>
                            <w:rPr>
                              <w:rFonts w:hint="eastAsia"/>
                            </w:rPr>
                            <w:t xml:space="preserve"> 页 共 </w:t>
                          </w:r>
                          <w:r>
                            <w:fldChar w:fldCharType="begin"/>
                          </w:r>
                          <w:r>
                            <w:instrText xml:space="preserve"> NUMPAGES  \* MERGEFORMAT </w:instrText>
                          </w:r>
                          <w:r>
                            <w:fldChar w:fldCharType="separate"/>
                          </w:r>
                          <w:r>
                            <w:t>133</w:t>
                          </w:r>
                          <w: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7.5pt;width:94.55pt;mso-position-horizontal:center;mso-position-horizontal-relative:margin;mso-wrap-style:none;z-index:251659264;mso-width-relative:page;mso-height-relative:page;" filled="f" stroked="f" coordsize="21600,21600" o:gfxdata="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CcxL7XTAAAABAEAAA8AAAAAAAAAAQAgAAAAIgAAAGRycy9kb3ducmV2LnhtbFBLAQIUABQAAAAI&#10;AIdO4kASWUU1KwIAAFQEAAAOAAAAAAAAAAEAIAAAACIBAABkcnMvZTJvRG9jLnhtbFBLBQYAAAAA&#10;BgAGAFkBAAC/BQAAAAA=&#10;">
              <v:fill on="f" focussize="0,0"/>
              <v:stroke on="f" weight="0.5pt"/>
              <v:imagedata o:title=""/>
              <o:lock v:ext="edit" aspectratio="f"/>
              <v:textbox inset="0mm,0mm,0mm,0mm" style="mso-fit-shape-to-text:t;">
                <w:txbxContent>
                  <w:p>
                    <w:pPr>
                      <w:pStyle w:val="15"/>
                      <w:ind w:firstLine="360"/>
                      <w:rPr>
                        <w:rFonts w:eastAsiaTheme="minorEastAsia"/>
                      </w:rPr>
                    </w:pPr>
                    <w:r>
                      <w:rPr>
                        <w:rFonts w:hint="eastAsia"/>
                      </w:rPr>
                      <w:t xml:space="preserve">第 </w:t>
                    </w:r>
                    <w:r>
                      <w:fldChar w:fldCharType="begin"/>
                    </w:r>
                    <w:r>
                      <w:instrText xml:space="preserve"> PAGE  \* MERGEFORMAT </w:instrText>
                    </w:r>
                    <w:r>
                      <w:fldChar w:fldCharType="separate"/>
                    </w:r>
                    <w:r>
                      <w:t>3</w:t>
                    </w:r>
                    <w:r>
                      <w:fldChar w:fldCharType="end"/>
                    </w:r>
                    <w:r>
                      <w:rPr>
                        <w:rFonts w:hint="eastAsia"/>
                      </w:rPr>
                      <w:t xml:space="preserve"> 页 共 </w:t>
                    </w:r>
                    <w:r>
                      <w:fldChar w:fldCharType="begin"/>
                    </w:r>
                    <w:r>
                      <w:instrText xml:space="preserve"> NUMPAGES  \* MERGEFORMAT </w:instrText>
                    </w:r>
                    <w:r>
                      <w:fldChar w:fldCharType="separate"/>
                    </w:r>
                    <w:r>
                      <w:t>133</w:t>
                    </w:r>
                    <w:r>
                      <w:fldChar w:fldCharType="end"/>
                    </w:r>
                    <w:r>
                      <w:rPr>
                        <w:rFonts w:hint="eastAsia"/>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257935" cy="222250"/>
              <wp:effectExtent l="0" t="0" r="12065" b="0"/>
              <wp:wrapNone/>
              <wp:docPr id="5" name="文本框 5"/>
              <wp:cNvGraphicFramePr/>
              <a:graphic xmlns:a="http://schemas.openxmlformats.org/drawingml/2006/main">
                <a:graphicData uri="http://schemas.microsoft.com/office/word/2010/wordprocessingShape">
                  <wps:wsp>
                    <wps:cNvSpPr txBox="1"/>
                    <wps:spPr>
                      <a:xfrm>
                        <a:off x="0" y="0"/>
                        <a:ext cx="1257935" cy="222250"/>
                      </a:xfrm>
                      <a:prstGeom prst="rect">
                        <a:avLst/>
                      </a:prstGeom>
                      <a:noFill/>
                      <a:ln w="6350">
                        <a:noFill/>
                      </a:ln>
                    </wps:spPr>
                    <wps:txbx>
                      <w:txbxContent>
                        <w:p>
                          <w:pPr>
                            <w:pStyle w:val="15"/>
                            <w:ind w:firstLine="360"/>
                          </w:pPr>
                          <w:r>
                            <w:rPr>
                              <w:rFonts w:hint="eastAsia"/>
                            </w:rPr>
                            <w:t xml:space="preserve">第 </w:t>
                          </w:r>
                          <w:r>
                            <w:fldChar w:fldCharType="begin"/>
                          </w:r>
                          <w:r>
                            <w:instrText xml:space="preserve"> PAGE  \* MERGEFORMAT </w:instrText>
                          </w:r>
                          <w:r>
                            <w:fldChar w:fldCharType="separate"/>
                          </w:r>
                          <w:r>
                            <w:t>17</w:t>
                          </w:r>
                          <w:r>
                            <w:fldChar w:fldCharType="end"/>
                          </w:r>
                          <w:r>
                            <w:rPr>
                              <w:rFonts w:hint="eastAsia"/>
                            </w:rPr>
                            <w:t xml:space="preserve"> 页 共 </w:t>
                          </w:r>
                          <w:r>
                            <w:fldChar w:fldCharType="begin"/>
                          </w:r>
                          <w:r>
                            <w:instrText xml:space="preserve"> NUMPAGES  \* MERGEFORMAT </w:instrText>
                          </w:r>
                          <w:r>
                            <w:fldChar w:fldCharType="separate"/>
                          </w:r>
                          <w:r>
                            <w:t>133</w:t>
                          </w:r>
                          <w: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7.5pt;width:99.05pt;mso-position-horizontal:center;mso-position-horizontal-relative:margin;mso-wrap-style:none;z-index:251663360;mso-width-relative:page;mso-height-relative:page;" filled="f" stroked="f" coordsize="21600,21600" o:gfxdata="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HhWd19MAAAAEAQAADwAAAAAAAAABACAAAAAiAAAAZHJzL2Rvd25yZXYueG1sUEsBAhQAFAAA&#10;AAgAh07iQMXNDQUtAgAAVAQAAA4AAAAAAAAAAQAgAAAAIgEAAGRycy9lMm9Eb2MueG1sUEsFBgAA&#10;AAAGAAYAWQEAAMEFAAAAAA==&#10;">
              <v:fill on="f" focussize="0,0"/>
              <v:stroke on="f" weight="0.5pt"/>
              <v:imagedata o:title=""/>
              <o:lock v:ext="edit" aspectratio="f"/>
              <v:textbox inset="0mm,0mm,0mm,0mm" style="mso-fit-shape-to-text:t;">
                <w:txbxContent>
                  <w:p>
                    <w:pPr>
                      <w:pStyle w:val="15"/>
                      <w:ind w:firstLine="360"/>
                    </w:pPr>
                    <w:r>
                      <w:rPr>
                        <w:rFonts w:hint="eastAsia"/>
                      </w:rPr>
                      <w:t xml:space="preserve">第 </w:t>
                    </w:r>
                    <w:r>
                      <w:fldChar w:fldCharType="begin"/>
                    </w:r>
                    <w:r>
                      <w:instrText xml:space="preserve"> PAGE  \* MERGEFORMAT </w:instrText>
                    </w:r>
                    <w:r>
                      <w:fldChar w:fldCharType="separate"/>
                    </w:r>
                    <w:r>
                      <w:t>17</w:t>
                    </w:r>
                    <w:r>
                      <w:fldChar w:fldCharType="end"/>
                    </w:r>
                    <w:r>
                      <w:rPr>
                        <w:rFonts w:hint="eastAsia"/>
                      </w:rPr>
                      <w:t xml:space="preserve"> 页 共 </w:t>
                    </w:r>
                    <w:r>
                      <w:fldChar w:fldCharType="begin"/>
                    </w:r>
                    <w:r>
                      <w:instrText xml:space="preserve"> NUMPAGES  \* MERGEFORMAT </w:instrText>
                    </w:r>
                    <w:r>
                      <w:fldChar w:fldCharType="separate"/>
                    </w:r>
                    <w:r>
                      <w:t>133</w:t>
                    </w:r>
                    <w:r>
                      <w:fldChar w:fldCharType="end"/>
                    </w:r>
                    <w:r>
                      <w:rPr>
                        <w:rFonts w:hint="eastAsia"/>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right="360"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57935" cy="222250"/>
              <wp:effectExtent l="0" t="0" r="12065" b="0"/>
              <wp:wrapNone/>
              <wp:docPr id="2" name="文本框 2"/>
              <wp:cNvGraphicFramePr/>
              <a:graphic xmlns:a="http://schemas.openxmlformats.org/drawingml/2006/main">
                <a:graphicData uri="http://schemas.microsoft.com/office/word/2010/wordprocessingShape">
                  <wps:wsp>
                    <wps:cNvSpPr txBox="1"/>
                    <wps:spPr>
                      <a:xfrm>
                        <a:off x="0" y="0"/>
                        <a:ext cx="1257935" cy="222250"/>
                      </a:xfrm>
                      <a:prstGeom prst="rect">
                        <a:avLst/>
                      </a:prstGeom>
                      <a:noFill/>
                      <a:ln w="6350">
                        <a:noFill/>
                      </a:ln>
                    </wps:spPr>
                    <wps:txbx>
                      <w:txbxContent>
                        <w:p>
                          <w:pPr>
                            <w:pStyle w:val="15"/>
                            <w:ind w:firstLine="360"/>
                            <w:rPr>
                              <w:rFonts w:eastAsiaTheme="minorEastAsia"/>
                            </w:rPr>
                          </w:pPr>
                          <w:r>
                            <w:rPr>
                              <w:rFonts w:hint="eastAsia"/>
                            </w:rPr>
                            <w:t xml:space="preserve">第 </w:t>
                          </w:r>
                          <w:r>
                            <w:fldChar w:fldCharType="begin"/>
                          </w:r>
                          <w:r>
                            <w:instrText xml:space="preserve"> PAGE  \* MERGEFORMAT </w:instrText>
                          </w:r>
                          <w:r>
                            <w:fldChar w:fldCharType="separate"/>
                          </w:r>
                          <w:r>
                            <w:t>98</w:t>
                          </w:r>
                          <w:r>
                            <w:fldChar w:fldCharType="end"/>
                          </w:r>
                          <w:r>
                            <w:rPr>
                              <w:rFonts w:hint="eastAsia"/>
                            </w:rPr>
                            <w:t xml:space="preserve"> 页 共 </w:t>
                          </w:r>
                          <w:r>
                            <w:fldChar w:fldCharType="begin"/>
                          </w:r>
                          <w:r>
                            <w:instrText xml:space="preserve"> NUMPAGES  \* MERGEFORMAT </w:instrText>
                          </w:r>
                          <w:r>
                            <w:fldChar w:fldCharType="separate"/>
                          </w:r>
                          <w:r>
                            <w:t>133</w:t>
                          </w:r>
                          <w: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7.5pt;width:99.05pt;mso-position-horizontal:center;mso-position-horizontal-relative:margin;mso-wrap-style:none;z-index:251660288;mso-width-relative:page;mso-height-relative:page;" filled="f" stroked="f" coordsize="21600,21600" o:gfxdata="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HhWd19MAAAAEAQAADwAAAAAAAAABACAAAAAiAAAAZHJzL2Rvd25yZXYueG1sUEsBAhQAFAAA&#10;AAgAh07iQIxT9lEtAgAAVAQAAA4AAAAAAAAAAQAgAAAAIgEAAGRycy9lMm9Eb2MueG1sUEsFBgAA&#10;AAAGAAYAWQEAAMEFAAAAAA==&#10;">
              <v:fill on="f" focussize="0,0"/>
              <v:stroke on="f" weight="0.5pt"/>
              <v:imagedata o:title=""/>
              <o:lock v:ext="edit" aspectratio="f"/>
              <v:textbox inset="0mm,0mm,0mm,0mm" style="mso-fit-shape-to-text:t;">
                <w:txbxContent>
                  <w:p>
                    <w:pPr>
                      <w:pStyle w:val="15"/>
                      <w:ind w:firstLine="360"/>
                      <w:rPr>
                        <w:rFonts w:eastAsiaTheme="minorEastAsia"/>
                      </w:rPr>
                    </w:pPr>
                    <w:r>
                      <w:rPr>
                        <w:rFonts w:hint="eastAsia"/>
                      </w:rPr>
                      <w:t xml:space="preserve">第 </w:t>
                    </w:r>
                    <w:r>
                      <w:fldChar w:fldCharType="begin"/>
                    </w:r>
                    <w:r>
                      <w:instrText xml:space="preserve"> PAGE  \* MERGEFORMAT </w:instrText>
                    </w:r>
                    <w:r>
                      <w:fldChar w:fldCharType="separate"/>
                    </w:r>
                    <w:r>
                      <w:t>98</w:t>
                    </w:r>
                    <w:r>
                      <w:fldChar w:fldCharType="end"/>
                    </w:r>
                    <w:r>
                      <w:rPr>
                        <w:rFonts w:hint="eastAsia"/>
                      </w:rPr>
                      <w:t xml:space="preserve"> 页 共 </w:t>
                    </w:r>
                    <w:r>
                      <w:fldChar w:fldCharType="begin"/>
                    </w:r>
                    <w:r>
                      <w:instrText xml:space="preserve"> NUMPAGES  \* MERGEFORMAT </w:instrText>
                    </w:r>
                    <w:r>
                      <w:fldChar w:fldCharType="separate"/>
                    </w:r>
                    <w:r>
                      <w:t>133</w:t>
                    </w:r>
                    <w:r>
                      <w:fldChar w:fldCharType="end"/>
                    </w:r>
                    <w:r>
                      <w:rPr>
                        <w:rFonts w:hint="eastAsia"/>
                      </w:rP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315085" cy="222250"/>
              <wp:effectExtent l="0" t="0" r="12065" b="0"/>
              <wp:wrapNone/>
              <wp:docPr id="3" name="文本框 3"/>
              <wp:cNvGraphicFramePr/>
              <a:graphic xmlns:a="http://schemas.openxmlformats.org/drawingml/2006/main">
                <a:graphicData uri="http://schemas.microsoft.com/office/word/2010/wordprocessingShape">
                  <wps:wsp>
                    <wps:cNvSpPr txBox="1"/>
                    <wps:spPr>
                      <a:xfrm>
                        <a:off x="0" y="0"/>
                        <a:ext cx="1315085" cy="222250"/>
                      </a:xfrm>
                      <a:prstGeom prst="rect">
                        <a:avLst/>
                      </a:prstGeom>
                      <a:noFill/>
                      <a:ln w="6350">
                        <a:noFill/>
                      </a:ln>
                    </wps:spPr>
                    <wps:txbx>
                      <w:txbxContent>
                        <w:p>
                          <w:pPr>
                            <w:pStyle w:val="15"/>
                            <w:ind w:firstLine="360"/>
                            <w:rPr>
                              <w:rFonts w:eastAsiaTheme="minorEastAsia"/>
                            </w:rPr>
                          </w:pPr>
                          <w:r>
                            <w:rPr>
                              <w:rFonts w:hint="eastAsia"/>
                            </w:rPr>
                            <w:t xml:space="preserve">第 </w:t>
                          </w:r>
                          <w:r>
                            <w:fldChar w:fldCharType="begin"/>
                          </w:r>
                          <w:r>
                            <w:instrText xml:space="preserve"> PAGE  \* MERGEFORMAT </w:instrText>
                          </w:r>
                          <w:r>
                            <w:fldChar w:fldCharType="separate"/>
                          </w:r>
                          <w:r>
                            <w:t>101</w:t>
                          </w:r>
                          <w:r>
                            <w:fldChar w:fldCharType="end"/>
                          </w:r>
                          <w:r>
                            <w:rPr>
                              <w:rFonts w:hint="eastAsia"/>
                            </w:rPr>
                            <w:t xml:space="preserve"> 页 共 </w:t>
                          </w:r>
                          <w:r>
                            <w:fldChar w:fldCharType="begin"/>
                          </w:r>
                          <w:r>
                            <w:instrText xml:space="preserve"> NUMPAGES  \* MERGEFORMAT </w:instrText>
                          </w:r>
                          <w:r>
                            <w:fldChar w:fldCharType="separate"/>
                          </w:r>
                          <w:r>
                            <w:t>133</w:t>
                          </w:r>
                          <w: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7.5pt;width:103.55pt;mso-position-horizontal:center;mso-position-horizontal-relative:margin;mso-wrap-style:none;z-index:251661312;mso-width-relative:page;mso-height-relative:page;" filled="f" stroked="f" coordsize="21600,21600" o:gfxdata="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OzdBV9MAAAAEAQAADwAAAAAAAAABACAAAAAiAAAAZHJzL2Rvd25yZXYueG1sUEsBAhQAFAAA&#10;AAgAh07iQEAVgVgtAgAAVAQAAA4AAAAAAAAAAQAgAAAAIgEAAGRycy9lMm9Eb2MueG1sUEsFBgAA&#10;AAAGAAYAWQEAAMEFAAAAAA==&#10;">
              <v:fill on="f" focussize="0,0"/>
              <v:stroke on="f" weight="0.5pt"/>
              <v:imagedata o:title=""/>
              <o:lock v:ext="edit" aspectratio="f"/>
              <v:textbox inset="0mm,0mm,0mm,0mm" style="mso-fit-shape-to-text:t;">
                <w:txbxContent>
                  <w:p>
                    <w:pPr>
                      <w:pStyle w:val="15"/>
                      <w:ind w:firstLine="360"/>
                      <w:rPr>
                        <w:rFonts w:eastAsiaTheme="minorEastAsia"/>
                      </w:rPr>
                    </w:pPr>
                    <w:r>
                      <w:rPr>
                        <w:rFonts w:hint="eastAsia"/>
                      </w:rPr>
                      <w:t xml:space="preserve">第 </w:t>
                    </w:r>
                    <w:r>
                      <w:fldChar w:fldCharType="begin"/>
                    </w:r>
                    <w:r>
                      <w:instrText xml:space="preserve"> PAGE  \* MERGEFORMAT </w:instrText>
                    </w:r>
                    <w:r>
                      <w:fldChar w:fldCharType="separate"/>
                    </w:r>
                    <w:r>
                      <w:t>101</w:t>
                    </w:r>
                    <w:r>
                      <w:fldChar w:fldCharType="end"/>
                    </w:r>
                    <w:r>
                      <w:rPr>
                        <w:rFonts w:hint="eastAsia"/>
                      </w:rPr>
                      <w:t xml:space="preserve"> 页 共 </w:t>
                    </w:r>
                    <w:r>
                      <w:fldChar w:fldCharType="begin"/>
                    </w:r>
                    <w:r>
                      <w:instrText xml:space="preserve"> NUMPAGES  \* MERGEFORMAT </w:instrText>
                    </w:r>
                    <w:r>
                      <w:fldChar w:fldCharType="separate"/>
                    </w:r>
                    <w:r>
                      <w:t>133</w:t>
                    </w:r>
                    <w:r>
                      <w:fldChar w:fldCharType="end"/>
                    </w:r>
                    <w:r>
                      <w:rPr>
                        <w:rFonts w:hint="eastAsia"/>
                      </w:rP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center" w:y="1"/>
      <w:ind w:firstLine="360"/>
      <w:rPr>
        <w:rStyle w:val="25"/>
        <w:sz w:val="21"/>
        <w:szCs w:val="24"/>
      </w:rPr>
    </w:pPr>
    <w:r>
      <w:fldChar w:fldCharType="begin"/>
    </w:r>
    <w:r>
      <w:rPr>
        <w:rStyle w:val="25"/>
      </w:rPr>
      <w:instrText xml:space="preserve">PAGE  </w:instrText>
    </w:r>
    <w:r>
      <w:fldChar w:fldCharType="separate"/>
    </w:r>
    <w:r>
      <w:rPr>
        <w:rStyle w:val="25"/>
      </w:rPr>
      <w:t>1</w:t>
    </w:r>
    <w:r>
      <w:fldChar w:fldCharType="end"/>
    </w:r>
  </w:p>
  <w:p>
    <w:pPr>
      <w:pStyle w:val="15"/>
      <w:ind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tabs>
        <w:tab w:val="left" w:pos="900"/>
        <w:tab w:val="clear" w:pos="4153"/>
        <w:tab w:val="clear" w:pos="8306"/>
      </w:tabs>
      <w:ind w:firstLine="360"/>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15085" cy="222250"/>
              <wp:effectExtent l="0" t="0" r="12065" b="0"/>
              <wp:wrapNone/>
              <wp:docPr id="4" name="文本框 4"/>
              <wp:cNvGraphicFramePr/>
              <a:graphic xmlns:a="http://schemas.openxmlformats.org/drawingml/2006/main">
                <a:graphicData uri="http://schemas.microsoft.com/office/word/2010/wordprocessingShape">
                  <wps:wsp>
                    <wps:cNvSpPr txBox="1"/>
                    <wps:spPr>
                      <a:xfrm>
                        <a:off x="0" y="0"/>
                        <a:ext cx="1315085" cy="222250"/>
                      </a:xfrm>
                      <a:prstGeom prst="rect">
                        <a:avLst/>
                      </a:prstGeom>
                      <a:noFill/>
                      <a:ln w="6350">
                        <a:noFill/>
                      </a:ln>
                    </wps:spPr>
                    <wps:txbx>
                      <w:txbxContent>
                        <w:p>
                          <w:pPr>
                            <w:pStyle w:val="15"/>
                            <w:ind w:firstLine="360"/>
                            <w:rPr>
                              <w:rFonts w:eastAsiaTheme="minorEastAsia"/>
                            </w:rPr>
                          </w:pPr>
                          <w:r>
                            <w:rPr>
                              <w:rFonts w:hint="eastAsia"/>
                            </w:rPr>
                            <w:t xml:space="preserve">第 </w:t>
                          </w:r>
                          <w:r>
                            <w:fldChar w:fldCharType="begin"/>
                          </w:r>
                          <w:r>
                            <w:instrText xml:space="preserve"> PAGE  \* MERGEFORMAT </w:instrText>
                          </w:r>
                          <w:r>
                            <w:fldChar w:fldCharType="separate"/>
                          </w:r>
                          <w:r>
                            <w:t>107</w:t>
                          </w:r>
                          <w:r>
                            <w:fldChar w:fldCharType="end"/>
                          </w:r>
                          <w:r>
                            <w:rPr>
                              <w:rFonts w:hint="eastAsia"/>
                            </w:rPr>
                            <w:t xml:space="preserve"> 页 共 </w:t>
                          </w:r>
                          <w:r>
                            <w:fldChar w:fldCharType="begin"/>
                          </w:r>
                          <w:r>
                            <w:instrText xml:space="preserve"> NUMPAGES  \* MERGEFORMAT </w:instrText>
                          </w:r>
                          <w:r>
                            <w:fldChar w:fldCharType="separate"/>
                          </w:r>
                          <w:r>
                            <w:t>133</w:t>
                          </w:r>
                          <w: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7.5pt;width:103.55pt;mso-position-horizontal:center;mso-position-horizontal-relative:margin;mso-wrap-style:none;z-index:251662336;mso-width-relative:page;mso-height-relative:page;" filled="f" stroked="f" coordsize="21600,21600" o:gfxdata="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Ds3QVfTAAAABAEAAA8AAAAAAAAAAQAgAAAAIgAAAGRycy9kb3ducmV2LnhtbFBLAQIUABQA&#10;AAAIAIdO4kAJi3oMLgIAAFQEAAAOAAAAAAAAAAEAIAAAACIBAABkcnMvZTJvRG9jLnhtbFBLBQYA&#10;AAAABgAGAFkBAADCBQAAAAA=&#10;">
              <v:fill on="f" focussize="0,0"/>
              <v:stroke on="f" weight="0.5pt"/>
              <v:imagedata o:title=""/>
              <o:lock v:ext="edit" aspectratio="f"/>
              <v:textbox inset="0mm,0mm,0mm,0mm" style="mso-fit-shape-to-text:t;">
                <w:txbxContent>
                  <w:p>
                    <w:pPr>
                      <w:pStyle w:val="15"/>
                      <w:ind w:firstLine="360"/>
                      <w:rPr>
                        <w:rFonts w:eastAsiaTheme="minorEastAsia"/>
                      </w:rPr>
                    </w:pPr>
                    <w:r>
                      <w:rPr>
                        <w:rFonts w:hint="eastAsia"/>
                      </w:rPr>
                      <w:t xml:space="preserve">第 </w:t>
                    </w:r>
                    <w:r>
                      <w:fldChar w:fldCharType="begin"/>
                    </w:r>
                    <w:r>
                      <w:instrText xml:space="preserve"> PAGE  \* MERGEFORMAT </w:instrText>
                    </w:r>
                    <w:r>
                      <w:fldChar w:fldCharType="separate"/>
                    </w:r>
                    <w:r>
                      <w:t>107</w:t>
                    </w:r>
                    <w:r>
                      <w:fldChar w:fldCharType="end"/>
                    </w:r>
                    <w:r>
                      <w:rPr>
                        <w:rFonts w:hint="eastAsia"/>
                      </w:rPr>
                      <w:t xml:space="preserve"> 页 共 </w:t>
                    </w:r>
                    <w:r>
                      <w:fldChar w:fldCharType="begin"/>
                    </w:r>
                    <w:r>
                      <w:instrText xml:space="preserve"> NUMPAGES  \* MERGEFORMAT </w:instrText>
                    </w:r>
                    <w:r>
                      <w:fldChar w:fldCharType="separate"/>
                    </w:r>
                    <w:r>
                      <w:t>133</w:t>
                    </w:r>
                    <w:r>
                      <w:fldChar w:fldCharType="end"/>
                    </w:r>
                    <w:r>
                      <w:rPr>
                        <w:rFonts w:hint="eastAsia"/>
                      </w:rP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center" w:y="1"/>
      <w:ind w:firstLine="360"/>
      <w:rPr>
        <w:rStyle w:val="25"/>
        <w:sz w:val="21"/>
        <w:szCs w:val="24"/>
      </w:rPr>
    </w:pPr>
    <w:r>
      <w:fldChar w:fldCharType="begin"/>
    </w:r>
    <w:r>
      <w:rPr>
        <w:rStyle w:val="25"/>
      </w:rPr>
      <w:instrText xml:space="preserve">PAGE  </w:instrText>
    </w:r>
    <w:r>
      <w:fldChar w:fldCharType="end"/>
    </w:r>
  </w:p>
  <w:p>
    <w:pPr>
      <w:pStyle w:val="1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tabs>
        <w:tab w:val="left" w:pos="3358"/>
      </w:tabs>
      <w:ind w:firstLine="360"/>
      <w:jc w:val="left"/>
    </w:pPr>
    <w:r>
      <w:rPr>
        <w:rFonts w:hint="eastAsia"/>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jc w:val="both"/>
    </w:pPr>
    <w:r>
      <w:rPr>
        <w:rFonts w:hint="eastAsia"/>
      </w:rPr>
      <w:t>浙江出入境边防检查总站</w:t>
    </w:r>
    <w:r>
      <w:rPr>
        <w:rFonts w:hint="eastAsia"/>
      </w:rPr>
      <w:tab/>
    </w:r>
    <w:r>
      <w:rPr>
        <w:rFonts w:hint="eastAsia"/>
      </w:rPr>
      <w:t>文创中心脑电采集分析系统项目</w:t>
    </w:r>
    <w:r>
      <w:rPr>
        <w:rFonts w:hint="eastAsia"/>
      </w:rPr>
      <w:tab/>
    </w:r>
    <w:r>
      <w:rPr>
        <w:rFonts w:hint="eastAsia"/>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7AC049"/>
    <w:multiLevelType w:val="singleLevel"/>
    <w:tmpl w:val="B97AC049"/>
    <w:lvl w:ilvl="0" w:tentative="0">
      <w:start w:val="1"/>
      <w:numFmt w:val="decimal"/>
      <w:suff w:val="nothing"/>
      <w:lvlText w:val="%1、"/>
      <w:lvlJc w:val="left"/>
    </w:lvl>
  </w:abstractNum>
  <w:abstractNum w:abstractNumId="1">
    <w:nsid w:val="B9C56119"/>
    <w:multiLevelType w:val="singleLevel"/>
    <w:tmpl w:val="B9C56119"/>
    <w:lvl w:ilvl="0" w:tentative="0">
      <w:start w:val="2"/>
      <w:numFmt w:val="decimal"/>
      <w:lvlText w:val="%1."/>
      <w:lvlJc w:val="left"/>
      <w:pPr>
        <w:tabs>
          <w:tab w:val="left" w:pos="312"/>
        </w:tabs>
      </w:pPr>
    </w:lvl>
  </w:abstractNum>
  <w:abstractNum w:abstractNumId="2">
    <w:nsid w:val="E35A7A1A"/>
    <w:multiLevelType w:val="singleLevel"/>
    <w:tmpl w:val="E35A7A1A"/>
    <w:lvl w:ilvl="0" w:tentative="0">
      <w:start w:val="13"/>
      <w:numFmt w:val="decimal"/>
      <w:suff w:val="nothing"/>
      <w:lvlText w:val="%1．"/>
      <w:lvlJc w:val="left"/>
    </w:lvl>
  </w:abstractNum>
  <w:abstractNum w:abstractNumId="3">
    <w:nsid w:val="E95A8A79"/>
    <w:multiLevelType w:val="singleLevel"/>
    <w:tmpl w:val="E95A8A79"/>
    <w:lvl w:ilvl="0" w:tentative="0">
      <w:start w:val="2"/>
      <w:numFmt w:val="chineseCounting"/>
      <w:suff w:val="nothing"/>
      <w:lvlText w:val="%1、"/>
      <w:lvlJc w:val="left"/>
      <w:rPr>
        <w:rFonts w:hint="eastAsia"/>
      </w:rPr>
    </w:lvl>
  </w:abstractNum>
  <w:abstractNum w:abstractNumId="4">
    <w:nsid w:val="00000006"/>
    <w:multiLevelType w:val="singleLevel"/>
    <w:tmpl w:val="00000006"/>
    <w:lvl w:ilvl="0" w:tentative="0">
      <w:start w:val="1"/>
      <w:numFmt w:val="decimal"/>
      <w:suff w:val="nothing"/>
      <w:lvlText w:val="（%1）"/>
      <w:lvlJc w:val="left"/>
    </w:lvl>
  </w:abstractNum>
  <w:abstractNum w:abstractNumId="5">
    <w:nsid w:val="5B4DA1BC"/>
    <w:multiLevelType w:val="singleLevel"/>
    <w:tmpl w:val="5B4DA1BC"/>
    <w:lvl w:ilvl="0" w:tentative="0">
      <w:start w:val="2"/>
      <w:numFmt w:val="decimal"/>
      <w:suff w:val="nothing"/>
      <w:lvlText w:val="%1、"/>
      <w:lvlJc w:val="left"/>
    </w:lvl>
  </w:abstractNum>
  <w:num w:numId="1">
    <w:abstractNumId w:val="3"/>
  </w:num>
  <w:num w:numId="2">
    <w:abstractNumId w:val="0"/>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D8480A"/>
    <w:rsid w:val="0011418C"/>
    <w:rsid w:val="00283C0E"/>
    <w:rsid w:val="00361A0E"/>
    <w:rsid w:val="00400753"/>
    <w:rsid w:val="00427441"/>
    <w:rsid w:val="004A387A"/>
    <w:rsid w:val="00563811"/>
    <w:rsid w:val="00613684"/>
    <w:rsid w:val="006C5A81"/>
    <w:rsid w:val="007C0BEB"/>
    <w:rsid w:val="00830775"/>
    <w:rsid w:val="009808D7"/>
    <w:rsid w:val="00A20D49"/>
    <w:rsid w:val="00BC0B1C"/>
    <w:rsid w:val="00CF0AD0"/>
    <w:rsid w:val="00D13B49"/>
    <w:rsid w:val="00D774C4"/>
    <w:rsid w:val="00D77A33"/>
    <w:rsid w:val="00E54484"/>
    <w:rsid w:val="00E67B02"/>
    <w:rsid w:val="00F85B02"/>
    <w:rsid w:val="00FA2A9D"/>
    <w:rsid w:val="01373B95"/>
    <w:rsid w:val="01E61999"/>
    <w:rsid w:val="02A70C01"/>
    <w:rsid w:val="03BA0956"/>
    <w:rsid w:val="0515402D"/>
    <w:rsid w:val="05E73F39"/>
    <w:rsid w:val="07B44110"/>
    <w:rsid w:val="0B5D5CD1"/>
    <w:rsid w:val="0BE73469"/>
    <w:rsid w:val="113B1DA5"/>
    <w:rsid w:val="120036E4"/>
    <w:rsid w:val="1250761B"/>
    <w:rsid w:val="145739E2"/>
    <w:rsid w:val="14CA22D1"/>
    <w:rsid w:val="15245DDC"/>
    <w:rsid w:val="15454E06"/>
    <w:rsid w:val="18922E05"/>
    <w:rsid w:val="1B5A5DE3"/>
    <w:rsid w:val="1C6F3787"/>
    <w:rsid w:val="1D28069D"/>
    <w:rsid w:val="200F44EE"/>
    <w:rsid w:val="217B0FCC"/>
    <w:rsid w:val="22FF724D"/>
    <w:rsid w:val="23C75D4A"/>
    <w:rsid w:val="25A458EE"/>
    <w:rsid w:val="265F7813"/>
    <w:rsid w:val="26805087"/>
    <w:rsid w:val="26D8480A"/>
    <w:rsid w:val="26EF0A88"/>
    <w:rsid w:val="2A882F84"/>
    <w:rsid w:val="2B304B26"/>
    <w:rsid w:val="2C246355"/>
    <w:rsid w:val="2D075CDF"/>
    <w:rsid w:val="2D1F0120"/>
    <w:rsid w:val="2D4A5727"/>
    <w:rsid w:val="2DCA2B32"/>
    <w:rsid w:val="2EE120A9"/>
    <w:rsid w:val="30922C3C"/>
    <w:rsid w:val="36F33DFC"/>
    <w:rsid w:val="37C40597"/>
    <w:rsid w:val="38257701"/>
    <w:rsid w:val="389A26B4"/>
    <w:rsid w:val="38B620F1"/>
    <w:rsid w:val="39AF3E49"/>
    <w:rsid w:val="3B1A56C5"/>
    <w:rsid w:val="3C6859E3"/>
    <w:rsid w:val="3C987605"/>
    <w:rsid w:val="3D9B66D9"/>
    <w:rsid w:val="3EC215FD"/>
    <w:rsid w:val="423100B8"/>
    <w:rsid w:val="430507D5"/>
    <w:rsid w:val="43C05833"/>
    <w:rsid w:val="452A4C1E"/>
    <w:rsid w:val="4915754F"/>
    <w:rsid w:val="499A1867"/>
    <w:rsid w:val="4BE4410C"/>
    <w:rsid w:val="504D2A52"/>
    <w:rsid w:val="530E1B7F"/>
    <w:rsid w:val="53A24CEA"/>
    <w:rsid w:val="55F91F2F"/>
    <w:rsid w:val="579E0596"/>
    <w:rsid w:val="59517C6B"/>
    <w:rsid w:val="5970545C"/>
    <w:rsid w:val="5991384C"/>
    <w:rsid w:val="59C3077B"/>
    <w:rsid w:val="5A5C0EA0"/>
    <w:rsid w:val="5CA21492"/>
    <w:rsid w:val="5E2F1E83"/>
    <w:rsid w:val="5E512688"/>
    <w:rsid w:val="5FDD44FA"/>
    <w:rsid w:val="5FE02BBD"/>
    <w:rsid w:val="61482F1C"/>
    <w:rsid w:val="615F0959"/>
    <w:rsid w:val="664C7DDD"/>
    <w:rsid w:val="66837897"/>
    <w:rsid w:val="68541CDD"/>
    <w:rsid w:val="686B433E"/>
    <w:rsid w:val="6B210269"/>
    <w:rsid w:val="6BA92FAB"/>
    <w:rsid w:val="6F06159E"/>
    <w:rsid w:val="73317F3A"/>
    <w:rsid w:val="763927CD"/>
    <w:rsid w:val="76F625F0"/>
    <w:rsid w:val="7956279D"/>
    <w:rsid w:val="7E36494C"/>
    <w:rsid w:val="7E6A6BC0"/>
    <w:rsid w:val="7EAD731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9"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1044" w:firstLineChars="200"/>
      <w:jc w:val="both"/>
    </w:pPr>
    <w:rPr>
      <w:rFonts w:ascii="宋体" w:hAnsi="宋体" w:eastAsia="宋体" w:cs="Arial"/>
      <w:kern w:val="2"/>
      <w:sz w:val="21"/>
      <w:szCs w:val="24"/>
      <w:lang w:val="en-US" w:eastAsia="zh-CN" w:bidi="ar-SA"/>
    </w:rPr>
  </w:style>
  <w:style w:type="paragraph" w:styleId="4">
    <w:name w:val="heading 1"/>
    <w:basedOn w:val="1"/>
    <w:next w:val="1"/>
    <w:qFormat/>
    <w:uiPriority w:val="0"/>
    <w:pPr>
      <w:keepNext/>
      <w:keepLines/>
      <w:jc w:val="center"/>
      <w:outlineLvl w:val="0"/>
    </w:pPr>
    <w:rPr>
      <w:b/>
      <w:bCs/>
      <w:kern w:val="44"/>
      <w:sz w:val="30"/>
      <w:szCs w:val="44"/>
    </w:rPr>
  </w:style>
  <w:style w:type="paragraph" w:styleId="5">
    <w:name w:val="heading 2"/>
    <w:basedOn w:val="1"/>
    <w:next w:val="1"/>
    <w:unhideWhenUsed/>
    <w:qFormat/>
    <w:uiPriority w:val="0"/>
    <w:pPr>
      <w:keepNext/>
      <w:keepLines/>
      <w:adjustRightInd w:val="0"/>
      <w:jc w:val="left"/>
      <w:outlineLvl w:val="1"/>
    </w:pPr>
    <w:rPr>
      <w:rFonts w:ascii="黑体" w:hAnsi="黑体"/>
      <w:b/>
      <w:bCs/>
      <w:sz w:val="24"/>
      <w:szCs w:val="32"/>
    </w:rPr>
  </w:style>
  <w:style w:type="paragraph" w:styleId="6">
    <w:name w:val="heading 3"/>
    <w:basedOn w:val="1"/>
    <w:next w:val="1"/>
    <w:unhideWhenUsed/>
    <w:qFormat/>
    <w:uiPriority w:val="0"/>
    <w:pPr>
      <w:keepNext/>
      <w:keepLines/>
      <w:jc w:val="center"/>
      <w:outlineLvl w:val="2"/>
    </w:pPr>
    <w:rPr>
      <w:b/>
      <w:bCs/>
      <w:sz w:val="24"/>
      <w:szCs w:val="32"/>
    </w:rPr>
  </w:style>
  <w:style w:type="paragraph" w:styleId="7">
    <w:name w:val="heading 4"/>
    <w:basedOn w:val="1"/>
    <w:next w:val="1"/>
    <w:qFormat/>
    <w:uiPriority w:val="9"/>
    <w:pPr>
      <w:keepNext/>
      <w:keepLines/>
      <w:outlineLvl w:val="3"/>
    </w:pPr>
    <w:rPr>
      <w:rFonts w:ascii="Cambria" w:hAnsi="Cambria"/>
      <w:b/>
      <w:bCs/>
      <w:szCs w:val="28"/>
    </w:rPr>
  </w:style>
  <w:style w:type="paragraph" w:styleId="8">
    <w:name w:val="heading 5"/>
    <w:basedOn w:val="1"/>
    <w:next w:val="1"/>
    <w:qFormat/>
    <w:uiPriority w:val="0"/>
    <w:pPr>
      <w:keepNext/>
      <w:keepLines/>
      <w:spacing w:before="280" w:after="290" w:line="372" w:lineRule="auto"/>
      <w:outlineLvl w:val="4"/>
    </w:pPr>
    <w:rPr>
      <w:b/>
      <w:bCs/>
      <w:sz w:val="28"/>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3"/>
    <w:qFormat/>
    <w:uiPriority w:val="0"/>
    <w:pPr>
      <w:widowControl w:val="0"/>
      <w:autoSpaceDE w:val="0"/>
      <w:autoSpaceDN w:val="0"/>
      <w:adjustRightInd w:val="0"/>
    </w:pPr>
    <w:rPr>
      <w:rFonts w:ascii="楷体" w:hAnsi="Arial" w:eastAsia="楷体" w:cs="Arial"/>
      <w:color w:val="000000"/>
      <w:sz w:val="24"/>
      <w:szCs w:val="24"/>
      <w:lang w:val="en-US" w:eastAsia="zh-CN" w:bidi="ar-SA"/>
    </w:rPr>
  </w:style>
  <w:style w:type="paragraph" w:customStyle="1" w:styleId="3">
    <w:name w:val="目录 71"/>
    <w:next w:val="1"/>
    <w:qFormat/>
    <w:uiPriority w:val="0"/>
    <w:pPr>
      <w:wordWrap w:val="0"/>
      <w:ind w:left="2550"/>
      <w:jc w:val="both"/>
    </w:pPr>
    <w:rPr>
      <w:rFonts w:asciiTheme="minorHAnsi" w:hAnsiTheme="minorHAnsi" w:eastAsiaTheme="minorEastAsia" w:cstheme="minorBidi"/>
      <w:sz w:val="21"/>
      <w:szCs w:val="22"/>
      <w:lang w:val="en-US" w:eastAsia="zh-CN" w:bidi="ar-SA"/>
    </w:rPr>
  </w:style>
  <w:style w:type="paragraph" w:styleId="9">
    <w:name w:val="annotation text"/>
    <w:basedOn w:val="1"/>
    <w:qFormat/>
    <w:uiPriority w:val="0"/>
    <w:pPr>
      <w:jc w:val="left"/>
    </w:pPr>
  </w:style>
  <w:style w:type="paragraph" w:styleId="10">
    <w:name w:val="Body Text"/>
    <w:basedOn w:val="1"/>
    <w:qFormat/>
    <w:uiPriority w:val="0"/>
    <w:rPr>
      <w:rFonts w:cs="Times New Roman"/>
    </w:rPr>
  </w:style>
  <w:style w:type="paragraph" w:styleId="11">
    <w:name w:val="Body Text Indent"/>
    <w:basedOn w:val="1"/>
    <w:qFormat/>
    <w:uiPriority w:val="0"/>
    <w:pPr>
      <w:adjustRightInd w:val="0"/>
      <w:ind w:firstLine="490"/>
      <w:jc w:val="left"/>
    </w:pPr>
    <w:rPr>
      <w:rFonts w:ascii="Century Gothic" w:hAnsi="Century Gothic"/>
      <w:sz w:val="24"/>
      <w:szCs w:val="20"/>
    </w:rPr>
  </w:style>
  <w:style w:type="paragraph" w:styleId="12">
    <w:name w:val="Block Text"/>
    <w:basedOn w:val="1"/>
    <w:qFormat/>
    <w:uiPriority w:val="0"/>
    <w:pPr>
      <w:adjustRightInd w:val="0"/>
      <w:snapToGrid w:val="0"/>
      <w:spacing w:line="300" w:lineRule="auto"/>
      <w:ind w:left="958" w:right="-120" w:rightChars="-120"/>
      <w:jc w:val="left"/>
    </w:pPr>
    <w:rPr>
      <w:rFonts w:hint="eastAsia" w:ascii="Century Gothic" w:hAnsi="Century Gothic"/>
      <w:sz w:val="28"/>
      <w:szCs w:val="20"/>
    </w:rPr>
  </w:style>
  <w:style w:type="paragraph" w:styleId="13">
    <w:name w:val="Plain Text"/>
    <w:basedOn w:val="1"/>
    <w:qFormat/>
    <w:uiPriority w:val="0"/>
    <w:rPr>
      <w:rFonts w:ascii="Century Gothic" w:hAnsi="楷体_GB2312" w:cs="楷体_GB2312"/>
      <w:szCs w:val="21"/>
    </w:rPr>
  </w:style>
  <w:style w:type="paragraph" w:styleId="14">
    <w:name w:val="Balloon Text"/>
    <w:basedOn w:val="1"/>
    <w:link w:val="37"/>
    <w:qFormat/>
    <w:uiPriority w:val="0"/>
    <w:pPr>
      <w:spacing w:line="240" w:lineRule="auto"/>
    </w:pPr>
    <w:rPr>
      <w:sz w:val="18"/>
      <w:szCs w:val="18"/>
    </w:rPr>
  </w:style>
  <w:style w:type="paragraph" w:styleId="15">
    <w:name w:val="footer"/>
    <w:basedOn w:val="1"/>
    <w:qFormat/>
    <w:uiPriority w:val="0"/>
    <w:pPr>
      <w:tabs>
        <w:tab w:val="center" w:pos="4153"/>
        <w:tab w:val="right" w:pos="8306"/>
      </w:tabs>
      <w:adjustRightInd w:val="0"/>
      <w:jc w:val="left"/>
    </w:pPr>
    <w:rPr>
      <w:sz w:val="18"/>
      <w:szCs w:val="20"/>
    </w:rPr>
  </w:style>
  <w:style w:type="paragraph" w:styleId="16">
    <w:name w:val="header"/>
    <w:basedOn w:val="1"/>
    <w:qFormat/>
    <w:uiPriority w:val="0"/>
    <w:pPr>
      <w:pBdr>
        <w:bottom w:val="single" w:color="auto" w:sz="6" w:space="1"/>
      </w:pBdr>
      <w:tabs>
        <w:tab w:val="center" w:pos="4153"/>
        <w:tab w:val="right" w:pos="8306"/>
      </w:tabs>
      <w:adjustRightInd w:val="0"/>
      <w:jc w:val="center"/>
    </w:pPr>
    <w:rPr>
      <w:rFonts w:cs="Times New Roman"/>
      <w:sz w:val="18"/>
      <w:szCs w:val="20"/>
    </w:rPr>
  </w:style>
  <w:style w:type="paragraph" w:styleId="17">
    <w:name w:val="toc 1"/>
    <w:basedOn w:val="1"/>
    <w:next w:val="1"/>
    <w:qFormat/>
    <w:uiPriority w:val="0"/>
    <w:pPr>
      <w:tabs>
        <w:tab w:val="right" w:leader="dot" w:pos="8720"/>
      </w:tabs>
      <w:jc w:val="left"/>
    </w:pPr>
    <w:rPr>
      <w:rFonts w:ascii="Century Gothic" w:hAnsi="Century Gothic"/>
      <w:bCs/>
      <w:caps/>
      <w:sz w:val="20"/>
      <w:szCs w:val="20"/>
    </w:rPr>
  </w:style>
  <w:style w:type="paragraph" w:styleId="18">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pPr>
    <w:rPr>
      <w:rFonts w:ascii="Arial Unicode MS" w:hAnsi="Arial Unicode MS" w:eastAsia="Arial Unicode MS"/>
      <w:kern w:val="0"/>
      <w:sz w:val="20"/>
      <w:szCs w:val="20"/>
    </w:rPr>
  </w:style>
  <w:style w:type="paragraph" w:styleId="19">
    <w:name w:val="Normal (Web)"/>
    <w:basedOn w:val="1"/>
    <w:qFormat/>
    <w:uiPriority w:val="0"/>
    <w:pPr>
      <w:widowControl/>
      <w:shd w:val="clear" w:color="auto" w:fill="FFFFFF"/>
      <w:spacing w:beforeAutospacing="1" w:afterAutospacing="1"/>
      <w:jc w:val="left"/>
    </w:pPr>
    <w:rPr>
      <w:rFonts w:ascii="Century Gothic" w:hAnsi="Century Gothic" w:cs="Times New Roman"/>
      <w:kern w:val="0"/>
      <w:sz w:val="18"/>
      <w:szCs w:val="18"/>
    </w:rPr>
  </w:style>
  <w:style w:type="paragraph" w:styleId="20">
    <w:name w:val="Title"/>
    <w:basedOn w:val="1"/>
    <w:next w:val="1"/>
    <w:qFormat/>
    <w:uiPriority w:val="0"/>
    <w:pPr>
      <w:spacing w:line="240" w:lineRule="auto"/>
      <w:ind w:firstLine="0" w:firstLineChars="0"/>
      <w:jc w:val="center"/>
    </w:pPr>
    <w:rPr>
      <w:rFonts w:ascii="等线 Light" w:hAnsi="等线 Light" w:eastAsia="等线 Light"/>
      <w:b/>
      <w:sz w:val="32"/>
      <w:szCs w:val="32"/>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Strong"/>
    <w:qFormat/>
    <w:uiPriority w:val="0"/>
    <w:rPr>
      <w:b/>
    </w:rPr>
  </w:style>
  <w:style w:type="character" w:styleId="25">
    <w:name w:val="page number"/>
    <w:basedOn w:val="23"/>
    <w:qFormat/>
    <w:uiPriority w:val="0"/>
  </w:style>
  <w:style w:type="character" w:styleId="26">
    <w:name w:val="FollowedHyperlink"/>
    <w:basedOn w:val="23"/>
    <w:qFormat/>
    <w:uiPriority w:val="0"/>
    <w:rPr>
      <w:rFonts w:hint="eastAsia" w:ascii="微软雅黑" w:hAnsi="微软雅黑" w:eastAsia="微软雅黑" w:cs="微软雅黑"/>
      <w:color w:val="02396F"/>
      <w:u w:val="single"/>
    </w:rPr>
  </w:style>
  <w:style w:type="character" w:styleId="27">
    <w:name w:val="Hyperlink"/>
    <w:basedOn w:val="23"/>
    <w:qFormat/>
    <w:uiPriority w:val="0"/>
    <w:rPr>
      <w:color w:val="0000FF"/>
      <w:u w:val="single"/>
    </w:rPr>
  </w:style>
  <w:style w:type="character" w:styleId="28">
    <w:name w:val="annotation reference"/>
    <w:basedOn w:val="23"/>
    <w:qFormat/>
    <w:uiPriority w:val="0"/>
    <w:rPr>
      <w:sz w:val="21"/>
      <w:szCs w:val="21"/>
    </w:rPr>
  </w:style>
  <w:style w:type="paragraph" w:customStyle="1" w:styleId="29">
    <w:name w:val="TOC 71"/>
    <w:next w:val="1"/>
    <w:qFormat/>
    <w:uiPriority w:val="0"/>
    <w:pPr>
      <w:wordWrap w:val="0"/>
      <w:ind w:left="2550"/>
      <w:jc w:val="both"/>
    </w:pPr>
    <w:rPr>
      <w:rFonts w:asciiTheme="minorHAnsi" w:hAnsiTheme="minorHAnsi" w:eastAsiaTheme="minorEastAsia" w:cstheme="minorBidi"/>
      <w:sz w:val="21"/>
      <w:szCs w:val="22"/>
      <w:lang w:val="en-US" w:eastAsia="zh-CN" w:bidi="ar-SA"/>
    </w:rPr>
  </w:style>
  <w:style w:type="paragraph" w:customStyle="1" w:styleId="30">
    <w:name w:val="样式1"/>
    <w:basedOn w:val="1"/>
    <w:qFormat/>
    <w:uiPriority w:val="0"/>
    <w:pPr>
      <w:spacing w:line="360" w:lineRule="exact"/>
      <w:ind w:firstLine="200"/>
    </w:pPr>
    <w:rPr>
      <w:rFonts w:cs="Times New Roman"/>
      <w:kern w:val="0"/>
      <w:sz w:val="20"/>
    </w:rPr>
  </w:style>
  <w:style w:type="paragraph" w:customStyle="1" w:styleId="31">
    <w:name w:val="正文2"/>
    <w:basedOn w:val="1"/>
    <w:qFormat/>
    <w:uiPriority w:val="0"/>
    <w:pPr>
      <w:spacing w:before="156"/>
      <w:ind w:firstLine="510"/>
    </w:pPr>
    <w:rPr>
      <w:rFonts w:ascii="Times New Roman" w:hAnsi="Times New Roman" w:cs="Times New Roman"/>
      <w:sz w:val="24"/>
      <w:szCs w:val="20"/>
    </w:rPr>
  </w:style>
  <w:style w:type="paragraph" w:customStyle="1" w:styleId="32">
    <w:name w:val="_Style 5"/>
    <w:basedOn w:val="4"/>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33">
    <w:name w:val="表内文字"/>
    <w:basedOn w:val="1"/>
    <w:qFormat/>
    <w:uiPriority w:val="0"/>
    <w:pPr>
      <w:tabs>
        <w:tab w:val="left" w:pos="1418"/>
      </w:tabs>
      <w:jc w:val="center"/>
    </w:pPr>
    <w:rPr>
      <w:rFonts w:hint="eastAsia" w:ascii="仿宋_GB2312" w:hAnsi="Times New Roman" w:eastAsia="仿宋_GB2312" w:cs="Times New Roman"/>
      <w:spacing w:val="-20"/>
      <w:kern w:val="0"/>
      <w:sz w:val="24"/>
    </w:rPr>
  </w:style>
  <w:style w:type="paragraph" w:customStyle="1" w:styleId="34">
    <w:name w:val="默认段落字体 Para Char Char Char Char Char Char Char Char Char1 Char Char Char Char"/>
    <w:basedOn w:val="1"/>
    <w:qFormat/>
    <w:uiPriority w:val="0"/>
    <w:rPr>
      <w:rFonts w:ascii="Tahoma" w:hAnsi="Tahoma" w:cs="Times New Roman"/>
      <w:sz w:val="24"/>
      <w:szCs w:val="20"/>
    </w:rPr>
  </w:style>
  <w:style w:type="paragraph" w:customStyle="1" w:styleId="35">
    <w:name w:val="WPSOffice手动目录 1"/>
    <w:qFormat/>
    <w:uiPriority w:val="0"/>
    <w:rPr>
      <w:rFonts w:ascii="Times New Roman" w:hAnsi="Times New Roman" w:eastAsia="宋体" w:cs="Times New Roman"/>
      <w:lang w:val="en-US" w:eastAsia="zh-CN" w:bidi="ar-SA"/>
    </w:rPr>
  </w:style>
  <w:style w:type="paragraph" w:customStyle="1" w:styleId="36">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37">
    <w:name w:val="批注框文本 Char"/>
    <w:basedOn w:val="23"/>
    <w:link w:val="14"/>
    <w:qFormat/>
    <w:uiPriority w:val="0"/>
    <w:rPr>
      <w:rFonts w:ascii="宋体" w:hAnsi="宋体" w:eastAsia="宋体" w:cs="Arial"/>
      <w:kern w:val="2"/>
      <w:sz w:val="18"/>
      <w:szCs w:val="18"/>
    </w:rPr>
  </w:style>
  <w:style w:type="character" w:customStyle="1" w:styleId="38">
    <w:name w:val="prev"/>
    <w:basedOn w:val="23"/>
    <w:qFormat/>
    <w:uiPriority w:val="0"/>
    <w:rPr>
      <w:rFonts w:ascii="微软雅黑" w:hAnsi="微软雅黑" w:eastAsia="微软雅黑" w:cs="微软雅黑"/>
      <w:sz w:val="21"/>
      <w:szCs w:val="21"/>
    </w:rPr>
  </w:style>
  <w:style w:type="character" w:customStyle="1" w:styleId="39">
    <w:name w:val="prev1"/>
    <w:basedOn w:val="23"/>
    <w:qFormat/>
    <w:uiPriority w:val="0"/>
    <w:rPr>
      <w:color w:val="888888"/>
    </w:rPr>
  </w:style>
  <w:style w:type="character" w:customStyle="1" w:styleId="40">
    <w:name w:val="redfilenumber"/>
    <w:basedOn w:val="23"/>
    <w:qFormat/>
    <w:uiPriority w:val="0"/>
    <w:rPr>
      <w:color w:val="BA2636"/>
      <w:sz w:val="18"/>
      <w:szCs w:val="18"/>
    </w:rPr>
  </w:style>
  <w:style w:type="character" w:customStyle="1" w:styleId="41">
    <w:name w:val="next"/>
    <w:basedOn w:val="23"/>
    <w:qFormat/>
    <w:uiPriority w:val="0"/>
    <w:rPr>
      <w:rFonts w:hint="eastAsia" w:ascii="微软雅黑" w:hAnsi="微软雅黑" w:eastAsia="微软雅黑" w:cs="微软雅黑"/>
      <w:sz w:val="21"/>
      <w:szCs w:val="21"/>
    </w:rPr>
  </w:style>
  <w:style w:type="character" w:customStyle="1" w:styleId="42">
    <w:name w:val="qxdate"/>
    <w:basedOn w:val="23"/>
    <w:qFormat/>
    <w:uiPriority w:val="0"/>
    <w:rPr>
      <w:color w:val="333333"/>
      <w:sz w:val="18"/>
      <w:szCs w:val="18"/>
    </w:rPr>
  </w:style>
  <w:style w:type="character" w:customStyle="1" w:styleId="43">
    <w:name w:val="cfdate"/>
    <w:basedOn w:val="23"/>
    <w:qFormat/>
    <w:uiPriority w:val="0"/>
    <w:rPr>
      <w:color w:val="333333"/>
      <w:sz w:val="18"/>
      <w:szCs w:val="18"/>
    </w:rPr>
  </w:style>
  <w:style w:type="character" w:customStyle="1" w:styleId="44">
    <w:name w:val="displayarti"/>
    <w:basedOn w:val="23"/>
    <w:qFormat/>
    <w:uiPriority w:val="0"/>
    <w:rPr>
      <w:color w:val="FFFFFF"/>
      <w:shd w:val="clear" w:fill="A00000"/>
    </w:rPr>
  </w:style>
  <w:style w:type="character" w:customStyle="1" w:styleId="45">
    <w:name w:val="redfilefwwh"/>
    <w:basedOn w:val="23"/>
    <w:qFormat/>
    <w:uiPriority w:val="0"/>
    <w:rPr>
      <w:color w:val="BA2636"/>
      <w:sz w:val="18"/>
      <w:szCs w:val="18"/>
    </w:rPr>
  </w:style>
  <w:style w:type="character" w:customStyle="1" w:styleId="46">
    <w:name w:val="gjfg"/>
    <w:basedOn w:val="23"/>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3" Type="http://schemas.openxmlformats.org/officeDocument/2006/relationships/fontTable" Target="fontTable.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image" Target="media/image5.wmf"/><Relationship Id="rId3" Type="http://schemas.openxmlformats.org/officeDocument/2006/relationships/footnotes" Target="footnotes.xml"/><Relationship Id="rId29" Type="http://schemas.openxmlformats.org/officeDocument/2006/relationships/oleObject" Target="embeddings/oleObject5.bin"/><Relationship Id="rId28" Type="http://schemas.openxmlformats.org/officeDocument/2006/relationships/image" Target="media/image4.wmf"/><Relationship Id="rId27" Type="http://schemas.openxmlformats.org/officeDocument/2006/relationships/oleObject" Target="embeddings/oleObject4.bin"/><Relationship Id="rId26" Type="http://schemas.openxmlformats.org/officeDocument/2006/relationships/image" Target="media/image3.wmf"/><Relationship Id="rId25" Type="http://schemas.openxmlformats.org/officeDocument/2006/relationships/oleObject" Target="embeddings/oleObject3.bin"/><Relationship Id="rId24" Type="http://schemas.openxmlformats.org/officeDocument/2006/relationships/image" Target="media/image2.wmf"/><Relationship Id="rId23" Type="http://schemas.openxmlformats.org/officeDocument/2006/relationships/oleObject" Target="embeddings/oleObject2.bin"/><Relationship Id="rId22" Type="http://schemas.openxmlformats.org/officeDocument/2006/relationships/image" Target="media/image1.wmf"/><Relationship Id="rId21" Type="http://schemas.openxmlformats.org/officeDocument/2006/relationships/oleObject" Target="embeddings/oleObject1.bin"/><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浙江省教育厅</Company>
  <Pages>133</Pages>
  <Words>17759</Words>
  <Characters>101232</Characters>
  <Lines>843</Lines>
  <Paragraphs>237</Paragraphs>
  <TotalTime>11</TotalTime>
  <ScaleCrop>false</ScaleCrop>
  <LinksUpToDate>false</LinksUpToDate>
  <CharactersWithSpaces>118754</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2021-05-13T08:31:00Z</dcterms:created>
  <dc:creator>lenovo</dc:creator>
  <cp:lastModifiedBy>落尘</cp:lastModifiedBy>
  <dcterms:modified xsi:type="dcterms:W3CDTF">2021-06-07T09:44:30Z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2E9B770EB22147368C04F8F800583DE6</vt:lpwstr>
  </property>
</Properties>
</file>