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326E39">
      <w:pPr>
        <w:pStyle w:val="59"/>
        <w:numPr>
          <w:ilvl w:val="0"/>
          <w:numId w:val="0"/>
        </w:numPr>
        <w:rPr>
          <w:rFonts w:cs="宋体"/>
          <w:b/>
          <w:bCs/>
          <w:color w:val="auto"/>
          <w:kern w:val="0"/>
          <w:sz w:val="32"/>
          <w:szCs w:val="32"/>
          <w:highlight w:val="none"/>
        </w:rPr>
      </w:pPr>
    </w:p>
    <w:p w14:paraId="3BEF2EB0">
      <w:pPr>
        <w:spacing w:line="240" w:lineRule="auto"/>
        <w:ind w:left="0" w:firstLine="0" w:firstLineChars="0"/>
        <w:jc w:val="center"/>
        <w:rPr>
          <w:rFonts w:hint="default" w:ascii="宋体" w:hAnsi="宋体" w:eastAsia="宋体" w:cs="宋体"/>
          <w:b/>
          <w:bCs w:val="0"/>
          <w:color w:val="auto"/>
          <w:kern w:val="0"/>
          <w:sz w:val="44"/>
          <w:szCs w:val="44"/>
          <w:highlight w:val="none"/>
          <w:lang w:val="en-US" w:eastAsia="zh-CN"/>
        </w:rPr>
      </w:pPr>
      <w:r>
        <w:rPr>
          <w:rFonts w:hint="eastAsia" w:ascii="宋体" w:hAnsi="宋体" w:cs="宋体"/>
          <w:b/>
          <w:bCs w:val="0"/>
          <w:color w:val="auto"/>
          <w:kern w:val="0"/>
          <w:sz w:val="44"/>
          <w:szCs w:val="44"/>
          <w:highlight w:val="none"/>
          <w:lang w:val="en-US" w:eastAsia="zh-CN"/>
        </w:rPr>
        <w:t>中国石油大学（北京）煤直接液化装置采购项目</w:t>
      </w:r>
    </w:p>
    <w:p w14:paraId="021483ED">
      <w:pPr>
        <w:spacing w:line="360" w:lineRule="atLeast"/>
        <w:ind w:left="1446" w:hanging="1446" w:hangingChars="450"/>
        <w:jc w:val="center"/>
        <w:rPr>
          <w:rFonts w:hint="eastAsia" w:hAnsi="宋体" w:cs="宋体"/>
          <w:b/>
          <w:bCs/>
          <w:color w:val="auto"/>
          <w:kern w:val="0"/>
          <w:sz w:val="32"/>
          <w:szCs w:val="32"/>
          <w:highlight w:val="none"/>
        </w:rPr>
      </w:pPr>
    </w:p>
    <w:p w14:paraId="53217133">
      <w:pPr>
        <w:spacing w:line="360" w:lineRule="atLeast"/>
        <w:ind w:left="1446" w:hanging="1446" w:hangingChars="450"/>
        <w:jc w:val="center"/>
        <w:rPr>
          <w:rFonts w:hint="eastAsia" w:hAnsi="宋体" w:cs="宋体"/>
          <w:b/>
          <w:bCs/>
          <w:color w:val="auto"/>
          <w:kern w:val="0"/>
          <w:sz w:val="32"/>
          <w:szCs w:val="32"/>
          <w:highlight w:val="none"/>
        </w:rPr>
      </w:pPr>
    </w:p>
    <w:p w14:paraId="3E821A6D">
      <w:pPr>
        <w:spacing w:line="360" w:lineRule="atLeast"/>
        <w:ind w:left="1446" w:hanging="1446" w:hangingChars="450"/>
        <w:jc w:val="center"/>
        <w:rPr>
          <w:rFonts w:hint="eastAsia" w:eastAsia="宋体"/>
          <w:color w:val="auto"/>
          <w:sz w:val="30"/>
          <w:szCs w:val="30"/>
          <w:highlight w:val="none"/>
          <w:lang w:val="en-US" w:eastAsia="zh-CN"/>
        </w:rPr>
      </w:pPr>
      <w:r>
        <w:rPr>
          <w:rFonts w:hint="eastAsia" w:hAnsi="宋体" w:cs="宋体"/>
          <w:b/>
          <w:bCs/>
          <w:color w:val="auto"/>
          <w:kern w:val="0"/>
          <w:sz w:val="32"/>
          <w:szCs w:val="32"/>
          <w:highlight w:val="none"/>
        </w:rPr>
        <w:t>项目编号：</w:t>
      </w:r>
      <w:r>
        <w:rPr>
          <w:rFonts w:hint="eastAsia" w:hAnsi="宋体" w:cs="宋体"/>
          <w:b/>
          <w:bCs/>
          <w:color w:val="auto"/>
          <w:kern w:val="0"/>
          <w:sz w:val="32"/>
          <w:szCs w:val="32"/>
          <w:highlight w:val="none"/>
          <w:lang w:eastAsia="zh-CN"/>
        </w:rPr>
        <w:t>HYGS-ZC-2026-58</w:t>
      </w:r>
    </w:p>
    <w:p w14:paraId="6116CC58">
      <w:pPr>
        <w:spacing w:line="360" w:lineRule="auto"/>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招  标  文  件</w:t>
      </w:r>
    </w:p>
    <w:p w14:paraId="4F228A03">
      <w:pPr>
        <w:spacing w:line="360" w:lineRule="auto"/>
        <w:rPr>
          <w:rFonts w:ascii="宋体" w:hAnsi="宋体" w:cs="宋体"/>
          <w:color w:val="auto"/>
          <w:sz w:val="30"/>
          <w:szCs w:val="30"/>
          <w:highlight w:val="none"/>
        </w:rPr>
      </w:pPr>
    </w:p>
    <w:p w14:paraId="2DA63DBA">
      <w:pPr>
        <w:spacing w:line="360" w:lineRule="auto"/>
        <w:rPr>
          <w:rFonts w:ascii="宋体" w:hAnsi="宋体" w:cs="宋体"/>
          <w:color w:val="auto"/>
          <w:sz w:val="30"/>
          <w:szCs w:val="30"/>
          <w:highlight w:val="none"/>
        </w:rPr>
      </w:pPr>
    </w:p>
    <w:p w14:paraId="29826D19">
      <w:pPr>
        <w:spacing w:line="360" w:lineRule="auto"/>
        <w:rPr>
          <w:rFonts w:ascii="宋体" w:hAnsi="宋体" w:cs="宋体"/>
          <w:color w:val="auto"/>
          <w:sz w:val="30"/>
          <w:szCs w:val="30"/>
          <w:highlight w:val="none"/>
        </w:rPr>
      </w:pPr>
    </w:p>
    <w:p w14:paraId="0A9BBBB8">
      <w:pPr>
        <w:spacing w:line="360" w:lineRule="auto"/>
        <w:rPr>
          <w:rFonts w:ascii="宋体" w:hAnsi="宋体" w:cs="宋体"/>
          <w:color w:val="auto"/>
          <w:sz w:val="30"/>
          <w:szCs w:val="30"/>
          <w:highlight w:val="none"/>
        </w:rPr>
      </w:pPr>
    </w:p>
    <w:p w14:paraId="5593C69C">
      <w:pPr>
        <w:pStyle w:val="3"/>
        <w:rPr>
          <w:rFonts w:ascii="宋体" w:hAnsi="宋体" w:cs="宋体"/>
          <w:color w:val="auto"/>
          <w:sz w:val="30"/>
          <w:szCs w:val="30"/>
          <w:highlight w:val="none"/>
        </w:rPr>
      </w:pPr>
    </w:p>
    <w:p w14:paraId="779C1440">
      <w:pPr>
        <w:spacing w:line="360" w:lineRule="auto"/>
        <w:rPr>
          <w:rFonts w:hint="default" w:ascii="宋体" w:hAnsi="宋体" w:eastAsia="宋体" w:cs="宋体"/>
          <w:b/>
          <w:bCs/>
          <w:color w:val="auto"/>
          <w:sz w:val="30"/>
          <w:szCs w:val="30"/>
          <w:highlight w:val="none"/>
          <w:lang w:val="en-US" w:eastAsia="zh-CN"/>
        </w:rPr>
      </w:pPr>
      <w:bookmarkStart w:id="0" w:name="_Toc20823272"/>
      <w:bookmarkStart w:id="1" w:name="_Toc523127445"/>
      <w:bookmarkStart w:id="2" w:name="_Toc16938516"/>
      <w:bookmarkStart w:id="3" w:name="_Toc494375077"/>
      <w:bookmarkStart w:id="4" w:name="_Toc120614210"/>
      <w:bookmarkStart w:id="5" w:name="_Toc479757206"/>
      <w:bookmarkStart w:id="6" w:name="_Toc513029200"/>
      <w:r>
        <w:rPr>
          <w:rFonts w:hint="eastAsia" w:ascii="宋体" w:hAnsi="宋体" w:cs="宋体"/>
          <w:b/>
          <w:bCs/>
          <w:color w:val="auto"/>
          <w:kern w:val="0"/>
          <w:sz w:val="30"/>
          <w:szCs w:val="30"/>
          <w:highlight w:val="none"/>
        </w:rPr>
        <w:t>招标人（盖章）</w:t>
      </w:r>
      <w:r>
        <w:rPr>
          <w:rFonts w:hint="eastAsia" w:ascii="宋体" w:hAnsi="宋体" w:cs="宋体"/>
          <w:b/>
          <w:bCs/>
          <w:color w:val="auto"/>
          <w:sz w:val="30"/>
          <w:szCs w:val="30"/>
          <w:highlight w:val="none"/>
        </w:rPr>
        <w:t>：中国石油大学（北京）</w:t>
      </w:r>
    </w:p>
    <w:p w14:paraId="1C516A7F">
      <w:pP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联系人：马出原</w:t>
      </w:r>
    </w:p>
    <w:p w14:paraId="1B7286C1">
      <w:pPr>
        <w:spacing w:line="360" w:lineRule="auto"/>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联系电话：15595438000</w:t>
      </w:r>
    </w:p>
    <w:p w14:paraId="6DAC3883">
      <w:pPr>
        <w:spacing w:line="360" w:lineRule="auto"/>
        <w:rPr>
          <w:rFonts w:ascii="宋体" w:hAnsi="宋体" w:cs="宋体"/>
          <w:b/>
          <w:bCs/>
          <w:color w:val="auto"/>
          <w:sz w:val="30"/>
          <w:szCs w:val="30"/>
          <w:highlight w:val="none"/>
        </w:rPr>
      </w:pPr>
      <w:r>
        <w:rPr>
          <w:rFonts w:ascii="宋体" w:hAnsi="宋体" w:cs="宋体"/>
          <w:b/>
          <w:bCs/>
          <w:color w:val="auto"/>
          <w:sz w:val="30"/>
          <w:szCs w:val="30"/>
          <w:highlight w:val="none"/>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0</wp:posOffset>
                </wp:positionV>
                <wp:extent cx="6019800" cy="0"/>
                <wp:effectExtent l="0" t="6350" r="0" b="6350"/>
                <wp:wrapNone/>
                <wp:docPr id="1" name="直接连接符 1"/>
                <wp:cNvGraphicFramePr/>
                <a:graphic xmlns:a="http://schemas.openxmlformats.org/drawingml/2006/main">
                  <a:graphicData uri="http://schemas.microsoft.com/office/word/2010/wordprocessingShape">
                    <wps:wsp>
                      <wps:cNvCnPr/>
                      <wps:spPr>
                        <a:xfrm>
                          <a:off x="0" y="0"/>
                          <a:ext cx="6019800" cy="0"/>
                        </a:xfrm>
                        <a:prstGeom prst="line">
                          <a:avLst/>
                        </a:prstGeom>
                        <a:ln w="12700" cap="flat" cmpd="sng">
                          <a:solidFill>
                            <a:srgbClr val="000000"/>
                          </a:solidFill>
                          <a:prstDash val="sysDot"/>
                          <a:headEnd type="none" w="med" len="med"/>
                          <a:tailEnd type="none" w="med" len="med"/>
                        </a:ln>
                        <a:effectLst/>
                      </wps:spPr>
                      <wps:bodyPr/>
                    </wps:wsp>
                  </a:graphicData>
                </a:graphic>
              </wp:anchor>
            </w:drawing>
          </mc:Choice>
          <mc:Fallback>
            <w:pict>
              <v:line id="_x0000_s1026" o:spid="_x0000_s1026" o:spt="20" style="position:absolute;left:0pt;margin-left:-9pt;margin-top:0pt;height:0pt;width:474pt;z-index:251660288;mso-width-relative:page;mso-height-relative:page;" filled="f" stroked="t" coordsize="21600,21600" o:gfxdata="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jxY7g9MAAAAFAQAADwAAAAAAAAABACAAAAAiAAAAZHJzL2Rvd25yZXYueG1sUEsBAhQAFAAAAAgA&#10;h07iQCY6lI3xAQAA6AMAAA4AAAAAAAAAAQAgAAAAIgEAAGRycy9lMm9Eb2MueG1sUEsFBgAAAAAG&#10;AAYAWQEAAIUFAAAAAA==&#10;">
                <v:fill on="f" focussize="0,0"/>
                <v:stroke weight="1pt" color="#000000" joinstyle="round" dashstyle="1 1"/>
                <v:imagedata o:title=""/>
                <o:lock v:ext="edit" aspectratio="f"/>
              </v:line>
            </w:pict>
          </mc:Fallback>
        </mc:AlternateContent>
      </w:r>
    </w:p>
    <w:p w14:paraId="715B0FA4">
      <w:pPr>
        <w:spacing w:line="360" w:lineRule="auto"/>
        <w:ind w:left="3313" w:hanging="3313" w:hangingChars="1100"/>
        <w:jc w:val="both"/>
        <w:rPr>
          <w:rFonts w:hint="eastAsia" w:ascii="宋体" w:hAnsi="宋体" w:eastAsia="宋体" w:cs="宋体"/>
          <w:b/>
          <w:bCs/>
          <w:color w:val="auto"/>
          <w:sz w:val="30"/>
          <w:szCs w:val="30"/>
          <w:highlight w:val="none"/>
          <w:lang w:eastAsia="zh-CN"/>
        </w:rPr>
      </w:pPr>
      <w:r>
        <w:rPr>
          <w:rFonts w:hint="eastAsia" w:ascii="宋体" w:hAnsi="宋体" w:cs="宋体"/>
          <w:b/>
          <w:bCs/>
          <w:color w:val="auto"/>
          <w:kern w:val="0"/>
          <w:sz w:val="30"/>
          <w:szCs w:val="30"/>
          <w:highlight w:val="none"/>
        </w:rPr>
        <w:t>招标代理机构（盖章）：</w:t>
      </w:r>
      <w:r>
        <w:rPr>
          <w:rFonts w:hint="eastAsia" w:ascii="宋体" w:hAnsi="宋体" w:cs="宋体"/>
          <w:b/>
          <w:bCs/>
          <w:color w:val="auto"/>
          <w:spacing w:val="-11"/>
          <w:kern w:val="0"/>
          <w:sz w:val="30"/>
          <w:szCs w:val="30"/>
          <w:highlight w:val="none"/>
        </w:rPr>
        <w:t>新疆宏宇建设工程项目管理有限责任公司</w:t>
      </w:r>
      <w:r>
        <w:rPr>
          <w:rFonts w:hint="eastAsia" w:ascii="宋体" w:hAnsi="宋体" w:cs="宋体"/>
          <w:b/>
          <w:bCs/>
          <w:color w:val="auto"/>
          <w:sz w:val="30"/>
          <w:szCs w:val="30"/>
          <w:highlight w:val="none"/>
          <w:lang w:val="en-US" w:eastAsia="zh-CN"/>
        </w:rPr>
        <w:t xml:space="preserve"> </w:t>
      </w:r>
    </w:p>
    <w:p w14:paraId="6B74CE62">
      <w:pPr>
        <w:spacing w:line="360" w:lineRule="auto"/>
        <w:rPr>
          <w:rFonts w:ascii="宋体" w:hAnsi="宋体" w:cs="宋体"/>
          <w:b/>
          <w:bCs/>
          <w:color w:val="auto"/>
          <w:kern w:val="0"/>
          <w:sz w:val="30"/>
          <w:szCs w:val="30"/>
          <w:highlight w:val="none"/>
        </w:rPr>
      </w:pPr>
      <w:r>
        <w:rPr>
          <w:rFonts w:hint="eastAsia" w:ascii="宋体" w:hAnsi="宋体" w:cs="宋体"/>
          <w:b/>
          <w:bCs/>
          <w:color w:val="auto"/>
          <w:kern w:val="0"/>
          <w:sz w:val="30"/>
          <w:szCs w:val="30"/>
          <w:highlight w:val="none"/>
        </w:rPr>
        <w:t>法人代表（盖章）：</w:t>
      </w:r>
    </w:p>
    <w:p w14:paraId="3600FAB1">
      <w:pPr>
        <w:spacing w:line="360" w:lineRule="auto"/>
        <w:rPr>
          <w:rFonts w:hint="default" w:ascii="宋体" w:hAnsi="宋体" w:eastAsia="宋体" w:cs="宋体"/>
          <w:b/>
          <w:bCs/>
          <w:color w:val="auto"/>
          <w:kern w:val="0"/>
          <w:sz w:val="30"/>
          <w:szCs w:val="30"/>
          <w:highlight w:val="none"/>
          <w:lang w:val="en-US" w:eastAsia="zh-CN"/>
        </w:rPr>
      </w:pPr>
      <w:r>
        <w:rPr>
          <w:rFonts w:hint="eastAsia" w:ascii="宋体" w:hAnsi="宋体" w:cs="宋体"/>
          <w:b/>
          <w:bCs/>
          <w:color w:val="auto"/>
          <w:kern w:val="0"/>
          <w:sz w:val="30"/>
          <w:szCs w:val="30"/>
          <w:highlight w:val="none"/>
        </w:rPr>
        <w:t>联系人：</w:t>
      </w:r>
      <w:r>
        <w:rPr>
          <w:rFonts w:hint="eastAsia" w:ascii="宋体" w:hAnsi="宋体" w:cs="宋体"/>
          <w:b/>
          <w:bCs/>
          <w:color w:val="auto"/>
          <w:kern w:val="0"/>
          <w:sz w:val="30"/>
          <w:szCs w:val="30"/>
          <w:highlight w:val="none"/>
          <w:lang w:val="en-US" w:eastAsia="zh-CN"/>
        </w:rPr>
        <w:t>周水霞</w:t>
      </w:r>
      <w:r>
        <w:rPr>
          <w:rFonts w:hint="eastAsia" w:ascii="宋体" w:hAnsi="宋体" w:cs="宋体"/>
          <w:b/>
          <w:bCs/>
          <w:color w:val="auto"/>
          <w:kern w:val="0"/>
          <w:sz w:val="30"/>
          <w:szCs w:val="30"/>
          <w:highlight w:val="none"/>
        </w:rPr>
        <w:t>、杨童艳、</w:t>
      </w:r>
      <w:r>
        <w:rPr>
          <w:rFonts w:hint="eastAsia" w:ascii="宋体" w:hAnsi="宋体" w:cs="宋体"/>
          <w:b/>
          <w:bCs/>
          <w:color w:val="auto"/>
          <w:kern w:val="0"/>
          <w:sz w:val="30"/>
          <w:szCs w:val="30"/>
          <w:highlight w:val="none"/>
          <w:lang w:val="en-US" w:eastAsia="zh-CN"/>
        </w:rPr>
        <w:t xml:space="preserve">徐璐琪 </w:t>
      </w:r>
    </w:p>
    <w:p w14:paraId="302F6B18">
      <w:pPr>
        <w:spacing w:line="360" w:lineRule="auto"/>
        <w:rPr>
          <w:color w:val="auto"/>
          <w:highlight w:val="none"/>
        </w:rPr>
      </w:pPr>
      <w:r>
        <w:rPr>
          <w:rFonts w:hint="eastAsia" w:ascii="宋体" w:hAnsi="宋体" w:cs="宋体"/>
          <w:b/>
          <w:bCs/>
          <w:color w:val="auto"/>
          <w:kern w:val="0"/>
          <w:sz w:val="30"/>
          <w:szCs w:val="30"/>
          <w:highlight w:val="none"/>
        </w:rPr>
        <w:t>联系电话：</w:t>
      </w:r>
      <w:r>
        <w:rPr>
          <w:rFonts w:hint="eastAsia" w:ascii="宋体" w:hAnsi="宋体" w:cs="宋体"/>
          <w:b/>
          <w:bCs/>
          <w:color w:val="auto"/>
          <w:kern w:val="0"/>
          <w:sz w:val="30"/>
          <w:szCs w:val="30"/>
          <w:highlight w:val="none"/>
          <w:lang w:val="en-US" w:eastAsia="zh-CN"/>
        </w:rPr>
        <w:t>18935837269  0990-6608599</w:t>
      </w:r>
    </w:p>
    <w:p w14:paraId="079D9C52">
      <w:pPr>
        <w:pStyle w:val="134"/>
        <w:jc w:val="center"/>
        <w:rPr>
          <w:color w:val="auto"/>
          <w:sz w:val="44"/>
          <w:szCs w:val="44"/>
          <w:highlight w:val="none"/>
          <w:lang w:val="zh-CN"/>
        </w:rPr>
      </w:pPr>
      <w:r>
        <w:rPr>
          <w:color w:val="auto"/>
          <w:sz w:val="44"/>
          <w:szCs w:val="44"/>
          <w:highlight w:val="none"/>
          <w:lang w:val="zh-CN"/>
        </w:rPr>
        <w:t>目录</w:t>
      </w:r>
    </w:p>
    <w:p w14:paraId="65520A8B">
      <w:pPr>
        <w:rPr>
          <w:color w:val="auto"/>
          <w:sz w:val="44"/>
          <w:szCs w:val="44"/>
          <w:highlight w:val="none"/>
          <w:lang w:val="zh-CN"/>
        </w:rPr>
      </w:pPr>
    </w:p>
    <w:p w14:paraId="070B9E89">
      <w:pPr>
        <w:pStyle w:val="21"/>
        <w:tabs>
          <w:tab w:val="right" w:leader="dot" w:pos="9072"/>
        </w:tabs>
        <w:spacing w:line="720" w:lineRule="auto"/>
        <w:rPr>
          <w:color w:val="auto"/>
          <w:sz w:val="28"/>
          <w:szCs w:val="28"/>
          <w:highlight w:val="none"/>
        </w:rPr>
      </w:pPr>
      <w:r>
        <w:rPr>
          <w:color w:val="auto"/>
          <w:sz w:val="28"/>
          <w:szCs w:val="28"/>
          <w:highlight w:val="none"/>
        </w:rPr>
        <w:fldChar w:fldCharType="begin"/>
      </w:r>
      <w:r>
        <w:rPr>
          <w:color w:val="auto"/>
          <w:sz w:val="28"/>
          <w:szCs w:val="28"/>
          <w:highlight w:val="none"/>
        </w:rPr>
        <w:instrText xml:space="preserve">TOC \o "1-1" \h \u </w:instrText>
      </w:r>
      <w:r>
        <w:rPr>
          <w:color w:val="auto"/>
          <w:sz w:val="28"/>
          <w:szCs w:val="28"/>
          <w:highlight w:val="none"/>
        </w:rPr>
        <w:fldChar w:fldCharType="separate"/>
      </w:r>
      <w:r>
        <w:rPr>
          <w:color w:val="auto"/>
          <w:sz w:val="28"/>
          <w:szCs w:val="28"/>
          <w:highlight w:val="none"/>
        </w:rPr>
        <w:fldChar w:fldCharType="begin"/>
      </w:r>
      <w:r>
        <w:rPr>
          <w:color w:val="auto"/>
          <w:sz w:val="28"/>
          <w:szCs w:val="28"/>
          <w:highlight w:val="none"/>
        </w:rPr>
        <w:instrText xml:space="preserve">TOC \o "1-1" \h \u </w:instrText>
      </w:r>
      <w:r>
        <w:rPr>
          <w:color w:val="auto"/>
          <w:sz w:val="28"/>
          <w:szCs w:val="28"/>
          <w:highlight w:val="none"/>
        </w:rPr>
        <w:fldChar w:fldCharType="separate"/>
      </w:r>
      <w:r>
        <w:rPr>
          <w:color w:val="auto"/>
          <w:highlight w:val="none"/>
        </w:rPr>
        <w:fldChar w:fldCharType="begin"/>
      </w:r>
      <w:r>
        <w:rPr>
          <w:color w:val="auto"/>
          <w:highlight w:val="none"/>
        </w:rPr>
        <w:instrText xml:space="preserve"> HYPERLINK \l "_Toc26965" </w:instrText>
      </w:r>
      <w:r>
        <w:rPr>
          <w:color w:val="auto"/>
          <w:highlight w:val="none"/>
        </w:rPr>
        <w:fldChar w:fldCharType="separate"/>
      </w:r>
      <w:r>
        <w:rPr>
          <w:rFonts w:hint="eastAsia"/>
          <w:color w:val="auto"/>
          <w:sz w:val="28"/>
          <w:szCs w:val="28"/>
          <w:highlight w:val="none"/>
        </w:rPr>
        <w:t>须知前附表</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_Toc26965 \h </w:instrText>
      </w:r>
      <w:r>
        <w:rPr>
          <w:color w:val="auto"/>
          <w:sz w:val="28"/>
          <w:szCs w:val="28"/>
          <w:highlight w:val="none"/>
        </w:rPr>
        <w:fldChar w:fldCharType="separate"/>
      </w:r>
      <w:r>
        <w:rPr>
          <w:color w:val="auto"/>
          <w:sz w:val="28"/>
          <w:szCs w:val="28"/>
          <w:highlight w:val="none"/>
        </w:rPr>
        <w:t>3</w:t>
      </w:r>
      <w:r>
        <w:rPr>
          <w:color w:val="auto"/>
          <w:sz w:val="28"/>
          <w:szCs w:val="28"/>
          <w:highlight w:val="none"/>
        </w:rPr>
        <w:fldChar w:fldCharType="end"/>
      </w:r>
      <w:r>
        <w:rPr>
          <w:color w:val="auto"/>
          <w:sz w:val="28"/>
          <w:szCs w:val="28"/>
          <w:highlight w:val="none"/>
        </w:rPr>
        <w:fldChar w:fldCharType="end"/>
      </w:r>
    </w:p>
    <w:p w14:paraId="687F7851">
      <w:pPr>
        <w:pStyle w:val="21"/>
        <w:tabs>
          <w:tab w:val="right" w:leader="dot" w:pos="9072"/>
        </w:tabs>
        <w:spacing w:line="720" w:lineRule="auto"/>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"_Toc32510" </w:instrText>
      </w:r>
      <w:r>
        <w:rPr>
          <w:color w:val="auto"/>
          <w:highlight w:val="none"/>
        </w:rPr>
        <w:fldChar w:fldCharType="separate"/>
      </w:r>
      <w:r>
        <w:rPr>
          <w:rFonts w:hint="eastAsia"/>
          <w:color w:val="auto"/>
          <w:sz w:val="28"/>
          <w:szCs w:val="28"/>
          <w:highlight w:val="none"/>
        </w:rPr>
        <w:t>第一章 采购公告</w:t>
      </w:r>
      <w:r>
        <w:rPr>
          <w:color w:val="auto"/>
          <w:sz w:val="28"/>
          <w:szCs w:val="28"/>
          <w:highlight w:val="none"/>
        </w:rPr>
        <w:tab/>
      </w:r>
      <w:r>
        <w:rPr>
          <w:rFonts w:hint="eastAsia"/>
          <w:color w:val="auto"/>
          <w:sz w:val="28"/>
          <w:szCs w:val="28"/>
          <w:highlight w:val="none"/>
          <w:lang w:val="en-US" w:eastAsia="zh-CN"/>
        </w:rPr>
        <w:t>1</w:t>
      </w:r>
      <w:r>
        <w:rPr>
          <w:color w:val="auto"/>
          <w:sz w:val="28"/>
          <w:szCs w:val="28"/>
          <w:highlight w:val="none"/>
        </w:rPr>
        <w:fldChar w:fldCharType="end"/>
      </w:r>
      <w:r>
        <w:rPr>
          <w:rFonts w:hint="eastAsia"/>
          <w:color w:val="auto"/>
          <w:sz w:val="28"/>
          <w:szCs w:val="28"/>
          <w:highlight w:val="none"/>
          <w:lang w:val="en-US" w:eastAsia="zh-CN"/>
        </w:rPr>
        <w:t>0</w:t>
      </w:r>
    </w:p>
    <w:p w14:paraId="3CA6D0EA">
      <w:pPr>
        <w:pStyle w:val="21"/>
        <w:tabs>
          <w:tab w:val="right" w:leader="dot" w:pos="9072"/>
        </w:tabs>
        <w:spacing w:line="720" w:lineRule="auto"/>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"_Toc26763" </w:instrText>
      </w:r>
      <w:r>
        <w:rPr>
          <w:color w:val="auto"/>
          <w:highlight w:val="none"/>
        </w:rPr>
        <w:fldChar w:fldCharType="separate"/>
      </w:r>
      <w:r>
        <w:rPr>
          <w:rFonts w:hint="eastAsia"/>
          <w:color w:val="auto"/>
          <w:sz w:val="28"/>
          <w:szCs w:val="28"/>
          <w:highlight w:val="none"/>
        </w:rPr>
        <w:t>第二章 投标人须知</w:t>
      </w:r>
      <w:r>
        <w:rPr>
          <w:color w:val="auto"/>
          <w:sz w:val="28"/>
          <w:szCs w:val="28"/>
          <w:highlight w:val="none"/>
        </w:rPr>
        <w:tab/>
      </w:r>
      <w:r>
        <w:rPr>
          <w:rFonts w:hint="eastAsia"/>
          <w:color w:val="auto"/>
          <w:sz w:val="28"/>
          <w:szCs w:val="28"/>
          <w:highlight w:val="none"/>
          <w:lang w:val="en-US" w:eastAsia="zh-CN"/>
        </w:rPr>
        <w:t>1</w:t>
      </w:r>
      <w:r>
        <w:rPr>
          <w:color w:val="auto"/>
          <w:sz w:val="28"/>
          <w:szCs w:val="28"/>
          <w:highlight w:val="none"/>
        </w:rPr>
        <w:fldChar w:fldCharType="end"/>
      </w:r>
      <w:r>
        <w:rPr>
          <w:rFonts w:hint="eastAsia"/>
          <w:color w:val="auto"/>
          <w:sz w:val="28"/>
          <w:szCs w:val="28"/>
          <w:highlight w:val="none"/>
          <w:lang w:val="en-US" w:eastAsia="zh-CN"/>
        </w:rPr>
        <w:t>3</w:t>
      </w:r>
    </w:p>
    <w:p w14:paraId="4C9A9D2A">
      <w:pPr>
        <w:pStyle w:val="21"/>
        <w:tabs>
          <w:tab w:val="right" w:leader="dot" w:pos="9072"/>
        </w:tabs>
        <w:spacing w:line="720" w:lineRule="auto"/>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"_Toc30905" </w:instrText>
      </w:r>
      <w:r>
        <w:rPr>
          <w:color w:val="auto"/>
          <w:highlight w:val="none"/>
        </w:rPr>
        <w:fldChar w:fldCharType="separate"/>
      </w:r>
      <w:r>
        <w:rPr>
          <w:rFonts w:hint="eastAsia"/>
          <w:color w:val="auto"/>
          <w:sz w:val="28"/>
          <w:szCs w:val="28"/>
          <w:highlight w:val="none"/>
        </w:rPr>
        <w:t>第三章 评分办法及评分标准</w:t>
      </w:r>
      <w:r>
        <w:rPr>
          <w:color w:val="auto"/>
          <w:sz w:val="28"/>
          <w:szCs w:val="28"/>
          <w:highlight w:val="none"/>
        </w:rPr>
        <w:tab/>
      </w:r>
      <w:r>
        <w:rPr>
          <w:rFonts w:hint="eastAsia"/>
          <w:color w:val="auto"/>
          <w:sz w:val="28"/>
          <w:szCs w:val="28"/>
          <w:highlight w:val="none"/>
          <w:lang w:val="en-US" w:eastAsia="zh-CN"/>
        </w:rPr>
        <w:t>3</w:t>
      </w:r>
      <w:r>
        <w:rPr>
          <w:color w:val="auto"/>
          <w:sz w:val="28"/>
          <w:szCs w:val="28"/>
          <w:highlight w:val="none"/>
        </w:rPr>
        <w:fldChar w:fldCharType="end"/>
      </w:r>
      <w:r>
        <w:rPr>
          <w:rFonts w:hint="eastAsia"/>
          <w:color w:val="auto"/>
          <w:sz w:val="28"/>
          <w:szCs w:val="28"/>
          <w:highlight w:val="none"/>
          <w:lang w:val="en-US" w:eastAsia="zh-CN"/>
        </w:rPr>
        <w:t>0</w:t>
      </w:r>
    </w:p>
    <w:p w14:paraId="2BFDDF1A">
      <w:pPr>
        <w:pStyle w:val="21"/>
        <w:tabs>
          <w:tab w:val="right" w:leader="dot" w:pos="9072"/>
        </w:tabs>
        <w:spacing w:line="720" w:lineRule="auto"/>
        <w:rPr>
          <w:rFonts w:hint="default"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"_Toc15450" </w:instrText>
      </w:r>
      <w:r>
        <w:rPr>
          <w:color w:val="auto"/>
          <w:highlight w:val="none"/>
        </w:rPr>
        <w:fldChar w:fldCharType="separate"/>
      </w:r>
      <w:r>
        <w:rPr>
          <w:rFonts w:hint="eastAsia"/>
          <w:color w:val="auto"/>
          <w:sz w:val="28"/>
          <w:szCs w:val="28"/>
          <w:highlight w:val="none"/>
        </w:rPr>
        <w:t xml:space="preserve">第四章 </w:t>
      </w:r>
      <w:r>
        <w:rPr>
          <w:rFonts w:hint="eastAsia"/>
          <w:color w:val="auto"/>
          <w:sz w:val="28"/>
          <w:szCs w:val="28"/>
          <w:highlight w:val="none"/>
          <w:lang w:eastAsia="en-US"/>
        </w:rPr>
        <w:t>拟订立的合同样本</w:t>
      </w:r>
      <w:r>
        <w:rPr>
          <w:color w:val="auto"/>
          <w:sz w:val="28"/>
          <w:szCs w:val="28"/>
          <w:highlight w:val="none"/>
        </w:rPr>
        <w:tab/>
      </w:r>
      <w:r>
        <w:rPr>
          <w:color w:val="auto"/>
          <w:sz w:val="28"/>
          <w:szCs w:val="28"/>
          <w:highlight w:val="none"/>
        </w:rPr>
        <w:fldChar w:fldCharType="end"/>
      </w:r>
      <w:r>
        <w:rPr>
          <w:rFonts w:hint="eastAsia"/>
          <w:color w:val="auto"/>
          <w:sz w:val="28"/>
          <w:szCs w:val="28"/>
          <w:highlight w:val="none"/>
          <w:lang w:val="en-US" w:eastAsia="zh-CN"/>
        </w:rPr>
        <w:t>35</w:t>
      </w:r>
    </w:p>
    <w:p w14:paraId="292E9C73">
      <w:pPr>
        <w:pStyle w:val="21"/>
        <w:tabs>
          <w:tab w:val="right" w:leader="dot" w:pos="9072"/>
        </w:tabs>
        <w:spacing w:line="720" w:lineRule="auto"/>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"_Toc17639" </w:instrText>
      </w:r>
      <w:r>
        <w:rPr>
          <w:color w:val="auto"/>
          <w:highlight w:val="none"/>
        </w:rPr>
        <w:fldChar w:fldCharType="separate"/>
      </w:r>
      <w:r>
        <w:rPr>
          <w:rFonts w:hint="eastAsia"/>
          <w:color w:val="auto"/>
          <w:sz w:val="28"/>
          <w:szCs w:val="28"/>
          <w:highlight w:val="none"/>
        </w:rPr>
        <w:t>第五章 投标文件格式</w:t>
      </w:r>
      <w:r>
        <w:rPr>
          <w:color w:val="auto"/>
          <w:sz w:val="28"/>
          <w:szCs w:val="28"/>
          <w:highlight w:val="none"/>
        </w:rPr>
        <w:tab/>
      </w:r>
      <w:r>
        <w:rPr>
          <w:rFonts w:hint="eastAsia"/>
          <w:color w:val="auto"/>
          <w:sz w:val="28"/>
          <w:szCs w:val="28"/>
          <w:highlight w:val="none"/>
          <w:lang w:val="en-US" w:eastAsia="zh-CN"/>
        </w:rPr>
        <w:t>4</w:t>
      </w:r>
      <w:r>
        <w:rPr>
          <w:rFonts w:hint="eastAsia"/>
          <w:color w:val="auto"/>
          <w:sz w:val="28"/>
          <w:szCs w:val="28"/>
          <w:highlight w:val="none"/>
        </w:rPr>
        <w:fldChar w:fldCharType="end"/>
      </w:r>
      <w:r>
        <w:rPr>
          <w:rFonts w:hint="eastAsia"/>
          <w:color w:val="auto"/>
          <w:sz w:val="28"/>
          <w:szCs w:val="28"/>
          <w:highlight w:val="none"/>
          <w:lang w:val="en-US" w:eastAsia="zh-CN"/>
        </w:rPr>
        <w:t>7</w:t>
      </w:r>
    </w:p>
    <w:p w14:paraId="2CA9BED1">
      <w:pPr>
        <w:pStyle w:val="21"/>
        <w:tabs>
          <w:tab w:val="right" w:leader="dot" w:pos="9072"/>
        </w:tabs>
        <w:spacing w:line="720" w:lineRule="auto"/>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"_Toc24870" </w:instrText>
      </w:r>
      <w:r>
        <w:rPr>
          <w:color w:val="auto"/>
          <w:highlight w:val="none"/>
        </w:rPr>
        <w:fldChar w:fldCharType="separate"/>
      </w:r>
      <w:r>
        <w:rPr>
          <w:rFonts w:hint="eastAsia"/>
          <w:color w:val="auto"/>
          <w:sz w:val="28"/>
          <w:szCs w:val="28"/>
          <w:highlight w:val="none"/>
        </w:rPr>
        <w:t>第六章 项目需求</w:t>
      </w:r>
      <w:r>
        <w:rPr>
          <w:color w:val="auto"/>
          <w:sz w:val="28"/>
          <w:szCs w:val="28"/>
          <w:highlight w:val="none"/>
        </w:rPr>
        <w:tab/>
      </w:r>
      <w:r>
        <w:rPr>
          <w:rFonts w:hint="eastAsia"/>
          <w:color w:val="auto"/>
          <w:sz w:val="28"/>
          <w:szCs w:val="28"/>
          <w:highlight w:val="none"/>
          <w:lang w:val="en-US" w:eastAsia="zh-CN"/>
        </w:rPr>
        <w:t>8</w:t>
      </w:r>
      <w:r>
        <w:rPr>
          <w:rFonts w:hint="eastAsia"/>
          <w:color w:val="auto"/>
          <w:sz w:val="28"/>
          <w:szCs w:val="28"/>
          <w:highlight w:val="none"/>
        </w:rPr>
        <w:fldChar w:fldCharType="end"/>
      </w:r>
      <w:r>
        <w:rPr>
          <w:rFonts w:hint="eastAsia"/>
          <w:color w:val="auto"/>
          <w:sz w:val="28"/>
          <w:szCs w:val="28"/>
          <w:highlight w:val="none"/>
          <w:lang w:val="en-US" w:eastAsia="zh-CN"/>
        </w:rPr>
        <w:t>5</w:t>
      </w:r>
    </w:p>
    <w:p w14:paraId="608084E6">
      <w:pPr>
        <w:pStyle w:val="21"/>
        <w:tabs>
          <w:tab w:val="right" w:leader="dot" w:pos="9072"/>
        </w:tabs>
        <w:spacing w:line="720" w:lineRule="auto"/>
        <w:rPr>
          <w:rFonts w:hint="eastAsia" w:eastAsia="宋体"/>
          <w:color w:val="auto"/>
          <w:highlight w:val="none"/>
          <w:lang w:val="en-US" w:eastAsia="zh-CN"/>
        </w:rPr>
      </w:pPr>
      <w:r>
        <w:rPr>
          <w:color w:val="auto"/>
          <w:szCs w:val="28"/>
          <w:highlight w:val="none"/>
        </w:rPr>
        <w:fldChar w:fldCharType="end"/>
      </w:r>
    </w:p>
    <w:p w14:paraId="6E88557E">
      <w:pPr>
        <w:rPr>
          <w:color w:val="auto"/>
          <w:highlight w:val="none"/>
        </w:rPr>
      </w:pPr>
      <w:r>
        <w:rPr>
          <w:color w:val="auto"/>
          <w:szCs w:val="28"/>
          <w:highlight w:val="none"/>
        </w:rPr>
        <w:fldChar w:fldCharType="end"/>
      </w:r>
    </w:p>
    <w:p w14:paraId="7C55516C">
      <w:pPr>
        <w:pStyle w:val="2"/>
        <w:rPr>
          <w:color w:val="auto"/>
          <w:highlight w:val="none"/>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bookmarkStart w:id="7" w:name="_Toc20753"/>
      <w:bookmarkStart w:id="8" w:name="_Toc21554"/>
      <w:bookmarkStart w:id="9" w:name="_Toc26965"/>
      <w:bookmarkStart w:id="10" w:name="_Toc534725596"/>
      <w:bookmarkStart w:id="11" w:name="_Toc22122"/>
      <w:bookmarkStart w:id="12" w:name="_Toc13808"/>
    </w:p>
    <w:p w14:paraId="1C323CF8">
      <w:pPr>
        <w:pStyle w:val="2"/>
        <w:rPr>
          <w:color w:val="auto"/>
          <w:highlight w:val="none"/>
          <w:lang w:eastAsia="en-US"/>
        </w:rPr>
      </w:pPr>
      <w:r>
        <w:rPr>
          <w:rFonts w:hint="eastAsia"/>
          <w:color w:val="auto"/>
          <w:highlight w:val="none"/>
        </w:rPr>
        <w:t>须知前附表</w:t>
      </w:r>
      <w:bookmarkEnd w:id="7"/>
      <w:bookmarkEnd w:id="8"/>
      <w:bookmarkEnd w:id="9"/>
    </w:p>
    <w:tbl>
      <w:tblPr>
        <w:tblStyle w:val="39"/>
        <w:tblW w:w="90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4"/>
        <w:gridCol w:w="1695"/>
        <w:gridCol w:w="6639"/>
      </w:tblGrid>
      <w:tr w14:paraId="422F9F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70950151">
            <w:pPr>
              <w:spacing w:line="300" w:lineRule="exact"/>
              <w:jc w:val="center"/>
              <w:rPr>
                <w:rFonts w:hAnsi="宋体" w:cs="Arial"/>
                <w:b/>
                <w:bCs/>
                <w:color w:val="auto"/>
                <w:highlight w:val="none"/>
              </w:rPr>
            </w:pPr>
            <w:r>
              <w:rPr>
                <w:rFonts w:hint="eastAsia" w:hAnsi="宋体" w:cs="Arial"/>
                <w:b/>
                <w:bCs/>
                <w:color w:val="auto"/>
                <w:highlight w:val="none"/>
              </w:rPr>
              <w:t>序号</w:t>
            </w:r>
          </w:p>
        </w:tc>
        <w:tc>
          <w:tcPr>
            <w:tcW w:w="1695" w:type="dxa"/>
            <w:tcBorders>
              <w:top w:val="single" w:color="auto" w:sz="4" w:space="0"/>
              <w:left w:val="single" w:color="auto" w:sz="4" w:space="0"/>
              <w:bottom w:val="single" w:color="auto" w:sz="4" w:space="0"/>
              <w:right w:val="single" w:color="auto" w:sz="4" w:space="0"/>
            </w:tcBorders>
            <w:vAlign w:val="center"/>
          </w:tcPr>
          <w:p w14:paraId="04FDF2B1">
            <w:pPr>
              <w:spacing w:line="300" w:lineRule="exact"/>
              <w:jc w:val="center"/>
              <w:rPr>
                <w:rFonts w:hAnsi="宋体" w:cs="Arial"/>
                <w:b/>
                <w:bCs/>
                <w:color w:val="auto"/>
                <w:highlight w:val="none"/>
              </w:rPr>
            </w:pPr>
            <w:r>
              <w:rPr>
                <w:rFonts w:hint="eastAsia" w:hAnsi="宋体" w:cs="Arial"/>
                <w:b/>
                <w:bCs/>
                <w:color w:val="auto"/>
                <w:highlight w:val="none"/>
              </w:rPr>
              <w:t>内  容</w:t>
            </w:r>
          </w:p>
        </w:tc>
        <w:tc>
          <w:tcPr>
            <w:tcW w:w="6639" w:type="dxa"/>
            <w:tcBorders>
              <w:top w:val="single" w:color="auto" w:sz="4" w:space="0"/>
              <w:left w:val="single" w:color="auto" w:sz="4" w:space="0"/>
              <w:bottom w:val="single" w:color="auto" w:sz="4" w:space="0"/>
              <w:right w:val="single" w:color="auto" w:sz="4" w:space="0"/>
            </w:tcBorders>
            <w:vAlign w:val="center"/>
          </w:tcPr>
          <w:p w14:paraId="16E9DB66">
            <w:pPr>
              <w:spacing w:line="300" w:lineRule="exact"/>
              <w:jc w:val="center"/>
              <w:rPr>
                <w:rFonts w:hAnsi="宋体" w:cs="Arial"/>
                <w:b/>
                <w:bCs/>
                <w:color w:val="auto"/>
                <w:highlight w:val="none"/>
              </w:rPr>
            </w:pPr>
            <w:r>
              <w:rPr>
                <w:rFonts w:hint="eastAsia" w:hAnsi="宋体" w:cs="Arial"/>
                <w:b/>
                <w:bCs/>
                <w:color w:val="auto"/>
                <w:highlight w:val="none"/>
              </w:rPr>
              <w:t>说明及要求</w:t>
            </w:r>
          </w:p>
        </w:tc>
      </w:tr>
      <w:tr w14:paraId="0D001B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684" w:type="dxa"/>
            <w:vMerge w:val="restart"/>
            <w:tcBorders>
              <w:top w:val="single" w:color="auto" w:sz="4" w:space="0"/>
              <w:left w:val="single" w:color="auto" w:sz="4" w:space="0"/>
              <w:right w:val="single" w:color="auto" w:sz="4" w:space="0"/>
            </w:tcBorders>
            <w:vAlign w:val="center"/>
          </w:tcPr>
          <w:p w14:paraId="2487C5C9">
            <w:pPr>
              <w:spacing w:line="300" w:lineRule="exact"/>
              <w:jc w:val="center"/>
              <w:rPr>
                <w:rFonts w:hAnsi="宋体" w:cs="Arial"/>
                <w:bCs/>
                <w:color w:val="auto"/>
                <w:highlight w:val="none"/>
              </w:rPr>
            </w:pPr>
            <w:r>
              <w:rPr>
                <w:rFonts w:hint="eastAsia" w:hAnsi="宋体" w:cs="Arial"/>
                <w:bCs/>
                <w:color w:val="auto"/>
                <w:highlight w:val="none"/>
              </w:rPr>
              <w:t>1</w:t>
            </w:r>
          </w:p>
        </w:tc>
        <w:tc>
          <w:tcPr>
            <w:tcW w:w="1695" w:type="dxa"/>
            <w:tcBorders>
              <w:top w:val="single" w:color="auto" w:sz="4" w:space="0"/>
              <w:left w:val="single" w:color="auto" w:sz="4" w:space="0"/>
              <w:bottom w:val="single" w:color="auto" w:sz="4" w:space="0"/>
              <w:right w:val="single" w:color="auto" w:sz="4" w:space="0"/>
            </w:tcBorders>
            <w:vAlign w:val="center"/>
          </w:tcPr>
          <w:p w14:paraId="0E95043D">
            <w:pPr>
              <w:spacing w:line="288" w:lineRule="auto"/>
              <w:jc w:val="center"/>
              <w:rPr>
                <w:rFonts w:hAnsi="宋体" w:cs="Arial"/>
                <w:bCs/>
                <w:color w:val="auto"/>
                <w:highlight w:val="none"/>
              </w:rPr>
            </w:pPr>
            <w:r>
              <w:rPr>
                <w:rFonts w:hint="eastAsia" w:hAnsi="宋体" w:cs="Arial"/>
                <w:bCs/>
                <w:color w:val="auto"/>
                <w:highlight w:val="none"/>
              </w:rPr>
              <w:t>项目名称</w:t>
            </w:r>
          </w:p>
        </w:tc>
        <w:tc>
          <w:tcPr>
            <w:tcW w:w="6639" w:type="dxa"/>
            <w:tcBorders>
              <w:top w:val="single" w:color="auto" w:sz="4" w:space="0"/>
              <w:left w:val="single" w:color="auto" w:sz="4" w:space="0"/>
              <w:bottom w:val="single" w:color="auto" w:sz="4" w:space="0"/>
              <w:right w:val="single" w:color="auto" w:sz="4" w:space="0"/>
            </w:tcBorders>
            <w:vAlign w:val="center"/>
          </w:tcPr>
          <w:p w14:paraId="25F8EDA9">
            <w:pPr>
              <w:spacing w:line="288" w:lineRule="auto"/>
              <w:jc w:val="left"/>
              <w:rPr>
                <w:rFonts w:hint="default" w:hAnsi="宋体" w:eastAsia="宋体" w:cs="Arial"/>
                <w:bCs/>
                <w:color w:val="auto"/>
                <w:highlight w:val="none"/>
                <w:lang w:val="en-US" w:eastAsia="zh-CN"/>
              </w:rPr>
            </w:pPr>
            <w:r>
              <w:rPr>
                <w:rFonts w:hint="eastAsia" w:hAnsi="宋体" w:cs="Arial"/>
                <w:bCs/>
                <w:color w:val="auto"/>
                <w:highlight w:val="none"/>
                <w:lang w:val="en-US" w:eastAsia="zh-CN"/>
              </w:rPr>
              <w:t>中国石油大学（北京）煤直接液化装置采购项目</w:t>
            </w:r>
          </w:p>
        </w:tc>
      </w:tr>
      <w:tr w14:paraId="709654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84" w:type="dxa"/>
            <w:vMerge w:val="continue"/>
            <w:tcBorders>
              <w:left w:val="single" w:color="auto" w:sz="4" w:space="0"/>
              <w:bottom w:val="single" w:color="auto" w:sz="4" w:space="0"/>
              <w:right w:val="single" w:color="auto" w:sz="4" w:space="0"/>
            </w:tcBorders>
            <w:vAlign w:val="center"/>
          </w:tcPr>
          <w:p w14:paraId="5909C015">
            <w:pPr>
              <w:spacing w:line="300" w:lineRule="exact"/>
              <w:jc w:val="center"/>
              <w:rPr>
                <w:rFonts w:hAnsi="宋体" w:cs="Arial"/>
                <w:bCs/>
                <w:color w:val="auto"/>
                <w:highlight w:val="none"/>
              </w:rPr>
            </w:pPr>
          </w:p>
        </w:tc>
        <w:tc>
          <w:tcPr>
            <w:tcW w:w="1695" w:type="dxa"/>
            <w:tcBorders>
              <w:top w:val="single" w:color="auto" w:sz="4" w:space="0"/>
              <w:left w:val="single" w:color="auto" w:sz="4" w:space="0"/>
              <w:bottom w:val="single" w:color="auto" w:sz="4" w:space="0"/>
              <w:right w:val="single" w:color="auto" w:sz="4" w:space="0"/>
            </w:tcBorders>
            <w:vAlign w:val="center"/>
          </w:tcPr>
          <w:p w14:paraId="08B7F513">
            <w:pPr>
              <w:spacing w:line="288" w:lineRule="auto"/>
              <w:jc w:val="center"/>
              <w:rPr>
                <w:rFonts w:hAnsi="宋体" w:cs="Arial"/>
                <w:bCs/>
                <w:color w:val="auto"/>
                <w:highlight w:val="none"/>
              </w:rPr>
            </w:pPr>
            <w:r>
              <w:rPr>
                <w:rFonts w:hint="eastAsia" w:hAnsi="宋体" w:cs="Arial"/>
                <w:color w:val="auto"/>
                <w:highlight w:val="none"/>
              </w:rPr>
              <w:t>招标编号</w:t>
            </w:r>
          </w:p>
        </w:tc>
        <w:tc>
          <w:tcPr>
            <w:tcW w:w="6639" w:type="dxa"/>
            <w:tcBorders>
              <w:top w:val="single" w:color="auto" w:sz="4" w:space="0"/>
              <w:left w:val="single" w:color="auto" w:sz="4" w:space="0"/>
              <w:bottom w:val="single" w:color="auto" w:sz="4" w:space="0"/>
              <w:right w:val="single" w:color="auto" w:sz="4" w:space="0"/>
            </w:tcBorders>
            <w:vAlign w:val="center"/>
          </w:tcPr>
          <w:p w14:paraId="79D5B114">
            <w:pPr>
              <w:spacing w:line="400" w:lineRule="exact"/>
              <w:rPr>
                <w:rFonts w:hint="default" w:hAnsi="宋体" w:eastAsia="宋体" w:cs="Arial"/>
                <w:bCs/>
                <w:color w:val="auto"/>
                <w:highlight w:val="none"/>
                <w:lang w:val="en-US" w:eastAsia="zh-CN"/>
              </w:rPr>
            </w:pPr>
            <w:r>
              <w:rPr>
                <w:rFonts w:hint="eastAsia" w:hAnsi="宋体" w:cs="Arial"/>
                <w:bCs/>
                <w:color w:val="auto"/>
                <w:highlight w:val="none"/>
                <w:lang w:val="en-US" w:eastAsia="zh-CN"/>
              </w:rPr>
              <w:t>HYGS-ZC-2026-58</w:t>
            </w:r>
          </w:p>
        </w:tc>
      </w:tr>
      <w:tr w14:paraId="1991B6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684" w:type="dxa"/>
            <w:vMerge w:val="restart"/>
            <w:tcBorders>
              <w:top w:val="single" w:color="auto" w:sz="4" w:space="0"/>
              <w:left w:val="single" w:color="auto" w:sz="4" w:space="0"/>
              <w:right w:val="single" w:color="auto" w:sz="4" w:space="0"/>
            </w:tcBorders>
            <w:vAlign w:val="center"/>
          </w:tcPr>
          <w:p w14:paraId="6C6C8431">
            <w:pPr>
              <w:spacing w:line="300" w:lineRule="exact"/>
              <w:jc w:val="center"/>
              <w:rPr>
                <w:rFonts w:hAnsi="宋体" w:cs="Arial"/>
                <w:bCs/>
                <w:color w:val="auto"/>
                <w:highlight w:val="none"/>
              </w:rPr>
            </w:pPr>
            <w:r>
              <w:rPr>
                <w:rFonts w:hint="eastAsia" w:hAnsi="宋体" w:cs="Arial"/>
                <w:bCs/>
                <w:color w:val="auto"/>
                <w:highlight w:val="none"/>
              </w:rPr>
              <w:t>2</w:t>
            </w:r>
          </w:p>
        </w:tc>
        <w:tc>
          <w:tcPr>
            <w:tcW w:w="1695" w:type="dxa"/>
            <w:tcBorders>
              <w:top w:val="single" w:color="auto" w:sz="4" w:space="0"/>
              <w:left w:val="single" w:color="auto" w:sz="4" w:space="0"/>
              <w:bottom w:val="single" w:color="auto" w:sz="4" w:space="0"/>
              <w:right w:val="single" w:color="auto" w:sz="4" w:space="0"/>
            </w:tcBorders>
            <w:vAlign w:val="center"/>
          </w:tcPr>
          <w:p w14:paraId="546B9895">
            <w:pPr>
              <w:spacing w:line="288" w:lineRule="auto"/>
              <w:jc w:val="center"/>
              <w:rPr>
                <w:rFonts w:hAnsi="宋体" w:cs="Arial"/>
                <w:bCs/>
                <w:color w:val="auto"/>
                <w:highlight w:val="none"/>
              </w:rPr>
            </w:pPr>
            <w:r>
              <w:rPr>
                <w:rFonts w:hint="eastAsia" w:hAnsi="宋体" w:cs="Arial"/>
                <w:bCs/>
                <w:color w:val="auto"/>
                <w:highlight w:val="none"/>
              </w:rPr>
              <w:t>资金来源</w:t>
            </w:r>
          </w:p>
        </w:tc>
        <w:tc>
          <w:tcPr>
            <w:tcW w:w="6639" w:type="dxa"/>
            <w:tcBorders>
              <w:top w:val="single" w:color="auto" w:sz="4" w:space="0"/>
              <w:left w:val="single" w:color="auto" w:sz="4" w:space="0"/>
              <w:bottom w:val="single" w:color="auto" w:sz="4" w:space="0"/>
              <w:right w:val="single" w:color="auto" w:sz="4" w:space="0"/>
            </w:tcBorders>
            <w:vAlign w:val="center"/>
          </w:tcPr>
          <w:p w14:paraId="61421828">
            <w:pPr>
              <w:spacing w:line="288" w:lineRule="auto"/>
              <w:jc w:val="left"/>
              <w:rPr>
                <w:rFonts w:hint="default" w:hAnsi="宋体" w:eastAsia="宋体" w:cs="Arial"/>
                <w:bCs/>
                <w:color w:val="auto"/>
                <w:highlight w:val="none"/>
                <w:lang w:val="en-US" w:eastAsia="zh-CN"/>
              </w:rPr>
            </w:pPr>
            <w:r>
              <w:rPr>
                <w:rFonts w:hint="eastAsia" w:hAnsi="宋体" w:cs="Arial"/>
                <w:bCs/>
                <w:color w:val="auto"/>
                <w:highlight w:val="none"/>
                <w:lang w:val="en-US" w:eastAsia="zh-CN"/>
              </w:rPr>
              <w:t>中央财政预算</w:t>
            </w:r>
          </w:p>
        </w:tc>
      </w:tr>
      <w:tr w14:paraId="6B6F21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right w:val="single" w:color="auto" w:sz="4" w:space="0"/>
            </w:tcBorders>
            <w:vAlign w:val="center"/>
          </w:tcPr>
          <w:p w14:paraId="0B874B4F">
            <w:pPr>
              <w:spacing w:line="300" w:lineRule="exact"/>
              <w:jc w:val="center"/>
              <w:rPr>
                <w:rFonts w:hAnsi="宋体" w:cs="Arial"/>
                <w:bCs/>
                <w:color w:val="auto"/>
                <w:highlight w:val="none"/>
              </w:rPr>
            </w:pPr>
          </w:p>
        </w:tc>
        <w:tc>
          <w:tcPr>
            <w:tcW w:w="1695" w:type="dxa"/>
            <w:vMerge w:val="restart"/>
            <w:tcBorders>
              <w:top w:val="single" w:color="auto" w:sz="4" w:space="0"/>
              <w:left w:val="single" w:color="auto" w:sz="4" w:space="0"/>
              <w:right w:val="single" w:color="auto" w:sz="4" w:space="0"/>
            </w:tcBorders>
            <w:vAlign w:val="center"/>
          </w:tcPr>
          <w:p w14:paraId="3D246521">
            <w:pPr>
              <w:spacing w:line="288" w:lineRule="auto"/>
              <w:jc w:val="center"/>
              <w:rPr>
                <w:rFonts w:hAnsi="宋体" w:cs="Arial"/>
                <w:bCs/>
                <w:color w:val="auto"/>
                <w:highlight w:val="none"/>
              </w:rPr>
            </w:pPr>
            <w:r>
              <w:rPr>
                <w:rFonts w:hint="eastAsia" w:hAnsi="宋体" w:cs="Arial"/>
                <w:bCs/>
                <w:color w:val="auto"/>
                <w:highlight w:val="none"/>
              </w:rPr>
              <w:t>预算金额</w:t>
            </w:r>
          </w:p>
          <w:p w14:paraId="622C364B">
            <w:pPr>
              <w:spacing w:line="288" w:lineRule="auto"/>
              <w:jc w:val="center"/>
              <w:rPr>
                <w:color w:val="auto"/>
                <w:highlight w:val="none"/>
              </w:rPr>
            </w:pPr>
            <w:r>
              <w:rPr>
                <w:rFonts w:hint="eastAsia" w:hAnsi="宋体" w:cs="Arial"/>
                <w:bCs/>
                <w:color w:val="auto"/>
                <w:highlight w:val="none"/>
              </w:rPr>
              <w:t>最高限价</w:t>
            </w:r>
          </w:p>
        </w:tc>
        <w:tc>
          <w:tcPr>
            <w:tcW w:w="6639" w:type="dxa"/>
            <w:tcBorders>
              <w:top w:val="single" w:color="auto" w:sz="4" w:space="0"/>
              <w:left w:val="single" w:color="auto" w:sz="4" w:space="0"/>
              <w:bottom w:val="single" w:color="auto" w:sz="4" w:space="0"/>
              <w:right w:val="single" w:color="auto" w:sz="4" w:space="0"/>
            </w:tcBorders>
            <w:vAlign w:val="center"/>
          </w:tcPr>
          <w:p w14:paraId="4E489C62">
            <w:pPr>
              <w:pStyle w:val="22"/>
              <w:spacing w:line="288" w:lineRule="auto"/>
              <w:jc w:val="left"/>
              <w:rPr>
                <w:rFonts w:hint="default" w:hAnsi="宋体" w:eastAsia="宋体" w:cs="Arial"/>
                <w:bCs/>
                <w:color w:val="auto"/>
                <w:highlight w:val="none"/>
                <w:lang w:val="en-US" w:eastAsia="zh-CN"/>
              </w:rPr>
            </w:pPr>
            <w:r>
              <w:rPr>
                <w:rFonts w:hint="eastAsia" w:hAnsi="宋体" w:cs="Arial"/>
                <w:bCs/>
                <w:color w:val="auto"/>
                <w:highlight w:val="none"/>
              </w:rPr>
              <w:t>预算总金</w:t>
            </w:r>
            <w:r>
              <w:rPr>
                <w:rFonts w:hint="eastAsia" w:ascii="Times New Roman" w:hAnsi="宋体" w:cs="Arial"/>
                <w:bCs/>
                <w:color w:val="auto"/>
                <w:highlight w:val="none"/>
                <w:lang w:val="en-US" w:eastAsia="zh-CN"/>
              </w:rPr>
              <w:t>额：44万元</w:t>
            </w:r>
          </w:p>
        </w:tc>
      </w:tr>
      <w:tr w14:paraId="6F8615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bottom w:val="single" w:color="auto" w:sz="4" w:space="0"/>
              <w:right w:val="single" w:color="auto" w:sz="4" w:space="0"/>
            </w:tcBorders>
            <w:vAlign w:val="center"/>
          </w:tcPr>
          <w:p w14:paraId="0A6EE4B4">
            <w:pPr>
              <w:spacing w:line="300" w:lineRule="exact"/>
              <w:jc w:val="center"/>
              <w:rPr>
                <w:rFonts w:hAnsi="宋体" w:cs="Arial"/>
                <w:bCs/>
                <w:color w:val="auto"/>
                <w:highlight w:val="none"/>
              </w:rPr>
            </w:pPr>
          </w:p>
        </w:tc>
        <w:tc>
          <w:tcPr>
            <w:tcW w:w="1695" w:type="dxa"/>
            <w:vMerge w:val="continue"/>
            <w:tcBorders>
              <w:left w:val="single" w:color="auto" w:sz="4" w:space="0"/>
              <w:bottom w:val="single" w:color="auto" w:sz="4" w:space="0"/>
              <w:right w:val="single" w:color="auto" w:sz="4" w:space="0"/>
            </w:tcBorders>
            <w:vAlign w:val="center"/>
          </w:tcPr>
          <w:p w14:paraId="32FB60FD">
            <w:pPr>
              <w:spacing w:line="288" w:lineRule="auto"/>
              <w:jc w:val="center"/>
              <w:rPr>
                <w:rFonts w:hAnsi="宋体" w:cs="Arial"/>
                <w:bCs/>
                <w:color w:val="auto"/>
                <w:highlight w:val="none"/>
              </w:rPr>
            </w:pPr>
          </w:p>
        </w:tc>
        <w:tc>
          <w:tcPr>
            <w:tcW w:w="6639" w:type="dxa"/>
            <w:tcBorders>
              <w:top w:val="single" w:color="auto" w:sz="4" w:space="0"/>
              <w:left w:val="single" w:color="auto" w:sz="4" w:space="0"/>
              <w:bottom w:val="single" w:color="auto" w:sz="4" w:space="0"/>
              <w:right w:val="single" w:color="auto" w:sz="4" w:space="0"/>
            </w:tcBorders>
            <w:vAlign w:val="center"/>
          </w:tcPr>
          <w:p w14:paraId="0C0BF500">
            <w:pPr>
              <w:pStyle w:val="22"/>
              <w:spacing w:line="288" w:lineRule="auto"/>
              <w:jc w:val="left"/>
              <w:rPr>
                <w:rFonts w:hint="default" w:ascii="Times New Roman" w:hAnsi="宋体" w:cs="Arial"/>
                <w:bCs/>
                <w:color w:val="auto"/>
                <w:highlight w:val="none"/>
                <w:lang w:val="en-US" w:eastAsia="zh-CN"/>
              </w:rPr>
            </w:pPr>
            <w:r>
              <w:rPr>
                <w:rFonts w:hint="eastAsia" w:hAnsi="宋体" w:cs="Arial"/>
                <w:bCs/>
                <w:color w:val="auto"/>
                <w:highlight w:val="none"/>
              </w:rPr>
              <w:t>最高限</w:t>
            </w:r>
            <w:r>
              <w:rPr>
                <w:rFonts w:hint="eastAsia" w:ascii="Times New Roman" w:hAnsi="宋体" w:cs="Arial"/>
                <w:bCs/>
                <w:color w:val="auto"/>
                <w:highlight w:val="none"/>
                <w:lang w:val="en-US" w:eastAsia="zh-CN"/>
              </w:rPr>
              <w:t>价：44万元</w:t>
            </w:r>
          </w:p>
          <w:p w14:paraId="3BDC14EC">
            <w:pPr>
              <w:pStyle w:val="22"/>
              <w:spacing w:line="288" w:lineRule="auto"/>
              <w:jc w:val="left"/>
              <w:rPr>
                <w:rFonts w:hint="eastAsia"/>
                <w:color w:val="auto"/>
                <w:highlight w:val="none"/>
              </w:rPr>
            </w:pPr>
            <w:r>
              <w:rPr>
                <w:rFonts w:hint="eastAsia" w:hAnsi="宋体" w:cs="Arial"/>
                <w:bCs/>
                <w:color w:val="auto"/>
                <w:highlight w:val="none"/>
              </w:rPr>
              <w:t>最高单价限价</w:t>
            </w:r>
            <w:r>
              <w:rPr>
                <w:rFonts w:hint="eastAsia" w:ascii="Times New Roman" w:hAnsi="宋体" w:cs="Arial"/>
                <w:bCs/>
                <w:color w:val="auto"/>
                <w:highlight w:val="none"/>
              </w:rPr>
              <w:t>：</w:t>
            </w:r>
            <w:r>
              <w:rPr>
                <w:rFonts w:hint="eastAsia" w:hAnsi="宋体"/>
                <w:color w:val="auto"/>
                <w:highlight w:val="none"/>
              </w:rPr>
              <w:t>详见本招标文件第六章项目需求</w:t>
            </w:r>
          </w:p>
          <w:p w14:paraId="42619EC4">
            <w:pPr>
              <w:pStyle w:val="22"/>
              <w:spacing w:line="288" w:lineRule="auto"/>
              <w:jc w:val="left"/>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
                <w:bCs w:val="0"/>
                <w:color w:val="auto"/>
                <w:highlight w:val="none"/>
                <w:lang w:eastAsia="zh-CN"/>
              </w:rPr>
              <w:t>（</w:t>
            </w:r>
            <w:r>
              <w:rPr>
                <w:rFonts w:hint="eastAsia" w:asciiTheme="minorEastAsia" w:hAnsiTheme="minorEastAsia" w:eastAsiaTheme="minorEastAsia" w:cstheme="minorEastAsia"/>
                <w:b/>
                <w:color w:val="auto"/>
                <w:highlight w:val="none"/>
              </w:rPr>
              <w:t>供应商的报价总价、单项报价均不得超过招标文件公布的最高限价，</w:t>
            </w:r>
            <w:r>
              <w:rPr>
                <w:rFonts w:hint="eastAsia" w:asciiTheme="minorEastAsia" w:hAnsiTheme="minorEastAsia" w:eastAsiaTheme="minorEastAsia" w:cstheme="minorEastAsia"/>
                <w:b/>
                <w:bCs w:val="0"/>
                <w:color w:val="auto"/>
                <w:highlight w:val="none"/>
                <w:lang w:eastAsia="zh-CN"/>
              </w:rPr>
              <w:t>否则其投标无效。）</w:t>
            </w:r>
          </w:p>
        </w:tc>
      </w:tr>
      <w:tr w14:paraId="0F9830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42DC2DD8">
            <w:pPr>
              <w:spacing w:line="300" w:lineRule="exact"/>
              <w:jc w:val="center"/>
              <w:rPr>
                <w:rFonts w:hAnsi="宋体" w:cs="Arial"/>
                <w:bCs/>
                <w:color w:val="auto"/>
                <w:highlight w:val="none"/>
              </w:rPr>
            </w:pPr>
            <w:r>
              <w:rPr>
                <w:rFonts w:hint="eastAsia" w:hAnsi="宋体" w:cs="Arial"/>
                <w:bCs/>
                <w:color w:val="auto"/>
                <w:highlight w:val="none"/>
              </w:rPr>
              <w:t>3</w:t>
            </w:r>
          </w:p>
        </w:tc>
        <w:tc>
          <w:tcPr>
            <w:tcW w:w="1695" w:type="dxa"/>
            <w:tcBorders>
              <w:top w:val="single" w:color="auto" w:sz="4" w:space="0"/>
              <w:left w:val="single" w:color="auto" w:sz="4" w:space="0"/>
              <w:bottom w:val="single" w:color="auto" w:sz="4" w:space="0"/>
              <w:right w:val="single" w:color="auto" w:sz="4" w:space="0"/>
            </w:tcBorders>
            <w:vAlign w:val="center"/>
          </w:tcPr>
          <w:p w14:paraId="4E0FF794">
            <w:pPr>
              <w:spacing w:line="288" w:lineRule="auto"/>
              <w:jc w:val="center"/>
              <w:rPr>
                <w:rFonts w:hAnsi="宋体" w:cs="Arial"/>
                <w:bCs/>
                <w:color w:val="auto"/>
                <w:highlight w:val="none"/>
              </w:rPr>
            </w:pPr>
            <w:r>
              <w:rPr>
                <w:rFonts w:hint="eastAsia" w:hAnsi="宋体" w:cs="Arial"/>
                <w:bCs/>
                <w:color w:val="auto"/>
                <w:highlight w:val="none"/>
              </w:rPr>
              <w:t>招标方式</w:t>
            </w:r>
          </w:p>
        </w:tc>
        <w:tc>
          <w:tcPr>
            <w:tcW w:w="6639" w:type="dxa"/>
            <w:tcBorders>
              <w:top w:val="single" w:color="auto" w:sz="4" w:space="0"/>
              <w:left w:val="single" w:color="auto" w:sz="4" w:space="0"/>
              <w:bottom w:val="single" w:color="auto" w:sz="4" w:space="0"/>
              <w:right w:val="single" w:color="auto" w:sz="4" w:space="0"/>
            </w:tcBorders>
            <w:vAlign w:val="center"/>
          </w:tcPr>
          <w:p w14:paraId="68A2B349">
            <w:pPr>
              <w:pStyle w:val="128"/>
              <w:spacing w:line="288" w:lineRule="auto"/>
              <w:ind w:left="0"/>
              <w:rPr>
                <w:rFonts w:ascii="宋体" w:hAnsi="宋体" w:cs="Arial"/>
                <w:bCs/>
                <w:color w:val="auto"/>
                <w:sz w:val="21"/>
                <w:szCs w:val="21"/>
                <w:highlight w:val="none"/>
              </w:rPr>
            </w:pPr>
            <w:r>
              <w:rPr>
                <w:rFonts w:hint="eastAsia" w:ascii="宋体" w:hAnsi="宋体" w:cs="Arial"/>
                <w:bCs/>
                <w:color w:val="auto"/>
                <w:sz w:val="21"/>
                <w:szCs w:val="21"/>
                <w:highlight w:val="none"/>
              </w:rPr>
              <w:t>公开招标</w:t>
            </w:r>
          </w:p>
        </w:tc>
      </w:tr>
      <w:tr w14:paraId="042C56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B1FE28D">
            <w:pPr>
              <w:spacing w:line="300" w:lineRule="exact"/>
              <w:jc w:val="center"/>
              <w:rPr>
                <w:rFonts w:hAnsi="宋体" w:cs="Arial"/>
                <w:bCs/>
                <w:color w:val="auto"/>
                <w:highlight w:val="none"/>
              </w:rPr>
            </w:pPr>
            <w:r>
              <w:rPr>
                <w:rFonts w:hint="eastAsia" w:hAnsi="宋体" w:cs="Arial"/>
                <w:bCs/>
                <w:color w:val="auto"/>
                <w:highlight w:val="none"/>
              </w:rPr>
              <w:t>4</w:t>
            </w:r>
          </w:p>
        </w:tc>
        <w:tc>
          <w:tcPr>
            <w:tcW w:w="1695" w:type="dxa"/>
            <w:tcBorders>
              <w:top w:val="single" w:color="auto" w:sz="4" w:space="0"/>
              <w:left w:val="single" w:color="auto" w:sz="4" w:space="0"/>
              <w:bottom w:val="single" w:color="auto" w:sz="4" w:space="0"/>
              <w:right w:val="single" w:color="auto" w:sz="4" w:space="0"/>
            </w:tcBorders>
            <w:vAlign w:val="center"/>
          </w:tcPr>
          <w:p w14:paraId="195F10B0">
            <w:pPr>
              <w:spacing w:line="288" w:lineRule="auto"/>
              <w:jc w:val="center"/>
              <w:rPr>
                <w:rFonts w:hAnsi="宋体" w:cs="Arial"/>
                <w:bCs/>
                <w:color w:val="auto"/>
                <w:highlight w:val="none"/>
              </w:rPr>
            </w:pPr>
            <w:r>
              <w:rPr>
                <w:rFonts w:hint="eastAsia" w:hAnsi="宋体" w:cs="Arial"/>
                <w:bCs/>
                <w:color w:val="auto"/>
                <w:highlight w:val="none"/>
              </w:rPr>
              <w:t>招标内容</w:t>
            </w:r>
          </w:p>
        </w:tc>
        <w:tc>
          <w:tcPr>
            <w:tcW w:w="6639" w:type="dxa"/>
            <w:tcBorders>
              <w:top w:val="single" w:color="auto" w:sz="4" w:space="0"/>
              <w:left w:val="single" w:color="auto" w:sz="4" w:space="0"/>
              <w:bottom w:val="single" w:color="auto" w:sz="4" w:space="0"/>
              <w:right w:val="single" w:color="auto" w:sz="4" w:space="0"/>
            </w:tcBorders>
            <w:vAlign w:val="center"/>
          </w:tcPr>
          <w:p w14:paraId="30EC4312">
            <w:pPr>
              <w:spacing w:line="288" w:lineRule="auto"/>
              <w:jc w:val="left"/>
              <w:rPr>
                <w:rFonts w:hAnsi="宋体"/>
                <w:color w:val="auto"/>
                <w:highlight w:val="none"/>
              </w:rPr>
            </w:pPr>
            <w:r>
              <w:rPr>
                <w:rFonts w:hint="eastAsia" w:hAnsi="宋体"/>
                <w:color w:val="auto"/>
                <w:highlight w:val="none"/>
              </w:rPr>
              <w:t>详见本招标文件第六章项目需求</w:t>
            </w:r>
          </w:p>
        </w:tc>
      </w:tr>
      <w:tr w14:paraId="4C9570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724949E3">
            <w:pPr>
              <w:spacing w:line="300" w:lineRule="exact"/>
              <w:jc w:val="center"/>
              <w:rPr>
                <w:rFonts w:hAnsi="宋体" w:cs="Arial"/>
                <w:bCs/>
                <w:color w:val="auto"/>
                <w:highlight w:val="none"/>
              </w:rPr>
            </w:pPr>
            <w:r>
              <w:rPr>
                <w:rFonts w:hint="eastAsia" w:hAnsi="宋体" w:cs="Arial"/>
                <w:bCs/>
                <w:color w:val="auto"/>
                <w:highlight w:val="none"/>
              </w:rPr>
              <w:t>5</w:t>
            </w:r>
          </w:p>
        </w:tc>
        <w:tc>
          <w:tcPr>
            <w:tcW w:w="1695" w:type="dxa"/>
            <w:tcBorders>
              <w:top w:val="single" w:color="auto" w:sz="4" w:space="0"/>
              <w:left w:val="single" w:color="auto" w:sz="4" w:space="0"/>
              <w:bottom w:val="single" w:color="auto" w:sz="4" w:space="0"/>
              <w:right w:val="single" w:color="auto" w:sz="4" w:space="0"/>
            </w:tcBorders>
            <w:vAlign w:val="center"/>
          </w:tcPr>
          <w:p w14:paraId="774CAE6A">
            <w:pPr>
              <w:spacing w:line="288" w:lineRule="auto"/>
              <w:jc w:val="center"/>
              <w:rPr>
                <w:rFonts w:hAnsi="宋体" w:cs="Arial"/>
                <w:bCs/>
                <w:color w:val="auto"/>
                <w:highlight w:val="none"/>
              </w:rPr>
            </w:pPr>
            <w:r>
              <w:rPr>
                <w:rFonts w:hint="eastAsia" w:hAnsi="宋体" w:cs="Arial"/>
                <w:bCs/>
                <w:color w:val="auto"/>
                <w:highlight w:val="none"/>
                <w:lang w:val="en-US" w:eastAsia="zh-CN"/>
              </w:rPr>
              <w:t>供货</w:t>
            </w:r>
            <w:r>
              <w:rPr>
                <w:rFonts w:hint="eastAsia" w:hAnsi="宋体" w:cs="Arial"/>
                <w:bCs/>
                <w:color w:val="auto"/>
                <w:highlight w:val="none"/>
              </w:rPr>
              <w:t>地点</w:t>
            </w:r>
          </w:p>
        </w:tc>
        <w:tc>
          <w:tcPr>
            <w:tcW w:w="6639" w:type="dxa"/>
            <w:tcBorders>
              <w:top w:val="single" w:color="auto" w:sz="4" w:space="0"/>
              <w:left w:val="single" w:color="auto" w:sz="4" w:space="0"/>
              <w:bottom w:val="single" w:color="auto" w:sz="4" w:space="0"/>
              <w:right w:val="single" w:color="auto" w:sz="4" w:space="0"/>
            </w:tcBorders>
            <w:vAlign w:val="center"/>
          </w:tcPr>
          <w:p w14:paraId="20956209">
            <w:pPr>
              <w:spacing w:line="288" w:lineRule="auto"/>
              <w:jc w:val="left"/>
              <w:rPr>
                <w:rFonts w:hAnsi="宋体"/>
                <w:color w:val="auto"/>
                <w:highlight w:val="none"/>
              </w:rPr>
            </w:pPr>
            <w:r>
              <w:rPr>
                <w:rFonts w:hint="eastAsia" w:hAnsi="宋体"/>
                <w:color w:val="auto"/>
                <w:highlight w:val="none"/>
              </w:rPr>
              <w:t>中国石油大学（北京）克拉玛依校区</w:t>
            </w:r>
          </w:p>
        </w:tc>
      </w:tr>
      <w:tr w14:paraId="40E775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6FD5A15">
            <w:pPr>
              <w:spacing w:line="300" w:lineRule="exact"/>
              <w:jc w:val="center"/>
              <w:rPr>
                <w:rFonts w:hAnsi="宋体" w:cs="Arial"/>
                <w:color w:val="auto"/>
                <w:highlight w:val="none"/>
              </w:rPr>
            </w:pPr>
            <w:r>
              <w:rPr>
                <w:rFonts w:hint="eastAsia" w:hAnsi="宋体" w:cs="Arial"/>
                <w:color w:val="auto"/>
                <w:highlight w:val="none"/>
              </w:rPr>
              <w:t>6</w:t>
            </w:r>
          </w:p>
        </w:tc>
        <w:tc>
          <w:tcPr>
            <w:tcW w:w="1695" w:type="dxa"/>
            <w:tcBorders>
              <w:top w:val="single" w:color="auto" w:sz="4" w:space="0"/>
              <w:left w:val="single" w:color="auto" w:sz="4" w:space="0"/>
              <w:bottom w:val="single" w:color="auto" w:sz="4" w:space="0"/>
              <w:right w:val="single" w:color="auto" w:sz="4" w:space="0"/>
            </w:tcBorders>
            <w:vAlign w:val="center"/>
          </w:tcPr>
          <w:p w14:paraId="07F71C87">
            <w:pPr>
              <w:spacing w:line="288" w:lineRule="auto"/>
              <w:jc w:val="center"/>
              <w:rPr>
                <w:rFonts w:hAnsi="宋体" w:cs="宋体"/>
                <w:color w:val="auto"/>
                <w:highlight w:val="none"/>
              </w:rPr>
            </w:pPr>
            <w:r>
              <w:rPr>
                <w:rFonts w:hint="eastAsia" w:hAnsi="宋体" w:cs="宋体"/>
                <w:color w:val="auto"/>
                <w:highlight w:val="none"/>
                <w:lang w:val="en-US" w:eastAsia="zh-CN"/>
              </w:rPr>
              <w:t>合同履约期限</w:t>
            </w:r>
          </w:p>
        </w:tc>
        <w:tc>
          <w:tcPr>
            <w:tcW w:w="6639" w:type="dxa"/>
            <w:tcBorders>
              <w:top w:val="single" w:color="auto" w:sz="4" w:space="0"/>
              <w:left w:val="single" w:color="auto" w:sz="4" w:space="0"/>
              <w:bottom w:val="single" w:color="auto" w:sz="4" w:space="0"/>
              <w:right w:val="single" w:color="auto" w:sz="4" w:space="0"/>
            </w:tcBorders>
            <w:vAlign w:val="center"/>
          </w:tcPr>
          <w:p w14:paraId="24B2078A">
            <w:pPr>
              <w:spacing w:line="288" w:lineRule="auto"/>
              <w:jc w:val="left"/>
              <w:rPr>
                <w:rFonts w:hint="eastAsia" w:hAnsi="宋体" w:eastAsia="宋体"/>
                <w:color w:val="auto"/>
                <w:highlight w:val="none"/>
                <w:lang w:val="en-US" w:eastAsia="zh-CN"/>
              </w:rPr>
            </w:pPr>
            <w:r>
              <w:rPr>
                <w:rFonts w:hint="eastAsia" w:hAnsi="宋体" w:eastAsia="宋体"/>
                <w:color w:val="auto"/>
                <w:highlight w:val="none"/>
                <w:lang w:val="en-US" w:eastAsia="zh-CN"/>
              </w:rPr>
              <w:t>自签订采购合同后</w:t>
            </w:r>
            <w:r>
              <w:rPr>
                <w:rFonts w:hint="eastAsia" w:hAnsi="宋体"/>
                <w:color w:val="auto"/>
                <w:highlight w:val="none"/>
                <w:lang w:val="en-US" w:eastAsia="zh-CN"/>
              </w:rPr>
              <w:t>6</w:t>
            </w:r>
            <w:r>
              <w:rPr>
                <w:rFonts w:hint="eastAsia" w:hAnsi="宋体" w:eastAsia="宋体"/>
                <w:color w:val="auto"/>
                <w:highlight w:val="none"/>
                <w:lang w:val="en-US" w:eastAsia="zh-CN"/>
              </w:rPr>
              <w:t>0日（日历日）内交货并完成安装调试</w:t>
            </w:r>
          </w:p>
        </w:tc>
      </w:tr>
      <w:tr w14:paraId="3BBE55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4CF79F76">
            <w:pPr>
              <w:spacing w:line="300" w:lineRule="exact"/>
              <w:jc w:val="center"/>
              <w:rPr>
                <w:rFonts w:hAnsi="宋体" w:cs="Arial"/>
                <w:bCs/>
                <w:color w:val="auto"/>
                <w:highlight w:val="none"/>
              </w:rPr>
            </w:pPr>
            <w:r>
              <w:rPr>
                <w:rFonts w:hint="eastAsia" w:hAnsi="宋体" w:cs="Arial"/>
                <w:bCs/>
                <w:color w:val="auto"/>
                <w:highlight w:val="none"/>
              </w:rPr>
              <w:t>7</w:t>
            </w:r>
          </w:p>
        </w:tc>
        <w:tc>
          <w:tcPr>
            <w:tcW w:w="1695" w:type="dxa"/>
            <w:tcBorders>
              <w:top w:val="single" w:color="auto" w:sz="4" w:space="0"/>
              <w:left w:val="single" w:color="auto" w:sz="4" w:space="0"/>
              <w:bottom w:val="single" w:color="auto" w:sz="4" w:space="0"/>
              <w:right w:val="single" w:color="auto" w:sz="4" w:space="0"/>
            </w:tcBorders>
            <w:vAlign w:val="center"/>
          </w:tcPr>
          <w:p w14:paraId="535525DE">
            <w:pPr>
              <w:spacing w:line="288" w:lineRule="auto"/>
              <w:jc w:val="center"/>
              <w:rPr>
                <w:rFonts w:hAnsi="宋体" w:cs="宋体"/>
                <w:color w:val="auto"/>
                <w:highlight w:val="none"/>
              </w:rPr>
            </w:pPr>
            <w:r>
              <w:rPr>
                <w:rFonts w:hint="eastAsia" w:hAnsi="宋体" w:cs="宋体"/>
                <w:color w:val="auto"/>
                <w:highlight w:val="none"/>
              </w:rPr>
              <w:t>质量标准</w:t>
            </w:r>
          </w:p>
        </w:tc>
        <w:tc>
          <w:tcPr>
            <w:tcW w:w="6639" w:type="dxa"/>
            <w:tcBorders>
              <w:top w:val="single" w:color="auto" w:sz="4" w:space="0"/>
              <w:left w:val="single" w:color="auto" w:sz="4" w:space="0"/>
              <w:bottom w:val="single" w:color="auto" w:sz="4" w:space="0"/>
              <w:right w:val="single" w:color="auto" w:sz="4" w:space="0"/>
            </w:tcBorders>
            <w:vAlign w:val="center"/>
          </w:tcPr>
          <w:p w14:paraId="522597B7">
            <w:pPr>
              <w:spacing w:line="288" w:lineRule="auto"/>
              <w:jc w:val="left"/>
              <w:rPr>
                <w:rFonts w:hAnsi="宋体"/>
                <w:color w:val="auto"/>
                <w:highlight w:val="none"/>
              </w:rPr>
            </w:pPr>
            <w:r>
              <w:rPr>
                <w:rFonts w:hint="eastAsia" w:hAnsi="宋体"/>
                <w:color w:val="auto"/>
                <w:highlight w:val="none"/>
              </w:rPr>
              <w:t>达到招标人要求</w:t>
            </w:r>
          </w:p>
        </w:tc>
      </w:tr>
      <w:tr w14:paraId="5DEEA5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4D37AD3D">
            <w:pPr>
              <w:spacing w:line="300" w:lineRule="exact"/>
              <w:jc w:val="center"/>
              <w:rPr>
                <w:rFonts w:ascii="宋体" w:hAnsi="宋体" w:cs="Arial"/>
                <w:bCs/>
                <w:color w:val="auto"/>
                <w:highlight w:val="none"/>
              </w:rPr>
            </w:pPr>
            <w:r>
              <w:rPr>
                <w:rFonts w:hint="eastAsia" w:hAnsi="宋体" w:cs="Arial"/>
                <w:bCs/>
                <w:color w:val="auto"/>
                <w:highlight w:val="none"/>
              </w:rPr>
              <w:t>8</w:t>
            </w:r>
          </w:p>
        </w:tc>
        <w:tc>
          <w:tcPr>
            <w:tcW w:w="1695" w:type="dxa"/>
            <w:tcBorders>
              <w:top w:val="single" w:color="auto" w:sz="4" w:space="0"/>
              <w:left w:val="single" w:color="auto" w:sz="4" w:space="0"/>
              <w:bottom w:val="single" w:color="auto" w:sz="4" w:space="0"/>
              <w:right w:val="single" w:color="auto" w:sz="4" w:space="0"/>
            </w:tcBorders>
            <w:vAlign w:val="center"/>
          </w:tcPr>
          <w:p w14:paraId="7C6FD45F">
            <w:pPr>
              <w:spacing w:line="288" w:lineRule="auto"/>
              <w:jc w:val="center"/>
              <w:rPr>
                <w:rFonts w:hAnsi="宋体" w:cs="宋体"/>
                <w:color w:val="auto"/>
                <w:highlight w:val="none"/>
              </w:rPr>
            </w:pPr>
            <w:r>
              <w:rPr>
                <w:rFonts w:hint="eastAsia" w:cs="宋体"/>
                <w:color w:val="auto"/>
                <w:highlight w:val="none"/>
              </w:rPr>
              <w:t>付款方式</w:t>
            </w:r>
          </w:p>
        </w:tc>
        <w:tc>
          <w:tcPr>
            <w:tcW w:w="6639" w:type="dxa"/>
            <w:tcBorders>
              <w:top w:val="single" w:color="auto" w:sz="4" w:space="0"/>
              <w:left w:val="single" w:color="auto" w:sz="4" w:space="0"/>
              <w:bottom w:val="single" w:color="auto" w:sz="4" w:space="0"/>
              <w:right w:val="single" w:color="auto" w:sz="4" w:space="0"/>
            </w:tcBorders>
            <w:vAlign w:val="center"/>
          </w:tcPr>
          <w:p w14:paraId="0BFF7A6D">
            <w:pPr>
              <w:rPr>
                <w:rFonts w:hint="eastAsia"/>
                <w:color w:val="auto"/>
                <w:highlight w:val="none"/>
                <w:lang w:eastAsia="zh-CN"/>
              </w:rPr>
            </w:pPr>
            <w:r>
              <w:rPr>
                <w:rFonts w:hint="eastAsia"/>
                <w:color w:val="auto"/>
                <w:highlight w:val="none"/>
                <w:lang w:eastAsia="zh-CN"/>
              </w:rPr>
              <w:t>1、合同签订后，采购人向中标人支付合同总价50%的预付款；</w:t>
            </w:r>
          </w:p>
          <w:p w14:paraId="13CDD4C4">
            <w:pPr>
              <w:rPr>
                <w:rFonts w:hint="eastAsia"/>
                <w:color w:val="auto"/>
                <w:highlight w:val="none"/>
                <w:lang w:eastAsia="zh-CN"/>
              </w:rPr>
            </w:pPr>
            <w:r>
              <w:rPr>
                <w:rFonts w:hint="eastAsia"/>
                <w:color w:val="auto"/>
                <w:highlight w:val="none"/>
                <w:lang w:eastAsia="zh-CN"/>
              </w:rPr>
              <w:t>2、中标人按采购合同交货，完成安装调试，经验收合格后，采购人向中标人支付合同总价50%的货款；</w:t>
            </w:r>
          </w:p>
          <w:p w14:paraId="4598AB2C">
            <w:pPr>
              <w:rPr>
                <w:rFonts w:hint="eastAsia"/>
                <w:color w:val="auto"/>
                <w:highlight w:val="none"/>
                <w:lang w:eastAsia="zh-CN"/>
              </w:rPr>
            </w:pPr>
            <w:r>
              <w:rPr>
                <w:rFonts w:hint="eastAsia"/>
                <w:color w:val="auto"/>
                <w:highlight w:val="none"/>
                <w:lang w:eastAsia="zh-CN"/>
              </w:rPr>
              <w:t>3、中标人提交采购合同、发票等材料，向采购人申请付款；</w:t>
            </w:r>
          </w:p>
          <w:p w14:paraId="469A7EF1">
            <w:pPr>
              <w:rPr>
                <w:rFonts w:hint="eastAsia"/>
                <w:color w:val="auto"/>
                <w:highlight w:val="none"/>
                <w:lang w:eastAsia="zh-CN"/>
              </w:rPr>
            </w:pPr>
            <w:r>
              <w:rPr>
                <w:rFonts w:hint="eastAsia"/>
                <w:color w:val="auto"/>
                <w:highlight w:val="none"/>
                <w:lang w:eastAsia="zh-CN"/>
              </w:rPr>
              <w:t>4、采购人对中标人提交的付款资料审核通过后，以转账方式向中标人付款。</w:t>
            </w:r>
          </w:p>
        </w:tc>
      </w:tr>
      <w:tr w14:paraId="559A33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7B93C944">
            <w:pPr>
              <w:spacing w:line="300" w:lineRule="exact"/>
              <w:jc w:val="center"/>
              <w:rPr>
                <w:rFonts w:ascii="宋体" w:hAnsi="宋体" w:cs="Arial"/>
                <w:bCs/>
                <w:color w:val="auto"/>
                <w:highlight w:val="none"/>
              </w:rPr>
            </w:pPr>
            <w:r>
              <w:rPr>
                <w:rFonts w:hint="eastAsia" w:hAnsi="宋体" w:cs="Arial"/>
                <w:bCs/>
                <w:color w:val="auto"/>
                <w:highlight w:val="none"/>
              </w:rPr>
              <w:t>9</w:t>
            </w:r>
          </w:p>
        </w:tc>
        <w:tc>
          <w:tcPr>
            <w:tcW w:w="1695" w:type="dxa"/>
            <w:tcBorders>
              <w:top w:val="single" w:color="auto" w:sz="4" w:space="0"/>
              <w:left w:val="single" w:color="auto" w:sz="4" w:space="0"/>
              <w:bottom w:val="single" w:color="auto" w:sz="4" w:space="0"/>
              <w:right w:val="single" w:color="auto" w:sz="4" w:space="0"/>
            </w:tcBorders>
            <w:vAlign w:val="center"/>
          </w:tcPr>
          <w:p w14:paraId="1BCB0F62">
            <w:pPr>
              <w:spacing w:line="288" w:lineRule="auto"/>
              <w:jc w:val="center"/>
              <w:rPr>
                <w:rFonts w:cs="宋体"/>
                <w:color w:val="auto"/>
                <w:highlight w:val="none"/>
              </w:rPr>
            </w:pPr>
            <w:r>
              <w:rPr>
                <w:rFonts w:hint="eastAsia" w:cs="宋体"/>
                <w:color w:val="auto"/>
                <w:highlight w:val="none"/>
              </w:rPr>
              <w:t>质量保修期</w:t>
            </w:r>
          </w:p>
        </w:tc>
        <w:tc>
          <w:tcPr>
            <w:tcW w:w="6639" w:type="dxa"/>
            <w:tcBorders>
              <w:top w:val="single" w:color="auto" w:sz="4" w:space="0"/>
              <w:left w:val="single" w:color="auto" w:sz="4" w:space="0"/>
              <w:bottom w:val="single" w:color="auto" w:sz="4" w:space="0"/>
              <w:right w:val="single" w:color="auto" w:sz="4" w:space="0"/>
            </w:tcBorders>
            <w:vAlign w:val="center"/>
          </w:tcPr>
          <w:p w14:paraId="6DFBB6BE">
            <w:pPr>
              <w:spacing w:line="288" w:lineRule="auto"/>
              <w:rPr>
                <w:color w:val="auto"/>
                <w:highlight w:val="none"/>
              </w:rPr>
            </w:pPr>
            <w:r>
              <w:rPr>
                <w:rFonts w:hint="eastAsia"/>
                <w:color w:val="auto"/>
                <w:highlight w:val="none"/>
              </w:rPr>
              <w:t>自验收</w:t>
            </w:r>
            <w:r>
              <w:rPr>
                <w:rFonts w:hint="eastAsia"/>
                <w:color w:val="auto"/>
                <w:highlight w:val="none"/>
                <w:lang w:eastAsia="zh-CN"/>
              </w:rPr>
              <w:t>合格</w:t>
            </w:r>
            <w:r>
              <w:rPr>
                <w:rFonts w:hint="eastAsia"/>
                <w:color w:val="auto"/>
                <w:highlight w:val="none"/>
              </w:rPr>
              <w:t>之日起</w:t>
            </w:r>
            <w:r>
              <w:rPr>
                <w:rFonts w:hint="eastAsia"/>
                <w:color w:val="auto"/>
                <w:highlight w:val="none"/>
                <w:lang w:val="en-US" w:eastAsia="zh-CN"/>
              </w:rPr>
              <w:t>1</w:t>
            </w:r>
            <w:r>
              <w:rPr>
                <w:rFonts w:hint="eastAsia"/>
                <w:color w:val="auto"/>
                <w:highlight w:val="none"/>
              </w:rPr>
              <w:t>年</w:t>
            </w:r>
            <w:r>
              <w:rPr>
                <w:rFonts w:hint="eastAsia"/>
                <w:color w:val="auto"/>
                <w:highlight w:val="none"/>
                <w:lang w:eastAsia="zh-CN"/>
              </w:rPr>
              <w:t>，质保期内</w:t>
            </w:r>
            <w:r>
              <w:rPr>
                <w:rFonts w:hint="eastAsia"/>
                <w:color w:val="auto"/>
                <w:highlight w:val="none"/>
              </w:rPr>
              <w:t>免费维修更换相关配件。</w:t>
            </w:r>
          </w:p>
        </w:tc>
      </w:tr>
      <w:tr w14:paraId="0A1C49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526E0D77">
            <w:pPr>
              <w:spacing w:line="300" w:lineRule="exact"/>
              <w:jc w:val="center"/>
              <w:rPr>
                <w:rFonts w:ascii="宋体" w:hAnsi="宋体" w:cs="Arial"/>
                <w:bCs/>
                <w:color w:val="auto"/>
                <w:highlight w:val="none"/>
              </w:rPr>
            </w:pPr>
            <w:r>
              <w:rPr>
                <w:rFonts w:hint="eastAsia" w:hAnsi="宋体" w:cs="Arial"/>
                <w:bCs/>
                <w:color w:val="auto"/>
                <w:highlight w:val="none"/>
              </w:rPr>
              <w:t>10</w:t>
            </w:r>
          </w:p>
        </w:tc>
        <w:tc>
          <w:tcPr>
            <w:tcW w:w="1695" w:type="dxa"/>
            <w:tcBorders>
              <w:top w:val="single" w:color="auto" w:sz="4" w:space="0"/>
              <w:left w:val="single" w:color="auto" w:sz="4" w:space="0"/>
              <w:bottom w:val="single" w:color="auto" w:sz="4" w:space="0"/>
              <w:right w:val="single" w:color="auto" w:sz="4" w:space="0"/>
            </w:tcBorders>
            <w:vAlign w:val="center"/>
          </w:tcPr>
          <w:p w14:paraId="1D2D93DA">
            <w:pPr>
              <w:spacing w:line="288" w:lineRule="auto"/>
              <w:jc w:val="center"/>
              <w:rPr>
                <w:rFonts w:cs="宋体"/>
                <w:color w:val="auto"/>
                <w:highlight w:val="none"/>
              </w:rPr>
            </w:pPr>
            <w:r>
              <w:rPr>
                <w:rFonts w:hint="eastAsia" w:cs="宋体"/>
                <w:color w:val="auto"/>
                <w:highlight w:val="none"/>
                <w:lang w:val="en-US" w:eastAsia="zh-CN"/>
              </w:rPr>
              <w:t>是否接受</w:t>
            </w:r>
            <w:r>
              <w:rPr>
                <w:rFonts w:hint="eastAsia" w:cs="宋体"/>
                <w:color w:val="auto"/>
                <w:highlight w:val="none"/>
              </w:rPr>
              <w:t>进口产品</w:t>
            </w:r>
          </w:p>
        </w:tc>
        <w:tc>
          <w:tcPr>
            <w:tcW w:w="6639" w:type="dxa"/>
            <w:tcBorders>
              <w:top w:val="single" w:color="auto" w:sz="4" w:space="0"/>
              <w:left w:val="single" w:color="auto" w:sz="4" w:space="0"/>
              <w:bottom w:val="single" w:color="auto" w:sz="4" w:space="0"/>
              <w:right w:val="single" w:color="auto" w:sz="4" w:space="0"/>
            </w:tcBorders>
            <w:vAlign w:val="center"/>
          </w:tcPr>
          <w:p w14:paraId="08BCFB57">
            <w:pPr>
              <w:spacing w:line="288" w:lineRule="auto"/>
              <w:jc w:val="left"/>
              <w:rPr>
                <w:rFonts w:hAnsi="宋体"/>
                <w:color w:val="auto"/>
                <w:highlight w:val="none"/>
              </w:rPr>
            </w:pPr>
            <w:r>
              <w:rPr>
                <w:rFonts w:hint="eastAsia" w:cs="Times New Roman"/>
                <w:color w:val="auto"/>
                <w:highlight w:val="none"/>
                <w:lang w:val="en-US" w:eastAsia="zh-CN"/>
              </w:rPr>
              <w:sym w:font="Wingdings" w:char="00A8"/>
            </w:r>
            <w:r>
              <w:rPr>
                <w:rFonts w:hint="eastAsia" w:cs="Times New Roman"/>
                <w:color w:val="auto"/>
                <w:highlight w:val="none"/>
                <w:lang w:val="en-US" w:eastAsia="zh-CN"/>
              </w:rPr>
              <w:t xml:space="preserve">是   </w:t>
            </w:r>
            <w:r>
              <w:rPr>
                <w:rFonts w:hint="eastAsia" w:cs="Times New Roman"/>
                <w:color w:val="auto"/>
                <w:highlight w:val="none"/>
                <w:lang w:val="en-US" w:eastAsia="zh-CN"/>
              </w:rPr>
              <w:sym w:font="Wingdings" w:char="00FE"/>
            </w:r>
            <w:r>
              <w:rPr>
                <w:rFonts w:hint="eastAsia" w:cs="Times New Roman"/>
                <w:color w:val="auto"/>
                <w:highlight w:val="none"/>
                <w:lang w:val="en-US" w:eastAsia="zh-CN"/>
              </w:rPr>
              <w:t>否</w:t>
            </w:r>
          </w:p>
        </w:tc>
      </w:tr>
      <w:tr w14:paraId="22FC04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780FFCBB">
            <w:pPr>
              <w:spacing w:line="300" w:lineRule="exact"/>
              <w:jc w:val="center"/>
              <w:rPr>
                <w:rFonts w:ascii="宋体" w:hAnsi="宋体" w:cs="Arial"/>
                <w:bCs/>
                <w:color w:val="auto"/>
                <w:highlight w:val="none"/>
              </w:rPr>
            </w:pPr>
            <w:r>
              <w:rPr>
                <w:rFonts w:hint="eastAsia" w:hAnsi="宋体" w:cs="Arial"/>
                <w:bCs/>
                <w:color w:val="auto"/>
                <w:highlight w:val="none"/>
              </w:rPr>
              <w:t>11</w:t>
            </w:r>
          </w:p>
        </w:tc>
        <w:tc>
          <w:tcPr>
            <w:tcW w:w="1695" w:type="dxa"/>
            <w:tcBorders>
              <w:top w:val="single" w:color="auto" w:sz="4" w:space="0"/>
              <w:left w:val="single" w:color="auto" w:sz="4" w:space="0"/>
              <w:bottom w:val="single" w:color="auto" w:sz="4" w:space="0"/>
              <w:right w:val="single" w:color="auto" w:sz="4" w:space="0"/>
            </w:tcBorders>
            <w:vAlign w:val="center"/>
          </w:tcPr>
          <w:p w14:paraId="3C363448">
            <w:pPr>
              <w:spacing w:line="288" w:lineRule="auto"/>
              <w:jc w:val="center"/>
              <w:rPr>
                <w:rFonts w:cs="宋体"/>
                <w:color w:val="auto"/>
                <w:highlight w:val="none"/>
              </w:rPr>
            </w:pPr>
            <w:r>
              <w:rPr>
                <w:rFonts w:hint="eastAsia" w:cs="宋体"/>
                <w:color w:val="auto"/>
                <w:highlight w:val="none"/>
              </w:rPr>
              <w:t>核心产品</w:t>
            </w:r>
          </w:p>
        </w:tc>
        <w:tc>
          <w:tcPr>
            <w:tcW w:w="6639" w:type="dxa"/>
            <w:tcBorders>
              <w:top w:val="single" w:color="auto" w:sz="4" w:space="0"/>
              <w:left w:val="single" w:color="auto" w:sz="4" w:space="0"/>
              <w:bottom w:val="single" w:color="auto" w:sz="4" w:space="0"/>
              <w:right w:val="single" w:color="auto" w:sz="4" w:space="0"/>
            </w:tcBorders>
            <w:vAlign w:val="center"/>
          </w:tcPr>
          <w:p w14:paraId="4C28F2CC">
            <w:pPr>
              <w:pStyle w:val="3"/>
              <w:keepNext w:val="0"/>
              <w:keepLines w:val="0"/>
              <w:pageBreakBefore w:val="0"/>
              <w:kinsoku/>
              <w:wordWrap/>
              <w:overflowPunct/>
              <w:topLinePunct w:val="0"/>
              <w:autoSpaceDE/>
              <w:autoSpaceDN/>
              <w:bidi w:val="0"/>
              <w:adjustRightInd/>
              <w:snapToGrid/>
              <w:spacing w:line="320" w:lineRule="exact"/>
              <w:ind w:firstLine="0"/>
              <w:rPr>
                <w:rFonts w:hint="default"/>
                <w:color w:val="auto"/>
                <w:highlight w:val="none"/>
                <w:lang w:val="en-US" w:eastAsia="zh-CN"/>
              </w:rPr>
            </w:pPr>
            <w:r>
              <w:rPr>
                <w:rFonts w:hint="eastAsia"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 xml:space="preserve">有  </w:t>
            </w:r>
            <w:r>
              <w:rPr>
                <w:rFonts w:hint="eastAsia"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无</w:t>
            </w:r>
            <w:r>
              <w:rPr>
                <w:rFonts w:hint="eastAsia" w:cs="Times New Roman"/>
                <w:color w:val="auto"/>
                <w:kern w:val="2"/>
                <w:sz w:val="21"/>
                <w:szCs w:val="21"/>
                <w:highlight w:val="none"/>
                <w:lang w:val="en-US" w:eastAsia="zh-CN" w:bidi="ar-SA"/>
              </w:rPr>
              <w:t xml:space="preserve"> </w:t>
            </w:r>
            <w:r>
              <w:rPr>
                <w:rFonts w:hint="eastAsia" w:ascii="Times New Roman" w:hAnsi="Times New Roman" w:eastAsia="宋体" w:cs="Times New Roman"/>
                <w:color w:val="auto"/>
                <w:kern w:val="2"/>
                <w:sz w:val="21"/>
                <w:szCs w:val="21"/>
                <w:highlight w:val="none"/>
                <w:lang w:val="en-US" w:eastAsia="zh-CN" w:bidi="ar-SA"/>
              </w:rPr>
              <w:t>单一产品无需确认核心产品</w:t>
            </w:r>
          </w:p>
        </w:tc>
      </w:tr>
      <w:tr w14:paraId="04F941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18C14EDA">
            <w:pPr>
              <w:spacing w:line="300" w:lineRule="exact"/>
              <w:jc w:val="center"/>
              <w:rPr>
                <w:rFonts w:hAnsi="宋体" w:cs="Arial"/>
                <w:bCs/>
                <w:color w:val="auto"/>
                <w:highlight w:val="none"/>
              </w:rPr>
            </w:pPr>
            <w:r>
              <w:rPr>
                <w:rFonts w:hint="eastAsia" w:hAnsi="宋体" w:cs="Arial"/>
                <w:bCs/>
                <w:color w:val="auto"/>
                <w:highlight w:val="none"/>
              </w:rPr>
              <w:t>12</w:t>
            </w:r>
          </w:p>
        </w:tc>
        <w:tc>
          <w:tcPr>
            <w:tcW w:w="1695" w:type="dxa"/>
            <w:tcBorders>
              <w:top w:val="single" w:color="auto" w:sz="4" w:space="0"/>
              <w:left w:val="single" w:color="auto" w:sz="4" w:space="0"/>
              <w:bottom w:val="single" w:color="auto" w:sz="4" w:space="0"/>
              <w:right w:val="single" w:color="auto" w:sz="4" w:space="0"/>
            </w:tcBorders>
            <w:vAlign w:val="center"/>
          </w:tcPr>
          <w:p w14:paraId="2A66D5B5">
            <w:pPr>
              <w:spacing w:line="288" w:lineRule="auto"/>
              <w:jc w:val="center"/>
              <w:rPr>
                <w:rFonts w:cs="宋体"/>
                <w:color w:val="auto"/>
                <w:highlight w:val="none"/>
              </w:rPr>
            </w:pPr>
            <w:r>
              <w:rPr>
                <w:rFonts w:hint="eastAsia" w:ascii="宋体" w:hAnsi="宋体" w:cs="宋体"/>
                <w:color w:val="auto"/>
                <w:highlight w:val="none"/>
                <w:lang w:val="zh-CN"/>
              </w:rPr>
              <w:t>构成招标文件的其他文件</w:t>
            </w:r>
          </w:p>
        </w:tc>
        <w:tc>
          <w:tcPr>
            <w:tcW w:w="6639" w:type="dxa"/>
            <w:tcBorders>
              <w:top w:val="single" w:color="auto" w:sz="4" w:space="0"/>
              <w:left w:val="single" w:color="auto" w:sz="4" w:space="0"/>
              <w:bottom w:val="single" w:color="auto" w:sz="4" w:space="0"/>
              <w:right w:val="single" w:color="auto" w:sz="4" w:space="0"/>
            </w:tcBorders>
            <w:vAlign w:val="center"/>
          </w:tcPr>
          <w:p w14:paraId="3442E96A">
            <w:pPr>
              <w:spacing w:line="288" w:lineRule="auto"/>
              <w:jc w:val="left"/>
              <w:rPr>
                <w:rFonts w:hAnsi="宋体"/>
                <w:color w:val="auto"/>
                <w:highlight w:val="none"/>
              </w:rPr>
            </w:pPr>
            <w:r>
              <w:rPr>
                <w:rFonts w:hint="eastAsia" w:hAnsi="宋体"/>
                <w:color w:val="auto"/>
                <w:highlight w:val="none"/>
                <w:lang w:val="zh-CN"/>
              </w:rPr>
              <w:t>招标文件的澄清、修改书及有关补充通知为招标文件的有效组成部分。</w:t>
            </w:r>
          </w:p>
        </w:tc>
      </w:tr>
      <w:tr w14:paraId="23CA3B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2"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04F5FE45">
            <w:pPr>
              <w:spacing w:line="300" w:lineRule="exact"/>
              <w:jc w:val="center"/>
              <w:rPr>
                <w:rFonts w:ascii="宋体" w:hAnsi="宋体" w:cs="Arial"/>
                <w:bCs/>
                <w:color w:val="auto"/>
                <w:highlight w:val="none"/>
              </w:rPr>
            </w:pPr>
            <w:r>
              <w:rPr>
                <w:rFonts w:hint="eastAsia" w:hAnsi="宋体" w:cs="Arial"/>
                <w:bCs/>
                <w:color w:val="auto"/>
                <w:highlight w:val="none"/>
              </w:rPr>
              <w:t>13</w:t>
            </w:r>
          </w:p>
        </w:tc>
        <w:tc>
          <w:tcPr>
            <w:tcW w:w="1695" w:type="dxa"/>
            <w:tcBorders>
              <w:top w:val="single" w:color="auto" w:sz="4" w:space="0"/>
              <w:left w:val="single" w:color="auto" w:sz="4" w:space="0"/>
              <w:bottom w:val="single" w:color="auto" w:sz="4" w:space="0"/>
              <w:right w:val="single" w:color="auto" w:sz="4" w:space="0"/>
            </w:tcBorders>
            <w:vAlign w:val="center"/>
          </w:tcPr>
          <w:p w14:paraId="3F3399E2">
            <w:pPr>
              <w:spacing w:line="288" w:lineRule="auto"/>
              <w:jc w:val="center"/>
              <w:rPr>
                <w:rFonts w:ascii="宋体" w:hAnsi="宋体" w:cs="Arial"/>
                <w:color w:val="auto"/>
                <w:highlight w:val="none"/>
              </w:rPr>
            </w:pPr>
            <w:r>
              <w:rPr>
                <w:rFonts w:hint="eastAsia" w:hAnsi="宋体" w:cs="Arial"/>
                <w:color w:val="auto"/>
                <w:highlight w:val="none"/>
              </w:rPr>
              <w:t>投标人资格要求</w:t>
            </w:r>
          </w:p>
        </w:tc>
        <w:tc>
          <w:tcPr>
            <w:tcW w:w="6639" w:type="dxa"/>
            <w:tcBorders>
              <w:top w:val="single" w:color="auto" w:sz="4" w:space="0"/>
              <w:left w:val="single" w:color="auto" w:sz="4" w:space="0"/>
              <w:bottom w:val="single" w:color="auto" w:sz="4" w:space="0"/>
              <w:right w:val="single" w:color="auto" w:sz="4" w:space="0"/>
            </w:tcBorders>
            <w:vAlign w:val="center"/>
          </w:tcPr>
          <w:p w14:paraId="3EFA87CF">
            <w:pPr>
              <w:spacing w:line="288" w:lineRule="auto"/>
              <w:rPr>
                <w:color w:val="auto"/>
                <w:highlight w:val="none"/>
                <w:lang w:val="zh-CN"/>
              </w:rPr>
            </w:pPr>
            <w:r>
              <w:rPr>
                <w:rFonts w:hint="eastAsia"/>
                <w:color w:val="auto"/>
                <w:highlight w:val="none"/>
                <w:lang w:val="zh-CN"/>
              </w:rPr>
              <w:t>1.满足《中华人民共和国政府采购法》第二十二条规定；</w:t>
            </w:r>
          </w:p>
          <w:p w14:paraId="02B7269F">
            <w:pPr>
              <w:spacing w:line="400" w:lineRule="exact"/>
              <w:rPr>
                <w:rFonts w:hint="default" w:eastAsia="宋体"/>
                <w:color w:val="auto"/>
                <w:highlight w:val="none"/>
                <w:lang w:val="en-US" w:eastAsia="zh-CN"/>
              </w:rPr>
            </w:pPr>
            <w:r>
              <w:rPr>
                <w:rFonts w:hint="eastAsia"/>
                <w:color w:val="auto"/>
                <w:highlight w:val="none"/>
                <w:lang w:val="zh-CN"/>
              </w:rPr>
              <w:t>2.落实政府采购政策需满足的资格要求：</w:t>
            </w:r>
            <w:r>
              <w:rPr>
                <w:rFonts w:hint="eastAsia"/>
                <w:color w:val="auto"/>
                <w:highlight w:val="none"/>
                <w:lang w:val="en-US" w:eastAsia="zh-CN"/>
              </w:rPr>
              <w:t>1)本项目专门面向中小企业采购。</w:t>
            </w:r>
            <w:r>
              <w:rPr>
                <w:rFonts w:hint="eastAsia"/>
                <w:color w:val="auto"/>
                <w:highlight w:val="none"/>
                <w:lang w:val="zh-CN"/>
              </w:rPr>
              <w:t>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14:paraId="1BBEBAB3">
            <w:pPr>
              <w:spacing w:line="288" w:lineRule="auto"/>
              <w:rPr>
                <w:rFonts w:hint="eastAsia"/>
                <w:color w:val="auto"/>
                <w:highlight w:val="none"/>
                <w:lang w:val="zh-CN"/>
              </w:rPr>
            </w:pPr>
            <w:r>
              <w:rPr>
                <w:rFonts w:hint="eastAsia"/>
                <w:color w:val="auto"/>
                <w:highlight w:val="none"/>
                <w:lang w:val="en-US" w:eastAsia="zh-CN"/>
              </w:rPr>
              <w:t>3</w:t>
            </w:r>
            <w:r>
              <w:rPr>
                <w:rFonts w:hint="eastAsia"/>
                <w:color w:val="auto"/>
                <w:highlight w:val="none"/>
                <w:lang w:val="zh-CN"/>
              </w:rPr>
              <w:t>.本项目的特定资格要求：</w:t>
            </w:r>
          </w:p>
          <w:p w14:paraId="58305A8A">
            <w:pPr>
              <w:spacing w:line="288" w:lineRule="auto"/>
              <w:rPr>
                <w:color w:val="auto"/>
                <w:highlight w:val="none"/>
              </w:rPr>
            </w:pPr>
            <w:r>
              <w:rPr>
                <w:rFonts w:hint="eastAsia"/>
                <w:color w:val="auto"/>
                <w:highlight w:val="none"/>
                <w:lang w:eastAsia="zh-CN"/>
              </w:rPr>
              <w:t>（</w:t>
            </w:r>
            <w:r>
              <w:rPr>
                <w:rFonts w:hint="eastAsia"/>
                <w:color w:val="auto"/>
                <w:highlight w:val="none"/>
                <w:lang w:val="en-US" w:eastAsia="zh-CN"/>
              </w:rPr>
              <w:t>1</w:t>
            </w:r>
            <w:r>
              <w:rPr>
                <w:rFonts w:hint="eastAsia"/>
                <w:color w:val="auto"/>
                <w:highlight w:val="none"/>
                <w:lang w:eastAsia="zh-CN"/>
              </w:rPr>
              <w:t>）</w:t>
            </w:r>
            <w:r>
              <w:rPr>
                <w:rFonts w:hint="eastAsia"/>
                <w:color w:val="auto"/>
                <w:highlight w:val="none"/>
              </w:rPr>
              <w:t>与招标人存在利害关系可能影响招标公正性的法人、其他组织或者个人，不得参加同一标段投标或者未划分标段的同一招标不得参加投标；</w:t>
            </w:r>
          </w:p>
          <w:p w14:paraId="4430DF87">
            <w:pPr>
              <w:spacing w:line="288" w:lineRule="auto"/>
              <w:rPr>
                <w:color w:val="auto"/>
                <w:highlight w:val="none"/>
              </w:rPr>
            </w:pPr>
            <w:r>
              <w:rPr>
                <w:rFonts w:hint="eastAsia"/>
                <w:color w:val="auto"/>
                <w:highlight w:val="none"/>
                <w:lang w:val="en-US" w:eastAsia="zh-CN"/>
              </w:rPr>
              <w:t>（2）投标单位负责人为同一人或者存在直接控股、管理关系的不同投标人不得参加同一合同项下的采购活动。</w:t>
            </w:r>
          </w:p>
          <w:p w14:paraId="2E82965B">
            <w:pPr>
              <w:spacing w:line="288" w:lineRule="auto"/>
              <w:rPr>
                <w:color w:val="auto"/>
                <w:highlight w:val="none"/>
                <w:lang w:val="zh-CN"/>
              </w:rPr>
            </w:pPr>
            <w:r>
              <w:rPr>
                <w:rFonts w:hint="eastAsia"/>
                <w:color w:val="auto"/>
                <w:highlight w:val="none"/>
                <w:lang w:val="en-US" w:eastAsia="zh-CN"/>
              </w:rPr>
              <w:t>（3）</w:t>
            </w:r>
            <w:r>
              <w:rPr>
                <w:rFonts w:hint="eastAsia"/>
                <w:color w:val="auto"/>
                <w:highlight w:val="none"/>
              </w:rPr>
              <w:t>根据《财政部关于在政府采购活动中查询及使用信用记录有关问题的通知》（财库﹝2016﹞125号）的要求，凡拟参加本次招标项目的投标供应商，如在“信用中国”网（www.creditchina.gov.cn）、中国政府采购网（www.ccgp.gov.cn）列入失信被执行人、</w:t>
            </w:r>
            <w:r>
              <w:rPr>
                <w:rFonts w:hint="eastAsia"/>
                <w:color w:val="auto"/>
                <w:highlight w:val="none"/>
                <w:lang w:eastAsia="zh-CN"/>
              </w:rPr>
              <w:t>重大税收违法失信主体</w:t>
            </w:r>
            <w:r>
              <w:rPr>
                <w:rFonts w:hint="eastAsia"/>
                <w:color w:val="auto"/>
                <w:highlight w:val="none"/>
              </w:rPr>
              <w:t>、政府采购严重违法失信行为记录名单的（尚在处罚期内的），将拒绝其参加本次项目投标。</w:t>
            </w:r>
          </w:p>
          <w:p w14:paraId="741DC74B">
            <w:pPr>
              <w:spacing w:line="288" w:lineRule="auto"/>
              <w:rPr>
                <w:color w:val="auto"/>
                <w:highlight w:val="none"/>
              </w:rPr>
            </w:pPr>
            <w:r>
              <w:rPr>
                <w:rFonts w:hint="eastAsia"/>
                <w:color w:val="auto"/>
                <w:highlight w:val="none"/>
                <w:lang w:val="en-US" w:eastAsia="zh-CN"/>
              </w:rPr>
              <w:t>4</w:t>
            </w:r>
            <w:r>
              <w:rPr>
                <w:rFonts w:hint="eastAsia"/>
                <w:color w:val="auto"/>
                <w:highlight w:val="none"/>
              </w:rPr>
              <w:t>.本项目不接受联合体投标。</w:t>
            </w:r>
          </w:p>
        </w:tc>
      </w:tr>
      <w:tr w14:paraId="02BC10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0D9B3BAD">
            <w:pPr>
              <w:spacing w:line="300" w:lineRule="exact"/>
              <w:jc w:val="center"/>
              <w:rPr>
                <w:rFonts w:hint="eastAsia" w:ascii="宋体" w:hAnsi="宋体" w:eastAsia="宋体" w:cs="Arial"/>
                <w:bCs/>
                <w:color w:val="auto"/>
                <w:kern w:val="2"/>
                <w:sz w:val="21"/>
                <w:szCs w:val="21"/>
                <w:highlight w:val="none"/>
                <w:lang w:val="en-US" w:eastAsia="zh-CN" w:bidi="ar-SA"/>
              </w:rPr>
            </w:pPr>
            <w:r>
              <w:rPr>
                <w:rFonts w:hint="eastAsia" w:hAnsi="宋体" w:cs="Arial"/>
                <w:bCs/>
                <w:color w:val="auto"/>
                <w:highlight w:val="none"/>
              </w:rPr>
              <w:t>1</w:t>
            </w:r>
            <w:r>
              <w:rPr>
                <w:rFonts w:hint="eastAsia" w:hAnsi="宋体" w:cs="Arial"/>
                <w:bCs/>
                <w:color w:val="auto"/>
                <w:highlight w:val="none"/>
                <w:lang w:val="en-US" w:eastAsia="zh-CN"/>
              </w:rPr>
              <w:t>4</w:t>
            </w:r>
          </w:p>
        </w:tc>
        <w:tc>
          <w:tcPr>
            <w:tcW w:w="1695" w:type="dxa"/>
            <w:tcBorders>
              <w:top w:val="single" w:color="auto" w:sz="4" w:space="0"/>
              <w:left w:val="single" w:color="auto" w:sz="4" w:space="0"/>
              <w:bottom w:val="single" w:color="auto" w:sz="4" w:space="0"/>
              <w:right w:val="single" w:color="auto" w:sz="4" w:space="0"/>
            </w:tcBorders>
            <w:vAlign w:val="center"/>
          </w:tcPr>
          <w:p w14:paraId="6BC6517B">
            <w:pPr>
              <w:spacing w:line="288" w:lineRule="auto"/>
              <w:jc w:val="center"/>
              <w:rPr>
                <w:rFonts w:hint="eastAsia" w:hAnsi="宋体" w:cs="Arial"/>
                <w:bCs/>
                <w:color w:val="auto"/>
                <w:highlight w:val="none"/>
              </w:rPr>
            </w:pPr>
            <w:r>
              <w:rPr>
                <w:rFonts w:hint="eastAsia" w:hAnsi="宋体" w:cs="Arial"/>
                <w:bCs/>
                <w:color w:val="auto"/>
                <w:highlight w:val="none"/>
              </w:rPr>
              <w:t>投标保证金</w:t>
            </w:r>
          </w:p>
        </w:tc>
        <w:tc>
          <w:tcPr>
            <w:tcW w:w="6639" w:type="dxa"/>
            <w:tcBorders>
              <w:top w:val="single" w:color="auto" w:sz="4" w:space="0"/>
              <w:left w:val="single" w:color="auto" w:sz="4" w:space="0"/>
              <w:bottom w:val="single" w:color="auto" w:sz="4" w:space="0"/>
              <w:right w:val="single" w:color="auto" w:sz="4" w:space="0"/>
            </w:tcBorders>
            <w:vAlign w:val="center"/>
          </w:tcPr>
          <w:p w14:paraId="3D9AE8D6">
            <w:pPr>
              <w:pStyle w:val="38"/>
              <w:spacing w:line="288" w:lineRule="auto"/>
              <w:ind w:leftChars="-1" w:hanging="2" w:hangingChars="1"/>
              <w:rPr>
                <w:rFonts w:hint="eastAsia"/>
                <w:color w:val="auto"/>
                <w:highlight w:val="none"/>
                <w:lang w:val="en-US" w:eastAsia="zh-CN"/>
              </w:rPr>
            </w:pPr>
            <w:r>
              <w:rPr>
                <w:rFonts w:hint="eastAsia"/>
                <w:color w:val="auto"/>
                <w:highlight w:val="none"/>
              </w:rPr>
              <w:t xml:space="preserve">1. </w:t>
            </w:r>
            <w:r>
              <w:rPr>
                <w:rFonts w:hint="eastAsia"/>
                <w:color w:val="auto"/>
                <w:highlight w:val="none"/>
                <w:lang w:val="en-US" w:eastAsia="zh-CN"/>
              </w:rPr>
              <w:t>投标保证金金额：</w:t>
            </w:r>
          </w:p>
          <w:p w14:paraId="48D691C6">
            <w:pPr>
              <w:pStyle w:val="38"/>
              <w:spacing w:line="288" w:lineRule="auto"/>
              <w:ind w:leftChars="-1" w:hanging="2" w:hangingChars="1"/>
              <w:rPr>
                <w:color w:val="auto"/>
                <w:highlight w:val="none"/>
              </w:rPr>
            </w:pPr>
            <w:r>
              <w:rPr>
                <w:rFonts w:hint="eastAsia" w:ascii="Arial" w:hAnsi="Arial" w:cs="Arial"/>
                <w:color w:val="auto"/>
                <w:highlight w:val="none"/>
                <w:lang w:val="en-US" w:eastAsia="zh-CN"/>
              </w:rPr>
              <w:t>/</w:t>
            </w:r>
            <w:r>
              <w:rPr>
                <w:rFonts w:hint="eastAsia"/>
                <w:color w:val="auto"/>
                <w:highlight w:val="none"/>
              </w:rPr>
              <w:t>万元，大写：</w:t>
            </w:r>
            <w:r>
              <w:rPr>
                <w:rFonts w:hint="eastAsia"/>
                <w:color w:val="auto"/>
                <w:highlight w:val="none"/>
                <w:lang w:val="en-US" w:eastAsia="zh-CN"/>
              </w:rPr>
              <w:t>/</w:t>
            </w:r>
            <w:r>
              <w:rPr>
                <w:rFonts w:hint="eastAsia"/>
                <w:color w:val="auto"/>
                <w:highlight w:val="none"/>
              </w:rPr>
              <w:t>；</w:t>
            </w:r>
          </w:p>
          <w:p w14:paraId="2906C465">
            <w:pPr>
              <w:spacing w:line="360" w:lineRule="exact"/>
              <w:rPr>
                <w:color w:val="auto"/>
                <w:highlight w:val="none"/>
                <w:lang w:val="zh-CN"/>
              </w:rPr>
            </w:pPr>
            <w:r>
              <w:rPr>
                <w:rFonts w:hint="eastAsia"/>
                <w:color w:val="auto"/>
                <w:highlight w:val="none"/>
              </w:rPr>
              <w:t>2.</w:t>
            </w:r>
            <w:r>
              <w:rPr>
                <w:rFonts w:hint="eastAsia"/>
                <w:color w:val="auto"/>
                <w:highlight w:val="none"/>
                <w:lang w:val="zh-CN"/>
              </w:rPr>
              <w:t>投标保证金递交截止时间：投标文件递交截止时间前。</w:t>
            </w:r>
          </w:p>
          <w:p w14:paraId="644831C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auto"/>
                <w:highlight w:val="none"/>
              </w:rPr>
            </w:pPr>
            <w:r>
              <w:rPr>
                <w:rFonts w:hint="eastAsia"/>
                <w:color w:val="auto"/>
                <w:highlight w:val="none"/>
              </w:rPr>
              <w:t>3.投标保证金缴纳形式：投标保证金应当以支票、汇票、本票或者金融机构、担保机构出具的保函等非现金形式提交</w:t>
            </w:r>
            <w:r>
              <w:rPr>
                <w:rFonts w:hint="eastAsia"/>
                <w:color w:val="auto"/>
                <w:highlight w:val="none"/>
                <w:lang w:eastAsia="zh-CN"/>
              </w:rPr>
              <w:t>，</w:t>
            </w:r>
            <w:r>
              <w:rPr>
                <w:rFonts w:hint="eastAsia"/>
                <w:color w:val="auto"/>
                <w:highlight w:val="none"/>
              </w:rPr>
              <w:t>投标人未按照招标文件要求提交投标保证金的，投标无效。</w:t>
            </w:r>
          </w:p>
          <w:p w14:paraId="148BA5AF">
            <w:pPr>
              <w:keepNext w:val="0"/>
              <w:keepLines w:val="0"/>
              <w:pageBreakBefore w:val="0"/>
              <w:widowControl w:val="0"/>
              <w:kinsoku/>
              <w:wordWrap/>
              <w:overflowPunct/>
              <w:topLinePunct w:val="0"/>
              <w:autoSpaceDE/>
              <w:autoSpaceDN/>
              <w:bidi w:val="0"/>
              <w:adjustRightInd/>
              <w:snapToGrid/>
              <w:spacing w:line="400" w:lineRule="exact"/>
              <w:textAlignment w:val="auto"/>
              <w:rPr>
                <w:color w:val="auto"/>
                <w:highlight w:val="none"/>
              </w:rPr>
            </w:pPr>
            <w:r>
              <w:rPr>
                <w:rFonts w:hint="eastAsia"/>
                <w:color w:val="auto"/>
                <w:highlight w:val="none"/>
              </w:rPr>
              <w:t>4.投标保证金由投标人基本账户一次性汇入。投标保证金必须在提交投标文件截止时间前缴纳，投标人应充分考虑资金到账时间，在规定的时限前自行办妥投标保证金交纳手续。投标保证金采取银行转账、电汇方式递交的，以电汇凭证和网银对账单的时间为准，采取支票、银行汇票、保函方式递交的，以实际递交至招标代理机构的时间为准，超过时限交纳投标保证金视为投标无效。</w:t>
            </w:r>
          </w:p>
          <w:p w14:paraId="3FCD0C12">
            <w:pPr>
              <w:keepNext w:val="0"/>
              <w:keepLines w:val="0"/>
              <w:pageBreakBefore w:val="0"/>
              <w:widowControl w:val="0"/>
              <w:kinsoku/>
              <w:wordWrap/>
              <w:overflowPunct/>
              <w:topLinePunct w:val="0"/>
              <w:autoSpaceDE/>
              <w:autoSpaceDN/>
              <w:bidi w:val="0"/>
              <w:adjustRightInd/>
              <w:snapToGrid/>
              <w:spacing w:line="400" w:lineRule="exact"/>
              <w:textAlignment w:val="auto"/>
              <w:rPr>
                <w:color w:val="auto"/>
                <w:highlight w:val="none"/>
              </w:rPr>
            </w:pPr>
            <w:r>
              <w:rPr>
                <w:rFonts w:hint="eastAsia"/>
                <w:color w:val="auto"/>
                <w:highlight w:val="none"/>
              </w:rPr>
              <w:t>5.投标保证金递交的开户银行及账号如下：</w:t>
            </w:r>
          </w:p>
          <w:p w14:paraId="6A68742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eastAsia="宋体"/>
                <w:color w:val="auto"/>
                <w:highlight w:val="none"/>
                <w:lang w:val="en-US" w:eastAsia="zh-CN"/>
              </w:rPr>
            </w:pPr>
            <w:r>
              <w:rPr>
                <w:rFonts w:hint="eastAsia" w:eastAsia="宋体"/>
                <w:color w:val="auto"/>
                <w:highlight w:val="none"/>
                <w:lang w:val="en-US" w:eastAsia="zh-CN"/>
              </w:rPr>
              <w:t>账户名称：新疆宏宇建设工程项目管理有限责任公司克拉玛依咨询分公司</w:t>
            </w:r>
          </w:p>
          <w:p w14:paraId="722DB70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eastAsia="宋体"/>
                <w:color w:val="auto"/>
                <w:highlight w:val="none"/>
                <w:lang w:val="en-US" w:eastAsia="zh-CN"/>
              </w:rPr>
            </w:pPr>
            <w:r>
              <w:rPr>
                <w:rFonts w:hint="eastAsia" w:eastAsia="宋体"/>
                <w:color w:val="auto"/>
                <w:highlight w:val="none"/>
                <w:lang w:val="en-US" w:eastAsia="zh-CN"/>
              </w:rPr>
              <w:t xml:space="preserve">地址：新疆克拉玛依市克拉玛依区新兴路339-401号（四楼）     </w:t>
            </w:r>
          </w:p>
          <w:p w14:paraId="7491008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eastAsia="宋体"/>
                <w:color w:val="auto"/>
                <w:highlight w:val="none"/>
                <w:lang w:val="en-US" w:eastAsia="zh-CN"/>
              </w:rPr>
            </w:pPr>
            <w:r>
              <w:rPr>
                <w:rFonts w:hint="eastAsia" w:eastAsia="宋体"/>
                <w:color w:val="auto"/>
                <w:highlight w:val="none"/>
                <w:lang w:val="en-US" w:eastAsia="zh-CN"/>
              </w:rPr>
              <w:t>邮政编码：834000</w:t>
            </w:r>
          </w:p>
          <w:p w14:paraId="13556EA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eastAsia="宋体"/>
                <w:color w:val="auto"/>
                <w:highlight w:val="none"/>
                <w:lang w:val="en-US" w:eastAsia="zh-CN"/>
              </w:rPr>
            </w:pPr>
            <w:r>
              <w:rPr>
                <w:rFonts w:hint="eastAsia" w:eastAsia="宋体"/>
                <w:color w:val="auto"/>
                <w:highlight w:val="none"/>
                <w:lang w:val="en-US" w:eastAsia="zh-CN"/>
              </w:rPr>
              <w:t xml:space="preserve">开户行：昆仑银行股份有限公司克拉玛依分行           </w:t>
            </w:r>
          </w:p>
          <w:p w14:paraId="4FCB3DE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eastAsia="宋体"/>
                <w:color w:val="auto"/>
                <w:highlight w:val="none"/>
                <w:lang w:val="en-US" w:eastAsia="zh-CN"/>
              </w:rPr>
            </w:pPr>
            <w:r>
              <w:rPr>
                <w:rFonts w:hint="eastAsia" w:eastAsia="宋体"/>
                <w:color w:val="auto"/>
                <w:highlight w:val="none"/>
                <w:lang w:val="en-US" w:eastAsia="zh-CN"/>
              </w:rPr>
              <w:t>银行账号：88202221188980000027</w:t>
            </w:r>
          </w:p>
          <w:p w14:paraId="7312F27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eastAsia="宋体"/>
                <w:color w:val="auto"/>
                <w:highlight w:val="none"/>
                <w:lang w:val="en-US" w:eastAsia="zh-CN"/>
              </w:rPr>
            </w:pPr>
            <w:r>
              <w:rPr>
                <w:rFonts w:hint="eastAsia" w:eastAsia="宋体"/>
                <w:color w:val="auto"/>
                <w:highlight w:val="none"/>
                <w:lang w:val="en-US" w:eastAsia="zh-CN"/>
              </w:rPr>
              <w:t>行号：313882000131</w:t>
            </w:r>
          </w:p>
          <w:p w14:paraId="78100202">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cs="宋体"/>
                <w:color w:val="auto"/>
                <w:kern w:val="0"/>
                <w:highlight w:val="none"/>
              </w:rPr>
            </w:pPr>
            <w:r>
              <w:rPr>
                <w:rFonts w:hint="eastAsia"/>
                <w:color w:val="auto"/>
                <w:highlight w:val="none"/>
              </w:rPr>
              <w:t>注意：不得以办事处或其他机构名义缴纳，投标人在缴纳保证金时，需在进账凭证上明确自己用途</w:t>
            </w:r>
            <w:r>
              <w:rPr>
                <w:rFonts w:hint="eastAsia"/>
                <w:color w:val="auto"/>
                <w:highlight w:val="none"/>
                <w:lang w:eastAsia="zh-CN"/>
              </w:rPr>
              <w:t>、</w:t>
            </w:r>
            <w:r>
              <w:rPr>
                <w:rFonts w:hint="eastAsia"/>
                <w:color w:val="auto"/>
                <w:highlight w:val="none"/>
                <w:lang w:val="en-US" w:eastAsia="zh-CN"/>
              </w:rPr>
              <w:t>投标项目</w:t>
            </w:r>
            <w:r>
              <w:rPr>
                <w:rFonts w:hint="eastAsia"/>
                <w:color w:val="auto"/>
                <w:highlight w:val="none"/>
              </w:rPr>
              <w:t>和</w:t>
            </w:r>
            <w:r>
              <w:rPr>
                <w:rFonts w:hint="eastAsia"/>
                <w:color w:val="auto"/>
                <w:highlight w:val="none"/>
                <w:lang w:val="en-US" w:eastAsia="zh-CN"/>
              </w:rPr>
              <w:t>项目编号</w:t>
            </w:r>
            <w:r>
              <w:rPr>
                <w:rFonts w:hint="eastAsia"/>
                <w:color w:val="auto"/>
                <w:highlight w:val="none"/>
              </w:rPr>
              <w:t>，并注明联系人及电话，以便查对核实。请投标人按上述要求将投标保证金汇入指定的开户银行，未按规定提交投标保证金的投标，将被视为投标无效。保证金事宜请联系</w:t>
            </w:r>
            <w:r>
              <w:rPr>
                <w:rFonts w:hint="eastAsia"/>
                <w:color w:val="auto"/>
                <w:highlight w:val="none"/>
                <w:lang w:val="en-US" w:eastAsia="zh-CN"/>
              </w:rPr>
              <w:t>（0990-6608599）</w:t>
            </w:r>
          </w:p>
        </w:tc>
      </w:tr>
      <w:tr w14:paraId="6C9340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344886D">
            <w:pPr>
              <w:spacing w:line="300" w:lineRule="exact"/>
              <w:jc w:val="center"/>
              <w:rPr>
                <w:rFonts w:hint="eastAsia" w:ascii="宋体" w:hAnsi="宋体" w:eastAsia="宋体" w:cs="Arial"/>
                <w:bCs/>
                <w:color w:val="auto"/>
                <w:kern w:val="2"/>
                <w:sz w:val="21"/>
                <w:szCs w:val="21"/>
                <w:highlight w:val="none"/>
                <w:lang w:val="en-US" w:eastAsia="zh-CN" w:bidi="ar-SA"/>
              </w:rPr>
            </w:pPr>
            <w:r>
              <w:rPr>
                <w:rFonts w:hint="eastAsia" w:hAnsi="宋体" w:cs="Arial"/>
                <w:bCs/>
                <w:color w:val="auto"/>
                <w:highlight w:val="none"/>
              </w:rPr>
              <w:t>1</w:t>
            </w:r>
            <w:r>
              <w:rPr>
                <w:rFonts w:hint="eastAsia" w:hAnsi="宋体" w:cs="Arial"/>
                <w:bCs/>
                <w:color w:val="auto"/>
                <w:highlight w:val="none"/>
                <w:lang w:val="en-US" w:eastAsia="zh-CN"/>
              </w:rPr>
              <w:t>5</w:t>
            </w:r>
          </w:p>
        </w:tc>
        <w:tc>
          <w:tcPr>
            <w:tcW w:w="1695" w:type="dxa"/>
            <w:tcBorders>
              <w:top w:val="single" w:color="auto" w:sz="4" w:space="0"/>
              <w:left w:val="single" w:color="auto" w:sz="4" w:space="0"/>
              <w:bottom w:val="single" w:color="auto" w:sz="4" w:space="0"/>
              <w:right w:val="single" w:color="auto" w:sz="4" w:space="0"/>
            </w:tcBorders>
            <w:vAlign w:val="center"/>
          </w:tcPr>
          <w:p w14:paraId="666C45F7">
            <w:pPr>
              <w:spacing w:line="288" w:lineRule="auto"/>
              <w:jc w:val="center"/>
              <w:rPr>
                <w:rFonts w:hint="eastAsia"/>
                <w:color w:val="auto"/>
                <w:highlight w:val="none"/>
              </w:rPr>
            </w:pPr>
            <w:r>
              <w:rPr>
                <w:rFonts w:hint="eastAsia"/>
                <w:color w:val="auto"/>
                <w:highlight w:val="none"/>
              </w:rPr>
              <w:t>投标有效期</w:t>
            </w:r>
          </w:p>
        </w:tc>
        <w:tc>
          <w:tcPr>
            <w:tcW w:w="6639" w:type="dxa"/>
            <w:tcBorders>
              <w:top w:val="single" w:color="auto" w:sz="4" w:space="0"/>
              <w:left w:val="single" w:color="auto" w:sz="4" w:space="0"/>
              <w:bottom w:val="single" w:color="auto" w:sz="4" w:space="0"/>
              <w:right w:val="single" w:color="auto" w:sz="4" w:space="0"/>
            </w:tcBorders>
            <w:vAlign w:val="center"/>
          </w:tcPr>
          <w:p w14:paraId="480DCE36">
            <w:pPr>
              <w:spacing w:line="288" w:lineRule="auto"/>
              <w:rPr>
                <w:rFonts w:hint="eastAsia"/>
                <w:color w:val="auto"/>
                <w:highlight w:val="none"/>
              </w:rPr>
            </w:pPr>
            <w:r>
              <w:rPr>
                <w:rFonts w:hint="eastAsia"/>
                <w:color w:val="auto"/>
                <w:highlight w:val="none"/>
              </w:rPr>
              <w:t>递交投标文件的截止之日起90天。</w:t>
            </w:r>
          </w:p>
        </w:tc>
      </w:tr>
      <w:tr w14:paraId="68C85F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0A1F38AD">
            <w:pPr>
              <w:spacing w:line="300" w:lineRule="exact"/>
              <w:jc w:val="center"/>
              <w:rPr>
                <w:rFonts w:hint="eastAsia" w:ascii="宋体" w:hAnsi="宋体" w:eastAsia="宋体" w:cs="Arial"/>
                <w:bCs/>
                <w:color w:val="auto"/>
                <w:kern w:val="2"/>
                <w:sz w:val="21"/>
                <w:szCs w:val="21"/>
                <w:highlight w:val="none"/>
                <w:lang w:val="en-US" w:eastAsia="zh-CN" w:bidi="ar-SA"/>
              </w:rPr>
            </w:pPr>
            <w:r>
              <w:rPr>
                <w:rFonts w:hint="eastAsia" w:hAnsi="宋体" w:cs="Arial"/>
                <w:bCs/>
                <w:color w:val="auto"/>
                <w:highlight w:val="none"/>
              </w:rPr>
              <w:t>1</w:t>
            </w:r>
            <w:r>
              <w:rPr>
                <w:rFonts w:hint="eastAsia" w:hAnsi="宋体" w:cs="Arial"/>
                <w:bCs/>
                <w:color w:val="auto"/>
                <w:highlight w:val="none"/>
                <w:lang w:val="en-US" w:eastAsia="zh-CN"/>
              </w:rPr>
              <w:t>6</w:t>
            </w:r>
          </w:p>
        </w:tc>
        <w:tc>
          <w:tcPr>
            <w:tcW w:w="1695" w:type="dxa"/>
            <w:tcBorders>
              <w:top w:val="single" w:color="auto" w:sz="4" w:space="0"/>
              <w:left w:val="single" w:color="auto" w:sz="4" w:space="0"/>
              <w:bottom w:val="single" w:color="auto" w:sz="4" w:space="0"/>
              <w:right w:val="single" w:color="auto" w:sz="4" w:space="0"/>
            </w:tcBorders>
            <w:vAlign w:val="center"/>
          </w:tcPr>
          <w:p w14:paraId="63670B54">
            <w:pPr>
              <w:spacing w:line="288" w:lineRule="auto"/>
              <w:jc w:val="center"/>
              <w:rPr>
                <w:rFonts w:hint="eastAsia"/>
                <w:color w:val="auto"/>
                <w:highlight w:val="none"/>
              </w:rPr>
            </w:pPr>
            <w:r>
              <w:rPr>
                <w:rFonts w:hint="eastAsia"/>
                <w:color w:val="auto"/>
                <w:highlight w:val="none"/>
              </w:rPr>
              <w:t>现场踏勘</w:t>
            </w:r>
          </w:p>
        </w:tc>
        <w:tc>
          <w:tcPr>
            <w:tcW w:w="6639" w:type="dxa"/>
            <w:tcBorders>
              <w:top w:val="single" w:color="auto" w:sz="4" w:space="0"/>
              <w:left w:val="single" w:color="auto" w:sz="4" w:space="0"/>
              <w:bottom w:val="single" w:color="auto" w:sz="4" w:space="0"/>
              <w:right w:val="single" w:color="auto" w:sz="4" w:space="0"/>
            </w:tcBorders>
            <w:vAlign w:val="center"/>
          </w:tcPr>
          <w:p w14:paraId="099CDB1F">
            <w:pPr>
              <w:spacing w:line="288" w:lineRule="auto"/>
              <w:rPr>
                <w:rFonts w:hint="eastAsia"/>
                <w:color w:val="auto"/>
                <w:highlight w:val="none"/>
              </w:rPr>
            </w:pPr>
            <w:r>
              <w:rPr>
                <w:rFonts w:hint="eastAsia"/>
                <w:color w:val="auto"/>
                <w:highlight w:val="none"/>
                <w:lang w:val="en-US" w:eastAsia="zh-CN"/>
              </w:rPr>
              <w:t>本项目不安排现场踏勘</w:t>
            </w:r>
            <w:r>
              <w:rPr>
                <w:rFonts w:hint="eastAsia"/>
                <w:color w:val="auto"/>
                <w:highlight w:val="none"/>
              </w:rPr>
              <w:t>。</w:t>
            </w:r>
          </w:p>
        </w:tc>
      </w:tr>
      <w:tr w14:paraId="0908D6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717F0B47">
            <w:pPr>
              <w:spacing w:line="300" w:lineRule="exact"/>
              <w:jc w:val="center"/>
              <w:rPr>
                <w:rFonts w:hint="eastAsia" w:ascii="宋体" w:hAnsi="宋体" w:eastAsia="宋体" w:cs="Arial"/>
                <w:color w:val="auto"/>
                <w:kern w:val="2"/>
                <w:sz w:val="21"/>
                <w:szCs w:val="21"/>
                <w:highlight w:val="none"/>
                <w:lang w:val="en-US" w:eastAsia="zh-CN" w:bidi="ar-SA"/>
              </w:rPr>
            </w:pPr>
            <w:r>
              <w:rPr>
                <w:rFonts w:hint="eastAsia" w:hAnsi="宋体" w:cs="Arial"/>
                <w:color w:val="auto"/>
                <w:highlight w:val="none"/>
              </w:rPr>
              <w:t>1</w:t>
            </w:r>
            <w:r>
              <w:rPr>
                <w:rFonts w:hint="eastAsia" w:hAnsi="宋体" w:cs="Arial"/>
                <w:color w:val="auto"/>
                <w:highlight w:val="none"/>
                <w:lang w:val="en-US" w:eastAsia="zh-CN"/>
              </w:rPr>
              <w:t>7</w:t>
            </w:r>
          </w:p>
        </w:tc>
        <w:tc>
          <w:tcPr>
            <w:tcW w:w="1695" w:type="dxa"/>
            <w:tcBorders>
              <w:top w:val="single" w:color="auto" w:sz="4" w:space="0"/>
              <w:left w:val="single" w:color="auto" w:sz="4" w:space="0"/>
              <w:bottom w:val="single" w:color="auto" w:sz="4" w:space="0"/>
              <w:right w:val="single" w:color="auto" w:sz="4" w:space="0"/>
            </w:tcBorders>
            <w:vAlign w:val="center"/>
          </w:tcPr>
          <w:p w14:paraId="4EF2683C">
            <w:pPr>
              <w:spacing w:line="288" w:lineRule="auto"/>
              <w:jc w:val="center"/>
              <w:rPr>
                <w:rFonts w:hAnsi="宋体" w:cs="Arial"/>
                <w:bCs/>
                <w:color w:val="auto"/>
                <w:highlight w:val="none"/>
              </w:rPr>
            </w:pPr>
            <w:r>
              <w:rPr>
                <w:rFonts w:hint="eastAsia" w:hAnsi="宋体" w:cs="Arial"/>
                <w:bCs/>
                <w:color w:val="auto"/>
                <w:highlight w:val="none"/>
              </w:rPr>
              <w:t>投标文件</w:t>
            </w:r>
          </w:p>
          <w:p w14:paraId="1F7B7DB3">
            <w:pPr>
              <w:spacing w:line="288" w:lineRule="auto"/>
              <w:jc w:val="center"/>
              <w:rPr>
                <w:rFonts w:ascii="宋体" w:hAnsi="宋体" w:cs="Arial"/>
                <w:bCs/>
                <w:color w:val="auto"/>
                <w:highlight w:val="none"/>
              </w:rPr>
            </w:pPr>
            <w:r>
              <w:rPr>
                <w:rFonts w:hint="eastAsia" w:hAnsi="宋体" w:cs="Arial"/>
                <w:bCs/>
                <w:color w:val="auto"/>
                <w:highlight w:val="none"/>
              </w:rPr>
              <w:t>份数</w:t>
            </w:r>
          </w:p>
        </w:tc>
        <w:tc>
          <w:tcPr>
            <w:tcW w:w="6639" w:type="dxa"/>
            <w:tcBorders>
              <w:top w:val="single" w:color="auto" w:sz="4" w:space="0"/>
              <w:left w:val="single" w:color="auto" w:sz="4" w:space="0"/>
              <w:bottom w:val="single" w:color="auto" w:sz="4" w:space="0"/>
              <w:right w:val="single" w:color="auto" w:sz="4" w:space="0"/>
            </w:tcBorders>
            <w:vAlign w:val="center"/>
          </w:tcPr>
          <w:p w14:paraId="3248D3CE">
            <w:pPr>
              <w:spacing w:line="288" w:lineRule="auto"/>
              <w:rPr>
                <w:rFonts w:hint="default" w:ascii="宋体" w:hAnsi="宋体" w:eastAsia="宋体" w:cs="Arial"/>
                <w:bCs/>
                <w:color w:val="auto"/>
                <w:highlight w:val="none"/>
                <w:lang w:val="en-US" w:eastAsia="zh-CN"/>
              </w:rPr>
            </w:pPr>
            <w:r>
              <w:rPr>
                <w:rFonts w:hint="eastAsia"/>
                <w:color w:val="auto"/>
                <w:highlight w:val="none"/>
                <w:lang w:val="en-US" w:eastAsia="zh-CN"/>
              </w:rPr>
              <w:t>投标人无论中标与否，开评标结束后均需提供纸质版投标文件（一正两副），具体装订要求详见投标须知正文。</w:t>
            </w:r>
          </w:p>
        </w:tc>
      </w:tr>
      <w:tr w14:paraId="2D6507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3BA859AB">
            <w:pPr>
              <w:spacing w:line="300" w:lineRule="exact"/>
              <w:jc w:val="center"/>
              <w:rPr>
                <w:rFonts w:hint="eastAsia" w:ascii="宋体" w:hAnsi="宋体" w:eastAsia="宋体" w:cs="Arial"/>
                <w:bCs/>
                <w:color w:val="auto"/>
                <w:kern w:val="2"/>
                <w:sz w:val="21"/>
                <w:szCs w:val="21"/>
                <w:highlight w:val="none"/>
                <w:lang w:val="en-US" w:eastAsia="zh-CN" w:bidi="ar-SA"/>
              </w:rPr>
            </w:pPr>
            <w:r>
              <w:rPr>
                <w:rFonts w:hint="eastAsia" w:hAnsi="宋体" w:cs="Arial"/>
                <w:bCs/>
                <w:color w:val="auto"/>
                <w:highlight w:val="none"/>
              </w:rPr>
              <w:t>1</w:t>
            </w:r>
            <w:r>
              <w:rPr>
                <w:rFonts w:hint="eastAsia" w:hAnsi="宋体" w:cs="Arial"/>
                <w:bCs/>
                <w:color w:val="auto"/>
                <w:highlight w:val="none"/>
                <w:lang w:val="en-US" w:eastAsia="zh-CN"/>
              </w:rPr>
              <w:t>8</w:t>
            </w:r>
          </w:p>
        </w:tc>
        <w:tc>
          <w:tcPr>
            <w:tcW w:w="1695" w:type="dxa"/>
            <w:tcBorders>
              <w:top w:val="single" w:color="auto" w:sz="4" w:space="0"/>
              <w:left w:val="single" w:color="auto" w:sz="4" w:space="0"/>
              <w:bottom w:val="single" w:color="auto" w:sz="4" w:space="0"/>
              <w:right w:val="single" w:color="auto" w:sz="4" w:space="0"/>
            </w:tcBorders>
            <w:vAlign w:val="center"/>
          </w:tcPr>
          <w:p w14:paraId="5760A2CA">
            <w:pPr>
              <w:spacing w:line="288" w:lineRule="auto"/>
              <w:jc w:val="center"/>
              <w:rPr>
                <w:rFonts w:ascii="宋体" w:hAnsi="宋体" w:cs="Arial"/>
                <w:bCs/>
                <w:color w:val="auto"/>
                <w:highlight w:val="none"/>
              </w:rPr>
            </w:pPr>
            <w:r>
              <w:rPr>
                <w:rFonts w:hint="eastAsia" w:hAnsi="宋体" w:cs="Arial"/>
                <w:bCs/>
                <w:color w:val="auto"/>
                <w:highlight w:val="none"/>
              </w:rPr>
              <w:t>投标</w:t>
            </w:r>
            <w:r>
              <w:rPr>
                <w:rFonts w:hint="eastAsia" w:hAnsi="宋体" w:cs="Arial"/>
                <w:bCs/>
                <w:color w:val="auto"/>
                <w:highlight w:val="none"/>
                <w:lang w:val="en-US" w:eastAsia="zh-CN"/>
              </w:rPr>
              <w:t>文件递交</w:t>
            </w:r>
            <w:r>
              <w:rPr>
                <w:rFonts w:hint="eastAsia" w:hAnsi="宋体" w:cs="Arial"/>
                <w:bCs/>
                <w:color w:val="auto"/>
                <w:highlight w:val="none"/>
              </w:rPr>
              <w:t>截止时间及投标文件递交地点</w:t>
            </w:r>
          </w:p>
        </w:tc>
        <w:tc>
          <w:tcPr>
            <w:tcW w:w="6639" w:type="dxa"/>
            <w:tcBorders>
              <w:top w:val="single" w:color="auto" w:sz="4" w:space="0"/>
              <w:left w:val="single" w:color="auto" w:sz="4" w:space="0"/>
              <w:bottom w:val="single" w:color="auto" w:sz="4" w:space="0"/>
              <w:right w:val="single" w:color="auto" w:sz="4" w:space="0"/>
            </w:tcBorders>
            <w:vAlign w:val="center"/>
          </w:tcPr>
          <w:p w14:paraId="1F8430A1">
            <w:pPr>
              <w:pStyle w:val="34"/>
              <w:keepNext w:val="0"/>
              <w:keepLines w:val="0"/>
              <w:pageBreakBefore w:val="0"/>
              <w:numPr>
                <w:ilvl w:val="0"/>
                <w:numId w:val="0"/>
              </w:numPr>
              <w:kinsoku/>
              <w:topLinePunct w:val="0"/>
              <w:bidi w:val="0"/>
              <w:adjustRightInd/>
              <w:spacing w:line="360" w:lineRule="auto"/>
              <w:textAlignment w:val="auto"/>
              <w:rPr>
                <w:rStyle w:val="42"/>
                <w:rFonts w:hint="eastAsia" w:ascii="宋体" w:hAnsi="宋体" w:eastAsia="宋体" w:cs="宋体"/>
                <w:b w:val="0"/>
                <w:color w:val="auto"/>
                <w:kern w:val="0"/>
                <w:sz w:val="21"/>
                <w:szCs w:val="21"/>
                <w:highlight w:val="none"/>
              </w:rPr>
            </w:pPr>
            <w:r>
              <w:rPr>
                <w:rStyle w:val="42"/>
                <w:rFonts w:hint="eastAsia" w:ascii="宋体" w:hAnsi="宋体" w:eastAsia="宋体" w:cs="宋体"/>
                <w:b w:val="0"/>
                <w:color w:val="auto"/>
                <w:kern w:val="0"/>
                <w:sz w:val="21"/>
                <w:szCs w:val="21"/>
                <w:highlight w:val="none"/>
              </w:rPr>
              <w:sym w:font="Wingdings 2" w:char="00A3"/>
            </w:r>
            <w:r>
              <w:rPr>
                <w:rStyle w:val="42"/>
                <w:rFonts w:hint="eastAsia" w:ascii="宋体" w:hAnsi="宋体" w:eastAsia="宋体" w:cs="宋体"/>
                <w:b w:val="0"/>
                <w:color w:val="auto"/>
                <w:kern w:val="0"/>
                <w:sz w:val="21"/>
                <w:szCs w:val="21"/>
                <w:highlight w:val="none"/>
              </w:rPr>
              <w:t>采用见面开标：</w:t>
            </w:r>
          </w:p>
          <w:p w14:paraId="525D7B02">
            <w:pPr>
              <w:pStyle w:val="34"/>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纸质版投标文件要求：</w:t>
            </w:r>
          </w:p>
          <w:p w14:paraId="3E02DE3C">
            <w:pPr>
              <w:pStyle w:val="34"/>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textAlignment w:val="auto"/>
              <w:rPr>
                <w:rStyle w:val="42"/>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（1）</w:t>
            </w:r>
            <w:r>
              <w:rPr>
                <w:rFonts w:hint="eastAsia" w:ascii="宋体" w:hAnsi="宋体" w:eastAsia="宋体" w:cs="宋体"/>
                <w:b/>
                <w:bCs/>
                <w:color w:val="auto"/>
                <w:sz w:val="21"/>
                <w:szCs w:val="21"/>
                <w:highlight w:val="none"/>
                <w:u w:val="single"/>
                <w:lang w:val="en-US" w:eastAsia="zh-CN"/>
              </w:rPr>
              <w:t>投标</w:t>
            </w:r>
            <w:r>
              <w:rPr>
                <w:rStyle w:val="42"/>
                <w:rFonts w:hint="eastAsia" w:ascii="宋体" w:hAnsi="宋体" w:eastAsia="宋体" w:cs="宋体"/>
                <w:b/>
                <w:bCs/>
                <w:color w:val="auto"/>
                <w:kern w:val="0"/>
                <w:sz w:val="21"/>
                <w:szCs w:val="21"/>
                <w:highlight w:val="none"/>
                <w:lang w:val="en-US" w:eastAsia="zh-CN" w:bidi="ar-SA"/>
              </w:rPr>
              <w:t>单位提供正本壹份、副本伍份投标文件；在每一份投标文件上应明确注明“正本”或“副本”字样，如正、副本之间有差异，以正本为准。电子版投标文件U盘或光盘（不予退还）两份装入投标文件封袋内。</w:t>
            </w:r>
          </w:p>
          <w:p w14:paraId="7CCB417C">
            <w:pPr>
              <w:pStyle w:val="34"/>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textAlignment w:val="auto"/>
              <w:rPr>
                <w:rStyle w:val="42"/>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2）装订要求：投标文件的正本和副本一律用A4复印纸（图、表及证件可以除外）编制和复制。投标文件的正本和副本应采用粘贴方式左侧装订，不得采用活页夹等可随时拆换的方式装订，不得有零散页。若同一册的内容较多，可装订成若干分册，并在封面标明次序及册数。投标文件中的证明、证件及附件等的复制件应集中紧附在相应正文内容后面，并尽量与前面正文部分的顺序相对应。</w:t>
            </w:r>
          </w:p>
          <w:p w14:paraId="09A75797">
            <w:pPr>
              <w:pStyle w:val="34"/>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textAlignment w:val="auto"/>
              <w:rPr>
                <w:rStyle w:val="42"/>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（3）</w:t>
            </w:r>
            <w:r>
              <w:rPr>
                <w:rStyle w:val="42"/>
                <w:rFonts w:hint="eastAsia" w:ascii="宋体" w:hAnsi="宋体" w:eastAsia="宋体" w:cs="宋体"/>
                <w:b w:val="0"/>
                <w:bCs w:val="0"/>
                <w:color w:val="auto"/>
                <w:kern w:val="0"/>
                <w:sz w:val="21"/>
                <w:szCs w:val="21"/>
                <w:highlight w:val="none"/>
                <w:lang w:val="en-US" w:eastAsia="zh-CN" w:bidi="ar-SA"/>
              </w:rPr>
              <w:t>投标人提交的投标文件必须唯一有效，投标文件正本须打印并由法定代表人或委托代理人签字或盖章，所盖章必须是红章。</w:t>
            </w:r>
          </w:p>
          <w:p w14:paraId="3449A0EA">
            <w:pPr>
              <w:pStyle w:val="34"/>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textAlignment w:val="auto"/>
              <w:rPr>
                <w:rStyle w:val="42"/>
                <w:rFonts w:hint="eastAsia" w:ascii="宋体" w:hAnsi="宋体" w:eastAsia="宋体" w:cs="宋体"/>
                <w:b w:val="0"/>
                <w:bCs w:val="0"/>
                <w:color w:val="auto"/>
                <w:kern w:val="0"/>
                <w:sz w:val="21"/>
                <w:szCs w:val="21"/>
                <w:highlight w:val="none"/>
                <w:lang w:val="en-US" w:eastAsia="zh-CN" w:bidi="ar-SA"/>
              </w:rPr>
            </w:pPr>
            <w:r>
              <w:rPr>
                <w:rStyle w:val="42"/>
                <w:rFonts w:hint="eastAsia" w:ascii="宋体" w:hAnsi="宋体" w:eastAsia="宋体" w:cs="宋体"/>
                <w:b w:val="0"/>
                <w:bCs w:val="0"/>
                <w:color w:val="auto"/>
                <w:kern w:val="0"/>
                <w:sz w:val="21"/>
                <w:szCs w:val="21"/>
                <w:highlight w:val="none"/>
                <w:lang w:val="en-US" w:eastAsia="zh-CN" w:bidi="ar-SA"/>
              </w:rPr>
              <w:t>投标文件副本的上述签名及盖章之处既可由投标人的法定代表人或其委托代理人亲笔签署,也可通过复印正本将上述签名及盖章复制到副本上。</w:t>
            </w:r>
          </w:p>
          <w:p w14:paraId="122AAF42">
            <w:pPr>
              <w:pStyle w:val="34"/>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firstLine="0" w:firstLineChars="0"/>
              <w:textAlignment w:val="auto"/>
              <w:rPr>
                <w:rStyle w:val="42"/>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（4）</w:t>
            </w:r>
            <w:r>
              <w:rPr>
                <w:rStyle w:val="42"/>
                <w:rFonts w:hint="eastAsia" w:ascii="宋体" w:hAnsi="宋体" w:eastAsia="宋体" w:cs="宋体"/>
                <w:b w:val="0"/>
                <w:bCs w:val="0"/>
                <w:color w:val="auto"/>
                <w:kern w:val="0"/>
                <w:sz w:val="21"/>
                <w:szCs w:val="21"/>
                <w:highlight w:val="none"/>
                <w:lang w:val="en-US" w:eastAsia="zh-CN" w:bidi="ar-SA"/>
              </w:rPr>
              <w:t>投标文件的包装和密封：项目名称、编号、竞标人名称、年月日。</w:t>
            </w:r>
          </w:p>
          <w:p w14:paraId="4ABD54AF">
            <w:pPr>
              <w:pStyle w:val="22"/>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Style w:val="42"/>
                <w:rFonts w:hint="eastAsia" w:ascii="宋体" w:hAnsi="宋体" w:eastAsia="宋体" w:cs="宋体"/>
                <w:b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bidi="ar-SA"/>
              </w:rPr>
              <w:t>（5）</w:t>
            </w:r>
            <w:r>
              <w:rPr>
                <w:rStyle w:val="42"/>
                <w:rFonts w:hint="eastAsia" w:ascii="宋体" w:hAnsi="宋体" w:eastAsia="宋体" w:cs="宋体"/>
                <w:b w:val="0"/>
                <w:bCs w:val="0"/>
                <w:color w:val="auto"/>
                <w:kern w:val="0"/>
                <w:sz w:val="21"/>
                <w:szCs w:val="21"/>
                <w:highlight w:val="none"/>
                <w:lang w:val="en-US" w:eastAsia="zh-CN" w:bidi="ar-SA"/>
              </w:rPr>
              <w:t>封套上写明：响应文件正本和副本的封面上均应标明：项目名称、项目编号、供应商名称、年月日；并分别在右上角标明“正本”和“副本”字样</w:t>
            </w:r>
          </w:p>
          <w:p w14:paraId="5B4D0807">
            <w:pPr>
              <w:pStyle w:val="22"/>
              <w:snapToGrid w:val="0"/>
              <w:spacing w:line="360" w:lineRule="auto"/>
              <w:rPr>
                <w:rStyle w:val="42"/>
                <w:rFonts w:hint="eastAsia" w:ascii="宋体" w:hAnsi="宋体" w:eastAsia="宋体" w:cs="宋体"/>
                <w:b w:val="0"/>
                <w:color w:val="auto"/>
                <w:kern w:val="0"/>
                <w:sz w:val="21"/>
                <w:szCs w:val="21"/>
                <w:highlight w:val="none"/>
              </w:rPr>
            </w:pPr>
            <w:r>
              <w:rPr>
                <w:rStyle w:val="42"/>
                <w:rFonts w:hint="eastAsia" w:ascii="宋体" w:hAnsi="宋体" w:eastAsia="宋体" w:cs="宋体"/>
                <w:b w:val="0"/>
                <w:color w:val="auto"/>
                <w:kern w:val="0"/>
                <w:sz w:val="21"/>
                <w:szCs w:val="21"/>
                <w:highlight w:val="none"/>
              </w:rPr>
              <w:sym w:font="Wingdings 2" w:char="0052"/>
            </w:r>
            <w:r>
              <w:rPr>
                <w:rStyle w:val="42"/>
                <w:rFonts w:hint="eastAsia" w:ascii="宋体" w:hAnsi="宋体" w:eastAsia="宋体" w:cs="宋体"/>
                <w:b w:val="0"/>
                <w:color w:val="auto"/>
                <w:kern w:val="0"/>
                <w:sz w:val="21"/>
                <w:szCs w:val="21"/>
                <w:highlight w:val="none"/>
              </w:rPr>
              <w:t>采用不见面开标：</w:t>
            </w:r>
          </w:p>
          <w:p w14:paraId="6CC30BDE">
            <w:pPr>
              <w:pStyle w:val="34"/>
              <w:keepNext w:val="0"/>
              <w:keepLines w:val="0"/>
              <w:pageBreakBefore w:val="0"/>
              <w:numPr>
                <w:ilvl w:val="0"/>
                <w:numId w:val="0"/>
              </w:numPr>
              <w:kinsoku/>
              <w:topLinePunct w:val="0"/>
              <w:bidi w:val="0"/>
              <w:adjustRightInd/>
              <w:spacing w:line="360" w:lineRule="auto"/>
              <w:textAlignment w:val="auto"/>
              <w:rPr>
                <w:rStyle w:val="42"/>
                <w:rFonts w:hint="eastAsia" w:ascii="宋体" w:hAnsi="宋体" w:eastAsia="宋体" w:cs="宋体"/>
                <w:b w:val="0"/>
                <w:color w:val="auto"/>
                <w:kern w:val="0"/>
                <w:sz w:val="21"/>
                <w:szCs w:val="21"/>
                <w:highlight w:val="none"/>
                <w:lang w:val="en-US" w:eastAsia="zh-CN"/>
              </w:rPr>
            </w:pPr>
            <w:r>
              <w:rPr>
                <w:rStyle w:val="42"/>
                <w:rFonts w:hint="eastAsia" w:ascii="宋体" w:hAnsi="宋体" w:eastAsia="宋体" w:cs="宋体"/>
                <w:b w:val="0"/>
                <w:color w:val="auto"/>
                <w:kern w:val="0"/>
                <w:sz w:val="21"/>
                <w:szCs w:val="21"/>
                <w:highlight w:val="none"/>
                <w:lang w:val="en-US" w:eastAsia="zh-CN"/>
              </w:rPr>
              <w:t>①</w:t>
            </w:r>
            <w:r>
              <w:rPr>
                <w:rStyle w:val="42"/>
                <w:rFonts w:hint="eastAsia" w:ascii="宋体" w:hAnsi="宋体" w:eastAsia="宋体" w:cs="宋体"/>
                <w:b w:val="0"/>
                <w:color w:val="auto"/>
                <w:kern w:val="0"/>
                <w:sz w:val="21"/>
                <w:szCs w:val="21"/>
                <w:highlight w:val="none"/>
              </w:rPr>
              <w:t>递交</w:t>
            </w:r>
            <w:r>
              <w:rPr>
                <w:rStyle w:val="42"/>
                <w:rFonts w:hint="eastAsia" w:ascii="宋体" w:hAnsi="宋体" w:eastAsia="宋体" w:cs="宋体"/>
                <w:b w:val="0"/>
                <w:color w:val="auto"/>
                <w:kern w:val="0"/>
                <w:sz w:val="21"/>
                <w:szCs w:val="21"/>
                <w:highlight w:val="none"/>
                <w:lang w:val="en-US" w:eastAsia="zh-CN"/>
              </w:rPr>
              <w:t>投标</w:t>
            </w:r>
            <w:r>
              <w:rPr>
                <w:rStyle w:val="42"/>
                <w:rFonts w:hint="eastAsia" w:ascii="宋体" w:hAnsi="宋体" w:eastAsia="宋体" w:cs="宋体"/>
                <w:b w:val="0"/>
                <w:color w:val="auto"/>
                <w:kern w:val="0"/>
                <w:sz w:val="21"/>
                <w:szCs w:val="21"/>
                <w:highlight w:val="none"/>
              </w:rPr>
              <w:t>文件截止时间：2026年</w:t>
            </w:r>
            <w:r>
              <w:rPr>
                <w:rStyle w:val="42"/>
                <w:rFonts w:hint="eastAsia" w:cs="宋体"/>
                <w:b w:val="0"/>
                <w:color w:val="auto"/>
                <w:kern w:val="0"/>
                <w:sz w:val="21"/>
                <w:szCs w:val="21"/>
                <w:highlight w:val="none"/>
                <w:lang w:val="en-US" w:eastAsia="zh-CN"/>
              </w:rPr>
              <w:t>11</w:t>
            </w:r>
            <w:r>
              <w:rPr>
                <w:rStyle w:val="42"/>
                <w:rFonts w:hint="eastAsia" w:ascii="宋体" w:hAnsi="宋体" w:eastAsia="宋体" w:cs="宋体"/>
                <w:b w:val="0"/>
                <w:color w:val="auto"/>
                <w:kern w:val="0"/>
                <w:sz w:val="21"/>
                <w:szCs w:val="21"/>
                <w:highlight w:val="none"/>
              </w:rPr>
              <w:t>月</w:t>
            </w:r>
            <w:r>
              <w:rPr>
                <w:rStyle w:val="42"/>
                <w:rFonts w:hint="eastAsia" w:cs="宋体"/>
                <w:b w:val="0"/>
                <w:color w:val="auto"/>
                <w:kern w:val="0"/>
                <w:sz w:val="21"/>
                <w:szCs w:val="21"/>
                <w:highlight w:val="none"/>
                <w:lang w:val="en-US" w:eastAsia="zh-CN"/>
              </w:rPr>
              <w:t>11</w:t>
            </w:r>
            <w:r>
              <w:rPr>
                <w:rStyle w:val="42"/>
                <w:rFonts w:hint="eastAsia" w:ascii="宋体" w:hAnsi="宋体" w:eastAsia="宋体" w:cs="宋体"/>
                <w:b w:val="0"/>
                <w:color w:val="auto"/>
                <w:kern w:val="0"/>
                <w:sz w:val="21"/>
                <w:szCs w:val="21"/>
                <w:highlight w:val="none"/>
              </w:rPr>
              <w:t>日</w:t>
            </w:r>
            <w:r>
              <w:rPr>
                <w:rStyle w:val="42"/>
                <w:rFonts w:hint="eastAsia" w:cs="宋体"/>
                <w:b w:val="0"/>
                <w:color w:val="auto"/>
                <w:kern w:val="0"/>
                <w:sz w:val="21"/>
                <w:szCs w:val="21"/>
                <w:highlight w:val="none"/>
                <w:lang w:val="en-US" w:eastAsia="zh-CN"/>
              </w:rPr>
              <w:t>10</w:t>
            </w:r>
            <w:r>
              <w:rPr>
                <w:rStyle w:val="42"/>
                <w:rFonts w:hint="eastAsia" w:ascii="宋体" w:hAnsi="宋体" w:eastAsia="宋体" w:cs="宋体"/>
                <w:b w:val="0"/>
                <w:color w:val="auto"/>
                <w:kern w:val="0"/>
                <w:sz w:val="21"/>
                <w:szCs w:val="21"/>
                <w:highlight w:val="none"/>
              </w:rPr>
              <w:t>时</w:t>
            </w:r>
            <w:r>
              <w:rPr>
                <w:rStyle w:val="42"/>
                <w:rFonts w:hint="eastAsia" w:cs="宋体"/>
                <w:b w:val="0"/>
                <w:color w:val="auto"/>
                <w:kern w:val="0"/>
                <w:sz w:val="21"/>
                <w:szCs w:val="21"/>
                <w:highlight w:val="none"/>
                <w:lang w:val="en-US" w:eastAsia="zh-CN"/>
              </w:rPr>
              <w:t>30</w:t>
            </w:r>
            <w:r>
              <w:rPr>
                <w:rStyle w:val="42"/>
                <w:rFonts w:hint="eastAsia" w:ascii="宋体" w:hAnsi="宋体" w:eastAsia="宋体" w:cs="宋体"/>
                <w:b w:val="0"/>
                <w:color w:val="auto"/>
                <w:kern w:val="0"/>
                <w:sz w:val="21"/>
                <w:szCs w:val="21"/>
                <w:highlight w:val="none"/>
              </w:rPr>
              <w:t>分</w:t>
            </w:r>
          </w:p>
          <w:p w14:paraId="2E4F2EFF">
            <w:pPr>
              <w:pStyle w:val="34"/>
              <w:keepNext w:val="0"/>
              <w:keepLines w:val="0"/>
              <w:pageBreakBefore w:val="0"/>
              <w:numPr>
                <w:ilvl w:val="0"/>
                <w:numId w:val="0"/>
              </w:numPr>
              <w:kinsoku/>
              <w:topLinePunct w:val="0"/>
              <w:bidi w:val="0"/>
              <w:adjustRightInd/>
              <w:spacing w:line="360" w:lineRule="auto"/>
              <w:textAlignment w:val="auto"/>
              <w:rPr>
                <w:rStyle w:val="42"/>
                <w:rFonts w:hint="eastAsia" w:ascii="宋体" w:hAnsi="宋体" w:eastAsia="宋体" w:cs="宋体"/>
                <w:b w:val="0"/>
                <w:color w:val="auto"/>
                <w:kern w:val="0"/>
                <w:sz w:val="21"/>
                <w:szCs w:val="21"/>
                <w:highlight w:val="none"/>
                <w:lang w:val="en-US" w:eastAsia="zh-CN"/>
              </w:rPr>
            </w:pPr>
            <w:r>
              <w:rPr>
                <w:rStyle w:val="42"/>
                <w:rFonts w:hint="eastAsia" w:ascii="宋体" w:hAnsi="宋体" w:eastAsia="宋体" w:cs="宋体"/>
                <w:b w:val="0"/>
                <w:color w:val="auto"/>
                <w:kern w:val="0"/>
                <w:sz w:val="21"/>
                <w:szCs w:val="21"/>
                <w:highlight w:val="none"/>
              </w:rPr>
              <w:t>递交</w:t>
            </w:r>
            <w:r>
              <w:rPr>
                <w:rStyle w:val="42"/>
                <w:rFonts w:hint="eastAsia" w:ascii="宋体" w:hAnsi="宋体" w:eastAsia="宋体" w:cs="宋体"/>
                <w:b w:val="0"/>
                <w:color w:val="auto"/>
                <w:kern w:val="0"/>
                <w:sz w:val="21"/>
                <w:szCs w:val="21"/>
                <w:highlight w:val="none"/>
                <w:lang w:val="en-US" w:eastAsia="zh-CN"/>
              </w:rPr>
              <w:t>投标</w:t>
            </w:r>
            <w:r>
              <w:rPr>
                <w:rStyle w:val="42"/>
                <w:rFonts w:hint="eastAsia" w:ascii="宋体" w:hAnsi="宋体" w:eastAsia="宋体" w:cs="宋体"/>
                <w:b w:val="0"/>
                <w:color w:val="auto"/>
                <w:kern w:val="0"/>
                <w:sz w:val="21"/>
                <w:szCs w:val="21"/>
                <w:highlight w:val="none"/>
              </w:rPr>
              <w:t>文件时间：202</w:t>
            </w:r>
            <w:r>
              <w:rPr>
                <w:rStyle w:val="42"/>
                <w:rFonts w:hint="eastAsia" w:ascii="宋体" w:hAnsi="宋体" w:eastAsia="宋体" w:cs="宋体"/>
                <w:b w:val="0"/>
                <w:color w:val="auto"/>
                <w:kern w:val="0"/>
                <w:sz w:val="21"/>
                <w:szCs w:val="21"/>
                <w:highlight w:val="none"/>
                <w:lang w:val="en-US" w:eastAsia="zh-CN"/>
              </w:rPr>
              <w:t>6</w:t>
            </w:r>
            <w:r>
              <w:rPr>
                <w:rStyle w:val="42"/>
                <w:rFonts w:hint="eastAsia" w:ascii="宋体" w:hAnsi="宋体" w:eastAsia="宋体" w:cs="宋体"/>
                <w:b w:val="0"/>
                <w:color w:val="auto"/>
                <w:kern w:val="0"/>
                <w:sz w:val="21"/>
                <w:szCs w:val="21"/>
                <w:highlight w:val="none"/>
              </w:rPr>
              <w:t>年</w:t>
            </w:r>
            <w:r>
              <w:rPr>
                <w:rStyle w:val="42"/>
                <w:rFonts w:hint="eastAsia" w:cs="宋体"/>
                <w:b w:val="0"/>
                <w:color w:val="auto"/>
                <w:kern w:val="0"/>
                <w:sz w:val="21"/>
                <w:szCs w:val="21"/>
                <w:highlight w:val="none"/>
                <w:lang w:val="en-US" w:eastAsia="zh-CN"/>
              </w:rPr>
              <w:t>11</w:t>
            </w:r>
            <w:r>
              <w:rPr>
                <w:rStyle w:val="42"/>
                <w:rFonts w:hint="eastAsia" w:ascii="宋体" w:hAnsi="宋体" w:eastAsia="宋体" w:cs="宋体"/>
                <w:b w:val="0"/>
                <w:color w:val="auto"/>
                <w:kern w:val="0"/>
                <w:sz w:val="21"/>
                <w:szCs w:val="21"/>
                <w:highlight w:val="none"/>
              </w:rPr>
              <w:t>月</w:t>
            </w:r>
            <w:r>
              <w:rPr>
                <w:rStyle w:val="42"/>
                <w:rFonts w:hint="eastAsia" w:cs="宋体"/>
                <w:b w:val="0"/>
                <w:color w:val="auto"/>
                <w:kern w:val="0"/>
                <w:sz w:val="21"/>
                <w:szCs w:val="21"/>
                <w:highlight w:val="none"/>
                <w:lang w:val="en-US" w:eastAsia="zh-CN"/>
              </w:rPr>
              <w:t>11</w:t>
            </w:r>
            <w:r>
              <w:rPr>
                <w:rStyle w:val="42"/>
                <w:rFonts w:hint="eastAsia" w:ascii="宋体" w:hAnsi="宋体" w:eastAsia="宋体" w:cs="宋体"/>
                <w:b w:val="0"/>
                <w:color w:val="auto"/>
                <w:kern w:val="0"/>
                <w:sz w:val="21"/>
                <w:szCs w:val="21"/>
                <w:highlight w:val="none"/>
              </w:rPr>
              <w:t>日</w:t>
            </w:r>
            <w:r>
              <w:rPr>
                <w:rStyle w:val="42"/>
                <w:rFonts w:hint="eastAsia" w:cs="宋体"/>
                <w:b w:val="0"/>
                <w:color w:val="auto"/>
                <w:kern w:val="0"/>
                <w:sz w:val="21"/>
                <w:szCs w:val="21"/>
                <w:highlight w:val="none"/>
                <w:lang w:val="en-US" w:eastAsia="zh-CN"/>
              </w:rPr>
              <w:t>10</w:t>
            </w:r>
            <w:r>
              <w:rPr>
                <w:rStyle w:val="42"/>
                <w:rFonts w:hint="eastAsia" w:ascii="宋体" w:hAnsi="宋体" w:eastAsia="宋体" w:cs="宋体"/>
                <w:b w:val="0"/>
                <w:color w:val="auto"/>
                <w:kern w:val="0"/>
                <w:sz w:val="21"/>
                <w:szCs w:val="21"/>
                <w:highlight w:val="none"/>
              </w:rPr>
              <w:t>：</w:t>
            </w:r>
            <w:r>
              <w:rPr>
                <w:rStyle w:val="42"/>
                <w:rFonts w:hint="eastAsia" w:cs="宋体"/>
                <w:b w:val="0"/>
                <w:color w:val="auto"/>
                <w:kern w:val="0"/>
                <w:sz w:val="21"/>
                <w:szCs w:val="21"/>
                <w:highlight w:val="none"/>
                <w:lang w:val="en-US" w:eastAsia="zh-CN"/>
              </w:rPr>
              <w:t>0</w:t>
            </w:r>
            <w:r>
              <w:rPr>
                <w:rStyle w:val="42"/>
                <w:rFonts w:hint="eastAsia" w:ascii="宋体" w:hAnsi="宋体" w:eastAsia="宋体" w:cs="宋体"/>
                <w:b w:val="0"/>
                <w:color w:val="auto"/>
                <w:kern w:val="0"/>
                <w:sz w:val="21"/>
                <w:szCs w:val="21"/>
                <w:highlight w:val="none"/>
                <w:lang w:val="en-US" w:eastAsia="zh-CN"/>
              </w:rPr>
              <w:t>0</w:t>
            </w:r>
            <w:r>
              <w:rPr>
                <w:rStyle w:val="42"/>
                <w:rFonts w:hint="eastAsia" w:ascii="宋体" w:hAnsi="宋体" w:eastAsia="宋体" w:cs="宋体"/>
                <w:b w:val="0"/>
                <w:color w:val="auto"/>
                <w:kern w:val="0"/>
                <w:sz w:val="21"/>
                <w:szCs w:val="21"/>
                <w:highlight w:val="none"/>
              </w:rPr>
              <w:t>～</w:t>
            </w:r>
            <w:r>
              <w:rPr>
                <w:rStyle w:val="42"/>
                <w:rFonts w:hint="eastAsia" w:cs="宋体"/>
                <w:b w:val="0"/>
                <w:color w:val="auto"/>
                <w:kern w:val="0"/>
                <w:sz w:val="21"/>
                <w:szCs w:val="21"/>
                <w:highlight w:val="none"/>
                <w:lang w:val="en-US" w:eastAsia="zh-CN"/>
              </w:rPr>
              <w:t>10</w:t>
            </w:r>
            <w:r>
              <w:rPr>
                <w:rStyle w:val="42"/>
                <w:rFonts w:hint="eastAsia" w:ascii="宋体" w:hAnsi="宋体" w:eastAsia="宋体" w:cs="宋体"/>
                <w:b w:val="0"/>
                <w:color w:val="auto"/>
                <w:kern w:val="0"/>
                <w:sz w:val="21"/>
                <w:szCs w:val="21"/>
                <w:highlight w:val="none"/>
              </w:rPr>
              <w:t>：</w:t>
            </w:r>
            <w:r>
              <w:rPr>
                <w:rStyle w:val="42"/>
                <w:rFonts w:hint="eastAsia" w:cs="宋体"/>
                <w:b w:val="0"/>
                <w:color w:val="auto"/>
                <w:kern w:val="0"/>
                <w:sz w:val="21"/>
                <w:szCs w:val="21"/>
                <w:highlight w:val="none"/>
                <w:lang w:val="en-US" w:eastAsia="zh-CN"/>
              </w:rPr>
              <w:t>3</w:t>
            </w:r>
            <w:r>
              <w:rPr>
                <w:rStyle w:val="42"/>
                <w:rFonts w:hint="eastAsia" w:ascii="宋体" w:hAnsi="宋体" w:eastAsia="宋体" w:cs="宋体"/>
                <w:b w:val="0"/>
                <w:color w:val="auto"/>
                <w:kern w:val="0"/>
                <w:sz w:val="21"/>
                <w:szCs w:val="21"/>
                <w:highlight w:val="none"/>
                <w:lang w:val="en-US" w:eastAsia="zh-CN"/>
              </w:rPr>
              <w:t>0</w:t>
            </w:r>
          </w:p>
          <w:p w14:paraId="181D89EC">
            <w:pPr>
              <w:spacing w:line="288" w:lineRule="auto"/>
              <w:rPr>
                <w:rFonts w:hint="eastAsia" w:ascii="宋体" w:hAnsi="宋体" w:eastAsia="宋体" w:cs="宋体"/>
                <w:color w:val="auto"/>
                <w:sz w:val="21"/>
                <w:szCs w:val="21"/>
                <w:highlight w:val="none"/>
              </w:rPr>
            </w:pPr>
            <w:r>
              <w:rPr>
                <w:rStyle w:val="42"/>
                <w:rFonts w:hint="eastAsia" w:ascii="宋体" w:hAnsi="宋体" w:eastAsia="宋体" w:cs="宋体"/>
                <w:b w:val="0"/>
                <w:color w:val="auto"/>
                <w:kern w:val="0"/>
                <w:sz w:val="21"/>
                <w:szCs w:val="21"/>
                <w:highlight w:val="none"/>
              </w:rPr>
              <w:t>②电子响应文件递交方式及时间：202</w:t>
            </w:r>
            <w:r>
              <w:rPr>
                <w:rStyle w:val="42"/>
                <w:rFonts w:hint="eastAsia" w:ascii="宋体" w:hAnsi="宋体" w:eastAsia="宋体" w:cs="宋体"/>
                <w:b w:val="0"/>
                <w:color w:val="auto"/>
                <w:kern w:val="0"/>
                <w:sz w:val="21"/>
                <w:szCs w:val="21"/>
                <w:highlight w:val="none"/>
                <w:lang w:val="en-US" w:eastAsia="zh-CN"/>
              </w:rPr>
              <w:t>6</w:t>
            </w:r>
            <w:r>
              <w:rPr>
                <w:rStyle w:val="42"/>
                <w:rFonts w:hint="eastAsia" w:ascii="宋体" w:hAnsi="宋体" w:eastAsia="宋体" w:cs="宋体"/>
                <w:b w:val="0"/>
                <w:color w:val="auto"/>
                <w:kern w:val="0"/>
                <w:sz w:val="21"/>
                <w:szCs w:val="21"/>
                <w:highlight w:val="none"/>
              </w:rPr>
              <w:t>年</w:t>
            </w:r>
            <w:r>
              <w:rPr>
                <w:rStyle w:val="42"/>
                <w:rFonts w:hint="eastAsia" w:ascii="宋体" w:hAnsi="宋体" w:cs="宋体"/>
                <w:b w:val="0"/>
                <w:color w:val="auto"/>
                <w:kern w:val="0"/>
                <w:sz w:val="21"/>
                <w:szCs w:val="21"/>
                <w:highlight w:val="none"/>
                <w:lang w:val="en-US" w:eastAsia="zh-CN"/>
              </w:rPr>
              <w:t>11</w:t>
            </w:r>
            <w:r>
              <w:rPr>
                <w:rStyle w:val="42"/>
                <w:rFonts w:hint="eastAsia" w:ascii="宋体" w:hAnsi="宋体" w:eastAsia="宋体" w:cs="宋体"/>
                <w:b w:val="0"/>
                <w:color w:val="auto"/>
                <w:kern w:val="0"/>
                <w:sz w:val="21"/>
                <w:szCs w:val="21"/>
                <w:highlight w:val="none"/>
              </w:rPr>
              <w:t>月</w:t>
            </w:r>
            <w:r>
              <w:rPr>
                <w:rStyle w:val="42"/>
                <w:rFonts w:hint="eastAsia" w:ascii="宋体" w:hAnsi="宋体" w:cs="宋体"/>
                <w:b w:val="0"/>
                <w:color w:val="auto"/>
                <w:kern w:val="0"/>
                <w:sz w:val="21"/>
                <w:szCs w:val="21"/>
                <w:highlight w:val="none"/>
                <w:lang w:val="en-US" w:eastAsia="zh-CN"/>
              </w:rPr>
              <w:t>11</w:t>
            </w:r>
            <w:r>
              <w:rPr>
                <w:rStyle w:val="42"/>
                <w:rFonts w:hint="eastAsia" w:ascii="宋体" w:hAnsi="宋体" w:eastAsia="宋体" w:cs="宋体"/>
                <w:b w:val="0"/>
                <w:color w:val="auto"/>
                <w:kern w:val="0"/>
                <w:sz w:val="21"/>
                <w:szCs w:val="21"/>
                <w:highlight w:val="none"/>
              </w:rPr>
              <w:t>日</w:t>
            </w:r>
            <w:r>
              <w:rPr>
                <w:rStyle w:val="42"/>
                <w:rFonts w:hint="eastAsia" w:ascii="宋体" w:hAnsi="宋体" w:cs="宋体"/>
                <w:b w:val="0"/>
                <w:color w:val="auto"/>
                <w:kern w:val="0"/>
                <w:sz w:val="21"/>
                <w:szCs w:val="21"/>
                <w:highlight w:val="none"/>
                <w:lang w:val="en-US" w:eastAsia="zh-CN"/>
              </w:rPr>
              <w:t>10</w:t>
            </w:r>
            <w:r>
              <w:rPr>
                <w:rStyle w:val="42"/>
                <w:rFonts w:hint="eastAsia" w:ascii="宋体" w:hAnsi="宋体" w:eastAsia="宋体" w:cs="宋体"/>
                <w:b w:val="0"/>
                <w:color w:val="auto"/>
                <w:kern w:val="0"/>
                <w:sz w:val="21"/>
                <w:szCs w:val="21"/>
                <w:highlight w:val="none"/>
              </w:rPr>
              <w:t>：</w:t>
            </w:r>
            <w:r>
              <w:rPr>
                <w:rStyle w:val="42"/>
                <w:rFonts w:hint="eastAsia" w:ascii="宋体" w:hAnsi="宋体" w:cs="宋体"/>
                <w:b w:val="0"/>
                <w:color w:val="auto"/>
                <w:kern w:val="0"/>
                <w:sz w:val="21"/>
                <w:szCs w:val="21"/>
                <w:highlight w:val="none"/>
                <w:lang w:val="en-US" w:eastAsia="zh-CN"/>
              </w:rPr>
              <w:t>00</w:t>
            </w:r>
            <w:r>
              <w:rPr>
                <w:rStyle w:val="42"/>
                <w:rFonts w:hint="eastAsia" w:ascii="宋体" w:hAnsi="宋体" w:eastAsia="宋体" w:cs="宋体"/>
                <w:b w:val="0"/>
                <w:color w:val="auto"/>
                <w:kern w:val="0"/>
                <w:sz w:val="21"/>
                <w:szCs w:val="21"/>
                <w:highlight w:val="none"/>
              </w:rPr>
              <w:t>～</w:t>
            </w:r>
            <w:r>
              <w:rPr>
                <w:rStyle w:val="42"/>
                <w:rFonts w:hint="eastAsia" w:ascii="宋体" w:hAnsi="宋体" w:cs="宋体"/>
                <w:b w:val="0"/>
                <w:color w:val="auto"/>
                <w:kern w:val="0"/>
                <w:sz w:val="21"/>
                <w:szCs w:val="21"/>
                <w:highlight w:val="none"/>
                <w:lang w:val="en-US" w:eastAsia="zh-CN"/>
              </w:rPr>
              <w:t>10</w:t>
            </w:r>
            <w:r>
              <w:rPr>
                <w:rStyle w:val="42"/>
                <w:rFonts w:hint="eastAsia" w:ascii="宋体" w:hAnsi="宋体" w:eastAsia="宋体" w:cs="宋体"/>
                <w:b w:val="0"/>
                <w:color w:val="auto"/>
                <w:kern w:val="0"/>
                <w:sz w:val="21"/>
                <w:szCs w:val="21"/>
                <w:highlight w:val="none"/>
              </w:rPr>
              <w:t>：</w:t>
            </w:r>
            <w:r>
              <w:rPr>
                <w:rStyle w:val="42"/>
                <w:rFonts w:hint="eastAsia" w:ascii="宋体" w:hAnsi="宋体" w:cs="宋体"/>
                <w:b w:val="0"/>
                <w:color w:val="auto"/>
                <w:kern w:val="0"/>
                <w:sz w:val="21"/>
                <w:szCs w:val="21"/>
                <w:highlight w:val="none"/>
                <w:lang w:val="en-US" w:eastAsia="zh-CN"/>
              </w:rPr>
              <w:t>30</w:t>
            </w:r>
            <w:r>
              <w:rPr>
                <w:rStyle w:val="42"/>
                <w:rFonts w:hint="eastAsia" w:ascii="宋体" w:hAnsi="宋体" w:eastAsia="宋体" w:cs="宋体"/>
                <w:b w:val="0"/>
                <w:color w:val="auto"/>
                <w:kern w:val="0"/>
                <w:sz w:val="21"/>
                <w:szCs w:val="21"/>
                <w:highlight w:val="none"/>
              </w:rPr>
              <w:t>将各自加密电子版</w:t>
            </w:r>
            <w:r>
              <w:rPr>
                <w:rStyle w:val="42"/>
                <w:rFonts w:hint="eastAsia" w:ascii="宋体" w:hAnsi="宋体" w:eastAsia="宋体" w:cs="宋体"/>
                <w:b w:val="0"/>
                <w:color w:val="auto"/>
                <w:kern w:val="0"/>
                <w:sz w:val="21"/>
                <w:szCs w:val="21"/>
                <w:highlight w:val="none"/>
                <w:lang w:val="en-US" w:eastAsia="zh-CN"/>
              </w:rPr>
              <w:t>投标</w:t>
            </w:r>
            <w:r>
              <w:rPr>
                <w:rStyle w:val="42"/>
                <w:rFonts w:hint="eastAsia" w:ascii="宋体" w:hAnsi="宋体" w:eastAsia="宋体" w:cs="宋体"/>
                <w:b w:val="0"/>
                <w:color w:val="auto"/>
                <w:kern w:val="0"/>
                <w:sz w:val="21"/>
                <w:szCs w:val="21"/>
                <w:highlight w:val="none"/>
              </w:rPr>
              <w:t>文件压缩包（加密要求：只能对压缩包进行加密，不得再对压缩包内的任何文件进行加密）发至XJHYGSZB@163.com邮箱，如未按要求时间提前或逾期发至指定邮箱的，不予接收其响应文件。各投标人须在递交</w:t>
            </w:r>
            <w:r>
              <w:rPr>
                <w:rStyle w:val="42"/>
                <w:rFonts w:hint="eastAsia" w:ascii="宋体" w:hAnsi="宋体" w:eastAsia="宋体" w:cs="宋体"/>
                <w:b w:val="0"/>
                <w:color w:val="auto"/>
                <w:kern w:val="0"/>
                <w:sz w:val="21"/>
                <w:szCs w:val="21"/>
                <w:highlight w:val="none"/>
                <w:lang w:val="en-US" w:eastAsia="zh-CN"/>
              </w:rPr>
              <w:t>投标</w:t>
            </w:r>
            <w:r>
              <w:rPr>
                <w:rStyle w:val="42"/>
                <w:rFonts w:hint="eastAsia" w:ascii="宋体" w:hAnsi="宋体" w:eastAsia="宋体" w:cs="宋体"/>
                <w:b w:val="0"/>
                <w:color w:val="auto"/>
                <w:kern w:val="0"/>
                <w:sz w:val="21"/>
                <w:szCs w:val="21"/>
                <w:highlight w:val="none"/>
              </w:rPr>
              <w:t>文件截止时间后15分钟内</w:t>
            </w:r>
            <w:r>
              <w:rPr>
                <w:rStyle w:val="42"/>
                <w:rFonts w:hint="eastAsia" w:ascii="宋体" w:hAnsi="宋体" w:cs="宋体"/>
                <w:b w:val="0"/>
                <w:color w:val="auto"/>
                <w:kern w:val="0"/>
                <w:sz w:val="21"/>
                <w:szCs w:val="21"/>
                <w:highlight w:val="none"/>
                <w:lang w:val="en-US" w:eastAsia="zh-CN"/>
              </w:rPr>
              <w:t>将解密密码</w:t>
            </w:r>
            <w:r>
              <w:rPr>
                <w:rStyle w:val="42"/>
                <w:rFonts w:hint="eastAsia" w:ascii="宋体" w:hAnsi="宋体" w:eastAsia="宋体" w:cs="宋体"/>
                <w:b w:val="0"/>
                <w:color w:val="auto"/>
                <w:kern w:val="0"/>
                <w:sz w:val="21"/>
                <w:szCs w:val="21"/>
                <w:highlight w:val="none"/>
              </w:rPr>
              <w:t>（202</w:t>
            </w:r>
            <w:r>
              <w:rPr>
                <w:rStyle w:val="42"/>
                <w:rFonts w:hint="eastAsia" w:ascii="宋体" w:hAnsi="宋体" w:eastAsia="宋体" w:cs="宋体"/>
                <w:b w:val="0"/>
                <w:color w:val="auto"/>
                <w:kern w:val="0"/>
                <w:sz w:val="21"/>
                <w:szCs w:val="21"/>
                <w:highlight w:val="none"/>
                <w:lang w:val="en-US" w:eastAsia="zh-CN"/>
              </w:rPr>
              <w:t>6</w:t>
            </w:r>
            <w:r>
              <w:rPr>
                <w:rStyle w:val="42"/>
                <w:rFonts w:hint="eastAsia" w:ascii="宋体" w:hAnsi="宋体" w:eastAsia="宋体" w:cs="宋体"/>
                <w:b w:val="0"/>
                <w:color w:val="auto"/>
                <w:kern w:val="0"/>
                <w:sz w:val="21"/>
                <w:szCs w:val="21"/>
                <w:highlight w:val="none"/>
              </w:rPr>
              <w:t>年</w:t>
            </w:r>
            <w:r>
              <w:rPr>
                <w:rStyle w:val="42"/>
                <w:rFonts w:hint="eastAsia" w:ascii="宋体" w:hAnsi="宋体" w:cs="宋体"/>
                <w:b w:val="0"/>
                <w:color w:val="auto"/>
                <w:kern w:val="0"/>
                <w:sz w:val="21"/>
                <w:szCs w:val="21"/>
                <w:highlight w:val="none"/>
                <w:lang w:val="en-US" w:eastAsia="zh-CN"/>
              </w:rPr>
              <w:t>11</w:t>
            </w:r>
            <w:r>
              <w:rPr>
                <w:rStyle w:val="42"/>
                <w:rFonts w:hint="eastAsia" w:ascii="宋体" w:hAnsi="宋体" w:eastAsia="宋体" w:cs="宋体"/>
                <w:b w:val="0"/>
                <w:color w:val="auto"/>
                <w:kern w:val="0"/>
                <w:sz w:val="21"/>
                <w:szCs w:val="21"/>
                <w:highlight w:val="none"/>
              </w:rPr>
              <w:t>月</w:t>
            </w:r>
            <w:r>
              <w:rPr>
                <w:rStyle w:val="42"/>
                <w:rFonts w:hint="eastAsia" w:ascii="宋体" w:hAnsi="宋体" w:cs="宋体"/>
                <w:b w:val="0"/>
                <w:color w:val="auto"/>
                <w:kern w:val="0"/>
                <w:sz w:val="21"/>
                <w:szCs w:val="21"/>
                <w:highlight w:val="none"/>
                <w:lang w:val="en-US" w:eastAsia="zh-CN"/>
              </w:rPr>
              <w:t>11</w:t>
            </w:r>
            <w:r>
              <w:rPr>
                <w:rStyle w:val="42"/>
                <w:rFonts w:hint="eastAsia" w:ascii="宋体" w:hAnsi="宋体" w:eastAsia="宋体" w:cs="宋体"/>
                <w:b w:val="0"/>
                <w:color w:val="auto"/>
                <w:kern w:val="0"/>
                <w:sz w:val="21"/>
                <w:szCs w:val="21"/>
                <w:highlight w:val="none"/>
              </w:rPr>
              <w:t>日</w:t>
            </w:r>
            <w:r>
              <w:rPr>
                <w:rStyle w:val="42"/>
                <w:rFonts w:hint="eastAsia" w:ascii="宋体" w:hAnsi="宋体" w:cs="宋体"/>
                <w:b w:val="0"/>
                <w:color w:val="auto"/>
                <w:kern w:val="0"/>
                <w:sz w:val="21"/>
                <w:szCs w:val="21"/>
                <w:highlight w:val="none"/>
                <w:lang w:val="en-US" w:eastAsia="zh-CN"/>
              </w:rPr>
              <w:t>10</w:t>
            </w:r>
            <w:r>
              <w:rPr>
                <w:rStyle w:val="42"/>
                <w:rFonts w:hint="eastAsia" w:ascii="宋体" w:hAnsi="宋体" w:eastAsia="宋体" w:cs="宋体"/>
                <w:b w:val="0"/>
                <w:color w:val="auto"/>
                <w:kern w:val="0"/>
                <w:sz w:val="21"/>
                <w:szCs w:val="21"/>
                <w:highlight w:val="none"/>
              </w:rPr>
              <w:t>：</w:t>
            </w:r>
            <w:r>
              <w:rPr>
                <w:rStyle w:val="42"/>
                <w:rFonts w:hint="eastAsia" w:ascii="宋体" w:hAnsi="宋体" w:cs="宋体"/>
                <w:b w:val="0"/>
                <w:color w:val="auto"/>
                <w:kern w:val="0"/>
                <w:sz w:val="21"/>
                <w:szCs w:val="21"/>
                <w:highlight w:val="none"/>
                <w:lang w:val="en-US" w:eastAsia="zh-CN"/>
              </w:rPr>
              <w:t>3</w:t>
            </w:r>
            <w:r>
              <w:rPr>
                <w:rStyle w:val="42"/>
                <w:rFonts w:hint="eastAsia" w:ascii="宋体" w:hAnsi="宋体" w:eastAsia="宋体" w:cs="宋体"/>
                <w:b w:val="0"/>
                <w:color w:val="auto"/>
                <w:kern w:val="0"/>
                <w:sz w:val="21"/>
                <w:szCs w:val="21"/>
                <w:highlight w:val="none"/>
                <w:lang w:val="en-US" w:eastAsia="zh-CN"/>
              </w:rPr>
              <w:t>0</w:t>
            </w:r>
            <w:r>
              <w:rPr>
                <w:rStyle w:val="42"/>
                <w:rFonts w:hint="eastAsia" w:ascii="宋体" w:hAnsi="宋体" w:eastAsia="宋体" w:cs="宋体"/>
                <w:b w:val="0"/>
                <w:color w:val="auto"/>
                <w:kern w:val="0"/>
                <w:sz w:val="21"/>
                <w:szCs w:val="21"/>
                <w:highlight w:val="none"/>
              </w:rPr>
              <w:t>～</w:t>
            </w:r>
            <w:r>
              <w:rPr>
                <w:rStyle w:val="42"/>
                <w:rFonts w:hint="eastAsia" w:ascii="宋体" w:hAnsi="宋体" w:cs="宋体"/>
                <w:b w:val="0"/>
                <w:color w:val="auto"/>
                <w:kern w:val="0"/>
                <w:sz w:val="21"/>
                <w:szCs w:val="21"/>
                <w:highlight w:val="none"/>
                <w:lang w:val="en-US" w:eastAsia="zh-CN"/>
              </w:rPr>
              <w:t>10</w:t>
            </w:r>
            <w:r>
              <w:rPr>
                <w:rStyle w:val="42"/>
                <w:rFonts w:hint="eastAsia" w:ascii="宋体" w:hAnsi="宋体" w:eastAsia="宋体" w:cs="宋体"/>
                <w:b w:val="0"/>
                <w:color w:val="auto"/>
                <w:kern w:val="0"/>
                <w:sz w:val="21"/>
                <w:szCs w:val="21"/>
                <w:highlight w:val="none"/>
              </w:rPr>
              <w:t>：</w:t>
            </w:r>
            <w:r>
              <w:rPr>
                <w:rStyle w:val="42"/>
                <w:rFonts w:hint="eastAsia" w:ascii="宋体" w:hAnsi="宋体" w:cs="宋体"/>
                <w:b w:val="0"/>
                <w:color w:val="auto"/>
                <w:kern w:val="0"/>
                <w:sz w:val="21"/>
                <w:szCs w:val="21"/>
                <w:highlight w:val="none"/>
                <w:lang w:val="en-US" w:eastAsia="zh-CN"/>
              </w:rPr>
              <w:t>4</w:t>
            </w:r>
            <w:r>
              <w:rPr>
                <w:rStyle w:val="42"/>
                <w:rFonts w:hint="eastAsia" w:ascii="宋体" w:hAnsi="宋体" w:eastAsia="宋体" w:cs="宋体"/>
                <w:b w:val="0"/>
                <w:color w:val="auto"/>
                <w:kern w:val="0"/>
                <w:sz w:val="21"/>
                <w:szCs w:val="21"/>
                <w:highlight w:val="none"/>
                <w:lang w:val="en-US" w:eastAsia="zh-CN"/>
              </w:rPr>
              <w:t>5</w:t>
            </w:r>
            <w:r>
              <w:rPr>
                <w:rStyle w:val="42"/>
                <w:rFonts w:hint="eastAsia" w:ascii="宋体" w:hAnsi="宋体" w:cs="宋体"/>
                <w:b w:val="0"/>
                <w:color w:val="auto"/>
                <w:kern w:val="0"/>
                <w:sz w:val="21"/>
                <w:szCs w:val="21"/>
                <w:highlight w:val="none"/>
                <w:lang w:val="en-US" w:eastAsia="zh-CN"/>
              </w:rPr>
              <w:t>）</w:t>
            </w:r>
            <w:r>
              <w:rPr>
                <w:rStyle w:val="42"/>
                <w:rFonts w:hint="eastAsia" w:ascii="宋体" w:hAnsi="宋体" w:eastAsia="宋体" w:cs="宋体"/>
                <w:b w:val="0"/>
                <w:color w:val="auto"/>
                <w:kern w:val="0"/>
                <w:sz w:val="21"/>
                <w:szCs w:val="21"/>
                <w:highlight w:val="none"/>
              </w:rPr>
              <w:t>发至XJHYGSZB@163.com邮箱，如未按要求发至指定邮箱的，视为其递交的</w:t>
            </w:r>
            <w:r>
              <w:rPr>
                <w:rStyle w:val="42"/>
                <w:rFonts w:hint="eastAsia" w:ascii="宋体" w:hAnsi="宋体" w:eastAsia="宋体" w:cs="宋体"/>
                <w:b w:val="0"/>
                <w:color w:val="auto"/>
                <w:kern w:val="0"/>
                <w:sz w:val="21"/>
                <w:szCs w:val="21"/>
                <w:highlight w:val="none"/>
                <w:lang w:val="en-US" w:eastAsia="zh-CN"/>
              </w:rPr>
              <w:t>投标</w:t>
            </w:r>
            <w:r>
              <w:rPr>
                <w:rStyle w:val="42"/>
                <w:rFonts w:hint="eastAsia" w:ascii="宋体" w:hAnsi="宋体" w:eastAsia="宋体" w:cs="宋体"/>
                <w:b w:val="0"/>
                <w:color w:val="auto"/>
                <w:kern w:val="0"/>
                <w:sz w:val="21"/>
                <w:szCs w:val="21"/>
                <w:highlight w:val="none"/>
              </w:rPr>
              <w:t>文件为无效响应文件，不予接收。邮件名称必须为</w:t>
            </w:r>
            <w:r>
              <w:rPr>
                <w:rStyle w:val="42"/>
                <w:rFonts w:hint="eastAsia" w:ascii="宋体" w:hAnsi="宋体" w:eastAsia="宋体" w:cs="宋体"/>
                <w:b w:val="0"/>
                <w:color w:val="auto"/>
                <w:kern w:val="0"/>
                <w:sz w:val="21"/>
                <w:szCs w:val="21"/>
                <w:highlight w:val="none"/>
                <w:lang w:val="en-US" w:eastAsia="zh-CN"/>
              </w:rPr>
              <w:t>项目名称+</w:t>
            </w:r>
            <w:r>
              <w:rPr>
                <w:rStyle w:val="42"/>
                <w:rFonts w:hint="eastAsia" w:ascii="宋体" w:hAnsi="宋体" w:eastAsia="宋体" w:cs="宋体"/>
                <w:b w:val="0"/>
                <w:color w:val="auto"/>
                <w:kern w:val="0"/>
                <w:sz w:val="21"/>
                <w:szCs w:val="21"/>
                <w:highlight w:val="none"/>
              </w:rPr>
              <w:t>投标单位名称</w:t>
            </w:r>
          </w:p>
        </w:tc>
      </w:tr>
      <w:tr w14:paraId="4ACD59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7E71249F">
            <w:pPr>
              <w:spacing w:line="300" w:lineRule="exact"/>
              <w:jc w:val="center"/>
              <w:rPr>
                <w:rFonts w:hint="eastAsia" w:ascii="宋体" w:hAnsi="宋体" w:eastAsia="宋体" w:cs="Arial"/>
                <w:bCs/>
                <w:color w:val="auto"/>
                <w:kern w:val="2"/>
                <w:sz w:val="21"/>
                <w:szCs w:val="21"/>
                <w:highlight w:val="none"/>
                <w:lang w:val="en-US" w:eastAsia="zh-CN" w:bidi="ar-SA"/>
              </w:rPr>
            </w:pPr>
            <w:r>
              <w:rPr>
                <w:rFonts w:hint="eastAsia" w:hAnsi="宋体" w:cs="Arial"/>
                <w:bCs/>
                <w:color w:val="auto"/>
                <w:highlight w:val="none"/>
                <w:lang w:val="en-US" w:eastAsia="zh-CN"/>
              </w:rPr>
              <w:t>19</w:t>
            </w:r>
          </w:p>
        </w:tc>
        <w:tc>
          <w:tcPr>
            <w:tcW w:w="1695" w:type="dxa"/>
            <w:tcBorders>
              <w:top w:val="single" w:color="auto" w:sz="4" w:space="0"/>
              <w:left w:val="single" w:color="auto" w:sz="4" w:space="0"/>
              <w:bottom w:val="single" w:color="auto" w:sz="4" w:space="0"/>
              <w:right w:val="single" w:color="auto" w:sz="4" w:space="0"/>
            </w:tcBorders>
            <w:vAlign w:val="center"/>
          </w:tcPr>
          <w:p w14:paraId="7BE5EB71">
            <w:pPr>
              <w:spacing w:line="288" w:lineRule="auto"/>
              <w:jc w:val="center"/>
              <w:rPr>
                <w:rFonts w:hAnsi="宋体" w:cs="Arial"/>
                <w:bCs/>
                <w:color w:val="auto"/>
                <w:highlight w:val="none"/>
              </w:rPr>
            </w:pPr>
            <w:r>
              <w:rPr>
                <w:rFonts w:hint="eastAsia" w:hAnsi="宋体" w:cs="Arial"/>
                <w:bCs/>
                <w:color w:val="auto"/>
                <w:highlight w:val="none"/>
              </w:rPr>
              <w:t>开标时间</w:t>
            </w:r>
          </w:p>
          <w:p w14:paraId="7EB34BBD">
            <w:pPr>
              <w:spacing w:line="288" w:lineRule="auto"/>
              <w:jc w:val="center"/>
              <w:rPr>
                <w:rFonts w:ascii="宋体" w:hAnsi="宋体" w:cs="Arial"/>
                <w:bCs/>
                <w:color w:val="auto"/>
                <w:highlight w:val="none"/>
              </w:rPr>
            </w:pPr>
            <w:r>
              <w:rPr>
                <w:rFonts w:hint="eastAsia" w:hAnsi="宋体" w:cs="Arial"/>
                <w:bCs/>
                <w:color w:val="auto"/>
                <w:highlight w:val="none"/>
              </w:rPr>
              <w:t>及地点</w:t>
            </w:r>
          </w:p>
        </w:tc>
        <w:tc>
          <w:tcPr>
            <w:tcW w:w="6639" w:type="dxa"/>
            <w:tcBorders>
              <w:top w:val="single" w:color="auto" w:sz="4" w:space="0"/>
              <w:left w:val="single" w:color="auto" w:sz="4" w:space="0"/>
              <w:bottom w:val="single" w:color="auto" w:sz="4" w:space="0"/>
              <w:right w:val="single" w:color="auto" w:sz="4" w:space="0"/>
            </w:tcBorders>
            <w:vAlign w:val="center"/>
          </w:tcPr>
          <w:p w14:paraId="08055D7A">
            <w:pPr>
              <w:spacing w:line="288" w:lineRule="auto"/>
              <w:rPr>
                <w:rFonts w:hint="eastAsia"/>
                <w:color w:val="auto"/>
                <w:highlight w:val="none"/>
              </w:rPr>
            </w:pPr>
            <w:r>
              <w:rPr>
                <w:rFonts w:hint="eastAsia"/>
                <w:color w:val="auto"/>
                <w:highlight w:val="none"/>
              </w:rPr>
              <w:t>开标时间：</w:t>
            </w:r>
            <w:r>
              <w:rPr>
                <w:rFonts w:hint="eastAsia"/>
                <w:color w:val="auto"/>
                <w:highlight w:val="none"/>
                <w:lang w:val="en-US" w:eastAsia="zh-CN"/>
              </w:rPr>
              <w:t>2026</w:t>
            </w:r>
            <w:r>
              <w:rPr>
                <w:rFonts w:hint="eastAsia"/>
                <w:color w:val="auto"/>
                <w:highlight w:val="none"/>
              </w:rPr>
              <w:t>年</w:t>
            </w:r>
            <w:r>
              <w:rPr>
                <w:rFonts w:hint="eastAsia"/>
                <w:color w:val="auto"/>
                <w:highlight w:val="none"/>
                <w:lang w:val="en-US" w:eastAsia="zh-CN"/>
              </w:rPr>
              <w:t>11</w:t>
            </w:r>
            <w:r>
              <w:rPr>
                <w:rFonts w:hint="eastAsia"/>
                <w:color w:val="auto"/>
                <w:highlight w:val="none"/>
              </w:rPr>
              <w:t>月</w:t>
            </w:r>
            <w:r>
              <w:rPr>
                <w:rFonts w:hint="eastAsia"/>
                <w:color w:val="auto"/>
                <w:highlight w:val="none"/>
                <w:lang w:val="en-US" w:eastAsia="zh-CN"/>
              </w:rPr>
              <w:t>11</w:t>
            </w:r>
            <w:r>
              <w:rPr>
                <w:rFonts w:hint="eastAsia"/>
                <w:color w:val="auto"/>
                <w:highlight w:val="none"/>
              </w:rPr>
              <w:t>日</w:t>
            </w:r>
            <w:r>
              <w:rPr>
                <w:rFonts w:hint="eastAsia"/>
                <w:color w:val="auto"/>
                <w:highlight w:val="none"/>
                <w:lang w:val="en-US" w:eastAsia="zh-CN"/>
              </w:rPr>
              <w:t>10</w:t>
            </w:r>
            <w:r>
              <w:rPr>
                <w:rFonts w:hint="eastAsia"/>
                <w:color w:val="auto"/>
                <w:highlight w:val="none"/>
              </w:rPr>
              <w:t>点</w:t>
            </w:r>
            <w:r>
              <w:rPr>
                <w:rFonts w:hint="eastAsia"/>
                <w:color w:val="auto"/>
                <w:highlight w:val="none"/>
                <w:lang w:val="en-US" w:eastAsia="zh-CN"/>
              </w:rPr>
              <w:t>30</w:t>
            </w:r>
            <w:r>
              <w:rPr>
                <w:rFonts w:hint="eastAsia"/>
                <w:color w:val="auto"/>
                <w:highlight w:val="none"/>
              </w:rPr>
              <w:t>分(北京时间)</w:t>
            </w:r>
          </w:p>
          <w:p w14:paraId="0380C0E0">
            <w:pPr>
              <w:spacing w:line="288" w:lineRule="auto"/>
              <w:rPr>
                <w:rFonts w:hint="eastAsia"/>
                <w:color w:val="auto"/>
                <w:highlight w:val="none"/>
              </w:rPr>
            </w:pPr>
            <w:r>
              <w:rPr>
                <w:rFonts w:hint="eastAsia"/>
                <w:color w:val="auto"/>
                <w:highlight w:val="none"/>
              </w:rPr>
              <w:t>开标地点：克拉玛依市恒隆广场A座4</w:t>
            </w:r>
            <w:r>
              <w:rPr>
                <w:rFonts w:hint="eastAsia"/>
                <w:color w:val="auto"/>
                <w:highlight w:val="none"/>
                <w:lang w:val="en-US" w:eastAsia="zh-CN"/>
              </w:rPr>
              <w:t>12-1</w:t>
            </w:r>
            <w:r>
              <w:rPr>
                <w:rFonts w:hint="eastAsia"/>
                <w:color w:val="auto"/>
                <w:highlight w:val="none"/>
              </w:rPr>
              <w:t>室</w:t>
            </w:r>
          </w:p>
        </w:tc>
      </w:tr>
      <w:tr w14:paraId="26993A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5C106201">
            <w:pPr>
              <w:spacing w:line="300" w:lineRule="exact"/>
              <w:jc w:val="center"/>
              <w:rPr>
                <w:rFonts w:hint="default" w:ascii="宋体" w:hAnsi="宋体" w:eastAsia="宋体" w:cs="Arial"/>
                <w:bCs/>
                <w:color w:val="auto"/>
                <w:kern w:val="2"/>
                <w:sz w:val="21"/>
                <w:szCs w:val="21"/>
                <w:highlight w:val="none"/>
                <w:lang w:val="en-US" w:eastAsia="zh-CN" w:bidi="ar-SA"/>
              </w:rPr>
            </w:pPr>
            <w:r>
              <w:rPr>
                <w:rFonts w:hint="eastAsia" w:hAnsi="宋体" w:cs="Arial"/>
                <w:bCs/>
                <w:color w:val="auto"/>
                <w:highlight w:val="none"/>
                <w:lang w:val="en-US" w:eastAsia="zh-CN"/>
              </w:rPr>
              <w:t>20</w:t>
            </w:r>
          </w:p>
        </w:tc>
        <w:tc>
          <w:tcPr>
            <w:tcW w:w="1695" w:type="dxa"/>
            <w:tcBorders>
              <w:top w:val="single" w:color="auto" w:sz="4" w:space="0"/>
              <w:left w:val="single" w:color="auto" w:sz="4" w:space="0"/>
              <w:bottom w:val="single" w:color="auto" w:sz="4" w:space="0"/>
              <w:right w:val="single" w:color="auto" w:sz="4" w:space="0"/>
            </w:tcBorders>
            <w:vAlign w:val="center"/>
          </w:tcPr>
          <w:p w14:paraId="6CC184E2">
            <w:pPr>
              <w:spacing w:line="288" w:lineRule="auto"/>
              <w:ind w:right="-8"/>
              <w:jc w:val="center"/>
              <w:rPr>
                <w:rFonts w:ascii="宋体" w:hAnsi="宋体" w:cs="Arial"/>
                <w:bCs/>
                <w:color w:val="auto"/>
                <w:highlight w:val="none"/>
              </w:rPr>
            </w:pPr>
            <w:r>
              <w:rPr>
                <w:rFonts w:hint="eastAsia" w:hAnsi="宋体" w:cs="Arial"/>
                <w:bCs/>
                <w:color w:val="auto"/>
                <w:highlight w:val="none"/>
              </w:rPr>
              <w:t>评标办法</w:t>
            </w:r>
          </w:p>
        </w:tc>
        <w:tc>
          <w:tcPr>
            <w:tcW w:w="6639" w:type="dxa"/>
            <w:tcBorders>
              <w:top w:val="single" w:color="auto" w:sz="4" w:space="0"/>
              <w:left w:val="single" w:color="auto" w:sz="4" w:space="0"/>
              <w:bottom w:val="single" w:color="auto" w:sz="4" w:space="0"/>
              <w:right w:val="single" w:color="auto" w:sz="4" w:space="0"/>
            </w:tcBorders>
            <w:vAlign w:val="center"/>
          </w:tcPr>
          <w:p w14:paraId="56CEECB0">
            <w:pPr>
              <w:spacing w:line="288" w:lineRule="auto"/>
              <w:jc w:val="left"/>
              <w:rPr>
                <w:rFonts w:ascii="宋体" w:hAnsi="宋体" w:cs="Arial"/>
                <w:bCs/>
                <w:color w:val="auto"/>
                <w:highlight w:val="none"/>
              </w:rPr>
            </w:pPr>
            <w:r>
              <w:rPr>
                <w:rFonts w:hint="eastAsia" w:hAnsi="宋体" w:cs="Arial"/>
                <w:bCs/>
                <w:color w:val="auto"/>
                <w:highlight w:val="none"/>
              </w:rPr>
              <w:t>综合评</w:t>
            </w:r>
            <w:r>
              <w:rPr>
                <w:rFonts w:hint="eastAsia" w:cs="Arial"/>
                <w:bCs/>
                <w:color w:val="auto"/>
                <w:highlight w:val="none"/>
              </w:rPr>
              <w:t>分</w:t>
            </w:r>
            <w:r>
              <w:rPr>
                <w:rFonts w:hint="eastAsia" w:hAnsi="宋体" w:cs="Arial"/>
                <w:bCs/>
                <w:color w:val="auto"/>
                <w:highlight w:val="none"/>
              </w:rPr>
              <w:t>法</w:t>
            </w:r>
          </w:p>
        </w:tc>
      </w:tr>
      <w:tr w14:paraId="1E5D03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7CDB4364">
            <w:pPr>
              <w:spacing w:line="300" w:lineRule="exact"/>
              <w:jc w:val="center"/>
              <w:rPr>
                <w:rFonts w:hint="default" w:ascii="宋体" w:hAnsi="宋体" w:eastAsia="宋体" w:cs="Arial"/>
                <w:bCs/>
                <w:color w:val="auto"/>
                <w:kern w:val="2"/>
                <w:sz w:val="21"/>
                <w:szCs w:val="21"/>
                <w:highlight w:val="none"/>
                <w:lang w:val="en-US" w:eastAsia="zh-CN" w:bidi="ar-SA"/>
              </w:rPr>
            </w:pPr>
            <w:r>
              <w:rPr>
                <w:rFonts w:hint="eastAsia" w:hAnsi="宋体" w:cs="Arial"/>
                <w:bCs/>
                <w:color w:val="auto"/>
                <w:highlight w:val="none"/>
              </w:rPr>
              <w:t>2</w:t>
            </w:r>
            <w:r>
              <w:rPr>
                <w:rFonts w:hint="eastAsia" w:hAnsi="宋体" w:cs="Arial"/>
                <w:bCs/>
                <w:color w:val="auto"/>
                <w:highlight w:val="none"/>
                <w:lang w:val="en-US" w:eastAsia="zh-CN"/>
              </w:rPr>
              <w:t>1</w:t>
            </w:r>
          </w:p>
        </w:tc>
        <w:tc>
          <w:tcPr>
            <w:tcW w:w="1695" w:type="dxa"/>
            <w:tcBorders>
              <w:top w:val="single" w:color="auto" w:sz="4" w:space="0"/>
              <w:left w:val="single" w:color="auto" w:sz="4" w:space="0"/>
              <w:bottom w:val="single" w:color="auto" w:sz="4" w:space="0"/>
              <w:right w:val="single" w:color="auto" w:sz="4" w:space="0"/>
            </w:tcBorders>
            <w:vAlign w:val="center"/>
          </w:tcPr>
          <w:p w14:paraId="55D2EAD8">
            <w:pPr>
              <w:spacing w:line="288" w:lineRule="auto"/>
              <w:jc w:val="center"/>
              <w:rPr>
                <w:rFonts w:hAnsi="宋体" w:cs="Arial"/>
                <w:bCs/>
                <w:color w:val="auto"/>
                <w:highlight w:val="none"/>
              </w:rPr>
            </w:pPr>
            <w:r>
              <w:rPr>
                <w:rFonts w:hint="eastAsia" w:hAnsi="宋体" w:cs="Arial"/>
                <w:bCs/>
                <w:color w:val="auto"/>
                <w:highlight w:val="none"/>
              </w:rPr>
              <w:t>履约保证金</w:t>
            </w:r>
          </w:p>
        </w:tc>
        <w:tc>
          <w:tcPr>
            <w:tcW w:w="6639" w:type="dxa"/>
            <w:tcBorders>
              <w:top w:val="single" w:color="auto" w:sz="4" w:space="0"/>
              <w:left w:val="single" w:color="auto" w:sz="4" w:space="0"/>
              <w:bottom w:val="single" w:color="auto" w:sz="4" w:space="0"/>
              <w:right w:val="single" w:color="auto" w:sz="4" w:space="0"/>
            </w:tcBorders>
            <w:vAlign w:val="center"/>
          </w:tcPr>
          <w:p w14:paraId="42C05F40">
            <w:pPr>
              <w:pStyle w:val="223"/>
              <w:spacing w:beforeLines="0"/>
              <w:rPr>
                <w:color w:val="auto"/>
                <w:highlight w:val="none"/>
              </w:rPr>
            </w:pPr>
            <w:r>
              <w:rPr>
                <w:rFonts w:hint="eastAsia" w:ascii="宋体" w:hAnsi="宋体" w:eastAsia="宋体" w:cs="宋体"/>
                <w:bCs/>
                <w:color w:val="auto"/>
                <w:sz w:val="21"/>
                <w:szCs w:val="21"/>
                <w:highlight w:val="none"/>
                <w:u w:val="none"/>
              </w:rPr>
              <w:t>合同签订前，中标单位按照中标金额的</w:t>
            </w:r>
            <w:r>
              <w:rPr>
                <w:rFonts w:hint="eastAsia" w:ascii="宋体" w:hAnsi="宋体" w:eastAsia="宋体" w:cs="宋体"/>
                <w:bCs/>
                <w:color w:val="auto"/>
                <w:sz w:val="21"/>
                <w:szCs w:val="21"/>
                <w:highlight w:val="none"/>
                <w:u w:val="none"/>
                <w:lang w:val="en-US" w:eastAsia="zh-CN"/>
              </w:rPr>
              <w:t>0</w:t>
            </w:r>
            <w:r>
              <w:rPr>
                <w:rFonts w:hint="eastAsia" w:ascii="宋体" w:hAnsi="宋体" w:eastAsia="宋体" w:cs="宋体"/>
                <w:bCs/>
                <w:color w:val="auto"/>
                <w:sz w:val="21"/>
                <w:szCs w:val="21"/>
                <w:highlight w:val="none"/>
                <w:u w:val="none"/>
              </w:rPr>
              <w:t>%向甲方足额一次性缴纳履约保证金。中标单位按合同约定交付全部产品，安装调试完毕，书面验收合格一年后（如一个</w:t>
            </w:r>
            <w:r>
              <w:rPr>
                <w:rFonts w:hint="eastAsia" w:ascii="宋体" w:hAnsi="宋体" w:eastAsia="宋体" w:cs="宋体"/>
                <w:bCs/>
                <w:color w:val="auto"/>
                <w:sz w:val="21"/>
                <w:szCs w:val="21"/>
                <w:highlight w:val="none"/>
                <w:u w:val="none"/>
                <w:lang w:val="en-US" w:eastAsia="zh-CN"/>
              </w:rPr>
              <w:t>项目</w:t>
            </w:r>
            <w:r>
              <w:rPr>
                <w:rFonts w:hint="eastAsia" w:ascii="宋体" w:hAnsi="宋体" w:eastAsia="宋体" w:cs="宋体"/>
                <w:bCs/>
                <w:color w:val="auto"/>
                <w:sz w:val="21"/>
                <w:szCs w:val="21"/>
                <w:highlight w:val="none"/>
                <w:u w:val="none"/>
              </w:rPr>
              <w:t>含有多个产品，以最后一个产品书面验收合格时间为起算时间），采购单位无息退还全部履约保证金。</w:t>
            </w:r>
          </w:p>
        </w:tc>
      </w:tr>
      <w:tr w14:paraId="2AD4AB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7"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56793348">
            <w:pPr>
              <w:spacing w:line="300" w:lineRule="exact"/>
              <w:jc w:val="center"/>
              <w:rPr>
                <w:rFonts w:hint="eastAsia" w:ascii="宋体" w:hAnsi="宋体" w:eastAsia="宋体" w:cs="Arial"/>
                <w:bCs/>
                <w:color w:val="auto"/>
                <w:kern w:val="2"/>
                <w:sz w:val="21"/>
                <w:szCs w:val="21"/>
                <w:highlight w:val="none"/>
                <w:lang w:val="en-US" w:eastAsia="zh-CN" w:bidi="ar-SA"/>
              </w:rPr>
            </w:pPr>
            <w:r>
              <w:rPr>
                <w:rFonts w:hint="eastAsia" w:hAnsi="宋体" w:cs="Arial"/>
                <w:bCs/>
                <w:color w:val="auto"/>
                <w:highlight w:val="none"/>
              </w:rPr>
              <w:t>2</w:t>
            </w:r>
            <w:r>
              <w:rPr>
                <w:rFonts w:hint="eastAsia" w:hAnsi="宋体" w:cs="Arial"/>
                <w:bCs/>
                <w:color w:val="auto"/>
                <w:highlight w:val="none"/>
                <w:lang w:val="en-US" w:eastAsia="zh-CN"/>
              </w:rPr>
              <w:t>2</w:t>
            </w:r>
          </w:p>
        </w:tc>
        <w:tc>
          <w:tcPr>
            <w:tcW w:w="1695" w:type="dxa"/>
            <w:tcBorders>
              <w:top w:val="single" w:color="auto" w:sz="4" w:space="0"/>
              <w:left w:val="single" w:color="auto" w:sz="4" w:space="0"/>
              <w:bottom w:val="single" w:color="auto" w:sz="4" w:space="0"/>
              <w:right w:val="single" w:color="auto" w:sz="4" w:space="0"/>
            </w:tcBorders>
            <w:vAlign w:val="center"/>
          </w:tcPr>
          <w:p w14:paraId="5EEFDE9A">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bCs/>
                <w:color w:val="auto"/>
                <w:spacing w:val="-4"/>
                <w:highlight w:val="none"/>
                <w:lang w:val="en-US" w:eastAsia="zh-CN"/>
              </w:rPr>
              <w:t>开标准备</w:t>
            </w:r>
          </w:p>
        </w:tc>
        <w:tc>
          <w:tcPr>
            <w:tcW w:w="6639" w:type="dxa"/>
            <w:tcBorders>
              <w:top w:val="single" w:color="auto" w:sz="4" w:space="0"/>
              <w:left w:val="single" w:color="auto" w:sz="4" w:space="0"/>
              <w:bottom w:val="single" w:color="auto" w:sz="4" w:space="0"/>
              <w:right w:val="single" w:color="auto" w:sz="4" w:space="0"/>
            </w:tcBorders>
            <w:vAlign w:val="center"/>
          </w:tcPr>
          <w:p w14:paraId="2C704E09">
            <w:pPr>
              <w:widowControl/>
              <w:tabs>
                <w:tab w:val="left" w:pos="720"/>
                <w:tab w:val="left" w:pos="900"/>
                <w:tab w:val="left" w:pos="1080"/>
                <w:tab w:val="left" w:pos="1260"/>
                <w:tab w:val="left" w:pos="1440"/>
                <w:tab w:val="left" w:pos="1800"/>
              </w:tabs>
              <w:spacing w:line="288" w:lineRule="auto"/>
              <w:rPr>
                <w:color w:val="auto"/>
                <w:highlight w:val="none"/>
              </w:rPr>
            </w:pPr>
            <w:r>
              <w:rPr>
                <w:rFonts w:hint="eastAsia" w:ascii="宋体" w:hAnsi="宋体" w:cs="宋体"/>
                <w:color w:val="auto"/>
                <w:spacing w:val="-4"/>
                <w:highlight w:val="none"/>
              </w:rPr>
              <w:t>详见本招标文件投标人须知第</w:t>
            </w:r>
            <w:r>
              <w:rPr>
                <w:rFonts w:hint="eastAsia" w:ascii="宋体" w:hAnsi="宋体" w:cs="宋体"/>
                <w:color w:val="auto"/>
                <w:spacing w:val="-4"/>
                <w:highlight w:val="none"/>
                <w:lang w:val="en-US" w:eastAsia="zh-CN"/>
              </w:rPr>
              <w:t>22</w:t>
            </w:r>
            <w:r>
              <w:rPr>
                <w:rFonts w:hint="eastAsia" w:ascii="宋体" w:hAnsi="宋体" w:cs="宋体"/>
                <w:color w:val="auto"/>
                <w:spacing w:val="-4"/>
                <w:highlight w:val="none"/>
              </w:rPr>
              <w:t>条。</w:t>
            </w:r>
          </w:p>
        </w:tc>
      </w:tr>
      <w:tr w14:paraId="6A45DB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5F54C81">
            <w:pPr>
              <w:spacing w:line="300" w:lineRule="exact"/>
              <w:jc w:val="center"/>
              <w:rPr>
                <w:rFonts w:hint="eastAsia" w:ascii="Times New Roman" w:hAnsi="宋体" w:eastAsia="宋体" w:cs="Arial"/>
                <w:bCs/>
                <w:color w:val="auto"/>
                <w:kern w:val="2"/>
                <w:sz w:val="21"/>
                <w:szCs w:val="21"/>
                <w:highlight w:val="none"/>
                <w:lang w:val="en-US" w:eastAsia="zh-CN" w:bidi="ar-SA"/>
              </w:rPr>
            </w:pPr>
            <w:r>
              <w:rPr>
                <w:rFonts w:hint="eastAsia" w:hAnsi="宋体" w:cs="Arial"/>
                <w:bCs/>
                <w:color w:val="auto"/>
                <w:highlight w:val="none"/>
              </w:rPr>
              <w:t>2</w:t>
            </w:r>
            <w:r>
              <w:rPr>
                <w:rFonts w:hint="eastAsia" w:hAnsi="宋体" w:cs="Arial"/>
                <w:bCs/>
                <w:color w:val="auto"/>
                <w:highlight w:val="none"/>
                <w:lang w:val="en-US" w:eastAsia="zh-CN"/>
              </w:rPr>
              <w:t>3</w:t>
            </w:r>
          </w:p>
        </w:tc>
        <w:tc>
          <w:tcPr>
            <w:tcW w:w="1695" w:type="dxa"/>
            <w:tcBorders>
              <w:top w:val="single" w:color="auto" w:sz="4" w:space="0"/>
              <w:left w:val="single" w:color="auto" w:sz="4" w:space="0"/>
              <w:bottom w:val="single" w:color="auto" w:sz="4" w:space="0"/>
              <w:right w:val="single" w:color="auto" w:sz="4" w:space="0"/>
            </w:tcBorders>
            <w:vAlign w:val="center"/>
          </w:tcPr>
          <w:p w14:paraId="58925934">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同品牌投标处理原则</w:t>
            </w:r>
          </w:p>
        </w:tc>
        <w:tc>
          <w:tcPr>
            <w:tcW w:w="6639" w:type="dxa"/>
            <w:tcBorders>
              <w:top w:val="single" w:color="auto" w:sz="4" w:space="0"/>
              <w:left w:val="single" w:color="auto" w:sz="4" w:space="0"/>
              <w:bottom w:val="single" w:color="auto" w:sz="4" w:space="0"/>
              <w:right w:val="single" w:color="auto" w:sz="4" w:space="0"/>
            </w:tcBorders>
            <w:vAlign w:val="center"/>
          </w:tcPr>
          <w:p w14:paraId="32178E11">
            <w:pPr>
              <w:widowControl/>
              <w:tabs>
                <w:tab w:val="left" w:pos="720"/>
                <w:tab w:val="left" w:pos="900"/>
                <w:tab w:val="left" w:pos="1080"/>
                <w:tab w:val="left" w:pos="1260"/>
                <w:tab w:val="left" w:pos="1440"/>
                <w:tab w:val="left" w:pos="1800"/>
              </w:tabs>
              <w:spacing w:line="288" w:lineRule="auto"/>
              <w:rPr>
                <w:rFonts w:ascii="宋体" w:hAnsi="宋体" w:cs="宋体"/>
                <w:b/>
                <w:bCs/>
                <w:color w:val="auto"/>
                <w:spacing w:val="-4"/>
                <w:highlight w:val="none"/>
              </w:rPr>
            </w:pPr>
            <w:r>
              <w:rPr>
                <w:rFonts w:hint="eastAsia" w:ascii="宋体" w:hAnsi="宋体" w:cs="宋体"/>
                <w:color w:val="auto"/>
                <w:spacing w:val="-4"/>
                <w:highlight w:val="none"/>
              </w:rPr>
              <w:t>详见本招标文件投标人须知第7条。</w:t>
            </w:r>
          </w:p>
        </w:tc>
      </w:tr>
      <w:tr w14:paraId="725190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42538A36">
            <w:pPr>
              <w:spacing w:line="300" w:lineRule="exact"/>
              <w:jc w:val="center"/>
              <w:rPr>
                <w:rFonts w:hint="eastAsia" w:ascii="Times New Roman" w:hAnsi="宋体" w:eastAsia="宋体" w:cs="Arial"/>
                <w:bCs/>
                <w:color w:val="auto"/>
                <w:kern w:val="2"/>
                <w:sz w:val="21"/>
                <w:szCs w:val="21"/>
                <w:highlight w:val="none"/>
                <w:lang w:val="en-US" w:eastAsia="zh-CN" w:bidi="ar-SA"/>
              </w:rPr>
            </w:pPr>
            <w:r>
              <w:rPr>
                <w:rFonts w:hint="eastAsia" w:hAnsi="宋体" w:cs="Arial"/>
                <w:bCs/>
                <w:color w:val="auto"/>
                <w:highlight w:val="none"/>
              </w:rPr>
              <w:t>2</w:t>
            </w:r>
            <w:r>
              <w:rPr>
                <w:rFonts w:hint="eastAsia" w:hAnsi="宋体" w:cs="Arial"/>
                <w:bCs/>
                <w:color w:val="auto"/>
                <w:highlight w:val="none"/>
                <w:lang w:val="en-US" w:eastAsia="zh-CN"/>
              </w:rPr>
              <w:t>4</w:t>
            </w:r>
          </w:p>
        </w:tc>
        <w:tc>
          <w:tcPr>
            <w:tcW w:w="1695" w:type="dxa"/>
            <w:tcBorders>
              <w:top w:val="single" w:color="auto" w:sz="4" w:space="0"/>
              <w:left w:val="single" w:color="auto" w:sz="4" w:space="0"/>
              <w:bottom w:val="single" w:color="auto" w:sz="4" w:space="0"/>
              <w:right w:val="single" w:color="auto" w:sz="4" w:space="0"/>
            </w:tcBorders>
            <w:vAlign w:val="center"/>
          </w:tcPr>
          <w:p w14:paraId="7517E1A2">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国家规定的优先、强制采购范围（节能、环保）</w:t>
            </w:r>
            <w:r>
              <w:rPr>
                <w:rFonts w:hint="eastAsia" w:ascii="宋体" w:hAnsi="宋体" w:cs="宋体"/>
                <w:color w:val="auto"/>
                <w:spacing w:val="-4"/>
                <w:highlight w:val="none"/>
                <w:lang w:val="en-US" w:eastAsia="zh-CN"/>
              </w:rPr>
              <w:t>等</w:t>
            </w:r>
          </w:p>
        </w:tc>
        <w:tc>
          <w:tcPr>
            <w:tcW w:w="6639" w:type="dxa"/>
            <w:tcBorders>
              <w:top w:val="single" w:color="auto" w:sz="4" w:space="0"/>
              <w:left w:val="single" w:color="auto" w:sz="4" w:space="0"/>
              <w:bottom w:val="single" w:color="auto" w:sz="4" w:space="0"/>
              <w:right w:val="single" w:color="auto" w:sz="4" w:space="0"/>
            </w:tcBorders>
            <w:vAlign w:val="center"/>
          </w:tcPr>
          <w:p w14:paraId="73062953">
            <w:pPr>
              <w:widowControl/>
              <w:tabs>
                <w:tab w:val="left" w:pos="720"/>
                <w:tab w:val="left" w:pos="900"/>
                <w:tab w:val="left" w:pos="1080"/>
                <w:tab w:val="left" w:pos="1260"/>
                <w:tab w:val="left" w:pos="1440"/>
                <w:tab w:val="left" w:pos="1800"/>
              </w:tabs>
              <w:spacing w:line="288" w:lineRule="auto"/>
              <w:rPr>
                <w:rFonts w:hint="eastAsia"/>
                <w:color w:val="auto"/>
                <w:highlight w:val="none"/>
              </w:rPr>
            </w:pPr>
            <w:r>
              <w:rPr>
                <w:rFonts w:hint="eastAsia"/>
                <w:color w:val="auto"/>
                <w:highlight w:val="none"/>
                <w:lang w:val="en-US" w:eastAsia="zh-CN"/>
              </w:rPr>
              <w:t>1.</w:t>
            </w:r>
            <w:r>
              <w:rPr>
                <w:rFonts w:hint="default" w:ascii="Times New Roman" w:hAnsi="Times New Roman" w:eastAsia="宋体" w:cs="Times New Roman"/>
                <w:b w:val="0"/>
                <w:bCs w:val="0"/>
                <w:color w:val="auto"/>
                <w:sz w:val="21"/>
                <w:szCs w:val="21"/>
                <w:highlight w:val="none"/>
                <w:lang w:val="en-US" w:eastAsia="zh-CN"/>
              </w:rPr>
              <w:t>根据《国家市场监督管理总局关于发布强制性产品认证目录描述与界定表的公告》（2023年第36号）要求，</w:t>
            </w:r>
            <w:r>
              <w:rPr>
                <w:rFonts w:hint="eastAsia" w:cs="Times New Roman"/>
                <w:b w:val="0"/>
                <w:bCs w:val="0"/>
                <w:color w:val="auto"/>
                <w:sz w:val="21"/>
                <w:szCs w:val="21"/>
                <w:highlight w:val="none"/>
                <w:lang w:val="en-US" w:eastAsia="zh-CN"/>
              </w:rPr>
              <w:t>如</w:t>
            </w:r>
            <w:r>
              <w:rPr>
                <w:rFonts w:hint="default" w:ascii="Times New Roman" w:hAnsi="Times New Roman" w:eastAsia="宋体" w:cs="Times New Roman"/>
                <w:b w:val="0"/>
                <w:bCs w:val="0"/>
                <w:color w:val="auto"/>
                <w:sz w:val="21"/>
                <w:szCs w:val="21"/>
                <w:highlight w:val="none"/>
                <w:lang w:val="en-US" w:eastAsia="zh-CN"/>
              </w:rPr>
              <w:t>本项目</w:t>
            </w:r>
            <w:r>
              <w:rPr>
                <w:rFonts w:hint="eastAsia" w:cs="Times New Roman"/>
                <w:b w:val="0"/>
                <w:bCs w:val="0"/>
                <w:color w:val="auto"/>
                <w:sz w:val="21"/>
                <w:szCs w:val="21"/>
                <w:highlight w:val="none"/>
                <w:lang w:val="en-US" w:eastAsia="zh-CN"/>
              </w:rPr>
              <w:t>采购</w:t>
            </w:r>
            <w:r>
              <w:rPr>
                <w:rFonts w:hint="default" w:ascii="Times New Roman" w:hAnsi="Times New Roman" w:eastAsia="宋体" w:cs="Times New Roman"/>
                <w:b w:val="0"/>
                <w:bCs w:val="0"/>
                <w:color w:val="auto"/>
                <w:sz w:val="21"/>
                <w:szCs w:val="21"/>
                <w:highlight w:val="none"/>
                <w:lang w:val="en-US" w:eastAsia="zh-CN"/>
              </w:rPr>
              <w:t>产品属于《强制性产品认证目录》、《强制性产品认证目录描述与界定表（2023 年修订）》范围内产品的，应取得有效期内的强制性认证证书（CCC认证证书），供应商须在投标文件中提供认证证书复印件（加盖公章），否则将被视为无效投标。</w:t>
            </w:r>
          </w:p>
          <w:p w14:paraId="0A77E71C">
            <w:pPr>
              <w:widowControl/>
              <w:tabs>
                <w:tab w:val="left" w:pos="720"/>
                <w:tab w:val="left" w:pos="900"/>
                <w:tab w:val="left" w:pos="1080"/>
                <w:tab w:val="left" w:pos="1260"/>
                <w:tab w:val="left" w:pos="1440"/>
                <w:tab w:val="left" w:pos="1800"/>
              </w:tabs>
              <w:spacing w:line="288" w:lineRule="auto"/>
              <w:rPr>
                <w:color w:val="auto"/>
                <w:highlight w:val="none"/>
              </w:rPr>
            </w:pPr>
            <w:r>
              <w:rPr>
                <w:rFonts w:hint="eastAsia"/>
                <w:color w:val="auto"/>
                <w:highlight w:val="none"/>
              </w:rPr>
              <w:t>2.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范围内的政府强制采购产品的，应取得有效期内的节能产品认证证书，</w:t>
            </w:r>
            <w:r>
              <w:rPr>
                <w:rFonts w:hint="eastAsia"/>
                <w:color w:val="auto"/>
                <w:highlight w:val="none"/>
                <w:lang w:val="en-US" w:eastAsia="zh-CN"/>
              </w:rPr>
              <w:t>供应商须在投标文件中提供认证证书复印件（加盖公章），否则将被视为无效投标</w:t>
            </w:r>
            <w:r>
              <w:rPr>
                <w:rFonts w:hint="eastAsia"/>
                <w:color w:val="auto"/>
                <w:highlight w:val="none"/>
              </w:rPr>
              <w:t>。</w:t>
            </w:r>
          </w:p>
          <w:p w14:paraId="757E5EE8">
            <w:pPr>
              <w:widowControl/>
              <w:tabs>
                <w:tab w:val="left" w:pos="720"/>
                <w:tab w:val="left" w:pos="900"/>
                <w:tab w:val="left" w:pos="1080"/>
                <w:tab w:val="left" w:pos="1260"/>
                <w:tab w:val="left" w:pos="1440"/>
                <w:tab w:val="left" w:pos="1800"/>
              </w:tabs>
              <w:spacing w:line="288" w:lineRule="auto"/>
              <w:rPr>
                <w:color w:val="auto"/>
                <w:highlight w:val="none"/>
              </w:rPr>
            </w:pPr>
            <w:r>
              <w:rPr>
                <w:rFonts w:hint="eastAsia"/>
                <w:color w:val="auto"/>
                <w:highlight w:val="none"/>
              </w:rPr>
              <w:t>3.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关于印发环境标志产品政府采购品目清单的通知》（财库[2019]18号）范围内的政府优先采购产品的，应取得有效期内的节能产品、环境标志产品认证证书，供应商须在投标文件中提供认证证书复</w:t>
            </w:r>
            <w:r>
              <w:rPr>
                <w:rFonts w:hint="eastAsia" w:ascii="Times New Roman" w:hAnsi="Times New Roman" w:eastAsia="宋体" w:cs="Times New Roman"/>
                <w:color w:val="auto"/>
                <w:highlight w:val="none"/>
              </w:rPr>
              <w:t>印件（加盖公章），否则不予认定。</w:t>
            </w:r>
          </w:p>
        </w:tc>
      </w:tr>
      <w:tr w14:paraId="51AD65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7785CE94">
            <w:pPr>
              <w:spacing w:line="300" w:lineRule="exact"/>
              <w:jc w:val="center"/>
              <w:rPr>
                <w:rFonts w:hint="eastAsia" w:ascii="Times New Roman" w:hAnsi="宋体" w:eastAsia="宋体" w:cs="Arial"/>
                <w:bCs/>
                <w:color w:val="auto"/>
                <w:kern w:val="2"/>
                <w:sz w:val="21"/>
                <w:szCs w:val="21"/>
                <w:highlight w:val="none"/>
                <w:lang w:val="en-US" w:eastAsia="zh-CN" w:bidi="ar-SA"/>
              </w:rPr>
            </w:pPr>
            <w:r>
              <w:rPr>
                <w:rFonts w:hint="eastAsia" w:cs="Arial"/>
                <w:bCs/>
                <w:color w:val="auto"/>
                <w:highlight w:val="none"/>
              </w:rPr>
              <w:t>2</w:t>
            </w:r>
            <w:r>
              <w:rPr>
                <w:rFonts w:hint="eastAsia" w:cs="Arial"/>
                <w:bCs/>
                <w:color w:val="auto"/>
                <w:highlight w:val="none"/>
                <w:lang w:val="en-US" w:eastAsia="zh-CN"/>
              </w:rPr>
              <w:t>5</w:t>
            </w:r>
          </w:p>
        </w:tc>
        <w:tc>
          <w:tcPr>
            <w:tcW w:w="1695" w:type="dxa"/>
            <w:tcBorders>
              <w:top w:val="single" w:color="auto" w:sz="4" w:space="0"/>
              <w:left w:val="single" w:color="auto" w:sz="4" w:space="0"/>
              <w:bottom w:val="single" w:color="auto" w:sz="4" w:space="0"/>
              <w:right w:val="single" w:color="auto" w:sz="4" w:space="0"/>
            </w:tcBorders>
            <w:vAlign w:val="center"/>
          </w:tcPr>
          <w:p w14:paraId="555547D5">
            <w:pPr>
              <w:spacing w:line="288" w:lineRule="auto"/>
              <w:jc w:val="center"/>
              <w:rPr>
                <w:rFonts w:ascii="宋体" w:hAnsi="宋体" w:cs="Arial"/>
                <w:bCs/>
                <w:color w:val="auto"/>
                <w:highlight w:val="none"/>
              </w:rPr>
            </w:pPr>
            <w:r>
              <w:rPr>
                <w:rFonts w:hint="eastAsia" w:cs="Arial"/>
                <w:bCs/>
                <w:color w:val="auto"/>
                <w:highlight w:val="none"/>
              </w:rPr>
              <w:t>代理服务费用</w:t>
            </w:r>
          </w:p>
        </w:tc>
        <w:tc>
          <w:tcPr>
            <w:tcW w:w="6639" w:type="dxa"/>
            <w:tcBorders>
              <w:top w:val="single" w:color="auto" w:sz="4" w:space="0"/>
              <w:left w:val="single" w:color="auto" w:sz="4" w:space="0"/>
              <w:bottom w:val="single" w:color="auto" w:sz="4" w:space="0"/>
              <w:right w:val="single" w:color="auto" w:sz="4" w:space="0"/>
            </w:tcBorders>
            <w:vAlign w:val="center"/>
          </w:tcPr>
          <w:p w14:paraId="45A798F2">
            <w:pPr>
              <w:spacing w:line="288" w:lineRule="auto"/>
              <w:jc w:val="left"/>
              <w:rPr>
                <w:rFonts w:hint="eastAsia" w:ascii="宋体" w:hAnsi="宋体" w:cs="Arial"/>
                <w:bCs/>
                <w:color w:val="auto"/>
                <w:highlight w:val="none"/>
              </w:rPr>
            </w:pPr>
            <w:r>
              <w:rPr>
                <w:rFonts w:hint="eastAsia" w:ascii="宋体" w:hAnsi="宋体" w:cs="Arial"/>
                <w:bCs/>
                <w:color w:val="auto"/>
                <w:highlight w:val="none"/>
              </w:rPr>
              <w:t>经与采购人协商，本项目招标代理服务费由中标供应商支付，招标代理费金额为：</w:t>
            </w:r>
            <w:r>
              <w:rPr>
                <w:rFonts w:hint="eastAsia" w:ascii="宋体" w:hAnsi="宋体" w:cs="Arial"/>
                <w:bCs/>
                <w:color w:val="auto"/>
                <w:highlight w:val="none"/>
                <w:lang w:val="en-US" w:eastAsia="zh-CN"/>
              </w:rPr>
              <w:t>3300</w:t>
            </w:r>
            <w:r>
              <w:rPr>
                <w:rFonts w:hint="eastAsia" w:ascii="宋体" w:hAnsi="宋体" w:cs="Arial"/>
                <w:bCs/>
                <w:color w:val="auto"/>
                <w:highlight w:val="none"/>
              </w:rPr>
              <w:t>元（大写：人民币</w:t>
            </w:r>
            <w:r>
              <w:rPr>
                <w:rFonts w:hint="eastAsia" w:ascii="宋体" w:hAnsi="宋体" w:cs="Arial"/>
                <w:bCs/>
                <w:color w:val="auto"/>
                <w:highlight w:val="none"/>
                <w:lang w:val="en-US" w:eastAsia="zh-CN"/>
              </w:rPr>
              <w:t>叁仟叁佰</w:t>
            </w:r>
            <w:r>
              <w:rPr>
                <w:rFonts w:hint="eastAsia" w:ascii="宋体" w:hAnsi="宋体" w:cs="Arial"/>
                <w:bCs/>
                <w:color w:val="auto"/>
                <w:highlight w:val="none"/>
              </w:rPr>
              <w:t>元整），中标供应商凭招标代理服务费缴纳凭证领取中标通知书。</w:t>
            </w:r>
          </w:p>
          <w:p w14:paraId="5014EDD0">
            <w:pPr>
              <w:spacing w:line="288" w:lineRule="auto"/>
              <w:jc w:val="left"/>
              <w:rPr>
                <w:rFonts w:hint="eastAsia" w:ascii="宋体" w:hAnsi="宋体" w:cs="Arial"/>
                <w:bCs/>
                <w:color w:val="auto"/>
                <w:highlight w:val="none"/>
                <w:lang w:eastAsia="zh-CN"/>
              </w:rPr>
            </w:pPr>
            <w:r>
              <w:rPr>
                <w:rFonts w:hint="eastAsia" w:ascii="宋体" w:hAnsi="宋体" w:cs="Arial"/>
                <w:bCs/>
                <w:color w:val="auto"/>
                <w:highlight w:val="none"/>
              </w:rPr>
              <w:t>代理费缴纳账户</w:t>
            </w:r>
            <w:r>
              <w:rPr>
                <w:rFonts w:hint="eastAsia" w:ascii="宋体" w:hAnsi="宋体" w:cs="Arial"/>
                <w:bCs/>
                <w:color w:val="auto"/>
                <w:highlight w:val="none"/>
                <w:lang w:eastAsia="zh-CN"/>
              </w:rPr>
              <w:t>：</w:t>
            </w:r>
          </w:p>
          <w:p w14:paraId="34513FAD">
            <w:pPr>
              <w:spacing w:line="288" w:lineRule="auto"/>
              <w:jc w:val="left"/>
              <w:rPr>
                <w:rFonts w:hint="eastAsia" w:ascii="宋体" w:hAnsi="宋体" w:cs="Arial"/>
                <w:bCs/>
                <w:color w:val="auto"/>
                <w:highlight w:val="none"/>
                <w:lang w:eastAsia="zh-CN"/>
              </w:rPr>
            </w:pPr>
            <w:r>
              <w:rPr>
                <w:rFonts w:hint="eastAsia" w:ascii="宋体" w:hAnsi="宋体" w:cs="Arial"/>
                <w:bCs/>
                <w:color w:val="auto"/>
                <w:highlight w:val="none"/>
                <w:lang w:eastAsia="zh-CN"/>
              </w:rPr>
              <w:t>账户名称：新疆宏宇建设工程项目管理有限责任公司克拉玛依咨询分公司</w:t>
            </w:r>
          </w:p>
          <w:p w14:paraId="3D919C2A">
            <w:pPr>
              <w:spacing w:line="288" w:lineRule="auto"/>
              <w:jc w:val="left"/>
              <w:rPr>
                <w:rFonts w:hint="eastAsia" w:ascii="宋体" w:hAnsi="宋体" w:cs="Arial"/>
                <w:bCs/>
                <w:color w:val="auto"/>
                <w:highlight w:val="none"/>
                <w:lang w:eastAsia="zh-CN"/>
              </w:rPr>
            </w:pPr>
            <w:r>
              <w:rPr>
                <w:rFonts w:hint="eastAsia" w:ascii="宋体" w:hAnsi="宋体" w:cs="Arial"/>
                <w:bCs/>
                <w:color w:val="auto"/>
                <w:highlight w:val="none"/>
                <w:lang w:eastAsia="zh-CN"/>
              </w:rPr>
              <w:t xml:space="preserve">地址：新疆克拉玛依市克拉玛依区新兴路339-401号（四楼）     </w:t>
            </w:r>
          </w:p>
          <w:p w14:paraId="208773B4">
            <w:pPr>
              <w:spacing w:line="288" w:lineRule="auto"/>
              <w:jc w:val="left"/>
              <w:rPr>
                <w:rFonts w:hint="eastAsia" w:ascii="宋体" w:hAnsi="宋体" w:cs="Arial"/>
                <w:bCs/>
                <w:color w:val="auto"/>
                <w:highlight w:val="none"/>
                <w:lang w:eastAsia="zh-CN"/>
              </w:rPr>
            </w:pPr>
            <w:r>
              <w:rPr>
                <w:rFonts w:hint="eastAsia" w:ascii="宋体" w:hAnsi="宋体" w:cs="Arial"/>
                <w:bCs/>
                <w:color w:val="auto"/>
                <w:highlight w:val="none"/>
                <w:lang w:eastAsia="zh-CN"/>
              </w:rPr>
              <w:t>邮政编码：834000</w:t>
            </w:r>
          </w:p>
          <w:p w14:paraId="4CB70C17">
            <w:pPr>
              <w:spacing w:line="288" w:lineRule="auto"/>
              <w:jc w:val="left"/>
              <w:rPr>
                <w:rFonts w:hint="eastAsia" w:ascii="宋体" w:hAnsi="宋体" w:cs="Arial"/>
                <w:bCs/>
                <w:color w:val="auto"/>
                <w:highlight w:val="none"/>
                <w:lang w:eastAsia="zh-CN"/>
              </w:rPr>
            </w:pPr>
            <w:r>
              <w:rPr>
                <w:rFonts w:hint="eastAsia" w:ascii="宋体" w:hAnsi="宋体" w:cs="Arial"/>
                <w:bCs/>
                <w:color w:val="auto"/>
                <w:highlight w:val="none"/>
                <w:lang w:eastAsia="zh-CN"/>
              </w:rPr>
              <w:t xml:space="preserve">开户行：昆仑银行股份有限公司克拉玛依分行           </w:t>
            </w:r>
          </w:p>
          <w:p w14:paraId="3A046E89">
            <w:pPr>
              <w:spacing w:line="288" w:lineRule="auto"/>
              <w:jc w:val="left"/>
              <w:rPr>
                <w:rFonts w:hint="eastAsia" w:ascii="宋体" w:hAnsi="宋体" w:cs="Arial"/>
                <w:bCs/>
                <w:color w:val="auto"/>
                <w:highlight w:val="none"/>
                <w:lang w:eastAsia="zh-CN"/>
              </w:rPr>
            </w:pPr>
            <w:r>
              <w:rPr>
                <w:rFonts w:hint="eastAsia" w:ascii="宋体" w:hAnsi="宋体" w:cs="Arial"/>
                <w:bCs/>
                <w:color w:val="auto"/>
                <w:highlight w:val="none"/>
                <w:lang w:eastAsia="zh-CN"/>
              </w:rPr>
              <w:t>银行账号：88202221188980000027</w:t>
            </w:r>
          </w:p>
          <w:p w14:paraId="3443E4AD">
            <w:pPr>
              <w:spacing w:line="288" w:lineRule="auto"/>
              <w:jc w:val="left"/>
              <w:rPr>
                <w:rFonts w:hint="eastAsia" w:ascii="宋体" w:hAnsi="宋体" w:cs="Arial"/>
                <w:bCs/>
                <w:color w:val="auto"/>
                <w:highlight w:val="none"/>
                <w:lang w:eastAsia="zh-CN"/>
              </w:rPr>
            </w:pPr>
            <w:r>
              <w:rPr>
                <w:rFonts w:hint="eastAsia" w:ascii="宋体" w:hAnsi="宋体" w:cs="Arial"/>
                <w:bCs/>
                <w:color w:val="auto"/>
                <w:highlight w:val="none"/>
                <w:lang w:eastAsia="zh-CN"/>
              </w:rPr>
              <w:t>行号：313882000131</w:t>
            </w:r>
          </w:p>
        </w:tc>
      </w:tr>
      <w:tr w14:paraId="6C8663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5962FF36">
            <w:pPr>
              <w:spacing w:line="300" w:lineRule="exact"/>
              <w:jc w:val="center"/>
              <w:rPr>
                <w:rFonts w:hint="eastAsia" w:ascii="Times New Roman" w:hAnsi="Times New Roman" w:eastAsia="宋体" w:cs="Arial"/>
                <w:bCs/>
                <w:color w:val="auto"/>
                <w:kern w:val="2"/>
                <w:sz w:val="21"/>
                <w:szCs w:val="21"/>
                <w:highlight w:val="none"/>
                <w:lang w:val="en-US" w:eastAsia="zh-CN" w:bidi="ar-SA"/>
              </w:rPr>
            </w:pPr>
            <w:r>
              <w:rPr>
                <w:rFonts w:hint="eastAsia" w:cs="Arial"/>
                <w:bCs/>
                <w:color w:val="auto"/>
                <w:highlight w:val="none"/>
              </w:rPr>
              <w:t>2</w:t>
            </w:r>
            <w:r>
              <w:rPr>
                <w:rFonts w:hint="eastAsia" w:cs="Arial"/>
                <w:bCs/>
                <w:color w:val="auto"/>
                <w:highlight w:val="none"/>
                <w:lang w:val="en-US" w:eastAsia="zh-CN"/>
              </w:rPr>
              <w:t>6</w:t>
            </w:r>
          </w:p>
        </w:tc>
        <w:tc>
          <w:tcPr>
            <w:tcW w:w="1695" w:type="dxa"/>
            <w:tcBorders>
              <w:top w:val="single" w:color="auto" w:sz="4" w:space="0"/>
              <w:left w:val="single" w:color="auto" w:sz="4" w:space="0"/>
              <w:bottom w:val="single" w:color="auto" w:sz="4" w:space="0"/>
              <w:right w:val="single" w:color="auto" w:sz="4" w:space="0"/>
            </w:tcBorders>
            <w:vAlign w:val="center"/>
          </w:tcPr>
          <w:p w14:paraId="6572B8D7">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异常低价</w:t>
            </w:r>
          </w:p>
        </w:tc>
        <w:tc>
          <w:tcPr>
            <w:tcW w:w="6639" w:type="dxa"/>
            <w:tcBorders>
              <w:top w:val="single" w:color="auto" w:sz="4" w:space="0"/>
              <w:left w:val="single" w:color="auto" w:sz="4" w:space="0"/>
              <w:bottom w:val="single" w:color="auto" w:sz="4" w:space="0"/>
              <w:right w:val="single" w:color="auto" w:sz="4" w:space="0"/>
            </w:tcBorders>
            <w:vAlign w:val="center"/>
          </w:tcPr>
          <w:p w14:paraId="04AAA66A">
            <w:pPr>
              <w:widowControl/>
              <w:tabs>
                <w:tab w:val="left" w:pos="720"/>
                <w:tab w:val="left" w:pos="900"/>
                <w:tab w:val="left" w:pos="1080"/>
                <w:tab w:val="left" w:pos="1260"/>
                <w:tab w:val="left" w:pos="1440"/>
                <w:tab w:val="left" w:pos="1800"/>
              </w:tabs>
              <w:spacing w:line="288" w:lineRule="auto"/>
              <w:jc w:val="left"/>
              <w:rPr>
                <w:rFonts w:hint="eastAsia" w:ascii="宋体" w:hAnsi="宋体" w:cs="宋体"/>
                <w:color w:val="auto"/>
                <w:spacing w:val="-4"/>
                <w:highlight w:val="none"/>
                <w:lang w:eastAsia="zh-CN"/>
              </w:rPr>
            </w:pPr>
            <w:r>
              <w:rPr>
                <w:rFonts w:hint="eastAsia" w:ascii="宋体" w:hAnsi="宋体" w:cs="宋体"/>
                <w:color w:val="auto"/>
                <w:spacing w:val="-4"/>
                <w:highlight w:val="none"/>
                <w:lang w:val="en-US" w:eastAsia="zh-CN"/>
              </w:rPr>
              <w:t>1.</w:t>
            </w:r>
            <w:r>
              <w:rPr>
                <w:rFonts w:hint="eastAsia" w:ascii="宋体" w:hAnsi="宋体" w:cs="宋体"/>
                <w:color w:val="auto"/>
                <w:spacing w:val="-4"/>
                <w:highlight w:val="none"/>
                <w:lang w:eastAsia="zh-CN"/>
              </w:rPr>
              <w:t>政府采购评审中出现下列情形之一的，评审委员会应当启动异常低价投标（响应）审查程序：</w:t>
            </w:r>
          </w:p>
          <w:p w14:paraId="4533B815">
            <w:pPr>
              <w:widowControl/>
              <w:tabs>
                <w:tab w:val="left" w:pos="720"/>
                <w:tab w:val="left" w:pos="900"/>
                <w:tab w:val="left" w:pos="1080"/>
                <w:tab w:val="left" w:pos="1260"/>
                <w:tab w:val="left" w:pos="1440"/>
                <w:tab w:val="left" w:pos="1800"/>
              </w:tabs>
              <w:spacing w:line="288" w:lineRule="auto"/>
              <w:jc w:val="left"/>
              <w:rPr>
                <w:rFonts w:hint="eastAsia" w:ascii="宋体" w:hAnsi="宋体" w:cs="宋体"/>
                <w:color w:val="auto"/>
                <w:spacing w:val="-4"/>
                <w:highlight w:val="none"/>
                <w:lang w:eastAsia="zh-CN"/>
              </w:rPr>
            </w:pPr>
            <w:r>
              <w:rPr>
                <w:rFonts w:hint="eastAsia" w:ascii="宋体" w:hAnsi="宋体" w:cs="宋体"/>
                <w:color w:val="auto"/>
                <w:spacing w:val="-4"/>
                <w:highlight w:val="none"/>
                <w:lang w:val="en-US" w:eastAsia="zh-CN"/>
              </w:rPr>
              <w:t>（1）</w:t>
            </w:r>
            <w:r>
              <w:rPr>
                <w:rFonts w:hint="eastAsia" w:ascii="宋体" w:hAnsi="宋体" w:cs="宋体"/>
                <w:color w:val="auto"/>
                <w:spacing w:val="-4"/>
                <w:highlight w:val="none"/>
                <w:lang w:eastAsia="zh-CN"/>
              </w:rPr>
              <w:t>投标（响应）报价低于全部通过符合性审查供应商投标（响应）报价平均值50%的，即投标（响应）报价&lt;全部通过符合性审查供应商投标（响应）报价平均值×50%；</w:t>
            </w:r>
          </w:p>
          <w:p w14:paraId="3AA99CED">
            <w:pPr>
              <w:widowControl/>
              <w:tabs>
                <w:tab w:val="left" w:pos="720"/>
                <w:tab w:val="left" w:pos="900"/>
                <w:tab w:val="left" w:pos="1080"/>
                <w:tab w:val="left" w:pos="1260"/>
                <w:tab w:val="left" w:pos="1440"/>
                <w:tab w:val="left" w:pos="1800"/>
              </w:tabs>
              <w:spacing w:line="288" w:lineRule="auto"/>
              <w:jc w:val="left"/>
              <w:rPr>
                <w:rFonts w:hint="eastAsia" w:ascii="宋体" w:hAnsi="宋体" w:cs="宋体"/>
                <w:color w:val="auto"/>
                <w:spacing w:val="-4"/>
                <w:highlight w:val="none"/>
                <w:lang w:eastAsia="zh-CN"/>
              </w:rPr>
            </w:pPr>
            <w:r>
              <w:rPr>
                <w:rFonts w:hint="eastAsia" w:ascii="宋体" w:hAnsi="宋体" w:cs="宋体"/>
                <w:color w:val="auto"/>
                <w:spacing w:val="-4"/>
                <w:highlight w:val="none"/>
                <w:lang w:val="en-US" w:eastAsia="zh-CN"/>
              </w:rPr>
              <w:t>（2）</w:t>
            </w:r>
            <w:r>
              <w:rPr>
                <w:rFonts w:hint="eastAsia" w:ascii="宋体" w:hAnsi="宋体" w:cs="宋体"/>
                <w:color w:val="auto"/>
                <w:spacing w:val="-4"/>
                <w:highlight w:val="none"/>
                <w:lang w:eastAsia="zh-CN"/>
              </w:rPr>
              <w:t>投标（响应）报价低于通过符合性审查的次低报价供应商投标（响应）报价50%的，即投标（响应）报价&lt;通过符合性审查的次低报价供应商投标（响应）报价×50%；</w:t>
            </w:r>
          </w:p>
          <w:p w14:paraId="79462ABE">
            <w:pPr>
              <w:widowControl/>
              <w:tabs>
                <w:tab w:val="left" w:pos="720"/>
                <w:tab w:val="left" w:pos="900"/>
                <w:tab w:val="left" w:pos="1080"/>
                <w:tab w:val="left" w:pos="1260"/>
                <w:tab w:val="left" w:pos="1440"/>
                <w:tab w:val="left" w:pos="1800"/>
              </w:tabs>
              <w:spacing w:line="288" w:lineRule="auto"/>
              <w:jc w:val="left"/>
              <w:rPr>
                <w:rFonts w:hint="eastAsia" w:ascii="宋体" w:hAnsi="宋体" w:cs="宋体"/>
                <w:color w:val="auto"/>
                <w:spacing w:val="-4"/>
                <w:highlight w:val="none"/>
                <w:lang w:eastAsia="zh-CN"/>
              </w:rPr>
            </w:pPr>
            <w:r>
              <w:rPr>
                <w:rFonts w:hint="eastAsia" w:ascii="宋体" w:hAnsi="宋体" w:cs="宋体"/>
                <w:color w:val="auto"/>
                <w:spacing w:val="-4"/>
                <w:highlight w:val="none"/>
                <w:lang w:val="en-US" w:eastAsia="zh-CN"/>
              </w:rPr>
              <w:t>（3）</w:t>
            </w:r>
            <w:r>
              <w:rPr>
                <w:rFonts w:hint="eastAsia" w:ascii="宋体" w:hAnsi="宋体" w:cs="宋体"/>
                <w:color w:val="auto"/>
                <w:spacing w:val="-4"/>
                <w:highlight w:val="none"/>
                <w:lang w:eastAsia="zh-CN"/>
              </w:rPr>
              <w:t>投标（响应）报价低于采购项目最高限价45%的，即投标（响应）报价&lt;采购项目最高限价×45%；</w:t>
            </w:r>
          </w:p>
          <w:p w14:paraId="15131049">
            <w:pPr>
              <w:widowControl/>
              <w:tabs>
                <w:tab w:val="left" w:pos="720"/>
                <w:tab w:val="left" w:pos="900"/>
                <w:tab w:val="left" w:pos="1080"/>
                <w:tab w:val="left" w:pos="1260"/>
                <w:tab w:val="left" w:pos="1440"/>
                <w:tab w:val="left" w:pos="1800"/>
              </w:tabs>
              <w:spacing w:line="288" w:lineRule="auto"/>
              <w:jc w:val="left"/>
              <w:rPr>
                <w:rFonts w:hint="eastAsia" w:ascii="宋体" w:hAnsi="宋体" w:cs="宋体"/>
                <w:color w:val="auto"/>
                <w:spacing w:val="-4"/>
                <w:highlight w:val="none"/>
                <w:lang w:eastAsia="zh-CN"/>
              </w:rPr>
            </w:pPr>
            <w:r>
              <w:rPr>
                <w:rFonts w:hint="eastAsia" w:ascii="宋体" w:hAnsi="宋体" w:cs="宋体"/>
                <w:color w:val="auto"/>
                <w:spacing w:val="-4"/>
                <w:highlight w:val="none"/>
                <w:lang w:val="en-US" w:eastAsia="zh-CN"/>
              </w:rPr>
              <w:t>（4）</w:t>
            </w:r>
            <w:r>
              <w:rPr>
                <w:rFonts w:hint="eastAsia" w:ascii="宋体" w:hAnsi="宋体" w:cs="宋体"/>
                <w:color w:val="auto"/>
                <w:spacing w:val="-4"/>
                <w:highlight w:val="none"/>
                <w:lang w:eastAsia="zh-CN"/>
              </w:rPr>
              <w:t>评审委员会基于专业判断，认为供应商报价过低，有可能影响产品质量或者不能诚信履约的其他情形。</w:t>
            </w:r>
          </w:p>
          <w:p w14:paraId="076C3B77">
            <w:pPr>
              <w:widowControl/>
              <w:tabs>
                <w:tab w:val="left" w:pos="720"/>
                <w:tab w:val="left" w:pos="900"/>
                <w:tab w:val="left" w:pos="1080"/>
                <w:tab w:val="left" w:pos="1260"/>
                <w:tab w:val="left" w:pos="1440"/>
                <w:tab w:val="left" w:pos="1800"/>
              </w:tabs>
              <w:spacing w:line="288" w:lineRule="auto"/>
              <w:jc w:val="left"/>
              <w:rPr>
                <w:rFonts w:hint="eastAsia" w:ascii="宋体" w:hAnsi="宋体" w:cs="宋体"/>
                <w:color w:val="auto"/>
                <w:spacing w:val="-4"/>
                <w:highlight w:val="none"/>
                <w:lang w:eastAsia="zh-CN"/>
              </w:rPr>
            </w:pPr>
            <w:r>
              <w:rPr>
                <w:rFonts w:hint="eastAsia" w:ascii="宋体" w:hAnsi="宋体" w:cs="宋体"/>
                <w:color w:val="auto"/>
                <w:spacing w:val="-4"/>
                <w:highlight w:val="none"/>
                <w:lang w:eastAsia="zh-CN"/>
              </w:rPr>
              <w:t>采购人可以结合具体项目实际情况，提高上述第1项至第3项中启动异常低价投标（响应）审查的数值标准，但是最高不得超过65%。</w:t>
            </w:r>
          </w:p>
          <w:p w14:paraId="7C219A3E">
            <w:pPr>
              <w:widowControl/>
              <w:tabs>
                <w:tab w:val="left" w:pos="720"/>
                <w:tab w:val="left" w:pos="900"/>
                <w:tab w:val="left" w:pos="1080"/>
                <w:tab w:val="left" w:pos="1260"/>
                <w:tab w:val="left" w:pos="1440"/>
                <w:tab w:val="left" w:pos="1800"/>
              </w:tabs>
              <w:spacing w:line="288" w:lineRule="auto"/>
              <w:jc w:val="left"/>
              <w:rPr>
                <w:rFonts w:hint="eastAsia" w:ascii="宋体" w:hAnsi="宋体" w:cs="宋体"/>
                <w:color w:val="auto"/>
                <w:spacing w:val="-4"/>
                <w:highlight w:val="none"/>
                <w:lang w:eastAsia="zh-CN"/>
              </w:rPr>
            </w:pPr>
            <w:r>
              <w:rPr>
                <w:rFonts w:hint="eastAsia" w:ascii="宋体" w:hAnsi="宋体" w:cs="宋体"/>
                <w:color w:val="auto"/>
                <w:spacing w:val="-4"/>
                <w:highlight w:val="none"/>
                <w:lang w:eastAsia="zh-CN"/>
              </w:rPr>
              <w:t>相关法律法规对供应商报价有规定的，从其规定。</w:t>
            </w:r>
          </w:p>
          <w:p w14:paraId="516703D0">
            <w:pPr>
              <w:widowControl/>
              <w:tabs>
                <w:tab w:val="left" w:pos="720"/>
                <w:tab w:val="left" w:pos="900"/>
                <w:tab w:val="left" w:pos="1080"/>
                <w:tab w:val="left" w:pos="1260"/>
                <w:tab w:val="left" w:pos="1440"/>
                <w:tab w:val="left" w:pos="1800"/>
              </w:tabs>
              <w:spacing w:line="288" w:lineRule="auto"/>
              <w:jc w:val="left"/>
              <w:rPr>
                <w:rFonts w:hint="eastAsia" w:ascii="宋体" w:hAnsi="宋体" w:cs="宋体"/>
                <w:color w:val="auto"/>
                <w:spacing w:val="-4"/>
                <w:highlight w:val="none"/>
                <w:lang w:eastAsia="zh-CN"/>
              </w:rPr>
            </w:pPr>
            <w:r>
              <w:rPr>
                <w:rFonts w:hint="eastAsia" w:ascii="宋体" w:hAnsi="宋体" w:cs="宋体"/>
                <w:color w:val="auto"/>
                <w:spacing w:val="-4"/>
                <w:highlight w:val="none"/>
                <w:lang w:val="en-US" w:eastAsia="zh-CN"/>
              </w:rPr>
              <w:t>2.</w:t>
            </w:r>
            <w:r>
              <w:rPr>
                <w:rFonts w:hint="eastAsia" w:ascii="宋体" w:hAnsi="宋体" w:cs="宋体"/>
                <w:color w:val="auto"/>
                <w:spacing w:val="-4"/>
                <w:highlight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tc>
      </w:tr>
      <w:tr w14:paraId="49C72C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324B8AD8">
            <w:pPr>
              <w:spacing w:line="300" w:lineRule="exact"/>
              <w:jc w:val="center"/>
              <w:rPr>
                <w:rFonts w:hint="eastAsia" w:ascii="Times New Roman" w:hAnsi="Times New Roman" w:eastAsia="宋体" w:cs="Arial"/>
                <w:bCs/>
                <w:color w:val="auto"/>
                <w:kern w:val="2"/>
                <w:sz w:val="21"/>
                <w:szCs w:val="21"/>
                <w:highlight w:val="none"/>
                <w:lang w:val="en-US" w:eastAsia="zh-CN" w:bidi="ar-SA"/>
              </w:rPr>
            </w:pPr>
            <w:r>
              <w:rPr>
                <w:rFonts w:hint="eastAsia" w:cs="Arial"/>
                <w:bCs/>
                <w:color w:val="auto"/>
                <w:highlight w:val="none"/>
              </w:rPr>
              <w:t>2</w:t>
            </w:r>
            <w:r>
              <w:rPr>
                <w:rFonts w:hint="eastAsia" w:cs="Arial"/>
                <w:bCs/>
                <w:color w:val="auto"/>
                <w:highlight w:val="none"/>
                <w:lang w:val="en-US" w:eastAsia="zh-CN"/>
              </w:rPr>
              <w:t>7</w:t>
            </w:r>
          </w:p>
        </w:tc>
        <w:tc>
          <w:tcPr>
            <w:tcW w:w="1695" w:type="dxa"/>
            <w:tcBorders>
              <w:top w:val="single" w:color="auto" w:sz="4" w:space="0"/>
              <w:left w:val="single" w:color="auto" w:sz="4" w:space="0"/>
              <w:bottom w:val="single" w:color="auto" w:sz="4" w:space="0"/>
              <w:right w:val="single" w:color="auto" w:sz="4" w:space="0"/>
            </w:tcBorders>
            <w:vAlign w:val="center"/>
          </w:tcPr>
          <w:p w14:paraId="6DA91E08">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中小企业所属行业</w:t>
            </w:r>
          </w:p>
        </w:tc>
        <w:tc>
          <w:tcPr>
            <w:tcW w:w="6639" w:type="dxa"/>
            <w:tcBorders>
              <w:top w:val="single" w:color="auto" w:sz="4" w:space="0"/>
              <w:left w:val="single" w:color="auto" w:sz="4" w:space="0"/>
              <w:bottom w:val="single" w:color="auto" w:sz="4" w:space="0"/>
              <w:right w:val="single" w:color="auto" w:sz="4" w:space="0"/>
            </w:tcBorders>
            <w:vAlign w:val="center"/>
          </w:tcPr>
          <w:p w14:paraId="32A791C1">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本项目采购标的对应的中小企业划分标准所属行业：</w:t>
            </w:r>
            <w:r>
              <w:rPr>
                <w:rFonts w:hint="eastAsia" w:ascii="宋体" w:hAnsi="宋体" w:cs="宋体"/>
                <w:color w:val="auto"/>
                <w:spacing w:val="-4"/>
                <w:highlight w:val="none"/>
                <w:u w:val="double"/>
              </w:rPr>
              <w:t>工业</w:t>
            </w:r>
            <w:r>
              <w:rPr>
                <w:rFonts w:hint="eastAsia" w:ascii="宋体" w:hAnsi="宋体" w:cs="宋体"/>
                <w:color w:val="auto"/>
                <w:spacing w:val="-4"/>
                <w:highlight w:val="none"/>
              </w:rPr>
              <w:t xml:space="preserve">（根据工信部联企业〔2011〕300号中小企业划型标准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tc>
      </w:tr>
      <w:tr w14:paraId="712456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7"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08BA9FA1">
            <w:pPr>
              <w:spacing w:line="300" w:lineRule="exact"/>
              <w:jc w:val="center"/>
              <w:rPr>
                <w:rFonts w:hint="eastAsia" w:ascii="Times New Roman" w:hAnsi="Times New Roman" w:eastAsia="宋体" w:cs="Arial"/>
                <w:bCs/>
                <w:color w:val="auto"/>
                <w:kern w:val="2"/>
                <w:sz w:val="21"/>
                <w:szCs w:val="21"/>
                <w:highlight w:val="none"/>
                <w:lang w:val="en-US" w:eastAsia="zh-CN" w:bidi="ar-SA"/>
              </w:rPr>
            </w:pPr>
            <w:r>
              <w:rPr>
                <w:rFonts w:hint="eastAsia" w:cs="Arial"/>
                <w:bCs/>
                <w:color w:val="auto"/>
                <w:highlight w:val="none"/>
                <w:lang w:val="en-US" w:eastAsia="zh-CN"/>
              </w:rPr>
              <w:t>28</w:t>
            </w:r>
          </w:p>
        </w:tc>
        <w:tc>
          <w:tcPr>
            <w:tcW w:w="1695" w:type="dxa"/>
            <w:tcBorders>
              <w:top w:val="single" w:color="auto" w:sz="4" w:space="0"/>
              <w:left w:val="single" w:color="auto" w:sz="4" w:space="0"/>
              <w:bottom w:val="single" w:color="auto" w:sz="4" w:space="0"/>
              <w:right w:val="single" w:color="auto" w:sz="4" w:space="0"/>
            </w:tcBorders>
            <w:vAlign w:val="center"/>
          </w:tcPr>
          <w:p w14:paraId="3A92D518">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中小微企业</w:t>
            </w:r>
          </w:p>
          <w:p w14:paraId="197E9810">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声明函</w:t>
            </w:r>
          </w:p>
        </w:tc>
        <w:tc>
          <w:tcPr>
            <w:tcW w:w="6639" w:type="dxa"/>
            <w:tcBorders>
              <w:top w:val="single" w:color="auto" w:sz="4" w:space="0"/>
              <w:left w:val="single" w:color="auto" w:sz="4" w:space="0"/>
              <w:bottom w:val="single" w:color="auto" w:sz="4" w:space="0"/>
              <w:right w:val="single" w:color="auto" w:sz="4" w:space="0"/>
            </w:tcBorders>
            <w:vAlign w:val="center"/>
          </w:tcPr>
          <w:p w14:paraId="1E38E164">
            <w:pPr>
              <w:widowControl/>
              <w:numPr>
                <w:ilvl w:val="0"/>
                <w:numId w:val="0"/>
              </w:numPr>
              <w:tabs>
                <w:tab w:val="left" w:pos="720"/>
                <w:tab w:val="left" w:pos="900"/>
                <w:tab w:val="left" w:pos="1080"/>
                <w:tab w:val="left" w:pos="1260"/>
                <w:tab w:val="left" w:pos="1440"/>
                <w:tab w:val="left" w:pos="1800"/>
              </w:tabs>
              <w:spacing w:line="288" w:lineRule="auto"/>
              <w:jc w:val="left"/>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w:t>
            </w:r>
            <w:r>
              <w:rPr>
                <w:rFonts w:hint="eastAsia"/>
                <w:color w:val="auto"/>
                <w:highlight w:val="none"/>
                <w:lang w:val="zh-CN"/>
              </w:rPr>
              <w:t>本项目</w:t>
            </w:r>
            <w:r>
              <w:rPr>
                <w:rFonts w:hint="eastAsia"/>
                <w:color w:val="auto"/>
                <w:highlight w:val="none"/>
              </w:rPr>
              <w:t>专门面向</w:t>
            </w:r>
            <w:r>
              <w:rPr>
                <w:rFonts w:hint="eastAsia"/>
                <w:color w:val="auto"/>
                <w:highlight w:val="none"/>
                <w:lang w:val="zh-CN"/>
              </w:rPr>
              <w:t>中小企业采购，</w:t>
            </w:r>
            <w:r>
              <w:rPr>
                <w:rFonts w:hint="eastAsia"/>
                <w:color w:val="auto"/>
                <w:highlight w:val="none"/>
                <w:lang w:val="en-US" w:eastAsia="zh-CN"/>
              </w:rPr>
              <w:t>供应商所提供货物的制造商应全部为中型、小型、微型企业。</w:t>
            </w:r>
          </w:p>
          <w:p w14:paraId="02B9793E">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2.残疾人福利性单位、监狱和戒毒企业（简称监狱企业）视同小型、微型企业</w:t>
            </w:r>
            <w:r>
              <w:rPr>
                <w:rFonts w:hint="eastAsia" w:cs="Times New Roman"/>
                <w:color w:val="auto"/>
                <w:highlight w:val="none"/>
                <w:lang w:val="en-US" w:eastAsia="zh-CN"/>
              </w:rPr>
              <w:t>；残疾人福利单位、监狱企业同时属于小型、微型企业的，不重复享受财政政策。</w:t>
            </w:r>
          </w:p>
          <w:p w14:paraId="30D99739">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3.根据《政府采购促进中小企业发展管理办法》（财库[2020]46号）和《财政部关于进一步加大政府采购支持中小企业力度的通知》要求，供应商应提供合格的《中小企业声明函》，如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提供的《中小企业声明函》不合格或未提供《中小企业声明函》的，</w:t>
            </w:r>
            <w:r>
              <w:rPr>
                <w:rFonts w:hint="eastAsia" w:cs="Times New Roman"/>
                <w:color w:val="auto"/>
                <w:highlight w:val="none"/>
                <w:lang w:val="en-US" w:eastAsia="zh-CN"/>
              </w:rPr>
              <w:t>专门面向中小企业采购的项目，将视为无效投标，非专门面向中小企业采购的项目，不享受相关中小微企业扶持政策。</w:t>
            </w:r>
          </w:p>
          <w:p w14:paraId="23B67752">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4.根据《关于政府采购支持监狱企业发展有关问题的通知》（财库[2014]68号）和本</w:t>
            </w:r>
            <w:r>
              <w:rPr>
                <w:rFonts w:hint="eastAsia" w:cs="Times New Roman"/>
                <w:color w:val="auto"/>
                <w:highlight w:val="none"/>
                <w:lang w:val="en-US" w:eastAsia="zh-CN"/>
              </w:rPr>
              <w:t>招标文件</w:t>
            </w:r>
            <w:r>
              <w:rPr>
                <w:rFonts w:hint="eastAsia" w:ascii="Times New Roman" w:hAnsi="Times New Roman" w:eastAsia="宋体" w:cs="Times New Roman"/>
                <w:color w:val="auto"/>
                <w:highlight w:val="none"/>
                <w:lang w:val="en-US" w:eastAsia="zh-CN"/>
              </w:rPr>
              <w:t>要求，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应提供合格的《监狱企业声明函》，如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提供的《监狱企业声明函》不合格或未提供《监狱企业声明函》的，</w:t>
            </w:r>
            <w:r>
              <w:rPr>
                <w:rFonts w:hint="eastAsia" w:cs="Times New Roman"/>
                <w:color w:val="auto"/>
                <w:highlight w:val="none"/>
                <w:lang w:val="en-US" w:eastAsia="zh-CN"/>
              </w:rPr>
              <w:t>专门面向中小企业采购的项目，将视为无效投标，非专门面向中小企业采购的项目，不享受相关中小微企业扶持政策。</w:t>
            </w:r>
          </w:p>
          <w:p w14:paraId="0AAECFCD">
            <w:pPr>
              <w:widowControl/>
              <w:numPr>
                <w:ilvl w:val="0"/>
                <w:numId w:val="0"/>
              </w:numPr>
              <w:tabs>
                <w:tab w:val="left" w:pos="720"/>
                <w:tab w:val="left" w:pos="900"/>
                <w:tab w:val="left" w:pos="1080"/>
                <w:tab w:val="left" w:pos="1260"/>
                <w:tab w:val="left" w:pos="1440"/>
                <w:tab w:val="left" w:pos="1800"/>
              </w:tabs>
              <w:spacing w:line="288" w:lineRule="auto"/>
              <w:jc w:val="left"/>
              <w:rPr>
                <w:rFonts w:hint="default"/>
                <w:color w:val="auto"/>
                <w:highlight w:val="none"/>
                <w:lang w:val="en-US"/>
              </w:rPr>
            </w:pPr>
            <w:r>
              <w:rPr>
                <w:rFonts w:hint="eastAsia" w:ascii="Times New Roman" w:hAnsi="Times New Roman" w:eastAsia="宋体" w:cs="Times New Roman"/>
                <w:color w:val="auto"/>
                <w:highlight w:val="none"/>
                <w:lang w:val="en-US" w:eastAsia="zh-CN"/>
              </w:rPr>
              <w:t>5.根据《关于促进残疾人就业政府采购政策的通知》（财库[2017]141号）要求，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应提供合格的《残疾人福利性单位声明函》，如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提供的《残疾人福利性单位声明函》不合格或未提供《残疾人福利性单位声明函》的，</w:t>
            </w:r>
            <w:r>
              <w:rPr>
                <w:rFonts w:hint="eastAsia" w:cs="Times New Roman"/>
                <w:color w:val="auto"/>
                <w:highlight w:val="none"/>
                <w:lang w:val="en-US" w:eastAsia="zh-CN"/>
              </w:rPr>
              <w:t>专门面向中小企业采购的项目，将视为无效投标，非专门面向中小企业采购的项目，不享受相关中小微企业扶持政策。</w:t>
            </w:r>
          </w:p>
        </w:tc>
      </w:tr>
      <w:tr w14:paraId="5A1A55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56CE3B67">
            <w:pPr>
              <w:spacing w:line="300" w:lineRule="exact"/>
              <w:jc w:val="center"/>
              <w:rPr>
                <w:rFonts w:hint="default" w:ascii="Times New Roman" w:hAnsi="Times New Roman" w:eastAsia="宋体" w:cs="Arial"/>
                <w:bCs/>
                <w:color w:val="auto"/>
                <w:kern w:val="2"/>
                <w:sz w:val="21"/>
                <w:szCs w:val="21"/>
                <w:highlight w:val="none"/>
                <w:lang w:val="en-US" w:eastAsia="zh-CN" w:bidi="ar-SA"/>
              </w:rPr>
            </w:pPr>
            <w:r>
              <w:rPr>
                <w:rFonts w:hint="eastAsia" w:cs="Arial"/>
                <w:bCs/>
                <w:color w:val="auto"/>
                <w:highlight w:val="none"/>
                <w:lang w:val="en-US" w:eastAsia="zh-CN"/>
              </w:rPr>
              <w:t>29</w:t>
            </w:r>
          </w:p>
        </w:tc>
        <w:tc>
          <w:tcPr>
            <w:tcW w:w="1695" w:type="dxa"/>
            <w:tcBorders>
              <w:top w:val="single" w:color="auto" w:sz="4" w:space="0"/>
              <w:left w:val="single" w:color="auto" w:sz="4" w:space="0"/>
              <w:bottom w:val="single" w:color="auto" w:sz="4" w:space="0"/>
              <w:right w:val="single" w:color="auto" w:sz="4" w:space="0"/>
            </w:tcBorders>
            <w:vAlign w:val="center"/>
          </w:tcPr>
          <w:p w14:paraId="257BF0C9">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公告及检验</w:t>
            </w:r>
          </w:p>
          <w:p w14:paraId="6FA5F6C0">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检测报告</w:t>
            </w:r>
          </w:p>
        </w:tc>
        <w:tc>
          <w:tcPr>
            <w:tcW w:w="6639" w:type="dxa"/>
            <w:tcBorders>
              <w:top w:val="single" w:color="auto" w:sz="4" w:space="0"/>
              <w:left w:val="single" w:color="auto" w:sz="4" w:space="0"/>
              <w:bottom w:val="single" w:color="auto" w:sz="4" w:space="0"/>
              <w:right w:val="single" w:color="auto" w:sz="4" w:space="0"/>
            </w:tcBorders>
            <w:vAlign w:val="center"/>
          </w:tcPr>
          <w:p w14:paraId="73B161A4">
            <w:pPr>
              <w:widowControl/>
              <w:tabs>
                <w:tab w:val="left" w:pos="720"/>
                <w:tab w:val="left" w:pos="900"/>
                <w:tab w:val="left" w:pos="1080"/>
                <w:tab w:val="left" w:pos="1260"/>
                <w:tab w:val="left" w:pos="1440"/>
                <w:tab w:val="left" w:pos="1800"/>
              </w:tabs>
              <w:spacing w:line="288" w:lineRule="auto"/>
              <w:jc w:val="left"/>
              <w:rPr>
                <w:color w:val="auto"/>
                <w:highlight w:val="none"/>
              </w:rPr>
            </w:pPr>
            <w:r>
              <w:rPr>
                <w:rFonts w:hint="eastAsia"/>
                <w:color w:val="auto"/>
                <w:highlight w:val="none"/>
                <w:lang w:val="en-US" w:eastAsia="zh-CN"/>
              </w:rPr>
              <w:t>1.</w:t>
            </w:r>
            <w:r>
              <w:rPr>
                <w:rFonts w:hint="eastAsia"/>
                <w:color w:val="auto"/>
                <w:highlight w:val="none"/>
              </w:rPr>
              <w:t>有国家或行业标准的产品</w:t>
            </w:r>
            <w:r>
              <w:rPr>
                <w:rFonts w:hint="eastAsia"/>
                <w:color w:val="auto"/>
                <w:highlight w:val="none"/>
                <w:lang w:val="en-US" w:eastAsia="zh-CN"/>
              </w:rPr>
              <w:t>投标时</w:t>
            </w:r>
            <w:r>
              <w:rPr>
                <w:rFonts w:hint="eastAsia"/>
                <w:color w:val="auto"/>
                <w:highlight w:val="none"/>
              </w:rPr>
              <w:t>应提供国家国家级质量检验检测机构出具的检验检测报告</w:t>
            </w:r>
            <w:r>
              <w:rPr>
                <w:rFonts w:hint="eastAsia"/>
                <w:color w:val="auto"/>
                <w:highlight w:val="none"/>
                <w:lang w:eastAsia="zh-CN"/>
              </w:rPr>
              <w:t>（</w:t>
            </w:r>
            <w:r>
              <w:rPr>
                <w:rFonts w:hint="eastAsia"/>
                <w:color w:val="auto"/>
                <w:highlight w:val="none"/>
                <w:lang w:val="en-US" w:eastAsia="zh-CN"/>
              </w:rPr>
              <w:t>如有</w:t>
            </w:r>
            <w:r>
              <w:rPr>
                <w:rFonts w:hint="eastAsia"/>
                <w:color w:val="auto"/>
                <w:highlight w:val="none"/>
                <w:lang w:eastAsia="zh-CN"/>
              </w:rPr>
              <w:t>）</w:t>
            </w:r>
            <w:r>
              <w:rPr>
                <w:rFonts w:hint="eastAsia"/>
                <w:color w:val="auto"/>
                <w:highlight w:val="none"/>
              </w:rPr>
              <w:t>。</w:t>
            </w:r>
          </w:p>
          <w:p w14:paraId="1939C0DA">
            <w:pPr>
              <w:widowControl/>
              <w:numPr>
                <w:ilvl w:val="0"/>
                <w:numId w:val="0"/>
              </w:numPr>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color w:val="auto"/>
                <w:highlight w:val="none"/>
                <w:lang w:val="en-US" w:eastAsia="zh-CN"/>
              </w:rPr>
              <w:t>2.</w:t>
            </w:r>
            <w:r>
              <w:rPr>
                <w:rFonts w:hint="eastAsia"/>
                <w:color w:val="auto"/>
                <w:highlight w:val="none"/>
              </w:rPr>
              <w:t>无国家或行业标准的产品投标时应提供国家认可的质量检验检测机构出具的检验检测报告（如有</w:t>
            </w:r>
            <w:r>
              <w:rPr>
                <w:rFonts w:hint="eastAsia"/>
                <w:color w:val="auto"/>
                <w:highlight w:val="none"/>
                <w:lang w:eastAsia="zh-CN"/>
              </w:rPr>
              <w:t>）；</w:t>
            </w:r>
            <w:r>
              <w:rPr>
                <w:rFonts w:hint="eastAsia"/>
                <w:color w:val="auto"/>
                <w:highlight w:val="none"/>
              </w:rPr>
              <w:t>如投标时未提供，应在</w:t>
            </w:r>
            <w:r>
              <w:rPr>
                <w:rFonts w:hint="eastAsia"/>
                <w:color w:val="auto"/>
                <w:highlight w:val="none"/>
                <w:lang w:val="en-US" w:eastAsia="zh-CN"/>
              </w:rPr>
              <w:t>产品</w:t>
            </w:r>
            <w:r>
              <w:rPr>
                <w:rFonts w:hint="eastAsia"/>
                <w:color w:val="auto"/>
                <w:highlight w:val="none"/>
              </w:rPr>
              <w:t>交付</w:t>
            </w:r>
            <w:r>
              <w:rPr>
                <w:rFonts w:hint="eastAsia"/>
                <w:color w:val="auto"/>
                <w:highlight w:val="none"/>
                <w:lang w:eastAsia="zh-CN"/>
              </w:rPr>
              <w:t>验收</w:t>
            </w:r>
            <w:r>
              <w:rPr>
                <w:rFonts w:hint="eastAsia"/>
                <w:color w:val="auto"/>
                <w:highlight w:val="none"/>
              </w:rPr>
              <w:t>时提供国家认可的质量检验检测机构出具的检验检测报告。</w:t>
            </w:r>
          </w:p>
        </w:tc>
      </w:tr>
      <w:tr w14:paraId="5703E0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2E9B1FC">
            <w:pPr>
              <w:spacing w:line="300" w:lineRule="exact"/>
              <w:jc w:val="center"/>
              <w:rPr>
                <w:rFonts w:hint="default" w:ascii="Times New Roman" w:hAnsi="Times New Roman" w:eastAsia="宋体" w:cs="Arial"/>
                <w:bCs/>
                <w:color w:val="auto"/>
                <w:kern w:val="2"/>
                <w:sz w:val="21"/>
                <w:szCs w:val="21"/>
                <w:highlight w:val="none"/>
                <w:lang w:val="en-US" w:eastAsia="zh-CN" w:bidi="ar-SA"/>
              </w:rPr>
            </w:pPr>
            <w:r>
              <w:rPr>
                <w:rFonts w:hint="eastAsia" w:cs="Arial"/>
                <w:bCs/>
                <w:color w:val="auto"/>
                <w:highlight w:val="none"/>
                <w:lang w:val="en-US" w:eastAsia="zh-CN"/>
              </w:rPr>
              <w:t>30</w:t>
            </w:r>
          </w:p>
        </w:tc>
        <w:tc>
          <w:tcPr>
            <w:tcW w:w="1695" w:type="dxa"/>
            <w:tcBorders>
              <w:top w:val="single" w:color="auto" w:sz="4" w:space="0"/>
              <w:left w:val="single" w:color="auto" w:sz="4" w:space="0"/>
              <w:bottom w:val="single" w:color="auto" w:sz="4" w:space="0"/>
              <w:right w:val="single" w:color="auto" w:sz="4" w:space="0"/>
            </w:tcBorders>
            <w:vAlign w:val="center"/>
          </w:tcPr>
          <w:p w14:paraId="21ED45BA">
            <w:pPr>
              <w:widowControl/>
              <w:tabs>
                <w:tab w:val="left" w:pos="720"/>
                <w:tab w:val="left" w:pos="900"/>
                <w:tab w:val="left" w:pos="1080"/>
                <w:tab w:val="left" w:pos="1260"/>
                <w:tab w:val="left" w:pos="1440"/>
                <w:tab w:val="left" w:pos="1800"/>
              </w:tabs>
              <w:spacing w:line="288" w:lineRule="auto"/>
              <w:jc w:val="center"/>
              <w:rPr>
                <w:rFonts w:hint="default" w:ascii="宋体" w:hAnsi="宋体" w:eastAsia="宋体" w:cs="宋体"/>
                <w:color w:val="auto"/>
                <w:spacing w:val="-4"/>
                <w:highlight w:val="none"/>
                <w:lang w:val="en-US" w:eastAsia="zh-CN"/>
              </w:rPr>
            </w:pPr>
            <w:r>
              <w:rPr>
                <w:rFonts w:hint="eastAsia" w:ascii="宋体" w:hAnsi="宋体" w:cs="宋体"/>
                <w:color w:val="auto"/>
                <w:spacing w:val="-4"/>
                <w:highlight w:val="none"/>
              </w:rPr>
              <w:t>样品</w:t>
            </w:r>
          </w:p>
        </w:tc>
        <w:tc>
          <w:tcPr>
            <w:tcW w:w="6639" w:type="dxa"/>
            <w:tcBorders>
              <w:top w:val="single" w:color="auto" w:sz="4" w:space="0"/>
              <w:left w:val="single" w:color="auto" w:sz="4" w:space="0"/>
              <w:bottom w:val="single" w:color="auto" w:sz="4" w:space="0"/>
              <w:right w:val="single" w:color="auto" w:sz="4" w:space="0"/>
            </w:tcBorders>
            <w:vAlign w:val="center"/>
          </w:tcPr>
          <w:p w14:paraId="0F847D00">
            <w:pPr>
              <w:widowControl/>
              <w:tabs>
                <w:tab w:val="left" w:pos="720"/>
                <w:tab w:val="left" w:pos="900"/>
                <w:tab w:val="left" w:pos="1080"/>
                <w:tab w:val="left" w:pos="1260"/>
                <w:tab w:val="left" w:pos="1440"/>
                <w:tab w:val="left" w:pos="1800"/>
              </w:tabs>
              <w:spacing w:line="288" w:lineRule="auto"/>
              <w:jc w:val="left"/>
              <w:rPr>
                <w:rFonts w:hint="eastAsia"/>
                <w:color w:val="auto"/>
                <w:highlight w:val="none"/>
                <w:lang w:val="en-US" w:eastAsia="zh-CN"/>
              </w:rPr>
            </w:pPr>
            <w:r>
              <w:rPr>
                <w:rFonts w:hint="eastAsia" w:cs="Times New Roman"/>
                <w:color w:val="auto"/>
                <w:highlight w:val="none"/>
                <w:lang w:val="en-US" w:eastAsia="zh-CN"/>
              </w:rPr>
              <w:t>/</w:t>
            </w:r>
          </w:p>
        </w:tc>
      </w:tr>
      <w:tr w14:paraId="08FE4D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4201F83A">
            <w:pPr>
              <w:spacing w:line="300" w:lineRule="exact"/>
              <w:jc w:val="center"/>
              <w:rPr>
                <w:rFonts w:hint="default" w:cs="Arial"/>
                <w:bCs/>
                <w:color w:val="auto"/>
                <w:highlight w:val="none"/>
                <w:lang w:val="en-US" w:eastAsia="zh-CN"/>
              </w:rPr>
            </w:pPr>
            <w:r>
              <w:rPr>
                <w:rFonts w:hint="eastAsia" w:cs="Arial"/>
                <w:bCs/>
                <w:color w:val="auto"/>
                <w:highlight w:val="none"/>
                <w:lang w:val="en-US" w:eastAsia="zh-CN"/>
              </w:rPr>
              <w:t>31</w:t>
            </w:r>
          </w:p>
        </w:tc>
        <w:tc>
          <w:tcPr>
            <w:tcW w:w="1695" w:type="dxa"/>
            <w:tcBorders>
              <w:top w:val="single" w:color="auto" w:sz="4" w:space="0"/>
              <w:left w:val="single" w:color="auto" w:sz="4" w:space="0"/>
              <w:bottom w:val="single" w:color="auto" w:sz="4" w:space="0"/>
              <w:right w:val="single" w:color="auto" w:sz="4" w:space="0"/>
            </w:tcBorders>
            <w:shd w:val="clear" w:color="auto" w:fill="auto"/>
            <w:vAlign w:val="center"/>
          </w:tcPr>
          <w:p w14:paraId="38265E90">
            <w:pPr>
              <w:widowControl/>
              <w:tabs>
                <w:tab w:val="left" w:pos="720"/>
                <w:tab w:val="left" w:pos="900"/>
                <w:tab w:val="left" w:pos="1080"/>
                <w:tab w:val="left" w:pos="1260"/>
                <w:tab w:val="left" w:pos="1440"/>
                <w:tab w:val="left" w:pos="1800"/>
              </w:tabs>
              <w:spacing w:line="288" w:lineRule="auto"/>
              <w:jc w:val="center"/>
              <w:rPr>
                <w:rFonts w:hint="default" w:ascii="宋体" w:hAnsi="宋体" w:eastAsia="宋体" w:cs="宋体"/>
                <w:color w:val="auto"/>
                <w:spacing w:val="-4"/>
                <w:kern w:val="2"/>
                <w:sz w:val="21"/>
                <w:szCs w:val="21"/>
                <w:highlight w:val="none"/>
                <w:lang w:val="en-US" w:eastAsia="zh-CN" w:bidi="ar-SA"/>
              </w:rPr>
            </w:pPr>
            <w:r>
              <w:rPr>
                <w:rFonts w:hint="eastAsia" w:ascii="宋体" w:hAnsi="宋体" w:cs="宋体"/>
                <w:color w:val="auto"/>
                <w:spacing w:val="-4"/>
                <w:highlight w:val="none"/>
              </w:rPr>
              <w:t>本国产品标准及相关政策</w:t>
            </w:r>
          </w:p>
        </w:tc>
        <w:tc>
          <w:tcPr>
            <w:tcW w:w="6639" w:type="dxa"/>
            <w:tcBorders>
              <w:top w:val="single" w:color="auto" w:sz="4" w:space="0"/>
              <w:left w:val="single" w:color="auto" w:sz="4" w:space="0"/>
              <w:bottom w:val="single" w:color="auto" w:sz="4" w:space="0"/>
              <w:right w:val="single" w:color="auto" w:sz="4" w:space="0"/>
            </w:tcBorders>
            <w:shd w:val="clear" w:color="auto" w:fill="auto"/>
            <w:vAlign w:val="center"/>
          </w:tcPr>
          <w:p w14:paraId="7E3229B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eastAsia" w:ascii="Helvetica" w:hAnsi="Helvetica" w:eastAsia="Helvetica" w:cs="Helvetica"/>
                <w:b/>
                <w:bCs/>
                <w:i w:val="0"/>
                <w:iCs w:val="0"/>
                <w:caps w:val="0"/>
                <w:color w:val="auto"/>
                <w:spacing w:val="0"/>
                <w:kern w:val="0"/>
                <w:sz w:val="21"/>
                <w:szCs w:val="21"/>
                <w:highlight w:val="none"/>
                <w:lang w:val="en-US" w:eastAsia="zh-CN" w:bidi="ar"/>
              </w:rPr>
            </w:pPr>
            <w:r>
              <w:rPr>
                <w:rFonts w:hint="eastAsia" w:ascii="Helvetica" w:hAnsi="Helvetica" w:eastAsia="Helvetica" w:cs="Helvetica"/>
                <w:b/>
                <w:bCs/>
                <w:i w:val="0"/>
                <w:iCs w:val="0"/>
                <w:caps w:val="0"/>
                <w:color w:val="auto"/>
                <w:spacing w:val="0"/>
                <w:kern w:val="0"/>
                <w:sz w:val="21"/>
                <w:szCs w:val="21"/>
                <w:highlight w:val="none"/>
                <w:lang w:val="en-US" w:eastAsia="zh-CN" w:bidi="ar"/>
              </w:rPr>
              <w:t>政策：</w:t>
            </w:r>
          </w:p>
          <w:p w14:paraId="7023B1A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1"/>
                <w:szCs w:val="21"/>
                <w:highlight w:val="none"/>
                <w:lang w:val="en-US" w:eastAsia="zh-CN" w:bidi="ar"/>
              </w:rPr>
              <w:t>政府采购活动中既有本国产品又有非本国产品参与竞争的，依法对本国产品给予价格评审优惠，对本国产品的报价给予</w:t>
            </w:r>
            <w:r>
              <w:rPr>
                <w:rFonts w:hint="default" w:ascii="Helvetica" w:hAnsi="Helvetica" w:eastAsia="Helvetica" w:cs="Helvetica"/>
                <w:i w:val="0"/>
                <w:iCs w:val="0"/>
                <w:caps w:val="0"/>
                <w:color w:val="auto"/>
                <w:spacing w:val="0"/>
                <w:kern w:val="0"/>
                <w:sz w:val="24"/>
                <w:szCs w:val="24"/>
                <w:highlight w:val="none"/>
                <w:lang w:val="en-US" w:eastAsia="zh-CN" w:bidi="ar"/>
              </w:rPr>
              <w:t>20%</w:t>
            </w:r>
            <w:r>
              <w:rPr>
                <w:rFonts w:hint="default" w:ascii="Helvetica" w:hAnsi="Helvetica" w:eastAsia="Helvetica" w:cs="Helvetica"/>
                <w:i w:val="0"/>
                <w:iCs w:val="0"/>
                <w:caps w:val="0"/>
                <w:color w:val="auto"/>
                <w:spacing w:val="0"/>
                <w:kern w:val="0"/>
                <w:sz w:val="21"/>
                <w:szCs w:val="21"/>
                <w:highlight w:val="none"/>
                <w:lang w:val="en-US" w:eastAsia="zh-CN" w:bidi="ar"/>
              </w:rPr>
              <w:t>的价格扣除，用扣除后的价格参与评审。</w:t>
            </w:r>
          </w:p>
          <w:p w14:paraId="7FC9D77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kern w:val="0"/>
                <w:sz w:val="21"/>
                <w:szCs w:val="21"/>
                <w:highlight w:val="none"/>
                <w:lang w:val="en-US" w:eastAsia="zh-CN" w:bidi="ar"/>
              </w:rPr>
            </w:pPr>
            <w:r>
              <w:rPr>
                <w:rFonts w:hint="default" w:ascii="Helvetica" w:hAnsi="Helvetica" w:eastAsia="Helvetica" w:cs="Helvetica"/>
                <w:i w:val="0"/>
                <w:iCs w:val="0"/>
                <w:caps w:val="0"/>
                <w:color w:val="auto"/>
                <w:spacing w:val="0"/>
                <w:kern w:val="0"/>
                <w:sz w:val="24"/>
                <w:szCs w:val="24"/>
                <w:highlight w:val="none"/>
                <w:lang w:val="en-US" w:eastAsia="zh-CN" w:bidi="ar"/>
              </w:rPr>
              <w:t>  </w:t>
            </w:r>
            <w:r>
              <w:rPr>
                <w:rFonts w:hint="default" w:ascii="Helvetica" w:hAnsi="Helvetica" w:eastAsia="Helvetica" w:cs="Helvetica"/>
                <w:i w:val="0"/>
                <w:iCs w:val="0"/>
                <w:caps w:val="0"/>
                <w:color w:val="auto"/>
                <w:spacing w:val="0"/>
                <w:kern w:val="0"/>
                <w:sz w:val="21"/>
                <w:szCs w:val="21"/>
                <w:highlight w:val="none"/>
                <w:lang w:val="en-US" w:eastAsia="zh-CN" w:bidi="ar"/>
              </w:rPr>
              <w:t>当采购项目或者采购包中含有多种产品，供应商为该采购项目或者采购包提供的符合本国产品标准的产品成本之和占该供应商提供的全部产品成本之和的比例达到</w:t>
            </w:r>
            <w:r>
              <w:rPr>
                <w:rFonts w:hint="default" w:ascii="Helvetica" w:hAnsi="Helvetica" w:eastAsia="Helvetica" w:cs="Helvetica"/>
                <w:i w:val="0"/>
                <w:iCs w:val="0"/>
                <w:caps w:val="0"/>
                <w:color w:val="auto"/>
                <w:spacing w:val="0"/>
                <w:kern w:val="0"/>
                <w:sz w:val="24"/>
                <w:szCs w:val="24"/>
                <w:highlight w:val="none"/>
                <w:lang w:val="en-US" w:eastAsia="zh-CN" w:bidi="ar"/>
              </w:rPr>
              <w:t>80%</w:t>
            </w:r>
            <w:r>
              <w:rPr>
                <w:rFonts w:hint="default" w:ascii="Helvetica" w:hAnsi="Helvetica" w:eastAsia="Helvetica" w:cs="Helvetica"/>
                <w:i w:val="0"/>
                <w:iCs w:val="0"/>
                <w:caps w:val="0"/>
                <w:color w:val="auto"/>
                <w:spacing w:val="0"/>
                <w:kern w:val="0"/>
                <w:sz w:val="21"/>
                <w:szCs w:val="21"/>
                <w:highlight w:val="none"/>
                <w:lang w:val="en-US" w:eastAsia="zh-CN" w:bidi="ar"/>
              </w:rPr>
              <w:t>以上时，依法对该供应商提供的全部产品给予价格评审优惠，即对该供应商提供的全部产品的总报价给予20%的价格扣除，用扣除后的价格参与评审。</w:t>
            </w:r>
          </w:p>
          <w:p w14:paraId="1595E25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eastAsia" w:ascii="Helvetica" w:hAnsi="Helvetica" w:eastAsia="Helvetica" w:cs="Helvetica"/>
                <w:b/>
                <w:bCs/>
                <w:i w:val="0"/>
                <w:iCs w:val="0"/>
                <w:caps w:val="0"/>
                <w:color w:val="auto"/>
                <w:spacing w:val="0"/>
                <w:kern w:val="0"/>
                <w:sz w:val="21"/>
                <w:szCs w:val="21"/>
                <w:highlight w:val="none"/>
                <w:lang w:val="en-US" w:eastAsia="zh-CN" w:bidi="ar"/>
              </w:rPr>
            </w:pPr>
            <w:r>
              <w:rPr>
                <w:rFonts w:hint="eastAsia" w:ascii="Helvetica" w:hAnsi="Helvetica" w:eastAsia="Helvetica" w:cs="Helvetica"/>
                <w:b/>
                <w:bCs/>
                <w:i w:val="0"/>
                <w:iCs w:val="0"/>
                <w:caps w:val="0"/>
                <w:color w:val="auto"/>
                <w:spacing w:val="0"/>
                <w:kern w:val="0"/>
                <w:sz w:val="21"/>
                <w:szCs w:val="21"/>
                <w:highlight w:val="none"/>
                <w:lang w:val="en-US" w:eastAsia="zh-CN" w:bidi="ar"/>
              </w:rPr>
              <w:t>标准：</w:t>
            </w:r>
          </w:p>
          <w:p w14:paraId="41E849F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1"/>
                <w:szCs w:val="21"/>
                <w:highlight w:val="none"/>
                <w:lang w:val="en-US" w:eastAsia="zh-CN" w:bidi="ar"/>
              </w:rPr>
              <w:t>本国产品应当符合以下条件：</w:t>
            </w:r>
          </w:p>
          <w:p w14:paraId="0154BD6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w:t>
            </w:r>
            <w:r>
              <w:rPr>
                <w:rFonts w:hint="default" w:ascii="Helvetica" w:hAnsi="Helvetica" w:eastAsia="Helvetica" w:cs="Helvetica"/>
                <w:i w:val="0"/>
                <w:iCs w:val="0"/>
                <w:caps w:val="0"/>
                <w:color w:val="auto"/>
                <w:spacing w:val="0"/>
                <w:kern w:val="0"/>
                <w:sz w:val="21"/>
                <w:szCs w:val="21"/>
                <w:highlight w:val="none"/>
                <w:lang w:val="en-US" w:eastAsia="zh-CN" w:bidi="ar"/>
              </w:rPr>
              <w:t>（一）在中国境内生产</w:t>
            </w:r>
          </w:p>
          <w:p w14:paraId="072CF6F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w:t>
            </w:r>
            <w:r>
              <w:rPr>
                <w:rFonts w:hint="default" w:ascii="Helvetica" w:hAnsi="Helvetica" w:eastAsia="Helvetica" w:cs="Helvetica"/>
                <w:i w:val="0"/>
                <w:iCs w:val="0"/>
                <w:caps w:val="0"/>
                <w:color w:val="auto"/>
                <w:spacing w:val="0"/>
                <w:kern w:val="0"/>
                <w:sz w:val="21"/>
                <w:szCs w:val="21"/>
                <w:highlight w:val="none"/>
                <w:lang w:val="en-US" w:eastAsia="zh-CN" w:bidi="ar"/>
              </w:rPr>
              <w:t>产品应当在中国境内生产，即在中华人民共和国关境内实现从原材料、组件到产品的属性改变。</w:t>
            </w:r>
          </w:p>
          <w:p w14:paraId="48150A9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w:t>
            </w:r>
            <w:r>
              <w:rPr>
                <w:rFonts w:hint="default" w:ascii="Helvetica" w:hAnsi="Helvetica" w:eastAsia="Helvetica" w:cs="Helvetica"/>
                <w:i w:val="0"/>
                <w:iCs w:val="0"/>
                <w:caps w:val="0"/>
                <w:color w:val="auto"/>
                <w:spacing w:val="0"/>
                <w:kern w:val="0"/>
                <w:sz w:val="21"/>
                <w:szCs w:val="21"/>
                <w:highlight w:val="none"/>
                <w:lang w:val="en-US" w:eastAsia="zh-CN" w:bidi="ar"/>
              </w:rPr>
              <w:t>属性改变是指经过制造、加工或者组装等工序，产生完全不同于原材料、组件的新产品，并具有新的名称和特征（用途）。属性改变不包括以下细微操作：</w:t>
            </w:r>
          </w:p>
          <w:p w14:paraId="76D4FC0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1.</w:t>
            </w:r>
            <w:r>
              <w:rPr>
                <w:rFonts w:hint="default" w:ascii="Helvetica" w:hAnsi="Helvetica" w:eastAsia="Helvetica" w:cs="Helvetica"/>
                <w:i w:val="0"/>
                <w:iCs w:val="0"/>
                <w:caps w:val="0"/>
                <w:color w:val="auto"/>
                <w:spacing w:val="0"/>
                <w:kern w:val="0"/>
                <w:sz w:val="21"/>
                <w:szCs w:val="21"/>
                <w:highlight w:val="none"/>
                <w:lang w:val="en-US" w:eastAsia="zh-CN" w:bidi="ar"/>
              </w:rPr>
              <w:t>为确保产品在运输或者储存期间保持某种状态而进行的操作；</w:t>
            </w:r>
          </w:p>
          <w:p w14:paraId="6977681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2.</w:t>
            </w:r>
            <w:r>
              <w:rPr>
                <w:rFonts w:hint="default" w:ascii="Helvetica" w:hAnsi="Helvetica" w:eastAsia="Helvetica" w:cs="Helvetica"/>
                <w:i w:val="0"/>
                <w:iCs w:val="0"/>
                <w:caps w:val="0"/>
                <w:color w:val="auto"/>
                <w:spacing w:val="0"/>
                <w:kern w:val="0"/>
                <w:sz w:val="21"/>
                <w:szCs w:val="21"/>
                <w:highlight w:val="none"/>
                <w:lang w:val="en-US" w:eastAsia="zh-CN" w:bidi="ar"/>
              </w:rPr>
              <w:t>为产品运输或者销售进行的包装或者展示；</w:t>
            </w:r>
          </w:p>
          <w:p w14:paraId="2FDE987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3.</w:t>
            </w:r>
            <w:r>
              <w:rPr>
                <w:rFonts w:hint="default" w:ascii="Helvetica" w:hAnsi="Helvetica" w:eastAsia="Helvetica" w:cs="Helvetica"/>
                <w:i w:val="0"/>
                <w:iCs w:val="0"/>
                <w:caps w:val="0"/>
                <w:color w:val="auto"/>
                <w:spacing w:val="0"/>
                <w:kern w:val="0"/>
                <w:sz w:val="21"/>
                <w:szCs w:val="21"/>
                <w:highlight w:val="none"/>
                <w:lang w:val="en-US" w:eastAsia="zh-CN" w:bidi="ar"/>
              </w:rPr>
              <w:t>在产品或者其包装上粘贴或者印刷品牌、标志、标识以及其他用于区别的标记；</w:t>
            </w:r>
          </w:p>
          <w:p w14:paraId="0CA185B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4.</w:t>
            </w:r>
            <w:r>
              <w:rPr>
                <w:rFonts w:hint="default" w:ascii="Helvetica" w:hAnsi="Helvetica" w:eastAsia="Helvetica" w:cs="Helvetica"/>
                <w:i w:val="0"/>
                <w:iCs w:val="0"/>
                <w:caps w:val="0"/>
                <w:color w:val="auto"/>
                <w:spacing w:val="0"/>
                <w:kern w:val="0"/>
                <w:sz w:val="21"/>
                <w:szCs w:val="21"/>
                <w:highlight w:val="none"/>
                <w:lang w:val="en-US" w:eastAsia="zh-CN" w:bidi="ar"/>
              </w:rPr>
              <w:t>简单的上漆、磨光和分装；</w:t>
            </w:r>
          </w:p>
          <w:p w14:paraId="5133723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5.</w:t>
            </w:r>
            <w:r>
              <w:rPr>
                <w:rFonts w:hint="default" w:ascii="Helvetica" w:hAnsi="Helvetica" w:eastAsia="Helvetica" w:cs="Helvetica"/>
                <w:i w:val="0"/>
                <w:iCs w:val="0"/>
                <w:caps w:val="0"/>
                <w:color w:val="auto"/>
                <w:spacing w:val="0"/>
                <w:kern w:val="0"/>
                <w:sz w:val="21"/>
                <w:szCs w:val="21"/>
                <w:highlight w:val="none"/>
                <w:lang w:val="en-US" w:eastAsia="zh-CN" w:bidi="ar"/>
              </w:rPr>
              <w:t>其他不属于属性改变的情形。</w:t>
            </w:r>
          </w:p>
          <w:p w14:paraId="05CFDCB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w:t>
            </w:r>
            <w:r>
              <w:rPr>
                <w:rFonts w:hint="default" w:ascii="Helvetica" w:hAnsi="Helvetica" w:eastAsia="Helvetica" w:cs="Helvetica"/>
                <w:i w:val="0"/>
                <w:iCs w:val="0"/>
                <w:caps w:val="0"/>
                <w:color w:val="auto"/>
                <w:spacing w:val="0"/>
                <w:kern w:val="0"/>
                <w:sz w:val="21"/>
                <w:szCs w:val="21"/>
                <w:highlight w:val="none"/>
                <w:lang w:val="en-US" w:eastAsia="zh-CN" w:bidi="ar"/>
              </w:rPr>
              <w:t>（二）在中国境内生产的组件成本占比达到规定比例</w:t>
            </w:r>
          </w:p>
          <w:p w14:paraId="1FB86A7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w:t>
            </w:r>
            <w:r>
              <w:rPr>
                <w:rFonts w:hint="default" w:ascii="Helvetica" w:hAnsi="Helvetica" w:eastAsia="Helvetica" w:cs="Helvetica"/>
                <w:i w:val="0"/>
                <w:iCs w:val="0"/>
                <w:caps w:val="0"/>
                <w:color w:val="auto"/>
                <w:spacing w:val="0"/>
                <w:kern w:val="0"/>
                <w:sz w:val="21"/>
                <w:szCs w:val="21"/>
                <w:highlight w:val="none"/>
                <w:lang w:val="en-US" w:eastAsia="zh-CN" w:bidi="ar"/>
              </w:rPr>
              <w:t>产品在中国境内生产的组件成本占比应当达到规定比例，计算公式为：</w:t>
            </w:r>
          </w:p>
          <w:p w14:paraId="137FA16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1"/>
                <w:szCs w:val="21"/>
                <w:highlight w:val="none"/>
                <w:lang w:val="en-US" w:eastAsia="zh-CN" w:bidi="ar"/>
              </w:rPr>
              <w:drawing>
                <wp:inline distT="0" distB="0" distL="114300" distR="114300">
                  <wp:extent cx="4076065" cy="643255"/>
                  <wp:effectExtent l="0" t="0" r="635" b="444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9"/>
                          <a:stretch>
                            <a:fillRect/>
                          </a:stretch>
                        </pic:blipFill>
                        <pic:spPr>
                          <a:xfrm>
                            <a:off x="0" y="0"/>
                            <a:ext cx="4076065" cy="643255"/>
                          </a:xfrm>
                          <a:prstGeom prst="rect">
                            <a:avLst/>
                          </a:prstGeom>
                          <a:noFill/>
                          <a:ln w="9525">
                            <a:noFill/>
                          </a:ln>
                        </pic:spPr>
                      </pic:pic>
                    </a:graphicData>
                  </a:graphic>
                </wp:inline>
              </w:drawing>
            </w:r>
          </w:p>
          <w:p w14:paraId="00ED838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w:t>
            </w:r>
            <w:r>
              <w:rPr>
                <w:rFonts w:hint="default" w:ascii="Helvetica" w:hAnsi="Helvetica" w:eastAsia="Helvetica" w:cs="Helvetica"/>
                <w:i w:val="0"/>
                <w:iCs w:val="0"/>
                <w:caps w:val="0"/>
                <w:color w:val="auto"/>
                <w:spacing w:val="0"/>
                <w:kern w:val="0"/>
                <w:sz w:val="21"/>
                <w:szCs w:val="21"/>
                <w:highlight w:val="none"/>
                <w:lang w:val="en-US" w:eastAsia="zh-CN" w:bidi="ar"/>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6B819C8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w:t>
            </w:r>
            <w:r>
              <w:rPr>
                <w:rFonts w:hint="default" w:ascii="Helvetica" w:hAnsi="Helvetica" w:eastAsia="Helvetica" w:cs="Helvetica"/>
                <w:i w:val="0"/>
                <w:iCs w:val="0"/>
                <w:caps w:val="0"/>
                <w:color w:val="auto"/>
                <w:spacing w:val="0"/>
                <w:kern w:val="0"/>
                <w:sz w:val="21"/>
                <w:szCs w:val="21"/>
                <w:highlight w:val="none"/>
                <w:lang w:val="en-US" w:eastAsia="zh-CN" w:bidi="ar"/>
              </w:rPr>
              <w:t>（三）特定产品的关键组件、关键工序符合相关要求</w:t>
            </w:r>
          </w:p>
          <w:p w14:paraId="71BD578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w:t>
            </w:r>
            <w:r>
              <w:rPr>
                <w:rFonts w:hint="default" w:ascii="Helvetica" w:hAnsi="Helvetica" w:eastAsia="Helvetica" w:cs="Helvetica"/>
                <w:i w:val="0"/>
                <w:iCs w:val="0"/>
                <w:caps w:val="0"/>
                <w:color w:val="auto"/>
                <w:spacing w:val="0"/>
                <w:kern w:val="0"/>
                <w:sz w:val="21"/>
                <w:szCs w:val="21"/>
                <w:highlight w:val="none"/>
                <w:lang w:val="en-US" w:eastAsia="zh-CN" w:bidi="ar"/>
              </w:rPr>
              <w:t>对特定产品，在符合本通知第一条第（一）项和第（二）项条件的基础上，应当符合财政部会同有关行业主管部门确定的其关键组件、关键工序在中国境内生产、完成等要求。</w:t>
            </w:r>
          </w:p>
          <w:p w14:paraId="37070BF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leftChars="0" w:right="0" w:rightChars="0" w:firstLine="0" w:firstLineChars="0"/>
              <w:jc w:val="left"/>
              <w:rPr>
                <w:rFonts w:hint="default" w:ascii="Helvetica" w:hAnsi="Helvetica" w:eastAsia="Helvetica" w:cs="Helvetica"/>
                <w:i w:val="0"/>
                <w:iCs w:val="0"/>
                <w:caps w:val="0"/>
                <w:color w:val="auto"/>
                <w:spacing w:val="0"/>
                <w:kern w:val="0"/>
                <w:sz w:val="21"/>
                <w:szCs w:val="21"/>
                <w:highlight w:val="none"/>
                <w:lang w:val="en-US" w:eastAsia="zh-CN" w:bidi="ar"/>
              </w:rPr>
            </w:pPr>
            <w:r>
              <w:rPr>
                <w:rFonts w:hint="default" w:ascii="Helvetica" w:hAnsi="Helvetica" w:eastAsia="Helvetica" w:cs="Helvetica"/>
                <w:i w:val="0"/>
                <w:iCs w:val="0"/>
                <w:caps w:val="0"/>
                <w:color w:val="auto"/>
                <w:spacing w:val="0"/>
                <w:kern w:val="0"/>
                <w:sz w:val="24"/>
                <w:szCs w:val="24"/>
                <w:highlight w:val="none"/>
                <w:lang w:val="en-US" w:eastAsia="zh-CN" w:bidi="ar"/>
              </w:rPr>
              <w:t>  </w:t>
            </w:r>
            <w:r>
              <w:rPr>
                <w:rFonts w:hint="default" w:ascii="Helvetica" w:hAnsi="Helvetica" w:eastAsia="Helvetica" w:cs="Helvetica"/>
                <w:i w:val="0"/>
                <w:iCs w:val="0"/>
                <w:caps w:val="0"/>
                <w:color w:val="auto"/>
                <w:spacing w:val="0"/>
                <w:kern w:val="0"/>
                <w:sz w:val="21"/>
                <w:szCs w:val="21"/>
                <w:highlight w:val="none"/>
                <w:lang w:val="en-US" w:eastAsia="zh-CN" w:bidi="ar"/>
              </w:rPr>
              <w:t>财政部会同有关行业主管部门自本通知施行之日起</w:t>
            </w:r>
            <w:r>
              <w:rPr>
                <w:rFonts w:hint="default" w:ascii="Helvetica" w:hAnsi="Helvetica" w:eastAsia="Helvetica" w:cs="Helvetica"/>
                <w:i w:val="0"/>
                <w:iCs w:val="0"/>
                <w:caps w:val="0"/>
                <w:color w:val="auto"/>
                <w:spacing w:val="0"/>
                <w:kern w:val="0"/>
                <w:sz w:val="24"/>
                <w:szCs w:val="24"/>
                <w:highlight w:val="none"/>
                <w:lang w:val="en-US" w:eastAsia="zh-CN" w:bidi="ar"/>
              </w:rPr>
              <w:t>5</w:t>
            </w:r>
            <w:r>
              <w:rPr>
                <w:rFonts w:hint="default" w:ascii="Helvetica" w:hAnsi="Helvetica" w:eastAsia="Helvetica" w:cs="Helvetica"/>
                <w:i w:val="0"/>
                <w:iCs w:val="0"/>
                <w:caps w:val="0"/>
                <w:color w:val="auto"/>
                <w:spacing w:val="0"/>
                <w:kern w:val="0"/>
                <w:sz w:val="21"/>
                <w:szCs w:val="21"/>
                <w:highlight w:val="none"/>
                <w:lang w:val="en-US" w:eastAsia="zh-CN" w:bidi="ar"/>
              </w:rPr>
              <w:t>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tc>
      </w:tr>
      <w:tr w14:paraId="6EACA2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14:paraId="61B154D1">
            <w:pPr>
              <w:spacing w:line="300" w:lineRule="exact"/>
              <w:jc w:val="center"/>
              <w:rPr>
                <w:rFonts w:hint="default" w:cs="Arial"/>
                <w:bCs/>
                <w:color w:val="auto"/>
                <w:highlight w:val="none"/>
                <w:lang w:val="en-US" w:eastAsia="zh-CN"/>
              </w:rPr>
            </w:pPr>
            <w:r>
              <w:rPr>
                <w:rFonts w:hint="eastAsia" w:cs="Arial"/>
                <w:bCs/>
                <w:color w:val="auto"/>
                <w:highlight w:val="none"/>
                <w:lang w:val="en-US" w:eastAsia="zh-CN"/>
              </w:rPr>
              <w:t>32</w:t>
            </w:r>
          </w:p>
        </w:tc>
        <w:tc>
          <w:tcPr>
            <w:tcW w:w="1695" w:type="dxa"/>
            <w:tcBorders>
              <w:top w:val="single" w:color="auto" w:sz="4" w:space="0"/>
              <w:left w:val="single" w:color="auto" w:sz="4" w:space="0"/>
              <w:bottom w:val="single" w:color="auto" w:sz="4" w:space="0"/>
              <w:right w:val="single" w:color="auto" w:sz="4" w:space="0"/>
            </w:tcBorders>
            <w:shd w:val="clear" w:color="auto" w:fill="auto"/>
            <w:vAlign w:val="center"/>
          </w:tcPr>
          <w:p w14:paraId="76ABC18C">
            <w:pPr>
              <w:widowControl/>
              <w:tabs>
                <w:tab w:val="left" w:pos="720"/>
                <w:tab w:val="left" w:pos="900"/>
                <w:tab w:val="left" w:pos="1080"/>
                <w:tab w:val="left" w:pos="1260"/>
                <w:tab w:val="left" w:pos="1440"/>
                <w:tab w:val="left" w:pos="1800"/>
              </w:tabs>
              <w:spacing w:line="288" w:lineRule="auto"/>
              <w:jc w:val="center"/>
              <w:rPr>
                <w:rFonts w:hint="eastAsia" w:ascii="宋体" w:hAnsi="宋体" w:eastAsia="宋体" w:cs="宋体"/>
                <w:color w:val="auto"/>
                <w:spacing w:val="-4"/>
                <w:kern w:val="2"/>
                <w:sz w:val="21"/>
                <w:szCs w:val="21"/>
                <w:highlight w:val="none"/>
                <w:lang w:val="en-US" w:eastAsia="zh-CN" w:bidi="ar-SA"/>
              </w:rPr>
            </w:pPr>
            <w:r>
              <w:rPr>
                <w:rFonts w:hint="eastAsia" w:ascii="宋体" w:hAnsi="宋体" w:cs="宋体"/>
                <w:color w:val="auto"/>
                <w:spacing w:val="-4"/>
                <w:highlight w:val="none"/>
              </w:rPr>
              <w:t>其他</w:t>
            </w:r>
          </w:p>
        </w:tc>
        <w:tc>
          <w:tcPr>
            <w:tcW w:w="6639" w:type="dxa"/>
            <w:tcBorders>
              <w:top w:val="single" w:color="auto" w:sz="4" w:space="0"/>
              <w:left w:val="single" w:color="auto" w:sz="4" w:space="0"/>
              <w:bottom w:val="single" w:color="auto" w:sz="4" w:space="0"/>
              <w:right w:val="single" w:color="auto" w:sz="4" w:space="0"/>
            </w:tcBorders>
            <w:shd w:val="clear" w:color="auto" w:fill="auto"/>
            <w:vAlign w:val="center"/>
          </w:tcPr>
          <w:p w14:paraId="64F33188">
            <w:pPr>
              <w:widowControl/>
              <w:tabs>
                <w:tab w:val="left" w:pos="720"/>
                <w:tab w:val="left" w:pos="900"/>
                <w:tab w:val="left" w:pos="1080"/>
                <w:tab w:val="left" w:pos="1260"/>
                <w:tab w:val="left" w:pos="1440"/>
                <w:tab w:val="left" w:pos="1800"/>
              </w:tabs>
              <w:spacing w:line="288" w:lineRule="auto"/>
              <w:jc w:val="left"/>
              <w:rPr>
                <w:rFonts w:hint="default" w:ascii="Times New Roman" w:hAnsi="Times New Roman" w:eastAsia="宋体" w:cs="Times New Roman"/>
                <w:color w:val="auto"/>
                <w:kern w:val="2"/>
                <w:sz w:val="21"/>
                <w:szCs w:val="21"/>
                <w:highlight w:val="none"/>
                <w:lang w:val="en-US" w:eastAsia="zh-CN" w:bidi="ar-SA"/>
              </w:rPr>
            </w:pPr>
            <w:r>
              <w:rPr>
                <w:rFonts w:hint="eastAsia"/>
                <w:color w:val="auto"/>
                <w:highlight w:val="none"/>
              </w:rPr>
              <w:t>除法律、法规和规章规定外，招标文件中用“拒绝”“不接受”“无效”“不得”“必须”“应当”等文字规定的条款为实质性要求条款（即重要条款），对其中任何一条偏离的，在评标时将其视为无效投标。</w:t>
            </w:r>
          </w:p>
        </w:tc>
      </w:tr>
      <w:tr w14:paraId="5A17C6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5" w:hRule="atLeast"/>
          <w:jc w:val="center"/>
        </w:trPr>
        <w:tc>
          <w:tcPr>
            <w:tcW w:w="9018" w:type="dxa"/>
            <w:gridSpan w:val="3"/>
            <w:tcBorders>
              <w:top w:val="single" w:color="auto" w:sz="4" w:space="0"/>
              <w:left w:val="single" w:color="auto" w:sz="4" w:space="0"/>
              <w:bottom w:val="single" w:color="auto" w:sz="4" w:space="0"/>
              <w:right w:val="single" w:color="auto" w:sz="4" w:space="0"/>
            </w:tcBorders>
            <w:vAlign w:val="center"/>
          </w:tcPr>
          <w:p w14:paraId="7EB58D5B">
            <w:pPr>
              <w:spacing w:line="300" w:lineRule="exact"/>
              <w:jc w:val="left"/>
              <w:rPr>
                <w:rFonts w:hAnsi="宋体" w:cs="Arial"/>
                <w:bCs/>
                <w:color w:val="auto"/>
                <w:highlight w:val="none"/>
              </w:rPr>
            </w:pPr>
            <w:r>
              <w:rPr>
                <w:rFonts w:hint="eastAsia" w:hAnsi="宋体" w:cs="Arial"/>
                <w:b/>
                <w:bCs/>
                <w:color w:val="auto"/>
                <w:highlight w:val="none"/>
              </w:rPr>
              <w:t>备注：本投标人须知前附表是对招标文件中的重要内容进行罗列；如与招标文件不符，应以本表为准。</w:t>
            </w:r>
          </w:p>
        </w:tc>
      </w:tr>
    </w:tbl>
    <w:p w14:paraId="1FEB17FE">
      <w:pPr>
        <w:rPr>
          <w:color w:val="auto"/>
          <w:highlight w:val="none"/>
        </w:rPr>
      </w:pPr>
      <w:r>
        <w:rPr>
          <w:rFonts w:hint="eastAsia"/>
          <w:color w:val="auto"/>
          <w:highlight w:val="none"/>
        </w:rPr>
        <w:br w:type="page"/>
      </w:r>
    </w:p>
    <w:bookmarkEnd w:id="0"/>
    <w:bookmarkEnd w:id="1"/>
    <w:bookmarkEnd w:id="2"/>
    <w:bookmarkEnd w:id="3"/>
    <w:bookmarkEnd w:id="4"/>
    <w:bookmarkEnd w:id="5"/>
    <w:bookmarkEnd w:id="6"/>
    <w:bookmarkEnd w:id="10"/>
    <w:bookmarkEnd w:id="11"/>
    <w:bookmarkEnd w:id="12"/>
    <w:p w14:paraId="63825379">
      <w:pPr>
        <w:spacing w:line="360" w:lineRule="auto"/>
        <w:jc w:val="center"/>
        <w:rPr>
          <w:rFonts w:hint="eastAsia" w:asciiTheme="minorEastAsia" w:hAnsiTheme="minorEastAsia" w:eastAsiaTheme="minorEastAsia" w:cstheme="minorEastAsia"/>
          <w:b/>
          <w:color w:val="auto"/>
          <w:sz w:val="28"/>
          <w:szCs w:val="28"/>
          <w:highlight w:val="none"/>
        </w:rPr>
      </w:pPr>
      <w:bookmarkStart w:id="13" w:name="_Toc120614211"/>
      <w:bookmarkStart w:id="14" w:name="_Toc534725597"/>
      <w:bookmarkStart w:id="15" w:name="_Toc479757207"/>
      <w:bookmarkStart w:id="16" w:name="_Toc513029242"/>
      <w:bookmarkStart w:id="17" w:name="_Toc16938558"/>
      <w:bookmarkStart w:id="18" w:name="_Toc494375079"/>
      <w:bookmarkStart w:id="19" w:name="_Toc120614221"/>
      <w:bookmarkStart w:id="20" w:name="_Toc20823314"/>
      <w:r>
        <w:rPr>
          <w:rFonts w:hint="eastAsia" w:asciiTheme="minorEastAsia" w:hAnsiTheme="minorEastAsia" w:eastAsiaTheme="minorEastAsia" w:cstheme="minorEastAsia"/>
          <w:b/>
          <w:color w:val="auto"/>
          <w:sz w:val="28"/>
          <w:szCs w:val="28"/>
          <w:highlight w:val="none"/>
          <w:lang w:val="en-US" w:eastAsia="zh-CN"/>
        </w:rPr>
        <w:t xml:space="preserve">第一章  </w:t>
      </w:r>
      <w:r>
        <w:rPr>
          <w:rFonts w:hint="eastAsia" w:asciiTheme="minorEastAsia" w:hAnsiTheme="minorEastAsia" w:eastAsiaTheme="minorEastAsia" w:cstheme="minorEastAsia"/>
          <w:b/>
          <w:color w:val="auto"/>
          <w:sz w:val="28"/>
          <w:szCs w:val="28"/>
          <w:highlight w:val="none"/>
        </w:rPr>
        <w:t>采购公告</w:t>
      </w:r>
    </w:p>
    <w:p w14:paraId="1AF1484E">
      <w:pPr>
        <w:pStyle w:val="38"/>
        <w:spacing w:line="360" w:lineRule="auto"/>
        <w:ind w:left="0" w:firstLine="0" w:firstLineChars="0"/>
        <w:jc w:val="center"/>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中国石油大学（北京）煤直接液化装置采购项目</w:t>
      </w:r>
    </w:p>
    <w:p w14:paraId="66FA19F6">
      <w:pPr>
        <w:pStyle w:val="38"/>
        <w:spacing w:line="360" w:lineRule="auto"/>
        <w:ind w:left="0" w:firstLine="0" w:firstLineChars="0"/>
        <w:jc w:val="center"/>
        <w:rPr>
          <w:rFonts w:hint="eastAsia" w:asciiTheme="minorEastAsia" w:hAnsiTheme="minorEastAsia" w:eastAsiaTheme="minorEastAsia" w:cstheme="minorEastAsia"/>
          <w:b/>
          <w:bCs/>
          <w:color w:val="auto"/>
          <w:sz w:val="28"/>
          <w:szCs w:val="28"/>
          <w:highlight w:val="none"/>
        </w:rPr>
      </w:pPr>
    </w:p>
    <w:tbl>
      <w:tblPr>
        <w:tblStyle w:val="39"/>
        <w:tblW w:w="8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9"/>
      </w:tblGrid>
      <w:tr w14:paraId="6C9A4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trPr>
        <w:tc>
          <w:tcPr>
            <w:tcW w:w="8719" w:type="dxa"/>
            <w:noWrap w:val="0"/>
            <w:vAlign w:val="top"/>
          </w:tcPr>
          <w:p w14:paraId="516304BF">
            <w:pPr>
              <w:pStyle w:val="35"/>
              <w:spacing w:line="360" w:lineRule="auto"/>
              <w:rPr>
                <w:rFonts w:hint="eastAsia" w:asciiTheme="minorEastAsia" w:hAnsiTheme="minorEastAsia" w:eastAsiaTheme="minorEastAsia" w:cstheme="minorEastAsia"/>
                <w:color w:val="auto"/>
                <w:highlight w:val="none"/>
              </w:rPr>
            </w:pPr>
            <w:bookmarkStart w:id="21" w:name="_Toc35393629"/>
            <w:bookmarkStart w:id="22" w:name="_Toc28359089"/>
            <w:bookmarkStart w:id="23" w:name="_Toc28359012"/>
            <w:bookmarkStart w:id="24" w:name="_Toc35393798"/>
            <w:r>
              <w:rPr>
                <w:rFonts w:hint="eastAsia" w:asciiTheme="minorEastAsia" w:hAnsiTheme="minorEastAsia" w:eastAsiaTheme="minorEastAsia" w:cstheme="minorEastAsia"/>
                <w:color w:val="auto"/>
                <w:highlight w:val="none"/>
              </w:rPr>
              <w:t>项目概况：</w:t>
            </w:r>
            <w:r>
              <w:rPr>
                <w:rFonts w:hint="eastAsia" w:asciiTheme="minorEastAsia" w:hAnsiTheme="minorEastAsia" w:eastAsiaTheme="minorEastAsia" w:cstheme="minorEastAsia"/>
                <w:color w:val="auto"/>
                <w:highlight w:val="none"/>
                <w:u w:val="single"/>
                <w:lang w:val="en-US" w:eastAsia="zh-CN"/>
              </w:rPr>
              <w:t>中国石油大学（北京）煤直接液化装置采购项目</w:t>
            </w:r>
            <w:r>
              <w:rPr>
                <w:rFonts w:hint="eastAsia" w:asciiTheme="minorEastAsia" w:hAnsiTheme="minorEastAsia" w:eastAsiaTheme="minorEastAsia" w:cstheme="minorEastAsia"/>
                <w:color w:val="auto"/>
                <w:highlight w:val="none"/>
              </w:rPr>
              <w:t>的潜在供应商应在</w:t>
            </w:r>
            <w:r>
              <w:rPr>
                <w:rFonts w:hint="eastAsia" w:asciiTheme="minorEastAsia" w:hAnsiTheme="minorEastAsia" w:eastAsiaTheme="minorEastAsia" w:cstheme="minorEastAsia"/>
                <w:color w:val="auto"/>
                <w:highlight w:val="none"/>
                <w:u w:val="single"/>
                <w:lang w:val="en-US" w:eastAsia="zh-CN"/>
              </w:rPr>
              <w:t>中国政府采购网</w:t>
            </w:r>
            <w:r>
              <w:rPr>
                <w:rFonts w:hint="eastAsia" w:asciiTheme="minorEastAsia" w:hAnsiTheme="minorEastAsia" w:eastAsiaTheme="minorEastAsia" w:cstheme="minorEastAsia"/>
                <w:color w:val="auto"/>
                <w:highlight w:val="none"/>
              </w:rPr>
              <w:t>获取</w:t>
            </w:r>
            <w:r>
              <w:rPr>
                <w:rFonts w:hint="eastAsia" w:asciiTheme="minorEastAsia" w:hAnsiTheme="minorEastAsia" w:eastAsiaTheme="minorEastAsia" w:cstheme="minorEastAsia"/>
                <w:color w:val="auto"/>
                <w:highlight w:val="none"/>
                <w:lang w:val="en-US" w:eastAsia="zh-CN"/>
              </w:rPr>
              <w:t>招标</w:t>
            </w:r>
            <w:r>
              <w:rPr>
                <w:rFonts w:hint="eastAsia" w:asciiTheme="minorEastAsia" w:hAnsiTheme="minorEastAsia" w:eastAsiaTheme="minorEastAsia" w:cstheme="minorEastAsia"/>
                <w:color w:val="auto"/>
                <w:highlight w:val="none"/>
              </w:rPr>
              <w:t>文件，并于</w:t>
            </w:r>
            <w:r>
              <w:rPr>
                <w:rFonts w:hint="eastAsia" w:asciiTheme="minorEastAsia" w:hAnsiTheme="minorEastAsia" w:eastAsiaTheme="minorEastAsia" w:cstheme="minorEastAsia"/>
                <w:color w:val="auto"/>
                <w:highlight w:val="none"/>
                <w:u w:val="single"/>
                <w:lang w:eastAsia="zh-CN"/>
              </w:rPr>
              <w:t>202</w:t>
            </w:r>
            <w:r>
              <w:rPr>
                <w:rFonts w:hint="eastAsia" w:asciiTheme="minorEastAsia" w:hAnsiTheme="minorEastAsia" w:eastAsiaTheme="minorEastAsia" w:cstheme="minorEastAsia"/>
                <w:color w:val="auto"/>
                <w:highlight w:val="none"/>
                <w:u w:val="single"/>
                <w:lang w:val="en-US" w:eastAsia="zh-CN"/>
              </w:rPr>
              <w:t>6</w:t>
            </w:r>
            <w:r>
              <w:rPr>
                <w:rFonts w:hint="eastAsia" w:asciiTheme="minorEastAsia" w:hAnsiTheme="minorEastAsia" w:eastAsiaTheme="minorEastAsia" w:cstheme="minorEastAsia"/>
                <w:color w:val="auto"/>
                <w:highlight w:val="none"/>
                <w:u w:val="single"/>
                <w:lang w:eastAsia="zh-CN"/>
              </w:rPr>
              <w:t>年</w:t>
            </w:r>
            <w:r>
              <w:rPr>
                <w:rFonts w:hint="eastAsia" w:asciiTheme="minorEastAsia" w:hAnsiTheme="minorEastAsia" w:eastAsiaTheme="minorEastAsia" w:cstheme="minorEastAsia"/>
                <w:color w:val="auto"/>
                <w:highlight w:val="none"/>
                <w:u w:val="single"/>
                <w:lang w:val="en-US" w:eastAsia="zh-CN"/>
              </w:rPr>
              <w:t>11</w:t>
            </w:r>
            <w:r>
              <w:rPr>
                <w:rFonts w:hint="eastAsia" w:asciiTheme="minorEastAsia" w:hAnsiTheme="minorEastAsia" w:eastAsiaTheme="minorEastAsia" w:cstheme="minorEastAsia"/>
                <w:color w:val="auto"/>
                <w:highlight w:val="none"/>
                <w:u w:val="single"/>
                <w:lang w:eastAsia="zh-CN"/>
              </w:rPr>
              <w:t>月</w:t>
            </w:r>
            <w:r>
              <w:rPr>
                <w:rFonts w:hint="eastAsia" w:asciiTheme="minorEastAsia" w:hAnsiTheme="minorEastAsia" w:eastAsiaTheme="minorEastAsia" w:cstheme="minorEastAsia"/>
                <w:color w:val="auto"/>
                <w:highlight w:val="none"/>
                <w:u w:val="single"/>
                <w:lang w:val="en-US" w:eastAsia="zh-CN"/>
              </w:rPr>
              <w:t>11</w:t>
            </w:r>
            <w:r>
              <w:rPr>
                <w:rFonts w:hint="eastAsia" w:asciiTheme="minorEastAsia" w:hAnsiTheme="minorEastAsia" w:eastAsiaTheme="minorEastAsia" w:cstheme="minorEastAsia"/>
                <w:color w:val="auto"/>
                <w:highlight w:val="none"/>
                <w:u w:val="single"/>
                <w:lang w:eastAsia="zh-CN"/>
              </w:rPr>
              <w:t>日</w:t>
            </w:r>
            <w:r>
              <w:rPr>
                <w:rFonts w:hint="eastAsia" w:asciiTheme="minorEastAsia" w:hAnsiTheme="minorEastAsia" w:eastAsiaTheme="minorEastAsia" w:cstheme="minorEastAsia"/>
                <w:color w:val="auto"/>
                <w:highlight w:val="none"/>
                <w:u w:val="single"/>
                <w:lang w:val="en-US" w:eastAsia="zh-CN"/>
              </w:rPr>
              <w:t>10</w:t>
            </w:r>
            <w:r>
              <w:rPr>
                <w:rFonts w:hint="eastAsia" w:asciiTheme="minorEastAsia" w:hAnsiTheme="minorEastAsia" w:eastAsiaTheme="minorEastAsia" w:cstheme="minorEastAsia"/>
                <w:color w:val="auto"/>
                <w:highlight w:val="none"/>
                <w:u w:val="single"/>
                <w:lang w:eastAsia="zh-CN"/>
              </w:rPr>
              <w:t>点</w:t>
            </w:r>
            <w:r>
              <w:rPr>
                <w:rFonts w:hint="eastAsia" w:asciiTheme="minorEastAsia" w:hAnsiTheme="minorEastAsia" w:eastAsiaTheme="minorEastAsia" w:cstheme="minorEastAsia"/>
                <w:color w:val="auto"/>
                <w:highlight w:val="none"/>
                <w:u w:val="single"/>
                <w:lang w:val="en-US" w:eastAsia="zh-CN"/>
              </w:rPr>
              <w:t>30</w:t>
            </w:r>
            <w:r>
              <w:rPr>
                <w:rFonts w:hint="eastAsia" w:asciiTheme="minorEastAsia" w:hAnsiTheme="minorEastAsia" w:eastAsiaTheme="minorEastAsia" w:cstheme="minorEastAsia"/>
                <w:color w:val="auto"/>
                <w:highlight w:val="none"/>
                <w:u w:val="single"/>
                <w:lang w:eastAsia="zh-CN"/>
              </w:rPr>
              <w:t>分</w:t>
            </w:r>
            <w:r>
              <w:rPr>
                <w:rFonts w:hint="eastAsia" w:asciiTheme="minorEastAsia" w:hAnsiTheme="minorEastAsia" w:eastAsiaTheme="minorEastAsia" w:cstheme="minorEastAsia"/>
                <w:color w:val="auto"/>
                <w:highlight w:val="none"/>
              </w:rPr>
              <w:t>（北京时间）前</w:t>
            </w:r>
            <w:r>
              <w:rPr>
                <w:rFonts w:hint="eastAsia" w:asciiTheme="minorEastAsia" w:hAnsiTheme="minorEastAsia" w:eastAsiaTheme="minorEastAsia" w:cstheme="minorEastAsia"/>
                <w:color w:val="auto"/>
                <w:highlight w:val="none"/>
                <w:lang w:val="en-US" w:eastAsia="zh-CN"/>
              </w:rPr>
              <w:t>递交投标</w:t>
            </w:r>
            <w:r>
              <w:rPr>
                <w:rFonts w:hint="eastAsia" w:asciiTheme="minorEastAsia" w:hAnsiTheme="minorEastAsia" w:eastAsiaTheme="minorEastAsia" w:cstheme="minorEastAsia"/>
                <w:color w:val="auto"/>
                <w:highlight w:val="none"/>
              </w:rPr>
              <w:t>文件。</w:t>
            </w:r>
          </w:p>
        </w:tc>
      </w:tr>
    </w:tbl>
    <w:p w14:paraId="5BA8B1E0">
      <w:pPr>
        <w:pStyle w:val="4"/>
        <w:numPr>
          <w:ilvl w:val="0"/>
          <w:numId w:val="0"/>
        </w:numPr>
        <w:spacing w:before="0" w:after="0" w:line="360" w:lineRule="auto"/>
        <w:ind w:firstLine="482" w:firstLineChars="200"/>
        <w:rPr>
          <w:rFonts w:hint="eastAsia" w:asciiTheme="minorEastAsia" w:hAnsiTheme="minorEastAsia" w:eastAsiaTheme="minorEastAsia" w:cstheme="minorEastAsia"/>
          <w:bCs/>
          <w:i w:val="0"/>
          <w:color w:val="auto"/>
          <w:kern w:val="2"/>
          <w:sz w:val="24"/>
          <w:szCs w:val="24"/>
          <w:highlight w:val="none"/>
          <w:lang w:val="en-US" w:eastAsia="zh-CN"/>
        </w:rPr>
      </w:pPr>
      <w:r>
        <w:rPr>
          <w:rFonts w:hint="eastAsia" w:asciiTheme="minorEastAsia" w:hAnsiTheme="minorEastAsia" w:eastAsiaTheme="minorEastAsia" w:cstheme="minorEastAsia"/>
          <w:bCs/>
          <w:i w:val="0"/>
          <w:color w:val="auto"/>
          <w:kern w:val="2"/>
          <w:sz w:val="24"/>
          <w:szCs w:val="24"/>
          <w:highlight w:val="none"/>
          <w:lang w:val="en-US" w:eastAsia="zh-CN"/>
        </w:rPr>
        <w:t>一、项目基本情况</w:t>
      </w:r>
      <w:bookmarkEnd w:id="21"/>
      <w:bookmarkEnd w:id="22"/>
      <w:bookmarkEnd w:id="23"/>
      <w:bookmarkEnd w:id="24"/>
    </w:p>
    <w:p w14:paraId="4F9123CB">
      <w:pPr>
        <w:pStyle w:val="56"/>
        <w:rPr>
          <w:rFonts w:ascii="宋体" w:hAnsi="宋体" w:eastAsia="宋体" w:cs="宋体"/>
          <w:color w:val="auto"/>
          <w:sz w:val="24"/>
          <w:szCs w:val="24"/>
          <w:highlight w:val="none"/>
        </w:rPr>
      </w:pPr>
      <w:r>
        <w:rPr>
          <w:rFonts w:ascii="宋体" w:hAnsi="宋体" w:eastAsia="宋体" w:cs="宋体"/>
          <w:color w:val="auto"/>
          <w:sz w:val="24"/>
          <w:szCs w:val="24"/>
          <w:highlight w:val="none"/>
        </w:rPr>
        <w:t>项目编号：</w:t>
      </w:r>
      <w:r>
        <w:rPr>
          <w:rFonts w:hint="eastAsia" w:hAnsi="宋体" w:cs="宋体"/>
          <w:color w:val="auto"/>
          <w:sz w:val="24"/>
          <w:szCs w:val="24"/>
          <w:highlight w:val="none"/>
          <w:lang w:eastAsia="zh-CN"/>
        </w:rPr>
        <w:t>HYGS-ZC-2026-58</w:t>
      </w:r>
    </w:p>
    <w:p w14:paraId="757ECFFB">
      <w:pPr>
        <w:pStyle w:val="56"/>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项目名称：</w:t>
      </w:r>
      <w:r>
        <w:rPr>
          <w:rFonts w:hint="eastAsia" w:hAnsi="宋体" w:cs="宋体"/>
          <w:color w:val="auto"/>
          <w:sz w:val="24"/>
          <w:szCs w:val="24"/>
          <w:highlight w:val="none"/>
          <w:lang w:eastAsia="zh-CN"/>
        </w:rPr>
        <w:t>中国石油大学（北京）煤直接液化装置采购项目</w:t>
      </w:r>
    </w:p>
    <w:p w14:paraId="2BE56E5F">
      <w:pPr>
        <w:pStyle w:val="56"/>
        <w:rPr>
          <w:rFonts w:ascii="宋体" w:hAnsi="宋体" w:eastAsia="宋体" w:cs="宋体"/>
          <w:color w:val="auto"/>
          <w:sz w:val="24"/>
          <w:szCs w:val="24"/>
          <w:highlight w:val="none"/>
        </w:rPr>
      </w:pPr>
      <w:r>
        <w:rPr>
          <w:rFonts w:ascii="宋体" w:hAnsi="宋体" w:eastAsia="宋体" w:cs="宋体"/>
          <w:color w:val="auto"/>
          <w:sz w:val="24"/>
          <w:szCs w:val="24"/>
          <w:highlight w:val="none"/>
        </w:rPr>
        <w:t>预算金额：</w:t>
      </w:r>
      <w:r>
        <w:rPr>
          <w:rFonts w:hint="eastAsia" w:hAnsi="宋体" w:cs="宋体"/>
          <w:color w:val="auto"/>
          <w:sz w:val="24"/>
          <w:szCs w:val="24"/>
          <w:highlight w:val="none"/>
          <w:lang w:val="en-US" w:eastAsia="zh-CN"/>
        </w:rPr>
        <w:t>44</w:t>
      </w:r>
      <w:r>
        <w:rPr>
          <w:rFonts w:hint="eastAsia" w:ascii="宋体" w:hAnsi="宋体" w:eastAsia="宋体" w:cs="Arial"/>
          <w:bCs/>
          <w:color w:val="auto"/>
          <w:kern w:val="0"/>
          <w:sz w:val="24"/>
          <w:szCs w:val="24"/>
          <w:highlight w:val="none"/>
          <w:lang w:val="en-US" w:eastAsia="zh-CN" w:bidi="ar-SA"/>
        </w:rPr>
        <w:t>万元（</w:t>
      </w:r>
      <w:r>
        <w:rPr>
          <w:rFonts w:ascii="宋体" w:hAnsi="宋体" w:eastAsia="宋体" w:cs="宋体"/>
          <w:color w:val="auto"/>
          <w:sz w:val="24"/>
          <w:szCs w:val="24"/>
          <w:highlight w:val="none"/>
        </w:rPr>
        <w:t>人民币）</w:t>
      </w:r>
    </w:p>
    <w:p w14:paraId="6E39F36E">
      <w:pPr>
        <w:rPr>
          <w:rFonts w:hint="eastAsia"/>
          <w:color w:val="auto"/>
          <w:highlight w:val="none"/>
          <w:lang w:val="en-US" w:eastAsia="zh-CN"/>
        </w:rPr>
      </w:pPr>
      <w:r>
        <w:rPr>
          <w:rFonts w:ascii="宋体" w:hAnsi="宋体" w:eastAsia="宋体" w:cs="宋体"/>
          <w:color w:val="auto"/>
          <w:sz w:val="24"/>
          <w:szCs w:val="24"/>
          <w:highlight w:val="none"/>
        </w:rPr>
        <w:t>最高限价（如有）：</w:t>
      </w:r>
      <w:r>
        <w:rPr>
          <w:rFonts w:hint="eastAsia" w:ascii="宋体" w:hAnsi="宋体" w:cs="宋体"/>
          <w:color w:val="auto"/>
          <w:sz w:val="24"/>
          <w:szCs w:val="24"/>
          <w:highlight w:val="none"/>
          <w:lang w:val="en-US" w:eastAsia="zh-CN"/>
        </w:rPr>
        <w:t>44</w:t>
      </w:r>
      <w:r>
        <w:rPr>
          <w:rFonts w:hint="eastAsia" w:ascii="宋体" w:hAnsi="宋体" w:eastAsia="宋体" w:cs="Arial"/>
          <w:bCs/>
          <w:color w:val="auto"/>
          <w:kern w:val="0"/>
          <w:sz w:val="24"/>
          <w:szCs w:val="24"/>
          <w:highlight w:val="none"/>
          <w:lang w:val="en-US" w:eastAsia="zh-CN" w:bidi="ar-SA"/>
        </w:rPr>
        <w:t>万元</w:t>
      </w:r>
      <w:r>
        <w:rPr>
          <w:rFonts w:ascii="宋体" w:hAnsi="宋体" w:eastAsia="宋体" w:cs="宋体"/>
          <w:color w:val="auto"/>
          <w:sz w:val="24"/>
          <w:szCs w:val="24"/>
          <w:highlight w:val="none"/>
        </w:rPr>
        <w:t>（人民币）</w:t>
      </w:r>
    </w:p>
    <w:p w14:paraId="72FC123D">
      <w:pPr>
        <w:pStyle w:val="56"/>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采购需求：</w:t>
      </w:r>
    </w:p>
    <w:tbl>
      <w:tblPr>
        <w:tblStyle w:val="40"/>
        <w:tblW w:w="8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6"/>
        <w:gridCol w:w="2999"/>
        <w:gridCol w:w="1283"/>
        <w:gridCol w:w="1600"/>
        <w:gridCol w:w="1730"/>
      </w:tblGrid>
      <w:tr w14:paraId="447F6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6" w:type="dxa"/>
            <w:vAlign w:val="center"/>
          </w:tcPr>
          <w:p w14:paraId="0A059798">
            <w:pPr>
              <w:widowControl/>
              <w:jc w:val="center"/>
              <w:textAlignment w:val="center"/>
              <w:rPr>
                <w:rFonts w:hint="eastAsia" w:asciiTheme="minorEastAsia" w:hAnsiTheme="minorEastAsia" w:eastAsiaTheme="minorEastAsia" w:cstheme="minorEastAsia"/>
                <w:color w:val="auto"/>
                <w:sz w:val="24"/>
                <w:highlight w:val="none"/>
                <w:vertAlign w:val="baseline"/>
                <w:lang w:eastAsia="zh-CN"/>
              </w:rPr>
            </w:pPr>
            <w:r>
              <w:rPr>
                <w:rFonts w:hint="eastAsia" w:ascii="宋体" w:hAnsi="宋体" w:cs="宋体"/>
                <w:color w:val="auto"/>
                <w:kern w:val="0"/>
                <w:sz w:val="24"/>
                <w:szCs w:val="24"/>
                <w:highlight w:val="none"/>
              </w:rPr>
              <w:t>包号</w:t>
            </w:r>
          </w:p>
        </w:tc>
        <w:tc>
          <w:tcPr>
            <w:tcW w:w="2999" w:type="dxa"/>
            <w:vAlign w:val="center"/>
          </w:tcPr>
          <w:p w14:paraId="46CA5743">
            <w:pPr>
              <w:widowControl/>
              <w:jc w:val="center"/>
              <w:textAlignment w:val="center"/>
              <w:rPr>
                <w:rFonts w:hint="eastAsia" w:asciiTheme="minorEastAsia" w:hAnsiTheme="minorEastAsia" w:eastAsiaTheme="minorEastAsia" w:cstheme="minorEastAsia"/>
                <w:color w:val="auto"/>
                <w:sz w:val="24"/>
                <w:highlight w:val="none"/>
                <w:vertAlign w:val="baseline"/>
                <w:lang w:eastAsia="zh-CN"/>
              </w:rPr>
            </w:pPr>
            <w:r>
              <w:rPr>
                <w:rFonts w:hint="eastAsia" w:ascii="宋体" w:hAnsi="宋体" w:cs="宋体"/>
                <w:color w:val="auto"/>
                <w:kern w:val="0"/>
                <w:sz w:val="24"/>
                <w:szCs w:val="24"/>
                <w:highlight w:val="none"/>
              </w:rPr>
              <w:t>采购品目名称</w:t>
            </w:r>
          </w:p>
        </w:tc>
        <w:tc>
          <w:tcPr>
            <w:tcW w:w="1283" w:type="dxa"/>
            <w:vAlign w:val="center"/>
          </w:tcPr>
          <w:p w14:paraId="70D082A0">
            <w:pPr>
              <w:widowControl/>
              <w:jc w:val="center"/>
              <w:textAlignment w:val="center"/>
              <w:rPr>
                <w:rFonts w:hint="eastAsia" w:asciiTheme="minorEastAsia" w:hAnsiTheme="minorEastAsia" w:eastAsiaTheme="minorEastAsia" w:cstheme="minorEastAsia"/>
                <w:color w:val="auto"/>
                <w:sz w:val="24"/>
                <w:highlight w:val="none"/>
                <w:vertAlign w:val="baseline"/>
                <w:lang w:eastAsia="zh-CN"/>
              </w:rPr>
            </w:pPr>
            <w:r>
              <w:rPr>
                <w:rFonts w:hint="eastAsia" w:ascii="宋体" w:hAnsi="宋体" w:cs="宋体"/>
                <w:color w:val="auto"/>
                <w:kern w:val="0"/>
                <w:sz w:val="24"/>
                <w:szCs w:val="24"/>
                <w:highlight w:val="none"/>
              </w:rPr>
              <w:t>单位</w:t>
            </w:r>
          </w:p>
        </w:tc>
        <w:tc>
          <w:tcPr>
            <w:tcW w:w="1600" w:type="dxa"/>
            <w:vAlign w:val="center"/>
          </w:tcPr>
          <w:p w14:paraId="5044FB32">
            <w:pPr>
              <w:widowControl/>
              <w:jc w:val="center"/>
              <w:textAlignment w:val="center"/>
              <w:rPr>
                <w:rFonts w:hint="eastAsia" w:asciiTheme="minorEastAsia" w:hAnsiTheme="minorEastAsia" w:eastAsiaTheme="minorEastAsia" w:cstheme="minorEastAsia"/>
                <w:color w:val="auto"/>
                <w:sz w:val="24"/>
                <w:highlight w:val="none"/>
                <w:vertAlign w:val="baseline"/>
                <w:lang w:eastAsia="zh-CN"/>
              </w:rPr>
            </w:pPr>
            <w:r>
              <w:rPr>
                <w:rFonts w:hint="eastAsia" w:ascii="宋体" w:hAnsi="宋体" w:cs="宋体"/>
                <w:color w:val="auto"/>
                <w:kern w:val="0"/>
                <w:sz w:val="24"/>
                <w:szCs w:val="24"/>
                <w:highlight w:val="none"/>
              </w:rPr>
              <w:t>采购数量</w:t>
            </w:r>
          </w:p>
        </w:tc>
        <w:tc>
          <w:tcPr>
            <w:tcW w:w="1730" w:type="dxa"/>
            <w:vAlign w:val="center"/>
          </w:tcPr>
          <w:p w14:paraId="58C317C0">
            <w:pPr>
              <w:widowControl/>
              <w:jc w:val="center"/>
              <w:textAlignment w:val="center"/>
              <w:rPr>
                <w:rFonts w:hint="eastAsia" w:asciiTheme="minorEastAsia" w:hAnsiTheme="minorEastAsia" w:eastAsiaTheme="minorEastAsia" w:cstheme="minorEastAsia"/>
                <w:color w:val="auto"/>
                <w:sz w:val="24"/>
                <w:highlight w:val="none"/>
                <w:vertAlign w:val="baseline"/>
                <w:lang w:eastAsia="zh-CN"/>
              </w:rPr>
            </w:pPr>
            <w:r>
              <w:rPr>
                <w:rFonts w:hint="eastAsia" w:ascii="宋体" w:hAnsi="宋体" w:cs="宋体"/>
                <w:color w:val="auto"/>
                <w:kern w:val="0"/>
                <w:sz w:val="24"/>
                <w:szCs w:val="24"/>
                <w:highlight w:val="none"/>
              </w:rPr>
              <w:t>最高单价限价（万元</w:t>
            </w:r>
            <w:r>
              <w:rPr>
                <w:rFonts w:hint="eastAsia" w:ascii="宋体" w:hAnsi="宋体" w:cs="宋体"/>
                <w:color w:val="auto"/>
                <w:kern w:val="0"/>
                <w:sz w:val="24"/>
                <w:szCs w:val="24"/>
                <w:highlight w:val="no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台</w:t>
            </w:r>
            <w:r>
              <w:rPr>
                <w:rFonts w:hint="eastAsia" w:ascii="宋体" w:hAnsi="宋体" w:cs="宋体"/>
                <w:color w:val="auto"/>
                <w:kern w:val="0"/>
                <w:sz w:val="24"/>
                <w:szCs w:val="24"/>
                <w:highlight w:val="none"/>
              </w:rPr>
              <w:t>）</w:t>
            </w:r>
          </w:p>
        </w:tc>
      </w:tr>
      <w:tr w14:paraId="55859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 w:hRule="atLeast"/>
        </w:trPr>
        <w:tc>
          <w:tcPr>
            <w:tcW w:w="1046" w:type="dxa"/>
            <w:vAlign w:val="center"/>
          </w:tcPr>
          <w:p w14:paraId="26B2B0F4">
            <w:pPr>
              <w:keepNext w:val="0"/>
              <w:keepLines w:val="0"/>
              <w:widowControl/>
              <w:suppressLineNumbers w:val="0"/>
              <w:jc w:val="center"/>
              <w:textAlignment w:val="center"/>
              <w:rPr>
                <w:rFonts w:hint="eastAsia" w:asciiTheme="minorEastAsia" w:hAnsiTheme="minorEastAsia" w:eastAsiaTheme="minorEastAsia" w:cstheme="minorEastAsia"/>
                <w:color w:val="auto"/>
                <w:sz w:val="24"/>
                <w:szCs w:val="24"/>
                <w:highlight w:val="none"/>
                <w:vertAlign w:val="baseline"/>
                <w:lang w:eastAsia="zh-CN"/>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w:t>
            </w:r>
          </w:p>
        </w:tc>
        <w:tc>
          <w:tcPr>
            <w:tcW w:w="2999" w:type="dxa"/>
            <w:vAlign w:val="center"/>
          </w:tcPr>
          <w:p w14:paraId="11AC909C">
            <w:pPr>
              <w:keepNext w:val="0"/>
              <w:keepLines w:val="0"/>
              <w:widowControl/>
              <w:suppressLineNumbers w:val="0"/>
              <w:jc w:val="center"/>
              <w:textAlignment w:val="center"/>
              <w:rPr>
                <w:rFonts w:hint="eastAsia" w:asciiTheme="minorEastAsia" w:hAnsiTheme="minorEastAsia" w:eastAsiaTheme="minorEastAsia" w:cstheme="minorEastAsia"/>
                <w:color w:val="auto"/>
                <w:sz w:val="24"/>
                <w:szCs w:val="24"/>
                <w:highlight w:val="none"/>
                <w:vertAlign w:val="baseline"/>
                <w:lang w:eastAsia="zh-CN"/>
              </w:rPr>
            </w:pPr>
            <w:r>
              <w:rPr>
                <w:rFonts w:hint="eastAsia" w:asciiTheme="minorEastAsia" w:hAnsiTheme="minorEastAsia" w:eastAsiaTheme="minorEastAsia" w:cstheme="minorEastAsia"/>
                <w:color w:val="auto"/>
                <w:sz w:val="24"/>
                <w:szCs w:val="24"/>
                <w:highlight w:val="none"/>
                <w:vertAlign w:val="baseline"/>
                <w:lang w:eastAsia="zh-CN"/>
              </w:rPr>
              <w:t>煤直接液化装置</w:t>
            </w:r>
          </w:p>
        </w:tc>
        <w:tc>
          <w:tcPr>
            <w:tcW w:w="1283" w:type="dxa"/>
            <w:vAlign w:val="center"/>
          </w:tcPr>
          <w:p w14:paraId="0A7269AC">
            <w:pPr>
              <w:keepNext w:val="0"/>
              <w:keepLines w:val="0"/>
              <w:widowControl/>
              <w:suppressLineNumbers w:val="0"/>
              <w:jc w:val="center"/>
              <w:textAlignment w:val="center"/>
              <w:rPr>
                <w:rFonts w:hint="default"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台</w:t>
            </w:r>
          </w:p>
        </w:tc>
        <w:tc>
          <w:tcPr>
            <w:tcW w:w="1600" w:type="dxa"/>
            <w:vAlign w:val="center"/>
          </w:tcPr>
          <w:p w14:paraId="5FFE6D8E">
            <w:pPr>
              <w:keepNext w:val="0"/>
              <w:keepLines w:val="0"/>
              <w:widowControl/>
              <w:suppressLineNumbers w:val="0"/>
              <w:jc w:val="center"/>
              <w:textAlignment w:val="center"/>
              <w:rPr>
                <w:rFonts w:hint="default"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1</w:t>
            </w:r>
          </w:p>
        </w:tc>
        <w:tc>
          <w:tcPr>
            <w:tcW w:w="1730" w:type="dxa"/>
            <w:vAlign w:val="center"/>
          </w:tcPr>
          <w:p w14:paraId="51931247">
            <w:pPr>
              <w:keepNext w:val="0"/>
              <w:keepLines w:val="0"/>
              <w:widowControl/>
              <w:suppressLineNumbers w:val="0"/>
              <w:jc w:val="center"/>
              <w:textAlignment w:val="center"/>
              <w:rPr>
                <w:rFonts w:hint="default" w:asciiTheme="minorEastAsia" w:hAnsiTheme="minorEastAsia" w:eastAsiaTheme="minorEastAsia" w:cstheme="minorEastAsia"/>
                <w:i w:val="0"/>
                <w:iCs w:val="0"/>
                <w:color w:val="auto"/>
                <w:kern w:val="0"/>
                <w:sz w:val="24"/>
                <w:szCs w:val="24"/>
                <w:highlight w:val="none"/>
                <w:u w:val="none"/>
                <w:lang w:val="en-US" w:eastAsia="zh-CN" w:bidi="ar"/>
              </w:rPr>
            </w:pPr>
            <w:r>
              <w:rPr>
                <w:rFonts w:hint="eastAsia" w:asciiTheme="minorEastAsia" w:hAnsiTheme="minorEastAsia" w:eastAsiaTheme="minorEastAsia" w:cstheme="minorEastAsia"/>
                <w:i w:val="0"/>
                <w:iCs w:val="0"/>
                <w:color w:val="auto"/>
                <w:kern w:val="0"/>
                <w:sz w:val="24"/>
                <w:szCs w:val="24"/>
                <w:highlight w:val="none"/>
                <w:u w:val="none"/>
                <w:lang w:val="en-US" w:eastAsia="zh-CN" w:bidi="ar"/>
              </w:rPr>
              <w:t>44</w:t>
            </w:r>
          </w:p>
        </w:tc>
      </w:tr>
    </w:tbl>
    <w:p w14:paraId="305A6B55">
      <w:pPr>
        <w:spacing w:line="360" w:lineRule="auto"/>
        <w:ind w:firstLine="480" w:firstLineChars="200"/>
        <w:rPr>
          <w:rFonts w:hint="eastAsia" w:asciiTheme="minorEastAsia" w:hAnsiTheme="minorEastAsia" w:eastAsiaTheme="minorEastAsia" w:cstheme="minorEastAsia"/>
          <w:b w:val="0"/>
          <w:bCs w:val="0"/>
          <w:color w:val="auto"/>
          <w:sz w:val="24"/>
          <w:highlight w:val="none"/>
        </w:rPr>
      </w:pPr>
      <w:bookmarkStart w:id="25" w:name="_Toc35393630"/>
      <w:bookmarkStart w:id="26" w:name="_Toc28359013"/>
      <w:bookmarkStart w:id="27" w:name="_Toc28359090"/>
      <w:bookmarkStart w:id="28" w:name="_Toc35393799"/>
      <w:bookmarkStart w:id="29" w:name="_Toc35393631"/>
      <w:bookmarkStart w:id="30" w:name="_Toc35393800"/>
      <w:bookmarkStart w:id="31" w:name="_Toc28359014"/>
      <w:bookmarkStart w:id="32" w:name="_Toc28359091"/>
      <w:r>
        <w:rPr>
          <w:rFonts w:hint="eastAsia" w:hAnsi="宋体" w:cs="宋体"/>
          <w:color w:val="auto"/>
          <w:sz w:val="24"/>
          <w:szCs w:val="24"/>
          <w:highlight w:val="none"/>
          <w:lang w:val="en-US" w:eastAsia="zh-CN"/>
        </w:rPr>
        <w:t>合同履约期限</w:t>
      </w:r>
      <w:r>
        <w:rPr>
          <w:rFonts w:hint="eastAsia" w:asciiTheme="minorEastAsia" w:hAnsiTheme="minorEastAsia" w:eastAsiaTheme="minorEastAsia" w:cstheme="minorEastAsia"/>
          <w:b w:val="0"/>
          <w:bCs w:val="0"/>
          <w:color w:val="auto"/>
          <w:sz w:val="24"/>
          <w:highlight w:val="none"/>
        </w:rPr>
        <w:t>：自签订采购合同后</w:t>
      </w:r>
      <w:r>
        <w:rPr>
          <w:rFonts w:hint="eastAsia" w:asciiTheme="minorEastAsia" w:hAnsiTheme="minorEastAsia" w:eastAsiaTheme="minorEastAsia" w:cstheme="minorEastAsia"/>
          <w:b w:val="0"/>
          <w:bCs w:val="0"/>
          <w:color w:val="auto"/>
          <w:sz w:val="24"/>
          <w:highlight w:val="none"/>
          <w:lang w:val="en-US" w:eastAsia="zh-CN"/>
        </w:rPr>
        <w:t>6</w:t>
      </w:r>
      <w:r>
        <w:rPr>
          <w:rFonts w:hint="eastAsia" w:asciiTheme="minorEastAsia" w:hAnsiTheme="minorEastAsia" w:eastAsiaTheme="minorEastAsia" w:cstheme="minorEastAsia"/>
          <w:b w:val="0"/>
          <w:bCs w:val="0"/>
          <w:color w:val="auto"/>
          <w:sz w:val="24"/>
          <w:highlight w:val="none"/>
        </w:rPr>
        <w:t>0日（日历日）内交货并完成安装调试。</w:t>
      </w:r>
    </w:p>
    <w:p w14:paraId="0D06D0DD">
      <w:pPr>
        <w:spacing w:line="360" w:lineRule="auto"/>
        <w:ind w:firstLine="480" w:firstLineChars="200"/>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本项目不接受联合体投标。</w:t>
      </w:r>
    </w:p>
    <w:p w14:paraId="4F535A2A">
      <w:pPr>
        <w:spacing w:line="360" w:lineRule="auto"/>
        <w:ind w:firstLine="482" w:firstLineChars="20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二、申请人的资格要求：</w:t>
      </w:r>
      <w:bookmarkEnd w:id="25"/>
      <w:bookmarkEnd w:id="26"/>
      <w:bookmarkEnd w:id="27"/>
      <w:bookmarkEnd w:id="28"/>
    </w:p>
    <w:p w14:paraId="44F6C402">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1.满足《中华人民共和国政府采购法》第二十二条规定；</w:t>
      </w:r>
    </w:p>
    <w:p w14:paraId="43D791FA">
      <w:pPr>
        <w:spacing w:line="360" w:lineRule="auto"/>
        <w:ind w:firstLine="480" w:firstLineChars="200"/>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.落实政府采购政策需满足的资格要求：</w:t>
      </w: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lang w:val="zh-CN"/>
        </w:rPr>
        <w:t>）</w:t>
      </w:r>
      <w:r>
        <w:rPr>
          <w:rFonts w:hint="eastAsia" w:asciiTheme="minorEastAsia" w:hAnsiTheme="minorEastAsia" w:eastAsiaTheme="minorEastAsia" w:cstheme="minorEastAsia"/>
          <w:color w:val="auto"/>
          <w:sz w:val="24"/>
          <w:highlight w:val="none"/>
        </w:rPr>
        <w:t>本项目专门面向中小企业采购。</w:t>
      </w:r>
      <w:r>
        <w:rPr>
          <w:rFonts w:hint="eastAsia" w:asciiTheme="minorEastAsia" w:hAnsiTheme="minorEastAsia" w:eastAsiaTheme="minorEastAsia" w:cstheme="minorEastAsia"/>
          <w:color w:val="auto"/>
          <w:sz w:val="24"/>
          <w:highlight w:val="none"/>
          <w:lang w:val="zh-CN"/>
        </w:rPr>
        <w:t>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14:paraId="2C9D579F">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rPr>
        <w:t>.本项目的特定资格要求：</w:t>
      </w:r>
    </w:p>
    <w:p w14:paraId="05F98F3B">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（1）与招标人存在利害关系可能影响招标公正性的法人、其他组织或者个人，不得参加同一标段投标或者未划分标段的同一招标不得参加投标；</w:t>
      </w:r>
    </w:p>
    <w:p w14:paraId="3899345D">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（2）投标单位负责人为同一人或者存在直接控股、管理关系的不同投标人不得参加同一合同项下的采购活动。</w:t>
      </w:r>
    </w:p>
    <w:p w14:paraId="5082DE06">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3）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失信主体、政府采购严重违法失信行为记录名单的（尚在处罚期内的），将拒绝其参加本次项目投标。</w:t>
      </w:r>
    </w:p>
    <w:bookmarkEnd w:id="29"/>
    <w:bookmarkEnd w:id="30"/>
    <w:bookmarkEnd w:id="31"/>
    <w:bookmarkEnd w:id="32"/>
    <w:p w14:paraId="38EAAA7F">
      <w:pPr>
        <w:spacing w:line="360" w:lineRule="auto"/>
        <w:ind w:firstLine="482" w:firstLineChars="20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三、获取</w:t>
      </w:r>
      <w:r>
        <w:rPr>
          <w:rFonts w:hint="eastAsia" w:asciiTheme="minorEastAsia" w:hAnsiTheme="minorEastAsia" w:eastAsiaTheme="minorEastAsia" w:cstheme="minorEastAsia"/>
          <w:b/>
          <w:bCs/>
          <w:color w:val="auto"/>
          <w:sz w:val="24"/>
          <w:highlight w:val="none"/>
          <w:lang w:val="en-US" w:eastAsia="zh-CN"/>
        </w:rPr>
        <w:t>招标</w:t>
      </w:r>
      <w:r>
        <w:rPr>
          <w:rFonts w:hint="eastAsia" w:asciiTheme="minorEastAsia" w:hAnsiTheme="minorEastAsia" w:eastAsiaTheme="minorEastAsia" w:cstheme="minorEastAsia"/>
          <w:b/>
          <w:bCs/>
          <w:color w:val="auto"/>
          <w:sz w:val="24"/>
          <w:highlight w:val="none"/>
        </w:rPr>
        <w:t>文件</w:t>
      </w:r>
    </w:p>
    <w:p w14:paraId="65165B9C">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时间：</w:t>
      </w:r>
      <w:r>
        <w:rPr>
          <w:rFonts w:hint="eastAsia" w:asciiTheme="minorEastAsia" w:hAnsiTheme="minorEastAsia" w:eastAsiaTheme="minorEastAsia" w:cstheme="minorEastAsia"/>
          <w:color w:val="auto"/>
          <w:sz w:val="24"/>
          <w:highlight w:val="none"/>
          <w:lang w:eastAsia="zh-CN"/>
        </w:rPr>
        <w:t>202</w:t>
      </w:r>
      <w:r>
        <w:rPr>
          <w:rFonts w:hint="eastAsia" w:asciiTheme="minorEastAsia" w:hAnsiTheme="minorEastAsia" w:eastAsiaTheme="minorEastAsia" w:cstheme="minorEastAsia"/>
          <w:color w:val="auto"/>
          <w:sz w:val="24"/>
          <w:highlight w:val="none"/>
          <w:lang w:val="en-US" w:eastAsia="zh-CN"/>
        </w:rPr>
        <w:t>6</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lang w:val="en-US" w:eastAsia="zh-CN"/>
        </w:rPr>
        <w:t>10</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lang w:val="en-US" w:eastAsia="zh-CN"/>
        </w:rPr>
        <w:t>22</w:t>
      </w:r>
      <w:r>
        <w:rPr>
          <w:rFonts w:hint="eastAsia" w:asciiTheme="minorEastAsia" w:hAnsiTheme="minorEastAsia" w:eastAsiaTheme="minorEastAsia" w:cstheme="minorEastAsia"/>
          <w:color w:val="auto"/>
          <w:sz w:val="24"/>
          <w:highlight w:val="none"/>
        </w:rPr>
        <w:t>日至</w:t>
      </w:r>
      <w:r>
        <w:rPr>
          <w:rFonts w:hint="eastAsia" w:asciiTheme="minorEastAsia" w:hAnsiTheme="minorEastAsia" w:eastAsiaTheme="minorEastAsia" w:cstheme="minorEastAsia"/>
          <w:color w:val="auto"/>
          <w:sz w:val="24"/>
          <w:highlight w:val="none"/>
          <w:lang w:eastAsia="zh-CN"/>
        </w:rPr>
        <w:t>202</w:t>
      </w:r>
      <w:r>
        <w:rPr>
          <w:rFonts w:hint="eastAsia" w:asciiTheme="minorEastAsia" w:hAnsiTheme="minorEastAsia" w:eastAsiaTheme="minorEastAsia" w:cstheme="minorEastAsia"/>
          <w:color w:val="auto"/>
          <w:sz w:val="24"/>
          <w:highlight w:val="none"/>
          <w:lang w:val="en-US" w:eastAsia="zh-CN"/>
        </w:rPr>
        <w:t>6</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lang w:val="en-US" w:eastAsia="zh-CN"/>
        </w:rPr>
        <w:t>10</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lang w:val="en-US" w:eastAsia="zh-CN"/>
        </w:rPr>
        <w:t>28</w:t>
      </w:r>
      <w:r>
        <w:rPr>
          <w:rFonts w:hint="eastAsia" w:asciiTheme="minorEastAsia" w:hAnsiTheme="minorEastAsia" w:eastAsiaTheme="minorEastAsia" w:cstheme="minorEastAsia"/>
          <w:color w:val="auto"/>
          <w:sz w:val="24"/>
          <w:highlight w:val="none"/>
        </w:rPr>
        <w:t>日（每天上午10:00至13:30，下午16:00至19:30（北京时间，法定节假日除外）</w:t>
      </w:r>
    </w:p>
    <w:p w14:paraId="1F46EEC1">
      <w:pPr>
        <w:spacing w:line="360" w:lineRule="auto"/>
        <w:ind w:firstLine="480" w:firstLineChars="200"/>
        <w:rPr>
          <w:rFonts w:hint="default" w:asciiTheme="minorEastAsia" w:hAnsiTheme="minorEastAsia" w:eastAsiaTheme="minorEastAsia" w:cstheme="minorEastAsia"/>
          <w:color w:val="auto"/>
          <w:sz w:val="24"/>
          <w:highlight w:val="none"/>
          <w:lang w:val="en-US" w:eastAsia="zh-CN"/>
        </w:rPr>
      </w:pPr>
      <w:bookmarkStart w:id="33" w:name="_Toc35393632"/>
      <w:bookmarkStart w:id="34" w:name="_Toc28359015"/>
      <w:bookmarkStart w:id="35" w:name="_Toc28359092"/>
      <w:bookmarkStart w:id="36" w:name="_Toc35393801"/>
      <w:r>
        <w:rPr>
          <w:rFonts w:hint="eastAsia" w:asciiTheme="minorEastAsia" w:hAnsiTheme="minorEastAsia" w:eastAsiaTheme="minorEastAsia" w:cstheme="minorEastAsia"/>
          <w:color w:val="auto"/>
          <w:sz w:val="24"/>
          <w:highlight w:val="none"/>
        </w:rPr>
        <w:t>地点：</w:t>
      </w:r>
      <w:r>
        <w:rPr>
          <w:rFonts w:hint="eastAsia" w:asciiTheme="minorEastAsia" w:hAnsiTheme="minorEastAsia" w:eastAsiaTheme="minorEastAsia" w:cstheme="minorEastAsia"/>
          <w:color w:val="auto"/>
          <w:sz w:val="24"/>
          <w:highlight w:val="none"/>
          <w:lang w:val="en-US" w:eastAsia="zh-CN"/>
        </w:rPr>
        <w:t>中国政府采购网</w:t>
      </w:r>
    </w:p>
    <w:bookmarkEnd w:id="33"/>
    <w:bookmarkEnd w:id="34"/>
    <w:bookmarkEnd w:id="35"/>
    <w:bookmarkEnd w:id="36"/>
    <w:p w14:paraId="1D30B786">
      <w:pPr>
        <w:spacing w:line="360" w:lineRule="auto"/>
        <w:ind w:firstLine="480" w:firstLineChars="200"/>
        <w:rPr>
          <w:rFonts w:hint="eastAsia" w:asciiTheme="minorEastAsia" w:hAnsiTheme="minorEastAsia" w:eastAsiaTheme="minorEastAsia" w:cstheme="minorEastAsia"/>
          <w:color w:val="auto"/>
          <w:sz w:val="24"/>
          <w:highlight w:val="none"/>
        </w:rPr>
      </w:pPr>
      <w:bookmarkStart w:id="37" w:name="_Toc35393804"/>
      <w:bookmarkStart w:id="38" w:name="_Toc35393635"/>
      <w:r>
        <w:rPr>
          <w:rFonts w:hint="eastAsia" w:asciiTheme="minorEastAsia" w:hAnsiTheme="minorEastAsia" w:eastAsiaTheme="minorEastAsia" w:cstheme="minorEastAsia"/>
          <w:color w:val="auto"/>
          <w:sz w:val="24"/>
          <w:highlight w:val="none"/>
        </w:rPr>
        <w:t>方式：线上</w:t>
      </w:r>
    </w:p>
    <w:p w14:paraId="73B89CCC">
      <w:pPr>
        <w:spacing w:line="360" w:lineRule="auto"/>
        <w:ind w:firstLine="54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售价：0.00元</w:t>
      </w:r>
    </w:p>
    <w:p w14:paraId="16CFA2E2">
      <w:pPr>
        <w:spacing w:line="360" w:lineRule="auto"/>
        <w:ind w:firstLine="482" w:firstLineChars="200"/>
        <w:rPr>
          <w:rFonts w:hint="eastAsia" w:asciiTheme="minorEastAsia" w:hAnsiTheme="minorEastAsia" w:eastAsiaTheme="minorEastAsia" w:cstheme="minorEastAsia"/>
          <w:b/>
          <w:bCs/>
          <w:color w:val="auto"/>
          <w:kern w:val="2"/>
          <w:sz w:val="24"/>
          <w:szCs w:val="21"/>
          <w:highlight w:val="none"/>
          <w:lang w:val="en-US" w:eastAsia="zh-CN" w:bidi="ar-SA"/>
        </w:rPr>
      </w:pPr>
      <w:r>
        <w:rPr>
          <w:rFonts w:hint="eastAsia" w:asciiTheme="minorEastAsia" w:hAnsiTheme="minorEastAsia" w:eastAsiaTheme="minorEastAsia" w:cstheme="minorEastAsia"/>
          <w:b/>
          <w:bCs/>
          <w:color w:val="auto"/>
          <w:kern w:val="2"/>
          <w:sz w:val="24"/>
          <w:szCs w:val="21"/>
          <w:highlight w:val="none"/>
          <w:lang w:val="en-US" w:eastAsia="zh-CN" w:bidi="ar-SA"/>
        </w:rPr>
        <w:t>四、提交投标文件截止时间、开标时间和地点</w:t>
      </w:r>
    </w:p>
    <w:p w14:paraId="627348B2">
      <w:pPr>
        <w:pStyle w:val="35"/>
        <w:spacing w:before="0" w:beforeAutospacing="0" w:after="0" w:afterAutospacing="0" w:line="360" w:lineRule="auto"/>
        <w:ind w:firstLine="480" w:firstLineChars="200"/>
        <w:rPr>
          <w:rFonts w:hint="eastAsia" w:asciiTheme="minorEastAsia" w:hAnsiTheme="minorEastAsia" w:eastAsiaTheme="minorEastAsia" w:cstheme="minorEastAsia"/>
          <w:color w:val="auto"/>
          <w:highlight w:val="none"/>
        </w:rPr>
      </w:pPr>
      <w:bookmarkStart w:id="39" w:name="_Toc28359016"/>
      <w:bookmarkStart w:id="40" w:name="_Toc28359093"/>
      <w:bookmarkStart w:id="41" w:name="_Toc35393802"/>
      <w:bookmarkStart w:id="42" w:name="_Toc35393633"/>
      <w:r>
        <w:rPr>
          <w:rFonts w:hint="eastAsia" w:asciiTheme="minorEastAsia" w:hAnsiTheme="minorEastAsia" w:eastAsiaTheme="minorEastAsia" w:cstheme="minorEastAsia"/>
          <w:color w:val="auto"/>
          <w:highlight w:val="none"/>
        </w:rPr>
        <w:t>提交投标文件截止时间：2026年11月11日10点30分（北京时间）</w:t>
      </w:r>
    </w:p>
    <w:p w14:paraId="1C915BAD">
      <w:pPr>
        <w:pStyle w:val="35"/>
        <w:spacing w:before="0" w:beforeAutospacing="0" w:after="0" w:afterAutospacing="0" w:line="360" w:lineRule="auto"/>
        <w:ind w:firstLine="480" w:firstLineChars="200"/>
        <w:rPr>
          <w:rFonts w:hint="eastAsia" w:asciiTheme="minorEastAsia" w:hAnsiTheme="minorEastAsia" w:eastAsiaTheme="minorEastAsia" w:cstheme="minorEastAsia"/>
          <w:color w:val="auto"/>
          <w:highlight w:val="none"/>
        </w:rPr>
      </w:pPr>
      <w:bookmarkStart w:id="153" w:name="_GoBack"/>
      <w:bookmarkEnd w:id="153"/>
      <w:r>
        <w:rPr>
          <w:rFonts w:hint="eastAsia" w:asciiTheme="minorEastAsia" w:hAnsiTheme="minorEastAsia" w:eastAsiaTheme="minorEastAsia" w:cstheme="minorEastAsia"/>
          <w:color w:val="auto"/>
          <w:highlight w:val="none"/>
        </w:rPr>
        <w:t>开标时间：2026年11月11日10点30分（北京时间）</w:t>
      </w:r>
    </w:p>
    <w:p w14:paraId="68633A93">
      <w:pPr>
        <w:pStyle w:val="35"/>
        <w:spacing w:before="0" w:beforeAutospacing="0" w:after="0" w:afterAutospacing="0"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highlight w:val="none"/>
        </w:rPr>
        <w:t>地点：克拉玛依市恒隆广场A座4</w:t>
      </w:r>
      <w:r>
        <w:rPr>
          <w:rFonts w:hint="eastAsia" w:asciiTheme="minorEastAsia" w:hAnsiTheme="minorEastAsia" w:eastAsiaTheme="minorEastAsia" w:cstheme="minorEastAsia"/>
          <w:color w:val="auto"/>
          <w:highlight w:val="none"/>
          <w:lang w:val="en-US" w:eastAsia="zh-CN"/>
        </w:rPr>
        <w:t>12-1</w:t>
      </w:r>
      <w:r>
        <w:rPr>
          <w:rFonts w:hint="eastAsia" w:asciiTheme="minorEastAsia" w:hAnsiTheme="minorEastAsia" w:eastAsiaTheme="minorEastAsia" w:cstheme="minorEastAsia"/>
          <w:color w:val="auto"/>
          <w:highlight w:val="none"/>
        </w:rPr>
        <w:t>室</w:t>
      </w:r>
    </w:p>
    <w:bookmarkEnd w:id="39"/>
    <w:bookmarkEnd w:id="40"/>
    <w:bookmarkEnd w:id="41"/>
    <w:bookmarkEnd w:id="42"/>
    <w:p w14:paraId="728F13F2">
      <w:pPr>
        <w:pStyle w:val="35"/>
        <w:numPr>
          <w:ilvl w:val="0"/>
          <w:numId w:val="0"/>
        </w:numPr>
        <w:spacing w:before="0" w:beforeAutospacing="0" w:after="0" w:afterAutospacing="0" w:line="360" w:lineRule="auto"/>
        <w:ind w:firstLine="482" w:firstLineChars="200"/>
        <w:rPr>
          <w:rFonts w:hint="eastAsia" w:asciiTheme="minorEastAsia" w:hAnsiTheme="minorEastAsia" w:eastAsiaTheme="minorEastAsia" w:cstheme="minorEastAsia"/>
          <w:b/>
          <w:bCs/>
          <w:color w:val="auto"/>
          <w:highlight w:val="none"/>
        </w:rPr>
      </w:pPr>
      <w:bookmarkStart w:id="43" w:name="_Toc28359017"/>
      <w:bookmarkStart w:id="44" w:name="_Toc35393803"/>
      <w:bookmarkStart w:id="45" w:name="_Toc35393634"/>
      <w:bookmarkStart w:id="46" w:name="_Toc28359094"/>
      <w:r>
        <w:rPr>
          <w:rFonts w:hint="eastAsia" w:asciiTheme="minorEastAsia" w:hAnsiTheme="minorEastAsia" w:eastAsiaTheme="minorEastAsia" w:cstheme="minorEastAsia"/>
          <w:b/>
          <w:bCs/>
          <w:color w:val="auto"/>
          <w:highlight w:val="none"/>
          <w:lang w:eastAsia="zh-CN"/>
        </w:rPr>
        <w:t>五、</w:t>
      </w:r>
      <w:r>
        <w:rPr>
          <w:rFonts w:hint="eastAsia" w:asciiTheme="minorEastAsia" w:hAnsiTheme="minorEastAsia" w:eastAsiaTheme="minorEastAsia" w:cstheme="minorEastAsia"/>
          <w:b/>
          <w:bCs/>
          <w:color w:val="auto"/>
          <w:highlight w:val="none"/>
        </w:rPr>
        <w:t>公告期限</w:t>
      </w:r>
      <w:bookmarkEnd w:id="43"/>
      <w:bookmarkEnd w:id="44"/>
      <w:bookmarkEnd w:id="45"/>
      <w:bookmarkEnd w:id="46"/>
    </w:p>
    <w:p w14:paraId="7B0082DB">
      <w:pPr>
        <w:pStyle w:val="35"/>
        <w:spacing w:before="0" w:beforeAutospacing="0" w:after="0" w:afterAutospacing="0" w:line="360" w:lineRule="auto"/>
        <w:ind w:firstLine="48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自本公告发布之日起</w:t>
      </w:r>
      <w:r>
        <w:rPr>
          <w:rFonts w:hint="eastAsia" w:asciiTheme="minorEastAsia" w:hAnsiTheme="minorEastAsia" w:eastAsiaTheme="minorEastAsia" w:cstheme="minorEastAsia"/>
          <w:color w:val="auto"/>
          <w:highlight w:val="none"/>
          <w:lang w:val="en-US" w:eastAsia="zh-CN"/>
        </w:rPr>
        <w:t>5</w:t>
      </w:r>
      <w:r>
        <w:rPr>
          <w:rFonts w:hint="eastAsia" w:asciiTheme="minorEastAsia" w:hAnsiTheme="minorEastAsia" w:eastAsiaTheme="minorEastAsia" w:cstheme="minorEastAsia"/>
          <w:color w:val="auto"/>
          <w:highlight w:val="none"/>
        </w:rPr>
        <w:t>个工作日</w:t>
      </w:r>
    </w:p>
    <w:p w14:paraId="4B818702">
      <w:pPr>
        <w:pStyle w:val="35"/>
        <w:numPr>
          <w:ilvl w:val="0"/>
          <w:numId w:val="0"/>
        </w:numPr>
        <w:spacing w:before="0" w:beforeAutospacing="0" w:after="0" w:afterAutospacing="0" w:line="360" w:lineRule="auto"/>
        <w:ind w:firstLine="482" w:firstLineChars="200"/>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lang w:eastAsia="zh-CN"/>
        </w:rPr>
        <w:t>六、</w:t>
      </w:r>
      <w:r>
        <w:rPr>
          <w:rFonts w:hint="eastAsia" w:asciiTheme="minorEastAsia" w:hAnsiTheme="minorEastAsia" w:eastAsiaTheme="minorEastAsia" w:cstheme="minorEastAsia"/>
          <w:b/>
          <w:bCs/>
          <w:color w:val="auto"/>
          <w:highlight w:val="none"/>
        </w:rPr>
        <w:t>其他补充事宜</w:t>
      </w:r>
      <w:bookmarkEnd w:id="37"/>
      <w:bookmarkEnd w:id="38"/>
    </w:p>
    <w:p w14:paraId="6FD40944">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bookmarkStart w:id="47" w:name="_Toc35393805"/>
      <w:bookmarkStart w:id="48" w:name="_Toc28359018"/>
      <w:bookmarkStart w:id="49" w:name="_Toc35393636"/>
      <w:bookmarkStart w:id="50" w:name="_Toc28359095"/>
      <w:r>
        <w:rPr>
          <w:rFonts w:hint="eastAsia" w:asciiTheme="minorEastAsia" w:hAnsiTheme="minorEastAsia" w:eastAsiaTheme="minorEastAsia" w:cstheme="minorEastAsia"/>
          <w:color w:val="auto"/>
          <w:sz w:val="24"/>
          <w:highlight w:val="none"/>
          <w:lang w:val="en-US" w:eastAsia="zh-CN"/>
        </w:rPr>
        <w:t>领取招标文件时：需将单位名称、所投项目名称、联系人、联系方式和电子邮箱号书写在一张A4纸上并加盖公章，扫描件递交至</w:t>
      </w:r>
      <w:r>
        <w:rPr>
          <w:rFonts w:hint="eastAsia" w:asciiTheme="minorEastAsia" w:hAnsiTheme="minorEastAsia" w:eastAsiaTheme="minorEastAsia" w:cstheme="minorEastAsia"/>
          <w:color w:val="auto"/>
          <w:sz w:val="24"/>
          <w:highlight w:val="none"/>
        </w:rPr>
        <w:t>新疆宏宇建设工程项目管理有限责任公司（克拉玛依市恒隆广场A座4</w:t>
      </w:r>
      <w:r>
        <w:rPr>
          <w:rFonts w:hint="eastAsia" w:asciiTheme="minorEastAsia" w:hAnsiTheme="minorEastAsia" w:eastAsiaTheme="minorEastAsia" w:cstheme="minorEastAsia"/>
          <w:color w:val="auto"/>
          <w:sz w:val="24"/>
          <w:highlight w:val="none"/>
          <w:lang w:val="en-US" w:eastAsia="zh-CN"/>
        </w:rPr>
        <w:t>15-1</w:t>
      </w:r>
      <w:r>
        <w:rPr>
          <w:rFonts w:hint="eastAsia" w:asciiTheme="minorEastAsia" w:hAnsiTheme="minorEastAsia" w:eastAsiaTheme="minorEastAsia" w:cstheme="minorEastAsia"/>
          <w:color w:val="auto"/>
          <w:sz w:val="24"/>
          <w:highlight w:val="none"/>
        </w:rPr>
        <w:t>室）</w:t>
      </w:r>
      <w:r>
        <w:rPr>
          <w:rFonts w:hint="eastAsia" w:asciiTheme="minorEastAsia" w:hAnsiTheme="minorEastAsia" w:eastAsiaTheme="minorEastAsia" w:cstheme="minorEastAsia"/>
          <w:color w:val="auto"/>
          <w:sz w:val="24"/>
          <w:highlight w:val="none"/>
          <w:lang w:val="en-US" w:eastAsia="zh-CN"/>
        </w:rPr>
        <w:t>，或发送至指定邮箱289701204@qq.com</w:t>
      </w:r>
    </w:p>
    <w:p w14:paraId="14D6EE24">
      <w:pPr>
        <w:spacing w:line="360" w:lineRule="auto"/>
        <w:ind w:firstLine="482" w:firstLineChars="200"/>
        <w:rPr>
          <w:rFonts w:hint="eastAsia" w:asciiTheme="minorEastAsia" w:hAnsiTheme="minorEastAsia" w:eastAsiaTheme="minorEastAsia" w:cstheme="minorEastAsia"/>
          <w:b/>
          <w:bCs/>
          <w:color w:val="auto"/>
          <w:kern w:val="0"/>
          <w:sz w:val="24"/>
          <w:highlight w:val="none"/>
        </w:rPr>
      </w:pPr>
      <w:r>
        <w:rPr>
          <w:rFonts w:hint="eastAsia" w:asciiTheme="minorEastAsia" w:hAnsiTheme="minorEastAsia" w:eastAsiaTheme="minorEastAsia" w:cstheme="minorEastAsia"/>
          <w:b/>
          <w:bCs/>
          <w:color w:val="auto"/>
          <w:kern w:val="0"/>
          <w:sz w:val="24"/>
          <w:highlight w:val="none"/>
          <w:lang w:eastAsia="zh-CN"/>
        </w:rPr>
        <w:t>七、</w:t>
      </w:r>
      <w:r>
        <w:rPr>
          <w:rFonts w:hint="eastAsia" w:asciiTheme="minorEastAsia" w:hAnsiTheme="minorEastAsia" w:eastAsiaTheme="minorEastAsia" w:cstheme="minorEastAsia"/>
          <w:b/>
          <w:bCs/>
          <w:color w:val="auto"/>
          <w:kern w:val="0"/>
          <w:sz w:val="24"/>
          <w:highlight w:val="none"/>
        </w:rPr>
        <w:t>凡对本次采购提出询问，请按以下方式联系。</w:t>
      </w:r>
      <w:bookmarkEnd w:id="47"/>
      <w:bookmarkEnd w:id="48"/>
      <w:bookmarkEnd w:id="49"/>
      <w:bookmarkEnd w:id="50"/>
      <w:bookmarkStart w:id="51" w:name="_Toc35393806"/>
      <w:bookmarkStart w:id="52" w:name="_Toc28359096"/>
      <w:bookmarkStart w:id="53" w:name="_Toc35393637"/>
      <w:bookmarkStart w:id="54" w:name="_Toc28359019"/>
    </w:p>
    <w:bookmarkEnd w:id="51"/>
    <w:bookmarkEnd w:id="52"/>
    <w:bookmarkEnd w:id="53"/>
    <w:bookmarkEnd w:id="54"/>
    <w:p w14:paraId="7A93ED19">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1.采购人信息</w:t>
      </w:r>
    </w:p>
    <w:p w14:paraId="398E5ED1">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名    称：中国石油大学（北京）</w:t>
      </w:r>
    </w:p>
    <w:p w14:paraId="62D47D2C">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    址：新疆克拉玛依市克拉玛依区安定路355号</w:t>
      </w:r>
    </w:p>
    <w:p w14:paraId="3AF2E5C4">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联 系 人：马出原</w:t>
      </w:r>
    </w:p>
    <w:p w14:paraId="5E5714EF">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联系电话：15595438000</w:t>
      </w:r>
    </w:p>
    <w:p w14:paraId="4866DA1B">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2.采购代理机构信息</w:t>
      </w:r>
    </w:p>
    <w:p w14:paraId="2B807068">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名    称：新疆宏宇建设工程项目管理有限责任公司</w:t>
      </w:r>
    </w:p>
    <w:p w14:paraId="3C40F993">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　　址：克拉玛依市恒隆广场A座401-1室</w:t>
      </w:r>
    </w:p>
    <w:p w14:paraId="00371611">
      <w:pPr>
        <w:spacing w:line="360" w:lineRule="auto"/>
        <w:ind w:firstLine="480" w:firstLineChars="200"/>
        <w:rPr>
          <w:rFonts w:hint="default" w:asciiTheme="minorEastAsia" w:hAnsiTheme="minorEastAsia" w:eastAsiaTheme="minorEastAsia" w:cstheme="minorEastAsia"/>
          <w:color w:val="auto"/>
          <w:sz w:val="24"/>
          <w:highlight w:val="none"/>
          <w:lang w:val="en-US"/>
        </w:rPr>
      </w:pPr>
      <w:r>
        <w:rPr>
          <w:rFonts w:hint="eastAsia" w:asciiTheme="minorEastAsia" w:hAnsiTheme="minorEastAsia" w:eastAsiaTheme="minorEastAsia" w:cstheme="minorEastAsia"/>
          <w:color w:val="auto"/>
          <w:sz w:val="24"/>
          <w:highlight w:val="none"/>
        </w:rPr>
        <w:t>联系方式：</w:t>
      </w:r>
      <w:r>
        <w:rPr>
          <w:rFonts w:hint="eastAsia" w:asciiTheme="minorEastAsia" w:hAnsiTheme="minorEastAsia" w:eastAsiaTheme="minorEastAsia" w:cstheme="minorEastAsia"/>
          <w:color w:val="auto"/>
          <w:sz w:val="24"/>
          <w:highlight w:val="none"/>
          <w:lang w:val="en-US" w:eastAsia="zh-CN"/>
        </w:rPr>
        <w:t xml:space="preserve">周水霞   </w:t>
      </w:r>
      <w:r>
        <w:rPr>
          <w:rFonts w:hint="eastAsia" w:asciiTheme="minorEastAsia" w:hAnsiTheme="minorEastAsia" w:eastAsiaTheme="minorEastAsia" w:cstheme="minorEastAsia"/>
          <w:color w:val="auto"/>
          <w:sz w:val="24"/>
          <w:highlight w:val="none"/>
        </w:rPr>
        <w:t>杨童艳</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 徐璐琪</w:t>
      </w:r>
      <w:r>
        <w:rPr>
          <w:rFonts w:hint="eastAsia" w:asciiTheme="minorEastAsia" w:hAnsiTheme="minorEastAsia" w:eastAsiaTheme="minorEastAsia" w:cstheme="minorEastAsia"/>
          <w:color w:val="auto"/>
          <w:sz w:val="24"/>
          <w:highlight w:val="none"/>
          <w:lang w:val="en-US" w:eastAsia="zh-CN"/>
        </w:rPr>
        <w:t xml:space="preserve">18935837269   </w:t>
      </w:r>
      <w:r>
        <w:rPr>
          <w:rFonts w:hint="eastAsia" w:asciiTheme="minorEastAsia" w:hAnsiTheme="minorEastAsia" w:eastAsiaTheme="minorEastAsia" w:cstheme="minorEastAsia"/>
          <w:color w:val="auto"/>
          <w:sz w:val="24"/>
          <w:highlight w:val="none"/>
        </w:rPr>
        <w:t>0990-6608599</w:t>
      </w:r>
    </w:p>
    <w:p w14:paraId="541CB39A">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3.项目联系方式</w:t>
      </w:r>
    </w:p>
    <w:p w14:paraId="06B22CAE">
      <w:pPr>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 xml:space="preserve">项目联系人：周水霞   </w:t>
      </w:r>
      <w:r>
        <w:rPr>
          <w:rFonts w:hint="eastAsia" w:asciiTheme="minorEastAsia" w:hAnsiTheme="minorEastAsia" w:eastAsiaTheme="minorEastAsia" w:cstheme="minorEastAsia"/>
          <w:color w:val="auto"/>
          <w:sz w:val="24"/>
          <w:highlight w:val="none"/>
        </w:rPr>
        <w:t>杨童艳</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 徐璐琪</w:t>
      </w:r>
    </w:p>
    <w:p w14:paraId="453FE595">
      <w:pPr>
        <w:spacing w:line="360" w:lineRule="auto"/>
        <w:ind w:firstLine="480" w:firstLineChars="200"/>
        <w:rPr>
          <w:rFonts w:hint="default" w:asciiTheme="minorEastAsia" w:hAnsiTheme="minorEastAsia" w:eastAsiaTheme="minorEastAsia" w:cstheme="minorEastAsia"/>
          <w:color w:val="auto"/>
          <w:sz w:val="24"/>
          <w:highlight w:val="none"/>
          <w:lang w:val="en-US"/>
        </w:rPr>
      </w:pPr>
      <w:r>
        <w:rPr>
          <w:rFonts w:hint="eastAsia" w:asciiTheme="minorEastAsia" w:hAnsiTheme="minorEastAsia" w:eastAsiaTheme="minorEastAsia" w:cstheme="minorEastAsia"/>
          <w:color w:val="auto"/>
          <w:sz w:val="24"/>
          <w:highlight w:val="none"/>
          <w:lang w:val="en-US" w:eastAsia="zh-CN"/>
        </w:rPr>
        <w:t>电话：18935837269   0990-6608599</w:t>
      </w:r>
    </w:p>
    <w:p w14:paraId="144E1DCE">
      <w:pPr>
        <w:pStyle w:val="128"/>
        <w:ind w:left="432" w:right="130"/>
        <w:jc w:val="right"/>
        <w:rPr>
          <w:rFonts w:hint="eastAsia" w:asciiTheme="minorEastAsia" w:hAnsiTheme="minorEastAsia" w:eastAsiaTheme="minorEastAsia" w:cstheme="minorEastAsia"/>
          <w:color w:val="auto"/>
          <w:sz w:val="24"/>
          <w:highlight w:val="none"/>
        </w:rPr>
      </w:pPr>
    </w:p>
    <w:p w14:paraId="2ADAA796">
      <w:pPr>
        <w:pStyle w:val="128"/>
        <w:ind w:left="432" w:right="130"/>
        <w:jc w:val="right"/>
        <w:rPr>
          <w:rFonts w:hint="eastAsia" w:asciiTheme="minorEastAsia" w:hAnsiTheme="minorEastAsia" w:eastAsiaTheme="minorEastAsia" w:cstheme="minorEastAsia"/>
          <w:color w:val="auto"/>
          <w:sz w:val="24"/>
          <w:highlight w:val="none"/>
          <w:lang w:eastAsia="zh-CN"/>
        </w:rPr>
      </w:pPr>
    </w:p>
    <w:p w14:paraId="6EB043BE">
      <w:pPr>
        <w:jc w:val="right"/>
        <w:rPr>
          <w:rFonts w:ascii="宋体" w:hAnsi="宋体" w:cs="宋体"/>
          <w:color w:val="auto"/>
          <w:spacing w:val="10"/>
          <w:sz w:val="24"/>
          <w:szCs w:val="24"/>
          <w:highlight w:val="none"/>
        </w:rPr>
      </w:pPr>
      <w:r>
        <w:rPr>
          <w:rFonts w:hint="eastAsia" w:ascii="宋体" w:hAnsi="宋体" w:cs="宋体"/>
          <w:color w:val="auto"/>
          <w:spacing w:val="10"/>
          <w:sz w:val="24"/>
          <w:szCs w:val="24"/>
          <w:highlight w:val="none"/>
        </w:rPr>
        <w:br w:type="page"/>
      </w:r>
    </w:p>
    <w:bookmarkEnd w:id="13"/>
    <w:p w14:paraId="237B33EC">
      <w:pPr>
        <w:pStyle w:val="2"/>
        <w:rPr>
          <w:color w:val="auto"/>
          <w:highlight w:val="none"/>
        </w:rPr>
      </w:pPr>
      <w:bookmarkStart w:id="55" w:name="_Toc9359"/>
      <w:bookmarkStart w:id="56" w:name="_Toc513029202"/>
      <w:bookmarkStart w:id="57" w:name="_Toc20823274"/>
      <w:bookmarkStart w:id="58" w:name="_Toc120614213"/>
      <w:bookmarkStart w:id="59" w:name="_Toc26763"/>
      <w:bookmarkStart w:id="60" w:name="_Toc13939"/>
      <w:bookmarkStart w:id="61" w:name="_Toc16938518"/>
      <w:r>
        <w:rPr>
          <w:rFonts w:hint="eastAsia"/>
          <w:color w:val="auto"/>
          <w:highlight w:val="none"/>
        </w:rPr>
        <w:t>第二章 投标人须知</w:t>
      </w:r>
      <w:bookmarkEnd w:id="14"/>
      <w:bookmarkEnd w:id="55"/>
      <w:bookmarkEnd w:id="56"/>
      <w:bookmarkEnd w:id="57"/>
      <w:bookmarkEnd w:id="58"/>
      <w:bookmarkEnd w:id="59"/>
      <w:bookmarkEnd w:id="60"/>
      <w:bookmarkEnd w:id="61"/>
    </w:p>
    <w:p w14:paraId="44A3F386">
      <w:pPr>
        <w:pStyle w:val="4"/>
        <w:rPr>
          <w:color w:val="auto"/>
          <w:highlight w:val="none"/>
        </w:rPr>
      </w:pPr>
      <w:bookmarkStart w:id="62" w:name="_Toc19352"/>
      <w:bookmarkStart w:id="63" w:name="_Toc21065"/>
      <w:bookmarkStart w:id="64" w:name="_Toc534725606"/>
      <w:r>
        <w:rPr>
          <w:rFonts w:hint="eastAsia"/>
          <w:color w:val="auto"/>
          <w:highlight w:val="none"/>
        </w:rPr>
        <w:t xml:space="preserve">一、总  </w:t>
      </w:r>
      <w:bookmarkStart w:id="65" w:name="_Toc9510635"/>
      <w:r>
        <w:rPr>
          <w:rFonts w:hint="eastAsia"/>
          <w:color w:val="auto"/>
          <w:highlight w:val="none"/>
        </w:rPr>
        <w:t>则</w:t>
      </w:r>
      <w:bookmarkEnd w:id="62"/>
      <w:bookmarkEnd w:id="63"/>
    </w:p>
    <w:p w14:paraId="0BD4864E">
      <w:pPr>
        <w:pStyle w:val="5"/>
        <w:rPr>
          <w:color w:val="auto"/>
          <w:highlight w:val="none"/>
        </w:rPr>
      </w:pPr>
      <w:bookmarkStart w:id="66" w:name="_Toc26214"/>
      <w:r>
        <w:rPr>
          <w:rFonts w:hint="eastAsia"/>
          <w:color w:val="auto"/>
          <w:highlight w:val="none"/>
        </w:rPr>
        <w:t>1、适用</w:t>
      </w:r>
      <w:bookmarkEnd w:id="65"/>
      <w:r>
        <w:rPr>
          <w:rFonts w:hint="eastAsia"/>
          <w:color w:val="auto"/>
          <w:highlight w:val="none"/>
        </w:rPr>
        <w:t>范围</w:t>
      </w:r>
      <w:bookmarkEnd w:id="66"/>
    </w:p>
    <w:p w14:paraId="328180C6">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本招标文件适用于</w:t>
      </w:r>
      <w:r>
        <w:rPr>
          <w:rFonts w:hint="eastAsia" w:asciiTheme="majorEastAsia" w:hAnsiTheme="majorEastAsia" w:eastAsiaTheme="majorEastAsia" w:cstheme="majorEastAsia"/>
          <w:bCs/>
          <w:color w:val="auto"/>
          <w:sz w:val="24"/>
          <w:szCs w:val="24"/>
          <w:highlight w:val="none"/>
        </w:rPr>
        <w:t>本次采购项目</w:t>
      </w:r>
      <w:r>
        <w:rPr>
          <w:rFonts w:hint="eastAsia" w:asciiTheme="majorEastAsia" w:hAnsiTheme="majorEastAsia" w:eastAsiaTheme="majorEastAsia" w:cstheme="majorEastAsia"/>
          <w:color w:val="auto"/>
          <w:sz w:val="24"/>
          <w:szCs w:val="24"/>
          <w:highlight w:val="none"/>
        </w:rPr>
        <w:t>的招标、投标、评标、定标、验收、合同履约、付款等行为（法律、法规另有规定的，从其规定）。</w:t>
      </w:r>
    </w:p>
    <w:p w14:paraId="4F34B2D5">
      <w:pPr>
        <w:pStyle w:val="5"/>
        <w:rPr>
          <w:color w:val="auto"/>
          <w:highlight w:val="none"/>
        </w:rPr>
      </w:pPr>
      <w:bookmarkStart w:id="67" w:name="_Toc24800"/>
      <w:r>
        <w:rPr>
          <w:rFonts w:hint="eastAsia"/>
          <w:color w:val="auto"/>
          <w:highlight w:val="none"/>
        </w:rPr>
        <w:t>2、定义</w:t>
      </w:r>
      <w:bookmarkEnd w:id="67"/>
    </w:p>
    <w:p w14:paraId="6FB48F46">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 招标采购单位（采购人）系指采购单位。</w:t>
      </w:r>
    </w:p>
    <w:p w14:paraId="3CF4D5E9">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2.2 “投标人”系指向采购方提交投标文件的法人、其他组织或者自然人。</w:t>
      </w:r>
    </w:p>
    <w:p w14:paraId="3444A901">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2.3 “产品”系指供方按招标文件规定，须向采购人提供的一切设备、保险、税金、备品备件、工具、手册及其它有关技术资料和材料。</w:t>
      </w:r>
    </w:p>
    <w:p w14:paraId="4D99DDF5">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2.4 “服务”系指招标文件规定投标人须承担的安装、调试、技术协助、校准、培训、技术指导以及其他类似的义务。</w:t>
      </w:r>
    </w:p>
    <w:p w14:paraId="2D3296AA">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2.5 “项目”系指投标人按招标文件规定向采购人提供的产品和服务。</w:t>
      </w:r>
    </w:p>
    <w:p w14:paraId="05789842">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 “书面形式”包括信函、传真、电子邮件等。</w:t>
      </w:r>
    </w:p>
    <w:p w14:paraId="731403E0">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2.7实质性响应:系指投标文件符合招标文件规定的实质性内容、条件和规定。</w:t>
      </w:r>
    </w:p>
    <w:p w14:paraId="17310964">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重大偏离或保留：系指将会影响到招标文件规定的服务范围、质量标准，或会给合同中规定的招标人的权利和投标人的责任造成实质性限制，而纠正这些偏离或保留将对其他提交了实质性响应的投标文件的投标人产生不公平影响的。</w:t>
      </w:r>
    </w:p>
    <w:p w14:paraId="7E4710F5">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 细微偏离：系指投标文件对招标文件的非实质性内容存在不完全响应或不响应。</w:t>
      </w:r>
    </w:p>
    <w:p w14:paraId="6BD2AAB4">
      <w:pPr>
        <w:pStyle w:val="5"/>
        <w:rPr>
          <w:color w:val="auto"/>
          <w:highlight w:val="none"/>
        </w:rPr>
      </w:pPr>
      <w:bookmarkStart w:id="68" w:name="_Toc17392"/>
      <w:r>
        <w:rPr>
          <w:rFonts w:hint="eastAsia"/>
          <w:color w:val="auto"/>
          <w:highlight w:val="none"/>
        </w:rPr>
        <w:t>3、招标方式</w:t>
      </w:r>
      <w:bookmarkEnd w:id="68"/>
    </w:p>
    <w:p w14:paraId="31D704B9">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本项目采用公开招标方式进行。</w:t>
      </w:r>
    </w:p>
    <w:p w14:paraId="5BB85FA7">
      <w:pPr>
        <w:pStyle w:val="5"/>
        <w:rPr>
          <w:color w:val="auto"/>
          <w:highlight w:val="none"/>
        </w:rPr>
      </w:pPr>
      <w:bookmarkStart w:id="69" w:name="_Toc32376"/>
      <w:r>
        <w:rPr>
          <w:rFonts w:hint="eastAsia"/>
          <w:color w:val="auto"/>
          <w:highlight w:val="none"/>
        </w:rPr>
        <w:t>4、投标委托</w:t>
      </w:r>
      <w:bookmarkEnd w:id="69"/>
    </w:p>
    <w:p w14:paraId="2B10A7B8">
      <w:pPr>
        <w:adjustRightInd w:val="0"/>
        <w:snapToGrid w:val="0"/>
        <w:spacing w:line="500" w:lineRule="exact"/>
        <w:ind w:firstLine="464" w:firstLineChars="200"/>
        <w:jc w:val="left"/>
        <w:rPr>
          <w:rFonts w:asciiTheme="majorEastAsia" w:hAnsiTheme="majorEastAsia" w:eastAsiaTheme="majorEastAsia" w:cstheme="majorEastAsia"/>
          <w:color w:val="auto"/>
          <w:spacing w:val="-4"/>
          <w:sz w:val="24"/>
          <w:szCs w:val="24"/>
          <w:highlight w:val="none"/>
        </w:rPr>
      </w:pPr>
      <w:r>
        <w:rPr>
          <w:rFonts w:hint="eastAsia" w:asciiTheme="majorEastAsia" w:hAnsiTheme="majorEastAsia" w:eastAsiaTheme="majorEastAsia" w:cstheme="majorEastAsia"/>
          <w:color w:val="auto"/>
          <w:spacing w:val="-4"/>
          <w:sz w:val="24"/>
          <w:szCs w:val="24"/>
          <w:highlight w:val="none"/>
        </w:rPr>
        <w:t>投标人代表须携带有效身份证件。如投标人代表不是法定代表人（负责人、自然人），须有法定代表人（负责人、自然人）出具的授权委托书（格式见第五章）。</w:t>
      </w:r>
    </w:p>
    <w:p w14:paraId="1FCA6068">
      <w:pPr>
        <w:pStyle w:val="5"/>
        <w:rPr>
          <w:color w:val="auto"/>
          <w:highlight w:val="none"/>
        </w:rPr>
      </w:pPr>
      <w:bookmarkStart w:id="70" w:name="_Toc21031"/>
      <w:r>
        <w:rPr>
          <w:rFonts w:hint="eastAsia"/>
          <w:color w:val="auto"/>
          <w:highlight w:val="none"/>
        </w:rPr>
        <w:t>5、投标费用</w:t>
      </w:r>
      <w:bookmarkEnd w:id="70"/>
    </w:p>
    <w:p w14:paraId="12515058">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不论投标结果如何，投标人均应自行承担所有与投标有关的全部费用。</w:t>
      </w:r>
    </w:p>
    <w:p w14:paraId="7D0611CD">
      <w:pPr>
        <w:pStyle w:val="5"/>
        <w:rPr>
          <w:color w:val="auto"/>
          <w:highlight w:val="none"/>
        </w:rPr>
      </w:pPr>
      <w:bookmarkStart w:id="71" w:name="_Toc505"/>
      <w:r>
        <w:rPr>
          <w:rFonts w:hint="eastAsia"/>
          <w:color w:val="auto"/>
          <w:highlight w:val="none"/>
        </w:rPr>
        <w:t>6、分包转包</w:t>
      </w:r>
      <w:bookmarkEnd w:id="71"/>
    </w:p>
    <w:p w14:paraId="592126E4">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本项目不允许分包和转包。</w:t>
      </w:r>
    </w:p>
    <w:p w14:paraId="4392C1A3">
      <w:pPr>
        <w:pStyle w:val="5"/>
        <w:rPr>
          <w:color w:val="auto"/>
          <w:highlight w:val="none"/>
        </w:rPr>
      </w:pPr>
      <w:bookmarkStart w:id="72" w:name="_Toc5076"/>
      <w:r>
        <w:rPr>
          <w:rFonts w:hint="eastAsia"/>
          <w:color w:val="auto"/>
          <w:highlight w:val="none"/>
        </w:rPr>
        <w:t>7、提供相同品牌产品处理</w:t>
      </w:r>
      <w:bookmarkEnd w:id="72"/>
    </w:p>
    <w:p w14:paraId="05A72040">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提供相同品牌产品且通过资格审查、符合性审查的不同投标人参加同一合同项下投标的，按一家投标人计算，评审后得分最高的同品牌投标人获得中标人推荐资格；评审得分相同的，按照投标报价</w:t>
      </w:r>
      <w:r>
        <w:rPr>
          <w:rFonts w:hint="eastAsia" w:asciiTheme="majorEastAsia" w:hAnsiTheme="majorEastAsia" w:eastAsiaTheme="majorEastAsia" w:cstheme="majorEastAsia"/>
          <w:color w:val="auto"/>
          <w:sz w:val="24"/>
          <w:szCs w:val="24"/>
          <w:highlight w:val="none"/>
          <w:lang w:val="en-US" w:eastAsia="zh-CN"/>
        </w:rPr>
        <w:t>最低</w:t>
      </w:r>
      <w:r>
        <w:rPr>
          <w:rFonts w:hint="eastAsia" w:asciiTheme="majorEastAsia" w:hAnsiTheme="majorEastAsia" w:eastAsiaTheme="majorEastAsia" w:cstheme="majorEastAsia"/>
          <w:color w:val="auto"/>
          <w:sz w:val="24"/>
          <w:szCs w:val="24"/>
          <w:highlight w:val="none"/>
        </w:rPr>
        <w:t>的</w:t>
      </w:r>
      <w:r>
        <w:rPr>
          <w:rFonts w:hint="eastAsia" w:asciiTheme="majorEastAsia" w:hAnsiTheme="majorEastAsia" w:eastAsiaTheme="majorEastAsia" w:cstheme="majorEastAsia"/>
          <w:color w:val="auto"/>
          <w:sz w:val="24"/>
          <w:szCs w:val="24"/>
          <w:highlight w:val="none"/>
          <w:lang w:val="en-US" w:eastAsia="zh-CN"/>
        </w:rPr>
        <w:t>同品牌投标人</w:t>
      </w:r>
      <w:r>
        <w:rPr>
          <w:rFonts w:hint="eastAsia" w:asciiTheme="majorEastAsia" w:hAnsiTheme="majorEastAsia" w:eastAsiaTheme="majorEastAsia" w:cstheme="majorEastAsia"/>
          <w:color w:val="auto"/>
          <w:sz w:val="24"/>
          <w:szCs w:val="24"/>
          <w:highlight w:val="none"/>
        </w:rPr>
        <w:t>获得中标人推荐资格；得分</w:t>
      </w:r>
      <w:r>
        <w:rPr>
          <w:rFonts w:hint="eastAsia" w:asciiTheme="majorEastAsia" w:hAnsiTheme="majorEastAsia" w:eastAsiaTheme="majorEastAsia" w:cstheme="majorEastAsia"/>
          <w:color w:val="auto"/>
          <w:sz w:val="24"/>
          <w:szCs w:val="24"/>
          <w:highlight w:val="none"/>
          <w:lang w:val="en-US" w:eastAsia="zh-CN"/>
        </w:rPr>
        <w:t>且</w:t>
      </w:r>
      <w:r>
        <w:rPr>
          <w:rFonts w:hint="eastAsia" w:asciiTheme="majorEastAsia" w:hAnsiTheme="majorEastAsia" w:eastAsiaTheme="majorEastAsia" w:cstheme="majorEastAsia"/>
          <w:color w:val="auto"/>
          <w:sz w:val="24"/>
          <w:szCs w:val="24"/>
          <w:highlight w:val="none"/>
        </w:rPr>
        <w:t xml:space="preserve">投标报价相同的由评标委员会采取随机抽取方式确定中标人推荐资格，其他同品牌投标人不作为中标候选人。 </w:t>
      </w:r>
    </w:p>
    <w:p w14:paraId="03D62E22">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非单一产品采购项目，采购人应当根据采购项目技术构成、产品价格比重等合理确定核心产品，并在招标文件中载明。多家投标人提供的任一核心产品品牌相同的，按前款规定处理。</w:t>
      </w:r>
    </w:p>
    <w:p w14:paraId="3B8D1A0A">
      <w:pPr>
        <w:pStyle w:val="5"/>
        <w:rPr>
          <w:color w:val="auto"/>
          <w:highlight w:val="none"/>
        </w:rPr>
      </w:pPr>
      <w:bookmarkStart w:id="73" w:name="_Toc21631"/>
      <w:r>
        <w:rPr>
          <w:rFonts w:hint="eastAsia"/>
          <w:color w:val="auto"/>
          <w:highlight w:val="none"/>
        </w:rPr>
        <w:t>8、特别说明：</w:t>
      </w:r>
      <w:bookmarkEnd w:id="73"/>
    </w:p>
    <w:p w14:paraId="60B62F3D">
      <w:pPr>
        <w:adjustRightInd w:val="0"/>
        <w:snapToGrid w:val="0"/>
        <w:spacing w:line="500" w:lineRule="exact"/>
        <w:ind w:firstLine="470"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8.1 投标人投标所使用的资格、信誉、荣誉、业绩与认证证书必须为本法人（其他组织、个人）所拥有。</w:t>
      </w:r>
    </w:p>
    <w:p w14:paraId="61B364EE">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8.2 投标人应仔细阅读招标文件的所有内容，按照招标文件的要求提交投标文件，并对所提供的全部资料的真实性承担法律责任。</w:t>
      </w:r>
    </w:p>
    <w:p w14:paraId="16BD00AF">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8.3 投标人在投标活动中提供任何虚假材料,其投标无效，并报监管部门查处；中标后发现的,中标人须依照《中华人民共和国消费者权益保护法》第49条之规定双倍赔偿采购人，且民事赔偿并不免除违法投标人的行政与刑事责任。</w:t>
      </w:r>
    </w:p>
    <w:p w14:paraId="610A7DF0">
      <w:pPr>
        <w:pStyle w:val="5"/>
        <w:rPr>
          <w:color w:val="auto"/>
          <w:highlight w:val="none"/>
        </w:rPr>
      </w:pPr>
      <w:bookmarkStart w:id="74" w:name="_Toc24888"/>
      <w:r>
        <w:rPr>
          <w:rFonts w:hint="eastAsia"/>
          <w:color w:val="auto"/>
          <w:highlight w:val="none"/>
        </w:rPr>
        <w:t>9、质疑</w:t>
      </w:r>
      <w:bookmarkEnd w:id="74"/>
    </w:p>
    <w:p w14:paraId="7236242A">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9.1供应商认为招标文件、采购过程和中标、成交结果使自己的权益受到损害的，可以在知道或者应知其权益受到损害之日起七个工作日内，以书面形式向采购人提出质疑。</w:t>
      </w:r>
      <w:r>
        <w:rPr>
          <w:rFonts w:hint="eastAsia" w:asciiTheme="majorEastAsia" w:hAnsiTheme="majorEastAsia" w:eastAsiaTheme="majorEastAsia" w:cstheme="majorEastAsia"/>
          <w:bCs/>
          <w:color w:val="auto"/>
          <w:sz w:val="24"/>
          <w:szCs w:val="24"/>
          <w:highlight w:val="none"/>
          <w:lang w:val="en-US" w:eastAsia="zh-CN"/>
        </w:rPr>
        <w:t>投标人应在法定质疑期内一次性提出针对同一采购程序环节的质疑。</w:t>
      </w:r>
    </w:p>
    <w:p w14:paraId="0BA787B8">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质疑供应商对采购人、采购代理机构的答复不满意或者采购人、采购代理机构未在规定的时间内作出答复的，可以在答复期满后十五个工作日内向同级政府采购监督管理部门投诉。</w:t>
      </w:r>
    </w:p>
    <w:p w14:paraId="6422A306">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9.2 质疑、投诉应当采用书面形式，质疑书、投诉书均应明确阐述招标文件、招标过程或中标结果中使自己合法权益受到损害的实质性内容，提供相关事实、依据和证据及其来源或线索，便于有关单位调查、答复和处理。</w:t>
      </w:r>
    </w:p>
    <w:p w14:paraId="5C63E82D">
      <w:pPr>
        <w:adjustRightInd w:val="0"/>
        <w:snapToGrid w:val="0"/>
        <w:spacing w:line="500" w:lineRule="exact"/>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9.3质疑（投诉）书应载明质疑（投诉）人全称、地址、邮编、传真、联系人、联系电话，电子邮箱。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投标人委托代理人提出质疑（投诉），应当提交供应商签署的授权委托书。质疑（投诉）书必须有联系人署名。（质疑函格式见本文件质疑函范本）</w:t>
      </w:r>
    </w:p>
    <w:p w14:paraId="7D488FCE">
      <w:pPr>
        <w:pStyle w:val="6"/>
        <w:spacing w:line="360" w:lineRule="auto"/>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9.4接收质疑函的方式：以书面方式将质疑函邮寄至联系部门或当面递交至联系部门，或将质疑函扫描后发送至指定邮箱289701204@qq.com。</w:t>
      </w:r>
    </w:p>
    <w:p w14:paraId="3A61ACBE">
      <w:pPr>
        <w:adjustRightInd w:val="0"/>
        <w:snapToGrid w:val="0"/>
        <w:spacing w:line="500" w:lineRule="exact"/>
        <w:ind w:firstLine="480" w:firstLineChars="200"/>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联系部门：新疆宏宇建设工程项目管理有限责任公司</w:t>
      </w:r>
    </w:p>
    <w:p w14:paraId="3001AF0F">
      <w:pPr>
        <w:adjustRightInd w:val="0"/>
        <w:snapToGrid w:val="0"/>
        <w:spacing w:line="500" w:lineRule="exact"/>
        <w:ind w:firstLine="480" w:firstLineChars="200"/>
        <w:rPr>
          <w:rFonts w:hint="eastAsia"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联 系 人：陈晨、杨童艳、徐璐琪</w:t>
      </w:r>
    </w:p>
    <w:p w14:paraId="73E3D839">
      <w:pPr>
        <w:adjustRightInd w:val="0"/>
        <w:snapToGrid w:val="0"/>
        <w:spacing w:line="500" w:lineRule="exact"/>
        <w:ind w:firstLine="480" w:firstLineChars="200"/>
        <w:rPr>
          <w:rFonts w:hint="default"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联系地址：克拉玛依市恒隆广场A座401-1室</w:t>
      </w:r>
    </w:p>
    <w:p w14:paraId="7649C05B">
      <w:pPr>
        <w:adjustRightInd w:val="0"/>
        <w:snapToGrid w:val="0"/>
        <w:spacing w:line="500" w:lineRule="exact"/>
        <w:ind w:firstLine="480" w:firstLineChars="200"/>
        <w:rPr>
          <w:rFonts w:hint="default" w:asciiTheme="majorEastAsia" w:hAnsiTheme="majorEastAsia" w:eastAsiaTheme="majorEastAsia" w:cstheme="majorEastAsia"/>
          <w:b w:val="0"/>
          <w:bCs w:val="0"/>
          <w:color w:val="auto"/>
          <w:sz w:val="24"/>
          <w:szCs w:val="24"/>
          <w:highlight w:val="none"/>
          <w:lang w:val="en-US" w:eastAsia="zh-CN"/>
        </w:rPr>
      </w:pPr>
      <w:r>
        <w:rPr>
          <w:rFonts w:hint="eastAsia" w:asciiTheme="majorEastAsia" w:hAnsiTheme="majorEastAsia" w:eastAsiaTheme="majorEastAsia" w:cstheme="majorEastAsia"/>
          <w:b w:val="0"/>
          <w:bCs w:val="0"/>
          <w:color w:val="auto"/>
          <w:sz w:val="24"/>
          <w:szCs w:val="24"/>
          <w:highlight w:val="none"/>
          <w:lang w:val="en-US" w:eastAsia="zh-CN"/>
        </w:rPr>
        <w:t>联系电话：0990-6608599  18935837269（徐璐琪）</w:t>
      </w:r>
    </w:p>
    <w:p w14:paraId="4B504202">
      <w:pPr>
        <w:pStyle w:val="4"/>
        <w:rPr>
          <w:color w:val="auto"/>
          <w:highlight w:val="none"/>
        </w:rPr>
      </w:pPr>
      <w:bookmarkStart w:id="75" w:name="_Toc31383"/>
      <w:bookmarkStart w:id="76" w:name="_Toc12925"/>
      <w:r>
        <w:rPr>
          <w:rFonts w:hint="eastAsia"/>
          <w:color w:val="auto"/>
          <w:highlight w:val="none"/>
        </w:rPr>
        <w:t>二、</w:t>
      </w:r>
      <w:bookmarkEnd w:id="75"/>
      <w:bookmarkEnd w:id="76"/>
      <w:bookmarkStart w:id="77" w:name="_Toc9510636"/>
      <w:r>
        <w:rPr>
          <w:rFonts w:hint="eastAsia"/>
          <w:color w:val="auto"/>
          <w:highlight w:val="none"/>
        </w:rPr>
        <w:t>招标文件</w:t>
      </w:r>
    </w:p>
    <w:p w14:paraId="46399E7C">
      <w:pPr>
        <w:pStyle w:val="5"/>
        <w:rPr>
          <w:color w:val="auto"/>
          <w:highlight w:val="none"/>
        </w:rPr>
      </w:pPr>
      <w:bookmarkStart w:id="78" w:name="_Toc11465"/>
      <w:r>
        <w:rPr>
          <w:rFonts w:hint="eastAsia"/>
          <w:color w:val="auto"/>
          <w:highlight w:val="none"/>
        </w:rPr>
        <w:t>10、</w:t>
      </w:r>
      <w:bookmarkEnd w:id="77"/>
      <w:r>
        <w:rPr>
          <w:rFonts w:hint="eastAsia"/>
          <w:color w:val="auto"/>
          <w:highlight w:val="none"/>
        </w:rPr>
        <w:t>招标文件的构成</w:t>
      </w:r>
      <w:bookmarkEnd w:id="78"/>
      <w:r>
        <w:rPr>
          <w:rFonts w:hint="eastAsia" w:asciiTheme="majorEastAsia" w:hAnsiTheme="majorEastAsia" w:eastAsiaTheme="majorEastAsia" w:cstheme="majorEastAsia"/>
          <w:b w:val="0"/>
          <w:bCs w:val="0"/>
          <w:color w:val="auto"/>
          <w:sz w:val="24"/>
          <w:szCs w:val="24"/>
          <w:highlight w:val="none"/>
        </w:rPr>
        <w:t>（详见本招标文件目录明细）</w:t>
      </w:r>
    </w:p>
    <w:p w14:paraId="5BD29F32">
      <w:pPr>
        <w:pStyle w:val="5"/>
        <w:rPr>
          <w:color w:val="auto"/>
          <w:highlight w:val="none"/>
        </w:rPr>
      </w:pPr>
      <w:bookmarkStart w:id="79" w:name="_Toc9329"/>
      <w:r>
        <w:rPr>
          <w:rFonts w:hint="eastAsia"/>
          <w:color w:val="auto"/>
          <w:highlight w:val="none"/>
        </w:rPr>
        <w:t>11、投标人的风险</w:t>
      </w:r>
      <w:bookmarkEnd w:id="79"/>
    </w:p>
    <w:p w14:paraId="0B24D813">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投标人没有按照招标文件要求提供全部资料，或者投标人没有对招标文件在各方面作出实质性响应是投标人的风险，并可能导致其投标被拒绝。</w:t>
      </w:r>
    </w:p>
    <w:p w14:paraId="25C15150">
      <w:pPr>
        <w:pStyle w:val="5"/>
        <w:rPr>
          <w:color w:val="auto"/>
          <w:highlight w:val="none"/>
        </w:rPr>
      </w:pPr>
      <w:bookmarkStart w:id="80" w:name="_Toc14128"/>
      <w:r>
        <w:rPr>
          <w:rFonts w:hint="eastAsia"/>
          <w:color w:val="auto"/>
          <w:highlight w:val="none"/>
        </w:rPr>
        <w:t>1</w:t>
      </w:r>
      <w:bookmarkStart w:id="81" w:name="_Toc9510637"/>
      <w:r>
        <w:rPr>
          <w:rFonts w:hint="eastAsia"/>
          <w:color w:val="auto"/>
          <w:highlight w:val="none"/>
        </w:rPr>
        <w:t>2、招标文件的澄清与修改</w:t>
      </w:r>
      <w:bookmarkEnd w:id="80"/>
    </w:p>
    <w:p w14:paraId="22DEA5BC">
      <w:pPr>
        <w:spacing w:line="500" w:lineRule="exact"/>
        <w:ind w:firstLine="480" w:firstLineChars="200"/>
        <w:rPr>
          <w:color w:val="auto"/>
          <w:sz w:val="24"/>
          <w:szCs w:val="24"/>
          <w:highlight w:val="none"/>
        </w:rPr>
      </w:pPr>
      <w:r>
        <w:rPr>
          <w:rFonts w:hint="eastAsia"/>
          <w:color w:val="auto"/>
          <w:sz w:val="24"/>
          <w:szCs w:val="24"/>
          <w:highlight w:val="none"/>
        </w:rPr>
        <w:t>12.1采购人或采购代理机构对已发出的招标文件进行必要澄清或者修改的，应当在投标人须知前附表规定的提交投标文件截止时间15日前，在原刊登招标公告的媒体上发布更正公告，并以书面形式通知所有招标文件收受人。</w:t>
      </w:r>
    </w:p>
    <w:p w14:paraId="7B14BF65">
      <w:pPr>
        <w:spacing w:line="500" w:lineRule="exact"/>
        <w:ind w:firstLine="480" w:firstLineChars="200"/>
        <w:rPr>
          <w:color w:val="auto"/>
          <w:sz w:val="24"/>
          <w:szCs w:val="24"/>
          <w:highlight w:val="none"/>
        </w:rPr>
      </w:pPr>
      <w:r>
        <w:rPr>
          <w:rFonts w:hint="eastAsia"/>
          <w:color w:val="auto"/>
          <w:sz w:val="24"/>
          <w:szCs w:val="24"/>
          <w:highlight w:val="none"/>
        </w:rPr>
        <w:t>12.2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12DD7D17">
      <w:pPr>
        <w:spacing w:line="500" w:lineRule="exact"/>
        <w:ind w:firstLine="480" w:firstLineChars="200"/>
        <w:rPr>
          <w:color w:val="auto"/>
          <w:sz w:val="24"/>
          <w:szCs w:val="24"/>
          <w:highlight w:val="none"/>
        </w:rPr>
      </w:pPr>
      <w:r>
        <w:rPr>
          <w:rFonts w:hint="eastAsia"/>
          <w:color w:val="auto"/>
          <w:sz w:val="24"/>
          <w:szCs w:val="24"/>
          <w:highlight w:val="none"/>
        </w:rPr>
        <w:t>12.3澄清或者修改内容为招标文件的组成部分，对所有领取了招标文件的潜在投标人均具有约束力。</w:t>
      </w:r>
    </w:p>
    <w:p w14:paraId="4F4BEB8E">
      <w:pPr>
        <w:pStyle w:val="4"/>
        <w:rPr>
          <w:color w:val="auto"/>
          <w:highlight w:val="none"/>
        </w:rPr>
      </w:pPr>
      <w:bookmarkStart w:id="82" w:name="_Toc25731"/>
      <w:bookmarkStart w:id="83" w:name="_Toc3009"/>
      <w:r>
        <w:rPr>
          <w:rFonts w:hint="eastAsia"/>
          <w:color w:val="auto"/>
          <w:highlight w:val="none"/>
        </w:rPr>
        <w:t>三、投标文件的编制</w:t>
      </w:r>
      <w:bookmarkEnd w:id="82"/>
      <w:bookmarkEnd w:id="83"/>
    </w:p>
    <w:bookmarkEnd w:id="81"/>
    <w:p w14:paraId="4466A22C">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投标人应认真阅读招标文件中所有的事项、格式、条款和技术要求等内容。如果投标人没有按照招标文件的要求和规定编制投标文件及提交全部资料，或者投标文件没有对招标文件中的各方面作出实质性响应，其风险应由投标人承担。投标文件应按照</w:t>
      </w:r>
      <w:r>
        <w:rPr>
          <w:rFonts w:hint="eastAsia" w:asciiTheme="majorEastAsia" w:hAnsiTheme="majorEastAsia" w:eastAsiaTheme="majorEastAsia" w:cstheme="majorEastAsia"/>
          <w:b/>
          <w:color w:val="auto"/>
          <w:sz w:val="24"/>
          <w:szCs w:val="24"/>
          <w:highlight w:val="none"/>
          <w:lang w:val="en-US" w:eastAsia="zh-CN"/>
        </w:rPr>
        <w:t>招标文件</w:t>
      </w:r>
      <w:r>
        <w:rPr>
          <w:rFonts w:hint="eastAsia" w:asciiTheme="majorEastAsia" w:hAnsiTheme="majorEastAsia" w:eastAsiaTheme="majorEastAsia" w:cstheme="majorEastAsia"/>
          <w:b/>
          <w:color w:val="auto"/>
          <w:sz w:val="24"/>
          <w:szCs w:val="24"/>
          <w:highlight w:val="none"/>
        </w:rPr>
        <w:t>要求编制并独立密封，不得混装，否则视为无效标。</w:t>
      </w:r>
    </w:p>
    <w:p w14:paraId="1EDEBDFE">
      <w:pPr>
        <w:pStyle w:val="5"/>
        <w:rPr>
          <w:color w:val="auto"/>
          <w:highlight w:val="none"/>
        </w:rPr>
      </w:pPr>
      <w:bookmarkStart w:id="84" w:name="_Toc29638"/>
      <w:r>
        <w:rPr>
          <w:rFonts w:hint="eastAsia"/>
          <w:color w:val="auto"/>
          <w:highlight w:val="none"/>
        </w:rPr>
        <w:t>13、投标文件的组成</w:t>
      </w:r>
      <w:bookmarkEnd w:id="84"/>
    </w:p>
    <w:p w14:paraId="50ABA7AB">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投标文件由报价</w:t>
      </w:r>
      <w:r>
        <w:rPr>
          <w:rFonts w:hint="eastAsia" w:asciiTheme="majorEastAsia" w:hAnsiTheme="majorEastAsia" w:eastAsiaTheme="majorEastAsia" w:cstheme="majorEastAsia"/>
          <w:b/>
          <w:color w:val="auto"/>
          <w:sz w:val="24"/>
          <w:szCs w:val="24"/>
          <w:highlight w:val="none"/>
          <w:lang w:val="en-US" w:eastAsia="zh-CN"/>
        </w:rPr>
        <w:t>部分</w:t>
      </w:r>
      <w:r>
        <w:rPr>
          <w:rFonts w:hint="eastAsia" w:asciiTheme="majorEastAsia" w:hAnsiTheme="majorEastAsia" w:eastAsiaTheme="majorEastAsia" w:cstheme="majorEastAsia"/>
          <w:b/>
          <w:color w:val="auto"/>
          <w:sz w:val="24"/>
          <w:szCs w:val="24"/>
          <w:highlight w:val="none"/>
        </w:rPr>
        <w:t>、商务</w:t>
      </w:r>
      <w:r>
        <w:rPr>
          <w:rFonts w:hint="eastAsia" w:asciiTheme="majorEastAsia" w:hAnsiTheme="majorEastAsia" w:eastAsiaTheme="majorEastAsia" w:cstheme="majorEastAsia"/>
          <w:b/>
          <w:color w:val="auto"/>
          <w:sz w:val="24"/>
          <w:szCs w:val="24"/>
          <w:highlight w:val="none"/>
          <w:lang w:val="en-US" w:eastAsia="zh-CN"/>
        </w:rPr>
        <w:t>部分</w:t>
      </w:r>
      <w:r>
        <w:rPr>
          <w:rFonts w:hint="eastAsia" w:asciiTheme="majorEastAsia" w:hAnsiTheme="majorEastAsia" w:eastAsiaTheme="majorEastAsia" w:cstheme="majorEastAsia"/>
          <w:b/>
          <w:color w:val="auto"/>
          <w:sz w:val="24"/>
          <w:szCs w:val="24"/>
          <w:highlight w:val="none"/>
          <w:lang w:eastAsia="zh-CN"/>
        </w:rPr>
        <w:t>、</w:t>
      </w:r>
      <w:r>
        <w:rPr>
          <w:rFonts w:hint="eastAsia" w:asciiTheme="majorEastAsia" w:hAnsiTheme="majorEastAsia" w:eastAsiaTheme="majorEastAsia" w:cstheme="majorEastAsia"/>
          <w:b/>
          <w:color w:val="auto"/>
          <w:sz w:val="24"/>
          <w:szCs w:val="24"/>
          <w:highlight w:val="none"/>
        </w:rPr>
        <w:t>技术</w:t>
      </w:r>
      <w:r>
        <w:rPr>
          <w:rFonts w:hint="eastAsia" w:asciiTheme="majorEastAsia" w:hAnsiTheme="majorEastAsia" w:eastAsiaTheme="majorEastAsia" w:cstheme="majorEastAsia"/>
          <w:b/>
          <w:color w:val="auto"/>
          <w:sz w:val="24"/>
          <w:szCs w:val="24"/>
          <w:highlight w:val="none"/>
          <w:lang w:val="en-US" w:eastAsia="zh-CN"/>
        </w:rPr>
        <w:t>部分</w:t>
      </w:r>
      <w:r>
        <w:rPr>
          <w:rFonts w:hint="eastAsia" w:asciiTheme="majorEastAsia" w:hAnsiTheme="majorEastAsia" w:eastAsiaTheme="majorEastAsia" w:cstheme="majorEastAsia"/>
          <w:b/>
          <w:color w:val="auto"/>
          <w:sz w:val="24"/>
          <w:szCs w:val="24"/>
          <w:highlight w:val="none"/>
        </w:rPr>
        <w:t>组成。</w:t>
      </w:r>
    </w:p>
    <w:p w14:paraId="242E9E0C">
      <w:pPr>
        <w:adjustRightInd w:val="0"/>
        <w:snapToGrid w:val="0"/>
        <w:spacing w:line="500" w:lineRule="exact"/>
        <w:ind w:firstLine="472" w:firstLineChars="196"/>
        <w:jc w:val="left"/>
        <w:rPr>
          <w:rFonts w:hint="eastAsia" w:asciiTheme="majorEastAsia" w:hAnsiTheme="majorEastAsia" w:eastAsiaTheme="majorEastAsia" w:cstheme="majorEastAsia"/>
          <w:b/>
          <w:color w:val="auto"/>
          <w:sz w:val="24"/>
          <w:szCs w:val="24"/>
          <w:highlight w:val="none"/>
          <w:lang w:eastAsia="zh-CN"/>
        </w:rPr>
      </w:pPr>
      <w:r>
        <w:rPr>
          <w:rFonts w:hint="eastAsia" w:asciiTheme="majorEastAsia" w:hAnsiTheme="majorEastAsia" w:eastAsiaTheme="majorEastAsia" w:cstheme="majorEastAsia"/>
          <w:b/>
          <w:color w:val="auto"/>
          <w:sz w:val="24"/>
          <w:szCs w:val="24"/>
          <w:highlight w:val="none"/>
        </w:rPr>
        <w:t>13.1 报价</w:t>
      </w:r>
      <w:r>
        <w:rPr>
          <w:rFonts w:hint="eastAsia" w:asciiTheme="majorEastAsia" w:hAnsiTheme="majorEastAsia" w:eastAsiaTheme="majorEastAsia" w:cstheme="majorEastAsia"/>
          <w:b/>
          <w:color w:val="auto"/>
          <w:sz w:val="24"/>
          <w:szCs w:val="24"/>
          <w:highlight w:val="none"/>
          <w:lang w:val="en-US" w:eastAsia="zh-CN"/>
        </w:rPr>
        <w:t>部分</w:t>
      </w:r>
    </w:p>
    <w:p w14:paraId="6024F588">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（1）投标函（格式见附件）；</w:t>
      </w:r>
    </w:p>
    <w:p w14:paraId="2A6C299C">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（2）开标一览表（格式见附件）；</w:t>
      </w:r>
    </w:p>
    <w:p w14:paraId="0DBE73DD">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（3）投标报价明细表（格式见附件）；</w:t>
      </w:r>
    </w:p>
    <w:p w14:paraId="439C6B9F">
      <w:pPr>
        <w:adjustRightInd w:val="0"/>
        <w:snapToGrid w:val="0"/>
        <w:spacing w:line="500" w:lineRule="exact"/>
        <w:ind w:firstLine="480" w:firstLineChars="200"/>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4</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投标保证金缴纳凭证复印件</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如有</w:t>
      </w:r>
      <w:r>
        <w:rPr>
          <w:rFonts w:hint="eastAsia" w:asciiTheme="majorEastAsia" w:hAnsiTheme="majorEastAsia" w:eastAsiaTheme="majorEastAsia" w:cstheme="majorEastAsia"/>
          <w:color w:val="auto"/>
          <w:sz w:val="24"/>
          <w:szCs w:val="24"/>
          <w:highlight w:val="none"/>
          <w:lang w:eastAsia="zh-CN"/>
        </w:rPr>
        <w:t>）；</w:t>
      </w:r>
    </w:p>
    <w:p w14:paraId="6D4DF022">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投标人针对报价需要说明的其他文件和资料（如有）。</w:t>
      </w:r>
    </w:p>
    <w:p w14:paraId="664AFC82">
      <w:pPr>
        <w:adjustRightInd w:val="0"/>
        <w:snapToGrid w:val="0"/>
        <w:spacing w:line="500" w:lineRule="exact"/>
        <w:ind w:firstLine="472" w:firstLineChars="196"/>
        <w:jc w:val="left"/>
        <w:rPr>
          <w:rFonts w:hint="eastAsia" w:asciiTheme="majorEastAsia" w:hAnsiTheme="majorEastAsia" w:eastAsiaTheme="majorEastAsia" w:cstheme="majorEastAsia"/>
          <w:b/>
          <w:color w:val="auto"/>
          <w:sz w:val="24"/>
          <w:szCs w:val="24"/>
          <w:highlight w:val="none"/>
          <w:lang w:eastAsia="zh-CN"/>
        </w:rPr>
      </w:pPr>
      <w:r>
        <w:rPr>
          <w:rFonts w:hint="eastAsia" w:asciiTheme="majorEastAsia" w:hAnsiTheme="majorEastAsia" w:eastAsiaTheme="majorEastAsia" w:cstheme="majorEastAsia"/>
          <w:b/>
          <w:color w:val="auto"/>
          <w:sz w:val="24"/>
          <w:szCs w:val="24"/>
          <w:highlight w:val="none"/>
        </w:rPr>
        <w:t>13.2商务</w:t>
      </w:r>
      <w:r>
        <w:rPr>
          <w:rFonts w:hint="eastAsia" w:asciiTheme="majorEastAsia" w:hAnsiTheme="majorEastAsia" w:eastAsiaTheme="majorEastAsia" w:cstheme="majorEastAsia"/>
          <w:b/>
          <w:color w:val="auto"/>
          <w:sz w:val="24"/>
          <w:szCs w:val="24"/>
          <w:highlight w:val="none"/>
          <w:lang w:eastAsia="zh-CN"/>
        </w:rPr>
        <w:t>部分</w:t>
      </w:r>
    </w:p>
    <w:p w14:paraId="7BD1EBDD">
      <w:pPr>
        <w:numPr>
          <w:ilvl w:val="0"/>
          <w:numId w:val="0"/>
        </w:num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kern w:val="2"/>
          <w:sz w:val="24"/>
          <w:szCs w:val="24"/>
          <w:highlight w:val="none"/>
          <w:lang w:val="en-US" w:eastAsia="zh-CN" w:bidi="ar-SA"/>
        </w:rPr>
        <w:t>（1）</w:t>
      </w:r>
      <w:r>
        <w:rPr>
          <w:rFonts w:hint="eastAsia" w:asciiTheme="majorEastAsia" w:hAnsiTheme="majorEastAsia" w:eastAsiaTheme="majorEastAsia" w:cstheme="majorEastAsia"/>
          <w:color w:val="auto"/>
          <w:sz w:val="24"/>
          <w:szCs w:val="24"/>
          <w:highlight w:val="none"/>
        </w:rPr>
        <w:t>投标声明书(格式见附件)；</w:t>
      </w:r>
    </w:p>
    <w:p w14:paraId="52B5559B">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）授权委托书(格式见附件)；</w:t>
      </w:r>
    </w:p>
    <w:p w14:paraId="39A932FE">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）有效的营业执照（事业单位法人证书、民办非企业单位登记证书、社会团体法人登记证书、基金会法人登记证书、自然人身份证）副本复印件；</w:t>
      </w:r>
    </w:p>
    <w:p w14:paraId="2CBFFEB7">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4</w:t>
      </w:r>
      <w:r>
        <w:rPr>
          <w:rFonts w:hint="eastAsia" w:asciiTheme="majorEastAsia" w:hAnsiTheme="majorEastAsia" w:eastAsiaTheme="majorEastAsia" w:cstheme="majorEastAsia"/>
          <w:color w:val="auto"/>
          <w:sz w:val="24"/>
          <w:szCs w:val="24"/>
          <w:highlight w:val="none"/>
        </w:rPr>
        <w:t>）投标人情况介绍（格式见附件）；</w:t>
      </w:r>
    </w:p>
    <w:p w14:paraId="3285DFCC">
      <w:pPr>
        <w:adjustRightInd w:val="0"/>
        <w:snapToGrid w:val="0"/>
        <w:spacing w:line="500" w:lineRule="exact"/>
        <w:ind w:firstLine="470" w:firstLineChars="196"/>
        <w:jc w:val="left"/>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（5）应提供本单位2025年度经会计师事务所出具的审计报告复印件，（报告中须包括资产负债表、利润表、现金流量表及财务报表附注，如供应商注册不满1年无需提供上述资料；）；</w:t>
      </w:r>
    </w:p>
    <w:p w14:paraId="6738B9E0">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6</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rPr>
        <w:t>须具有履行合同所必需的设备和专业技术能力，须附相关证明材料或声明；</w:t>
      </w:r>
    </w:p>
    <w:p w14:paraId="1D2C27FC">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7</w:t>
      </w:r>
      <w:r>
        <w:rPr>
          <w:rFonts w:hint="eastAsia" w:asciiTheme="majorEastAsia" w:hAnsiTheme="majorEastAsia" w:eastAsiaTheme="majorEastAsia" w:cstheme="majorEastAsia"/>
          <w:color w:val="auto"/>
          <w:sz w:val="24"/>
          <w:szCs w:val="24"/>
          <w:highlight w:val="none"/>
        </w:rPr>
        <w:t>）依法缴纳税收和社会保障资金的良好记录；</w:t>
      </w:r>
    </w:p>
    <w:p w14:paraId="31F69C64">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8</w:t>
      </w:r>
      <w:r>
        <w:rPr>
          <w:rFonts w:hint="eastAsia" w:asciiTheme="majorEastAsia" w:hAnsiTheme="majorEastAsia" w:eastAsiaTheme="majorEastAsia" w:cstheme="majorEastAsia"/>
          <w:color w:val="auto"/>
          <w:sz w:val="24"/>
          <w:szCs w:val="24"/>
          <w:highlight w:val="none"/>
        </w:rPr>
        <w:t>）前三年内在经营活动中没有重大违法记录的书面声明（格式见附件）；</w:t>
      </w:r>
    </w:p>
    <w:p w14:paraId="49D5052E">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9</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rPr>
        <w:t>未被列入失信被执行人、</w:t>
      </w:r>
      <w:r>
        <w:rPr>
          <w:rFonts w:hint="eastAsia" w:asciiTheme="majorEastAsia" w:hAnsiTheme="majorEastAsia" w:eastAsiaTheme="majorEastAsia" w:cstheme="majorEastAsia"/>
          <w:color w:val="auto"/>
          <w:sz w:val="24"/>
          <w:szCs w:val="24"/>
          <w:highlight w:val="none"/>
          <w:lang w:eastAsia="zh-CN"/>
        </w:rPr>
        <w:t>重大税收违法失信主体</w:t>
      </w:r>
      <w:r>
        <w:rPr>
          <w:rFonts w:hint="eastAsia" w:asciiTheme="majorEastAsia" w:hAnsiTheme="majorEastAsia" w:eastAsiaTheme="majorEastAsia" w:cstheme="majorEastAsia"/>
          <w:color w:val="auto"/>
          <w:sz w:val="24"/>
          <w:szCs w:val="24"/>
          <w:highlight w:val="none"/>
        </w:rPr>
        <w:t>、政府采购严重违法失信行为记录名单</w:t>
      </w:r>
      <w:r>
        <w:rPr>
          <w:rFonts w:hint="eastAsia" w:asciiTheme="majorEastAsia" w:hAnsiTheme="majorEastAsia" w:eastAsiaTheme="majorEastAsia" w:cstheme="majorEastAsia"/>
          <w:color w:val="auto"/>
          <w:sz w:val="24"/>
          <w:szCs w:val="24"/>
          <w:highlight w:val="none"/>
          <w:lang w:eastAsia="zh-CN"/>
        </w:rPr>
        <w:t>；</w:t>
      </w:r>
    </w:p>
    <w:p w14:paraId="6DB0A2E9">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10</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rPr>
        <w:t>已取得的各种有效认证证书、政府部门（企业）或第三方权威鉴定机构出具的信用等级证书或证明复印件；</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如有</w:t>
      </w:r>
      <w:r>
        <w:rPr>
          <w:rFonts w:hint="eastAsia" w:asciiTheme="majorEastAsia" w:hAnsiTheme="majorEastAsia" w:eastAsiaTheme="majorEastAsia" w:cstheme="majorEastAsia"/>
          <w:color w:val="auto"/>
          <w:sz w:val="24"/>
          <w:szCs w:val="24"/>
          <w:highlight w:val="none"/>
          <w:lang w:eastAsia="zh-CN"/>
        </w:rPr>
        <w:t>）</w:t>
      </w:r>
    </w:p>
    <w:p w14:paraId="39B97EA8">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11</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lang w:val="en-US" w:eastAsia="zh-CN"/>
        </w:rPr>
        <w:t>2023</w:t>
      </w:r>
      <w:r>
        <w:rPr>
          <w:rFonts w:hint="eastAsia" w:asciiTheme="majorEastAsia" w:hAnsiTheme="majorEastAsia" w:eastAsiaTheme="majorEastAsia" w:cstheme="majorEastAsia"/>
          <w:color w:val="auto"/>
          <w:sz w:val="24"/>
          <w:szCs w:val="24"/>
          <w:highlight w:val="none"/>
          <w:lang w:eastAsia="zh-CN"/>
        </w:rPr>
        <w:t>年</w:t>
      </w: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lang w:eastAsia="zh-CN"/>
        </w:rPr>
        <w:t>月</w:t>
      </w:r>
      <w:r>
        <w:rPr>
          <w:rFonts w:hint="eastAsia" w:asciiTheme="majorEastAsia" w:hAnsiTheme="majorEastAsia" w:eastAsiaTheme="majorEastAsia" w:cstheme="majorEastAsia"/>
          <w:color w:val="auto"/>
          <w:sz w:val="24"/>
          <w:szCs w:val="24"/>
          <w:highlight w:val="none"/>
          <w:lang w:val="en-US" w:eastAsia="zh-CN"/>
        </w:rPr>
        <w:t>1日</w:t>
      </w:r>
      <w:r>
        <w:rPr>
          <w:rFonts w:hint="eastAsia" w:asciiTheme="majorEastAsia" w:hAnsiTheme="majorEastAsia" w:eastAsiaTheme="majorEastAsia" w:cstheme="majorEastAsia"/>
          <w:color w:val="auto"/>
          <w:sz w:val="24"/>
          <w:szCs w:val="24"/>
          <w:highlight w:val="none"/>
          <w:lang w:eastAsia="zh-CN"/>
        </w:rPr>
        <w:t>至今做过与本项目类似的业绩</w:t>
      </w:r>
      <w:r>
        <w:rPr>
          <w:rFonts w:hint="eastAsia" w:asciiTheme="majorEastAsia" w:hAnsiTheme="majorEastAsia" w:eastAsiaTheme="majorEastAsia" w:cstheme="majorEastAsia"/>
          <w:color w:val="auto"/>
          <w:sz w:val="24"/>
          <w:szCs w:val="24"/>
          <w:highlight w:val="none"/>
        </w:rPr>
        <w:t>；</w:t>
      </w:r>
    </w:p>
    <w:p w14:paraId="1B5C1987">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12</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政府采购政策扶持证明材料；</w:t>
      </w:r>
    </w:p>
    <w:p w14:paraId="4782BC69">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其他证明文件或供应商认为应提交的商务文件（如有）</w:t>
      </w:r>
      <w:r>
        <w:rPr>
          <w:rFonts w:hint="eastAsia" w:asciiTheme="majorEastAsia" w:hAnsiTheme="majorEastAsia" w:eastAsiaTheme="majorEastAsia" w:cstheme="majorEastAsia"/>
          <w:color w:val="auto"/>
          <w:sz w:val="24"/>
          <w:szCs w:val="24"/>
          <w:highlight w:val="none"/>
        </w:rPr>
        <w:t>。</w:t>
      </w:r>
    </w:p>
    <w:p w14:paraId="002F5684">
      <w:pPr>
        <w:adjustRightInd w:val="0"/>
        <w:snapToGrid w:val="0"/>
        <w:spacing w:line="500" w:lineRule="exact"/>
        <w:ind w:firstLine="472" w:firstLineChars="196"/>
        <w:jc w:val="left"/>
        <w:rPr>
          <w:rFonts w:hint="eastAsia" w:asciiTheme="majorEastAsia" w:hAnsiTheme="majorEastAsia" w:eastAsiaTheme="majorEastAsia" w:cstheme="majorEastAsia"/>
          <w:b/>
          <w:color w:val="auto"/>
          <w:sz w:val="24"/>
          <w:szCs w:val="24"/>
          <w:highlight w:val="none"/>
          <w:lang w:eastAsia="zh-CN"/>
        </w:rPr>
      </w:pPr>
      <w:r>
        <w:rPr>
          <w:rFonts w:hint="eastAsia" w:asciiTheme="majorEastAsia" w:hAnsiTheme="majorEastAsia" w:eastAsiaTheme="majorEastAsia" w:cstheme="majorEastAsia"/>
          <w:b/>
          <w:color w:val="auto"/>
          <w:sz w:val="24"/>
          <w:szCs w:val="24"/>
          <w:highlight w:val="none"/>
        </w:rPr>
        <w:t>13.2</w:t>
      </w:r>
      <w:r>
        <w:rPr>
          <w:rFonts w:hint="eastAsia" w:asciiTheme="majorEastAsia" w:hAnsiTheme="majorEastAsia" w:eastAsiaTheme="majorEastAsia" w:cstheme="majorEastAsia"/>
          <w:b/>
          <w:color w:val="auto"/>
          <w:sz w:val="24"/>
          <w:szCs w:val="24"/>
          <w:highlight w:val="none"/>
          <w:lang w:eastAsia="zh-CN"/>
        </w:rPr>
        <w:t>技术部分</w:t>
      </w:r>
    </w:p>
    <w:p w14:paraId="4C96A882">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（14）技术响应偏离表（格式见附件）；</w:t>
      </w:r>
    </w:p>
    <w:p w14:paraId="4B8BF655">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（15）产品详细技术规格书（包括产品详细配置、技术性能指标等）（格式自拟）；</w:t>
      </w:r>
    </w:p>
    <w:p w14:paraId="29136CBE">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（16）与产品相关的由国家认可的检测机构出具的检测报告（如有）；</w:t>
      </w:r>
    </w:p>
    <w:p w14:paraId="48EA283D">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（17）针对项目的详细组织方案：</w:t>
      </w:r>
      <w:r>
        <w:rPr>
          <w:rFonts w:hint="eastAsia" w:asciiTheme="majorEastAsia" w:hAnsiTheme="majorEastAsia" w:eastAsiaTheme="majorEastAsia" w:cstheme="majorEastAsia"/>
          <w:color w:val="auto"/>
          <w:sz w:val="24"/>
          <w:szCs w:val="24"/>
          <w:highlight w:val="none"/>
        </w:rPr>
        <w:t>包括（但不限于）项目人员安排、供货方案、质量管控方案、测试（调试）方案等内容（格式自拟）</w:t>
      </w:r>
      <w:r>
        <w:rPr>
          <w:rFonts w:hint="eastAsia" w:asciiTheme="majorEastAsia" w:hAnsiTheme="majorEastAsia" w:eastAsiaTheme="majorEastAsia" w:cstheme="majorEastAsia"/>
          <w:color w:val="auto"/>
          <w:sz w:val="24"/>
          <w:szCs w:val="24"/>
          <w:highlight w:val="none"/>
          <w:lang w:val="en-US" w:eastAsia="zh-CN"/>
        </w:rPr>
        <w:t>；</w:t>
      </w:r>
    </w:p>
    <w:p w14:paraId="3B288E30">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（18）针对本项目的详细技术培训方案：包括（但不限于）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培训团队人员配置等</w:t>
      </w:r>
      <w:r>
        <w:rPr>
          <w:rFonts w:hint="eastAsia" w:asciiTheme="majorEastAsia" w:hAnsiTheme="majorEastAsia" w:eastAsiaTheme="majorEastAsia" w:cstheme="majorEastAsia"/>
          <w:color w:val="auto"/>
          <w:sz w:val="24"/>
          <w:szCs w:val="24"/>
          <w:highlight w:val="none"/>
          <w:lang w:val="en-US" w:eastAsia="zh-CN"/>
        </w:rPr>
        <w:t>内容（格式自拟）；</w:t>
      </w:r>
    </w:p>
    <w:p w14:paraId="583F9209">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（19）针对本项目的售后服务方案：包括（但不限于）售后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w:t>
      </w:r>
      <w:r>
        <w:rPr>
          <w:rFonts w:hint="eastAsia" w:asciiTheme="majorEastAsia" w:hAnsiTheme="majorEastAsia" w:eastAsiaTheme="majorEastAsia" w:cstheme="majorEastAsia"/>
          <w:color w:val="auto"/>
          <w:sz w:val="24"/>
          <w:szCs w:val="24"/>
          <w:highlight w:val="none"/>
        </w:rPr>
        <w:t>含备件</w:t>
      </w:r>
      <w:r>
        <w:rPr>
          <w:rFonts w:hint="eastAsia" w:asciiTheme="majorEastAsia" w:hAnsiTheme="majorEastAsia" w:eastAsiaTheme="majorEastAsia" w:cstheme="majorEastAsia"/>
          <w:color w:val="auto"/>
          <w:sz w:val="24"/>
          <w:szCs w:val="24"/>
          <w:highlight w:val="none"/>
          <w:lang w:eastAsia="zh-CN"/>
        </w:rPr>
        <w:t>清单及</w:t>
      </w:r>
      <w:r>
        <w:rPr>
          <w:rFonts w:hint="eastAsia" w:asciiTheme="majorEastAsia" w:hAnsiTheme="majorEastAsia" w:eastAsiaTheme="majorEastAsia" w:cstheme="majorEastAsia"/>
          <w:color w:val="auto"/>
          <w:sz w:val="24"/>
          <w:szCs w:val="24"/>
          <w:highlight w:val="none"/>
        </w:rPr>
        <w:t>价格</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质保外服务措施等</w:t>
      </w:r>
      <w:r>
        <w:rPr>
          <w:rFonts w:hint="eastAsia" w:asciiTheme="majorEastAsia" w:hAnsiTheme="majorEastAsia" w:eastAsiaTheme="majorEastAsia" w:cstheme="majorEastAsia"/>
          <w:color w:val="auto"/>
          <w:sz w:val="24"/>
          <w:szCs w:val="24"/>
          <w:highlight w:val="none"/>
          <w:lang w:val="en-US" w:eastAsia="zh-CN"/>
        </w:rPr>
        <w:t>内容（格式自拟）；</w:t>
      </w:r>
    </w:p>
    <w:p w14:paraId="1A2FEF0D">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（20）其他优惠条件（如有）：投标人承诺给予采购人的各种优惠条件，包括备品备件、专用耗材等；</w:t>
      </w:r>
    </w:p>
    <w:p w14:paraId="053F0444">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（21）投标人需要提供的其他文件或资料（如有）。</w:t>
      </w:r>
    </w:p>
    <w:p w14:paraId="3167D9D4">
      <w:pPr>
        <w:adjustRightInd w:val="0"/>
        <w:snapToGrid w:val="0"/>
        <w:spacing w:line="500" w:lineRule="exact"/>
        <w:ind w:left="479" w:leftChars="228" w:firstLine="0" w:firstLineChars="0"/>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注：a</w:t>
      </w:r>
      <w:r>
        <w:rPr>
          <w:rFonts w:hint="eastAsia" w:asciiTheme="majorEastAsia" w:hAnsiTheme="majorEastAsia" w:eastAsiaTheme="majorEastAsia" w:cstheme="majorEastAsia"/>
          <w:b/>
          <w:bCs/>
          <w:color w:val="auto"/>
          <w:sz w:val="24"/>
          <w:szCs w:val="24"/>
          <w:highlight w:val="none"/>
          <w:lang w:val="en-US" w:eastAsia="zh-CN"/>
        </w:rPr>
        <w:t>.</w:t>
      </w:r>
      <w:r>
        <w:rPr>
          <w:rFonts w:hint="eastAsia" w:asciiTheme="majorEastAsia" w:hAnsiTheme="majorEastAsia" w:eastAsiaTheme="majorEastAsia" w:cstheme="majorEastAsia"/>
          <w:b/>
          <w:bCs/>
          <w:color w:val="auto"/>
          <w:sz w:val="24"/>
          <w:szCs w:val="24"/>
          <w:highlight w:val="none"/>
        </w:rPr>
        <w:t>授权委托书、投标声明书、投标函、开标一览表必须由法定代表人（负责人、自然人）或其授权代表签名（按格式要求）并加盖单位公章。</w:t>
      </w:r>
    </w:p>
    <w:p w14:paraId="5F594A77">
      <w:pPr>
        <w:adjustRightInd w:val="0"/>
        <w:snapToGrid w:val="0"/>
        <w:spacing w:line="500" w:lineRule="exact"/>
        <w:ind w:left="479" w:leftChars="228" w:firstLine="463" w:firstLineChars="192"/>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val="en-US" w:eastAsia="zh-CN"/>
        </w:rPr>
        <w:t>b.</w:t>
      </w:r>
      <w:r>
        <w:rPr>
          <w:rFonts w:hint="eastAsia" w:asciiTheme="majorEastAsia" w:hAnsiTheme="majorEastAsia" w:eastAsiaTheme="majorEastAsia" w:cstheme="majorEastAsia"/>
          <w:b/>
          <w:bCs/>
          <w:color w:val="auto"/>
          <w:sz w:val="24"/>
          <w:szCs w:val="24"/>
          <w:highlight w:val="none"/>
        </w:rPr>
        <w:t>以上提供的各种证书、证件、证明资料如是复印件，须在复印件上加盖有效公章，如发现有造假嫌疑的，将根据有关规定以“提供虚假材料谋取中标”予以处罚。</w:t>
      </w:r>
    </w:p>
    <w:p w14:paraId="6BD49341">
      <w:pPr>
        <w:adjustRightInd w:val="0"/>
        <w:snapToGrid w:val="0"/>
        <w:spacing w:line="500" w:lineRule="exact"/>
        <w:ind w:left="479" w:leftChars="228" w:firstLine="463" w:firstLineChars="192"/>
        <w:jc w:val="left"/>
        <w:rPr>
          <w:rFonts w:hint="eastAsia" w:eastAsiaTheme="majorEastAsia"/>
          <w:color w:val="auto"/>
          <w:highlight w:val="none"/>
          <w:lang w:eastAsia="zh-CN"/>
        </w:rPr>
      </w:pPr>
      <w:r>
        <w:rPr>
          <w:rFonts w:hint="eastAsia" w:asciiTheme="majorEastAsia" w:hAnsiTheme="majorEastAsia" w:eastAsiaTheme="majorEastAsia" w:cstheme="majorEastAsia"/>
          <w:b/>
          <w:bCs/>
          <w:color w:val="auto"/>
          <w:sz w:val="24"/>
          <w:szCs w:val="24"/>
          <w:highlight w:val="none"/>
          <w:lang w:val="en-US" w:eastAsia="zh-CN"/>
        </w:rPr>
        <w:t>c.</w:t>
      </w:r>
      <w:r>
        <w:rPr>
          <w:rFonts w:hint="eastAsia" w:asciiTheme="majorEastAsia" w:hAnsiTheme="majorEastAsia" w:eastAsiaTheme="majorEastAsia" w:cstheme="majorEastAsia"/>
          <w:b/>
          <w:bCs/>
          <w:color w:val="auto"/>
          <w:sz w:val="24"/>
          <w:szCs w:val="24"/>
          <w:highlight w:val="none"/>
        </w:rPr>
        <w:t>以上材料须加盖单位公章，投标人需将投标文件按上述顺序装订成一整册，请投标人编制投标文件的目录及页码。</w:t>
      </w:r>
    </w:p>
    <w:p w14:paraId="023C24C3">
      <w:pPr>
        <w:pStyle w:val="5"/>
        <w:rPr>
          <w:color w:val="auto"/>
          <w:highlight w:val="none"/>
        </w:rPr>
      </w:pPr>
      <w:bookmarkStart w:id="85" w:name="_Toc26745"/>
      <w:r>
        <w:rPr>
          <w:rFonts w:hint="eastAsia"/>
          <w:color w:val="auto"/>
          <w:highlight w:val="none"/>
        </w:rPr>
        <w:t>14、投标文件的语言及计量</w:t>
      </w:r>
      <w:bookmarkEnd w:id="85"/>
    </w:p>
    <w:p w14:paraId="68E45F3D">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14.1 投标文件以及投标方与招标方就有关投标事宜的所有来往函电，均应以中文汉语书写。除签名、盖章、专用名称等特殊情形外，以中文汉语以外的文字表述的投标文件视同未提供。</w:t>
      </w:r>
    </w:p>
    <w:p w14:paraId="1960DEB0">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14.2 投标计量单位，招标文件已有明确规定的，使用招标文件规定的计量单位；招标文件没有规定的，应采用中华人民共和国法定计量单位（货币单位：人民币元），否则视同未响应。</w:t>
      </w:r>
    </w:p>
    <w:p w14:paraId="313C3A37">
      <w:pPr>
        <w:pStyle w:val="5"/>
        <w:rPr>
          <w:color w:val="auto"/>
          <w:highlight w:val="none"/>
        </w:rPr>
      </w:pPr>
      <w:bookmarkStart w:id="86" w:name="_Toc10847"/>
      <w:r>
        <w:rPr>
          <w:rFonts w:hint="eastAsia"/>
          <w:color w:val="auto"/>
          <w:highlight w:val="none"/>
        </w:rPr>
        <w:t>15、投标报价</w:t>
      </w:r>
      <w:bookmarkEnd w:id="86"/>
    </w:p>
    <w:p w14:paraId="73E363B6">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15.1 投标报价按招标文件中相关附表格式填写，应为所投产品的单价报价，每个产品只允许一个报价</w:t>
      </w:r>
      <w:r>
        <w:rPr>
          <w:rFonts w:hint="eastAsia" w:asciiTheme="majorEastAsia" w:hAnsiTheme="majorEastAsia" w:eastAsiaTheme="majorEastAsia" w:cstheme="majorEastAsia"/>
          <w:bCs/>
          <w:color w:val="auto"/>
          <w:sz w:val="24"/>
          <w:szCs w:val="24"/>
          <w:highlight w:val="none"/>
        </w:rPr>
        <w:t>，否则视为有选择性报价，按无效标处理</w:t>
      </w:r>
      <w:r>
        <w:rPr>
          <w:rFonts w:hint="eastAsia" w:asciiTheme="majorEastAsia" w:hAnsiTheme="majorEastAsia" w:eastAsiaTheme="majorEastAsia" w:cstheme="majorEastAsia"/>
          <w:color w:val="auto"/>
          <w:sz w:val="24"/>
          <w:szCs w:val="24"/>
          <w:highlight w:val="none"/>
        </w:rPr>
        <w:t>。</w:t>
      </w:r>
    </w:p>
    <w:p w14:paraId="6F4CCFDE">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15.2 投标报价应包括货款、标准附件、备品备件、专用工具、包装、运输、装卸、保险、税金、货到就位以及安装、调试、培训、保修等一切税金和费用。</w:t>
      </w:r>
    </w:p>
    <w:p w14:paraId="2433D7D4">
      <w:pPr>
        <w:tabs>
          <w:tab w:val="left" w:pos="52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15.3 每种货物只允许有一个报价，有选择的或有条件的报价将不予接受。</w:t>
      </w:r>
    </w:p>
    <w:p w14:paraId="7C6E8C0A">
      <w:pPr>
        <w:pStyle w:val="5"/>
        <w:rPr>
          <w:color w:val="auto"/>
          <w:highlight w:val="none"/>
        </w:rPr>
      </w:pPr>
      <w:bookmarkStart w:id="87" w:name="_Toc11872"/>
      <w:r>
        <w:rPr>
          <w:rFonts w:hint="eastAsia"/>
          <w:color w:val="auto"/>
          <w:highlight w:val="none"/>
        </w:rPr>
        <w:t>16、投标文件的有效期</w:t>
      </w:r>
      <w:bookmarkEnd w:id="87"/>
    </w:p>
    <w:p w14:paraId="2DC17372">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16.1 自投标截止日起</w:t>
      </w:r>
      <w:r>
        <w:rPr>
          <w:rFonts w:hint="eastAsia" w:asciiTheme="majorEastAsia" w:hAnsiTheme="majorEastAsia" w:eastAsiaTheme="majorEastAsia" w:cstheme="majorEastAsia"/>
          <w:color w:val="auto"/>
          <w:kern w:val="0"/>
          <w:sz w:val="24"/>
          <w:szCs w:val="24"/>
          <w:highlight w:val="none"/>
          <w:u w:val="single"/>
        </w:rPr>
        <w:t>90</w:t>
      </w:r>
      <w:r>
        <w:rPr>
          <w:rFonts w:hint="eastAsia" w:asciiTheme="majorEastAsia" w:hAnsiTheme="majorEastAsia" w:eastAsiaTheme="majorEastAsia" w:cstheme="majorEastAsia"/>
          <w:color w:val="auto"/>
          <w:kern w:val="0"/>
          <w:sz w:val="24"/>
          <w:szCs w:val="24"/>
          <w:highlight w:val="none"/>
        </w:rPr>
        <w:t>天投标文件应保持有效。</w:t>
      </w:r>
    </w:p>
    <w:p w14:paraId="72383858">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16.2 在特殊情况下，采购人可与投标人协商延长投标书的有效期，这种要求和答复均以书面形式进行。</w:t>
      </w:r>
    </w:p>
    <w:p w14:paraId="007FBD08">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16.3 投标人可拒绝接受延期要求而不会导致投标保证金被没收。同意延长有效期的投标人需要相应延长投标保证金的有效期，但不能修改投标文件。</w:t>
      </w:r>
    </w:p>
    <w:p w14:paraId="2C1E60BD">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16.4 中标人的投标文件自开标之日起至合同履行完毕止均应保持有效。</w:t>
      </w:r>
    </w:p>
    <w:p w14:paraId="6BCB232F">
      <w:pPr>
        <w:pStyle w:val="5"/>
        <w:rPr>
          <w:color w:val="auto"/>
          <w:highlight w:val="none"/>
        </w:rPr>
      </w:pPr>
      <w:bookmarkStart w:id="88" w:name="_Toc2098"/>
      <w:r>
        <w:rPr>
          <w:rFonts w:hint="eastAsia"/>
          <w:color w:val="auto"/>
          <w:highlight w:val="none"/>
        </w:rPr>
        <w:t>17、投标保证金</w:t>
      </w:r>
      <w:bookmarkEnd w:id="88"/>
    </w:p>
    <w:p w14:paraId="3CC089A8">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17.1 投标人须按规定提交投标保证金。否则，其投标将被拒绝。</w:t>
      </w:r>
    </w:p>
    <w:p w14:paraId="61BBF13D">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17.2 保证金形式：投标保证金应当以支票、汇票、本票或者金融机构、担保机构出具的保函等非现金形式提交。</w:t>
      </w:r>
    </w:p>
    <w:p w14:paraId="521BA8EC">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17.3 退还保证金时，投标人提供单位账户信息。</w:t>
      </w:r>
    </w:p>
    <w:p w14:paraId="7D1DE944">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17.4 采购代理机构应当自中标通知书发出之日起5个工作日内退还未中标单位的投标保证金，自政府采购合同签订之日起5个工作日内退还中标单位的投标保证金。但因投标人自身原因导致无法及时退还的除外。</w:t>
      </w:r>
    </w:p>
    <w:p w14:paraId="58390C9A">
      <w:pPr>
        <w:adjustRightInd w:val="0"/>
        <w:snapToGrid w:val="0"/>
        <w:spacing w:line="500" w:lineRule="exact"/>
        <w:ind w:firstLine="472" w:firstLineChars="196"/>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17.5 投标人有下列情形之一的，投标保证金将不予退还：</w:t>
      </w:r>
    </w:p>
    <w:p w14:paraId="79FB3630">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（1）投标人在投标有效期内撤回投标文件的；</w:t>
      </w:r>
    </w:p>
    <w:p w14:paraId="25668FB6">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（2）投标人在投标过程中弄虚作假，提供虚假材料的；</w:t>
      </w:r>
    </w:p>
    <w:p w14:paraId="0C9B57BE">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（3）中标人无正当理由不与采购人签订合同的；</w:t>
      </w:r>
    </w:p>
    <w:p w14:paraId="7F26237B">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（4）</w:t>
      </w:r>
      <w:r>
        <w:rPr>
          <w:rFonts w:hint="eastAsia" w:asciiTheme="majorEastAsia" w:hAnsiTheme="majorEastAsia" w:eastAsiaTheme="majorEastAsia" w:cstheme="majorEastAsia"/>
          <w:b/>
          <w:bCs/>
          <w:color w:val="auto"/>
          <w:sz w:val="24"/>
          <w:szCs w:val="24"/>
          <w:highlight w:val="none"/>
        </w:rPr>
        <w:t>将中标项目转让给他人或者在投标文件中未说明且未经招标采购单位同意，将项目分包给他人的；</w:t>
      </w:r>
    </w:p>
    <w:p w14:paraId="49A4F2B1">
      <w:pPr>
        <w:adjustRightInd w:val="0"/>
        <w:snapToGrid w:val="0"/>
        <w:spacing w:line="500" w:lineRule="exact"/>
        <w:ind w:firstLine="482" w:firstLineChars="200"/>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（5）</w:t>
      </w:r>
      <w:r>
        <w:rPr>
          <w:rFonts w:hint="eastAsia" w:asciiTheme="majorEastAsia" w:hAnsiTheme="majorEastAsia" w:eastAsiaTheme="majorEastAsia" w:cstheme="majorEastAsia"/>
          <w:b/>
          <w:color w:val="auto"/>
          <w:sz w:val="24"/>
          <w:szCs w:val="24"/>
          <w:highlight w:val="none"/>
          <w:lang w:val="en-US" w:eastAsia="zh-CN"/>
        </w:rPr>
        <w:t>法律法规规定的其他不予退还的情形</w:t>
      </w:r>
      <w:r>
        <w:rPr>
          <w:rFonts w:hint="eastAsia" w:asciiTheme="majorEastAsia" w:hAnsiTheme="majorEastAsia" w:eastAsiaTheme="majorEastAsia" w:cstheme="majorEastAsia"/>
          <w:b/>
          <w:color w:val="auto"/>
          <w:sz w:val="24"/>
          <w:szCs w:val="24"/>
          <w:highlight w:val="none"/>
        </w:rPr>
        <w:t>。</w:t>
      </w:r>
    </w:p>
    <w:p w14:paraId="570DD8F3">
      <w:pPr>
        <w:pStyle w:val="5"/>
        <w:rPr>
          <w:rFonts w:hint="eastAsia" w:asciiTheme="majorEastAsia" w:hAnsiTheme="majorEastAsia" w:eastAsiaTheme="majorEastAsia" w:cstheme="majorEastAsia"/>
          <w:color w:val="auto"/>
          <w:sz w:val="24"/>
          <w:szCs w:val="24"/>
          <w:highlight w:val="none"/>
          <w:lang w:eastAsia="zh-CN"/>
        </w:rPr>
      </w:pPr>
      <w:bookmarkStart w:id="89" w:name="_Toc16494"/>
      <w:r>
        <w:rPr>
          <w:rFonts w:hint="eastAsia" w:asciiTheme="majorEastAsia" w:hAnsiTheme="majorEastAsia" w:eastAsiaTheme="majorEastAsia" w:cstheme="majorEastAsia"/>
          <w:color w:val="auto"/>
          <w:sz w:val="24"/>
          <w:szCs w:val="24"/>
          <w:highlight w:val="none"/>
        </w:rPr>
        <w:t>18、投标文件</w:t>
      </w:r>
      <w:r>
        <w:rPr>
          <w:rStyle w:val="88"/>
          <w:rFonts w:hint="eastAsia"/>
          <w:b/>
          <w:bCs/>
          <w:color w:val="auto"/>
          <w:highlight w:val="none"/>
        </w:rPr>
        <w:t>的</w:t>
      </w:r>
      <w:r>
        <w:rPr>
          <w:rFonts w:hint="eastAsia" w:asciiTheme="majorEastAsia" w:hAnsiTheme="majorEastAsia" w:eastAsiaTheme="majorEastAsia" w:cstheme="majorEastAsia"/>
          <w:color w:val="auto"/>
          <w:sz w:val="24"/>
          <w:szCs w:val="24"/>
          <w:highlight w:val="none"/>
        </w:rPr>
        <w:t>签署和份数</w:t>
      </w:r>
      <w:bookmarkEnd w:id="89"/>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标后提供纸质版投标文件具体要求</w:t>
      </w:r>
      <w:r>
        <w:rPr>
          <w:rFonts w:hint="eastAsia" w:asciiTheme="majorEastAsia" w:hAnsiTheme="majorEastAsia" w:eastAsiaTheme="majorEastAsia" w:cstheme="majorEastAsia"/>
          <w:color w:val="auto"/>
          <w:sz w:val="24"/>
          <w:szCs w:val="24"/>
          <w:highlight w:val="none"/>
          <w:lang w:eastAsia="zh-CN"/>
        </w:rPr>
        <w:t>）</w:t>
      </w:r>
    </w:p>
    <w:p w14:paraId="4C55F904">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18.1 投标人应按本招标文件规定的格式和顺序编制、装订投标文件并标注页码，投标文件内容不完整、编排混乱导致投标文件被误读、漏读或者查找不到相关内容的，是投标人的责任。</w:t>
      </w:r>
    </w:p>
    <w:p w14:paraId="62CA1AE9">
      <w:pPr>
        <w:adjustRightInd w:val="0"/>
        <w:snapToGrid w:val="0"/>
        <w:spacing w:line="50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18.2投标人递交的纸质投标文件包括“正本”一份、“副本”</w:t>
      </w:r>
      <w:r>
        <w:rPr>
          <w:rFonts w:hint="eastAsia" w:asciiTheme="majorEastAsia" w:hAnsiTheme="majorEastAsia" w:eastAsiaTheme="majorEastAsia" w:cstheme="majorEastAsia"/>
          <w:color w:val="auto"/>
          <w:sz w:val="24"/>
          <w:szCs w:val="24"/>
          <w:highlight w:val="none"/>
          <w:lang w:val="en-US" w:eastAsia="zh-CN"/>
        </w:rPr>
        <w:t>二</w:t>
      </w:r>
      <w:r>
        <w:rPr>
          <w:rFonts w:hint="eastAsia" w:asciiTheme="majorEastAsia" w:hAnsiTheme="majorEastAsia" w:eastAsiaTheme="majorEastAsia" w:cstheme="majorEastAsia"/>
          <w:color w:val="auto"/>
          <w:sz w:val="24"/>
          <w:szCs w:val="24"/>
          <w:highlight w:val="none"/>
        </w:rPr>
        <w:t>份。</w:t>
      </w:r>
    </w:p>
    <w:p w14:paraId="4A345A5F">
      <w:pPr>
        <w:adjustRightInd w:val="0"/>
        <w:snapToGrid w:val="0"/>
        <w:spacing w:line="500" w:lineRule="exact"/>
        <w:ind w:firstLine="482"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建议采用胶装，不得采用活页装订（是指用卡条、抽杆夹、订书机等形式装订，使投标文件可以拆卸或者在翻动过程中易脱落的一种装订方式）。</w:t>
      </w:r>
      <w:r>
        <w:rPr>
          <w:rFonts w:hint="eastAsia" w:asciiTheme="majorEastAsia" w:hAnsiTheme="majorEastAsia" w:eastAsiaTheme="majorEastAsia" w:cstheme="majorEastAsia"/>
          <w:color w:val="auto"/>
          <w:sz w:val="24"/>
          <w:szCs w:val="24"/>
          <w:highlight w:val="none"/>
        </w:rPr>
        <w:t>在投标文件封面的须清楚的注明“正本”或“副本”。</w:t>
      </w:r>
    </w:p>
    <w:p w14:paraId="130FBC1E">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18.3 投标文件的正本需打印或用不褪色的墨水填写，投标文件正本除本《投标人须知》中规定的可提供复印件外均须提供原件。副本可为正本的复印件。</w:t>
      </w:r>
    </w:p>
    <w:p w14:paraId="04477BA9">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18.4 投标文件须由投标人在规定位置盖章并由法定代表人（负责人、自然人）或法定代表人（负责人、自然人）的授权代表签署，投标人应写全称。</w:t>
      </w:r>
    </w:p>
    <w:p w14:paraId="05FDB75D">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18.5 投标文件不得涂改，若有修改错漏处，须加盖单位公章或者法定代表人（负责人、自然人）或授权代表签字。投标文件因字迹潦草或表达不清所引起的后果由投标人负责。</w:t>
      </w:r>
    </w:p>
    <w:p w14:paraId="68794851">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18.6电子文件（1份光盘，1份U盘）</w:t>
      </w:r>
      <w:bookmarkStart w:id="90" w:name="_Toc233618975"/>
      <w:bookmarkStart w:id="91" w:name="_Toc86216991"/>
      <w:r>
        <w:rPr>
          <w:rFonts w:hint="eastAsia" w:asciiTheme="majorEastAsia" w:hAnsiTheme="majorEastAsia" w:eastAsiaTheme="majorEastAsia" w:cstheme="majorEastAsia"/>
          <w:b/>
          <w:color w:val="auto"/>
          <w:sz w:val="24"/>
          <w:szCs w:val="24"/>
          <w:highlight w:val="none"/>
        </w:rPr>
        <w:t>U盘和1份电子版光盘中须包含投标文件的全部内容，格式为WORD版和签章后的投标文件正本扫描件PDF版两种。</w:t>
      </w:r>
      <w:r>
        <w:rPr>
          <w:rFonts w:hint="eastAsia" w:asciiTheme="majorEastAsia" w:hAnsiTheme="majorEastAsia" w:eastAsiaTheme="majorEastAsia" w:cstheme="majorEastAsia"/>
          <w:color w:val="auto"/>
          <w:sz w:val="24"/>
          <w:szCs w:val="24"/>
          <w:highlight w:val="none"/>
        </w:rPr>
        <w:t>光盘上须注明投标人名称及所投项目及内容。光盘上的内容应与投标人纸制投标文件一致。</w:t>
      </w:r>
    </w:p>
    <w:p w14:paraId="6CCC8AFC">
      <w:pPr>
        <w:adjustRightInd w:val="0"/>
        <w:snapToGrid w:val="0"/>
        <w:spacing w:line="500" w:lineRule="exact"/>
        <w:ind w:firstLine="420"/>
        <w:jc w:val="lef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18.7投</w:t>
      </w:r>
      <w:bookmarkEnd w:id="90"/>
      <w:bookmarkEnd w:id="91"/>
      <w:r>
        <w:rPr>
          <w:rFonts w:hint="eastAsia" w:asciiTheme="majorEastAsia" w:hAnsiTheme="majorEastAsia" w:eastAsiaTheme="majorEastAsia" w:cstheme="majorEastAsia"/>
          <w:b/>
          <w:bCs/>
          <w:color w:val="auto"/>
          <w:sz w:val="24"/>
          <w:szCs w:val="24"/>
          <w:highlight w:val="none"/>
        </w:rPr>
        <w:t>标人</w:t>
      </w:r>
      <w:r>
        <w:rPr>
          <w:rFonts w:hint="eastAsia" w:asciiTheme="majorEastAsia" w:hAnsiTheme="majorEastAsia" w:eastAsiaTheme="majorEastAsia" w:cstheme="majorEastAsia"/>
          <w:b/>
          <w:bCs/>
          <w:color w:val="auto"/>
          <w:sz w:val="24"/>
          <w:szCs w:val="24"/>
          <w:highlight w:val="none"/>
          <w:lang w:val="en-US" w:eastAsia="zh-CN"/>
        </w:rPr>
        <w:t>应</w:t>
      </w:r>
      <w:r>
        <w:rPr>
          <w:rFonts w:hint="eastAsia" w:asciiTheme="majorEastAsia" w:hAnsiTheme="majorEastAsia" w:eastAsiaTheme="majorEastAsia" w:cstheme="majorEastAsia"/>
          <w:b/>
          <w:bCs/>
          <w:color w:val="auto"/>
          <w:sz w:val="24"/>
          <w:szCs w:val="24"/>
          <w:highlight w:val="none"/>
        </w:rPr>
        <w:t>在投标文件封面上列明</w:t>
      </w:r>
      <w:r>
        <w:rPr>
          <w:rFonts w:hint="eastAsia" w:asciiTheme="majorEastAsia" w:hAnsiTheme="majorEastAsia" w:eastAsiaTheme="majorEastAsia" w:cstheme="majorEastAsia"/>
          <w:b/>
          <w:bCs/>
          <w:color w:val="auto"/>
          <w:sz w:val="24"/>
          <w:szCs w:val="24"/>
          <w:highlight w:val="none"/>
          <w:lang w:val="en-US" w:eastAsia="zh-CN"/>
        </w:rPr>
        <w:t>项目名称及编号</w:t>
      </w:r>
      <w:r>
        <w:rPr>
          <w:rFonts w:hint="eastAsia" w:asciiTheme="majorEastAsia" w:hAnsiTheme="majorEastAsia" w:eastAsiaTheme="majorEastAsia" w:cstheme="majorEastAsia"/>
          <w:b/>
          <w:bCs/>
          <w:color w:val="auto"/>
          <w:sz w:val="24"/>
          <w:szCs w:val="24"/>
          <w:highlight w:val="none"/>
        </w:rPr>
        <w:t>。</w:t>
      </w:r>
    </w:p>
    <w:p w14:paraId="49227391">
      <w:pPr>
        <w:pStyle w:val="5"/>
        <w:rPr>
          <w:color w:val="auto"/>
          <w:highlight w:val="none"/>
        </w:rPr>
      </w:pPr>
      <w:bookmarkStart w:id="92" w:name="_Toc8464"/>
      <w:r>
        <w:rPr>
          <w:rFonts w:hint="eastAsia"/>
          <w:color w:val="auto"/>
          <w:highlight w:val="none"/>
        </w:rPr>
        <w:t>19、投标文件的包装、递交、修改和撤回</w:t>
      </w:r>
      <w:bookmarkEnd w:id="92"/>
    </w:p>
    <w:p w14:paraId="4B1709E1">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sz w:val="24"/>
          <w:szCs w:val="24"/>
          <w:highlight w:val="none"/>
        </w:rPr>
        <w:t>19.1投标人应将</w:t>
      </w:r>
      <w:r>
        <w:rPr>
          <w:rFonts w:hint="eastAsia" w:asciiTheme="majorEastAsia" w:hAnsiTheme="majorEastAsia" w:eastAsiaTheme="majorEastAsia" w:cstheme="majorEastAsia"/>
          <w:b/>
          <w:bCs/>
          <w:color w:val="auto"/>
          <w:sz w:val="24"/>
          <w:szCs w:val="24"/>
          <w:highlight w:val="none"/>
          <w:lang w:val="en-US" w:eastAsia="zh-CN"/>
        </w:rPr>
        <w:t>纸质版投标</w:t>
      </w:r>
      <w:r>
        <w:rPr>
          <w:rFonts w:hint="eastAsia" w:asciiTheme="majorEastAsia" w:hAnsiTheme="majorEastAsia" w:eastAsiaTheme="majorEastAsia" w:cstheme="majorEastAsia"/>
          <w:b/>
          <w:bCs/>
          <w:color w:val="auto"/>
          <w:sz w:val="24"/>
          <w:szCs w:val="24"/>
          <w:highlight w:val="none"/>
        </w:rPr>
        <w:t>文件</w:t>
      </w:r>
      <w:r>
        <w:rPr>
          <w:rFonts w:hint="eastAsia" w:asciiTheme="majorEastAsia" w:hAnsiTheme="majorEastAsia" w:eastAsiaTheme="majorEastAsia" w:cstheme="majorEastAsia"/>
          <w:b/>
          <w:bCs/>
          <w:color w:val="auto"/>
          <w:sz w:val="24"/>
          <w:szCs w:val="24"/>
          <w:highlight w:val="none"/>
          <w:lang w:eastAsia="zh-CN"/>
        </w:rPr>
        <w:t>、</w:t>
      </w:r>
      <w:r>
        <w:rPr>
          <w:rFonts w:hint="eastAsia" w:asciiTheme="majorEastAsia" w:hAnsiTheme="majorEastAsia" w:eastAsiaTheme="majorEastAsia" w:cstheme="majorEastAsia"/>
          <w:b/>
          <w:bCs/>
          <w:color w:val="auto"/>
          <w:sz w:val="24"/>
          <w:szCs w:val="24"/>
          <w:highlight w:val="none"/>
        </w:rPr>
        <w:t>电子文件（1份光盘，1份U盘）分别密封包装</w:t>
      </w:r>
      <w:r>
        <w:rPr>
          <w:rFonts w:hint="eastAsia" w:asciiTheme="majorEastAsia" w:hAnsiTheme="majorEastAsia" w:eastAsiaTheme="majorEastAsia" w:cstheme="majorEastAsia"/>
          <w:b/>
          <w:bCs/>
          <w:color w:val="auto"/>
          <w:sz w:val="24"/>
          <w:szCs w:val="24"/>
          <w:highlight w:val="none"/>
          <w:lang w:eastAsia="zh-CN"/>
        </w:rPr>
        <w:t>、</w:t>
      </w:r>
      <w:r>
        <w:rPr>
          <w:rFonts w:hint="eastAsia" w:asciiTheme="majorEastAsia" w:hAnsiTheme="majorEastAsia" w:eastAsiaTheme="majorEastAsia" w:cstheme="majorEastAsia"/>
          <w:b/>
          <w:bCs/>
          <w:color w:val="auto"/>
          <w:sz w:val="24"/>
          <w:szCs w:val="24"/>
          <w:highlight w:val="none"/>
        </w:rPr>
        <w:t>递交，包装封面上应注明“</w:t>
      </w:r>
      <w:r>
        <w:rPr>
          <w:rFonts w:hint="eastAsia" w:asciiTheme="majorEastAsia" w:hAnsiTheme="majorEastAsia" w:eastAsiaTheme="majorEastAsia" w:cstheme="majorEastAsia"/>
          <w:b/>
          <w:bCs/>
          <w:color w:val="auto"/>
          <w:sz w:val="24"/>
          <w:szCs w:val="24"/>
          <w:highlight w:val="none"/>
          <w:lang w:val="en-US" w:eastAsia="zh-CN"/>
        </w:rPr>
        <w:t>投标</w:t>
      </w:r>
      <w:r>
        <w:rPr>
          <w:rFonts w:hint="eastAsia" w:asciiTheme="majorEastAsia" w:hAnsiTheme="majorEastAsia" w:eastAsiaTheme="majorEastAsia" w:cstheme="majorEastAsia"/>
          <w:b/>
          <w:bCs/>
          <w:color w:val="auto"/>
          <w:sz w:val="24"/>
          <w:szCs w:val="24"/>
          <w:highlight w:val="none"/>
        </w:rPr>
        <w:t>文件”、“电子文件”及投标人名称、</w:t>
      </w:r>
      <w:r>
        <w:rPr>
          <w:rFonts w:hint="eastAsia" w:asciiTheme="majorEastAsia" w:hAnsiTheme="majorEastAsia" w:eastAsiaTheme="majorEastAsia" w:cstheme="majorEastAsia"/>
          <w:b/>
          <w:bCs/>
          <w:color w:val="auto"/>
          <w:sz w:val="24"/>
          <w:szCs w:val="24"/>
          <w:highlight w:val="none"/>
          <w:lang w:val="en-US" w:eastAsia="zh-CN"/>
        </w:rPr>
        <w:t>项目</w:t>
      </w:r>
      <w:r>
        <w:rPr>
          <w:rFonts w:hint="eastAsia" w:asciiTheme="majorEastAsia" w:hAnsiTheme="majorEastAsia" w:eastAsiaTheme="majorEastAsia" w:cstheme="majorEastAsia"/>
          <w:b/>
          <w:bCs/>
          <w:color w:val="auto"/>
          <w:sz w:val="24"/>
          <w:szCs w:val="24"/>
          <w:highlight w:val="none"/>
        </w:rPr>
        <w:t>名称、</w:t>
      </w:r>
      <w:r>
        <w:rPr>
          <w:rFonts w:hint="eastAsia" w:asciiTheme="majorEastAsia" w:hAnsiTheme="majorEastAsia" w:eastAsiaTheme="majorEastAsia" w:cstheme="majorEastAsia"/>
          <w:b/>
          <w:bCs/>
          <w:color w:val="auto"/>
          <w:sz w:val="24"/>
          <w:szCs w:val="24"/>
          <w:highlight w:val="none"/>
          <w:lang w:val="en-US" w:eastAsia="zh-CN"/>
        </w:rPr>
        <w:t>项目</w:t>
      </w:r>
      <w:r>
        <w:rPr>
          <w:rFonts w:hint="eastAsia" w:asciiTheme="majorEastAsia" w:hAnsiTheme="majorEastAsia" w:eastAsiaTheme="majorEastAsia" w:cstheme="majorEastAsia"/>
          <w:b/>
          <w:bCs/>
          <w:color w:val="auto"/>
          <w:sz w:val="24"/>
          <w:szCs w:val="24"/>
          <w:highlight w:val="none"/>
        </w:rPr>
        <w:t>编号及内容及“开标时启封”字样，并加盖投标人公章。</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本项目不适用</w:t>
      </w:r>
      <w:r>
        <w:rPr>
          <w:rFonts w:hint="eastAsia" w:asciiTheme="majorEastAsia" w:hAnsiTheme="majorEastAsia" w:eastAsiaTheme="majorEastAsia" w:cstheme="majorEastAsia"/>
          <w:color w:val="auto"/>
          <w:sz w:val="24"/>
          <w:szCs w:val="24"/>
          <w:highlight w:val="none"/>
          <w:lang w:eastAsia="zh-CN"/>
        </w:rPr>
        <w:t>）</w:t>
      </w:r>
    </w:p>
    <w:p w14:paraId="3E435519">
      <w:pPr>
        <w:pStyle w:val="198"/>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19.2如果</w:t>
      </w:r>
      <w:r>
        <w:rPr>
          <w:rFonts w:hint="eastAsia" w:asciiTheme="majorEastAsia" w:hAnsiTheme="majorEastAsia" w:eastAsiaTheme="majorEastAsia" w:cstheme="majorEastAsia"/>
          <w:color w:val="auto"/>
          <w:kern w:val="2"/>
          <w:sz w:val="24"/>
          <w:szCs w:val="24"/>
          <w:highlight w:val="none"/>
          <w:lang w:eastAsia="zh-CN"/>
        </w:rPr>
        <w:t>投标文件</w:t>
      </w:r>
      <w:r>
        <w:rPr>
          <w:rFonts w:hint="eastAsia" w:asciiTheme="majorEastAsia" w:hAnsiTheme="majorEastAsia" w:eastAsiaTheme="majorEastAsia" w:cstheme="majorEastAsia"/>
          <w:color w:val="auto"/>
          <w:kern w:val="2"/>
          <w:sz w:val="24"/>
          <w:szCs w:val="24"/>
          <w:highlight w:val="none"/>
          <w:lang w:val="en-US" w:eastAsia="zh-CN"/>
        </w:rPr>
        <w:t>的包装没有按上述规定密封并加写标志，采购人或采购代理机构将拒绝接收</w:t>
      </w:r>
      <w:r>
        <w:rPr>
          <w:rFonts w:hint="eastAsia" w:asciiTheme="majorEastAsia" w:hAnsiTheme="majorEastAsia" w:eastAsiaTheme="majorEastAsia" w:cstheme="majorEastAsia"/>
          <w:color w:val="auto"/>
          <w:kern w:val="2"/>
          <w:sz w:val="24"/>
          <w:szCs w:val="24"/>
          <w:highlight w:val="none"/>
        </w:rPr>
        <w:t>。</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本项目不适用</w:t>
      </w:r>
      <w:r>
        <w:rPr>
          <w:rFonts w:hint="eastAsia" w:asciiTheme="majorEastAsia" w:hAnsiTheme="majorEastAsia" w:eastAsiaTheme="majorEastAsia" w:cstheme="majorEastAsia"/>
          <w:color w:val="auto"/>
          <w:sz w:val="24"/>
          <w:szCs w:val="24"/>
          <w:highlight w:val="none"/>
          <w:lang w:eastAsia="zh-CN"/>
        </w:rPr>
        <w:t>）</w:t>
      </w:r>
    </w:p>
    <w:p w14:paraId="7A8EECEB">
      <w:pPr>
        <w:pStyle w:val="198"/>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19.3 投标人在投标截止时间之前，可以对已提交的投标文件进行修改或撤回，并书面通知采购代理机构；投标截止时间后，投标人不得撤回、修改投标文件。修改后重新递交的投标文件应当按本招标文件的要求签署、盖章和密封。</w:t>
      </w:r>
    </w:p>
    <w:p w14:paraId="25F63E7C">
      <w:pPr>
        <w:pStyle w:val="199"/>
        <w:adjustRightInd w:val="0"/>
        <w:snapToGrid w:val="0"/>
        <w:spacing w:before="0" w:line="500" w:lineRule="exact"/>
        <w:ind w:firstLine="482"/>
        <w:rPr>
          <w:rFonts w:asciiTheme="majorEastAsia" w:hAnsiTheme="majorEastAsia" w:eastAsiaTheme="majorEastAsia" w:cstheme="majorEastAsia"/>
          <w:b/>
          <w:color w:val="auto"/>
          <w:szCs w:val="24"/>
          <w:highlight w:val="none"/>
        </w:rPr>
      </w:pPr>
      <w:r>
        <w:rPr>
          <w:rFonts w:hint="eastAsia" w:asciiTheme="majorEastAsia" w:hAnsiTheme="majorEastAsia" w:eastAsiaTheme="majorEastAsia" w:cstheme="majorEastAsia"/>
          <w:b/>
          <w:color w:val="auto"/>
          <w:szCs w:val="24"/>
          <w:highlight w:val="none"/>
        </w:rPr>
        <w:t>19.4投标文件有下列情况之一的将不予接受：</w:t>
      </w:r>
    </w:p>
    <w:p w14:paraId="19348663">
      <w:pPr>
        <w:pStyle w:val="198"/>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19.4.1在投标文件递交截止时间以后</w:t>
      </w:r>
      <w:r>
        <w:rPr>
          <w:rFonts w:hint="eastAsia" w:asciiTheme="majorEastAsia" w:hAnsiTheme="majorEastAsia" w:eastAsiaTheme="majorEastAsia" w:cstheme="majorEastAsia"/>
          <w:color w:val="auto"/>
          <w:kern w:val="2"/>
          <w:sz w:val="24"/>
          <w:szCs w:val="24"/>
          <w:highlight w:val="none"/>
          <w:lang w:val="en-US" w:eastAsia="zh-CN"/>
        </w:rPr>
        <w:t>发送至指定邮箱</w:t>
      </w:r>
      <w:r>
        <w:rPr>
          <w:rFonts w:hint="eastAsia" w:asciiTheme="majorEastAsia" w:hAnsiTheme="majorEastAsia" w:eastAsiaTheme="majorEastAsia" w:cstheme="majorEastAsia"/>
          <w:color w:val="auto"/>
          <w:kern w:val="2"/>
          <w:sz w:val="24"/>
          <w:szCs w:val="24"/>
          <w:highlight w:val="none"/>
        </w:rPr>
        <w:t>的投标文件；</w:t>
      </w:r>
    </w:p>
    <w:p w14:paraId="67DFCB3B">
      <w:pPr>
        <w:pStyle w:val="5"/>
        <w:rPr>
          <w:color w:val="auto"/>
          <w:highlight w:val="none"/>
        </w:rPr>
      </w:pPr>
      <w:bookmarkStart w:id="93" w:name="_Toc5085"/>
      <w:r>
        <w:rPr>
          <w:rFonts w:hint="eastAsia"/>
          <w:color w:val="auto"/>
          <w:highlight w:val="none"/>
        </w:rPr>
        <w:t>20、投标截止期</w:t>
      </w:r>
      <w:bookmarkEnd w:id="93"/>
    </w:p>
    <w:p w14:paraId="58BD947A">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20.1 投标人应按照前附表规定的日期、时间和地点递交投标文件。</w:t>
      </w:r>
    </w:p>
    <w:p w14:paraId="57BADF77">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20.2 采购人将拒绝并原封退回在前附表中规定的截止时间后收到的投标文件。</w:t>
      </w:r>
    </w:p>
    <w:p w14:paraId="4C90D9FB">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20.3 采购人可以按本须知第12条的规定，通过修改招标文件适当延长投标截止时间。如投标截止时间有延长的，采购人和投标人受投标截止期制约的所有权利和义务均应延长至新的截止期。</w:t>
      </w:r>
    </w:p>
    <w:p w14:paraId="391BF035">
      <w:pPr>
        <w:pStyle w:val="5"/>
        <w:rPr>
          <w:color w:val="auto"/>
          <w:highlight w:val="none"/>
        </w:rPr>
      </w:pPr>
      <w:bookmarkStart w:id="94" w:name="_Toc11084"/>
      <w:r>
        <w:rPr>
          <w:rFonts w:hint="eastAsia"/>
          <w:color w:val="auto"/>
          <w:highlight w:val="none"/>
        </w:rPr>
        <w:t>21、投标无效的情形</w:t>
      </w:r>
      <w:bookmarkEnd w:id="94"/>
    </w:p>
    <w:p w14:paraId="40720CF5">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实质上没有响应招标文件要求的投标将被视为无效投标。投标人不得通过修正或撤销不合要求的偏离或保留从而使其投标成为实质上响应的投标。投标人修改、补正投标文件后，不影响评标委员会对其投标文件所作的评价和评分结果。</w:t>
      </w:r>
    </w:p>
    <w:p w14:paraId="3A9CF70F">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在评审时，如发现下列情形之一的，由评标委员会按少数服从多数原则进行认定，投标文件将被视为无效：</w:t>
      </w:r>
    </w:p>
    <w:p w14:paraId="62A30E52">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 投标方未能提供合格的投标文件；</w:t>
      </w:r>
    </w:p>
    <w:p w14:paraId="543A1935">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21.2未采用人民币报价或未按招标文件标明的币种或计量单位报价的；</w:t>
      </w:r>
    </w:p>
    <w:p w14:paraId="1CC660A4">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21.3投标文件有采购人不能接受的附加条件的；</w:t>
      </w:r>
    </w:p>
    <w:p w14:paraId="5EEE2E22">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21.4有重大偏离的投标文件；</w:t>
      </w:r>
    </w:p>
    <w:p w14:paraId="175ED7AC">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21.5未提供或未如实提供投标货物产品的技术参数；投标文件标明的商务、技术响应或偏离与事实不符或虚假投标的；</w:t>
      </w:r>
    </w:p>
    <w:p w14:paraId="0F6B49B1">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21.6</w:t>
      </w:r>
      <w:r>
        <w:rPr>
          <w:rFonts w:hint="eastAsia" w:asciiTheme="majorEastAsia" w:hAnsiTheme="majorEastAsia" w:eastAsiaTheme="majorEastAsia" w:cstheme="majorEastAsia"/>
          <w:color w:val="auto"/>
          <w:sz w:val="24"/>
          <w:szCs w:val="24"/>
          <w:highlight w:val="none"/>
          <w:lang w:val="en-US" w:eastAsia="zh-CN"/>
        </w:rPr>
        <w:t>投标人的报价明显低于其他通过符合性审查投标人的报价（达到符合异常低价认定的情形），有可能影响产品质量或者不能诚信履约的</w:t>
      </w:r>
      <w:r>
        <w:rPr>
          <w:rFonts w:hint="eastAsia" w:asciiTheme="majorEastAsia" w:hAnsiTheme="majorEastAsia" w:eastAsiaTheme="majorEastAsia" w:cstheme="majorEastAsia"/>
          <w:color w:val="auto"/>
          <w:sz w:val="24"/>
          <w:szCs w:val="24"/>
          <w:highlight w:val="none"/>
        </w:rPr>
        <w:t>，投标人又不能在规定时间内作出合理说明或提供相关证明材料；</w:t>
      </w:r>
    </w:p>
    <w:p w14:paraId="7634ABEE">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21.7 以赠送方式投标的、提供两个投标方案或两个报价的；</w:t>
      </w:r>
    </w:p>
    <w:p w14:paraId="74026A67">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21.8投标文件应盖公章而未盖公章或盖非公司公章、未按照本招标文件要求装订、正副本标书数量不足的、内容字迹严重模糊辨认不清的、未有效授权。</w:t>
      </w:r>
    </w:p>
    <w:p w14:paraId="0AB30DB6">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bookmarkStart w:id="95" w:name="_Toc12370"/>
      <w:bookmarkStart w:id="96" w:name="_Toc19368"/>
      <w:r>
        <w:rPr>
          <w:rFonts w:hint="eastAsia" w:asciiTheme="majorEastAsia" w:hAnsiTheme="majorEastAsia" w:eastAsiaTheme="majorEastAsia" w:cstheme="majorEastAsia"/>
          <w:color w:val="auto"/>
          <w:sz w:val="24"/>
          <w:szCs w:val="24"/>
          <w:highlight w:val="none"/>
        </w:rPr>
        <w:t>21.9 投标报价超出最高限价的；</w:t>
      </w:r>
    </w:p>
    <w:p w14:paraId="3E7C1E75">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w:t>
      </w:r>
      <w:r>
        <w:rPr>
          <w:rFonts w:hint="eastAsia" w:asciiTheme="majorEastAsia" w:hAnsiTheme="majorEastAsia" w:eastAsiaTheme="majorEastAsia" w:cstheme="majorEastAsia"/>
          <w:color w:val="auto"/>
          <w:sz w:val="24"/>
          <w:szCs w:val="24"/>
          <w:highlight w:val="none"/>
          <w:lang w:val="en-US" w:eastAsia="zh-CN"/>
        </w:rPr>
        <w:t>0</w:t>
      </w:r>
      <w:r>
        <w:rPr>
          <w:rFonts w:hint="eastAsia" w:asciiTheme="majorEastAsia" w:hAnsiTheme="majorEastAsia" w:eastAsiaTheme="majorEastAsia" w:cstheme="majorEastAsia"/>
          <w:color w:val="auto"/>
          <w:sz w:val="24"/>
          <w:szCs w:val="24"/>
          <w:highlight w:val="none"/>
        </w:rPr>
        <w:t>投标人不能在规定时间内提供原件核实或提供相关证明材料；</w:t>
      </w:r>
    </w:p>
    <w:p w14:paraId="352A80AB">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w:t>
      </w: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rPr>
        <w:t>不符合法律、法规和本招标文件明确规定的其他实质性要求的。</w:t>
      </w:r>
    </w:p>
    <w:p w14:paraId="5153484E">
      <w:pPr>
        <w:pStyle w:val="4"/>
        <w:rPr>
          <w:color w:val="auto"/>
          <w:highlight w:val="none"/>
        </w:rPr>
      </w:pPr>
      <w:r>
        <w:rPr>
          <w:rFonts w:hint="eastAsia"/>
          <w:color w:val="auto"/>
          <w:highlight w:val="none"/>
        </w:rPr>
        <w:t>四、开标</w:t>
      </w:r>
      <w:bookmarkEnd w:id="95"/>
      <w:bookmarkEnd w:id="96"/>
    </w:p>
    <w:p w14:paraId="6A2FE28D">
      <w:pPr>
        <w:pStyle w:val="5"/>
        <w:rPr>
          <w:color w:val="auto"/>
          <w:highlight w:val="none"/>
        </w:rPr>
      </w:pPr>
      <w:bookmarkStart w:id="97" w:name="_Toc9510638"/>
      <w:bookmarkStart w:id="98" w:name="_Toc21515"/>
      <w:r>
        <w:rPr>
          <w:rFonts w:hint="eastAsia"/>
          <w:color w:val="auto"/>
          <w:highlight w:val="none"/>
        </w:rPr>
        <w:t>22、开</w:t>
      </w:r>
      <w:bookmarkEnd w:id="97"/>
      <w:r>
        <w:rPr>
          <w:rFonts w:hint="eastAsia"/>
          <w:color w:val="auto"/>
          <w:highlight w:val="none"/>
        </w:rPr>
        <w:t>标准备</w:t>
      </w:r>
      <w:bookmarkEnd w:id="98"/>
    </w:p>
    <w:p w14:paraId="3FC4ADD1">
      <w:pPr>
        <w:adjustRightInd w:val="0"/>
        <w:snapToGrid w:val="0"/>
        <w:spacing w:line="500" w:lineRule="exact"/>
        <w:ind w:firstLine="480" w:firstLineChars="200"/>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rPr>
        <w:t xml:space="preserve">22.1 </w:t>
      </w:r>
      <w:r>
        <w:rPr>
          <w:rFonts w:hint="eastAsia" w:asciiTheme="majorEastAsia" w:hAnsiTheme="majorEastAsia" w:eastAsiaTheme="majorEastAsia" w:cstheme="majorEastAsia"/>
          <w:bCs/>
          <w:color w:val="auto"/>
          <w:sz w:val="24"/>
          <w:szCs w:val="24"/>
          <w:highlight w:val="none"/>
          <w:lang w:val="en-US" w:eastAsia="zh-CN"/>
        </w:rPr>
        <w:t>现场开标</w:t>
      </w:r>
    </w:p>
    <w:p w14:paraId="7D9F748A">
      <w:pPr>
        <w:adjustRightInd w:val="0"/>
        <w:snapToGrid w:val="0"/>
        <w:spacing w:line="500" w:lineRule="exact"/>
        <w:ind w:firstLine="480" w:firstLineChars="200"/>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lang w:val="en-US" w:eastAsia="zh-CN"/>
        </w:rPr>
        <w:t>1</w:t>
      </w: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rPr>
        <w:t>采购代理机构将在规定的时间和地点进行开标，投标人的法定代表人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或其授权代表应参加开标会并签到。</w:t>
      </w:r>
    </w:p>
    <w:p w14:paraId="23E3F452">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lang w:val="en-US" w:eastAsia="zh-CN"/>
        </w:rPr>
        <w:t>2</w:t>
      </w: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rPr>
        <w:t>参加开标的投标人的法定代表人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或其授权代表须携带本人有效身份证明原件（身份证或公安机关出具的临时身份证明）和法定代表人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资格证明或法定代表人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授权委托书原件</w:t>
      </w:r>
      <w:r>
        <w:rPr>
          <w:rFonts w:hint="eastAsia" w:asciiTheme="majorEastAsia" w:hAnsiTheme="majorEastAsia" w:eastAsiaTheme="majorEastAsia" w:cstheme="majorEastAsia"/>
          <w:bCs/>
          <w:color w:val="auto"/>
          <w:sz w:val="24"/>
          <w:szCs w:val="24"/>
          <w:highlight w:val="none"/>
          <w:lang w:val="en-US" w:eastAsia="zh-CN"/>
        </w:rPr>
        <w:t>，</w:t>
      </w:r>
      <w:r>
        <w:rPr>
          <w:rFonts w:hint="eastAsia" w:asciiTheme="majorEastAsia" w:hAnsiTheme="majorEastAsia" w:eastAsiaTheme="majorEastAsia" w:cstheme="majorEastAsia"/>
          <w:bCs/>
          <w:color w:val="auto"/>
          <w:sz w:val="24"/>
          <w:szCs w:val="24"/>
          <w:highlight w:val="none"/>
        </w:rPr>
        <w:t>投标人代表未对开标结果签字确认或者拒绝签字确认的，不影响评标过程。</w:t>
      </w:r>
    </w:p>
    <w:p w14:paraId="79BF4240">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22.2电子递交投标文件</w:t>
      </w:r>
    </w:p>
    <w:p w14:paraId="7952B1BA">
      <w:pPr>
        <w:adjustRightInd w:val="0"/>
        <w:snapToGrid w:val="0"/>
        <w:spacing w:line="500" w:lineRule="exact"/>
        <w:ind w:firstLine="480" w:firstLineChars="200"/>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（1）使用电子递交投标文件的，投标人应当在规定的时间将电子版投标文件发送至指定邮箱，并在规定时间内提供解密密码。</w:t>
      </w:r>
    </w:p>
    <w:p w14:paraId="7B7CA4E9">
      <w:pPr>
        <w:pStyle w:val="5"/>
        <w:rPr>
          <w:color w:val="auto"/>
          <w:highlight w:val="none"/>
        </w:rPr>
      </w:pPr>
      <w:bookmarkStart w:id="99" w:name="_Toc26159"/>
      <w:r>
        <w:rPr>
          <w:rFonts w:hint="eastAsia"/>
          <w:color w:val="auto"/>
          <w:highlight w:val="none"/>
        </w:rPr>
        <w:t>23、开标程序</w:t>
      </w:r>
      <w:bookmarkEnd w:id="99"/>
    </w:p>
    <w:p w14:paraId="24A1547C">
      <w:pPr>
        <w:adjustRightInd w:val="0"/>
        <w:snapToGrid w:val="0"/>
        <w:spacing w:line="500" w:lineRule="exact"/>
        <w:ind w:firstLine="523" w:firstLineChars="218"/>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23.1现场开标</w:t>
      </w:r>
    </w:p>
    <w:p w14:paraId="24F31F9A">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w:t>
      </w:r>
      <w:r>
        <w:rPr>
          <w:rFonts w:hint="eastAsia" w:asciiTheme="majorEastAsia" w:hAnsiTheme="majorEastAsia" w:eastAsiaTheme="majorEastAsia" w:cstheme="majorEastAsia"/>
          <w:bCs/>
          <w:color w:val="auto"/>
          <w:sz w:val="24"/>
          <w:szCs w:val="24"/>
          <w:highlight w:val="none"/>
          <w:lang w:val="en-US" w:eastAsia="zh-CN"/>
        </w:rPr>
        <w:t>.2</w:t>
      </w:r>
      <w:r>
        <w:rPr>
          <w:rFonts w:hint="eastAsia" w:asciiTheme="majorEastAsia" w:hAnsiTheme="majorEastAsia" w:eastAsiaTheme="majorEastAsia" w:cstheme="majorEastAsia"/>
          <w:bCs/>
          <w:color w:val="auto"/>
          <w:sz w:val="24"/>
          <w:szCs w:val="24"/>
          <w:highlight w:val="none"/>
        </w:rPr>
        <w:t xml:space="preserve"> 开标会由采购代理机构主持，主持人宣布开标会议开始；</w:t>
      </w:r>
    </w:p>
    <w:p w14:paraId="5FE804A5">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w:t>
      </w:r>
      <w:r>
        <w:rPr>
          <w:rFonts w:hint="eastAsia" w:asciiTheme="majorEastAsia" w:hAnsiTheme="majorEastAsia" w:eastAsiaTheme="majorEastAsia" w:cstheme="majorEastAsia"/>
          <w:bCs/>
          <w:color w:val="auto"/>
          <w:sz w:val="24"/>
          <w:szCs w:val="24"/>
          <w:highlight w:val="none"/>
          <w:lang w:val="en-US" w:eastAsia="zh-CN"/>
        </w:rPr>
        <w:t>1.</w:t>
      </w:r>
      <w:r>
        <w:rPr>
          <w:rFonts w:hint="eastAsia" w:asciiTheme="majorEastAsia" w:hAnsiTheme="majorEastAsia" w:eastAsiaTheme="majorEastAsia" w:cstheme="majorEastAsia"/>
          <w:bCs/>
          <w:color w:val="auto"/>
          <w:sz w:val="24"/>
          <w:szCs w:val="24"/>
          <w:highlight w:val="none"/>
        </w:rPr>
        <w:t>2 主持人介绍参加开标会的投标人名单；</w:t>
      </w:r>
    </w:p>
    <w:p w14:paraId="10096B45">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bookmarkStart w:id="100" w:name="_Toc14026"/>
      <w:r>
        <w:rPr>
          <w:rFonts w:hint="eastAsia" w:asciiTheme="majorEastAsia" w:hAnsiTheme="majorEastAsia" w:eastAsiaTheme="majorEastAsia" w:cstheme="majorEastAsia"/>
          <w:bCs/>
          <w:color w:val="auto"/>
          <w:sz w:val="24"/>
          <w:szCs w:val="24"/>
          <w:highlight w:val="none"/>
        </w:rPr>
        <w:t>23.</w:t>
      </w:r>
      <w:r>
        <w:rPr>
          <w:rFonts w:hint="eastAsia" w:asciiTheme="majorEastAsia" w:hAnsiTheme="majorEastAsia" w:eastAsiaTheme="majorEastAsia" w:cstheme="majorEastAsia"/>
          <w:bCs/>
          <w:color w:val="auto"/>
          <w:sz w:val="24"/>
          <w:szCs w:val="24"/>
          <w:highlight w:val="none"/>
          <w:lang w:val="en-US" w:eastAsia="zh-CN"/>
        </w:rPr>
        <w:t>1.</w:t>
      </w:r>
      <w:r>
        <w:rPr>
          <w:rFonts w:hint="eastAsia" w:asciiTheme="majorEastAsia" w:hAnsiTheme="majorEastAsia" w:eastAsiaTheme="majorEastAsia" w:cstheme="majorEastAsia"/>
          <w:bCs/>
          <w:color w:val="auto"/>
          <w:sz w:val="24"/>
          <w:szCs w:val="24"/>
          <w:highlight w:val="none"/>
        </w:rPr>
        <w:t>3投标人法定代表人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或其授权代表人，及采购人监督代表</w:t>
      </w:r>
      <w:r>
        <w:rPr>
          <w:rFonts w:hint="eastAsia" w:asciiTheme="majorEastAsia" w:hAnsiTheme="majorEastAsia" w:eastAsiaTheme="majorEastAsia" w:cstheme="majorEastAsia"/>
          <w:bCs/>
          <w:color w:val="auto"/>
          <w:sz w:val="24"/>
          <w:szCs w:val="24"/>
          <w:highlight w:val="none"/>
          <w:lang w:eastAsia="zh-CN"/>
        </w:rPr>
        <w:t>、公证员</w:t>
      </w:r>
      <w:r>
        <w:rPr>
          <w:rFonts w:hint="eastAsia" w:asciiTheme="majorEastAsia" w:hAnsiTheme="majorEastAsia" w:eastAsiaTheme="majorEastAsia" w:cstheme="majorEastAsia"/>
          <w:bCs/>
          <w:color w:val="auto"/>
          <w:sz w:val="24"/>
          <w:szCs w:val="24"/>
          <w:highlight w:val="none"/>
          <w:lang w:val="en-US" w:eastAsia="zh-CN"/>
        </w:rPr>
        <w:t>/律师（如有）</w:t>
      </w:r>
      <w:r>
        <w:rPr>
          <w:rFonts w:hint="eastAsia" w:asciiTheme="majorEastAsia" w:hAnsiTheme="majorEastAsia" w:eastAsiaTheme="majorEastAsia" w:cstheme="majorEastAsia"/>
          <w:bCs/>
          <w:color w:val="auto"/>
          <w:sz w:val="24"/>
          <w:szCs w:val="24"/>
          <w:highlight w:val="none"/>
        </w:rPr>
        <w:t>检查投标文件密封的完整性并签字确认；</w:t>
      </w:r>
    </w:p>
    <w:p w14:paraId="78589497">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w:t>
      </w:r>
      <w:r>
        <w:rPr>
          <w:rFonts w:hint="eastAsia" w:asciiTheme="majorEastAsia" w:hAnsiTheme="majorEastAsia" w:eastAsiaTheme="majorEastAsia" w:cstheme="majorEastAsia"/>
          <w:bCs/>
          <w:color w:val="auto"/>
          <w:sz w:val="24"/>
          <w:szCs w:val="24"/>
          <w:highlight w:val="none"/>
          <w:lang w:val="en-US" w:eastAsia="zh-CN"/>
        </w:rPr>
        <w:t>1.</w:t>
      </w:r>
      <w:r>
        <w:rPr>
          <w:rFonts w:hint="eastAsia" w:asciiTheme="majorEastAsia" w:hAnsiTheme="majorEastAsia" w:eastAsiaTheme="majorEastAsia" w:cstheme="majorEastAsia"/>
          <w:bCs/>
          <w:color w:val="auto"/>
          <w:sz w:val="24"/>
          <w:szCs w:val="24"/>
          <w:highlight w:val="none"/>
        </w:rPr>
        <w:t>4开标时，核对授权代表身份后清点投标文件的正副本及电子文件，然后按递交标书的顺序进行唱标，采购人</w:t>
      </w:r>
      <w:r>
        <w:rPr>
          <w:rFonts w:hint="eastAsia" w:asciiTheme="majorEastAsia" w:hAnsiTheme="majorEastAsia" w:eastAsiaTheme="majorEastAsia" w:cstheme="majorEastAsia"/>
          <w:bCs/>
          <w:color w:val="auto"/>
          <w:sz w:val="24"/>
          <w:szCs w:val="24"/>
          <w:highlight w:val="none"/>
          <w:lang w:eastAsia="zh-CN"/>
        </w:rPr>
        <w:t>或</w:t>
      </w:r>
      <w:r>
        <w:rPr>
          <w:rFonts w:hint="eastAsia" w:asciiTheme="majorEastAsia" w:hAnsiTheme="majorEastAsia" w:eastAsiaTheme="majorEastAsia" w:cstheme="majorEastAsia"/>
          <w:bCs/>
          <w:color w:val="auto"/>
          <w:sz w:val="24"/>
          <w:szCs w:val="24"/>
          <w:highlight w:val="none"/>
        </w:rPr>
        <w:t>采购代理机构工作人员即当众拆封，宣读</w:t>
      </w:r>
      <w:r>
        <w:rPr>
          <w:rFonts w:hint="eastAsia" w:asciiTheme="majorEastAsia" w:hAnsiTheme="majorEastAsia" w:eastAsiaTheme="majorEastAsia" w:cstheme="majorEastAsia"/>
          <w:bCs/>
          <w:color w:val="auto"/>
          <w:sz w:val="24"/>
          <w:szCs w:val="24"/>
          <w:highlight w:val="none"/>
          <w:lang w:eastAsia="zh-CN"/>
        </w:rPr>
        <w:t>《开标一览表》的内容并做记录</w:t>
      </w:r>
      <w:r>
        <w:rPr>
          <w:rFonts w:hint="eastAsia" w:asciiTheme="majorEastAsia" w:hAnsiTheme="majorEastAsia" w:eastAsiaTheme="majorEastAsia" w:cstheme="majorEastAsia"/>
          <w:bCs/>
          <w:color w:val="auto"/>
          <w:sz w:val="24"/>
          <w:szCs w:val="24"/>
          <w:highlight w:val="none"/>
        </w:rPr>
        <w:t>；</w:t>
      </w:r>
    </w:p>
    <w:p w14:paraId="49F38500">
      <w:pPr>
        <w:pStyle w:val="199"/>
        <w:adjustRightInd w:val="0"/>
        <w:snapToGrid w:val="0"/>
        <w:spacing w:before="0" w:line="500" w:lineRule="exact"/>
        <w:ind w:firstLine="480"/>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23.</w:t>
      </w:r>
      <w:r>
        <w:rPr>
          <w:rFonts w:hint="eastAsia" w:asciiTheme="majorEastAsia" w:hAnsiTheme="majorEastAsia" w:eastAsiaTheme="majorEastAsia" w:cstheme="majorEastAsia"/>
          <w:bCs/>
          <w:color w:val="auto"/>
          <w:szCs w:val="24"/>
          <w:highlight w:val="none"/>
          <w:lang w:val="en-US" w:eastAsia="zh-CN"/>
        </w:rPr>
        <w:t>1.</w:t>
      </w:r>
      <w:r>
        <w:rPr>
          <w:rFonts w:hint="eastAsia" w:asciiTheme="majorEastAsia" w:hAnsiTheme="majorEastAsia" w:eastAsiaTheme="majorEastAsia" w:cstheme="majorEastAsia"/>
          <w:bCs/>
          <w:color w:val="auto"/>
          <w:szCs w:val="24"/>
          <w:highlight w:val="none"/>
        </w:rPr>
        <w:t>5开标后投标人代表当场对开标结果进行签字确认，投标人代表未在开标记录上签字的，均视为对开标结果予以默认；</w:t>
      </w:r>
    </w:p>
    <w:p w14:paraId="05A41133">
      <w:pPr>
        <w:adjustRightInd w:val="0"/>
        <w:snapToGrid w:val="0"/>
        <w:spacing w:line="500" w:lineRule="exact"/>
        <w:ind w:firstLine="523" w:firstLineChars="218"/>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 w:val="24"/>
          <w:szCs w:val="24"/>
          <w:highlight w:val="none"/>
        </w:rPr>
        <w:t>23.</w:t>
      </w:r>
      <w:r>
        <w:rPr>
          <w:rFonts w:hint="eastAsia" w:asciiTheme="majorEastAsia" w:hAnsiTheme="majorEastAsia" w:eastAsiaTheme="majorEastAsia" w:cstheme="majorEastAsia"/>
          <w:bCs/>
          <w:color w:val="auto"/>
          <w:sz w:val="24"/>
          <w:szCs w:val="24"/>
          <w:highlight w:val="none"/>
          <w:lang w:val="en-US" w:eastAsia="zh-CN"/>
        </w:rPr>
        <w:t>1.</w:t>
      </w:r>
      <w:r>
        <w:rPr>
          <w:rFonts w:hint="eastAsia" w:asciiTheme="majorEastAsia" w:hAnsiTheme="majorEastAsia" w:eastAsiaTheme="majorEastAsia" w:cstheme="majorEastAsia"/>
          <w:bCs/>
          <w:color w:val="auto"/>
          <w:sz w:val="24"/>
          <w:szCs w:val="24"/>
          <w:highlight w:val="none"/>
        </w:rPr>
        <w:t>6</w:t>
      </w:r>
      <w:r>
        <w:rPr>
          <w:rFonts w:hint="eastAsia" w:asciiTheme="majorEastAsia" w:hAnsiTheme="majorEastAsia" w:eastAsiaTheme="majorEastAsia" w:cstheme="majorEastAsia"/>
          <w:bCs/>
          <w:color w:val="auto"/>
          <w:sz w:val="24"/>
          <w:szCs w:val="24"/>
          <w:highlight w:val="none"/>
          <w:lang w:eastAsia="zh-CN"/>
        </w:rPr>
        <w:t>投标人代表对开标过程和开标记录有异议，以及认为采购人、采购代理机构相关工作人员</w:t>
      </w:r>
      <w:r>
        <w:rPr>
          <w:rFonts w:hint="eastAsia" w:asciiTheme="majorEastAsia" w:hAnsiTheme="majorEastAsia" w:eastAsiaTheme="majorEastAsia" w:cstheme="majorEastAsia"/>
          <w:bCs/>
          <w:color w:val="auto"/>
          <w:sz w:val="24"/>
          <w:szCs w:val="24"/>
          <w:highlight w:val="none"/>
          <w:lang w:val="en-US" w:eastAsia="zh-CN"/>
        </w:rPr>
        <w:t>有</w:t>
      </w:r>
      <w:r>
        <w:rPr>
          <w:rFonts w:hint="eastAsia" w:asciiTheme="majorEastAsia" w:hAnsiTheme="majorEastAsia" w:eastAsiaTheme="majorEastAsia" w:cstheme="majorEastAsia"/>
          <w:bCs/>
          <w:color w:val="auto"/>
          <w:sz w:val="24"/>
          <w:szCs w:val="24"/>
          <w:highlight w:val="none"/>
          <w:lang w:eastAsia="zh-CN"/>
        </w:rPr>
        <w:t>需要回避的情形的，应当场提出询问或者回避申请，采购人、采购代理机构将对投标人代表提出的询问或者回避申请及时处理</w:t>
      </w:r>
      <w:r>
        <w:rPr>
          <w:rFonts w:hint="eastAsia" w:asciiTheme="majorEastAsia" w:hAnsiTheme="majorEastAsia" w:eastAsiaTheme="majorEastAsia" w:cstheme="majorEastAsia"/>
          <w:bCs/>
          <w:color w:val="auto"/>
          <w:sz w:val="24"/>
          <w:szCs w:val="24"/>
          <w:highlight w:val="none"/>
        </w:rPr>
        <w:t>。</w:t>
      </w:r>
    </w:p>
    <w:p w14:paraId="143386D9">
      <w:pPr>
        <w:adjustRightInd w:val="0"/>
        <w:snapToGrid w:val="0"/>
        <w:spacing w:line="500" w:lineRule="exact"/>
        <w:ind w:firstLine="523" w:firstLineChars="218"/>
        <w:rPr>
          <w:rFonts w:hint="eastAsia"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23.2电子递交投标文件</w:t>
      </w:r>
    </w:p>
    <w:p w14:paraId="404B744B">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w:t>
      </w:r>
      <w:r>
        <w:rPr>
          <w:rFonts w:hint="eastAsia" w:asciiTheme="majorEastAsia" w:hAnsiTheme="majorEastAsia" w:eastAsiaTheme="majorEastAsia" w:cstheme="majorEastAsia"/>
          <w:bCs/>
          <w:color w:val="auto"/>
          <w:sz w:val="24"/>
          <w:szCs w:val="24"/>
          <w:highlight w:val="none"/>
          <w:lang w:val="en-US" w:eastAsia="zh-CN"/>
        </w:rPr>
        <w:t>.2</w:t>
      </w:r>
      <w:r>
        <w:rPr>
          <w:rFonts w:hint="eastAsia" w:asciiTheme="majorEastAsia" w:hAnsiTheme="majorEastAsia" w:eastAsiaTheme="majorEastAsia" w:cstheme="majorEastAsia"/>
          <w:bCs/>
          <w:color w:val="auto"/>
          <w:sz w:val="24"/>
          <w:szCs w:val="24"/>
          <w:highlight w:val="none"/>
        </w:rPr>
        <w:t xml:space="preserve"> 开标会由采购代理机构主持，主持人宣布开标会议开始；</w:t>
      </w:r>
    </w:p>
    <w:p w14:paraId="2E936381">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w:t>
      </w:r>
      <w:r>
        <w:rPr>
          <w:rFonts w:hint="eastAsia" w:asciiTheme="majorEastAsia" w:hAnsiTheme="majorEastAsia" w:eastAsiaTheme="majorEastAsia" w:cstheme="majorEastAsia"/>
          <w:bCs/>
          <w:color w:val="auto"/>
          <w:sz w:val="24"/>
          <w:szCs w:val="24"/>
          <w:highlight w:val="none"/>
          <w:lang w:val="en-US" w:eastAsia="zh-CN"/>
        </w:rPr>
        <w:t>1.</w:t>
      </w:r>
      <w:r>
        <w:rPr>
          <w:rFonts w:hint="eastAsia" w:asciiTheme="majorEastAsia" w:hAnsiTheme="majorEastAsia" w:eastAsiaTheme="majorEastAsia" w:cstheme="majorEastAsia"/>
          <w:bCs/>
          <w:color w:val="auto"/>
          <w:sz w:val="24"/>
          <w:szCs w:val="24"/>
          <w:highlight w:val="none"/>
        </w:rPr>
        <w:t>2 主持人</w:t>
      </w:r>
      <w:r>
        <w:rPr>
          <w:rFonts w:hint="eastAsia" w:asciiTheme="majorEastAsia" w:hAnsiTheme="majorEastAsia" w:eastAsiaTheme="majorEastAsia" w:cstheme="majorEastAsia"/>
          <w:bCs/>
          <w:color w:val="auto"/>
          <w:sz w:val="24"/>
          <w:szCs w:val="24"/>
          <w:highlight w:val="none"/>
          <w:lang w:val="en-US" w:eastAsia="zh-CN"/>
        </w:rPr>
        <w:t>在“标前会议确认表”中</w:t>
      </w:r>
      <w:r>
        <w:rPr>
          <w:rFonts w:hint="eastAsia" w:asciiTheme="majorEastAsia" w:hAnsiTheme="majorEastAsia" w:eastAsiaTheme="majorEastAsia" w:cstheme="majorEastAsia"/>
          <w:bCs/>
          <w:color w:val="auto"/>
          <w:sz w:val="24"/>
          <w:szCs w:val="24"/>
          <w:highlight w:val="none"/>
        </w:rPr>
        <w:t>介绍参加开标会的投标人名单</w:t>
      </w: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bCs/>
          <w:color w:val="auto"/>
          <w:sz w:val="24"/>
          <w:szCs w:val="24"/>
          <w:highlight w:val="none"/>
          <w:lang w:val="en-US" w:eastAsia="zh-CN"/>
        </w:rPr>
        <w:t>评标委员会的组成，评标程序等内容</w:t>
      </w:r>
      <w:r>
        <w:rPr>
          <w:rFonts w:hint="eastAsia" w:asciiTheme="majorEastAsia" w:hAnsiTheme="majorEastAsia" w:eastAsiaTheme="majorEastAsia" w:cstheme="majorEastAsia"/>
          <w:bCs/>
          <w:color w:val="auto"/>
          <w:sz w:val="24"/>
          <w:szCs w:val="24"/>
          <w:highlight w:val="none"/>
        </w:rPr>
        <w:t>；</w:t>
      </w:r>
    </w:p>
    <w:p w14:paraId="5DAF85FF">
      <w:pPr>
        <w:adjustRightInd w:val="0"/>
        <w:snapToGrid w:val="0"/>
        <w:spacing w:line="500" w:lineRule="exact"/>
        <w:ind w:firstLine="523" w:firstLineChars="218"/>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rPr>
        <w:t>23.</w:t>
      </w:r>
      <w:r>
        <w:rPr>
          <w:rFonts w:hint="eastAsia" w:asciiTheme="majorEastAsia" w:hAnsiTheme="majorEastAsia" w:eastAsiaTheme="majorEastAsia" w:cstheme="majorEastAsia"/>
          <w:bCs/>
          <w:color w:val="auto"/>
          <w:sz w:val="24"/>
          <w:szCs w:val="24"/>
          <w:highlight w:val="none"/>
          <w:lang w:val="en-US" w:eastAsia="zh-CN"/>
        </w:rPr>
        <w:t>1.</w:t>
      </w:r>
      <w:r>
        <w:rPr>
          <w:rFonts w:hint="eastAsia" w:asciiTheme="majorEastAsia" w:hAnsiTheme="majorEastAsia" w:eastAsiaTheme="majorEastAsia" w:cstheme="majorEastAsia"/>
          <w:bCs/>
          <w:color w:val="auto"/>
          <w:sz w:val="24"/>
          <w:szCs w:val="24"/>
          <w:highlight w:val="none"/>
        </w:rPr>
        <w:t>3主持人</w:t>
      </w:r>
      <w:r>
        <w:rPr>
          <w:rFonts w:hint="eastAsia" w:asciiTheme="majorEastAsia" w:hAnsiTheme="majorEastAsia" w:eastAsiaTheme="majorEastAsia" w:cstheme="majorEastAsia"/>
          <w:bCs/>
          <w:color w:val="auto"/>
          <w:sz w:val="24"/>
          <w:szCs w:val="24"/>
          <w:highlight w:val="none"/>
          <w:lang w:val="en-US" w:eastAsia="zh-CN"/>
        </w:rPr>
        <w:t>制作“开标记录表”，记录投标人名称、商务报价、项目负责人等重要内容；</w:t>
      </w:r>
    </w:p>
    <w:p w14:paraId="0A093CF1">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w:t>
      </w:r>
      <w:r>
        <w:rPr>
          <w:rFonts w:hint="eastAsia" w:asciiTheme="majorEastAsia" w:hAnsiTheme="majorEastAsia" w:eastAsiaTheme="majorEastAsia" w:cstheme="majorEastAsia"/>
          <w:bCs/>
          <w:color w:val="auto"/>
          <w:sz w:val="24"/>
          <w:szCs w:val="24"/>
          <w:highlight w:val="none"/>
          <w:lang w:val="en-US" w:eastAsia="zh-CN"/>
        </w:rPr>
        <w:t>1.</w:t>
      </w:r>
      <w:r>
        <w:rPr>
          <w:rFonts w:hint="eastAsia" w:asciiTheme="majorEastAsia" w:hAnsiTheme="majorEastAsia" w:eastAsiaTheme="majorEastAsia" w:cstheme="majorEastAsia"/>
          <w:bCs/>
          <w:color w:val="auto"/>
          <w:sz w:val="24"/>
          <w:szCs w:val="24"/>
          <w:highlight w:val="none"/>
        </w:rPr>
        <w:t>4</w:t>
      </w:r>
      <w:r>
        <w:rPr>
          <w:rFonts w:hint="eastAsia" w:asciiTheme="majorEastAsia" w:hAnsiTheme="majorEastAsia" w:eastAsiaTheme="majorEastAsia" w:cstheme="majorEastAsia"/>
          <w:bCs/>
          <w:color w:val="auto"/>
          <w:sz w:val="24"/>
          <w:szCs w:val="24"/>
          <w:highlight w:val="none"/>
          <w:lang w:val="en-US" w:eastAsia="zh-CN"/>
        </w:rPr>
        <w:t>主持人将“标前会议确认表”、“开标记录表”发送至各投标人邮箱，由投标人代表进行签字确认，投标人代表未在“标前会议确认表”、“开标记录表”上签字的，均视为对开标结果予以默认；</w:t>
      </w:r>
    </w:p>
    <w:p w14:paraId="5B37B3D5">
      <w:pPr>
        <w:pStyle w:val="199"/>
        <w:adjustRightInd w:val="0"/>
        <w:snapToGrid w:val="0"/>
        <w:spacing w:before="0" w:line="500" w:lineRule="exact"/>
        <w:ind w:firstLine="480"/>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23.</w:t>
      </w:r>
      <w:r>
        <w:rPr>
          <w:rFonts w:hint="eastAsia" w:asciiTheme="majorEastAsia" w:hAnsiTheme="majorEastAsia" w:eastAsiaTheme="majorEastAsia" w:cstheme="majorEastAsia"/>
          <w:bCs/>
          <w:color w:val="auto"/>
          <w:szCs w:val="24"/>
          <w:highlight w:val="none"/>
          <w:lang w:val="en-US" w:eastAsia="zh-CN"/>
        </w:rPr>
        <w:t>1.</w:t>
      </w:r>
      <w:r>
        <w:rPr>
          <w:rFonts w:hint="eastAsia" w:asciiTheme="majorEastAsia" w:hAnsiTheme="majorEastAsia" w:eastAsiaTheme="majorEastAsia" w:cstheme="majorEastAsia"/>
          <w:bCs/>
          <w:color w:val="auto"/>
          <w:szCs w:val="24"/>
          <w:highlight w:val="none"/>
        </w:rPr>
        <w:t>5</w:t>
      </w:r>
      <w:r>
        <w:rPr>
          <w:rFonts w:hint="eastAsia" w:asciiTheme="majorEastAsia" w:hAnsiTheme="majorEastAsia" w:eastAsiaTheme="majorEastAsia" w:cstheme="majorEastAsia"/>
          <w:bCs/>
          <w:color w:val="auto"/>
          <w:sz w:val="24"/>
          <w:szCs w:val="24"/>
          <w:highlight w:val="none"/>
          <w:lang w:eastAsia="zh-CN"/>
        </w:rPr>
        <w:t>投标人代表对开标过程和开标记录有异议，以及认为采购人、采购代理机构相关工作人员</w:t>
      </w:r>
      <w:r>
        <w:rPr>
          <w:rFonts w:hint="eastAsia" w:asciiTheme="majorEastAsia" w:hAnsiTheme="majorEastAsia" w:eastAsiaTheme="majorEastAsia" w:cstheme="majorEastAsia"/>
          <w:bCs/>
          <w:color w:val="auto"/>
          <w:sz w:val="24"/>
          <w:szCs w:val="24"/>
          <w:highlight w:val="none"/>
          <w:lang w:val="en-US" w:eastAsia="zh-CN"/>
        </w:rPr>
        <w:t>有</w:t>
      </w:r>
      <w:r>
        <w:rPr>
          <w:rFonts w:hint="eastAsia" w:asciiTheme="majorEastAsia" w:hAnsiTheme="majorEastAsia" w:eastAsiaTheme="majorEastAsia" w:cstheme="majorEastAsia"/>
          <w:bCs/>
          <w:color w:val="auto"/>
          <w:sz w:val="24"/>
          <w:szCs w:val="24"/>
          <w:highlight w:val="none"/>
          <w:lang w:eastAsia="zh-CN"/>
        </w:rPr>
        <w:t>需要回避的情形的，应</w:t>
      </w:r>
      <w:r>
        <w:rPr>
          <w:rFonts w:hint="eastAsia" w:asciiTheme="majorEastAsia" w:hAnsiTheme="majorEastAsia" w:eastAsiaTheme="majorEastAsia" w:cstheme="majorEastAsia"/>
          <w:bCs/>
          <w:color w:val="auto"/>
          <w:sz w:val="24"/>
          <w:szCs w:val="24"/>
          <w:highlight w:val="none"/>
          <w:lang w:val="en-US" w:eastAsia="zh-CN"/>
        </w:rPr>
        <w:t>在</w:t>
      </w:r>
      <w:r>
        <w:rPr>
          <w:rFonts w:hint="eastAsia" w:asciiTheme="majorEastAsia" w:hAnsiTheme="majorEastAsia" w:eastAsiaTheme="majorEastAsia" w:cstheme="majorEastAsia"/>
          <w:b/>
          <w:bCs w:val="0"/>
          <w:color w:val="auto"/>
          <w:sz w:val="24"/>
          <w:szCs w:val="24"/>
          <w:highlight w:val="none"/>
          <w:lang w:val="en-US" w:eastAsia="zh-CN"/>
        </w:rPr>
        <w:t>收到表格起10分钟内</w:t>
      </w:r>
      <w:r>
        <w:rPr>
          <w:rFonts w:hint="eastAsia" w:asciiTheme="majorEastAsia" w:hAnsiTheme="majorEastAsia" w:eastAsiaTheme="majorEastAsia" w:cstheme="majorEastAsia"/>
          <w:b/>
          <w:bCs w:val="0"/>
          <w:color w:val="auto"/>
          <w:sz w:val="24"/>
          <w:szCs w:val="24"/>
          <w:highlight w:val="none"/>
          <w:lang w:eastAsia="zh-CN"/>
        </w:rPr>
        <w:t>提出询问或者回避申请</w:t>
      </w:r>
      <w:r>
        <w:rPr>
          <w:rFonts w:hint="eastAsia" w:asciiTheme="majorEastAsia" w:hAnsiTheme="majorEastAsia" w:eastAsiaTheme="majorEastAsia" w:cstheme="majorEastAsia"/>
          <w:bCs/>
          <w:color w:val="auto"/>
          <w:sz w:val="24"/>
          <w:szCs w:val="24"/>
          <w:highlight w:val="none"/>
          <w:lang w:eastAsia="zh-CN"/>
        </w:rPr>
        <w:t>，采购人、采购代理机构将对投标人代表提出的询问或者回避申请及时处理</w:t>
      </w:r>
      <w:r>
        <w:rPr>
          <w:rFonts w:hint="eastAsia" w:asciiTheme="majorEastAsia" w:hAnsiTheme="majorEastAsia" w:eastAsiaTheme="majorEastAsia" w:cstheme="majorEastAsia"/>
          <w:bCs/>
          <w:color w:val="auto"/>
          <w:sz w:val="24"/>
          <w:szCs w:val="24"/>
          <w:highlight w:val="none"/>
        </w:rPr>
        <w:t>。</w:t>
      </w:r>
    </w:p>
    <w:p w14:paraId="049CB9B7">
      <w:pPr>
        <w:pStyle w:val="5"/>
        <w:rPr>
          <w:rFonts w:hint="eastAsia" w:eastAsia="宋体"/>
          <w:color w:val="auto"/>
          <w:highlight w:val="none"/>
          <w:lang w:eastAsia="zh-CN"/>
        </w:rPr>
      </w:pPr>
      <w:r>
        <w:rPr>
          <w:rFonts w:hint="eastAsia"/>
          <w:color w:val="auto"/>
          <w:highlight w:val="none"/>
        </w:rPr>
        <w:t>24、资格审查</w:t>
      </w:r>
      <w:bookmarkEnd w:id="100"/>
    </w:p>
    <w:p w14:paraId="7D9E011A">
      <w:pPr>
        <w:adjustRightInd w:val="0"/>
        <w:snapToGrid w:val="0"/>
        <w:spacing w:line="500" w:lineRule="exact"/>
        <w:ind w:firstLine="523" w:firstLineChars="218"/>
        <w:rPr>
          <w:rFonts w:hint="eastAsia" w:asciiTheme="majorEastAsia" w:hAnsiTheme="majorEastAsia" w:eastAsiaTheme="majorEastAsia" w:cstheme="majorEastAsia"/>
          <w:bCs/>
          <w:color w:val="auto"/>
          <w:sz w:val="24"/>
          <w:szCs w:val="24"/>
          <w:highlight w:val="none"/>
        </w:rPr>
      </w:pPr>
      <w:bookmarkStart w:id="101" w:name="_Toc25332"/>
      <w:bookmarkStart w:id="102" w:name="_Toc21778"/>
      <w:r>
        <w:rPr>
          <w:rFonts w:hint="eastAsia" w:asciiTheme="majorEastAsia" w:hAnsiTheme="majorEastAsia" w:eastAsiaTheme="majorEastAsia" w:cstheme="majorEastAsia"/>
          <w:bCs/>
          <w:color w:val="auto"/>
          <w:sz w:val="24"/>
          <w:szCs w:val="24"/>
          <w:highlight w:val="none"/>
        </w:rPr>
        <w:t>公开招标采购项目开标结束后，采购人或者采购代理机构应当依法对投标人的资格进行审查。</w:t>
      </w:r>
    </w:p>
    <w:p w14:paraId="7D0D2A3D">
      <w:pPr>
        <w:pStyle w:val="30"/>
        <w:rPr>
          <w:rFonts w:hint="eastAsia"/>
          <w:color w:val="auto"/>
          <w:highlight w:val="none"/>
        </w:rPr>
      </w:pPr>
    </w:p>
    <w:tbl>
      <w:tblPr>
        <w:tblStyle w:val="39"/>
        <w:tblpPr w:leftFromText="180" w:rightFromText="180" w:vertAnchor="text" w:horzAnchor="page" w:tblpX="1274" w:tblpY="80"/>
        <w:tblOverlap w:val="never"/>
        <w:tblW w:w="10113"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790"/>
        <w:gridCol w:w="9323"/>
      </w:tblGrid>
      <w:tr w14:paraId="571D6A53">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349" w:hRule="atLeast"/>
        </w:trPr>
        <w:tc>
          <w:tcPr>
            <w:tcW w:w="790"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14:paraId="4CF9324F">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序号</w:t>
            </w:r>
          </w:p>
        </w:tc>
        <w:tc>
          <w:tcPr>
            <w:tcW w:w="9323" w:type="dxa"/>
            <w:tcBorders>
              <w:top w:val="single" w:color="auto" w:sz="8" w:space="0"/>
              <w:left w:val="nil"/>
              <w:bottom w:val="single" w:color="auto" w:sz="8" w:space="0"/>
              <w:right w:val="single" w:color="auto" w:sz="8" w:space="0"/>
            </w:tcBorders>
            <w:tcMar>
              <w:left w:w="108" w:type="dxa"/>
              <w:right w:w="108" w:type="dxa"/>
            </w:tcMar>
            <w:vAlign w:val="center"/>
          </w:tcPr>
          <w:p w14:paraId="7E637A52">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14:paraId="56313F62">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786" w:hRule="atLeast"/>
        </w:trPr>
        <w:tc>
          <w:tcPr>
            <w:tcW w:w="790" w:type="dxa"/>
            <w:tcBorders>
              <w:top w:val="nil"/>
              <w:left w:val="single" w:color="auto" w:sz="8" w:space="0"/>
              <w:bottom w:val="single" w:color="auto" w:sz="8" w:space="0"/>
              <w:right w:val="single" w:color="auto" w:sz="8" w:space="0"/>
            </w:tcBorders>
            <w:tcMar>
              <w:left w:w="108" w:type="dxa"/>
              <w:right w:w="108" w:type="dxa"/>
            </w:tcMar>
            <w:vAlign w:val="center"/>
          </w:tcPr>
          <w:p w14:paraId="57546488">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p>
        </w:tc>
        <w:tc>
          <w:tcPr>
            <w:tcW w:w="9323" w:type="dxa"/>
            <w:tcBorders>
              <w:top w:val="nil"/>
              <w:left w:val="nil"/>
              <w:bottom w:val="single" w:color="auto" w:sz="8" w:space="0"/>
              <w:right w:val="single" w:color="auto" w:sz="8" w:space="0"/>
            </w:tcBorders>
            <w:tcMar>
              <w:left w:w="108" w:type="dxa"/>
              <w:right w:w="108" w:type="dxa"/>
            </w:tcMar>
            <w:vAlign w:val="center"/>
          </w:tcPr>
          <w:p w14:paraId="5F7ACD5C">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符合《中华人民共和国政府采购法》第二十二条的相关规定。</w:t>
            </w:r>
          </w:p>
        </w:tc>
      </w:tr>
      <w:tr w14:paraId="593DE14B">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980" w:hRule="atLeast"/>
        </w:trPr>
        <w:tc>
          <w:tcPr>
            <w:tcW w:w="790" w:type="dxa"/>
            <w:tcBorders>
              <w:top w:val="nil"/>
              <w:left w:val="single" w:color="auto" w:sz="8" w:space="0"/>
              <w:right w:val="single" w:color="auto" w:sz="8" w:space="0"/>
            </w:tcBorders>
            <w:tcMar>
              <w:left w:w="108" w:type="dxa"/>
              <w:right w:w="108" w:type="dxa"/>
            </w:tcMar>
            <w:vAlign w:val="center"/>
          </w:tcPr>
          <w:p w14:paraId="1D031A40">
            <w:pPr>
              <w:snapToGrid w:val="0"/>
              <w:spacing w:line="400" w:lineRule="exact"/>
              <w:jc w:val="center"/>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w:t>
            </w:r>
          </w:p>
        </w:tc>
        <w:tc>
          <w:tcPr>
            <w:tcW w:w="9323" w:type="dxa"/>
            <w:tcBorders>
              <w:top w:val="nil"/>
              <w:left w:val="nil"/>
              <w:bottom w:val="single" w:color="auto" w:sz="8" w:space="0"/>
              <w:right w:val="single" w:color="auto" w:sz="8" w:space="0"/>
            </w:tcBorders>
            <w:tcMar>
              <w:left w:w="108" w:type="dxa"/>
              <w:right w:w="108" w:type="dxa"/>
            </w:tcMar>
            <w:vAlign w:val="center"/>
          </w:tcPr>
          <w:p w14:paraId="3C7E957C">
            <w:pPr>
              <w:snapToGrid w:val="0"/>
              <w:spacing w:line="400" w:lineRule="exac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与招标人存在利害关系可能影响招标公正性的法人、其他组织或者个人，不得参加同一标段投标或者未划分标段的同一招标不得参加投标</w:t>
            </w:r>
            <w:r>
              <w:rPr>
                <w:rFonts w:hint="eastAsia" w:ascii="宋体" w:hAnsi="宋体" w:cs="宋体"/>
                <w:color w:val="auto"/>
                <w:kern w:val="2"/>
                <w:sz w:val="24"/>
                <w:szCs w:val="24"/>
                <w:highlight w:val="none"/>
                <w:lang w:val="en-US" w:eastAsia="zh-CN" w:bidi="ar-SA"/>
              </w:rPr>
              <w:t>。</w:t>
            </w:r>
          </w:p>
        </w:tc>
      </w:tr>
      <w:tr w14:paraId="197EDB4B">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825" w:hRule="atLeast"/>
        </w:trPr>
        <w:tc>
          <w:tcPr>
            <w:tcW w:w="790" w:type="dxa"/>
            <w:tcBorders>
              <w:left w:val="single" w:color="auto" w:sz="8" w:space="0"/>
              <w:right w:val="single" w:color="auto" w:sz="8" w:space="0"/>
            </w:tcBorders>
            <w:tcMar>
              <w:left w:w="108" w:type="dxa"/>
              <w:right w:w="108" w:type="dxa"/>
            </w:tcMar>
            <w:vAlign w:val="center"/>
          </w:tcPr>
          <w:p w14:paraId="62E618E9">
            <w:pPr>
              <w:snapToGrid w:val="0"/>
              <w:spacing w:line="400" w:lineRule="exact"/>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w:t>
            </w:r>
          </w:p>
        </w:tc>
        <w:tc>
          <w:tcPr>
            <w:tcW w:w="9323" w:type="dxa"/>
            <w:tcBorders>
              <w:top w:val="nil"/>
              <w:left w:val="nil"/>
              <w:bottom w:val="single" w:color="auto" w:sz="8" w:space="0"/>
              <w:right w:val="single" w:color="auto" w:sz="8" w:space="0"/>
            </w:tcBorders>
            <w:tcMar>
              <w:left w:w="108" w:type="dxa"/>
              <w:right w:w="108" w:type="dxa"/>
            </w:tcMar>
            <w:vAlign w:val="center"/>
          </w:tcPr>
          <w:p w14:paraId="29A40126">
            <w:pPr>
              <w:snapToGrid w:val="0"/>
              <w:spacing w:line="400" w:lineRule="exac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投标单位负责人为同一人或者存在直接控股、管理关系的不同投标人不得参加同一合同项下的采购活动。</w:t>
            </w:r>
          </w:p>
        </w:tc>
      </w:tr>
      <w:tr w14:paraId="73B3E631">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2421" w:hRule="atLeast"/>
        </w:trPr>
        <w:tc>
          <w:tcPr>
            <w:tcW w:w="790" w:type="dxa"/>
            <w:tcBorders>
              <w:left w:val="single" w:color="auto" w:sz="8" w:space="0"/>
              <w:bottom w:val="single" w:color="auto" w:sz="8" w:space="0"/>
              <w:right w:val="single" w:color="auto" w:sz="8" w:space="0"/>
            </w:tcBorders>
            <w:tcMar>
              <w:left w:w="108" w:type="dxa"/>
              <w:right w:w="108" w:type="dxa"/>
            </w:tcMar>
            <w:vAlign w:val="center"/>
          </w:tcPr>
          <w:p w14:paraId="74BBD5ED">
            <w:pPr>
              <w:snapToGrid w:val="0"/>
              <w:spacing w:line="400" w:lineRule="exact"/>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4</w:t>
            </w:r>
          </w:p>
        </w:tc>
        <w:tc>
          <w:tcPr>
            <w:tcW w:w="9323" w:type="dxa"/>
            <w:tcBorders>
              <w:top w:val="nil"/>
              <w:left w:val="nil"/>
              <w:bottom w:val="single" w:color="auto" w:sz="8" w:space="0"/>
              <w:right w:val="single" w:color="auto" w:sz="8" w:space="0"/>
            </w:tcBorders>
            <w:tcMar>
              <w:left w:w="108" w:type="dxa"/>
              <w:right w:w="108" w:type="dxa"/>
            </w:tcMar>
            <w:vAlign w:val="center"/>
          </w:tcPr>
          <w:p w14:paraId="4B1E3A4C">
            <w:pPr>
              <w:snapToGrid w:val="0"/>
              <w:spacing w:line="400" w:lineRule="exac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投标单位未被列入失信被执行人、重大税收违法失信主体、政府采购严重违法失信行为记录名单。</w:t>
            </w:r>
          </w:p>
          <w:p w14:paraId="7F3066A2">
            <w:pPr>
              <w:snapToGrid w:val="0"/>
              <w:spacing w:line="400" w:lineRule="exac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注：开标当天采购代理机构将通过“信用中国”网站（www.creditchina.gov.cn）和中国政府采购网（www.ccgp.gov.cn）对投标人的信用信息进行查询，查询截止时间点即投标截止时间。</w:t>
            </w:r>
          </w:p>
        </w:tc>
      </w:tr>
      <w:tr w14:paraId="0C292FA6">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771" w:hRule="atLeast"/>
        </w:trPr>
        <w:tc>
          <w:tcPr>
            <w:tcW w:w="790" w:type="dxa"/>
            <w:tcBorders>
              <w:left w:val="single" w:color="auto" w:sz="8" w:space="0"/>
              <w:bottom w:val="single" w:color="auto" w:sz="8" w:space="0"/>
              <w:right w:val="single" w:color="auto" w:sz="8" w:space="0"/>
            </w:tcBorders>
            <w:shd w:val="clear" w:color="auto" w:fill="auto"/>
            <w:tcMar>
              <w:left w:w="108" w:type="dxa"/>
              <w:right w:w="108" w:type="dxa"/>
            </w:tcMar>
            <w:vAlign w:val="center"/>
          </w:tcPr>
          <w:p w14:paraId="48ABA5FF">
            <w:pPr>
              <w:snapToGrid w:val="0"/>
              <w:spacing w:line="400" w:lineRule="exact"/>
              <w:jc w:val="center"/>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rPr>
              <w:t>5</w:t>
            </w:r>
          </w:p>
        </w:tc>
        <w:tc>
          <w:tcPr>
            <w:tcW w:w="9323" w:type="dxa"/>
            <w:tcBorders>
              <w:top w:val="nil"/>
              <w:left w:val="nil"/>
              <w:bottom w:val="single" w:color="auto" w:sz="8" w:space="0"/>
              <w:right w:val="single" w:color="auto" w:sz="8" w:space="0"/>
            </w:tcBorders>
            <w:tcMar>
              <w:left w:w="108" w:type="dxa"/>
              <w:right w:w="108" w:type="dxa"/>
            </w:tcMar>
            <w:vAlign w:val="center"/>
          </w:tcPr>
          <w:p w14:paraId="40FFD994">
            <w:pPr>
              <w:snapToGrid w:val="0"/>
              <w:spacing w:line="400" w:lineRule="exact"/>
              <w:rPr>
                <w:rFonts w:hint="eastAsia" w:ascii="宋体" w:hAnsi="宋体" w:eastAsia="宋体" w:cs="宋体"/>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本项目专门面向中小企业采购，供应商需按照采购文件的要求提供相应的《中小企业声明函》</w:t>
            </w:r>
            <w:r>
              <w:rPr>
                <w:rFonts w:hint="eastAsia" w:asciiTheme="majorEastAsia" w:hAnsiTheme="majorEastAsia" w:eastAsiaTheme="majorEastAsia" w:cstheme="majorEastAsia"/>
                <w:color w:val="auto"/>
                <w:sz w:val="24"/>
                <w:szCs w:val="24"/>
                <w:highlight w:val="none"/>
                <w:lang w:eastAsia="zh-CN"/>
              </w:rPr>
              <w:t>。</w:t>
            </w:r>
          </w:p>
        </w:tc>
      </w:tr>
      <w:tr w14:paraId="4C128D6F">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494" w:hRule="atLeast"/>
        </w:trPr>
        <w:tc>
          <w:tcPr>
            <w:tcW w:w="790" w:type="dxa"/>
            <w:tcBorders>
              <w:top w:val="nil"/>
              <w:left w:val="single" w:color="auto" w:sz="8" w:space="0"/>
              <w:bottom w:val="single" w:color="auto" w:sz="8" w:space="0"/>
              <w:right w:val="single" w:color="auto" w:sz="8" w:space="0"/>
            </w:tcBorders>
            <w:shd w:val="clear" w:color="auto" w:fill="auto"/>
            <w:tcMar>
              <w:left w:w="108" w:type="dxa"/>
              <w:right w:w="108" w:type="dxa"/>
            </w:tcMar>
            <w:vAlign w:val="center"/>
          </w:tcPr>
          <w:p w14:paraId="0D028BFF">
            <w:pPr>
              <w:snapToGrid w:val="0"/>
              <w:spacing w:line="400" w:lineRule="exact"/>
              <w:jc w:val="center"/>
              <w:rPr>
                <w:rFonts w:hint="default"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rPr>
              <w:t>6</w:t>
            </w:r>
          </w:p>
        </w:tc>
        <w:tc>
          <w:tcPr>
            <w:tcW w:w="9323" w:type="dxa"/>
            <w:tcBorders>
              <w:top w:val="nil"/>
              <w:left w:val="nil"/>
              <w:bottom w:val="single" w:color="auto" w:sz="8" w:space="0"/>
              <w:right w:val="single" w:color="auto" w:sz="8" w:space="0"/>
            </w:tcBorders>
            <w:tcMar>
              <w:left w:w="108" w:type="dxa"/>
              <w:right w:w="108" w:type="dxa"/>
            </w:tcMar>
            <w:vAlign w:val="center"/>
          </w:tcPr>
          <w:p w14:paraId="475E5190">
            <w:pPr>
              <w:snapToGrid w:val="0"/>
              <w:spacing w:line="400" w:lineRule="exact"/>
              <w:rPr>
                <w:rFonts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rPr>
              <w:t>按招标文件要求缴纳了投标保证金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如有</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p>
        </w:tc>
      </w:tr>
      <w:tr w14:paraId="32EEE968">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494" w:hRule="atLeast"/>
        </w:trPr>
        <w:tc>
          <w:tcPr>
            <w:tcW w:w="790" w:type="dxa"/>
            <w:tcBorders>
              <w:top w:val="nil"/>
              <w:left w:val="single" w:color="auto" w:sz="8" w:space="0"/>
              <w:bottom w:val="single" w:color="auto" w:sz="8" w:space="0"/>
              <w:right w:val="single" w:color="auto" w:sz="8" w:space="0"/>
            </w:tcBorders>
            <w:tcMar>
              <w:left w:w="108" w:type="dxa"/>
              <w:right w:w="108" w:type="dxa"/>
            </w:tcMar>
            <w:vAlign w:val="center"/>
          </w:tcPr>
          <w:p w14:paraId="0A74DA08">
            <w:pPr>
              <w:snapToGrid w:val="0"/>
              <w:spacing w:line="400" w:lineRule="exact"/>
              <w:jc w:val="center"/>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7</w:t>
            </w:r>
          </w:p>
        </w:tc>
        <w:tc>
          <w:tcPr>
            <w:tcW w:w="9323" w:type="dxa"/>
            <w:tcBorders>
              <w:top w:val="nil"/>
              <w:left w:val="nil"/>
              <w:bottom w:val="single" w:color="auto" w:sz="8" w:space="0"/>
              <w:right w:val="single" w:color="auto" w:sz="8" w:space="0"/>
            </w:tcBorders>
            <w:tcMar>
              <w:left w:w="108" w:type="dxa"/>
              <w:right w:w="108" w:type="dxa"/>
            </w:tcMar>
            <w:vAlign w:val="center"/>
          </w:tcPr>
          <w:p w14:paraId="6845DB6F">
            <w:pPr>
              <w:snapToGrid w:val="0"/>
              <w:spacing w:line="400" w:lineRule="exac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本项目不接受联合体投标。</w:t>
            </w:r>
          </w:p>
        </w:tc>
      </w:tr>
      <w:tr w14:paraId="57FFDCAE">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909" w:hRule="atLeast"/>
        </w:trPr>
        <w:tc>
          <w:tcPr>
            <w:tcW w:w="10113" w:type="dxa"/>
            <w:gridSpan w:val="2"/>
            <w:tcBorders>
              <w:top w:val="nil"/>
              <w:left w:val="single" w:color="auto" w:sz="8" w:space="0"/>
              <w:bottom w:val="single" w:color="auto" w:sz="8" w:space="0"/>
              <w:right w:val="single" w:color="auto" w:sz="8" w:space="0"/>
            </w:tcBorders>
            <w:tcMar>
              <w:left w:w="108" w:type="dxa"/>
              <w:right w:w="108" w:type="dxa"/>
            </w:tcMar>
            <w:vAlign w:val="center"/>
          </w:tcPr>
          <w:p w14:paraId="41DAE938">
            <w:pPr>
              <w:adjustRightInd w:val="0"/>
              <w:snapToGrid w:val="0"/>
              <w:spacing w:line="400" w:lineRule="exact"/>
              <w:ind w:firstLine="33" w:firstLineChars="14"/>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备注：</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如果资格评审中有一项不满足审查标准的，将认定该投标人不通过资格审查，不得进入下一阶段评审，并且不允许供应商通过修改或撤销其不符合要求的差异或保留，使其成为实质性响应。</w:t>
            </w:r>
          </w:p>
          <w:p w14:paraId="7FE7410F">
            <w:pPr>
              <w:adjustRightInd w:val="0"/>
              <w:snapToGrid w:val="0"/>
              <w:spacing w:line="400" w:lineRule="exact"/>
              <w:ind w:firstLine="751" w:firstLineChars="313"/>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合格投标人不足3家的，不得评标。</w:t>
            </w:r>
          </w:p>
        </w:tc>
      </w:tr>
    </w:tbl>
    <w:p w14:paraId="0E609007">
      <w:pPr>
        <w:pStyle w:val="4"/>
        <w:rPr>
          <w:color w:val="auto"/>
          <w:highlight w:val="none"/>
        </w:rPr>
      </w:pPr>
      <w:r>
        <w:rPr>
          <w:rFonts w:hint="eastAsia"/>
          <w:color w:val="auto"/>
          <w:highlight w:val="none"/>
        </w:rPr>
        <w:t>五、评标</w:t>
      </w:r>
      <w:bookmarkEnd w:id="101"/>
      <w:bookmarkEnd w:id="102"/>
    </w:p>
    <w:p w14:paraId="74096205">
      <w:pPr>
        <w:pStyle w:val="5"/>
        <w:rPr>
          <w:color w:val="auto"/>
          <w:highlight w:val="none"/>
        </w:rPr>
      </w:pPr>
      <w:bookmarkStart w:id="103" w:name="_Toc9510639"/>
      <w:bookmarkStart w:id="104" w:name="_Toc6750"/>
      <w:r>
        <w:rPr>
          <w:rFonts w:hint="eastAsia"/>
          <w:color w:val="auto"/>
          <w:highlight w:val="none"/>
        </w:rPr>
        <w:t>25、组</w:t>
      </w:r>
      <w:bookmarkEnd w:id="103"/>
      <w:r>
        <w:rPr>
          <w:rFonts w:hint="eastAsia"/>
          <w:color w:val="auto"/>
          <w:highlight w:val="none"/>
        </w:rPr>
        <w:t>建评标委员会</w:t>
      </w:r>
      <w:bookmarkEnd w:id="104"/>
    </w:p>
    <w:p w14:paraId="46FC16F2">
      <w:pPr>
        <w:adjustRightInd w:val="0"/>
        <w:snapToGrid w:val="0"/>
        <w:spacing w:line="360" w:lineRule="auto"/>
        <w:ind w:firstLine="480" w:firstLineChars="200"/>
        <w:rPr>
          <w:rFonts w:ascii="宋体" w:hAnsi="宋体" w:cs="宋体"/>
          <w:color w:val="auto"/>
          <w:sz w:val="24"/>
          <w:szCs w:val="24"/>
          <w:highlight w:val="none"/>
        </w:rPr>
      </w:pPr>
      <w:bookmarkStart w:id="105" w:name="_Toc14527"/>
      <w:r>
        <w:rPr>
          <w:rFonts w:hint="eastAsia" w:asciiTheme="majorEastAsia" w:hAnsiTheme="majorEastAsia" w:eastAsiaTheme="majorEastAsia" w:cstheme="majorEastAsia"/>
          <w:color w:val="auto"/>
          <w:sz w:val="24"/>
          <w:szCs w:val="24"/>
          <w:highlight w:val="none"/>
        </w:rPr>
        <w:t>按《中华人民共和国政府采购法》相关要求，</w:t>
      </w:r>
      <w:r>
        <w:rPr>
          <w:rFonts w:hint="eastAsia" w:asciiTheme="majorEastAsia" w:hAnsiTheme="majorEastAsia" w:eastAsiaTheme="majorEastAsia" w:cstheme="majorEastAsia"/>
          <w:color w:val="auto"/>
          <w:sz w:val="24"/>
          <w:szCs w:val="24"/>
          <w:highlight w:val="none"/>
          <w:lang w:eastAsia="zh-CN"/>
        </w:rPr>
        <w:t>本项目评审专家从专家库中</w:t>
      </w:r>
      <w:r>
        <w:rPr>
          <w:rFonts w:hint="eastAsia" w:asciiTheme="majorEastAsia" w:hAnsiTheme="majorEastAsia" w:eastAsiaTheme="majorEastAsia" w:cstheme="majorEastAsia"/>
          <w:color w:val="auto"/>
          <w:sz w:val="24"/>
          <w:szCs w:val="24"/>
          <w:highlight w:val="none"/>
        </w:rPr>
        <w:t>随机抽取</w:t>
      </w:r>
      <w:r>
        <w:rPr>
          <w:rFonts w:hint="eastAsia" w:asciiTheme="majorEastAsia" w:hAnsiTheme="majorEastAsia" w:eastAsiaTheme="majorEastAsia" w:cstheme="majorEastAsia"/>
          <w:color w:val="auto"/>
          <w:sz w:val="24"/>
          <w:szCs w:val="24"/>
          <w:highlight w:val="none"/>
          <w:lang w:eastAsia="zh-CN"/>
        </w:rPr>
        <w:t>的</w:t>
      </w:r>
      <w:r>
        <w:rPr>
          <w:rFonts w:hint="eastAsia" w:asciiTheme="majorEastAsia" w:hAnsiTheme="majorEastAsia" w:eastAsiaTheme="majorEastAsia" w:cstheme="majorEastAsia"/>
          <w:color w:val="auto"/>
          <w:sz w:val="24"/>
          <w:szCs w:val="24"/>
          <w:highlight w:val="none"/>
          <w:lang w:val="en-US" w:eastAsia="zh-CN"/>
        </w:rPr>
        <w:t>4名评审</w:t>
      </w:r>
      <w:r>
        <w:rPr>
          <w:rFonts w:hint="eastAsia" w:asciiTheme="majorEastAsia" w:hAnsiTheme="majorEastAsia" w:eastAsiaTheme="majorEastAsia" w:cstheme="majorEastAsia"/>
          <w:color w:val="auto"/>
          <w:sz w:val="24"/>
          <w:szCs w:val="24"/>
          <w:highlight w:val="none"/>
        </w:rPr>
        <w:t>专家和</w:t>
      </w:r>
      <w:r>
        <w:rPr>
          <w:rFonts w:hint="eastAsia" w:asciiTheme="majorEastAsia" w:hAnsiTheme="majorEastAsia" w:eastAsiaTheme="majorEastAsia" w:cstheme="majorEastAsia"/>
          <w:color w:val="auto"/>
          <w:sz w:val="24"/>
          <w:szCs w:val="24"/>
          <w:highlight w:val="none"/>
          <w:lang w:val="en-US" w:eastAsia="zh-CN"/>
        </w:rPr>
        <w:t>1名采购人代表，共5人</w:t>
      </w:r>
      <w:r>
        <w:rPr>
          <w:rFonts w:hint="eastAsia" w:asciiTheme="majorEastAsia" w:hAnsiTheme="majorEastAsia" w:eastAsiaTheme="majorEastAsia" w:cstheme="majorEastAsia"/>
          <w:color w:val="auto"/>
          <w:sz w:val="24"/>
          <w:szCs w:val="24"/>
          <w:highlight w:val="none"/>
        </w:rPr>
        <w:t>组成。</w:t>
      </w:r>
    </w:p>
    <w:p w14:paraId="1CC8D475">
      <w:pPr>
        <w:pStyle w:val="5"/>
        <w:rPr>
          <w:rFonts w:asciiTheme="majorEastAsia" w:hAnsiTheme="majorEastAsia" w:eastAsiaTheme="majorEastAsia" w:cstheme="majorEastAsia"/>
          <w:color w:val="auto"/>
          <w:sz w:val="24"/>
          <w:szCs w:val="24"/>
          <w:highlight w:val="none"/>
        </w:rPr>
      </w:pPr>
      <w:r>
        <w:rPr>
          <w:rFonts w:hint="eastAsia"/>
          <w:color w:val="auto"/>
          <w:highlight w:val="none"/>
        </w:rPr>
        <w:t>26、评标程序</w:t>
      </w:r>
      <w:bookmarkEnd w:id="105"/>
    </w:p>
    <w:p w14:paraId="309967D7">
      <w:pPr>
        <w:adjustRightInd w:val="0"/>
        <w:snapToGrid w:val="0"/>
        <w:spacing w:line="400" w:lineRule="exact"/>
        <w:ind w:firstLine="472" w:firstLineChars="196"/>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w:t>
      </w:r>
      <w:r>
        <w:rPr>
          <w:rFonts w:hint="eastAsia" w:asciiTheme="majorEastAsia" w:hAnsiTheme="majorEastAsia" w:eastAsiaTheme="majorEastAsia" w:cstheme="majorEastAsia"/>
          <w:b/>
          <w:bCs/>
          <w:color w:val="auto"/>
          <w:sz w:val="24"/>
          <w:szCs w:val="24"/>
          <w:highlight w:val="none"/>
          <w:lang w:val="en-US" w:eastAsia="zh-CN"/>
        </w:rPr>
        <w:t>1</w:t>
      </w:r>
      <w:r>
        <w:rPr>
          <w:rFonts w:hint="eastAsia" w:asciiTheme="majorEastAsia" w:hAnsiTheme="majorEastAsia" w:eastAsiaTheme="majorEastAsia" w:cstheme="majorEastAsia"/>
          <w:b/>
          <w:bCs/>
          <w:color w:val="auto"/>
          <w:sz w:val="24"/>
          <w:szCs w:val="24"/>
          <w:highlight w:val="none"/>
        </w:rPr>
        <w:t>符合性审查</w:t>
      </w:r>
    </w:p>
    <w:p w14:paraId="496D7267">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评标委员会对投标文件的完整性、合法性等进行审查。</w:t>
      </w:r>
    </w:p>
    <w:p w14:paraId="34A91646">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下列有一项未通过审查</w:t>
      </w:r>
      <w:r>
        <w:rPr>
          <w:rFonts w:hint="eastAsia" w:asciiTheme="majorEastAsia" w:hAnsiTheme="majorEastAsia" w:eastAsiaTheme="majorEastAsia" w:cstheme="majorEastAsia"/>
          <w:bCs/>
          <w:color w:val="auto"/>
          <w:sz w:val="24"/>
          <w:szCs w:val="24"/>
          <w:highlight w:val="none"/>
        </w:rPr>
        <w:t>内容</w:t>
      </w:r>
      <w:r>
        <w:rPr>
          <w:rFonts w:hint="eastAsia" w:asciiTheme="majorEastAsia" w:hAnsiTheme="majorEastAsia" w:eastAsiaTheme="majorEastAsia" w:cstheme="majorEastAsia"/>
          <w:color w:val="auto"/>
          <w:sz w:val="24"/>
          <w:szCs w:val="24"/>
          <w:highlight w:val="none"/>
        </w:rPr>
        <w:t>的，应在符合性审查时按照无效投标处理：</w:t>
      </w:r>
    </w:p>
    <w:tbl>
      <w:tblPr>
        <w:tblStyle w:val="39"/>
        <w:tblW w:w="8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7832"/>
      </w:tblGrid>
      <w:tr w14:paraId="0614D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50" w:type="dxa"/>
            <w:vAlign w:val="center"/>
          </w:tcPr>
          <w:p w14:paraId="0F88BD64">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序号</w:t>
            </w:r>
          </w:p>
        </w:tc>
        <w:tc>
          <w:tcPr>
            <w:tcW w:w="7832" w:type="dxa"/>
            <w:vAlign w:val="center"/>
          </w:tcPr>
          <w:p w14:paraId="5CB079FC">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14:paraId="6796F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57958D0A">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1</w:t>
            </w:r>
          </w:p>
        </w:tc>
        <w:tc>
          <w:tcPr>
            <w:tcW w:w="7832" w:type="dxa"/>
            <w:vAlign w:val="center"/>
          </w:tcPr>
          <w:p w14:paraId="4B06155A">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只允许有一个报价，不接受可变动性报价、赠送及“零”报价。</w:t>
            </w:r>
          </w:p>
        </w:tc>
      </w:tr>
      <w:tr w14:paraId="134D7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5F445CEA">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2</w:t>
            </w:r>
          </w:p>
        </w:tc>
        <w:tc>
          <w:tcPr>
            <w:tcW w:w="7832" w:type="dxa"/>
            <w:vAlign w:val="center"/>
          </w:tcPr>
          <w:p w14:paraId="2F7D8EB5">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必须采用人民币报价。</w:t>
            </w:r>
          </w:p>
        </w:tc>
      </w:tr>
      <w:tr w14:paraId="170FE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5" w:hRule="exact"/>
          <w:jc w:val="center"/>
        </w:trPr>
        <w:tc>
          <w:tcPr>
            <w:tcW w:w="850" w:type="dxa"/>
            <w:vAlign w:val="center"/>
          </w:tcPr>
          <w:p w14:paraId="35E9D512">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3</w:t>
            </w:r>
          </w:p>
        </w:tc>
        <w:tc>
          <w:tcPr>
            <w:tcW w:w="7832" w:type="dxa"/>
            <w:vAlign w:val="center"/>
          </w:tcPr>
          <w:p w14:paraId="7B082587">
            <w:pPr>
              <w:adjustRightInd w:val="0"/>
              <w:snapToGrid w:val="0"/>
              <w:spacing w:line="400" w:lineRule="exact"/>
              <w:ind w:firstLine="33" w:firstLineChars="14"/>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投标报价出现应当启动异常低价投标（响应）审查程序的情形。若有时，</w:t>
            </w:r>
            <w:r>
              <w:rPr>
                <w:rFonts w:hint="default" w:ascii="宋体" w:hAnsi="宋体" w:cs="宋体"/>
                <w:color w:val="auto"/>
                <w:sz w:val="24"/>
                <w:szCs w:val="24"/>
                <w:highlight w:val="none"/>
                <w:lang w:val="en-US" w:eastAsia="zh-CN"/>
              </w:rPr>
              <w:t>评审委员会启动异常低价投标（响应）审查后，属于</w:t>
            </w:r>
            <w:r>
              <w:rPr>
                <w:rFonts w:hint="eastAsia" w:ascii="宋体" w:hAnsi="宋体" w:cs="宋体"/>
                <w:color w:val="auto"/>
                <w:sz w:val="24"/>
                <w:szCs w:val="24"/>
                <w:highlight w:val="none"/>
                <w:lang w:val="en-US" w:eastAsia="zh-CN"/>
              </w:rPr>
              <w:t>“须知前附表第26条”</w:t>
            </w:r>
            <w:r>
              <w:rPr>
                <w:rFonts w:hint="default" w:ascii="宋体" w:hAnsi="宋体" w:cs="宋体"/>
                <w:color w:val="auto"/>
                <w:sz w:val="24"/>
                <w:szCs w:val="24"/>
                <w:highlight w:val="none"/>
                <w:lang w:val="en-US" w:eastAsia="zh-CN"/>
              </w:rPr>
              <w:t>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tc>
      </w:tr>
      <w:tr w14:paraId="2BE03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exact"/>
          <w:jc w:val="center"/>
        </w:trPr>
        <w:tc>
          <w:tcPr>
            <w:tcW w:w="850" w:type="dxa"/>
            <w:vAlign w:val="center"/>
          </w:tcPr>
          <w:p w14:paraId="43CBA19D">
            <w:pPr>
              <w:adjustRightInd w:val="0"/>
              <w:snapToGrid w:val="0"/>
              <w:spacing w:line="400" w:lineRule="exact"/>
              <w:jc w:val="center"/>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sz w:val="24"/>
                <w:szCs w:val="24"/>
                <w:highlight w:val="none"/>
                <w:lang w:val="en-US" w:eastAsia="zh-CN"/>
              </w:rPr>
              <w:t>4</w:t>
            </w:r>
          </w:p>
        </w:tc>
        <w:tc>
          <w:tcPr>
            <w:tcW w:w="7832" w:type="dxa"/>
            <w:vAlign w:val="center"/>
          </w:tcPr>
          <w:p w14:paraId="7F509288">
            <w:pPr>
              <w:adjustRightInd w:val="0"/>
              <w:snapToGrid w:val="0"/>
              <w:spacing w:line="400" w:lineRule="exact"/>
              <w:ind w:firstLine="33" w:firstLineChars="14"/>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rPr>
              <w:t>投标文件必须按招标文件规定格式完整提供，并要盖投标人章、法定代表人或被授权人签字或盖章。</w:t>
            </w:r>
          </w:p>
        </w:tc>
      </w:tr>
      <w:tr w14:paraId="0F2BE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exact"/>
          <w:jc w:val="center"/>
        </w:trPr>
        <w:tc>
          <w:tcPr>
            <w:tcW w:w="850" w:type="dxa"/>
            <w:vAlign w:val="center"/>
          </w:tcPr>
          <w:p w14:paraId="3C22FD8E">
            <w:pPr>
              <w:adjustRightInd w:val="0"/>
              <w:snapToGrid w:val="0"/>
              <w:spacing w:line="400" w:lineRule="exact"/>
              <w:jc w:val="center"/>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sz w:val="24"/>
                <w:szCs w:val="24"/>
                <w:highlight w:val="none"/>
                <w:lang w:val="en-US" w:eastAsia="zh-CN"/>
              </w:rPr>
              <w:t>5</w:t>
            </w:r>
          </w:p>
        </w:tc>
        <w:tc>
          <w:tcPr>
            <w:tcW w:w="7832" w:type="dxa"/>
            <w:vAlign w:val="center"/>
          </w:tcPr>
          <w:p w14:paraId="098AABDE">
            <w:pPr>
              <w:adjustRightInd w:val="0"/>
              <w:snapToGrid w:val="0"/>
              <w:spacing w:line="400" w:lineRule="exact"/>
              <w:ind w:firstLine="33" w:firstLineChars="14"/>
              <w:rPr>
                <w:rFonts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法定代表人（负责人、自然人）授权委托书必须按招标文件规定格式完整提供，并要盖投标人章、法定代表人（负责人、自然人）签字或盖章，被授权人签字或盖章。</w:t>
            </w:r>
          </w:p>
        </w:tc>
      </w:tr>
      <w:tr w14:paraId="22B9A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exact"/>
          <w:jc w:val="center"/>
        </w:trPr>
        <w:tc>
          <w:tcPr>
            <w:tcW w:w="850" w:type="dxa"/>
            <w:vAlign w:val="center"/>
          </w:tcPr>
          <w:p w14:paraId="421911A9">
            <w:pPr>
              <w:adjustRightInd w:val="0"/>
              <w:snapToGrid w:val="0"/>
              <w:spacing w:line="400" w:lineRule="exact"/>
              <w:jc w:val="center"/>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sz w:val="24"/>
                <w:szCs w:val="24"/>
                <w:highlight w:val="none"/>
                <w:lang w:val="en-US" w:eastAsia="zh-CN"/>
              </w:rPr>
              <w:t>6</w:t>
            </w:r>
          </w:p>
        </w:tc>
        <w:tc>
          <w:tcPr>
            <w:tcW w:w="7832" w:type="dxa"/>
            <w:shd w:val="clear" w:color="auto" w:fill="auto"/>
            <w:vAlign w:val="center"/>
          </w:tcPr>
          <w:p w14:paraId="5BB20E1E">
            <w:pPr>
              <w:adjustRightInd w:val="0"/>
              <w:snapToGrid w:val="0"/>
              <w:spacing w:line="400" w:lineRule="exact"/>
              <w:ind w:firstLine="33" w:firstLineChars="14"/>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投标文件必须注明“正本”或“副本”字样。</w:t>
            </w:r>
          </w:p>
        </w:tc>
      </w:tr>
      <w:tr w14:paraId="2DE2F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exact"/>
          <w:jc w:val="center"/>
        </w:trPr>
        <w:tc>
          <w:tcPr>
            <w:tcW w:w="850" w:type="dxa"/>
            <w:vAlign w:val="center"/>
          </w:tcPr>
          <w:p w14:paraId="6DA38DB9">
            <w:pPr>
              <w:adjustRightInd w:val="0"/>
              <w:snapToGrid w:val="0"/>
              <w:spacing w:line="400" w:lineRule="exact"/>
              <w:jc w:val="center"/>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sz w:val="24"/>
                <w:szCs w:val="24"/>
                <w:highlight w:val="none"/>
                <w:lang w:val="en-US" w:eastAsia="zh-CN"/>
              </w:rPr>
              <w:t>7</w:t>
            </w:r>
          </w:p>
        </w:tc>
        <w:tc>
          <w:tcPr>
            <w:tcW w:w="7832" w:type="dxa"/>
            <w:shd w:val="clear" w:color="auto" w:fill="auto"/>
            <w:vAlign w:val="center"/>
          </w:tcPr>
          <w:p w14:paraId="5F68469E">
            <w:pPr>
              <w:adjustRightInd w:val="0"/>
              <w:snapToGrid w:val="0"/>
              <w:spacing w:line="400" w:lineRule="exact"/>
              <w:ind w:firstLine="33" w:firstLineChars="14"/>
              <w:rPr>
                <w:rFonts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投标报价没有超过最高限价。</w:t>
            </w:r>
          </w:p>
        </w:tc>
      </w:tr>
      <w:tr w14:paraId="59393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486CF46F">
            <w:pPr>
              <w:adjustRightInd w:val="0"/>
              <w:snapToGrid w:val="0"/>
              <w:spacing w:line="400" w:lineRule="exact"/>
              <w:jc w:val="center"/>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sz w:val="24"/>
                <w:szCs w:val="24"/>
                <w:highlight w:val="none"/>
                <w:lang w:val="en-US" w:eastAsia="zh-CN"/>
              </w:rPr>
              <w:t>8</w:t>
            </w:r>
          </w:p>
        </w:tc>
        <w:tc>
          <w:tcPr>
            <w:tcW w:w="7832" w:type="dxa"/>
            <w:shd w:val="clear" w:color="auto" w:fill="auto"/>
            <w:vAlign w:val="center"/>
          </w:tcPr>
          <w:p w14:paraId="43EA81C0">
            <w:pPr>
              <w:adjustRightInd w:val="0"/>
              <w:snapToGrid w:val="0"/>
              <w:spacing w:line="400" w:lineRule="exact"/>
              <w:ind w:firstLine="33" w:firstLineChars="14"/>
              <w:rPr>
                <w:rFonts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投标文件未含有采购人不能接受的附加条件。</w:t>
            </w:r>
          </w:p>
        </w:tc>
      </w:tr>
      <w:tr w14:paraId="238B2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70D36BBD">
            <w:pPr>
              <w:adjustRightInd w:val="0"/>
              <w:snapToGrid w:val="0"/>
              <w:spacing w:line="400" w:lineRule="exact"/>
              <w:jc w:val="center"/>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sz w:val="24"/>
                <w:szCs w:val="24"/>
                <w:highlight w:val="none"/>
                <w:lang w:val="en-US" w:eastAsia="zh-CN"/>
              </w:rPr>
              <w:t>9</w:t>
            </w:r>
          </w:p>
        </w:tc>
        <w:tc>
          <w:tcPr>
            <w:tcW w:w="7832" w:type="dxa"/>
            <w:shd w:val="clear" w:color="auto" w:fill="auto"/>
            <w:vAlign w:val="center"/>
          </w:tcPr>
          <w:p w14:paraId="33CF3AFC">
            <w:pPr>
              <w:adjustRightInd w:val="0"/>
              <w:snapToGrid w:val="0"/>
              <w:spacing w:line="400" w:lineRule="exact"/>
              <w:ind w:firstLine="33" w:firstLineChars="14"/>
              <w:rPr>
                <w:rFonts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投标文件与招标文件没有重大偏离的。</w:t>
            </w:r>
          </w:p>
        </w:tc>
      </w:tr>
      <w:tr w14:paraId="411D4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14:paraId="5513FB85">
            <w:pPr>
              <w:adjustRightInd w:val="0"/>
              <w:snapToGrid w:val="0"/>
              <w:spacing w:line="400" w:lineRule="exact"/>
              <w:jc w:val="center"/>
              <w:rPr>
                <w:rFonts w:hint="eastAsia" w:asciiTheme="majorEastAsia" w:hAnsiTheme="majorEastAsia" w:eastAsiaTheme="majorEastAsia" w:cstheme="majorEastAsia"/>
                <w:bCs/>
                <w:color w:val="auto"/>
                <w:kern w:val="2"/>
                <w:sz w:val="24"/>
                <w:szCs w:val="24"/>
                <w:highlight w:val="none"/>
                <w:lang w:val="en-US" w:eastAsia="zh-CN" w:bidi="ar-SA"/>
              </w:rPr>
            </w:pPr>
            <w:r>
              <w:rPr>
                <w:rFonts w:hint="eastAsia" w:asciiTheme="majorEastAsia" w:hAnsiTheme="majorEastAsia" w:eastAsiaTheme="majorEastAsia" w:cstheme="majorEastAsia"/>
                <w:bCs/>
                <w:color w:val="auto"/>
                <w:sz w:val="24"/>
                <w:szCs w:val="24"/>
                <w:highlight w:val="none"/>
                <w:lang w:val="en-US" w:eastAsia="zh-CN"/>
              </w:rPr>
              <w:t>10</w:t>
            </w:r>
          </w:p>
        </w:tc>
        <w:tc>
          <w:tcPr>
            <w:tcW w:w="7832" w:type="dxa"/>
            <w:shd w:val="clear" w:color="auto" w:fill="auto"/>
            <w:vAlign w:val="center"/>
          </w:tcPr>
          <w:p w14:paraId="17F57719">
            <w:pPr>
              <w:adjustRightInd w:val="0"/>
              <w:snapToGrid w:val="0"/>
              <w:spacing w:line="400" w:lineRule="exact"/>
              <w:ind w:firstLine="33" w:firstLineChars="14"/>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不存在其他无效情形的，如不符合法律、法规和招标文件规定的。</w:t>
            </w:r>
          </w:p>
        </w:tc>
      </w:tr>
      <w:tr w14:paraId="09B7A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682" w:type="dxa"/>
            <w:gridSpan w:val="2"/>
            <w:vAlign w:val="center"/>
          </w:tcPr>
          <w:p w14:paraId="52D28785">
            <w:pPr>
              <w:adjustRightInd w:val="0"/>
              <w:snapToGrid w:val="0"/>
              <w:spacing w:line="400" w:lineRule="exact"/>
              <w:ind w:firstLine="33" w:firstLineChars="14"/>
              <w:rPr>
                <w:rFonts w:hint="eastAsia" w:asciiTheme="majorEastAsia" w:hAnsiTheme="majorEastAsia" w:eastAsiaTheme="majorEastAsia" w:cstheme="majorEastAsia"/>
                <w:color w:val="auto"/>
                <w:sz w:val="24"/>
                <w:szCs w:val="24"/>
                <w:highlight w:val="none"/>
              </w:rPr>
            </w:pPr>
            <w:r>
              <w:rPr>
                <w:rFonts w:hint="eastAsia" w:ascii="宋体" w:hAnsi="宋体" w:cs="宋体"/>
                <w:color w:val="auto"/>
                <w:sz w:val="24"/>
                <w:szCs w:val="24"/>
                <w:highlight w:val="none"/>
                <w:lang w:eastAsia="zh-CN"/>
              </w:rPr>
              <w:t>备注：如果符合性审查中有一项不满足审查标准的，将认定该供应商不通过符合性审查，不得进入下一阶段评审，并且不允许供应商通过修改或撤销其不符合要求的差异或保留，使其成为实质性响应。</w:t>
            </w:r>
          </w:p>
        </w:tc>
      </w:tr>
    </w:tbl>
    <w:p w14:paraId="5091F9A9">
      <w:pPr>
        <w:pStyle w:val="4"/>
        <w:spacing w:line="240" w:lineRule="auto"/>
        <w:rPr>
          <w:rFonts w:hint="eastAsia" w:asciiTheme="majorEastAsia" w:hAnsiTheme="majorEastAsia" w:eastAsiaTheme="majorEastAsia" w:cstheme="majorEastAsia"/>
          <w:b w:val="0"/>
          <w:bCs/>
          <w:color w:val="auto"/>
          <w:kern w:val="2"/>
          <w:sz w:val="24"/>
          <w:szCs w:val="24"/>
          <w:highlight w:val="none"/>
          <w:lang w:val="en-US" w:eastAsia="zh-CN" w:bidi="ar-SA"/>
        </w:rPr>
      </w:pPr>
    </w:p>
    <w:p w14:paraId="5F5BE3D5">
      <w:pPr>
        <w:rPr>
          <w:rFonts w:hint="eastAsia" w:asciiTheme="majorEastAsia" w:hAnsiTheme="majorEastAsia" w:eastAsiaTheme="majorEastAsia" w:cstheme="majorEastAsia"/>
          <w:b w:val="0"/>
          <w:bCs/>
          <w:color w:val="auto"/>
          <w:kern w:val="2"/>
          <w:sz w:val="24"/>
          <w:szCs w:val="24"/>
          <w:highlight w:val="none"/>
          <w:lang w:val="en-US" w:eastAsia="zh-CN" w:bidi="ar-SA"/>
        </w:rPr>
      </w:pPr>
      <w:r>
        <w:rPr>
          <w:rFonts w:hint="eastAsia" w:asciiTheme="majorEastAsia" w:hAnsiTheme="majorEastAsia" w:eastAsiaTheme="majorEastAsia" w:cstheme="majorEastAsia"/>
          <w:b w:val="0"/>
          <w:bCs/>
          <w:color w:val="auto"/>
          <w:kern w:val="2"/>
          <w:sz w:val="24"/>
          <w:szCs w:val="24"/>
          <w:highlight w:val="none"/>
          <w:lang w:val="en-US" w:eastAsia="zh-CN" w:bidi="ar-SA"/>
        </w:rPr>
        <w:br w:type="page"/>
      </w:r>
    </w:p>
    <w:p w14:paraId="2E8A0FF1">
      <w:pPr>
        <w:adjustRightInd w:val="0"/>
        <w:snapToGrid w:val="0"/>
        <w:spacing w:line="5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w:t>
      </w:r>
      <w:r>
        <w:rPr>
          <w:rFonts w:hint="eastAsia" w:asciiTheme="majorEastAsia" w:hAnsiTheme="majorEastAsia" w:eastAsiaTheme="majorEastAsia" w:cstheme="majorEastAsia"/>
          <w:b/>
          <w:bCs/>
          <w:color w:val="auto"/>
          <w:sz w:val="24"/>
          <w:szCs w:val="24"/>
          <w:highlight w:val="none"/>
          <w:lang w:val="en-US" w:eastAsia="zh-CN"/>
        </w:rPr>
        <w:t>2</w:t>
      </w:r>
      <w:r>
        <w:rPr>
          <w:rFonts w:hint="eastAsia" w:asciiTheme="majorEastAsia" w:hAnsiTheme="majorEastAsia" w:eastAsiaTheme="majorEastAsia" w:cstheme="majorEastAsia"/>
          <w:b/>
          <w:bCs/>
          <w:color w:val="auto"/>
          <w:sz w:val="24"/>
          <w:szCs w:val="24"/>
          <w:highlight w:val="none"/>
        </w:rPr>
        <w:t xml:space="preserve"> 实质审查与比较</w:t>
      </w:r>
    </w:p>
    <w:p w14:paraId="002CF37E">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.1评标委员会审查投标文件的实质性内容是否符合招标文件的实质性要求。</w:t>
      </w:r>
    </w:p>
    <w:p w14:paraId="4996AAE3">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.2评标委员会将根据投标人的投标文件进行审查、核对,如有疑问,将对投标人进行询标,投标人要向评标委员会澄清有关问题,并最终以书面形式进行答复。</w:t>
      </w:r>
    </w:p>
    <w:p w14:paraId="5C284301">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.3各投标人的技术得分为所有评委的有效评分的算术平均数，由指定专人进行计算复核。</w:t>
      </w:r>
    </w:p>
    <w:p w14:paraId="37D601EF">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.4采购代理机构工作人员协助评标委员会根据本项目的评分标准计算各投标人的商务报价得分。</w:t>
      </w:r>
    </w:p>
    <w:p w14:paraId="638AD8A4">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.5评标委员会完成评标后,评委对各部分得分汇总,计算出本项目最终得分等。评标委员会按评标原则推荐中标候选人，同时起草评标报告。</w:t>
      </w:r>
    </w:p>
    <w:p w14:paraId="30B01A19">
      <w:pPr>
        <w:pStyle w:val="5"/>
        <w:rPr>
          <w:color w:val="auto"/>
          <w:highlight w:val="none"/>
        </w:rPr>
      </w:pPr>
      <w:bookmarkStart w:id="106" w:name="_Toc26304"/>
      <w:r>
        <w:rPr>
          <w:rFonts w:hint="eastAsia"/>
          <w:color w:val="auto"/>
          <w:highlight w:val="none"/>
        </w:rPr>
        <w:t>27、澄清问题的形式</w:t>
      </w:r>
      <w:bookmarkEnd w:id="106"/>
    </w:p>
    <w:p w14:paraId="09EBBA75">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14:paraId="521CE717">
      <w:pPr>
        <w:pStyle w:val="5"/>
        <w:rPr>
          <w:color w:val="auto"/>
          <w:highlight w:val="none"/>
        </w:rPr>
      </w:pPr>
      <w:bookmarkStart w:id="107" w:name="_Toc1409"/>
      <w:r>
        <w:rPr>
          <w:rFonts w:hint="eastAsia"/>
          <w:color w:val="auto"/>
          <w:highlight w:val="none"/>
        </w:rPr>
        <w:t>28、错误修正</w:t>
      </w:r>
      <w:bookmarkEnd w:id="107"/>
    </w:p>
    <w:p w14:paraId="307707C2">
      <w:pPr>
        <w:adjustRightInd w:val="0"/>
        <w:snapToGrid w:val="0"/>
        <w:spacing w:line="500" w:lineRule="exact"/>
        <w:ind w:left="719" w:leftChars="228" w:hanging="240" w:hangingChars="1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投标文件如果出现计算或表达上的错误，修正错误的原则如下：</w:t>
      </w:r>
    </w:p>
    <w:p w14:paraId="41AB0027">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28.1 开标一览表总价与投标报价明细表汇总数不一致的，</w:t>
      </w:r>
      <w:r>
        <w:rPr>
          <w:rFonts w:hint="eastAsia" w:asciiTheme="majorEastAsia" w:hAnsiTheme="majorEastAsia" w:eastAsiaTheme="majorEastAsia" w:cstheme="majorEastAsia"/>
          <w:color w:val="auto"/>
          <w:kern w:val="0"/>
          <w:sz w:val="24"/>
          <w:szCs w:val="24"/>
          <w:highlight w:val="none"/>
        </w:rPr>
        <w:t>以开标一览表为准；</w:t>
      </w:r>
    </w:p>
    <w:p w14:paraId="27F890B6">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28.2 投标文件的大写金额和小写金额不一致的，以大写金额为准；</w:t>
      </w:r>
    </w:p>
    <w:p w14:paraId="76853074">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28.3 总价金额与按单价汇总金额不一致的，以单价金额计算结果为准；</w:t>
      </w:r>
    </w:p>
    <w:p w14:paraId="1FF8DBF4">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28.4 对不同文字文本投标文件的解释发生异议的，以中文文本为准。</w:t>
      </w:r>
    </w:p>
    <w:p w14:paraId="3D212710">
      <w:pPr>
        <w:adjustRightInd w:val="0"/>
        <w:snapToGrid w:val="0"/>
        <w:spacing w:line="500" w:lineRule="exact"/>
        <w:ind w:firstLine="482" w:firstLineChars="200"/>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按上述修正错误的原则及方法调整或修正投标文件的投标报价，投标人同意并签字确认后，调整后的投标报价对投标人具有约束作用。如果投标人不接受修正后的报价，则其投标将作为无效投标处理。</w:t>
      </w:r>
    </w:p>
    <w:p w14:paraId="3B03E323">
      <w:pPr>
        <w:pStyle w:val="5"/>
        <w:rPr>
          <w:color w:val="auto"/>
          <w:highlight w:val="none"/>
        </w:rPr>
      </w:pPr>
      <w:bookmarkStart w:id="108" w:name="_Toc8797"/>
      <w:r>
        <w:rPr>
          <w:rFonts w:hint="eastAsia"/>
          <w:color w:val="auto"/>
          <w:highlight w:val="none"/>
        </w:rPr>
        <w:t>29、评标原则和评标办法</w:t>
      </w:r>
      <w:bookmarkEnd w:id="108"/>
    </w:p>
    <w:p w14:paraId="5EA47E6D">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29.1 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78855087">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29.2 评标办法。本项目评标办法是</w:t>
      </w:r>
      <w:r>
        <w:rPr>
          <w:rFonts w:hint="eastAsia" w:asciiTheme="majorEastAsia" w:hAnsiTheme="majorEastAsia" w:eastAsiaTheme="majorEastAsia" w:cstheme="majorEastAsia"/>
          <w:b/>
          <w:color w:val="auto"/>
          <w:sz w:val="24"/>
          <w:szCs w:val="24"/>
          <w:highlight w:val="none"/>
          <w:u w:val="single"/>
        </w:rPr>
        <w:t xml:space="preserve"> 综合评分法 </w:t>
      </w:r>
      <w:r>
        <w:rPr>
          <w:rFonts w:hint="eastAsia" w:asciiTheme="majorEastAsia" w:hAnsiTheme="majorEastAsia" w:eastAsiaTheme="majorEastAsia" w:cstheme="majorEastAsia"/>
          <w:color w:val="auto"/>
          <w:sz w:val="24"/>
          <w:szCs w:val="24"/>
          <w:highlight w:val="none"/>
        </w:rPr>
        <w:t>，具体评标内容及评分标准等详见《第三章 评分办法及评分标准》。</w:t>
      </w:r>
    </w:p>
    <w:p w14:paraId="3E31E999">
      <w:pPr>
        <w:pStyle w:val="18"/>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29.3废标</w:t>
      </w:r>
    </w:p>
    <w:p w14:paraId="76E2C11C">
      <w:pPr>
        <w:pStyle w:val="18"/>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在采购中，出现下列情形之一的，本项目应予废标：</w:t>
      </w:r>
    </w:p>
    <w:p w14:paraId="3DB76D59">
      <w:pPr>
        <w:pStyle w:val="18"/>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(1）出现影响采购公正的违法、违规行为的；</w:t>
      </w:r>
    </w:p>
    <w:p w14:paraId="5AF64E0E">
      <w:pPr>
        <w:pStyle w:val="18"/>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(2）有效投标单位不足三家的；</w:t>
      </w:r>
    </w:p>
    <w:p w14:paraId="3284CD3F">
      <w:pPr>
        <w:pStyle w:val="18"/>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(3）因重大变故，采购任务取消的。</w:t>
      </w:r>
    </w:p>
    <w:p w14:paraId="6DD730BB">
      <w:pPr>
        <w:pStyle w:val="4"/>
        <w:rPr>
          <w:color w:val="auto"/>
          <w:highlight w:val="none"/>
        </w:rPr>
      </w:pPr>
      <w:bookmarkStart w:id="109" w:name="_Toc17951"/>
      <w:bookmarkStart w:id="110" w:name="_Toc5562"/>
      <w:r>
        <w:rPr>
          <w:rFonts w:hint="eastAsia"/>
          <w:color w:val="auto"/>
          <w:highlight w:val="none"/>
        </w:rPr>
        <w:t>六、定标及</w:t>
      </w:r>
      <w:bookmarkStart w:id="111" w:name="_Toc9510640"/>
      <w:r>
        <w:rPr>
          <w:rFonts w:hint="eastAsia"/>
          <w:color w:val="auto"/>
          <w:highlight w:val="none"/>
        </w:rPr>
        <w:t>合同授予</w:t>
      </w:r>
      <w:bookmarkEnd w:id="109"/>
      <w:bookmarkEnd w:id="110"/>
    </w:p>
    <w:p w14:paraId="14B7B03D">
      <w:pPr>
        <w:pStyle w:val="5"/>
        <w:rPr>
          <w:color w:val="auto"/>
          <w:highlight w:val="none"/>
        </w:rPr>
      </w:pPr>
      <w:bookmarkStart w:id="112" w:name="_Toc31428"/>
      <w:r>
        <w:rPr>
          <w:rFonts w:hint="eastAsia"/>
          <w:color w:val="auto"/>
          <w:highlight w:val="none"/>
        </w:rPr>
        <w:t>30、确</w:t>
      </w:r>
      <w:bookmarkEnd w:id="111"/>
      <w:r>
        <w:rPr>
          <w:rFonts w:hint="eastAsia"/>
          <w:color w:val="auto"/>
          <w:highlight w:val="none"/>
        </w:rPr>
        <w:t>定中标人</w:t>
      </w:r>
      <w:bookmarkEnd w:id="112"/>
    </w:p>
    <w:p w14:paraId="4160C4C2">
      <w:pPr>
        <w:adjustRightInd w:val="0"/>
        <w:snapToGrid w:val="0"/>
        <w:spacing w:line="5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本项目由采购人确定中标人。</w:t>
      </w:r>
    </w:p>
    <w:p w14:paraId="22B12F86">
      <w:pPr>
        <w:adjustRightInd w:val="0"/>
        <w:snapToGrid w:val="0"/>
        <w:spacing w:line="360" w:lineRule="auto"/>
        <w:ind w:firstLine="480" w:firstLineChars="200"/>
        <w:rPr>
          <w:rFonts w:hint="default" w:asciiTheme="majorEastAsia" w:hAnsiTheme="majorEastAsia" w:eastAsiaTheme="majorEastAsia" w:cstheme="majorEastAsia"/>
          <w:b w:val="0"/>
          <w:color w:val="auto"/>
          <w:kern w:val="2"/>
          <w:sz w:val="24"/>
          <w:szCs w:val="24"/>
          <w:highlight w:val="none"/>
          <w:lang w:val="en-US" w:eastAsia="zh-CN" w:bidi="ar-SA"/>
        </w:rPr>
      </w:pPr>
      <w:r>
        <w:rPr>
          <w:rFonts w:hint="default" w:asciiTheme="majorEastAsia" w:hAnsiTheme="majorEastAsia" w:eastAsiaTheme="majorEastAsia" w:cstheme="majorEastAsia"/>
          <w:b w:val="0"/>
          <w:color w:val="auto"/>
          <w:kern w:val="2"/>
          <w:sz w:val="24"/>
          <w:szCs w:val="24"/>
          <w:highlight w:val="none"/>
          <w:lang w:val="en-US" w:eastAsia="zh-CN" w:bidi="ar-SA"/>
        </w:rPr>
        <w:t>30.1本项目由评标委员会推荐中标候选人，采购代理机构应当自评审结束之日起2个工作日内将评审报告送交采购人。采购人应当自收到评审报告之日起5个工作日内在评审报告推荐的中标或者成交候选人中按顺序确定中标或者成交供应商。</w:t>
      </w:r>
    </w:p>
    <w:p w14:paraId="5B8D4EFA">
      <w:pPr>
        <w:adjustRightInd w:val="0"/>
        <w:snapToGrid w:val="0"/>
        <w:spacing w:line="360" w:lineRule="auto"/>
        <w:ind w:firstLine="480" w:firstLineChars="200"/>
        <w:rPr>
          <w:rFonts w:hint="default" w:asciiTheme="majorEastAsia" w:hAnsiTheme="majorEastAsia" w:eastAsiaTheme="majorEastAsia" w:cstheme="majorEastAsia"/>
          <w:b w:val="0"/>
          <w:color w:val="auto"/>
          <w:kern w:val="2"/>
          <w:sz w:val="24"/>
          <w:szCs w:val="24"/>
          <w:highlight w:val="none"/>
          <w:lang w:val="en-US" w:eastAsia="zh-CN" w:bidi="ar-SA"/>
        </w:rPr>
      </w:pPr>
      <w:r>
        <w:rPr>
          <w:rFonts w:hint="default" w:asciiTheme="majorEastAsia" w:hAnsiTheme="majorEastAsia" w:eastAsiaTheme="majorEastAsia" w:cstheme="majorEastAsia"/>
          <w:b w:val="0"/>
          <w:color w:val="auto"/>
          <w:kern w:val="2"/>
          <w:sz w:val="24"/>
          <w:szCs w:val="24"/>
          <w:highlight w:val="none"/>
          <w:lang w:val="en-US" w:eastAsia="zh-CN" w:bidi="ar-SA"/>
        </w:rPr>
        <w:t>30.2采购人或者采购代理机构应当自中标、成交供应商确定之日起2个工作日内，发出中标、成交通知书，并在省级以上人民政府财政部门指定的媒体上公告中标、成交结果。投标人如对评审结果有质疑的，按照《中华人民共和国政府采购法》、《中华人民共和国政府采购法实施条例》等有关程序办理。</w:t>
      </w:r>
    </w:p>
    <w:p w14:paraId="112475CE">
      <w:pPr>
        <w:pStyle w:val="5"/>
        <w:rPr>
          <w:color w:val="auto"/>
          <w:highlight w:val="none"/>
        </w:rPr>
      </w:pPr>
      <w:bookmarkStart w:id="113" w:name="_Toc4164"/>
      <w:r>
        <w:rPr>
          <w:rFonts w:hint="eastAsia"/>
          <w:color w:val="auto"/>
          <w:highlight w:val="none"/>
        </w:rPr>
        <w:t>31、签订合同</w:t>
      </w:r>
      <w:bookmarkEnd w:id="113"/>
    </w:p>
    <w:p w14:paraId="09452ABD">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31.1招标文件和中标投标人的投标文件均为签订采购合同的依据。</w:t>
      </w:r>
    </w:p>
    <w:p w14:paraId="72C1D8C8">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31.2中标投标人应当在中标通知书发出之日起30日内，与采购人签订采购合同。</w:t>
      </w:r>
    </w:p>
    <w:p w14:paraId="5B7EA12A">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31.3采购人不得与中标投标人订立背离招标文件确定的合同文本以及采购标的、规格型号、采购金额、采购数量、技术和服务要求等实质性内容的协议。</w:t>
      </w:r>
    </w:p>
    <w:p w14:paraId="7CB63BA5">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31.4自政府采购合同签订之日起2个工作日内，本项目政府采购合同在</w:t>
      </w:r>
      <w:r>
        <w:rPr>
          <w:rFonts w:hint="eastAsia" w:asciiTheme="majorEastAsia" w:hAnsiTheme="majorEastAsia" w:eastAsiaTheme="majorEastAsia" w:cstheme="majorEastAsia"/>
          <w:color w:val="auto"/>
          <w:sz w:val="24"/>
          <w:szCs w:val="24"/>
          <w:highlight w:val="none"/>
          <w:lang w:val="en-US" w:eastAsia="zh-CN"/>
        </w:rPr>
        <w:t>中国政府采购网（www.ccgp.gov.cn）</w:t>
      </w:r>
      <w:r>
        <w:rPr>
          <w:rFonts w:hint="eastAsia" w:asciiTheme="majorEastAsia" w:hAnsiTheme="majorEastAsia" w:eastAsiaTheme="majorEastAsia" w:cstheme="majorEastAsia"/>
          <w:color w:val="auto"/>
          <w:sz w:val="24"/>
          <w:szCs w:val="24"/>
          <w:highlight w:val="none"/>
        </w:rPr>
        <w:t>公告，但政府采购合同中涉及国家秘密、商业秘密的内容除外。</w:t>
      </w:r>
    </w:p>
    <w:p w14:paraId="7E28C06F">
      <w:pPr>
        <w:pStyle w:val="5"/>
        <w:rPr>
          <w:color w:val="auto"/>
          <w:highlight w:val="none"/>
        </w:rPr>
      </w:pPr>
      <w:bookmarkStart w:id="114" w:name="_Toc15336"/>
      <w:r>
        <w:rPr>
          <w:rFonts w:hint="eastAsia"/>
          <w:color w:val="auto"/>
          <w:highlight w:val="none"/>
        </w:rPr>
        <w:t>32、其他说明</w:t>
      </w:r>
      <w:bookmarkEnd w:id="114"/>
    </w:p>
    <w:p w14:paraId="4CDD6EDC">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保密要求：在合同期内或合同终止后，未征得有关方同意，不得泄露与本项目、本合同业务有关的保密资料。</w:t>
      </w:r>
    </w:p>
    <w:p w14:paraId="3832AA84">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本招标文件未尽事宜按现行招标投标的有关法律法规和规定执行。</w:t>
      </w:r>
    </w:p>
    <w:p w14:paraId="3BD6F1A5">
      <w:pP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br w:type="page"/>
      </w:r>
    </w:p>
    <w:p w14:paraId="38F66377">
      <w:pPr>
        <w:pStyle w:val="2"/>
        <w:rPr>
          <w:color w:val="auto"/>
          <w:highlight w:val="none"/>
        </w:rPr>
      </w:pPr>
      <w:bookmarkStart w:id="115" w:name="_Toc8515"/>
      <w:bookmarkStart w:id="116" w:name="_Toc23127"/>
      <w:bookmarkStart w:id="117" w:name="_Toc30905"/>
      <w:r>
        <w:rPr>
          <w:rFonts w:hint="eastAsia"/>
          <w:color w:val="auto"/>
          <w:highlight w:val="none"/>
        </w:rPr>
        <w:t>第三章 评分</w:t>
      </w:r>
      <w:bookmarkEnd w:id="115"/>
      <w:bookmarkEnd w:id="116"/>
      <w:r>
        <w:rPr>
          <w:rFonts w:hint="eastAsia"/>
          <w:color w:val="auto"/>
          <w:highlight w:val="none"/>
        </w:rPr>
        <w:t>办法及评分标准</w:t>
      </w:r>
      <w:bookmarkEnd w:id="117"/>
    </w:p>
    <w:p w14:paraId="458DEC29">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为公正、公平、科学地选择中标人，根据有关法律法规的规定，并结合本项目的实际情况，制定本办法。</w:t>
      </w:r>
    </w:p>
    <w:p w14:paraId="5F9A89CC">
      <w:pPr>
        <w:pStyle w:val="4"/>
        <w:rPr>
          <w:color w:val="auto"/>
          <w:highlight w:val="none"/>
        </w:rPr>
      </w:pPr>
      <w:bookmarkStart w:id="118" w:name="_Toc29264"/>
      <w:bookmarkStart w:id="119" w:name="_Toc32479"/>
      <w:r>
        <w:rPr>
          <w:rFonts w:hint="eastAsia"/>
          <w:color w:val="auto"/>
          <w:highlight w:val="none"/>
        </w:rPr>
        <w:t>一、评标组织</w:t>
      </w:r>
      <w:bookmarkEnd w:id="118"/>
      <w:bookmarkEnd w:id="119"/>
    </w:p>
    <w:p w14:paraId="41BC7217">
      <w:pPr>
        <w:spacing w:line="500" w:lineRule="exact"/>
        <w:ind w:firstLine="480" w:firstLineChars="200"/>
        <w:rPr>
          <w:rFonts w:asciiTheme="minorEastAsia" w:hAnsiTheme="minorEastAsia" w:eastAsiaTheme="minorEastAsia" w:cstheme="minorEastAsia"/>
          <w:color w:val="auto"/>
          <w:sz w:val="24"/>
          <w:szCs w:val="24"/>
          <w:highlight w:val="none"/>
        </w:rPr>
      </w:pPr>
      <w:bookmarkStart w:id="120" w:name="_Toc405213814"/>
      <w:bookmarkStart w:id="121" w:name="_Toc251566663"/>
      <w:bookmarkStart w:id="122" w:name="_Toc249760792"/>
      <w:r>
        <w:rPr>
          <w:rFonts w:hint="eastAsia" w:asciiTheme="minorEastAsia" w:hAnsiTheme="minorEastAsia" w:eastAsiaTheme="minorEastAsia" w:cstheme="minorEastAsia"/>
          <w:color w:val="auto"/>
          <w:sz w:val="24"/>
          <w:szCs w:val="24"/>
          <w:highlight w:val="none"/>
        </w:rPr>
        <w:t>评标工作</w:t>
      </w:r>
      <w:bookmarkEnd w:id="120"/>
      <w:bookmarkEnd w:id="121"/>
      <w:bookmarkEnd w:id="122"/>
      <w:r>
        <w:rPr>
          <w:rFonts w:hint="eastAsia" w:asciiTheme="minorEastAsia" w:hAnsiTheme="minorEastAsia" w:eastAsiaTheme="minorEastAsia" w:cstheme="minorEastAsia"/>
          <w:color w:val="auto"/>
          <w:sz w:val="24"/>
          <w:szCs w:val="24"/>
          <w:highlight w:val="none"/>
        </w:rPr>
        <w:t>由</w:t>
      </w:r>
      <w:bookmarkStart w:id="123" w:name="_Toc249760793"/>
      <w:bookmarkStart w:id="124" w:name="_Toc251566664"/>
      <w:bookmarkStart w:id="125" w:name="_Toc405213815"/>
      <w:r>
        <w:rPr>
          <w:rFonts w:hint="eastAsia" w:asciiTheme="minorEastAsia" w:hAnsiTheme="minorEastAsia" w:eastAsiaTheme="minorEastAsia" w:cstheme="minorEastAsia"/>
          <w:color w:val="auto"/>
          <w:sz w:val="24"/>
          <w:szCs w:val="24"/>
          <w:highlight w:val="none"/>
        </w:rPr>
        <w:t>采购代理机构负责组织，具体评标事务由依法组建的评标委员会负责。</w:t>
      </w:r>
    </w:p>
    <w:p w14:paraId="186FB03F">
      <w:pPr>
        <w:pStyle w:val="4"/>
        <w:rPr>
          <w:color w:val="auto"/>
          <w:highlight w:val="none"/>
        </w:rPr>
      </w:pPr>
      <w:bookmarkStart w:id="126" w:name="_Toc24221"/>
      <w:bookmarkStart w:id="127" w:name="_Toc3581"/>
      <w:r>
        <w:rPr>
          <w:rFonts w:hint="eastAsia"/>
          <w:color w:val="auto"/>
          <w:highlight w:val="none"/>
        </w:rPr>
        <w:t>二、评标纪律</w:t>
      </w:r>
      <w:bookmarkEnd w:id="126"/>
      <w:bookmarkEnd w:id="127"/>
    </w:p>
    <w:p w14:paraId="7CFE3511">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w:t>
      </w:r>
      <w:bookmarkEnd w:id="123"/>
      <w:bookmarkEnd w:id="124"/>
      <w:bookmarkEnd w:id="125"/>
      <w:r>
        <w:rPr>
          <w:rFonts w:hint="eastAsia" w:asciiTheme="minorEastAsia" w:hAnsiTheme="minorEastAsia" w:eastAsiaTheme="minorEastAsia" w:cstheme="minorEastAsia"/>
          <w:color w:val="auto"/>
          <w:sz w:val="24"/>
          <w:szCs w:val="24"/>
          <w:highlight w:val="none"/>
        </w:rPr>
        <w:t>是招标工作的重要环节，评标工作在评标委员会内独立进行。评标委员会将按照评标原则的要求，公正、平等地对待所有投标人。</w:t>
      </w:r>
    </w:p>
    <w:p w14:paraId="2CBF0078">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2．所有评标人员应忠于职守、廉洁自律、秉公办事、不徇私情。</w:t>
      </w:r>
    </w:p>
    <w:p w14:paraId="119ED98B">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3．评标人员不得接受或参加投标人或与投标有关的单位、组织或个人的有碍公务的宴请、娱乐活动等，不得以任何形式弄虚作假。</w:t>
      </w:r>
    </w:p>
    <w:p w14:paraId="6A72CD7F">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4．评标期间，评标人员不得随意出入评标地点、与外界通讯、会客等。</w:t>
      </w:r>
    </w:p>
    <w:p w14:paraId="02936F33">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5．在投标文件的审查、澄清、评价和比较以及授予合同的过程中，投标人对采购人、采购代理机构人员及评标委员会成员施加影响的任何行为，都将导致被取消投标资格。</w:t>
      </w:r>
    </w:p>
    <w:p w14:paraId="7CA264A6">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6．为保证评标的公正性，在评标过程中，评标委员会成员不得与投标人或与中标结果有利害关系的人进行私下接触。在评标工作结束后，凡与评标情况有接触的任何人，不得将评标情况扩散出评标委员会以外。</w:t>
      </w:r>
    </w:p>
    <w:p w14:paraId="2F8D6274">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7．评标过程中，评标专家对投标人的优劣情况，以及认为差异较大的情况，应以书面意见作出真实、专业、诚恳负责的表述，不得违背客观、公正的原则。</w:t>
      </w:r>
    </w:p>
    <w:p w14:paraId="3677535C">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8．评标结束后，各评标人员应将全部资料整理上交采购代理机构，严禁将评标过程中的任何资料带出评标现场向投标人或其他单位提供。</w:t>
      </w:r>
    </w:p>
    <w:p w14:paraId="21F9DA23">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9．在中标结果公布前应对评标委员会成员名单予以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14:paraId="2108A210">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10．评标委员会对各投标人的商业秘密予以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14:paraId="77A2A29B">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11．评标委员会成员应当客观、公正地履行职责，遵守职业道德，对所提出的评审意见承担个人责任。</w:t>
      </w:r>
    </w:p>
    <w:p w14:paraId="1C03F399">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12．在整个评标过程中，投标人企图影响招标结果的任何活动，可能导致其投标失败。如有违法行为，将依法追究其法律责任。</w:t>
      </w:r>
    </w:p>
    <w:p w14:paraId="1C1BF27C">
      <w:pPr>
        <w:pStyle w:val="4"/>
        <w:rPr>
          <w:color w:val="auto"/>
          <w:highlight w:val="none"/>
        </w:rPr>
      </w:pPr>
      <w:bookmarkStart w:id="128" w:name="_Toc6124"/>
      <w:bookmarkStart w:id="129" w:name="_Toc10772"/>
      <w:r>
        <w:rPr>
          <w:rFonts w:hint="eastAsia"/>
          <w:color w:val="auto"/>
          <w:highlight w:val="none"/>
        </w:rPr>
        <w:t>三、评分标准和细则</w:t>
      </w:r>
      <w:bookmarkEnd w:id="128"/>
      <w:bookmarkEnd w:id="129"/>
    </w:p>
    <w:p w14:paraId="6158C26B">
      <w:pPr>
        <w:spacing w:line="500" w:lineRule="exact"/>
        <w:ind w:firstLine="482" w:firstLineChars="20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（一）评分标准：</w:t>
      </w:r>
    </w:p>
    <w:p w14:paraId="1A4C849E">
      <w:pPr>
        <w:spacing w:line="5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1.评标委员会各成员独立根据招标文件对各投标文件技术内容充分审核、评议后评标委员会成员独立按评分细则，进行评审；</w:t>
      </w:r>
      <w:r>
        <w:rPr>
          <w:rFonts w:ascii="宋体" w:hAnsi="宋体" w:cs="宋体"/>
          <w:color w:val="auto"/>
          <w:sz w:val="24"/>
          <w:szCs w:val="24"/>
          <w:highlight w:val="none"/>
        </w:rPr>
        <w:t>各投标人技术</w:t>
      </w:r>
      <w:r>
        <w:rPr>
          <w:rFonts w:hint="eastAsia" w:ascii="宋体" w:hAnsi="宋体" w:cs="宋体"/>
          <w:color w:val="auto"/>
          <w:sz w:val="24"/>
          <w:szCs w:val="24"/>
          <w:highlight w:val="none"/>
          <w:lang w:eastAsia="zh-CN"/>
        </w:rPr>
        <w:t>商务</w:t>
      </w:r>
      <w:r>
        <w:rPr>
          <w:rFonts w:ascii="宋体" w:hAnsi="宋体" w:cs="宋体"/>
          <w:color w:val="auto"/>
          <w:sz w:val="24"/>
          <w:szCs w:val="24"/>
          <w:highlight w:val="none"/>
        </w:rPr>
        <w:t>的最终分值为评标委员会成员的有效评分的算术平均值</w:t>
      </w:r>
      <w:r>
        <w:rPr>
          <w:rFonts w:hint="eastAsia" w:asciiTheme="minorEastAsia" w:hAnsiTheme="minorEastAsia" w:eastAsiaTheme="minorEastAsia" w:cstheme="minorEastAsia"/>
          <w:color w:val="auto"/>
          <w:sz w:val="24"/>
          <w:szCs w:val="24"/>
          <w:highlight w:val="none"/>
        </w:rPr>
        <w:t>。</w:t>
      </w:r>
    </w:p>
    <w:p w14:paraId="0C9D1D30">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2.评标委员会成员独立按评分细则对各投标人的</w:t>
      </w:r>
      <w:r>
        <w:rPr>
          <w:rFonts w:hint="eastAsia" w:asciiTheme="minorEastAsia" w:hAnsiTheme="minorEastAsia" w:eastAsiaTheme="minorEastAsia" w:cstheme="minorEastAsia"/>
          <w:color w:val="auto"/>
          <w:sz w:val="24"/>
          <w:szCs w:val="24"/>
          <w:highlight w:val="none"/>
          <w:lang w:eastAsia="zh-CN"/>
        </w:rPr>
        <w:t>投标报价</w:t>
      </w:r>
      <w:r>
        <w:rPr>
          <w:rFonts w:hint="eastAsia" w:asciiTheme="minorEastAsia" w:hAnsiTheme="minorEastAsia" w:eastAsiaTheme="minorEastAsia" w:cstheme="minorEastAsia"/>
          <w:color w:val="auto"/>
          <w:sz w:val="24"/>
          <w:szCs w:val="24"/>
          <w:highlight w:val="none"/>
        </w:rPr>
        <w:t>进行统一计算评分，集体统一判定评分。</w:t>
      </w:r>
    </w:p>
    <w:p w14:paraId="644E6C80">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人的综合评分为技术、商务和投标报价三部分的总计，由指定专人进行计算和复核。中标候选资格按评标得分由高到低顺序排列，得分相同的，按投标报价由低到高顺序排列；得分且投标报价相同的，按技术得分由高到低顺序排列。</w:t>
      </w:r>
    </w:p>
    <w:p w14:paraId="082553DD">
      <w:pPr>
        <w:spacing w:line="400" w:lineRule="exact"/>
        <w:ind w:firstLine="482" w:firstLineChars="200"/>
        <w:rPr>
          <w:rFonts w:asciiTheme="minorEastAsia" w:hAnsiTheme="minorEastAsia" w:eastAsiaTheme="minorEastAsia" w:cstheme="minorEastAsia"/>
          <w:b/>
          <w:color w:val="auto"/>
          <w:sz w:val="24"/>
          <w:szCs w:val="24"/>
          <w:highlight w:val="none"/>
        </w:rPr>
      </w:pPr>
      <w:r>
        <w:rPr>
          <w:rFonts w:hint="eastAsia" w:ascii="宋体" w:hAnsi="宋体" w:cs="宋体"/>
          <w:b/>
          <w:bCs/>
          <w:color w:val="auto"/>
          <w:sz w:val="24"/>
          <w:szCs w:val="24"/>
          <w:highlight w:val="none"/>
        </w:rPr>
        <w:t>（二）评分细则：</w:t>
      </w:r>
    </w:p>
    <w:p w14:paraId="13122E33">
      <w:pPr>
        <w:rPr>
          <w:rFonts w:hint="eastAsia"/>
          <w:color w:val="auto"/>
          <w:highlight w:val="none"/>
        </w:rPr>
      </w:pPr>
    </w:p>
    <w:tbl>
      <w:tblPr>
        <w:tblStyle w:val="39"/>
        <w:tblW w:w="94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6134"/>
        <w:gridCol w:w="828"/>
      </w:tblGrid>
      <w:tr w14:paraId="1E673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14:paraId="0235F5B7">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14:paraId="67D55136">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6134" w:type="dxa"/>
            <w:tcMar>
              <w:top w:w="15" w:type="dxa"/>
              <w:left w:w="15" w:type="dxa"/>
              <w:right w:w="15" w:type="dxa"/>
            </w:tcMar>
            <w:vAlign w:val="center"/>
          </w:tcPr>
          <w:p w14:paraId="2A79FC7E">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828" w:type="dxa"/>
            <w:tcMar>
              <w:top w:w="15" w:type="dxa"/>
              <w:left w:w="15" w:type="dxa"/>
              <w:right w:w="15" w:type="dxa"/>
            </w:tcMar>
            <w:vAlign w:val="center"/>
          </w:tcPr>
          <w:p w14:paraId="0CC17131">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14:paraId="15AF6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14:paraId="291E3916">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14:paraId="48280EB7">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14:paraId="2A992773">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6134" w:type="dxa"/>
            <w:tcMar>
              <w:top w:w="15" w:type="dxa"/>
              <w:left w:w="15" w:type="dxa"/>
              <w:right w:w="15" w:type="dxa"/>
            </w:tcMar>
            <w:vAlign w:val="center"/>
          </w:tcPr>
          <w:p w14:paraId="30A9BC92">
            <w:pPr>
              <w:widowControl/>
              <w:spacing w:line="400" w:lineRule="exact"/>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828" w:type="dxa"/>
            <w:tcMar>
              <w:top w:w="15" w:type="dxa"/>
              <w:left w:w="15" w:type="dxa"/>
              <w:right w:w="15" w:type="dxa"/>
            </w:tcMar>
            <w:vAlign w:val="center"/>
          </w:tcPr>
          <w:p w14:paraId="23949F53">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14:paraId="1CC4DF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14:paraId="3C102FA5">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3A881A3B">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55EF2010">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17E06C6D">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611F2B4E">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14ADF0DD">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71CB24EB">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2BF276BB">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7772D0A6">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5C8E492B">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77149F13">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71CD0DF1">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2B40B9BD">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6F6FBDEF">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14:paraId="4C2A0AAE">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14:paraId="334640AA">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14:paraId="658C4691">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6134" w:type="dxa"/>
            <w:tcMar>
              <w:top w:w="15" w:type="dxa"/>
              <w:left w:w="15" w:type="dxa"/>
              <w:right w:w="15" w:type="dxa"/>
            </w:tcMar>
            <w:vAlign w:val="center"/>
          </w:tcPr>
          <w:p w14:paraId="550B6014">
            <w:pPr>
              <w:widowControl/>
              <w:spacing w:line="400" w:lineRule="exact"/>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eastAsia="zh-CN"/>
              </w:rPr>
              <w:t>对照“项目需求”</w:t>
            </w:r>
            <w:r>
              <w:rPr>
                <w:rFonts w:hint="eastAsia" w:asciiTheme="minorEastAsia" w:hAnsiTheme="minorEastAsia" w:eastAsiaTheme="minorEastAsia" w:cstheme="minorEastAsia"/>
                <w:color w:val="auto"/>
                <w:kern w:val="0"/>
                <w:sz w:val="24"/>
                <w:szCs w:val="24"/>
                <w:highlight w:val="none"/>
                <w:lang w:val="en-US" w:eastAsia="zh-CN"/>
              </w:rPr>
              <w:t>技术参数（每条技术参数前</w:t>
            </w:r>
            <w:r>
              <w:rPr>
                <w:rFonts w:hint="eastAsia" w:asciiTheme="minorEastAsia" w:hAnsiTheme="minorEastAsia" w:eastAsiaTheme="minorEastAsia" w:cstheme="minorEastAsia"/>
                <w:color w:val="auto"/>
                <w:kern w:val="0"/>
                <w:sz w:val="24"/>
                <w:szCs w:val="24"/>
                <w:highlight w:val="none"/>
              </w:rPr>
              <w:t>标注“★”的为主要技术参数，未标注的为一般参数</w:t>
            </w:r>
            <w:r>
              <w:rPr>
                <w:rFonts w:hint="eastAsia" w:asciiTheme="minorEastAsia" w:hAnsiTheme="minorEastAsia" w:eastAsiaTheme="minorEastAsia" w:cstheme="minorEastAsia"/>
                <w:color w:val="auto"/>
                <w:kern w:val="0"/>
                <w:sz w:val="24"/>
                <w:szCs w:val="24"/>
                <w:highlight w:val="none"/>
                <w:lang w:val="en-US" w:eastAsia="zh-CN"/>
              </w:rPr>
              <w:t>），根据投标人提供的产品配置及技术性能指标的响应情况进行评审。</w:t>
            </w:r>
          </w:p>
          <w:p w14:paraId="3D3CAF06">
            <w:pPr>
              <w:widowControl/>
              <w:spacing w:line="400" w:lineRule="exact"/>
              <w:ind w:firstLine="480" w:firstLineChars="200"/>
              <w:textAlignment w:val="center"/>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1.投标人所投产品技术参数完全响应招标文件要求的，得30.5分；</w:t>
            </w:r>
          </w:p>
          <w:p w14:paraId="16FDFA56">
            <w:pPr>
              <w:pStyle w:val="30"/>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2.主要技术参数存在负偏离的</w:t>
            </w:r>
            <w:r>
              <w:rPr>
                <w:rFonts w:hint="eastAsia" w:asciiTheme="minorEastAsia" w:hAnsiTheme="minorEastAsia" w:cstheme="minorEastAsia"/>
                <w:color w:val="auto"/>
                <w:kern w:val="2"/>
                <w:sz w:val="24"/>
                <w:szCs w:val="24"/>
                <w:highlight w:val="none"/>
                <w:lang w:val="en-US" w:eastAsia="zh-CN" w:bidi="ar-SA"/>
              </w:rPr>
              <w:t>（此项共12条）</w:t>
            </w:r>
            <w:r>
              <w:rPr>
                <w:rFonts w:hint="eastAsia" w:asciiTheme="minorEastAsia" w:hAnsiTheme="minorEastAsia" w:eastAsiaTheme="minorEastAsia" w:cstheme="minorEastAsia"/>
                <w:color w:val="auto"/>
                <w:kern w:val="2"/>
                <w:sz w:val="24"/>
                <w:szCs w:val="24"/>
                <w:highlight w:val="none"/>
                <w:lang w:val="en-US" w:eastAsia="zh-CN" w:bidi="ar-SA"/>
              </w:rPr>
              <w:t>，每一条扣1分，最多扣12分；</w:t>
            </w:r>
          </w:p>
          <w:p w14:paraId="1541DE20">
            <w:pPr>
              <w:pStyle w:val="30"/>
              <w:ind w:firstLine="480" w:firstLineChars="200"/>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3.</w:t>
            </w:r>
            <w:r>
              <w:rPr>
                <w:rFonts w:hint="eastAsia" w:asciiTheme="minorEastAsia" w:hAnsiTheme="minorEastAsia" w:eastAsiaTheme="minorEastAsia" w:cstheme="minorEastAsia"/>
                <w:color w:val="auto"/>
                <w:kern w:val="0"/>
                <w:sz w:val="24"/>
                <w:szCs w:val="24"/>
                <w:highlight w:val="none"/>
                <w:lang w:val="en-US" w:eastAsia="zh-CN"/>
              </w:rPr>
              <w:t>一般技术参数存在负偏离的</w:t>
            </w:r>
            <w:r>
              <w:rPr>
                <w:rFonts w:hint="eastAsia" w:asciiTheme="minorEastAsia" w:hAnsiTheme="minorEastAsia" w:cstheme="minorEastAsia"/>
                <w:color w:val="auto"/>
                <w:kern w:val="2"/>
                <w:sz w:val="24"/>
                <w:szCs w:val="24"/>
                <w:highlight w:val="none"/>
                <w:lang w:val="en-US" w:eastAsia="zh-CN" w:bidi="ar-SA"/>
              </w:rPr>
              <w:t>（此项共37条）</w:t>
            </w:r>
            <w:r>
              <w:rPr>
                <w:rFonts w:hint="eastAsia" w:asciiTheme="minorEastAsia" w:hAnsiTheme="minorEastAsia" w:eastAsiaTheme="minorEastAsia" w:cstheme="minorEastAsia"/>
                <w:color w:val="auto"/>
                <w:kern w:val="0"/>
                <w:sz w:val="24"/>
                <w:szCs w:val="24"/>
                <w:highlight w:val="none"/>
                <w:lang w:val="en-US" w:eastAsia="zh-CN"/>
              </w:rPr>
              <w:t>，每一条扣0.5分，</w:t>
            </w:r>
            <w:r>
              <w:rPr>
                <w:rFonts w:hint="eastAsia" w:asciiTheme="minorEastAsia" w:hAnsiTheme="minorEastAsia" w:eastAsiaTheme="minorEastAsia" w:cstheme="minorEastAsia"/>
                <w:color w:val="auto"/>
                <w:kern w:val="2"/>
                <w:sz w:val="24"/>
                <w:szCs w:val="24"/>
                <w:highlight w:val="none"/>
                <w:lang w:val="en-US" w:eastAsia="zh-CN" w:bidi="ar-SA"/>
              </w:rPr>
              <w:t>最多扣18.5分；</w:t>
            </w:r>
          </w:p>
          <w:p w14:paraId="48BA21D3">
            <w:pPr>
              <w:widowControl/>
              <w:spacing w:line="400" w:lineRule="exact"/>
              <w:ind w:firstLine="482" w:firstLineChars="200"/>
              <w:textAlignment w:val="center"/>
              <w:rPr>
                <w:rFonts w:eastAsiaTheme="minorEastAsia"/>
                <w:color w:val="auto"/>
                <w:highlight w:val="none"/>
              </w:rPr>
            </w:pPr>
            <w:r>
              <w:rPr>
                <w:rFonts w:hint="default" w:ascii="Times New Roman" w:hAnsi="Times New Roman" w:eastAsia="宋体" w:cs="Times New Roman"/>
                <w:b/>
                <w:bCs/>
                <w:color w:val="auto"/>
                <w:sz w:val="24"/>
                <w:szCs w:val="24"/>
                <w:highlight w:val="none"/>
                <w:lang w:eastAsia="zh-CN"/>
              </w:rPr>
              <w:t>注：负偏离评审依据：</w:t>
            </w:r>
            <w:r>
              <w:rPr>
                <w:rFonts w:hint="eastAsia" w:ascii="Times New Roman" w:eastAsia="宋体" w:cs="Times New Roman"/>
                <w:b/>
                <w:bCs/>
                <w:color w:val="auto"/>
                <w:sz w:val="24"/>
                <w:szCs w:val="24"/>
                <w:highlight w:val="none"/>
                <w:lang w:val="en-US" w:eastAsia="zh-CN"/>
              </w:rPr>
              <w:t>①</w:t>
            </w:r>
            <w:r>
              <w:rPr>
                <w:rFonts w:hint="default" w:ascii="Times New Roman" w:hAnsi="Times New Roman" w:eastAsia="宋体" w:cs="Times New Roman"/>
                <w:b/>
                <w:bCs/>
                <w:color w:val="auto"/>
                <w:sz w:val="24"/>
                <w:szCs w:val="24"/>
                <w:highlight w:val="none"/>
                <w:lang w:val="en-US" w:eastAsia="zh-CN"/>
              </w:rPr>
              <w:t>所</w:t>
            </w:r>
            <w:r>
              <w:rPr>
                <w:rFonts w:hint="eastAsia" w:cs="Times New Roman"/>
                <w:b/>
                <w:bCs/>
                <w:color w:val="auto"/>
                <w:sz w:val="24"/>
                <w:szCs w:val="24"/>
                <w:highlight w:val="none"/>
                <w:lang w:val="en-US" w:eastAsia="zh-CN"/>
              </w:rPr>
              <w:t>提供</w:t>
            </w:r>
            <w:r>
              <w:rPr>
                <w:rFonts w:hint="default" w:ascii="Times New Roman" w:hAnsi="Times New Roman" w:eastAsia="宋体" w:cs="Times New Roman"/>
                <w:b/>
                <w:bCs/>
                <w:color w:val="auto"/>
                <w:sz w:val="24"/>
                <w:szCs w:val="24"/>
                <w:highlight w:val="none"/>
                <w:lang w:val="en-US" w:eastAsia="zh-CN"/>
              </w:rPr>
              <w:t>产品技术参数低于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文件要求的，视为负偏离；</w:t>
            </w:r>
            <w:r>
              <w:rPr>
                <w:rFonts w:hint="eastAsia" w:ascii="Times New Roman" w:eastAsia="宋体" w:cs="Times New Roman"/>
                <w:b/>
                <w:bCs/>
                <w:color w:val="auto"/>
                <w:sz w:val="24"/>
                <w:szCs w:val="24"/>
                <w:highlight w:val="none"/>
                <w:lang w:val="en-US" w:eastAsia="zh-CN"/>
              </w:rPr>
              <w:t>②</w:t>
            </w:r>
            <w:r>
              <w:rPr>
                <w:rFonts w:hint="default" w:ascii="Times New Roman" w:hAnsi="Times New Roman" w:eastAsia="宋体" w:cs="Times New Roman"/>
                <w:b/>
                <w:bCs/>
                <w:color w:val="auto"/>
                <w:sz w:val="24"/>
                <w:szCs w:val="24"/>
                <w:highlight w:val="none"/>
                <w:lang w:val="en-US" w:eastAsia="zh-CN"/>
              </w:rPr>
              <w:t>技术参数响应条款</w:t>
            </w:r>
            <w:r>
              <w:rPr>
                <w:rFonts w:hint="eastAsia" w:ascii="Times New Roman" w:eastAsia="宋体" w:cs="Times New Roman"/>
                <w:b/>
                <w:bCs/>
                <w:color w:val="auto"/>
                <w:sz w:val="24"/>
                <w:szCs w:val="24"/>
                <w:highlight w:val="none"/>
                <w:lang w:val="en-US" w:eastAsia="zh-CN"/>
              </w:rPr>
              <w:t>（以投标文件内技术偏离表为准）</w:t>
            </w:r>
            <w:r>
              <w:rPr>
                <w:rFonts w:hint="default" w:ascii="Times New Roman" w:hAnsi="Times New Roman" w:eastAsia="宋体" w:cs="Times New Roman"/>
                <w:b/>
                <w:bCs/>
                <w:color w:val="auto"/>
                <w:sz w:val="24"/>
                <w:szCs w:val="24"/>
                <w:highlight w:val="none"/>
                <w:lang w:val="en-US" w:eastAsia="zh-CN"/>
              </w:rPr>
              <w:t>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文件对比有缺项、漏项的，视为负偏离；</w:t>
            </w:r>
            <w:r>
              <w:rPr>
                <w:rFonts w:hint="eastAsia" w:ascii="Times New Roman" w:eastAsia="宋体" w:cs="Times New Roman"/>
                <w:b/>
                <w:bCs/>
                <w:color w:val="auto"/>
                <w:sz w:val="24"/>
                <w:szCs w:val="24"/>
                <w:highlight w:val="none"/>
                <w:lang w:val="en-US" w:eastAsia="zh-CN"/>
              </w:rPr>
              <w:t>③</w:t>
            </w:r>
            <w:r>
              <w:rPr>
                <w:rFonts w:hint="eastAsia" w:cs="Times New Roman"/>
                <w:b/>
                <w:bCs/>
                <w:color w:val="auto"/>
                <w:sz w:val="24"/>
                <w:szCs w:val="24"/>
                <w:highlight w:val="none"/>
                <w:lang w:val="en-US" w:eastAsia="zh-CN"/>
              </w:rPr>
              <w:t>投标文件内</w:t>
            </w:r>
            <w:r>
              <w:rPr>
                <w:rFonts w:hint="eastAsia" w:ascii="Times New Roman" w:eastAsia="宋体" w:cs="Times New Roman"/>
                <w:b/>
                <w:bCs/>
                <w:color w:val="auto"/>
                <w:sz w:val="24"/>
                <w:szCs w:val="24"/>
                <w:highlight w:val="none"/>
                <w:lang w:val="en-US" w:eastAsia="zh-CN"/>
              </w:rPr>
              <w:t>技术偏离表完全复制招标文件技术参数的（不涉及具体参数指标的描述性技术要求除外），视为负偏离；④</w:t>
            </w:r>
            <w:r>
              <w:rPr>
                <w:rFonts w:hint="eastAsia" w:ascii="Times New Roman" w:hAnsi="Times New Roman" w:eastAsia="宋体" w:cs="Times New Roman"/>
                <w:b/>
                <w:bCs/>
                <w:color w:val="auto"/>
                <w:sz w:val="24"/>
                <w:szCs w:val="24"/>
                <w:highlight w:val="none"/>
                <w:lang w:val="en-US" w:eastAsia="zh-CN"/>
              </w:rPr>
              <w:t>投标人</w:t>
            </w:r>
            <w:r>
              <w:rPr>
                <w:rFonts w:hint="default" w:ascii="Times New Roman" w:hAnsi="Times New Roman" w:eastAsia="宋体" w:cs="Times New Roman"/>
                <w:b/>
                <w:bCs/>
                <w:color w:val="auto"/>
                <w:sz w:val="24"/>
                <w:szCs w:val="24"/>
                <w:highlight w:val="none"/>
                <w:lang w:val="en-US" w:eastAsia="zh-CN"/>
              </w:rPr>
              <w:t>提供的</w:t>
            </w:r>
            <w:r>
              <w:rPr>
                <w:rFonts w:hint="eastAsia" w:cs="Times New Roman"/>
                <w:b/>
                <w:bCs/>
                <w:color w:val="auto"/>
                <w:sz w:val="24"/>
                <w:szCs w:val="24"/>
                <w:highlight w:val="none"/>
                <w:lang w:val="en-US" w:eastAsia="zh-CN"/>
              </w:rPr>
              <w:t>投标</w:t>
            </w:r>
            <w:r>
              <w:rPr>
                <w:rFonts w:hint="default" w:ascii="Times New Roman" w:hAnsi="Times New Roman" w:eastAsia="宋体" w:cs="Times New Roman"/>
                <w:b/>
                <w:bCs/>
                <w:color w:val="auto"/>
                <w:sz w:val="24"/>
                <w:szCs w:val="24"/>
                <w:highlight w:val="none"/>
                <w:lang w:val="en-US" w:eastAsia="zh-CN"/>
              </w:rPr>
              <w:t>文件中产品技术偏离表、产品技术规格书和产品检测报告内描述的同一产品技术参数响应值不一致的，视为负偏离</w:t>
            </w:r>
            <w:r>
              <w:rPr>
                <w:rFonts w:hint="eastAsia" w:ascii="Times New Roman" w:eastAsia="宋体" w:cs="Times New Roman"/>
                <w:b/>
                <w:bCs/>
                <w:color w:val="auto"/>
                <w:sz w:val="24"/>
                <w:szCs w:val="24"/>
                <w:highlight w:val="none"/>
                <w:lang w:val="en-US" w:eastAsia="zh-CN"/>
              </w:rPr>
              <w:t>。</w:t>
            </w:r>
          </w:p>
        </w:tc>
        <w:tc>
          <w:tcPr>
            <w:tcW w:w="828" w:type="dxa"/>
            <w:tcMar>
              <w:top w:w="15" w:type="dxa"/>
              <w:left w:w="15" w:type="dxa"/>
              <w:right w:w="15" w:type="dxa"/>
            </w:tcMar>
            <w:vAlign w:val="center"/>
          </w:tcPr>
          <w:p w14:paraId="301F7D9A">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30.5</w:t>
            </w:r>
          </w:p>
        </w:tc>
      </w:tr>
      <w:tr w14:paraId="57AC7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7" w:hRule="atLeast"/>
          <w:jc w:val="center"/>
        </w:trPr>
        <w:tc>
          <w:tcPr>
            <w:tcW w:w="1097" w:type="dxa"/>
            <w:vMerge w:val="continue"/>
            <w:tcMar>
              <w:top w:w="15" w:type="dxa"/>
              <w:left w:w="15" w:type="dxa"/>
              <w:right w:w="15" w:type="dxa"/>
            </w:tcMar>
            <w:vAlign w:val="center"/>
          </w:tcPr>
          <w:p w14:paraId="2A7B3A88">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14:paraId="17B4CFDE">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default" w:ascii="Times New Roman" w:hAnsi="Times New Roman" w:eastAsia="宋体" w:cs="Times New Roman"/>
                <w:color w:val="auto"/>
                <w:sz w:val="24"/>
                <w:szCs w:val="24"/>
                <w:highlight w:val="none"/>
              </w:rPr>
              <w:t>业绩证明</w:t>
            </w:r>
          </w:p>
        </w:tc>
        <w:tc>
          <w:tcPr>
            <w:tcW w:w="6134" w:type="dxa"/>
            <w:tcMar>
              <w:top w:w="15" w:type="dxa"/>
              <w:left w:w="15" w:type="dxa"/>
              <w:right w:w="15" w:type="dxa"/>
            </w:tcMar>
            <w:vAlign w:val="center"/>
          </w:tcPr>
          <w:p w14:paraId="35F1C2D4">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供应商</w:t>
            </w:r>
            <w:r>
              <w:rPr>
                <w:rFonts w:hint="eastAsia" w:cs="Times New Roman"/>
                <w:color w:val="auto"/>
                <w:sz w:val="24"/>
                <w:szCs w:val="24"/>
                <w:highlight w:val="none"/>
                <w:lang w:val="en-US" w:eastAsia="zh-CN"/>
              </w:rPr>
              <w:t>或品牌商</w:t>
            </w:r>
            <w:r>
              <w:rPr>
                <w:rFonts w:hint="eastAsia" w:ascii="Times New Roman" w:hAnsi="Times New Roman" w:eastAsia="宋体" w:cs="Times New Roman"/>
                <w:color w:val="auto"/>
                <w:sz w:val="24"/>
                <w:szCs w:val="24"/>
                <w:highlight w:val="none"/>
                <w:lang w:eastAsia="zh-CN"/>
              </w:rPr>
              <w:t>近三年内（</w:t>
            </w:r>
            <w:r>
              <w:rPr>
                <w:rFonts w:hint="eastAsia" w:cs="Times New Roman"/>
                <w:color w:val="auto"/>
                <w:sz w:val="24"/>
                <w:szCs w:val="24"/>
                <w:highlight w:val="none"/>
                <w:lang w:val="en-US" w:eastAsia="zh-CN"/>
              </w:rPr>
              <w:t>2023</w:t>
            </w:r>
            <w:r>
              <w:rPr>
                <w:rFonts w:hint="eastAsia" w:cs="Times New Roman"/>
                <w:color w:val="auto"/>
                <w:sz w:val="24"/>
                <w:szCs w:val="24"/>
                <w:highlight w:val="none"/>
                <w:lang w:eastAsia="zh-CN"/>
              </w:rPr>
              <w:t>年</w:t>
            </w:r>
            <w:r>
              <w:rPr>
                <w:rFonts w:hint="eastAsia" w:cs="Times New Roman"/>
                <w:color w:val="auto"/>
                <w:sz w:val="24"/>
                <w:szCs w:val="24"/>
                <w:highlight w:val="none"/>
                <w:lang w:val="en-US" w:eastAsia="zh-CN"/>
              </w:rPr>
              <w:t>1</w:t>
            </w:r>
            <w:r>
              <w:rPr>
                <w:rFonts w:hint="eastAsia" w:cs="Times New Roman"/>
                <w:color w:val="auto"/>
                <w:sz w:val="24"/>
                <w:szCs w:val="24"/>
                <w:highlight w:val="none"/>
                <w:lang w:eastAsia="zh-CN"/>
              </w:rPr>
              <w:t>月</w:t>
            </w:r>
            <w:r>
              <w:rPr>
                <w:rFonts w:hint="eastAsia"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eastAsia="zh-CN"/>
              </w:rPr>
              <w:t>日起至今，以合同签订日期为准）完成类似项目的业绩，每个项目业绩得</w:t>
            </w:r>
            <w:r>
              <w:rPr>
                <w:rFonts w:hint="eastAsia" w:cs="Times New Roman"/>
                <w:color w:val="auto"/>
                <w:sz w:val="24"/>
                <w:szCs w:val="24"/>
                <w:highlight w:val="none"/>
                <w:lang w:val="en-US" w:eastAsia="zh-CN"/>
              </w:rPr>
              <w:t>1.75</w:t>
            </w:r>
            <w:r>
              <w:rPr>
                <w:rFonts w:hint="eastAsia" w:ascii="Times New Roman" w:hAnsi="Times New Roman" w:eastAsia="宋体" w:cs="Times New Roman"/>
                <w:color w:val="auto"/>
                <w:sz w:val="24"/>
                <w:szCs w:val="24"/>
                <w:highlight w:val="none"/>
                <w:lang w:eastAsia="zh-CN"/>
              </w:rPr>
              <w:t>分，最多得</w:t>
            </w:r>
            <w:r>
              <w:rPr>
                <w:rFonts w:hint="eastAsia" w:cs="Times New Roman"/>
                <w:color w:val="auto"/>
                <w:sz w:val="24"/>
                <w:szCs w:val="24"/>
                <w:highlight w:val="none"/>
                <w:lang w:val="en-US" w:eastAsia="zh-CN"/>
              </w:rPr>
              <w:t>3.5</w:t>
            </w:r>
            <w:r>
              <w:rPr>
                <w:rFonts w:hint="eastAsia" w:ascii="Times New Roman" w:hAnsi="Times New Roman" w:eastAsia="宋体" w:cs="Times New Roman"/>
                <w:color w:val="auto"/>
                <w:sz w:val="24"/>
                <w:szCs w:val="24"/>
                <w:highlight w:val="none"/>
                <w:lang w:eastAsia="zh-CN"/>
              </w:rPr>
              <w:t>分。</w:t>
            </w:r>
          </w:p>
          <w:p w14:paraId="0C27BF5F">
            <w:pPr>
              <w:widowControl/>
              <w:spacing w:line="400" w:lineRule="exact"/>
              <w:ind w:firstLine="482" w:firstLineChars="200"/>
              <w:textAlignment w:val="center"/>
              <w:rPr>
                <w:rFonts w:hint="default"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注：</w:t>
            </w:r>
            <w:r>
              <w:rPr>
                <w:rFonts w:hint="eastAsia" w:ascii="Times New Roman" w:eastAsia="宋体" w:cs="Times New Roman"/>
                <w:b/>
                <w:bCs/>
                <w:color w:val="auto"/>
                <w:sz w:val="24"/>
                <w:szCs w:val="24"/>
                <w:highlight w:val="none"/>
                <w:lang w:val="en-US" w:eastAsia="zh-CN"/>
              </w:rPr>
              <w:t>①</w:t>
            </w:r>
            <w:r>
              <w:rPr>
                <w:rFonts w:hint="eastAsia" w:ascii="Times New Roman" w:hAnsi="Times New Roman" w:cs="Times New Roman"/>
                <w:b/>
                <w:bCs/>
                <w:color w:val="auto"/>
                <w:sz w:val="24"/>
                <w:szCs w:val="24"/>
                <w:highlight w:val="none"/>
              </w:rPr>
              <w:t>案例以提供的合同为准，</w:t>
            </w:r>
            <w:r>
              <w:rPr>
                <w:rFonts w:hint="eastAsia" w:cs="Times New Roman"/>
                <w:b/>
                <w:bCs/>
                <w:color w:val="auto"/>
                <w:sz w:val="24"/>
                <w:szCs w:val="24"/>
                <w:highlight w:val="none"/>
                <w:lang w:val="en-US" w:eastAsia="zh-CN"/>
              </w:rPr>
              <w:t>与</w:t>
            </w:r>
            <w:r>
              <w:rPr>
                <w:rFonts w:hint="eastAsia" w:ascii="Times New Roman" w:hAnsi="Times New Roman" w:cs="Times New Roman"/>
                <w:b/>
                <w:bCs/>
                <w:color w:val="auto"/>
                <w:sz w:val="24"/>
                <w:szCs w:val="24"/>
                <w:highlight w:val="none"/>
              </w:rPr>
              <w:t>最终用户签订的合同首页、合同主要内容页、签字盖章页复印件并加盖投标人公章作为证明，合同未按要求提供证明文件的不予认可</w:t>
            </w:r>
            <w:r>
              <w:rPr>
                <w:rFonts w:hint="eastAsia" w:eastAsia="宋体" w:cs="Times New Roman"/>
                <w:b/>
                <w:bCs/>
                <w:color w:val="auto"/>
                <w:sz w:val="24"/>
                <w:szCs w:val="24"/>
                <w:highlight w:val="none"/>
                <w:lang w:eastAsia="zh-CN"/>
              </w:rPr>
              <w:t>，</w:t>
            </w:r>
            <w:r>
              <w:rPr>
                <w:rFonts w:hint="eastAsia" w:ascii="Times New Roman" w:hAnsi="Times New Roman" w:eastAsia="宋体" w:cs="Times New Roman"/>
                <w:b/>
                <w:bCs/>
                <w:color w:val="auto"/>
                <w:sz w:val="24"/>
                <w:szCs w:val="24"/>
                <w:highlight w:val="none"/>
                <w:lang w:val="en-US" w:eastAsia="zh-CN"/>
              </w:rPr>
              <w:t>不得分；</w:t>
            </w:r>
            <w:r>
              <w:rPr>
                <w:rFonts w:hint="eastAsia" w:ascii="Times New Roman" w:eastAsia="宋体" w:cs="Times New Roman"/>
                <w:b/>
                <w:bCs/>
                <w:color w:val="auto"/>
                <w:sz w:val="24"/>
                <w:szCs w:val="24"/>
                <w:highlight w:val="none"/>
                <w:lang w:val="en-US" w:eastAsia="zh-CN"/>
              </w:rPr>
              <w:t>②</w:t>
            </w:r>
            <w:r>
              <w:rPr>
                <w:rFonts w:hint="eastAsia" w:ascii="Times New Roman" w:hAnsi="Times New Roman" w:eastAsia="宋体" w:cs="Times New Roman"/>
                <w:b/>
                <w:bCs/>
                <w:color w:val="auto"/>
                <w:sz w:val="24"/>
                <w:szCs w:val="24"/>
                <w:highlight w:val="none"/>
                <w:lang w:val="en-US" w:eastAsia="zh-CN"/>
              </w:rPr>
              <w:t>同一单位近三年的类似合同不重复计算业绩，仅算一个业绩。</w:t>
            </w:r>
          </w:p>
        </w:tc>
        <w:tc>
          <w:tcPr>
            <w:tcW w:w="828" w:type="dxa"/>
            <w:tcMar>
              <w:top w:w="15" w:type="dxa"/>
              <w:left w:w="15" w:type="dxa"/>
              <w:right w:w="15" w:type="dxa"/>
            </w:tcMar>
            <w:vAlign w:val="center"/>
          </w:tcPr>
          <w:p w14:paraId="2180F65A">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cstheme="minorEastAsia"/>
                <w:color w:val="auto"/>
                <w:kern w:val="0"/>
                <w:sz w:val="24"/>
                <w:szCs w:val="24"/>
                <w:highlight w:val="none"/>
                <w:lang w:val="en-US" w:eastAsia="zh-CN"/>
              </w:rPr>
              <w:t>3.5</w:t>
            </w:r>
          </w:p>
        </w:tc>
      </w:tr>
      <w:tr w14:paraId="32EDD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14:paraId="6C9A970F">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14:paraId="039F40E5">
            <w:pPr>
              <w:rPr>
                <w:rFonts w:hint="default" w:ascii="Times New Roman" w:hAnsi="Times New Roman" w:eastAsia="宋体" w:cs="Times New Roman"/>
                <w:color w:val="auto"/>
                <w:sz w:val="24"/>
                <w:szCs w:val="24"/>
                <w:highlight w:val="none"/>
              </w:rPr>
            </w:pPr>
            <w:r>
              <w:rPr>
                <w:rFonts w:hint="eastAsia" w:hAnsi="宋体" w:cs="宋体"/>
                <w:color w:val="auto"/>
                <w:sz w:val="24"/>
                <w:highlight w:val="none"/>
              </w:rPr>
              <w:t>服务力量和服务保障，技术支持</w:t>
            </w:r>
          </w:p>
        </w:tc>
        <w:tc>
          <w:tcPr>
            <w:tcW w:w="6134" w:type="dxa"/>
            <w:tcMar>
              <w:top w:w="15" w:type="dxa"/>
              <w:left w:w="15" w:type="dxa"/>
              <w:right w:w="15" w:type="dxa"/>
            </w:tcMar>
            <w:vAlign w:val="top"/>
          </w:tcPr>
          <w:p w14:paraId="0B62E17B">
            <w:pPr>
              <w:widowControl/>
              <w:spacing w:line="400" w:lineRule="exact"/>
              <w:rPr>
                <w:rFonts w:hint="eastAsia" w:eastAsiaTheme="majorEastAsia"/>
                <w:color w:val="auto"/>
                <w:sz w:val="24"/>
                <w:szCs w:val="24"/>
                <w:highlight w:val="none"/>
              </w:rPr>
            </w:pPr>
            <w:r>
              <w:rPr>
                <w:rFonts w:hint="eastAsia"/>
                <w:color w:val="auto"/>
                <w:sz w:val="24"/>
                <w:szCs w:val="24"/>
                <w:highlight w:val="none"/>
              </w:rPr>
              <w:t>根据供应商提供的项目</w:t>
            </w:r>
            <w:r>
              <w:rPr>
                <w:rFonts w:hint="eastAsia" w:hAnsi="宋体" w:cs="宋体"/>
                <w:color w:val="auto"/>
                <w:sz w:val="24"/>
                <w:highlight w:val="none"/>
              </w:rPr>
              <w:t>服务力量和服务保障，技术支持</w:t>
            </w:r>
            <w:r>
              <w:rPr>
                <w:rFonts w:hint="eastAsia"/>
                <w:color w:val="auto"/>
                <w:sz w:val="24"/>
                <w:szCs w:val="24"/>
                <w:highlight w:val="none"/>
              </w:rPr>
              <w:t>进行</w:t>
            </w:r>
            <w:r>
              <w:rPr>
                <w:rFonts w:hint="eastAsia" w:eastAsiaTheme="majorEastAsia"/>
                <w:color w:val="auto"/>
                <w:sz w:val="24"/>
                <w:szCs w:val="24"/>
                <w:highlight w:val="none"/>
              </w:rPr>
              <w:t>评分：</w:t>
            </w:r>
          </w:p>
          <w:p w14:paraId="54729A99">
            <w:pPr>
              <w:widowControl/>
              <w:spacing w:line="400" w:lineRule="exact"/>
              <w:jc w:val="left"/>
              <w:rPr>
                <w:rFonts w:hint="eastAsia" w:hAnsi="Times New Roman" w:cs="Times New Roman" w:eastAsiaTheme="majorEastAsia"/>
                <w:color w:val="auto"/>
                <w:sz w:val="24"/>
                <w:szCs w:val="24"/>
                <w:highlight w:val="none"/>
              </w:rPr>
            </w:pPr>
            <w:r>
              <w:rPr>
                <w:rFonts w:hint="eastAsia" w:eastAsiaTheme="majorEastAsia"/>
                <w:color w:val="auto"/>
                <w:sz w:val="24"/>
                <w:szCs w:val="24"/>
                <w:highlight w:val="none"/>
              </w:rPr>
              <w:t>方案包括但不限于：</w:t>
            </w:r>
          </w:p>
          <w:p w14:paraId="3133DA47">
            <w:pPr>
              <w:widowControl/>
              <w:spacing w:line="400" w:lineRule="exact"/>
              <w:jc w:val="left"/>
              <w:rPr>
                <w:rFonts w:hint="eastAsia" w:hAnsi="Times New Roman" w:cs="Times New Roman" w:eastAsiaTheme="majorEastAsia"/>
                <w:color w:val="auto"/>
                <w:sz w:val="24"/>
                <w:szCs w:val="24"/>
                <w:highlight w:val="none"/>
                <w:lang w:val="en-US" w:eastAsia="zh-CN"/>
              </w:rPr>
            </w:pPr>
            <w:r>
              <w:rPr>
                <w:rFonts w:hint="eastAsia" w:eastAsiaTheme="majorEastAsia"/>
                <w:color w:val="auto"/>
                <w:sz w:val="24"/>
                <w:szCs w:val="24"/>
                <w:highlight w:val="none"/>
              </w:rPr>
              <w:t>①项目</w:t>
            </w:r>
            <w:r>
              <w:rPr>
                <w:rFonts w:hint="eastAsia" w:hAnsi="Times New Roman" w:cs="Times New Roman" w:eastAsiaTheme="majorEastAsia"/>
                <w:color w:val="auto"/>
                <w:sz w:val="24"/>
                <w:szCs w:val="24"/>
                <w:highlight w:val="none"/>
              </w:rPr>
              <w:t>服务力量</w:t>
            </w:r>
            <w:r>
              <w:rPr>
                <w:rFonts w:hint="eastAsia" w:hAnsi="Times New Roman" w:cs="Times New Roman" w:eastAsiaTheme="majorEastAsia"/>
                <w:color w:val="auto"/>
                <w:sz w:val="24"/>
                <w:szCs w:val="24"/>
                <w:highlight w:val="none"/>
                <w:lang w:val="en-US" w:eastAsia="zh-CN"/>
              </w:rPr>
              <w:t>安排</w:t>
            </w:r>
          </w:p>
          <w:p w14:paraId="5ABC6FF1">
            <w:pPr>
              <w:widowControl/>
              <w:spacing w:line="400" w:lineRule="exact"/>
              <w:jc w:val="left"/>
              <w:rPr>
                <w:rFonts w:hint="eastAsia" w:hAnsi="Times New Roman" w:cs="Times New Roman" w:eastAsiaTheme="majorEastAsia"/>
                <w:color w:val="auto"/>
                <w:sz w:val="24"/>
                <w:szCs w:val="24"/>
                <w:highlight w:val="none"/>
                <w:lang w:val="en-US" w:eastAsia="zh-CN"/>
              </w:rPr>
            </w:pPr>
            <w:r>
              <w:rPr>
                <w:rFonts w:hint="eastAsia" w:hAnsi="Times New Roman" w:cs="Times New Roman" w:eastAsiaTheme="majorEastAsia"/>
                <w:color w:val="auto"/>
                <w:sz w:val="24"/>
                <w:szCs w:val="24"/>
                <w:highlight w:val="none"/>
                <w:lang w:val="en-US" w:eastAsia="zh-CN"/>
              </w:rPr>
              <w:t>②</w:t>
            </w:r>
            <w:r>
              <w:rPr>
                <w:rFonts w:hint="eastAsia" w:hAnsi="Times New Roman" w:cs="Times New Roman" w:eastAsiaTheme="majorEastAsia"/>
                <w:color w:val="auto"/>
                <w:sz w:val="24"/>
                <w:szCs w:val="24"/>
                <w:highlight w:val="none"/>
              </w:rPr>
              <w:t>服务保障</w:t>
            </w:r>
            <w:r>
              <w:rPr>
                <w:rFonts w:hint="eastAsia" w:hAnsi="Times New Roman" w:cs="Times New Roman" w:eastAsiaTheme="majorEastAsia"/>
                <w:color w:val="auto"/>
                <w:sz w:val="24"/>
                <w:szCs w:val="24"/>
                <w:highlight w:val="none"/>
                <w:lang w:val="en-US" w:eastAsia="zh-CN"/>
              </w:rPr>
              <w:t>计划</w:t>
            </w:r>
          </w:p>
          <w:p w14:paraId="0819D7B5">
            <w:pPr>
              <w:widowControl/>
              <w:spacing w:line="400" w:lineRule="exact"/>
              <w:jc w:val="left"/>
              <w:rPr>
                <w:rFonts w:hint="default" w:hAnsi="Times New Roman" w:cs="Times New Roman" w:eastAsiaTheme="majorEastAsia"/>
                <w:color w:val="auto"/>
                <w:sz w:val="24"/>
                <w:szCs w:val="24"/>
                <w:highlight w:val="none"/>
                <w:lang w:val="en-US" w:eastAsia="zh-CN"/>
              </w:rPr>
            </w:pPr>
            <w:r>
              <w:rPr>
                <w:rFonts w:hint="eastAsia" w:hAnsi="Times New Roman" w:cs="Times New Roman" w:eastAsiaTheme="majorEastAsia"/>
                <w:color w:val="auto"/>
                <w:sz w:val="24"/>
                <w:szCs w:val="24"/>
                <w:highlight w:val="none"/>
                <w:lang w:val="en-US" w:eastAsia="zh-CN"/>
              </w:rPr>
              <w:t>③</w:t>
            </w:r>
            <w:r>
              <w:rPr>
                <w:rFonts w:hint="eastAsia" w:hAnsi="Times New Roman" w:cs="Times New Roman" w:eastAsiaTheme="majorEastAsia"/>
                <w:color w:val="auto"/>
                <w:sz w:val="24"/>
                <w:szCs w:val="24"/>
                <w:highlight w:val="none"/>
              </w:rPr>
              <w:t>技术支持</w:t>
            </w:r>
            <w:r>
              <w:rPr>
                <w:rFonts w:hint="eastAsia" w:hAnsi="Times New Roman" w:cs="Times New Roman" w:eastAsiaTheme="majorEastAsia"/>
                <w:color w:val="auto"/>
                <w:sz w:val="24"/>
                <w:szCs w:val="24"/>
                <w:highlight w:val="none"/>
                <w:lang w:val="en-US" w:eastAsia="zh-CN"/>
              </w:rPr>
              <w:t>方案</w:t>
            </w:r>
          </w:p>
          <w:p w14:paraId="3609F4EA">
            <w:pPr>
              <w:widowControl/>
              <w:spacing w:line="400" w:lineRule="exact"/>
              <w:rPr>
                <w:color w:val="auto"/>
                <w:sz w:val="24"/>
                <w:szCs w:val="24"/>
                <w:highlight w:val="none"/>
              </w:rPr>
            </w:pPr>
            <w:r>
              <w:rPr>
                <w:rFonts w:hint="eastAsia" w:eastAsiaTheme="majorEastAsia"/>
                <w:color w:val="auto"/>
                <w:sz w:val="24"/>
                <w:szCs w:val="24"/>
                <w:highlight w:val="none"/>
                <w:lang w:val="en-US" w:eastAsia="zh-CN"/>
              </w:rPr>
              <w:t>以上3</w:t>
            </w:r>
            <w:r>
              <w:rPr>
                <w:rFonts w:hint="eastAsia" w:eastAsiaTheme="majorEastAsia"/>
                <w:color w:val="auto"/>
                <w:sz w:val="24"/>
                <w:szCs w:val="24"/>
                <w:highlight w:val="none"/>
              </w:rPr>
              <w:t>项内容，方案内容完整齐全、科学合理，且符合项目实际</w:t>
            </w:r>
            <w:r>
              <w:rPr>
                <w:rFonts w:hint="eastAsia" w:eastAsiaTheme="majorEastAsia"/>
                <w:color w:val="auto"/>
                <w:sz w:val="24"/>
                <w:szCs w:val="24"/>
                <w:highlight w:val="none"/>
                <w:lang w:val="en-US" w:eastAsia="zh-CN"/>
              </w:rPr>
              <w:t>需求</w:t>
            </w:r>
            <w:r>
              <w:rPr>
                <w:rFonts w:hint="eastAsia" w:eastAsiaTheme="majorEastAsia"/>
                <w:color w:val="auto"/>
                <w:sz w:val="24"/>
                <w:szCs w:val="24"/>
                <w:highlight w:val="none"/>
              </w:rPr>
              <w:t>（第六章“项目需求”）的，得</w:t>
            </w:r>
            <w:r>
              <w:rPr>
                <w:rFonts w:hint="eastAsia" w:eastAsiaTheme="majorEastAsia"/>
                <w:color w:val="auto"/>
                <w:sz w:val="24"/>
                <w:szCs w:val="24"/>
                <w:highlight w:val="none"/>
                <w:lang w:val="en-US" w:eastAsia="zh-CN"/>
              </w:rPr>
              <w:t>6</w:t>
            </w:r>
            <w:r>
              <w:rPr>
                <w:rFonts w:hint="eastAsia" w:eastAsiaTheme="majorEastAsia"/>
                <w:color w:val="auto"/>
                <w:sz w:val="24"/>
                <w:szCs w:val="24"/>
                <w:highlight w:val="none"/>
              </w:rPr>
              <w:t>分；方案内容不完整的每缺少一项方案内容</w:t>
            </w:r>
            <w:r>
              <w:rPr>
                <w:rFonts w:hint="eastAsia" w:eastAsiaTheme="majorEastAsia"/>
                <w:color w:val="auto"/>
                <w:sz w:val="24"/>
                <w:szCs w:val="24"/>
                <w:highlight w:val="none"/>
                <w:lang w:val="en-US" w:eastAsia="zh-CN"/>
              </w:rPr>
              <w:t>扣2分</w:t>
            </w:r>
            <w:r>
              <w:rPr>
                <w:rFonts w:hint="eastAsia" w:eastAsiaTheme="majorEastAsia"/>
                <w:color w:val="auto"/>
                <w:sz w:val="24"/>
                <w:szCs w:val="24"/>
                <w:highlight w:val="none"/>
              </w:rPr>
              <w:t>，</w:t>
            </w:r>
            <w:r>
              <w:rPr>
                <w:rFonts w:hint="eastAsia" w:eastAsiaTheme="majorEastAsia"/>
                <w:color w:val="auto"/>
                <w:sz w:val="24"/>
                <w:szCs w:val="24"/>
                <w:highlight w:val="none"/>
                <w:lang w:val="en-US" w:eastAsia="zh-CN"/>
              </w:rPr>
              <w:t>每有</w:t>
            </w:r>
            <w:r>
              <w:rPr>
                <w:rFonts w:hint="eastAsia" w:eastAsiaTheme="majorEastAsia"/>
                <w:color w:val="auto"/>
                <w:sz w:val="24"/>
                <w:szCs w:val="24"/>
                <w:highlight w:val="none"/>
              </w:rPr>
              <w:t>一项内容存在缺陷的，扣</w:t>
            </w:r>
            <w:r>
              <w:rPr>
                <w:rFonts w:hint="eastAsia" w:eastAsiaTheme="majorEastAsia"/>
                <w:color w:val="auto"/>
                <w:sz w:val="24"/>
                <w:szCs w:val="24"/>
                <w:highlight w:val="none"/>
                <w:lang w:val="en-US" w:eastAsia="zh-CN"/>
              </w:rPr>
              <w:t>1</w:t>
            </w:r>
            <w:r>
              <w:rPr>
                <w:rFonts w:hint="eastAsia" w:eastAsiaTheme="majorEastAsia"/>
                <w:color w:val="auto"/>
                <w:sz w:val="24"/>
                <w:szCs w:val="24"/>
                <w:highlight w:val="none"/>
              </w:rPr>
              <w:t>分，扣完为止，未提供项目组织方案的，此项不得分。</w:t>
            </w:r>
          </w:p>
          <w:p w14:paraId="6CF6FE41">
            <w:pPr>
              <w:rPr>
                <w:rFonts w:hint="eastAsia" w:ascii="Times New Roman" w:hAnsi="Times New Roman" w:eastAsia="宋体" w:cs="Times New Roman"/>
                <w:b/>
                <w:bCs/>
                <w:color w:val="auto"/>
                <w:sz w:val="24"/>
                <w:szCs w:val="24"/>
                <w:highlight w:val="none"/>
                <w:lang w:val="en-US" w:eastAsia="zh-CN"/>
              </w:rPr>
            </w:pPr>
            <w:r>
              <w:rPr>
                <w:rFonts w:hint="eastAsia"/>
                <w:b/>
                <w:bCs/>
                <w:color w:val="auto"/>
                <w:sz w:val="24"/>
                <w:szCs w:val="24"/>
                <w:highlight w:val="none"/>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828" w:type="dxa"/>
            <w:tcMar>
              <w:top w:w="15" w:type="dxa"/>
              <w:left w:w="15" w:type="dxa"/>
              <w:right w:w="15" w:type="dxa"/>
            </w:tcMar>
            <w:vAlign w:val="center"/>
          </w:tcPr>
          <w:p w14:paraId="57849989">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6</w:t>
            </w:r>
          </w:p>
        </w:tc>
      </w:tr>
      <w:tr w14:paraId="11831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11" w:hRule="atLeast"/>
          <w:jc w:val="center"/>
        </w:trPr>
        <w:tc>
          <w:tcPr>
            <w:tcW w:w="1097" w:type="dxa"/>
            <w:vMerge w:val="continue"/>
            <w:tcMar>
              <w:top w:w="15" w:type="dxa"/>
              <w:left w:w="15" w:type="dxa"/>
              <w:right w:w="15" w:type="dxa"/>
            </w:tcMar>
            <w:vAlign w:val="center"/>
          </w:tcPr>
          <w:p w14:paraId="3D37ED10">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14:paraId="080CF480">
            <w:pPr>
              <w:rPr>
                <w:rFonts w:asciiTheme="minorEastAsia" w:hAnsiTheme="minorEastAsia" w:eastAsiaTheme="minorEastAsia" w:cstheme="minorEastAsia"/>
                <w:color w:val="auto"/>
                <w:kern w:val="0"/>
                <w:sz w:val="24"/>
                <w:szCs w:val="24"/>
                <w:highlight w:val="none"/>
              </w:rPr>
            </w:pPr>
            <w:r>
              <w:rPr>
                <w:rFonts w:hint="eastAsia" w:hAnsi="宋体" w:cs="宋体"/>
                <w:color w:val="auto"/>
                <w:sz w:val="24"/>
                <w:highlight w:val="none"/>
              </w:rPr>
              <w:t>服务力量和服务保障，技术支持</w:t>
            </w:r>
          </w:p>
        </w:tc>
        <w:tc>
          <w:tcPr>
            <w:tcW w:w="6134" w:type="dxa"/>
            <w:tcMar>
              <w:top w:w="15" w:type="dxa"/>
              <w:left w:w="15" w:type="dxa"/>
              <w:right w:w="15" w:type="dxa"/>
            </w:tcMar>
            <w:vAlign w:val="top"/>
          </w:tcPr>
          <w:p w14:paraId="13A42261">
            <w:pPr>
              <w:widowControl/>
              <w:spacing w:line="400" w:lineRule="exact"/>
              <w:rPr>
                <w:rFonts w:hint="eastAsia" w:eastAsiaTheme="majorEastAsia"/>
                <w:color w:val="auto"/>
                <w:sz w:val="24"/>
                <w:szCs w:val="24"/>
                <w:highlight w:val="none"/>
              </w:rPr>
            </w:pPr>
            <w:r>
              <w:rPr>
                <w:rFonts w:hint="eastAsia"/>
                <w:color w:val="auto"/>
                <w:sz w:val="24"/>
                <w:szCs w:val="24"/>
                <w:highlight w:val="none"/>
              </w:rPr>
              <w:t>根据供应商提供的项目</w:t>
            </w:r>
            <w:r>
              <w:rPr>
                <w:rFonts w:hint="eastAsia" w:hAnsi="宋体" w:cs="宋体"/>
                <w:color w:val="auto"/>
                <w:sz w:val="24"/>
                <w:highlight w:val="none"/>
              </w:rPr>
              <w:t>服务力量和服务保障，技术支持</w:t>
            </w:r>
            <w:r>
              <w:rPr>
                <w:rFonts w:hint="eastAsia"/>
                <w:color w:val="auto"/>
                <w:sz w:val="24"/>
                <w:szCs w:val="24"/>
                <w:highlight w:val="none"/>
              </w:rPr>
              <w:t>进行</w:t>
            </w:r>
            <w:r>
              <w:rPr>
                <w:rFonts w:hint="eastAsia" w:eastAsiaTheme="majorEastAsia"/>
                <w:color w:val="auto"/>
                <w:sz w:val="24"/>
                <w:szCs w:val="24"/>
                <w:highlight w:val="none"/>
              </w:rPr>
              <w:t>评分：</w:t>
            </w:r>
          </w:p>
          <w:p w14:paraId="621124C3">
            <w:pPr>
              <w:widowControl/>
              <w:spacing w:line="400" w:lineRule="exact"/>
              <w:jc w:val="left"/>
              <w:rPr>
                <w:rFonts w:hint="eastAsia" w:hAnsi="Times New Roman" w:cs="Times New Roman" w:eastAsiaTheme="majorEastAsia"/>
                <w:color w:val="auto"/>
                <w:sz w:val="24"/>
                <w:szCs w:val="24"/>
                <w:highlight w:val="none"/>
              </w:rPr>
            </w:pPr>
            <w:r>
              <w:rPr>
                <w:rFonts w:hint="eastAsia" w:eastAsiaTheme="majorEastAsia"/>
                <w:color w:val="auto"/>
                <w:sz w:val="24"/>
                <w:szCs w:val="24"/>
                <w:highlight w:val="none"/>
              </w:rPr>
              <w:t>方案包括但不限于：</w:t>
            </w:r>
          </w:p>
          <w:p w14:paraId="02D7B8C3">
            <w:pPr>
              <w:widowControl/>
              <w:spacing w:line="400" w:lineRule="exact"/>
              <w:jc w:val="left"/>
              <w:rPr>
                <w:rFonts w:hint="eastAsia" w:hAnsi="Times New Roman" w:cs="Times New Roman" w:eastAsiaTheme="majorEastAsia"/>
                <w:color w:val="auto"/>
                <w:sz w:val="24"/>
                <w:szCs w:val="24"/>
                <w:highlight w:val="none"/>
                <w:lang w:val="en-US" w:eastAsia="zh-CN"/>
              </w:rPr>
            </w:pPr>
            <w:r>
              <w:rPr>
                <w:rFonts w:hint="eastAsia" w:eastAsiaTheme="majorEastAsia"/>
                <w:color w:val="auto"/>
                <w:sz w:val="24"/>
                <w:szCs w:val="24"/>
                <w:highlight w:val="none"/>
              </w:rPr>
              <w:t>①项目</w:t>
            </w:r>
            <w:r>
              <w:rPr>
                <w:rFonts w:hint="eastAsia" w:hAnsi="Times New Roman" w:cs="Times New Roman" w:eastAsiaTheme="majorEastAsia"/>
                <w:color w:val="auto"/>
                <w:sz w:val="24"/>
                <w:szCs w:val="24"/>
                <w:highlight w:val="none"/>
              </w:rPr>
              <w:t>服务力量</w:t>
            </w:r>
            <w:r>
              <w:rPr>
                <w:rFonts w:hint="eastAsia" w:hAnsi="Times New Roman" w:cs="Times New Roman" w:eastAsiaTheme="majorEastAsia"/>
                <w:color w:val="auto"/>
                <w:sz w:val="24"/>
                <w:szCs w:val="24"/>
                <w:highlight w:val="none"/>
                <w:lang w:val="en-US" w:eastAsia="zh-CN"/>
              </w:rPr>
              <w:t>安排</w:t>
            </w:r>
          </w:p>
          <w:p w14:paraId="04893192">
            <w:pPr>
              <w:widowControl/>
              <w:spacing w:line="400" w:lineRule="exact"/>
              <w:jc w:val="left"/>
              <w:rPr>
                <w:rFonts w:hint="eastAsia" w:hAnsi="Times New Roman" w:cs="Times New Roman" w:eastAsiaTheme="majorEastAsia"/>
                <w:color w:val="auto"/>
                <w:sz w:val="24"/>
                <w:szCs w:val="24"/>
                <w:highlight w:val="none"/>
                <w:lang w:val="en-US" w:eastAsia="zh-CN"/>
              </w:rPr>
            </w:pPr>
            <w:r>
              <w:rPr>
                <w:rFonts w:hint="eastAsia" w:hAnsi="Times New Roman" w:cs="Times New Roman" w:eastAsiaTheme="majorEastAsia"/>
                <w:color w:val="auto"/>
                <w:sz w:val="24"/>
                <w:szCs w:val="24"/>
                <w:highlight w:val="none"/>
                <w:lang w:val="en-US" w:eastAsia="zh-CN"/>
              </w:rPr>
              <w:t>②</w:t>
            </w:r>
            <w:r>
              <w:rPr>
                <w:rFonts w:hint="eastAsia" w:hAnsi="Times New Roman" w:cs="Times New Roman" w:eastAsiaTheme="majorEastAsia"/>
                <w:color w:val="auto"/>
                <w:sz w:val="24"/>
                <w:szCs w:val="24"/>
                <w:highlight w:val="none"/>
              </w:rPr>
              <w:t>服务保障</w:t>
            </w:r>
            <w:r>
              <w:rPr>
                <w:rFonts w:hint="eastAsia" w:hAnsi="Times New Roman" w:cs="Times New Roman" w:eastAsiaTheme="majorEastAsia"/>
                <w:color w:val="auto"/>
                <w:sz w:val="24"/>
                <w:szCs w:val="24"/>
                <w:highlight w:val="none"/>
                <w:lang w:val="en-US" w:eastAsia="zh-CN"/>
              </w:rPr>
              <w:t>计划</w:t>
            </w:r>
          </w:p>
          <w:p w14:paraId="5CF5C62F">
            <w:pPr>
              <w:widowControl/>
              <w:spacing w:line="400" w:lineRule="exact"/>
              <w:jc w:val="left"/>
              <w:rPr>
                <w:rFonts w:hint="default" w:hAnsi="Times New Roman" w:cs="Times New Roman" w:eastAsiaTheme="majorEastAsia"/>
                <w:color w:val="auto"/>
                <w:sz w:val="24"/>
                <w:szCs w:val="24"/>
                <w:highlight w:val="none"/>
                <w:lang w:val="en-US" w:eastAsia="zh-CN"/>
              </w:rPr>
            </w:pPr>
            <w:r>
              <w:rPr>
                <w:rFonts w:hint="eastAsia" w:hAnsi="Times New Roman" w:cs="Times New Roman" w:eastAsiaTheme="majorEastAsia"/>
                <w:color w:val="auto"/>
                <w:sz w:val="24"/>
                <w:szCs w:val="24"/>
                <w:highlight w:val="none"/>
                <w:lang w:val="en-US" w:eastAsia="zh-CN"/>
              </w:rPr>
              <w:t>③</w:t>
            </w:r>
            <w:r>
              <w:rPr>
                <w:rFonts w:hint="eastAsia" w:hAnsi="Times New Roman" w:cs="Times New Roman" w:eastAsiaTheme="majorEastAsia"/>
                <w:color w:val="auto"/>
                <w:sz w:val="24"/>
                <w:szCs w:val="24"/>
                <w:highlight w:val="none"/>
              </w:rPr>
              <w:t>技术支持</w:t>
            </w:r>
            <w:r>
              <w:rPr>
                <w:rFonts w:hint="eastAsia" w:hAnsi="Times New Roman" w:cs="Times New Roman" w:eastAsiaTheme="majorEastAsia"/>
                <w:color w:val="auto"/>
                <w:sz w:val="24"/>
                <w:szCs w:val="24"/>
                <w:highlight w:val="none"/>
                <w:lang w:val="en-US" w:eastAsia="zh-CN"/>
              </w:rPr>
              <w:t>方案</w:t>
            </w:r>
          </w:p>
          <w:p w14:paraId="34E6B062">
            <w:pPr>
              <w:widowControl/>
              <w:spacing w:line="400" w:lineRule="exact"/>
              <w:rPr>
                <w:color w:val="auto"/>
                <w:sz w:val="24"/>
                <w:szCs w:val="24"/>
                <w:highlight w:val="none"/>
              </w:rPr>
            </w:pPr>
            <w:r>
              <w:rPr>
                <w:rFonts w:hint="eastAsia" w:eastAsiaTheme="majorEastAsia"/>
                <w:color w:val="auto"/>
                <w:sz w:val="24"/>
                <w:szCs w:val="24"/>
                <w:highlight w:val="none"/>
                <w:lang w:val="en-US" w:eastAsia="zh-CN"/>
              </w:rPr>
              <w:t>以上3</w:t>
            </w:r>
            <w:r>
              <w:rPr>
                <w:rFonts w:hint="eastAsia" w:eastAsiaTheme="majorEastAsia"/>
                <w:color w:val="auto"/>
                <w:sz w:val="24"/>
                <w:szCs w:val="24"/>
                <w:highlight w:val="none"/>
              </w:rPr>
              <w:t>项内容，方案内容完整齐全、科学合理，且符合项目实际</w:t>
            </w:r>
            <w:r>
              <w:rPr>
                <w:rFonts w:hint="eastAsia" w:eastAsiaTheme="majorEastAsia"/>
                <w:color w:val="auto"/>
                <w:sz w:val="24"/>
                <w:szCs w:val="24"/>
                <w:highlight w:val="none"/>
                <w:lang w:val="en-US" w:eastAsia="zh-CN"/>
              </w:rPr>
              <w:t>需求</w:t>
            </w:r>
            <w:r>
              <w:rPr>
                <w:rFonts w:hint="eastAsia" w:eastAsiaTheme="majorEastAsia"/>
                <w:color w:val="auto"/>
                <w:sz w:val="24"/>
                <w:szCs w:val="24"/>
                <w:highlight w:val="none"/>
              </w:rPr>
              <w:t>（第六章“项目需求”）的，得</w:t>
            </w:r>
            <w:r>
              <w:rPr>
                <w:rFonts w:hint="eastAsia" w:eastAsiaTheme="majorEastAsia"/>
                <w:color w:val="auto"/>
                <w:sz w:val="24"/>
                <w:szCs w:val="24"/>
                <w:highlight w:val="none"/>
                <w:lang w:val="en-US" w:eastAsia="zh-CN"/>
              </w:rPr>
              <w:t>6</w:t>
            </w:r>
            <w:r>
              <w:rPr>
                <w:rFonts w:hint="eastAsia" w:eastAsiaTheme="majorEastAsia"/>
                <w:color w:val="auto"/>
                <w:sz w:val="24"/>
                <w:szCs w:val="24"/>
                <w:highlight w:val="none"/>
              </w:rPr>
              <w:t>分；方案内容不完整的每缺少一项方案内容</w:t>
            </w:r>
            <w:r>
              <w:rPr>
                <w:rFonts w:hint="eastAsia" w:eastAsiaTheme="majorEastAsia"/>
                <w:color w:val="auto"/>
                <w:sz w:val="24"/>
                <w:szCs w:val="24"/>
                <w:highlight w:val="none"/>
                <w:lang w:val="en-US" w:eastAsia="zh-CN"/>
              </w:rPr>
              <w:t>扣2分</w:t>
            </w:r>
            <w:r>
              <w:rPr>
                <w:rFonts w:hint="eastAsia" w:eastAsiaTheme="majorEastAsia"/>
                <w:color w:val="auto"/>
                <w:sz w:val="24"/>
                <w:szCs w:val="24"/>
                <w:highlight w:val="none"/>
              </w:rPr>
              <w:t>，</w:t>
            </w:r>
            <w:r>
              <w:rPr>
                <w:rFonts w:hint="eastAsia" w:eastAsiaTheme="majorEastAsia"/>
                <w:color w:val="auto"/>
                <w:sz w:val="24"/>
                <w:szCs w:val="24"/>
                <w:highlight w:val="none"/>
                <w:lang w:val="en-US" w:eastAsia="zh-CN"/>
              </w:rPr>
              <w:t>每有</w:t>
            </w:r>
            <w:r>
              <w:rPr>
                <w:rFonts w:hint="eastAsia" w:eastAsiaTheme="majorEastAsia"/>
                <w:color w:val="auto"/>
                <w:sz w:val="24"/>
                <w:szCs w:val="24"/>
                <w:highlight w:val="none"/>
              </w:rPr>
              <w:t>一项内容存在缺陷的，扣</w:t>
            </w:r>
            <w:r>
              <w:rPr>
                <w:rFonts w:hint="eastAsia" w:eastAsiaTheme="majorEastAsia"/>
                <w:color w:val="auto"/>
                <w:sz w:val="24"/>
                <w:szCs w:val="24"/>
                <w:highlight w:val="none"/>
                <w:lang w:val="en-US" w:eastAsia="zh-CN"/>
              </w:rPr>
              <w:t>1</w:t>
            </w:r>
            <w:r>
              <w:rPr>
                <w:rFonts w:hint="eastAsia" w:eastAsiaTheme="majorEastAsia"/>
                <w:color w:val="auto"/>
                <w:sz w:val="24"/>
                <w:szCs w:val="24"/>
                <w:highlight w:val="none"/>
              </w:rPr>
              <w:t>分，扣完为止，未提供项目组织方案的，此项不得分。</w:t>
            </w:r>
          </w:p>
          <w:p w14:paraId="435DCA3D">
            <w:pPr>
              <w:rPr>
                <w:rFonts w:asciiTheme="minorEastAsia" w:hAnsiTheme="minorEastAsia" w:eastAsiaTheme="minorEastAsia" w:cstheme="minorEastAsia"/>
                <w:color w:val="auto"/>
                <w:kern w:val="0"/>
                <w:sz w:val="24"/>
                <w:szCs w:val="24"/>
                <w:highlight w:val="none"/>
              </w:rPr>
            </w:pPr>
            <w:r>
              <w:rPr>
                <w:rFonts w:hint="eastAsia"/>
                <w:b/>
                <w:bCs/>
                <w:color w:val="auto"/>
                <w:sz w:val="24"/>
                <w:szCs w:val="24"/>
                <w:highlight w:val="none"/>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828" w:type="dxa"/>
            <w:tcMar>
              <w:top w:w="15" w:type="dxa"/>
              <w:left w:w="15" w:type="dxa"/>
              <w:right w:w="15" w:type="dxa"/>
            </w:tcMar>
            <w:vAlign w:val="center"/>
          </w:tcPr>
          <w:p w14:paraId="47AEF784">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p>
        </w:tc>
      </w:tr>
      <w:tr w14:paraId="25D9E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2" w:hRule="atLeast"/>
          <w:jc w:val="center"/>
        </w:trPr>
        <w:tc>
          <w:tcPr>
            <w:tcW w:w="1097" w:type="dxa"/>
            <w:vMerge w:val="continue"/>
            <w:tcMar>
              <w:top w:w="15" w:type="dxa"/>
              <w:left w:w="15" w:type="dxa"/>
              <w:right w:w="15" w:type="dxa"/>
            </w:tcMar>
            <w:vAlign w:val="center"/>
          </w:tcPr>
          <w:p w14:paraId="63656322">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14:paraId="26A946FB">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14:paraId="39DAB6D6">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6134" w:type="dxa"/>
            <w:tcMar>
              <w:top w:w="15" w:type="dxa"/>
              <w:left w:w="15" w:type="dxa"/>
              <w:right w:w="15" w:type="dxa"/>
            </w:tcMar>
            <w:vAlign w:val="center"/>
          </w:tcPr>
          <w:p w14:paraId="0DC737D4">
            <w:pPr>
              <w:widowControl/>
              <w:spacing w:line="400" w:lineRule="exact"/>
              <w:ind w:firstLine="0" w:firstLineChars="0"/>
              <w:rPr>
                <w:color w:val="auto"/>
                <w:sz w:val="24"/>
                <w:szCs w:val="24"/>
                <w:highlight w:val="none"/>
              </w:rPr>
            </w:pPr>
            <w:r>
              <w:rPr>
                <w:rFonts w:hint="eastAsia"/>
                <w:color w:val="auto"/>
                <w:sz w:val="24"/>
                <w:szCs w:val="24"/>
                <w:highlight w:val="none"/>
              </w:rPr>
              <w:t>根据供应商提供的项目培训方案进行评分：</w:t>
            </w:r>
          </w:p>
          <w:p w14:paraId="015A1B2D">
            <w:pPr>
              <w:widowControl/>
              <w:spacing w:line="400" w:lineRule="exact"/>
              <w:ind w:firstLine="0" w:firstLineChars="0"/>
              <w:rPr>
                <w:rFonts w:hint="eastAsia"/>
                <w:color w:val="auto"/>
                <w:sz w:val="24"/>
                <w:szCs w:val="24"/>
                <w:highlight w:val="none"/>
                <w:lang w:eastAsia="zh-CN"/>
              </w:rPr>
            </w:pPr>
            <w:r>
              <w:rPr>
                <w:rFonts w:hint="eastAsia"/>
                <w:color w:val="auto"/>
                <w:sz w:val="24"/>
                <w:szCs w:val="24"/>
                <w:highlight w:val="none"/>
              </w:rPr>
              <w:t>项目培训方案包括但不限于</w:t>
            </w:r>
            <w:r>
              <w:rPr>
                <w:rFonts w:hint="eastAsia"/>
                <w:color w:val="auto"/>
                <w:sz w:val="24"/>
                <w:szCs w:val="24"/>
                <w:highlight w:val="none"/>
                <w:lang w:eastAsia="zh-CN"/>
              </w:rPr>
              <w:t>：</w:t>
            </w:r>
          </w:p>
          <w:p w14:paraId="4484DFF9">
            <w:pPr>
              <w:widowControl/>
              <w:spacing w:line="400" w:lineRule="exact"/>
              <w:ind w:firstLine="0" w:firstLineChars="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①</w:t>
            </w:r>
            <w:r>
              <w:rPr>
                <w:rFonts w:asciiTheme="majorEastAsia" w:hAnsiTheme="majorEastAsia" w:eastAsiaTheme="majorEastAsia" w:cstheme="majorEastAsia"/>
                <w:color w:val="auto"/>
                <w:sz w:val="24"/>
                <w:szCs w:val="24"/>
                <w:highlight w:val="none"/>
              </w:rPr>
              <w:t>培训内容</w:t>
            </w:r>
          </w:p>
          <w:p w14:paraId="558ED3C3">
            <w:pPr>
              <w:widowControl/>
              <w:spacing w:line="400" w:lineRule="exact"/>
              <w:ind w:firstLine="0" w:firstLineChars="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②</w:t>
            </w:r>
            <w:r>
              <w:rPr>
                <w:rFonts w:asciiTheme="majorEastAsia" w:hAnsiTheme="majorEastAsia" w:eastAsiaTheme="majorEastAsia" w:cstheme="majorEastAsia"/>
                <w:color w:val="auto"/>
                <w:sz w:val="24"/>
                <w:szCs w:val="24"/>
                <w:highlight w:val="none"/>
              </w:rPr>
              <w:t>培训方式</w:t>
            </w:r>
          </w:p>
          <w:p w14:paraId="5AA86ACD">
            <w:pPr>
              <w:widowControl/>
              <w:spacing w:line="400" w:lineRule="exact"/>
              <w:ind w:firstLine="0" w:firstLineChars="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③</w:t>
            </w:r>
            <w:r>
              <w:rPr>
                <w:rFonts w:asciiTheme="majorEastAsia" w:hAnsiTheme="majorEastAsia" w:eastAsiaTheme="majorEastAsia" w:cstheme="majorEastAsia"/>
                <w:color w:val="auto"/>
                <w:sz w:val="24"/>
                <w:szCs w:val="24"/>
                <w:highlight w:val="none"/>
              </w:rPr>
              <w:t>培训计划</w:t>
            </w:r>
          </w:p>
          <w:p w14:paraId="72FE838A">
            <w:pPr>
              <w:widowControl/>
              <w:spacing w:line="400" w:lineRule="exact"/>
              <w:ind w:firstLine="0" w:firstLineChars="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④</w:t>
            </w:r>
            <w:r>
              <w:rPr>
                <w:rFonts w:asciiTheme="majorEastAsia" w:hAnsiTheme="majorEastAsia" w:eastAsiaTheme="majorEastAsia" w:cstheme="majorEastAsia"/>
                <w:color w:val="auto"/>
                <w:sz w:val="24"/>
                <w:szCs w:val="24"/>
                <w:highlight w:val="none"/>
              </w:rPr>
              <w:t>培训团队人员配置</w:t>
            </w:r>
          </w:p>
          <w:p w14:paraId="59514003">
            <w:pPr>
              <w:widowControl/>
              <w:spacing w:line="400" w:lineRule="exact"/>
              <w:ind w:firstLine="0" w:firstLineChars="0"/>
              <w:rPr>
                <w:color w:val="auto"/>
                <w:sz w:val="24"/>
                <w:szCs w:val="24"/>
                <w:highlight w:val="none"/>
              </w:rPr>
            </w:pPr>
            <w:r>
              <w:rPr>
                <w:rFonts w:hint="eastAsia"/>
                <w:color w:val="auto"/>
                <w:sz w:val="24"/>
                <w:szCs w:val="24"/>
                <w:highlight w:val="none"/>
                <w:lang w:val="en-US" w:eastAsia="zh-CN"/>
              </w:rPr>
              <w:t>以上</w:t>
            </w:r>
            <w:r>
              <w:rPr>
                <w:rFonts w:hint="eastAsia"/>
                <w:color w:val="auto"/>
                <w:sz w:val="24"/>
                <w:szCs w:val="24"/>
                <w:highlight w:val="none"/>
              </w:rPr>
              <w:t>4项内容，</w:t>
            </w:r>
            <w:r>
              <w:rPr>
                <w:rFonts w:hint="eastAsia" w:eastAsiaTheme="majorEastAsia"/>
                <w:color w:val="auto"/>
                <w:sz w:val="24"/>
                <w:szCs w:val="24"/>
                <w:highlight w:val="none"/>
              </w:rPr>
              <w:t>方案内容完整齐全、科学合理，且符合项目实际（第六章“项目需求”）的，得</w:t>
            </w:r>
            <w:r>
              <w:rPr>
                <w:rFonts w:hint="eastAsia" w:eastAsiaTheme="majorEastAsia"/>
                <w:color w:val="auto"/>
                <w:sz w:val="24"/>
                <w:szCs w:val="24"/>
                <w:highlight w:val="none"/>
                <w:lang w:val="en-US" w:eastAsia="zh-CN"/>
              </w:rPr>
              <w:t>12</w:t>
            </w:r>
            <w:r>
              <w:rPr>
                <w:rFonts w:hint="eastAsia" w:eastAsiaTheme="majorEastAsia"/>
                <w:color w:val="auto"/>
                <w:sz w:val="24"/>
                <w:szCs w:val="24"/>
                <w:highlight w:val="none"/>
              </w:rPr>
              <w:t>分；</w:t>
            </w:r>
            <w:r>
              <w:rPr>
                <w:rFonts w:hint="eastAsia" w:eastAsia="宋体"/>
                <w:color w:val="auto"/>
                <w:sz w:val="24"/>
                <w:szCs w:val="24"/>
                <w:highlight w:val="none"/>
                <w:lang w:val="en-US" w:eastAsia="zh-CN"/>
              </w:rPr>
              <w:t>方案内容不完整的</w:t>
            </w:r>
            <w:r>
              <w:rPr>
                <w:rFonts w:hint="eastAsia"/>
                <w:color w:val="auto"/>
                <w:sz w:val="24"/>
                <w:szCs w:val="24"/>
                <w:highlight w:val="none"/>
              </w:rPr>
              <w:t>每缺少一项方案内容，</w:t>
            </w:r>
            <w:r>
              <w:rPr>
                <w:rFonts w:hint="eastAsia"/>
                <w:color w:val="auto"/>
                <w:sz w:val="24"/>
                <w:szCs w:val="24"/>
                <w:highlight w:val="none"/>
                <w:lang w:val="en-US" w:eastAsia="zh-CN"/>
              </w:rPr>
              <w:t>扣3分；每有</w:t>
            </w:r>
            <w:r>
              <w:rPr>
                <w:rFonts w:hint="eastAsia"/>
                <w:color w:val="auto"/>
                <w:sz w:val="24"/>
                <w:szCs w:val="24"/>
                <w:highlight w:val="none"/>
              </w:rPr>
              <w:t>一项内容存在缺陷的，扣</w:t>
            </w:r>
            <w:r>
              <w:rPr>
                <w:rFonts w:hint="eastAsia"/>
                <w:color w:val="auto"/>
                <w:sz w:val="24"/>
                <w:szCs w:val="24"/>
                <w:highlight w:val="none"/>
                <w:lang w:val="en-US" w:eastAsia="zh-CN"/>
              </w:rPr>
              <w:t>1.5</w:t>
            </w:r>
            <w:r>
              <w:rPr>
                <w:rFonts w:hint="eastAsia"/>
                <w:color w:val="auto"/>
                <w:sz w:val="24"/>
                <w:szCs w:val="24"/>
                <w:highlight w:val="none"/>
              </w:rPr>
              <w:t>分，扣完为止；未提供项目</w:t>
            </w:r>
            <w:r>
              <w:rPr>
                <w:rFonts w:hint="eastAsia" w:asciiTheme="minorEastAsia" w:hAnsiTheme="minorEastAsia" w:eastAsiaTheme="minorEastAsia" w:cstheme="minorEastAsia"/>
                <w:color w:val="auto"/>
                <w:kern w:val="0"/>
                <w:sz w:val="24"/>
                <w:szCs w:val="24"/>
                <w:highlight w:val="none"/>
              </w:rPr>
              <w:t>技术培训</w:t>
            </w:r>
            <w:r>
              <w:rPr>
                <w:rFonts w:hint="eastAsia"/>
                <w:color w:val="auto"/>
                <w:sz w:val="24"/>
                <w:szCs w:val="24"/>
                <w:highlight w:val="none"/>
              </w:rPr>
              <w:t>方案的，此项不得分。</w:t>
            </w:r>
          </w:p>
          <w:p w14:paraId="1B44F27E">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828" w:type="dxa"/>
            <w:tcMar>
              <w:top w:w="15" w:type="dxa"/>
              <w:left w:w="15" w:type="dxa"/>
              <w:right w:w="15" w:type="dxa"/>
            </w:tcMar>
            <w:vAlign w:val="center"/>
          </w:tcPr>
          <w:p w14:paraId="5B0F7C19">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w:t>
            </w:r>
          </w:p>
        </w:tc>
      </w:tr>
      <w:tr w14:paraId="02CC1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7" w:hRule="atLeast"/>
          <w:jc w:val="center"/>
        </w:trPr>
        <w:tc>
          <w:tcPr>
            <w:tcW w:w="1097" w:type="dxa"/>
            <w:vMerge w:val="continue"/>
            <w:tcMar>
              <w:top w:w="15" w:type="dxa"/>
              <w:left w:w="15" w:type="dxa"/>
              <w:right w:w="15" w:type="dxa"/>
            </w:tcMar>
            <w:vAlign w:val="center"/>
          </w:tcPr>
          <w:p w14:paraId="42CC997D">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14:paraId="5449F1DA">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14:paraId="6095F10F">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6134" w:type="dxa"/>
            <w:tcMar>
              <w:top w:w="15" w:type="dxa"/>
              <w:left w:w="15" w:type="dxa"/>
              <w:right w:w="15" w:type="dxa"/>
            </w:tcMar>
            <w:vAlign w:val="center"/>
          </w:tcPr>
          <w:p w14:paraId="47CD6887">
            <w:pPr>
              <w:widowControl/>
              <w:spacing w:line="400" w:lineRule="exact"/>
              <w:ind w:firstLine="0" w:firstLineChars="0"/>
              <w:rPr>
                <w:color w:val="auto"/>
                <w:sz w:val="24"/>
                <w:szCs w:val="24"/>
                <w:highlight w:val="none"/>
              </w:rPr>
            </w:pPr>
            <w:r>
              <w:rPr>
                <w:rFonts w:hint="eastAsia"/>
                <w:color w:val="auto"/>
                <w:sz w:val="24"/>
                <w:szCs w:val="24"/>
                <w:highlight w:val="none"/>
              </w:rPr>
              <w:t>根据供应商提供的售后服务方案进行评分：</w:t>
            </w:r>
          </w:p>
          <w:p w14:paraId="0B79D1D8">
            <w:pPr>
              <w:widowControl/>
              <w:spacing w:line="400" w:lineRule="exact"/>
              <w:ind w:firstLine="0" w:firstLineChars="0"/>
              <w:rPr>
                <w:rFonts w:hint="eastAsia"/>
                <w:color w:val="auto"/>
                <w:sz w:val="24"/>
                <w:szCs w:val="24"/>
                <w:highlight w:val="none"/>
                <w:lang w:eastAsia="zh-CN"/>
              </w:rPr>
            </w:pPr>
            <w:r>
              <w:rPr>
                <w:rFonts w:hint="eastAsia"/>
                <w:color w:val="auto"/>
                <w:sz w:val="24"/>
                <w:szCs w:val="24"/>
                <w:highlight w:val="none"/>
              </w:rPr>
              <w:t>项目售后服务方案包括但不限于</w:t>
            </w:r>
            <w:r>
              <w:rPr>
                <w:rFonts w:hint="eastAsia"/>
                <w:color w:val="auto"/>
                <w:sz w:val="24"/>
                <w:szCs w:val="24"/>
                <w:highlight w:val="none"/>
                <w:lang w:eastAsia="zh-CN"/>
              </w:rPr>
              <w:t>：</w:t>
            </w:r>
          </w:p>
          <w:p w14:paraId="418CA96A">
            <w:pPr>
              <w:widowControl/>
              <w:spacing w:line="400" w:lineRule="exact"/>
              <w:ind w:firstLine="0" w:firstLineChars="0"/>
              <w:rPr>
                <w:rFonts w:asciiTheme="majorEastAsia" w:hAnsiTheme="majorEastAsia" w:eastAsiaTheme="majorEastAsia" w:cstheme="majorEastAsia"/>
                <w:color w:val="auto"/>
                <w:sz w:val="24"/>
                <w:szCs w:val="24"/>
                <w:highlight w:val="none"/>
              </w:rPr>
            </w:pPr>
            <w:r>
              <w:rPr>
                <w:rFonts w:hint="eastAsia"/>
                <w:color w:val="auto"/>
                <w:sz w:val="24"/>
                <w:szCs w:val="24"/>
                <w:highlight w:val="none"/>
                <w:lang w:val="en-US" w:eastAsia="zh-CN"/>
              </w:rPr>
              <w:t>①</w:t>
            </w:r>
            <w:r>
              <w:rPr>
                <w:rFonts w:hint="eastAsia" w:asciiTheme="majorEastAsia" w:hAnsiTheme="majorEastAsia" w:eastAsiaTheme="majorEastAsia" w:cstheme="majorEastAsia"/>
                <w:color w:val="auto"/>
                <w:sz w:val="24"/>
                <w:szCs w:val="24"/>
                <w:highlight w:val="none"/>
              </w:rPr>
              <w:t>售后</w:t>
            </w:r>
            <w:r>
              <w:rPr>
                <w:rFonts w:asciiTheme="majorEastAsia" w:hAnsiTheme="majorEastAsia" w:eastAsiaTheme="majorEastAsia" w:cstheme="majorEastAsia"/>
                <w:color w:val="auto"/>
                <w:sz w:val="24"/>
                <w:szCs w:val="24"/>
                <w:highlight w:val="none"/>
              </w:rPr>
              <w:t>服务承诺</w:t>
            </w:r>
          </w:p>
          <w:p w14:paraId="5A75AE49">
            <w:pPr>
              <w:widowControl/>
              <w:spacing w:line="400" w:lineRule="exact"/>
              <w:ind w:firstLine="0" w:firstLineChars="0"/>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②</w:t>
            </w:r>
            <w:r>
              <w:rPr>
                <w:rFonts w:asciiTheme="majorEastAsia" w:hAnsiTheme="majorEastAsia" w:eastAsiaTheme="majorEastAsia" w:cstheme="majorEastAsia"/>
                <w:color w:val="auto"/>
                <w:sz w:val="24"/>
                <w:szCs w:val="24"/>
                <w:highlight w:val="none"/>
              </w:rPr>
              <w:t>服务响应方案</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含</w:t>
            </w:r>
            <w:r>
              <w:rPr>
                <w:rFonts w:asciiTheme="majorEastAsia" w:hAnsiTheme="majorEastAsia" w:eastAsiaTheme="majorEastAsia" w:cstheme="majorEastAsia"/>
                <w:color w:val="auto"/>
                <w:sz w:val="24"/>
                <w:szCs w:val="24"/>
                <w:highlight w:val="none"/>
              </w:rPr>
              <w:t>故障响应</w:t>
            </w:r>
            <w:r>
              <w:rPr>
                <w:rFonts w:hint="eastAsia" w:asciiTheme="majorEastAsia" w:hAnsiTheme="majorEastAsia" w:eastAsiaTheme="majorEastAsia" w:cstheme="majorEastAsia"/>
                <w:color w:val="auto"/>
                <w:sz w:val="24"/>
                <w:szCs w:val="24"/>
                <w:highlight w:val="none"/>
              </w:rPr>
              <w:t>措施</w:t>
            </w:r>
            <w:r>
              <w:rPr>
                <w:rFonts w:hint="eastAsia" w:asciiTheme="majorEastAsia" w:hAnsiTheme="majorEastAsia" w:eastAsiaTheme="majorEastAsia" w:cstheme="majorEastAsia"/>
                <w:color w:val="auto"/>
                <w:sz w:val="24"/>
                <w:szCs w:val="24"/>
                <w:highlight w:val="none"/>
                <w:lang w:eastAsia="zh-CN"/>
              </w:rPr>
              <w:t>）</w:t>
            </w:r>
          </w:p>
          <w:p w14:paraId="7F221717">
            <w:pPr>
              <w:widowControl/>
              <w:spacing w:line="400" w:lineRule="exact"/>
              <w:ind w:firstLine="0" w:firstLineChars="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③</w:t>
            </w:r>
            <w:r>
              <w:rPr>
                <w:rFonts w:asciiTheme="majorEastAsia" w:hAnsiTheme="majorEastAsia" w:eastAsiaTheme="majorEastAsia" w:cstheme="majorEastAsia"/>
                <w:color w:val="auto"/>
                <w:sz w:val="24"/>
                <w:szCs w:val="24"/>
                <w:highlight w:val="none"/>
              </w:rPr>
              <w:t>备件（易耗品）</w:t>
            </w:r>
          </w:p>
          <w:p w14:paraId="608C9E55">
            <w:pPr>
              <w:widowControl/>
              <w:spacing w:line="400" w:lineRule="exact"/>
              <w:ind w:firstLine="0" w:firstLineChars="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④</w:t>
            </w:r>
            <w:r>
              <w:rPr>
                <w:rFonts w:asciiTheme="majorEastAsia" w:hAnsiTheme="majorEastAsia" w:eastAsiaTheme="majorEastAsia" w:cstheme="majorEastAsia"/>
                <w:color w:val="auto"/>
                <w:sz w:val="24"/>
                <w:szCs w:val="24"/>
                <w:highlight w:val="none"/>
              </w:rPr>
              <w:t>供应方案</w:t>
            </w:r>
            <w:r>
              <w:rPr>
                <w:rFonts w:hint="eastAsia" w:asciiTheme="majorEastAsia" w:hAnsiTheme="majorEastAsia" w:eastAsiaTheme="majorEastAsia" w:cstheme="majorEastAsia"/>
                <w:color w:val="auto"/>
                <w:sz w:val="24"/>
                <w:szCs w:val="24"/>
                <w:highlight w:val="none"/>
              </w:rPr>
              <w:t>（含备件清单及价格）</w:t>
            </w:r>
          </w:p>
          <w:p w14:paraId="16FFFA25">
            <w:pPr>
              <w:widowControl/>
              <w:spacing w:line="400" w:lineRule="exact"/>
              <w:ind w:firstLine="0" w:firstLineChars="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⑤</w:t>
            </w:r>
            <w:r>
              <w:rPr>
                <w:rFonts w:asciiTheme="majorEastAsia" w:hAnsiTheme="majorEastAsia" w:eastAsiaTheme="majorEastAsia" w:cstheme="majorEastAsia"/>
                <w:color w:val="auto"/>
                <w:sz w:val="24"/>
                <w:szCs w:val="24"/>
                <w:highlight w:val="none"/>
              </w:rPr>
              <w:t>服务人员配备</w:t>
            </w:r>
          </w:p>
          <w:p w14:paraId="7DD32A05">
            <w:pPr>
              <w:widowControl/>
              <w:spacing w:line="400" w:lineRule="exact"/>
              <w:ind w:firstLine="0" w:firstLineChars="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⑥</w:t>
            </w:r>
            <w:r>
              <w:rPr>
                <w:rFonts w:asciiTheme="majorEastAsia" w:hAnsiTheme="majorEastAsia" w:eastAsiaTheme="majorEastAsia" w:cstheme="majorEastAsia"/>
                <w:color w:val="auto"/>
                <w:sz w:val="24"/>
                <w:szCs w:val="24"/>
                <w:highlight w:val="none"/>
              </w:rPr>
              <w:t>质保外服务措施</w:t>
            </w:r>
          </w:p>
          <w:p w14:paraId="47A02C72">
            <w:pPr>
              <w:rPr>
                <w:color w:val="auto"/>
                <w:highlight w:val="none"/>
              </w:rPr>
            </w:pPr>
            <w:r>
              <w:rPr>
                <w:rFonts w:hint="eastAsia"/>
                <w:color w:val="auto"/>
                <w:sz w:val="24"/>
                <w:szCs w:val="24"/>
                <w:highlight w:val="none"/>
                <w:lang w:val="en-US" w:eastAsia="zh-CN"/>
              </w:rPr>
              <w:t>以上6</w:t>
            </w:r>
            <w:r>
              <w:rPr>
                <w:rFonts w:hint="eastAsia"/>
                <w:color w:val="auto"/>
                <w:sz w:val="24"/>
                <w:szCs w:val="24"/>
                <w:highlight w:val="none"/>
              </w:rPr>
              <w:t>项内容，</w:t>
            </w:r>
            <w:r>
              <w:rPr>
                <w:rFonts w:hint="eastAsia" w:eastAsiaTheme="majorEastAsia"/>
                <w:color w:val="auto"/>
                <w:sz w:val="24"/>
                <w:szCs w:val="24"/>
                <w:highlight w:val="none"/>
              </w:rPr>
              <w:t>方案内容完整齐全、科学合理，且符合项目实际（第六章“项目需求”）的，得</w:t>
            </w:r>
            <w:r>
              <w:rPr>
                <w:rFonts w:hint="eastAsia" w:eastAsiaTheme="majorEastAsia"/>
                <w:color w:val="auto"/>
                <w:sz w:val="24"/>
                <w:szCs w:val="24"/>
                <w:highlight w:val="none"/>
                <w:lang w:val="en-US" w:eastAsia="zh-CN"/>
              </w:rPr>
              <w:t>12</w:t>
            </w:r>
            <w:r>
              <w:rPr>
                <w:rFonts w:hint="eastAsia" w:eastAsiaTheme="majorEastAsia"/>
                <w:color w:val="auto"/>
                <w:sz w:val="24"/>
                <w:szCs w:val="24"/>
                <w:highlight w:val="none"/>
              </w:rPr>
              <w:t>分；方案内容不完整的每缺少一项方案内容</w:t>
            </w:r>
            <w:r>
              <w:rPr>
                <w:rFonts w:hint="eastAsia" w:eastAsiaTheme="majorEastAsia"/>
                <w:color w:val="auto"/>
                <w:sz w:val="24"/>
                <w:szCs w:val="24"/>
                <w:highlight w:val="none"/>
                <w:lang w:val="en-US" w:eastAsia="zh-CN"/>
              </w:rPr>
              <w:t>，扣2分；每有</w:t>
            </w:r>
            <w:r>
              <w:rPr>
                <w:rFonts w:hint="eastAsia" w:eastAsiaTheme="majorEastAsia"/>
                <w:color w:val="auto"/>
                <w:sz w:val="24"/>
                <w:szCs w:val="24"/>
                <w:highlight w:val="none"/>
              </w:rPr>
              <w:t>一项内容存在缺陷的，扣</w:t>
            </w:r>
            <w:r>
              <w:rPr>
                <w:rFonts w:hint="eastAsia" w:eastAsiaTheme="majorEastAsia"/>
                <w:color w:val="auto"/>
                <w:sz w:val="24"/>
                <w:szCs w:val="24"/>
                <w:highlight w:val="none"/>
                <w:lang w:val="en-US" w:eastAsia="zh-CN"/>
              </w:rPr>
              <w:t>1</w:t>
            </w:r>
            <w:r>
              <w:rPr>
                <w:rFonts w:hint="eastAsia" w:eastAsiaTheme="majorEastAsia"/>
                <w:color w:val="auto"/>
                <w:sz w:val="24"/>
                <w:szCs w:val="24"/>
                <w:highlight w:val="none"/>
              </w:rPr>
              <w:t>分，扣完为止，未提供项目组织方案的，此项不得分。</w:t>
            </w:r>
          </w:p>
          <w:p w14:paraId="3F8E779F">
            <w:pPr>
              <w:snapToGrid w:val="0"/>
              <w:spacing w:line="400" w:lineRule="exact"/>
              <w:ind w:firstLine="0" w:firstLineChars="0"/>
              <w:rPr>
                <w:rFonts w:hint="eastAsia" w:ascii="Times New Roman" w:hAnsi="Times New Roman" w:eastAsia="宋体" w:cs="Times New Roman"/>
                <w:b/>
                <w:bCs/>
                <w:color w:val="auto"/>
                <w:sz w:val="24"/>
                <w:szCs w:val="24"/>
                <w:highlight w:val="none"/>
                <w:lang w:val="en-US" w:eastAsia="zh-CN"/>
              </w:rPr>
            </w:pPr>
            <w:r>
              <w:rPr>
                <w:rFonts w:hint="eastAsia"/>
                <w:b/>
                <w:bCs/>
                <w:color w:val="auto"/>
                <w:sz w:val="24"/>
                <w:szCs w:val="24"/>
                <w:highlight w:val="none"/>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828" w:type="dxa"/>
            <w:tcMar>
              <w:top w:w="15" w:type="dxa"/>
              <w:left w:w="15" w:type="dxa"/>
              <w:right w:w="15" w:type="dxa"/>
            </w:tcMar>
            <w:vAlign w:val="center"/>
          </w:tcPr>
          <w:p w14:paraId="47E5A83E">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w:t>
            </w:r>
          </w:p>
        </w:tc>
      </w:tr>
      <w:tr w14:paraId="61C6D4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430" w:type="dxa"/>
            <w:gridSpan w:val="4"/>
            <w:tcMar>
              <w:top w:w="15" w:type="dxa"/>
              <w:left w:w="15" w:type="dxa"/>
              <w:right w:w="15" w:type="dxa"/>
            </w:tcMar>
            <w:vAlign w:val="center"/>
          </w:tcPr>
          <w:p w14:paraId="63344991">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14:paraId="2FF19DBB">
      <w:pPr>
        <w:rPr>
          <w:rFonts w:hint="default"/>
          <w:color w:val="auto"/>
          <w:highlight w:val="none"/>
          <w:lang w:val="en-US" w:eastAsia="zh-CN"/>
        </w:rPr>
      </w:pPr>
      <w:r>
        <w:rPr>
          <w:rFonts w:hint="default"/>
          <w:color w:val="auto"/>
          <w:highlight w:val="none"/>
          <w:lang w:val="en-US" w:eastAsia="zh-CN"/>
        </w:rPr>
        <w:br w:type="page"/>
      </w:r>
    </w:p>
    <w:p w14:paraId="122C5F50">
      <w:pPr>
        <w:pStyle w:val="3"/>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（三）政府采购政策功能落实</w:t>
      </w:r>
    </w:p>
    <w:bookmarkEnd w:id="15"/>
    <w:bookmarkEnd w:id="16"/>
    <w:bookmarkEnd w:id="17"/>
    <w:bookmarkEnd w:id="18"/>
    <w:bookmarkEnd w:id="19"/>
    <w:bookmarkEnd w:id="20"/>
    <w:bookmarkEnd w:id="64"/>
    <w:p w14:paraId="636D8174">
      <w:pPr>
        <w:spacing w:line="400" w:lineRule="exact"/>
        <w:ind w:firstLine="480" w:firstLineChars="200"/>
        <w:rPr>
          <w:rFonts w:asciiTheme="minorEastAsia" w:hAnsiTheme="minorEastAsia" w:eastAsiaTheme="minorEastAsia" w:cstheme="minorEastAsia"/>
          <w:color w:val="auto"/>
          <w:sz w:val="24"/>
          <w:szCs w:val="24"/>
          <w:highlight w:val="none"/>
        </w:rPr>
      </w:pPr>
      <w:bookmarkStart w:id="130" w:name="_Toc12223"/>
      <w:bookmarkStart w:id="131" w:name="_Toc26728"/>
      <w:bookmarkStart w:id="132" w:name="_Toc15450"/>
      <w:bookmarkStart w:id="133" w:name="_Toc16938590"/>
      <w:bookmarkStart w:id="134" w:name="_Toc20823346"/>
      <w:bookmarkStart w:id="135" w:name="_Toc120614244"/>
      <w:bookmarkStart w:id="136" w:name="_Toc462564139"/>
      <w:bookmarkStart w:id="137" w:name="_Toc479757211"/>
      <w:bookmarkStart w:id="138" w:name="_Hlt16619350"/>
      <w:bookmarkStart w:id="139" w:name="_Toc9411"/>
      <w:bookmarkStart w:id="140" w:name="_Toc17639"/>
      <w:bookmarkStart w:id="141" w:name="_Toc31151"/>
      <w:r>
        <w:rPr>
          <w:rFonts w:hint="eastAsia" w:asciiTheme="minorEastAsia" w:hAnsiTheme="minorEastAsia" w:eastAsiaTheme="minorEastAsia" w:cstheme="minorEastAsia"/>
          <w:color w:val="auto"/>
          <w:sz w:val="24"/>
          <w:szCs w:val="24"/>
          <w:highlight w:val="none"/>
        </w:rPr>
        <w:t>1.小微型企业价格扣除</w:t>
      </w:r>
    </w:p>
    <w:p w14:paraId="5FFAD134">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）本项目</w:t>
      </w:r>
      <w:r>
        <w:rPr>
          <w:rFonts w:hint="eastAsia" w:asciiTheme="minorEastAsia" w:hAnsiTheme="minorEastAsia" w:eastAsiaTheme="minorEastAsia" w:cstheme="minorEastAsia"/>
          <w:color w:val="auto"/>
          <w:sz w:val="24"/>
          <w:szCs w:val="24"/>
          <w:highlight w:val="none"/>
          <w:lang w:val="en-US" w:eastAsia="zh-CN"/>
        </w:rPr>
        <w:t>供应商所提供货物的制造商应全部为中型、小型、微型企业。</w:t>
      </w:r>
    </w:p>
    <w:p w14:paraId="760FF6BD">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供应商需按照采购文件的要求提供相应的《中小企业声明函》。</w:t>
      </w:r>
    </w:p>
    <w:p w14:paraId="4A4F63AA">
      <w:pPr>
        <w:spacing w:line="400" w:lineRule="exact"/>
        <w:ind w:firstLine="480" w:firstLineChars="200"/>
        <w:rPr>
          <w:rFonts w:hint="eastAsia"/>
          <w:color w:val="auto"/>
          <w:highlight w:val="none"/>
        </w:rPr>
      </w:pPr>
      <w:r>
        <w:rPr>
          <w:rFonts w:hint="eastAsia" w:asciiTheme="minorEastAsia" w:hAnsiTheme="minorEastAsia" w:eastAsiaTheme="minorEastAsia" w:cstheme="minorEastAsia"/>
          <w:color w:val="auto"/>
          <w:sz w:val="24"/>
          <w:szCs w:val="24"/>
          <w:highlight w:val="none"/>
        </w:rPr>
        <w:t>（3）企业标准请参照关于印发《政府采购促进中小企业发展管理办法》的通知（财库[2020]46号）文件规定自行填写。</w:t>
      </w:r>
    </w:p>
    <w:p w14:paraId="007059F4">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2.残疾人福利单位价格扣除</w:t>
      </w:r>
    </w:p>
    <w:p w14:paraId="461FC66B">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（1）本项目对残疾人福利性单位视同小型、微型企业，给予10%的价格扣除，用扣除后的价格参与评审。</w:t>
      </w:r>
    </w:p>
    <w:p w14:paraId="5E3B4808">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（2）残疾人福利单位需按照采购文件的要求提供《残疾人福利性单位声明函》。</w:t>
      </w:r>
    </w:p>
    <w:p w14:paraId="11F9257D">
      <w:pPr>
        <w:spacing w:line="400" w:lineRule="exact"/>
        <w:ind w:firstLine="480" w:firstLineChars="200"/>
        <w:rPr>
          <w:rFonts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（3）残疾人福利单位标准请参照《</w:t>
      </w:r>
      <w:r>
        <w:rPr>
          <w:rFonts w:hint="eastAsia" w:ascii="宋体" w:hAnsi="宋体" w:cs="宋体"/>
          <w:color w:val="auto"/>
          <w:sz w:val="24"/>
          <w:szCs w:val="24"/>
          <w:highlight w:val="none"/>
        </w:rPr>
        <w:t>关于促进残疾人就业政府采购政策的通知</w:t>
      </w:r>
      <w:r>
        <w:rPr>
          <w:rFonts w:hint="eastAsia" w:asciiTheme="minorEastAsia" w:hAnsiTheme="minorEastAsia" w:eastAsiaTheme="minorEastAsia" w:cstheme="minorEastAsia"/>
          <w:color w:val="auto"/>
          <w:sz w:val="24"/>
          <w:szCs w:val="24"/>
          <w:highlight w:val="none"/>
        </w:rPr>
        <w:t>》（财库[2017]141号）。</w:t>
      </w:r>
    </w:p>
    <w:p w14:paraId="052A4A28">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3.监狱和戒毒企业价格扣除</w:t>
      </w:r>
    </w:p>
    <w:p w14:paraId="041312E4">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（1）本项目监狱和戒毒企业（简称监狱企业）视同小型、微型企业，给予10%的价格扣除，用扣除后的价格参与评审。</w:t>
      </w:r>
    </w:p>
    <w:p w14:paraId="109FA158">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48BDE5C6">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（3）监狱企业标准请参照《财政部、司法部关于政府采购支持监狱企业发展有关问题的通知》（财库[2014]68号）。</w:t>
      </w:r>
    </w:p>
    <w:p w14:paraId="504F358C">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4.残疾人福利单位、监狱企业属于小型、微型企业的，不重复享受政策。</w:t>
      </w:r>
    </w:p>
    <w:p w14:paraId="7C55CB09">
      <w:pPr>
        <w:rPr>
          <w:rFonts w:hint="eastAsia"/>
          <w:color w:val="auto"/>
          <w:highlight w:val="none"/>
        </w:rPr>
      </w:pPr>
      <w:r>
        <w:rPr>
          <w:rFonts w:hint="eastAsia"/>
          <w:color w:val="auto"/>
          <w:highlight w:val="none"/>
        </w:rPr>
        <w:br w:type="page"/>
      </w:r>
    </w:p>
    <w:p w14:paraId="690B434C">
      <w:pPr>
        <w:pStyle w:val="2"/>
        <w:rPr>
          <w:rFonts w:hint="eastAsia"/>
          <w:color w:val="auto"/>
          <w:highlight w:val="none"/>
        </w:rPr>
      </w:pPr>
      <w:r>
        <w:rPr>
          <w:rFonts w:hint="eastAsia"/>
          <w:color w:val="auto"/>
          <w:highlight w:val="none"/>
        </w:rPr>
        <w:t>第四章</w:t>
      </w:r>
      <w:r>
        <w:rPr>
          <w:rFonts w:hint="eastAsia"/>
          <w:color w:val="auto"/>
          <w:highlight w:val="none"/>
          <w:lang w:val="en-US" w:eastAsia="zh-CN"/>
        </w:rPr>
        <w:t xml:space="preserve">  </w:t>
      </w:r>
      <w:r>
        <w:rPr>
          <w:rFonts w:hint="eastAsia"/>
          <w:color w:val="auto"/>
          <w:highlight w:val="none"/>
        </w:rPr>
        <w:t>拟订立的合同样本</w:t>
      </w:r>
      <w:bookmarkEnd w:id="130"/>
      <w:bookmarkEnd w:id="131"/>
      <w:bookmarkEnd w:id="132"/>
    </w:p>
    <w:p w14:paraId="63A0B1FE">
      <w:pPr>
        <w:pStyle w:val="30"/>
        <w:jc w:val="center"/>
        <w:rPr>
          <w:rFonts w:hint="eastAsia"/>
          <w:color w:val="auto"/>
          <w:highlight w:val="none"/>
        </w:rPr>
      </w:pPr>
      <w:r>
        <w:rPr>
          <w:rFonts w:hint="eastAsia"/>
          <w:color w:val="auto"/>
          <w:highlight w:val="none"/>
        </w:rPr>
        <w:t>（此合同为格式范本，最终合同以双方协商为准）</w:t>
      </w:r>
    </w:p>
    <w:bookmarkEnd w:id="133"/>
    <w:bookmarkEnd w:id="134"/>
    <w:bookmarkEnd w:id="135"/>
    <w:bookmarkEnd w:id="136"/>
    <w:bookmarkEnd w:id="137"/>
    <w:bookmarkEnd w:id="138"/>
    <w:p w14:paraId="7523895B">
      <w:pPr>
        <w:rPr>
          <w:b/>
          <w:color w:val="auto"/>
          <w:highlight w:val="none"/>
        </w:rPr>
      </w:pPr>
      <w:bookmarkStart w:id="142" w:name="_Toc20313"/>
    </w:p>
    <w:p w14:paraId="7320CDBD">
      <w:pPr>
        <w:rPr>
          <w:b/>
          <w:color w:val="auto"/>
          <w:highlight w:val="none"/>
        </w:rPr>
      </w:pPr>
    </w:p>
    <w:p w14:paraId="348F2AD8">
      <w:pPr>
        <w:rPr>
          <w:b/>
          <w:color w:val="auto"/>
          <w:highlight w:val="none"/>
        </w:rPr>
      </w:pPr>
    </w:p>
    <w:p w14:paraId="6263A422">
      <w:pPr>
        <w:rPr>
          <w:b/>
          <w:color w:val="auto"/>
          <w:highlight w:val="none"/>
        </w:rPr>
      </w:pPr>
    </w:p>
    <w:p w14:paraId="76147536">
      <w:pPr>
        <w:rPr>
          <w:b/>
          <w:color w:val="auto"/>
          <w:highlight w:val="none"/>
        </w:rPr>
      </w:pPr>
    </w:p>
    <w:p w14:paraId="2CED2768">
      <w:pPr>
        <w:rPr>
          <w:b/>
          <w:color w:val="auto"/>
          <w:highlight w:val="none"/>
        </w:rPr>
      </w:pPr>
    </w:p>
    <w:p w14:paraId="659AFDA3">
      <w:pPr>
        <w:jc w:val="center"/>
        <w:rPr>
          <w:rFonts w:ascii="仿宋" w:hAnsi="仿宋" w:eastAsia="仿宋" w:cs="Arial"/>
          <w:b/>
          <w:color w:val="auto"/>
          <w:sz w:val="48"/>
          <w:szCs w:val="48"/>
          <w:highlight w:val="none"/>
        </w:rPr>
      </w:pPr>
      <w:r>
        <w:rPr>
          <w:rFonts w:hint="eastAsia" w:ascii="仿宋" w:hAnsi="仿宋" w:eastAsia="仿宋" w:cs="Arial"/>
          <w:b/>
          <w:color w:val="auto"/>
          <w:sz w:val="48"/>
          <w:szCs w:val="48"/>
          <w:highlight w:val="none"/>
        </w:rPr>
        <w:t>中国石油大学（北京）</w:t>
      </w:r>
    </w:p>
    <w:p w14:paraId="2914B0F8">
      <w:pPr>
        <w:rPr>
          <w:rFonts w:ascii="仿宋" w:hAnsi="仿宋" w:eastAsia="仿宋" w:cs="Arial"/>
          <w:b/>
          <w:color w:val="auto"/>
          <w:sz w:val="48"/>
          <w:szCs w:val="48"/>
          <w:highlight w:val="none"/>
        </w:rPr>
      </w:pPr>
    </w:p>
    <w:p w14:paraId="54F9D119">
      <w:pPr>
        <w:rPr>
          <w:rFonts w:ascii="仿宋" w:hAnsi="仿宋" w:eastAsia="仿宋" w:cs="Arial"/>
          <w:b/>
          <w:color w:val="auto"/>
          <w:sz w:val="48"/>
          <w:szCs w:val="48"/>
          <w:highlight w:val="none"/>
        </w:rPr>
      </w:pPr>
      <w:r>
        <w:rPr>
          <w:rFonts w:ascii="仿宋" w:hAnsi="仿宋" w:eastAsia="仿宋" w:cs="Arial"/>
          <w:b/>
          <w:color w:val="auto"/>
          <w:sz w:val="48"/>
          <w:szCs w:val="48"/>
          <w:highlight w:val="none"/>
          <w:u w:val="single"/>
        </w:rPr>
        <w:t xml:space="preserve">                            </w:t>
      </w:r>
      <w:r>
        <w:rPr>
          <w:rFonts w:hint="eastAsia" w:ascii="仿宋" w:hAnsi="仿宋" w:eastAsia="仿宋" w:cs="Arial"/>
          <w:b/>
          <w:color w:val="auto"/>
          <w:sz w:val="48"/>
          <w:szCs w:val="48"/>
          <w:highlight w:val="none"/>
        </w:rPr>
        <w:t>合同</w:t>
      </w:r>
    </w:p>
    <w:p w14:paraId="4ED16CC5">
      <w:pPr>
        <w:rPr>
          <w:rFonts w:ascii="仿宋" w:hAnsi="仿宋" w:eastAsia="仿宋" w:cs="Arial"/>
          <w:b/>
          <w:color w:val="auto"/>
          <w:sz w:val="48"/>
          <w:szCs w:val="48"/>
          <w:highlight w:val="none"/>
        </w:rPr>
      </w:pPr>
      <w:r>
        <w:rPr>
          <w:rFonts w:ascii="仿宋" w:hAnsi="仿宋" w:eastAsia="仿宋" w:cs="Arial"/>
          <w:b/>
          <w:color w:val="auto"/>
          <w:sz w:val="48"/>
          <w:szCs w:val="48"/>
          <w:highlight w:val="none"/>
        </w:rPr>
        <w:t xml:space="preserve">               </w:t>
      </w:r>
    </w:p>
    <w:p w14:paraId="5CDE92A4">
      <w:pPr>
        <w:jc w:val="center"/>
        <w:rPr>
          <w:rFonts w:ascii="仿宋" w:hAnsi="仿宋" w:eastAsia="仿宋" w:cs="Arial"/>
          <w:b/>
          <w:color w:val="auto"/>
          <w:sz w:val="48"/>
          <w:szCs w:val="48"/>
          <w:highlight w:val="none"/>
        </w:rPr>
      </w:pPr>
    </w:p>
    <w:p w14:paraId="0E25A2FC">
      <w:pPr>
        <w:jc w:val="center"/>
        <w:rPr>
          <w:rFonts w:ascii="仿宋" w:hAnsi="仿宋" w:eastAsia="仿宋" w:cs="Arial"/>
          <w:b/>
          <w:color w:val="auto"/>
          <w:sz w:val="48"/>
          <w:szCs w:val="48"/>
          <w:highlight w:val="none"/>
        </w:rPr>
      </w:pPr>
    </w:p>
    <w:p w14:paraId="2598413D">
      <w:pPr>
        <w:jc w:val="center"/>
        <w:rPr>
          <w:rFonts w:ascii="仿宋" w:hAnsi="仿宋" w:eastAsia="仿宋" w:cs="Arial"/>
          <w:b/>
          <w:color w:val="auto"/>
          <w:sz w:val="48"/>
          <w:szCs w:val="48"/>
          <w:highlight w:val="none"/>
        </w:rPr>
      </w:pPr>
    </w:p>
    <w:p w14:paraId="2B7BF2E6">
      <w:pPr>
        <w:jc w:val="center"/>
        <w:rPr>
          <w:rFonts w:ascii="仿宋" w:hAnsi="仿宋" w:eastAsia="仿宋" w:cs="Arial"/>
          <w:b/>
          <w:color w:val="auto"/>
          <w:sz w:val="48"/>
          <w:szCs w:val="48"/>
          <w:highlight w:val="none"/>
        </w:rPr>
      </w:pPr>
    </w:p>
    <w:p w14:paraId="4A73EDA8">
      <w:pPr>
        <w:jc w:val="center"/>
        <w:rPr>
          <w:rFonts w:ascii="仿宋" w:hAnsi="仿宋" w:eastAsia="仿宋" w:cs="Arial"/>
          <w:b/>
          <w:color w:val="auto"/>
          <w:sz w:val="48"/>
          <w:szCs w:val="48"/>
          <w:highlight w:val="none"/>
        </w:rPr>
      </w:pPr>
    </w:p>
    <w:p w14:paraId="2D7A39CB">
      <w:pPr>
        <w:jc w:val="center"/>
        <w:rPr>
          <w:rFonts w:ascii="仿宋" w:hAnsi="仿宋" w:eastAsia="仿宋" w:cs="Arial"/>
          <w:b/>
          <w:color w:val="auto"/>
          <w:sz w:val="48"/>
          <w:szCs w:val="48"/>
          <w:highlight w:val="none"/>
        </w:rPr>
      </w:pPr>
    </w:p>
    <w:p w14:paraId="36C3789C">
      <w:pPr>
        <w:jc w:val="center"/>
        <w:rPr>
          <w:rFonts w:ascii="仿宋" w:hAnsi="仿宋" w:eastAsia="仿宋" w:cs="Arial"/>
          <w:b/>
          <w:color w:val="auto"/>
          <w:sz w:val="48"/>
          <w:szCs w:val="48"/>
          <w:highlight w:val="none"/>
        </w:rPr>
      </w:pPr>
    </w:p>
    <w:p w14:paraId="2A6A1D9D">
      <w:pPr>
        <w:ind w:firstLine="361" w:firstLineChars="100"/>
        <w:rPr>
          <w:rFonts w:ascii="仿宋" w:hAnsi="仿宋" w:eastAsia="仿宋" w:cs="Arial"/>
          <w:b/>
          <w:color w:val="auto"/>
          <w:sz w:val="36"/>
          <w:szCs w:val="36"/>
          <w:highlight w:val="none"/>
        </w:rPr>
      </w:pPr>
      <w:r>
        <w:rPr>
          <w:rFonts w:hint="eastAsia" w:ascii="仿宋" w:hAnsi="仿宋" w:eastAsia="仿宋" w:cs="Arial"/>
          <w:b/>
          <w:color w:val="auto"/>
          <w:sz w:val="36"/>
          <w:szCs w:val="36"/>
          <w:highlight w:val="none"/>
        </w:rPr>
        <w:t>甲</w:t>
      </w:r>
      <w:r>
        <w:rPr>
          <w:rFonts w:ascii="仿宋" w:hAnsi="仿宋" w:eastAsia="仿宋" w:cs="Arial"/>
          <w:b/>
          <w:color w:val="auto"/>
          <w:sz w:val="36"/>
          <w:szCs w:val="36"/>
          <w:highlight w:val="none"/>
        </w:rPr>
        <w:t>方：</w:t>
      </w:r>
      <w:r>
        <w:rPr>
          <w:rFonts w:hint="eastAsia" w:ascii="仿宋" w:hAnsi="仿宋" w:eastAsia="仿宋" w:cs="Arial"/>
          <w:b/>
          <w:color w:val="auto"/>
          <w:sz w:val="36"/>
          <w:szCs w:val="36"/>
          <w:highlight w:val="none"/>
        </w:rPr>
        <w:t>中国石油大学（北京）</w:t>
      </w:r>
    </w:p>
    <w:p w14:paraId="60949765">
      <w:pPr>
        <w:jc w:val="center"/>
        <w:rPr>
          <w:rFonts w:ascii="仿宋" w:hAnsi="仿宋" w:eastAsia="仿宋" w:cs="Arial"/>
          <w:b/>
          <w:color w:val="auto"/>
          <w:sz w:val="36"/>
          <w:szCs w:val="36"/>
          <w:highlight w:val="none"/>
        </w:rPr>
      </w:pPr>
    </w:p>
    <w:p w14:paraId="7197427E">
      <w:pPr>
        <w:ind w:firstLine="361" w:firstLineChars="100"/>
        <w:rPr>
          <w:rFonts w:ascii="仿宋" w:hAnsi="仿宋" w:eastAsia="仿宋" w:cs="Arial"/>
          <w:b/>
          <w:color w:val="auto"/>
          <w:sz w:val="36"/>
          <w:szCs w:val="36"/>
          <w:highlight w:val="none"/>
        </w:rPr>
      </w:pPr>
      <w:r>
        <w:rPr>
          <w:rFonts w:hint="eastAsia" w:ascii="仿宋" w:hAnsi="仿宋" w:eastAsia="仿宋" w:cs="Arial"/>
          <w:b/>
          <w:color w:val="auto"/>
          <w:sz w:val="36"/>
          <w:szCs w:val="36"/>
          <w:highlight w:val="none"/>
        </w:rPr>
        <w:t>乙</w:t>
      </w:r>
      <w:r>
        <w:rPr>
          <w:rFonts w:ascii="仿宋" w:hAnsi="仿宋" w:eastAsia="仿宋" w:cs="Arial"/>
          <w:b/>
          <w:color w:val="auto"/>
          <w:sz w:val="36"/>
          <w:szCs w:val="36"/>
          <w:highlight w:val="none"/>
        </w:rPr>
        <w:t>方：</w:t>
      </w:r>
    </w:p>
    <w:p w14:paraId="581BF8CF">
      <w:pPr>
        <w:jc w:val="center"/>
        <w:rPr>
          <w:rFonts w:ascii="仿宋" w:hAnsi="仿宋" w:eastAsia="仿宋" w:cs="Arial"/>
          <w:b/>
          <w:color w:val="auto"/>
          <w:sz w:val="36"/>
          <w:szCs w:val="36"/>
          <w:highlight w:val="none"/>
        </w:rPr>
      </w:pPr>
    </w:p>
    <w:p w14:paraId="381B14B5">
      <w:pPr>
        <w:jc w:val="center"/>
        <w:rPr>
          <w:rFonts w:ascii="仿宋" w:hAnsi="仿宋" w:eastAsia="仿宋" w:cs="Arial"/>
          <w:b/>
          <w:color w:val="auto"/>
          <w:sz w:val="36"/>
          <w:szCs w:val="36"/>
          <w:highlight w:val="none"/>
        </w:rPr>
      </w:pPr>
      <w:r>
        <w:rPr>
          <w:rFonts w:ascii="仿宋" w:hAnsi="仿宋" w:eastAsia="仿宋" w:cs="Arial"/>
          <w:b/>
          <w:color w:val="auto"/>
          <w:sz w:val="36"/>
          <w:szCs w:val="36"/>
          <w:highlight w:val="none"/>
        </w:rPr>
        <w:t>二零</w:t>
      </w:r>
      <w:r>
        <w:rPr>
          <w:rFonts w:hint="eastAsia" w:ascii="仿宋" w:hAnsi="仿宋" w:eastAsia="仿宋" w:cs="Arial"/>
          <w:b/>
          <w:color w:val="auto"/>
          <w:sz w:val="36"/>
          <w:szCs w:val="36"/>
          <w:highlight w:val="none"/>
        </w:rPr>
        <w:t xml:space="preserve"> </w:t>
      </w:r>
      <w:r>
        <w:rPr>
          <w:rFonts w:ascii="仿宋" w:hAnsi="仿宋" w:eastAsia="仿宋" w:cs="Arial"/>
          <w:b/>
          <w:color w:val="auto"/>
          <w:sz w:val="36"/>
          <w:szCs w:val="36"/>
          <w:highlight w:val="none"/>
        </w:rPr>
        <w:t xml:space="preserve">   年    月</w:t>
      </w:r>
    </w:p>
    <w:p w14:paraId="1882F25B">
      <w:pPr>
        <w:jc w:val="center"/>
        <w:rPr>
          <w:rFonts w:ascii="宋体" w:hAnsi="宋体"/>
          <w:b/>
          <w:color w:val="auto"/>
          <w:sz w:val="32"/>
          <w:szCs w:val="32"/>
          <w:highlight w:val="none"/>
        </w:rPr>
      </w:pPr>
      <w:r>
        <w:rPr>
          <w:rFonts w:ascii="仿宋" w:hAnsi="仿宋" w:eastAsia="仿宋" w:cs="Arial"/>
          <w:b/>
          <w:color w:val="auto"/>
          <w:sz w:val="36"/>
          <w:szCs w:val="36"/>
          <w:highlight w:val="none"/>
        </w:rPr>
        <w:br w:type="page"/>
      </w:r>
      <w:r>
        <w:rPr>
          <w:rFonts w:hint="eastAsia" w:ascii="宋体" w:hAnsi="宋体"/>
          <w:b/>
          <w:color w:val="auto"/>
          <w:sz w:val="32"/>
          <w:szCs w:val="32"/>
          <w:highlight w:val="none"/>
        </w:rPr>
        <w:t>中国石油大学（北京）采购合同</w:t>
      </w:r>
    </w:p>
    <w:p w14:paraId="7FD4CC31">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需方(甲方)</w:t>
      </w:r>
      <w:r>
        <w:rPr>
          <w:rFonts w:hint="eastAsia" w:ascii="宋体" w:hAnsi="宋体"/>
          <w:color w:val="auto"/>
          <w:sz w:val="24"/>
          <w:highlight w:val="none"/>
          <w:u w:val="single"/>
        </w:rPr>
        <w:t>中国石油大学（北京）</w:t>
      </w:r>
    </w:p>
    <w:p w14:paraId="45595321">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供方(乙方)</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0AC19132">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合同编号：</w:t>
      </w:r>
    </w:p>
    <w:p w14:paraId="5B1F7BD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签订地点：克拉玛依</w:t>
      </w:r>
    </w:p>
    <w:p w14:paraId="39AF2A1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合同履行期限：   年    月    日----</w:t>
      </w:r>
      <w:r>
        <w:rPr>
          <w:rFonts w:ascii="宋体" w:hAnsi="宋体"/>
          <w:color w:val="auto"/>
          <w:sz w:val="24"/>
          <w:highlight w:val="none"/>
        </w:rPr>
        <w:t xml:space="preserve">    </w:t>
      </w:r>
      <w:r>
        <w:rPr>
          <w:rFonts w:hint="eastAsia" w:ascii="宋体" w:hAnsi="宋体"/>
          <w:color w:val="auto"/>
          <w:sz w:val="24"/>
          <w:highlight w:val="none"/>
        </w:rPr>
        <w:t xml:space="preserve">年    月    日 </w:t>
      </w:r>
    </w:p>
    <w:p w14:paraId="787BF1C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甲方XXXX项目，根据XXXXX方式确定乙方为本项目最终供货商。依据《中华人民共和国民法典》，现甲乙双方协商一致，签订如下合同条款，双方承诺遵照执行：</w:t>
      </w:r>
    </w:p>
    <w:p w14:paraId="588984D2">
      <w:pPr>
        <w:numPr>
          <w:ilvl w:val="0"/>
          <w:numId w:val="7"/>
        </w:numPr>
        <w:spacing w:line="620" w:lineRule="exact"/>
        <w:rPr>
          <w:rFonts w:ascii="宋体" w:hAnsi="宋体"/>
          <w:color w:val="auto"/>
          <w:sz w:val="24"/>
          <w:highlight w:val="none"/>
        </w:rPr>
      </w:pPr>
      <w:r>
        <w:rPr>
          <w:rFonts w:hint="eastAsia" w:ascii="宋体" w:hAnsi="宋体"/>
          <w:b/>
          <w:color w:val="auto"/>
          <w:sz w:val="24"/>
          <w:highlight w:val="none"/>
        </w:rPr>
        <w:t>产品名称（型号）、制造商名称、数量及价格</w:t>
      </w:r>
      <w:r>
        <w:rPr>
          <w:rFonts w:hint="eastAsia" w:ascii="宋体" w:hAnsi="宋体"/>
          <w:color w:val="auto"/>
          <w:sz w:val="24"/>
          <w:highlight w:val="none"/>
        </w:rPr>
        <w:t>：</w:t>
      </w:r>
    </w:p>
    <w:p w14:paraId="52D504EC">
      <w:pPr>
        <w:spacing w:line="620" w:lineRule="exact"/>
        <w:rPr>
          <w:rFonts w:ascii="宋体" w:hAnsi="宋体"/>
          <w:color w:val="auto"/>
          <w:sz w:val="24"/>
          <w:highlight w:val="none"/>
        </w:rPr>
      </w:pPr>
      <w:r>
        <w:rPr>
          <w:rFonts w:hint="eastAsia" w:ascii="宋体" w:hAnsi="宋体"/>
          <w:b/>
          <w:color w:val="auto"/>
          <w:sz w:val="24"/>
          <w:highlight w:val="none"/>
        </w:rPr>
        <w:t xml:space="preserve">总价：         </w:t>
      </w:r>
      <w:r>
        <w:rPr>
          <w:rFonts w:ascii="宋体" w:hAnsi="宋体"/>
          <w:b/>
          <w:color w:val="auto"/>
          <w:sz w:val="24"/>
          <w:highlight w:val="none"/>
        </w:rPr>
        <w:t xml:space="preserve">                                         </w:t>
      </w:r>
      <w:r>
        <w:rPr>
          <w:rFonts w:hint="eastAsia" w:ascii="宋体" w:hAnsi="宋体"/>
          <w:b/>
          <w:color w:val="auto"/>
          <w:sz w:val="24"/>
          <w:highlight w:val="none"/>
        </w:rPr>
        <w:t>货币单位：元</w:t>
      </w:r>
    </w:p>
    <w:tbl>
      <w:tblPr>
        <w:tblStyle w:val="39"/>
        <w:tblW w:w="9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4"/>
        <w:gridCol w:w="707"/>
        <w:gridCol w:w="1548"/>
        <w:gridCol w:w="1552"/>
        <w:gridCol w:w="1548"/>
        <w:gridCol w:w="1220"/>
      </w:tblGrid>
      <w:tr w14:paraId="21683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24" w:type="dxa"/>
            <w:noWrap w:val="0"/>
            <w:vAlign w:val="center"/>
          </w:tcPr>
          <w:p w14:paraId="62303B77">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 xml:space="preserve">产品名称 </w:t>
            </w:r>
            <w:r>
              <w:rPr>
                <w:rFonts w:ascii="宋体" w:hAnsi="宋体"/>
                <w:b/>
                <w:color w:val="auto"/>
                <w:sz w:val="24"/>
                <w:highlight w:val="none"/>
              </w:rPr>
              <w:t xml:space="preserve">  </w:t>
            </w:r>
          </w:p>
        </w:tc>
        <w:tc>
          <w:tcPr>
            <w:tcW w:w="707" w:type="dxa"/>
            <w:noWrap w:val="0"/>
            <w:vAlign w:val="top"/>
          </w:tcPr>
          <w:p w14:paraId="4D98F567">
            <w:pPr>
              <w:spacing w:line="620" w:lineRule="exact"/>
              <w:rPr>
                <w:rFonts w:ascii="宋体" w:hAnsi="宋体"/>
                <w:b/>
                <w:color w:val="auto"/>
                <w:sz w:val="24"/>
                <w:highlight w:val="none"/>
              </w:rPr>
            </w:pPr>
            <w:r>
              <w:rPr>
                <w:rFonts w:hint="eastAsia" w:ascii="宋体" w:hAnsi="宋体"/>
                <w:b/>
                <w:color w:val="auto"/>
                <w:sz w:val="24"/>
                <w:highlight w:val="none"/>
              </w:rPr>
              <w:t>型号</w:t>
            </w:r>
          </w:p>
        </w:tc>
        <w:tc>
          <w:tcPr>
            <w:tcW w:w="1548" w:type="dxa"/>
            <w:noWrap w:val="0"/>
            <w:vAlign w:val="center"/>
          </w:tcPr>
          <w:p w14:paraId="4E213EEF">
            <w:pPr>
              <w:spacing w:line="620" w:lineRule="exact"/>
              <w:rPr>
                <w:rFonts w:ascii="宋体" w:hAnsi="宋体"/>
                <w:b/>
                <w:color w:val="auto"/>
                <w:sz w:val="24"/>
                <w:highlight w:val="none"/>
              </w:rPr>
            </w:pPr>
            <w:r>
              <w:rPr>
                <w:rFonts w:hint="eastAsia" w:ascii="宋体" w:hAnsi="宋体"/>
                <w:b/>
                <w:color w:val="auto"/>
                <w:sz w:val="24"/>
                <w:highlight w:val="none"/>
              </w:rPr>
              <w:t>制造商名称</w:t>
            </w:r>
          </w:p>
        </w:tc>
        <w:tc>
          <w:tcPr>
            <w:tcW w:w="1552" w:type="dxa"/>
            <w:noWrap w:val="0"/>
            <w:vAlign w:val="center"/>
          </w:tcPr>
          <w:p w14:paraId="472DA2CD">
            <w:pPr>
              <w:spacing w:line="620" w:lineRule="exact"/>
              <w:rPr>
                <w:rFonts w:ascii="宋体" w:hAnsi="宋体"/>
                <w:b/>
                <w:color w:val="auto"/>
                <w:sz w:val="24"/>
                <w:highlight w:val="none"/>
              </w:rPr>
            </w:pPr>
            <w:r>
              <w:rPr>
                <w:rFonts w:hint="eastAsia" w:ascii="宋体" w:hAnsi="宋体"/>
                <w:b/>
                <w:color w:val="auto"/>
                <w:sz w:val="24"/>
                <w:highlight w:val="none"/>
              </w:rPr>
              <w:t>数量/单位</w:t>
            </w:r>
          </w:p>
        </w:tc>
        <w:tc>
          <w:tcPr>
            <w:tcW w:w="1548" w:type="dxa"/>
            <w:noWrap w:val="0"/>
            <w:vAlign w:val="center"/>
          </w:tcPr>
          <w:p w14:paraId="1BD1D013">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单价</w:t>
            </w:r>
          </w:p>
        </w:tc>
        <w:tc>
          <w:tcPr>
            <w:tcW w:w="1220" w:type="dxa"/>
            <w:noWrap w:val="0"/>
            <w:vAlign w:val="center"/>
          </w:tcPr>
          <w:p w14:paraId="5A5E2C0B">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合计</w:t>
            </w:r>
          </w:p>
        </w:tc>
      </w:tr>
      <w:tr w14:paraId="5D02F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24" w:type="dxa"/>
            <w:noWrap w:val="0"/>
            <w:vAlign w:val="center"/>
          </w:tcPr>
          <w:p w14:paraId="6CDA8AFF">
            <w:pPr>
              <w:spacing w:line="620" w:lineRule="exact"/>
              <w:ind w:firstLine="480" w:firstLineChars="200"/>
              <w:rPr>
                <w:rFonts w:ascii="宋体" w:hAnsi="宋体"/>
                <w:color w:val="auto"/>
                <w:sz w:val="24"/>
                <w:highlight w:val="none"/>
              </w:rPr>
            </w:pPr>
          </w:p>
        </w:tc>
        <w:tc>
          <w:tcPr>
            <w:tcW w:w="707" w:type="dxa"/>
            <w:noWrap w:val="0"/>
            <w:vAlign w:val="top"/>
          </w:tcPr>
          <w:p w14:paraId="1B67C1C3">
            <w:pPr>
              <w:spacing w:line="620" w:lineRule="exact"/>
              <w:ind w:firstLine="480" w:firstLineChars="200"/>
              <w:rPr>
                <w:rFonts w:ascii="宋体" w:hAnsi="宋体"/>
                <w:color w:val="auto"/>
                <w:sz w:val="24"/>
                <w:highlight w:val="none"/>
              </w:rPr>
            </w:pPr>
          </w:p>
        </w:tc>
        <w:tc>
          <w:tcPr>
            <w:tcW w:w="1548" w:type="dxa"/>
            <w:noWrap w:val="0"/>
            <w:vAlign w:val="center"/>
          </w:tcPr>
          <w:p w14:paraId="3BF6EEAA">
            <w:pPr>
              <w:spacing w:line="620" w:lineRule="exact"/>
              <w:ind w:firstLine="480" w:firstLineChars="200"/>
              <w:rPr>
                <w:rFonts w:ascii="宋体" w:hAnsi="宋体"/>
                <w:color w:val="auto"/>
                <w:sz w:val="24"/>
                <w:highlight w:val="none"/>
              </w:rPr>
            </w:pPr>
          </w:p>
        </w:tc>
        <w:tc>
          <w:tcPr>
            <w:tcW w:w="1552" w:type="dxa"/>
            <w:noWrap w:val="0"/>
            <w:vAlign w:val="center"/>
          </w:tcPr>
          <w:p w14:paraId="50C863C8">
            <w:pPr>
              <w:spacing w:line="620" w:lineRule="exact"/>
              <w:ind w:firstLine="480" w:firstLineChars="200"/>
              <w:rPr>
                <w:rFonts w:ascii="宋体" w:hAnsi="宋体"/>
                <w:color w:val="auto"/>
                <w:sz w:val="24"/>
                <w:highlight w:val="none"/>
              </w:rPr>
            </w:pPr>
          </w:p>
        </w:tc>
        <w:tc>
          <w:tcPr>
            <w:tcW w:w="1548" w:type="dxa"/>
            <w:noWrap w:val="0"/>
            <w:vAlign w:val="center"/>
          </w:tcPr>
          <w:p w14:paraId="291987C4">
            <w:pPr>
              <w:spacing w:line="620" w:lineRule="exact"/>
              <w:ind w:firstLine="480" w:firstLineChars="200"/>
              <w:rPr>
                <w:rFonts w:ascii="宋体" w:hAnsi="宋体"/>
                <w:color w:val="auto"/>
                <w:sz w:val="24"/>
                <w:highlight w:val="none"/>
              </w:rPr>
            </w:pPr>
          </w:p>
        </w:tc>
        <w:tc>
          <w:tcPr>
            <w:tcW w:w="1220" w:type="dxa"/>
            <w:noWrap w:val="0"/>
            <w:vAlign w:val="center"/>
          </w:tcPr>
          <w:p w14:paraId="32AB0F97">
            <w:pPr>
              <w:spacing w:line="620" w:lineRule="exact"/>
              <w:ind w:firstLine="480" w:firstLineChars="200"/>
              <w:rPr>
                <w:rFonts w:ascii="宋体" w:hAnsi="宋体"/>
                <w:color w:val="auto"/>
                <w:sz w:val="24"/>
                <w:highlight w:val="none"/>
              </w:rPr>
            </w:pPr>
          </w:p>
        </w:tc>
      </w:tr>
      <w:tr w14:paraId="10890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624" w:type="dxa"/>
            <w:noWrap w:val="0"/>
            <w:vAlign w:val="bottom"/>
          </w:tcPr>
          <w:p w14:paraId="460045DA">
            <w:pPr>
              <w:spacing w:line="620" w:lineRule="exact"/>
              <w:rPr>
                <w:rFonts w:ascii="宋体" w:hAnsi="宋体"/>
                <w:color w:val="auto"/>
                <w:sz w:val="24"/>
                <w:highlight w:val="none"/>
              </w:rPr>
            </w:pPr>
            <w:r>
              <w:rPr>
                <w:rFonts w:hint="eastAsia" w:ascii="宋体" w:hAnsi="宋体"/>
                <w:b/>
                <w:color w:val="auto"/>
                <w:highlight w:val="none"/>
              </w:rPr>
              <w:t>合同总价（含税）</w:t>
            </w:r>
            <w:r>
              <w:rPr>
                <w:rFonts w:hint="eastAsia" w:ascii="宋体" w:hAnsi="宋体"/>
                <w:b/>
                <w:color w:val="auto"/>
                <w:kern w:val="0"/>
                <w:highlight w:val="none"/>
              </w:rPr>
              <w:t>（包含进出口环节的一切费用）</w:t>
            </w:r>
            <w:r>
              <w:rPr>
                <w:rFonts w:hint="eastAsia" w:ascii="宋体" w:hAnsi="宋体"/>
                <w:b/>
                <w:color w:val="auto"/>
                <w:sz w:val="24"/>
                <w:highlight w:val="none"/>
              </w:rPr>
              <w:t xml:space="preserve">                      </w:t>
            </w:r>
          </w:p>
        </w:tc>
        <w:tc>
          <w:tcPr>
            <w:tcW w:w="3807" w:type="dxa"/>
            <w:gridSpan w:val="3"/>
            <w:noWrap w:val="0"/>
            <w:vAlign w:val="bottom"/>
          </w:tcPr>
          <w:p w14:paraId="6DD80490">
            <w:pPr>
              <w:spacing w:line="620" w:lineRule="exact"/>
              <w:jc w:val="left"/>
              <w:rPr>
                <w:rFonts w:ascii="宋体" w:hAnsi="宋体"/>
                <w:color w:val="auto"/>
                <w:sz w:val="24"/>
                <w:highlight w:val="none"/>
              </w:rPr>
            </w:pPr>
            <w:r>
              <w:rPr>
                <w:rFonts w:hint="eastAsia" w:ascii="宋体" w:hAnsi="宋体"/>
                <w:b/>
                <w:color w:val="auto"/>
                <w:sz w:val="24"/>
                <w:highlight w:val="none"/>
              </w:rPr>
              <w:t>（大写）：</w:t>
            </w:r>
          </w:p>
        </w:tc>
        <w:tc>
          <w:tcPr>
            <w:tcW w:w="2768" w:type="dxa"/>
            <w:gridSpan w:val="2"/>
            <w:noWrap w:val="0"/>
            <w:vAlign w:val="bottom"/>
          </w:tcPr>
          <w:p w14:paraId="0653C389">
            <w:pPr>
              <w:spacing w:line="620" w:lineRule="exact"/>
              <w:rPr>
                <w:rFonts w:ascii="宋体" w:hAnsi="宋体"/>
                <w:color w:val="auto"/>
                <w:sz w:val="24"/>
                <w:highlight w:val="none"/>
              </w:rPr>
            </w:pPr>
            <w:r>
              <w:rPr>
                <w:rFonts w:hint="eastAsia" w:ascii="宋体" w:hAnsi="宋体"/>
                <w:b/>
                <w:color w:val="auto"/>
                <w:sz w:val="24"/>
                <w:highlight w:val="none"/>
              </w:rPr>
              <w:t>（小写）：</w:t>
            </w:r>
          </w:p>
        </w:tc>
      </w:tr>
    </w:tbl>
    <w:p w14:paraId="063C0B7F">
      <w:pPr>
        <w:spacing w:line="360" w:lineRule="auto"/>
        <w:rPr>
          <w:rFonts w:ascii="宋体" w:hAnsi="宋体"/>
          <w:b/>
          <w:color w:val="auto"/>
          <w:sz w:val="24"/>
          <w:highlight w:val="none"/>
        </w:rPr>
      </w:pPr>
      <w:r>
        <w:rPr>
          <w:rFonts w:hint="eastAsia" w:ascii="宋体" w:hAnsi="宋体"/>
          <w:b/>
          <w:color w:val="auto"/>
          <w:sz w:val="24"/>
          <w:highlight w:val="none"/>
        </w:rPr>
        <w:t>分项报价：                                               货币单位：元</w:t>
      </w:r>
    </w:p>
    <w:tbl>
      <w:tblPr>
        <w:tblStyle w:val="39"/>
        <w:tblW w:w="9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3"/>
        <w:gridCol w:w="1596"/>
        <w:gridCol w:w="2079"/>
        <w:gridCol w:w="6"/>
        <w:gridCol w:w="944"/>
        <w:gridCol w:w="1542"/>
      </w:tblGrid>
      <w:tr w14:paraId="1E2EC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63" w:type="dxa"/>
            <w:tcBorders>
              <w:top w:val="single" w:color="auto" w:sz="4" w:space="0"/>
              <w:left w:val="single" w:color="auto" w:sz="4" w:space="0"/>
              <w:bottom w:val="single" w:color="auto" w:sz="4" w:space="0"/>
              <w:right w:val="single" w:color="auto" w:sz="4" w:space="0"/>
            </w:tcBorders>
            <w:noWrap w:val="0"/>
            <w:vAlign w:val="center"/>
          </w:tcPr>
          <w:p w14:paraId="20005118">
            <w:pPr>
              <w:spacing w:line="360" w:lineRule="auto"/>
              <w:jc w:val="center"/>
              <w:rPr>
                <w:rFonts w:hint="eastAsia" w:ascii="宋体" w:hAnsi="宋体"/>
                <w:b/>
                <w:color w:val="auto"/>
                <w:sz w:val="24"/>
                <w:highlight w:val="none"/>
              </w:rPr>
            </w:pPr>
            <w:r>
              <w:rPr>
                <w:rFonts w:hint="eastAsia" w:ascii="宋体" w:hAnsi="宋体"/>
                <w:b/>
                <w:color w:val="auto"/>
                <w:sz w:val="24"/>
                <w:highlight w:val="none"/>
              </w:rPr>
              <w:t>产品名称 （型号）</w:t>
            </w:r>
          </w:p>
        </w:tc>
        <w:tc>
          <w:tcPr>
            <w:tcW w:w="1596" w:type="dxa"/>
            <w:tcBorders>
              <w:top w:val="single" w:color="auto" w:sz="4" w:space="0"/>
              <w:left w:val="single" w:color="auto" w:sz="4" w:space="0"/>
              <w:bottom w:val="single" w:color="auto" w:sz="4" w:space="0"/>
              <w:right w:val="single" w:color="auto" w:sz="4" w:space="0"/>
            </w:tcBorders>
            <w:noWrap w:val="0"/>
            <w:vAlign w:val="center"/>
          </w:tcPr>
          <w:p w14:paraId="236FF0F0">
            <w:pPr>
              <w:spacing w:line="360" w:lineRule="auto"/>
              <w:jc w:val="center"/>
              <w:rPr>
                <w:rFonts w:hint="eastAsia" w:ascii="宋体" w:hAnsi="宋体"/>
                <w:b/>
                <w:color w:val="auto"/>
                <w:sz w:val="24"/>
                <w:highlight w:val="none"/>
              </w:rPr>
            </w:pPr>
            <w:r>
              <w:rPr>
                <w:rFonts w:hint="eastAsia" w:ascii="宋体" w:hAnsi="宋体"/>
                <w:b/>
                <w:color w:val="auto"/>
                <w:sz w:val="24"/>
                <w:highlight w:val="none"/>
              </w:rPr>
              <w:t>产地和</w:t>
            </w:r>
          </w:p>
          <w:p w14:paraId="43E82FC8">
            <w:pPr>
              <w:spacing w:line="360" w:lineRule="auto"/>
              <w:jc w:val="center"/>
              <w:rPr>
                <w:rFonts w:hint="eastAsia" w:ascii="宋体" w:hAnsi="宋体"/>
                <w:b/>
                <w:color w:val="auto"/>
                <w:sz w:val="24"/>
                <w:highlight w:val="none"/>
              </w:rPr>
            </w:pPr>
            <w:r>
              <w:rPr>
                <w:rFonts w:hint="eastAsia" w:ascii="宋体" w:hAnsi="宋体"/>
                <w:b/>
                <w:color w:val="auto"/>
                <w:sz w:val="24"/>
                <w:highlight w:val="none"/>
              </w:rPr>
              <w:t>制造商名称</w:t>
            </w:r>
          </w:p>
        </w:tc>
        <w:tc>
          <w:tcPr>
            <w:tcW w:w="2085" w:type="dxa"/>
            <w:gridSpan w:val="2"/>
            <w:tcBorders>
              <w:top w:val="single" w:color="auto" w:sz="4" w:space="0"/>
              <w:left w:val="single" w:color="auto" w:sz="4" w:space="0"/>
              <w:bottom w:val="single" w:color="auto" w:sz="4" w:space="0"/>
              <w:right w:val="single" w:color="auto" w:sz="4" w:space="0"/>
            </w:tcBorders>
            <w:noWrap w:val="0"/>
            <w:vAlign w:val="center"/>
          </w:tcPr>
          <w:p w14:paraId="155A31B2">
            <w:pPr>
              <w:spacing w:line="360" w:lineRule="auto"/>
              <w:jc w:val="center"/>
              <w:rPr>
                <w:rFonts w:hint="eastAsia" w:ascii="宋体" w:hAnsi="宋体"/>
                <w:b/>
                <w:color w:val="auto"/>
                <w:sz w:val="24"/>
                <w:highlight w:val="none"/>
              </w:rPr>
            </w:pPr>
            <w:r>
              <w:rPr>
                <w:rFonts w:hint="eastAsia" w:ascii="宋体" w:hAnsi="宋体"/>
                <w:b/>
                <w:color w:val="auto"/>
                <w:sz w:val="24"/>
                <w:highlight w:val="none"/>
              </w:rPr>
              <w:t>数量/单位</w:t>
            </w:r>
          </w:p>
        </w:tc>
        <w:tc>
          <w:tcPr>
            <w:tcW w:w="944" w:type="dxa"/>
            <w:tcBorders>
              <w:top w:val="single" w:color="auto" w:sz="4" w:space="0"/>
              <w:left w:val="single" w:color="auto" w:sz="4" w:space="0"/>
              <w:bottom w:val="single" w:color="auto" w:sz="4" w:space="0"/>
              <w:right w:val="single" w:color="auto" w:sz="4" w:space="0"/>
            </w:tcBorders>
            <w:noWrap w:val="0"/>
            <w:vAlign w:val="center"/>
          </w:tcPr>
          <w:p w14:paraId="1003BE36">
            <w:pPr>
              <w:spacing w:line="360" w:lineRule="auto"/>
              <w:jc w:val="center"/>
              <w:rPr>
                <w:rFonts w:hint="eastAsia" w:ascii="宋体" w:hAnsi="宋体"/>
                <w:b/>
                <w:color w:val="auto"/>
                <w:sz w:val="24"/>
                <w:highlight w:val="none"/>
              </w:rPr>
            </w:pPr>
            <w:r>
              <w:rPr>
                <w:rFonts w:hint="eastAsia" w:ascii="宋体" w:hAnsi="宋体"/>
                <w:b/>
                <w:color w:val="auto"/>
                <w:sz w:val="24"/>
                <w:highlight w:val="none"/>
              </w:rPr>
              <w:t>单价</w:t>
            </w:r>
          </w:p>
        </w:tc>
        <w:tc>
          <w:tcPr>
            <w:tcW w:w="1542" w:type="dxa"/>
            <w:tcBorders>
              <w:top w:val="single" w:color="auto" w:sz="4" w:space="0"/>
              <w:left w:val="single" w:color="auto" w:sz="4" w:space="0"/>
              <w:bottom w:val="single" w:color="auto" w:sz="4" w:space="0"/>
              <w:right w:val="single" w:color="auto" w:sz="4" w:space="0"/>
            </w:tcBorders>
            <w:noWrap w:val="0"/>
            <w:vAlign w:val="center"/>
          </w:tcPr>
          <w:p w14:paraId="6312F583">
            <w:pPr>
              <w:spacing w:line="360" w:lineRule="auto"/>
              <w:jc w:val="center"/>
              <w:rPr>
                <w:rFonts w:hint="eastAsia" w:ascii="宋体" w:hAnsi="宋体"/>
                <w:b/>
                <w:color w:val="auto"/>
                <w:sz w:val="24"/>
                <w:highlight w:val="none"/>
              </w:rPr>
            </w:pPr>
            <w:r>
              <w:rPr>
                <w:rFonts w:hint="eastAsia" w:ascii="宋体" w:hAnsi="宋体"/>
                <w:b/>
                <w:color w:val="auto"/>
                <w:sz w:val="24"/>
                <w:highlight w:val="none"/>
              </w:rPr>
              <w:t>总价</w:t>
            </w:r>
          </w:p>
        </w:tc>
      </w:tr>
      <w:tr w14:paraId="0AC0F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63" w:type="dxa"/>
            <w:tcBorders>
              <w:top w:val="single" w:color="auto" w:sz="4" w:space="0"/>
              <w:left w:val="single" w:color="auto" w:sz="4" w:space="0"/>
              <w:bottom w:val="single" w:color="auto" w:sz="4" w:space="0"/>
              <w:right w:val="single" w:color="auto" w:sz="4" w:space="0"/>
            </w:tcBorders>
            <w:noWrap w:val="0"/>
            <w:vAlign w:val="center"/>
          </w:tcPr>
          <w:p w14:paraId="37153CA9">
            <w:pPr>
              <w:spacing w:line="360" w:lineRule="auto"/>
              <w:jc w:val="center"/>
              <w:rPr>
                <w:rFonts w:hint="eastAsia" w:ascii="宋体" w:hAnsi="宋体"/>
                <w:color w:val="auto"/>
                <w:sz w:val="24"/>
                <w:highlight w:val="none"/>
              </w:rPr>
            </w:pPr>
          </w:p>
        </w:tc>
        <w:tc>
          <w:tcPr>
            <w:tcW w:w="1596" w:type="dxa"/>
            <w:tcBorders>
              <w:top w:val="single" w:color="auto" w:sz="4" w:space="0"/>
              <w:left w:val="single" w:color="auto" w:sz="4" w:space="0"/>
              <w:bottom w:val="single" w:color="auto" w:sz="4" w:space="0"/>
              <w:right w:val="single" w:color="auto" w:sz="4" w:space="0"/>
            </w:tcBorders>
            <w:noWrap w:val="0"/>
            <w:vAlign w:val="center"/>
          </w:tcPr>
          <w:p w14:paraId="3FF49060">
            <w:pPr>
              <w:spacing w:line="360" w:lineRule="auto"/>
              <w:jc w:val="center"/>
              <w:rPr>
                <w:rFonts w:hint="eastAsia" w:ascii="宋体" w:hAnsi="宋体"/>
                <w:color w:val="auto"/>
                <w:sz w:val="24"/>
                <w:highlight w:val="none"/>
              </w:rPr>
            </w:pPr>
          </w:p>
        </w:tc>
        <w:tc>
          <w:tcPr>
            <w:tcW w:w="2085" w:type="dxa"/>
            <w:gridSpan w:val="2"/>
            <w:tcBorders>
              <w:top w:val="single" w:color="auto" w:sz="4" w:space="0"/>
              <w:left w:val="single" w:color="auto" w:sz="4" w:space="0"/>
              <w:bottom w:val="single" w:color="auto" w:sz="4" w:space="0"/>
              <w:right w:val="single" w:color="auto" w:sz="4" w:space="0"/>
            </w:tcBorders>
            <w:noWrap w:val="0"/>
            <w:vAlign w:val="center"/>
          </w:tcPr>
          <w:p w14:paraId="240C2D90">
            <w:pPr>
              <w:spacing w:line="360" w:lineRule="auto"/>
              <w:jc w:val="center"/>
              <w:rPr>
                <w:rFonts w:hint="eastAsia" w:ascii="宋体" w:hAnsi="宋体"/>
                <w:color w:val="auto"/>
                <w:sz w:val="24"/>
                <w:highlight w:val="none"/>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01C47104">
            <w:pPr>
              <w:spacing w:line="360" w:lineRule="auto"/>
              <w:jc w:val="center"/>
              <w:rPr>
                <w:rFonts w:hint="eastAsia" w:ascii="宋体" w:hAnsi="宋体"/>
                <w:color w:val="auto"/>
                <w:sz w:val="24"/>
                <w:highlight w:val="none"/>
              </w:rPr>
            </w:pPr>
          </w:p>
        </w:tc>
        <w:tc>
          <w:tcPr>
            <w:tcW w:w="1542" w:type="dxa"/>
            <w:tcBorders>
              <w:top w:val="single" w:color="auto" w:sz="4" w:space="0"/>
              <w:left w:val="single" w:color="auto" w:sz="4" w:space="0"/>
              <w:bottom w:val="single" w:color="auto" w:sz="4" w:space="0"/>
              <w:right w:val="single" w:color="auto" w:sz="4" w:space="0"/>
            </w:tcBorders>
            <w:noWrap w:val="0"/>
            <w:vAlign w:val="center"/>
          </w:tcPr>
          <w:p w14:paraId="5BD5A959">
            <w:pPr>
              <w:spacing w:line="360" w:lineRule="auto"/>
              <w:jc w:val="center"/>
              <w:rPr>
                <w:rFonts w:hint="eastAsia" w:ascii="宋体" w:hAnsi="宋体"/>
                <w:color w:val="auto"/>
                <w:sz w:val="24"/>
                <w:highlight w:val="none"/>
              </w:rPr>
            </w:pPr>
          </w:p>
        </w:tc>
      </w:tr>
      <w:tr w14:paraId="12C5F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63" w:type="dxa"/>
            <w:tcBorders>
              <w:top w:val="single" w:color="auto" w:sz="4" w:space="0"/>
              <w:left w:val="single" w:color="auto" w:sz="4" w:space="0"/>
              <w:bottom w:val="single" w:color="auto" w:sz="4" w:space="0"/>
              <w:right w:val="single" w:color="auto" w:sz="4" w:space="0"/>
            </w:tcBorders>
            <w:noWrap w:val="0"/>
            <w:vAlign w:val="center"/>
          </w:tcPr>
          <w:p w14:paraId="7CEADB72">
            <w:pPr>
              <w:spacing w:line="360" w:lineRule="auto"/>
              <w:jc w:val="center"/>
              <w:rPr>
                <w:rFonts w:hint="eastAsia" w:ascii="宋体" w:hAnsi="宋体"/>
                <w:color w:val="auto"/>
                <w:sz w:val="24"/>
                <w:highlight w:val="none"/>
              </w:rPr>
            </w:pPr>
          </w:p>
        </w:tc>
        <w:tc>
          <w:tcPr>
            <w:tcW w:w="1596" w:type="dxa"/>
            <w:tcBorders>
              <w:top w:val="single" w:color="auto" w:sz="4" w:space="0"/>
              <w:left w:val="single" w:color="auto" w:sz="4" w:space="0"/>
              <w:bottom w:val="single" w:color="auto" w:sz="4" w:space="0"/>
              <w:right w:val="single" w:color="auto" w:sz="4" w:space="0"/>
            </w:tcBorders>
            <w:noWrap w:val="0"/>
            <w:vAlign w:val="center"/>
          </w:tcPr>
          <w:p w14:paraId="2FBA2EE6">
            <w:pPr>
              <w:spacing w:line="360" w:lineRule="auto"/>
              <w:jc w:val="center"/>
              <w:rPr>
                <w:rFonts w:hint="eastAsia" w:ascii="宋体" w:hAnsi="宋体"/>
                <w:color w:val="auto"/>
                <w:sz w:val="24"/>
                <w:highlight w:val="none"/>
              </w:rPr>
            </w:pPr>
          </w:p>
        </w:tc>
        <w:tc>
          <w:tcPr>
            <w:tcW w:w="2085" w:type="dxa"/>
            <w:gridSpan w:val="2"/>
            <w:tcBorders>
              <w:top w:val="single" w:color="auto" w:sz="4" w:space="0"/>
              <w:left w:val="single" w:color="auto" w:sz="4" w:space="0"/>
              <w:bottom w:val="single" w:color="auto" w:sz="4" w:space="0"/>
              <w:right w:val="single" w:color="auto" w:sz="4" w:space="0"/>
            </w:tcBorders>
            <w:noWrap w:val="0"/>
            <w:vAlign w:val="center"/>
          </w:tcPr>
          <w:p w14:paraId="31026588">
            <w:pPr>
              <w:spacing w:line="360" w:lineRule="auto"/>
              <w:jc w:val="center"/>
              <w:rPr>
                <w:rFonts w:hint="eastAsia" w:ascii="宋体" w:hAnsi="宋体"/>
                <w:color w:val="auto"/>
                <w:sz w:val="24"/>
                <w:highlight w:val="none"/>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6F14074F">
            <w:pPr>
              <w:spacing w:line="360" w:lineRule="auto"/>
              <w:jc w:val="center"/>
              <w:rPr>
                <w:rFonts w:hint="eastAsia" w:ascii="宋体" w:hAnsi="宋体"/>
                <w:color w:val="auto"/>
                <w:sz w:val="24"/>
                <w:highlight w:val="none"/>
              </w:rPr>
            </w:pPr>
          </w:p>
        </w:tc>
        <w:tc>
          <w:tcPr>
            <w:tcW w:w="1542" w:type="dxa"/>
            <w:tcBorders>
              <w:top w:val="single" w:color="auto" w:sz="4" w:space="0"/>
              <w:left w:val="single" w:color="auto" w:sz="4" w:space="0"/>
              <w:bottom w:val="single" w:color="auto" w:sz="4" w:space="0"/>
              <w:right w:val="single" w:color="auto" w:sz="4" w:space="0"/>
            </w:tcBorders>
            <w:noWrap w:val="0"/>
            <w:vAlign w:val="center"/>
          </w:tcPr>
          <w:p w14:paraId="06EC696E">
            <w:pPr>
              <w:spacing w:line="360" w:lineRule="auto"/>
              <w:jc w:val="center"/>
              <w:rPr>
                <w:rFonts w:hint="eastAsia" w:ascii="宋体" w:hAnsi="宋体"/>
                <w:color w:val="auto"/>
                <w:sz w:val="24"/>
                <w:highlight w:val="none"/>
              </w:rPr>
            </w:pPr>
          </w:p>
        </w:tc>
      </w:tr>
      <w:tr w14:paraId="2DFB8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63" w:type="dxa"/>
            <w:tcBorders>
              <w:top w:val="single" w:color="auto" w:sz="4" w:space="0"/>
              <w:left w:val="single" w:color="auto" w:sz="4" w:space="0"/>
              <w:bottom w:val="single" w:color="auto" w:sz="4" w:space="0"/>
              <w:right w:val="single" w:color="auto" w:sz="4" w:space="0"/>
            </w:tcBorders>
            <w:noWrap w:val="0"/>
            <w:vAlign w:val="center"/>
          </w:tcPr>
          <w:p w14:paraId="0689F03B">
            <w:pPr>
              <w:spacing w:line="360" w:lineRule="auto"/>
              <w:jc w:val="center"/>
              <w:rPr>
                <w:rFonts w:hint="eastAsia" w:ascii="宋体" w:hAnsi="宋体"/>
                <w:color w:val="auto"/>
                <w:sz w:val="24"/>
                <w:highlight w:val="none"/>
              </w:rPr>
            </w:pPr>
          </w:p>
        </w:tc>
        <w:tc>
          <w:tcPr>
            <w:tcW w:w="1596" w:type="dxa"/>
            <w:tcBorders>
              <w:top w:val="single" w:color="auto" w:sz="4" w:space="0"/>
              <w:left w:val="single" w:color="auto" w:sz="4" w:space="0"/>
              <w:bottom w:val="single" w:color="auto" w:sz="4" w:space="0"/>
              <w:right w:val="single" w:color="auto" w:sz="4" w:space="0"/>
            </w:tcBorders>
            <w:noWrap w:val="0"/>
            <w:vAlign w:val="center"/>
          </w:tcPr>
          <w:p w14:paraId="0CAF9BE3">
            <w:pPr>
              <w:spacing w:line="360" w:lineRule="auto"/>
              <w:jc w:val="center"/>
              <w:rPr>
                <w:rFonts w:hint="eastAsia" w:ascii="宋体" w:hAnsi="宋体"/>
                <w:color w:val="auto"/>
                <w:sz w:val="24"/>
                <w:highlight w:val="none"/>
              </w:rPr>
            </w:pPr>
          </w:p>
        </w:tc>
        <w:tc>
          <w:tcPr>
            <w:tcW w:w="2085" w:type="dxa"/>
            <w:gridSpan w:val="2"/>
            <w:tcBorders>
              <w:top w:val="single" w:color="auto" w:sz="4" w:space="0"/>
              <w:left w:val="single" w:color="auto" w:sz="4" w:space="0"/>
              <w:bottom w:val="single" w:color="auto" w:sz="4" w:space="0"/>
              <w:right w:val="single" w:color="auto" w:sz="4" w:space="0"/>
            </w:tcBorders>
            <w:noWrap w:val="0"/>
            <w:vAlign w:val="center"/>
          </w:tcPr>
          <w:p w14:paraId="66F19546">
            <w:pPr>
              <w:spacing w:line="360" w:lineRule="auto"/>
              <w:jc w:val="center"/>
              <w:rPr>
                <w:rFonts w:hint="eastAsia" w:ascii="宋体" w:hAnsi="宋体"/>
                <w:color w:val="auto"/>
                <w:sz w:val="24"/>
                <w:highlight w:val="none"/>
              </w:rPr>
            </w:pPr>
          </w:p>
        </w:tc>
        <w:tc>
          <w:tcPr>
            <w:tcW w:w="944" w:type="dxa"/>
            <w:tcBorders>
              <w:top w:val="single" w:color="auto" w:sz="4" w:space="0"/>
              <w:left w:val="single" w:color="auto" w:sz="4" w:space="0"/>
              <w:bottom w:val="single" w:color="auto" w:sz="4" w:space="0"/>
              <w:right w:val="single" w:color="auto" w:sz="4" w:space="0"/>
            </w:tcBorders>
            <w:noWrap w:val="0"/>
            <w:vAlign w:val="center"/>
          </w:tcPr>
          <w:p w14:paraId="55628F48">
            <w:pPr>
              <w:spacing w:line="360" w:lineRule="auto"/>
              <w:jc w:val="center"/>
              <w:rPr>
                <w:rFonts w:hint="eastAsia" w:ascii="宋体" w:hAnsi="宋体"/>
                <w:color w:val="auto"/>
                <w:sz w:val="24"/>
                <w:highlight w:val="none"/>
              </w:rPr>
            </w:pPr>
          </w:p>
        </w:tc>
        <w:tc>
          <w:tcPr>
            <w:tcW w:w="1542" w:type="dxa"/>
            <w:tcBorders>
              <w:top w:val="single" w:color="auto" w:sz="4" w:space="0"/>
              <w:left w:val="single" w:color="auto" w:sz="4" w:space="0"/>
              <w:bottom w:val="single" w:color="auto" w:sz="4" w:space="0"/>
              <w:right w:val="single" w:color="auto" w:sz="4" w:space="0"/>
            </w:tcBorders>
            <w:noWrap w:val="0"/>
            <w:vAlign w:val="center"/>
          </w:tcPr>
          <w:p w14:paraId="5DF04B60">
            <w:pPr>
              <w:spacing w:line="360" w:lineRule="auto"/>
              <w:jc w:val="center"/>
              <w:rPr>
                <w:rFonts w:hint="eastAsia" w:ascii="宋体" w:hAnsi="宋体"/>
                <w:color w:val="auto"/>
                <w:sz w:val="24"/>
                <w:highlight w:val="none"/>
              </w:rPr>
            </w:pPr>
          </w:p>
        </w:tc>
      </w:tr>
      <w:tr w14:paraId="54C5B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063" w:type="dxa"/>
            <w:tcBorders>
              <w:top w:val="single" w:color="auto" w:sz="4" w:space="0"/>
              <w:left w:val="single" w:color="auto" w:sz="4" w:space="0"/>
              <w:bottom w:val="single" w:color="auto" w:sz="4" w:space="0"/>
              <w:right w:val="single" w:color="auto" w:sz="4" w:space="0"/>
            </w:tcBorders>
            <w:noWrap w:val="0"/>
            <w:vAlign w:val="center"/>
          </w:tcPr>
          <w:p w14:paraId="7C62CDB8">
            <w:pPr>
              <w:spacing w:line="360" w:lineRule="auto"/>
              <w:rPr>
                <w:rFonts w:hint="eastAsia" w:ascii="宋体" w:hAnsi="宋体"/>
                <w:b/>
                <w:color w:val="auto"/>
                <w:sz w:val="24"/>
                <w:highlight w:val="none"/>
              </w:rPr>
            </w:pPr>
            <w:r>
              <w:rPr>
                <w:rFonts w:hint="eastAsia" w:ascii="宋体" w:hAnsi="宋体"/>
                <w:b/>
                <w:color w:val="auto"/>
                <w:sz w:val="24"/>
                <w:highlight w:val="none"/>
              </w:rPr>
              <w:t>合同总价（含税）</w:t>
            </w:r>
          </w:p>
        </w:tc>
        <w:tc>
          <w:tcPr>
            <w:tcW w:w="3675" w:type="dxa"/>
            <w:gridSpan w:val="2"/>
            <w:tcBorders>
              <w:top w:val="single" w:color="auto" w:sz="4" w:space="0"/>
              <w:left w:val="single" w:color="auto" w:sz="4" w:space="0"/>
              <w:bottom w:val="single" w:color="auto" w:sz="4" w:space="0"/>
              <w:right w:val="single" w:color="auto" w:sz="4" w:space="0"/>
            </w:tcBorders>
            <w:noWrap w:val="0"/>
            <w:vAlign w:val="center"/>
          </w:tcPr>
          <w:p w14:paraId="3C73612B">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（大写）：               </w:t>
            </w:r>
          </w:p>
        </w:tc>
        <w:tc>
          <w:tcPr>
            <w:tcW w:w="2492" w:type="dxa"/>
            <w:gridSpan w:val="3"/>
            <w:tcBorders>
              <w:top w:val="single" w:color="auto" w:sz="4" w:space="0"/>
              <w:left w:val="single" w:color="auto" w:sz="4" w:space="0"/>
              <w:bottom w:val="single" w:color="auto" w:sz="4" w:space="0"/>
              <w:right w:val="single" w:color="auto" w:sz="4" w:space="0"/>
            </w:tcBorders>
            <w:noWrap w:val="0"/>
            <w:vAlign w:val="center"/>
          </w:tcPr>
          <w:p w14:paraId="41D4A3E7">
            <w:pPr>
              <w:spacing w:line="360" w:lineRule="auto"/>
              <w:rPr>
                <w:rFonts w:hint="eastAsia" w:ascii="宋体" w:hAnsi="宋体"/>
                <w:b/>
                <w:color w:val="auto"/>
                <w:sz w:val="24"/>
                <w:highlight w:val="none"/>
              </w:rPr>
            </w:pPr>
            <w:r>
              <w:rPr>
                <w:rFonts w:hint="eastAsia" w:ascii="宋体" w:hAnsi="宋体"/>
                <w:b/>
                <w:color w:val="auto"/>
                <w:sz w:val="24"/>
                <w:highlight w:val="none"/>
              </w:rPr>
              <w:t>（小写）：</w:t>
            </w:r>
          </w:p>
        </w:tc>
      </w:tr>
    </w:tbl>
    <w:p w14:paraId="138B71C5">
      <w:pPr>
        <w:spacing w:line="620" w:lineRule="exact"/>
        <w:rPr>
          <w:rFonts w:ascii="宋体" w:hAnsi="宋体"/>
          <w:b/>
          <w:color w:val="auto"/>
          <w:sz w:val="24"/>
          <w:highlight w:val="none"/>
        </w:rPr>
      </w:pPr>
      <w:r>
        <w:rPr>
          <w:rFonts w:hint="eastAsia" w:ascii="宋体" w:hAnsi="宋体"/>
          <w:b/>
          <w:color w:val="auto"/>
          <w:sz w:val="24"/>
          <w:highlight w:val="none"/>
        </w:rPr>
        <w:t>2.第三方权利</w:t>
      </w:r>
    </w:p>
    <w:p w14:paraId="34E8224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乙方保证,甲方(包括产品实际使用人)使用本合同产品或其任何一部分，不会侵犯任何第三方的合法权利，包括但不限于：专利权、商标权、或其他工业产权。如有第三方向甲方或实际使用人主张上述权利，乙方应当负责妥善解决，承担全部成本与费用，造成损失的，乙方负责赔偿。</w:t>
      </w:r>
    </w:p>
    <w:p w14:paraId="5B949AF0">
      <w:pPr>
        <w:spacing w:line="620" w:lineRule="exact"/>
        <w:rPr>
          <w:rFonts w:ascii="宋体" w:hAnsi="宋体"/>
          <w:color w:val="auto"/>
          <w:sz w:val="24"/>
          <w:highlight w:val="none"/>
        </w:rPr>
      </w:pPr>
      <w:r>
        <w:rPr>
          <w:rFonts w:hint="eastAsia" w:ascii="宋体" w:hAnsi="宋体"/>
          <w:b/>
          <w:color w:val="auto"/>
          <w:sz w:val="24"/>
          <w:highlight w:val="none"/>
        </w:rPr>
        <w:t>3.质量保证</w:t>
      </w:r>
    </w:p>
    <w:p w14:paraId="0286786D">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3.1 乙方应保证所供产品为全新且未使用过的，产品是由原厂近期内生产的，产品质量应完全符合国家相关行业标准。</w:t>
      </w:r>
    </w:p>
    <w:p w14:paraId="5DC288B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3.2应保证其产品在正确安装、正常使用和保养条件下，在其使用寿命期内应具有符合质量要求和产品说明书的性能。</w:t>
      </w:r>
    </w:p>
    <w:p w14:paraId="6185AB5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3.3交付产品的技术规格应与招标文件或询价报价单、本合同规定的技术要求以及技术配置表（附件一）相一致。交付产品时，乙方还应当提供生产厂产品出厂合格证明。</w:t>
      </w:r>
    </w:p>
    <w:p w14:paraId="0DF67276">
      <w:pPr>
        <w:spacing w:line="620" w:lineRule="exact"/>
        <w:rPr>
          <w:rFonts w:ascii="宋体" w:hAnsi="宋体"/>
          <w:color w:val="auto"/>
          <w:sz w:val="24"/>
          <w:highlight w:val="none"/>
        </w:rPr>
      </w:pPr>
      <w:r>
        <w:rPr>
          <w:rFonts w:hint="eastAsia" w:ascii="宋体" w:hAnsi="宋体"/>
          <w:b/>
          <w:color w:val="auto"/>
          <w:sz w:val="24"/>
          <w:highlight w:val="none"/>
        </w:rPr>
        <w:t>4.交货中的产品保护</w:t>
      </w:r>
    </w:p>
    <w:p w14:paraId="06F5F925">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4.1 乙方应合理选择运输工具、运输路线，按时送达甲方指定地点，承担运输过程中的安全、质量等风险责任及相关费用。</w:t>
      </w:r>
    </w:p>
    <w:p w14:paraId="06DB49E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4.2 乙方将产品运至合同规定的最终目的地并经甲方按行业验收标准验收合格后方可办理交接入库。入库前的产品所有权归乙方所有、产品的全部风险由乙方承担。入库后的产品所有权归甲方所有、产品的全部风险由甲方承担。</w:t>
      </w:r>
    </w:p>
    <w:p w14:paraId="10407221">
      <w:pPr>
        <w:spacing w:line="620" w:lineRule="exact"/>
        <w:rPr>
          <w:rFonts w:ascii="宋体" w:hAnsi="宋体"/>
          <w:b/>
          <w:color w:val="auto"/>
          <w:sz w:val="24"/>
          <w:highlight w:val="none"/>
        </w:rPr>
      </w:pPr>
      <w:r>
        <w:rPr>
          <w:rFonts w:hint="eastAsia" w:ascii="宋体" w:hAnsi="宋体"/>
          <w:b/>
          <w:color w:val="auto"/>
          <w:sz w:val="24"/>
          <w:highlight w:val="none"/>
        </w:rPr>
        <w:t>5.运费、保险费及相关税费</w:t>
      </w:r>
    </w:p>
    <w:p w14:paraId="43C5BC83">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5.1 国产产品与服务：现场交货人民币价。卖方应承担制造、装配和发运货物所使用的材料、部件及货物本身已支付或将支付的产品税、销售税和其它税费。中国石油大学（北京）不再支付项目报价外的任何费用。</w:t>
      </w:r>
    </w:p>
    <w:p w14:paraId="6F4C6DD6">
      <w:pPr>
        <w:spacing w:line="620" w:lineRule="exact"/>
        <w:ind w:firstLine="480" w:firstLineChars="200"/>
        <w:rPr>
          <w:rFonts w:hint="eastAsia" w:ascii="宋体" w:hAnsi="宋体"/>
          <w:color w:val="auto"/>
          <w:sz w:val="24"/>
          <w:highlight w:val="none"/>
        </w:rPr>
      </w:pPr>
      <w:r>
        <w:rPr>
          <w:rFonts w:hint="eastAsia" w:ascii="宋体" w:hAnsi="宋体"/>
          <w:color w:val="auto"/>
          <w:sz w:val="24"/>
          <w:highlight w:val="none"/>
        </w:rPr>
        <w:t>5.2进口货物及服务：卖方应承担进口设备免税CIP或CIF到货港口价格、进口产品的外贸代理费、银行费、报关、商检、海关监管等进口环节所有相关费用, 运至采购人指定地点的内陆运输、保险及其伴随服务等费用。采购方不再额外支付任何与进口环节有关的一切费用。进口代理服务费和银行费的标准为合同金额的1.3%。</w:t>
      </w:r>
    </w:p>
    <w:p w14:paraId="2594329E">
      <w:pPr>
        <w:spacing w:line="620" w:lineRule="exact"/>
        <w:ind w:firstLine="480" w:firstLineChars="200"/>
        <w:rPr>
          <w:rFonts w:hint="eastAsia" w:ascii="宋体" w:hAnsi="宋体"/>
          <w:color w:val="auto"/>
          <w:sz w:val="24"/>
          <w:highlight w:val="none"/>
        </w:rPr>
      </w:pPr>
      <w:r>
        <w:rPr>
          <w:rFonts w:hint="eastAsia" w:ascii="宋体" w:hAnsi="宋体"/>
          <w:color w:val="auto"/>
          <w:sz w:val="24"/>
          <w:highlight w:val="none"/>
        </w:rPr>
        <w:t>5.3 合同价中包含一切运输费、安装费、调试费和培训费等，中国石油大学（北京）不再支付本项目报价外的任何费用。</w:t>
      </w:r>
    </w:p>
    <w:p w14:paraId="46700B2C">
      <w:pPr>
        <w:spacing w:line="620" w:lineRule="exact"/>
        <w:rPr>
          <w:rFonts w:ascii="宋体" w:hAnsi="宋体"/>
          <w:b/>
          <w:color w:val="auto"/>
          <w:sz w:val="24"/>
          <w:highlight w:val="none"/>
        </w:rPr>
      </w:pPr>
      <w:r>
        <w:rPr>
          <w:rFonts w:hint="eastAsia" w:ascii="宋体" w:hAnsi="宋体"/>
          <w:b/>
          <w:color w:val="auto"/>
          <w:sz w:val="24"/>
          <w:highlight w:val="none"/>
        </w:rPr>
        <w:t>6.交货时间、地点</w:t>
      </w:r>
    </w:p>
    <w:p w14:paraId="3C0AC1A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6.1 交货时间：乙方于接到甲方发货通知之日起</w:t>
      </w:r>
      <w:r>
        <w:rPr>
          <w:rFonts w:hint="eastAsia" w:ascii="宋体" w:hAnsi="宋体"/>
          <w:color w:val="auto"/>
          <w:sz w:val="24"/>
          <w:highlight w:val="none"/>
          <w:u w:val="single"/>
        </w:rPr>
        <w:t xml:space="preserve">      </w:t>
      </w:r>
      <w:r>
        <w:rPr>
          <w:rFonts w:hint="eastAsia" w:ascii="宋体" w:hAnsi="宋体"/>
          <w:color w:val="auto"/>
          <w:sz w:val="24"/>
          <w:highlight w:val="none"/>
        </w:rPr>
        <w:t>日内发货，将产品送至甲方指定交货地点，运输费由乙方承担。</w:t>
      </w:r>
    </w:p>
    <w:p w14:paraId="6B6F5A6E">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6.2 交货地点：乙方应免费将产品发往采购人指定的交货地点__________________。产品到货后两周内到甲方处免费安装、调试、培训，直至验收合格且甲方的技术人员能独立工作。货物到达甲方指定的地点，乙方负责卸车。卸货时必须使用专用工具的，由乙方提供，因乙方提供专用工具本身的原因造成货物损坏及其他责任由乙方承担。危险化学品需专业人员操作的，由乙方组织人员操作，因乙方人员造成的货物损坏及其他责任由乙方承担。所有设备仪器安装完毕后要保持安装区域的干净整洁及校区原设施的完好，如若损害乙方负责恢复原状或按原价赔偿。</w:t>
      </w:r>
    </w:p>
    <w:p w14:paraId="2D5528C8">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6.3  乙方应在产品交付时一并向甲方指定的收货人交付相关资料及技术文档、图纸，包括但不限于产品使用说明书、质保单（质量保证书）、供货清单、合格证、出厂检验报告及技术协议中要求的其他资料；随机备件及工具由厂家免费提供，规格及数量详见双方约定或技术协议。危险化学品需提供安全技术说明书。若以上附件发生迟延交付，均视为产品延迟交付。</w:t>
      </w:r>
    </w:p>
    <w:p w14:paraId="1F5B1BE4">
      <w:pPr>
        <w:spacing w:line="620" w:lineRule="exact"/>
        <w:rPr>
          <w:rFonts w:ascii="宋体" w:hAnsi="宋体"/>
          <w:color w:val="auto"/>
          <w:sz w:val="24"/>
          <w:highlight w:val="none"/>
        </w:rPr>
      </w:pPr>
      <w:r>
        <w:rPr>
          <w:rFonts w:ascii="宋体" w:hAnsi="宋体"/>
          <w:b/>
          <w:color w:val="auto"/>
          <w:sz w:val="24"/>
          <w:highlight w:val="none"/>
        </w:rPr>
        <w:t>7.</w:t>
      </w:r>
      <w:r>
        <w:rPr>
          <w:rFonts w:hint="eastAsia" w:ascii="宋体" w:hAnsi="宋体"/>
          <w:b/>
          <w:color w:val="auto"/>
          <w:sz w:val="24"/>
          <w:highlight w:val="none"/>
        </w:rPr>
        <w:t>付款条件</w:t>
      </w:r>
    </w:p>
    <w:p w14:paraId="4A5F24EA">
      <w:pPr>
        <w:spacing w:line="620" w:lineRule="exact"/>
        <w:ind w:firstLine="480" w:firstLineChars="200"/>
        <w:rPr>
          <w:rFonts w:hint="eastAsia" w:ascii="宋体" w:hAnsi="宋体"/>
          <w:color w:val="auto"/>
          <w:sz w:val="24"/>
          <w:highlight w:val="none"/>
        </w:rPr>
      </w:pPr>
      <w:r>
        <w:rPr>
          <w:rFonts w:hint="eastAsia" w:ascii="宋体" w:hAnsi="宋体"/>
          <w:color w:val="auto"/>
          <w:sz w:val="24"/>
          <w:highlight w:val="none"/>
        </w:rPr>
        <w:t>7.1国外进口：</w:t>
      </w:r>
      <w:r>
        <w:rPr>
          <w:rFonts w:ascii="宋体" w:hAnsi="宋体"/>
          <w:color w:val="auto"/>
          <w:sz w:val="24"/>
          <w:highlight w:val="none"/>
        </w:rPr>
        <w:t>100％信用证付款，货到验收合格</w:t>
      </w:r>
      <w:r>
        <w:rPr>
          <w:rFonts w:hint="eastAsia" w:ascii="宋体" w:hAnsi="宋体"/>
          <w:color w:val="auto"/>
          <w:sz w:val="24"/>
          <w:highlight w:val="none"/>
        </w:rPr>
        <w:t>安装调试运转正常</w:t>
      </w:r>
      <w:r>
        <w:rPr>
          <w:rFonts w:ascii="宋体" w:hAnsi="宋体"/>
          <w:color w:val="auto"/>
          <w:sz w:val="24"/>
          <w:highlight w:val="none"/>
        </w:rPr>
        <w:t>后</w:t>
      </w:r>
      <w:r>
        <w:rPr>
          <w:rFonts w:hint="eastAsia" w:ascii="宋体" w:hAnsi="宋体"/>
          <w:color w:val="auto"/>
          <w:sz w:val="24"/>
          <w:highlight w:val="none"/>
        </w:rPr>
        <w:t>90</w:t>
      </w:r>
      <w:r>
        <w:rPr>
          <w:rFonts w:ascii="宋体" w:hAnsi="宋体"/>
          <w:color w:val="auto"/>
          <w:sz w:val="24"/>
          <w:highlight w:val="none"/>
        </w:rPr>
        <w:t>％解付，</w:t>
      </w:r>
      <w:r>
        <w:rPr>
          <w:rFonts w:hint="eastAsia" w:ascii="宋体" w:hAnsi="宋体"/>
          <w:color w:val="auto"/>
          <w:sz w:val="24"/>
          <w:highlight w:val="none"/>
        </w:rPr>
        <w:t>验收合格一年后，10</w:t>
      </w:r>
      <w:r>
        <w:rPr>
          <w:rFonts w:ascii="宋体" w:hAnsi="宋体"/>
          <w:color w:val="auto"/>
          <w:sz w:val="24"/>
          <w:highlight w:val="none"/>
        </w:rPr>
        <w:t>%解付</w:t>
      </w:r>
      <w:r>
        <w:rPr>
          <w:rFonts w:hint="eastAsia" w:ascii="宋体" w:hAnsi="宋体"/>
          <w:color w:val="auto"/>
          <w:sz w:val="24"/>
          <w:highlight w:val="none"/>
        </w:rPr>
        <w:t>。</w:t>
      </w:r>
    </w:p>
    <w:p w14:paraId="3F17F901">
      <w:pPr>
        <w:spacing w:line="620" w:lineRule="exact"/>
        <w:ind w:firstLine="480" w:firstLineChars="200"/>
        <w:rPr>
          <w:rFonts w:hint="eastAsia" w:ascii="宋体" w:hAnsi="宋体"/>
          <w:color w:val="auto"/>
          <w:sz w:val="24"/>
          <w:highlight w:val="none"/>
        </w:rPr>
      </w:pPr>
      <w:r>
        <w:rPr>
          <w:rFonts w:hint="eastAsia" w:ascii="宋体" w:hAnsi="宋体"/>
          <w:color w:val="auto"/>
          <w:sz w:val="24"/>
          <w:highlight w:val="none"/>
        </w:rPr>
        <w:t>7.2国内订货：</w:t>
      </w:r>
    </w:p>
    <w:p w14:paraId="1B556EC7">
      <w:pPr>
        <w:spacing w:line="620" w:lineRule="exact"/>
        <w:rPr>
          <w:rFonts w:hint="eastAsia" w:ascii="宋体" w:hAnsi="宋体"/>
          <w:color w:val="auto"/>
          <w:sz w:val="24"/>
          <w:highlight w:val="none"/>
        </w:rPr>
      </w:pPr>
      <w:r>
        <w:rPr>
          <w:rFonts w:hint="eastAsia" w:ascii="宋体" w:hAnsi="宋体"/>
          <w:color w:val="auto"/>
          <w:sz w:val="24"/>
          <w:highlight w:val="none"/>
        </w:rPr>
        <w:t>签订合同后首付</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highlight w:val="none"/>
          <w:lang w:val="en-US" w:eastAsia="zh-CN"/>
        </w:rPr>
        <w:t>金额</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元；</w:t>
      </w:r>
      <w:r>
        <w:rPr>
          <w:rFonts w:hint="eastAsia" w:ascii="宋体" w:hAnsi="宋体"/>
          <w:color w:val="auto"/>
          <w:sz w:val="24"/>
          <w:highlight w:val="none"/>
        </w:rPr>
        <w:t>经校方测试运行验收合格后，付款</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highlight w:val="none"/>
          <w:lang w:val="en-US" w:eastAsia="zh-CN"/>
        </w:rPr>
        <w:t>金额</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元</w:t>
      </w:r>
      <w:r>
        <w:rPr>
          <w:rFonts w:hint="eastAsia" w:ascii="宋体" w:hAnsi="宋体"/>
          <w:color w:val="auto"/>
          <w:sz w:val="24"/>
          <w:highlight w:val="none"/>
        </w:rPr>
        <w:t>。</w:t>
      </w:r>
    </w:p>
    <w:p w14:paraId="0631F71C">
      <w:pPr>
        <w:spacing w:line="620" w:lineRule="exact"/>
        <w:rPr>
          <w:rFonts w:ascii="宋体" w:hAnsi="宋体"/>
          <w:color w:val="auto"/>
          <w:sz w:val="24"/>
          <w:highlight w:val="none"/>
        </w:rPr>
      </w:pPr>
      <w:r>
        <w:rPr>
          <w:rFonts w:hint="eastAsia" w:ascii="宋体" w:hAnsi="宋体"/>
          <w:b/>
          <w:color w:val="auto"/>
          <w:sz w:val="24"/>
          <w:highlight w:val="none"/>
        </w:rPr>
        <w:t>8.验收</w:t>
      </w:r>
    </w:p>
    <w:p w14:paraId="6E11BC3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8.1甲乙双方共同对产品进行验收并对产品品质进行逐项检查，乙方向甲方移交产品合格证、购买发票等材料，并提供开箱清单、安装调试报告、培训记录、测试运行记录。验收合格后甲乙双方签署第一次（出厂）验收报告。如甲方发现所提供的产品品质和技术规范不符合合同要求时，或有明显损坏，乙方应承担相应责任并负责赔偿全部损失，并承担由此给甲方带来延期使用等方面造成的损失。</w:t>
      </w:r>
    </w:p>
    <w:p w14:paraId="1331751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8.2如因乙方原因使产品不能正常使用，乙方应承担全部责任。</w:t>
      </w:r>
    </w:p>
    <w:p w14:paraId="3E9DE3C5">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8.3乙方需要配合甲方完成学校组织技术专家在场的现场验收，并出具验收报告。最终验收以学校验收为准。</w:t>
      </w:r>
    </w:p>
    <w:p w14:paraId="0E3984A4">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8.4如双方对产品的质量有争议的，应立即封存产品或提取产品样品，由共同确认的检验机构对封存的样品进行检验，并以该检验机构的检验结果作为确认产品质量的依据。如检验结果不符合合同约定的质量标准，检验费由乙方承担；符合质量标准的，检验费由甲方承担。</w:t>
      </w:r>
    </w:p>
    <w:p w14:paraId="1D1D926C">
      <w:pPr>
        <w:spacing w:line="620" w:lineRule="exact"/>
        <w:rPr>
          <w:rFonts w:ascii="宋体" w:hAnsi="宋体"/>
          <w:b/>
          <w:color w:val="auto"/>
          <w:sz w:val="24"/>
          <w:highlight w:val="none"/>
        </w:rPr>
      </w:pPr>
      <w:r>
        <w:rPr>
          <w:rFonts w:hint="eastAsia" w:ascii="宋体" w:hAnsi="宋体"/>
          <w:b/>
          <w:color w:val="auto"/>
          <w:sz w:val="24"/>
          <w:highlight w:val="none"/>
        </w:rPr>
        <w:t>9.乙方售后服务承诺及质量标准</w:t>
      </w:r>
    </w:p>
    <w:p w14:paraId="60DDCCBE">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9.1所有产品整体质量保证期不少于</w:t>
      </w:r>
      <w:r>
        <w:rPr>
          <w:rFonts w:hint="eastAsia" w:ascii="宋体" w:hAnsi="宋体"/>
          <w:b/>
          <w:color w:val="auto"/>
          <w:sz w:val="24"/>
          <w:highlight w:val="none"/>
          <w:u w:val="single"/>
        </w:rPr>
        <w:t xml:space="preserve">  </w:t>
      </w:r>
      <w:r>
        <w:rPr>
          <w:rFonts w:ascii="宋体" w:hAnsi="宋体"/>
          <w:b/>
          <w:color w:val="auto"/>
          <w:sz w:val="24"/>
          <w:highlight w:val="none"/>
          <w:u w:val="single"/>
        </w:rPr>
        <w:t xml:space="preserve">  </w:t>
      </w:r>
      <w:r>
        <w:rPr>
          <w:rFonts w:hint="eastAsia" w:ascii="宋体" w:hAnsi="宋体"/>
          <w:color w:val="auto"/>
          <w:sz w:val="24"/>
          <w:highlight w:val="none"/>
        </w:rPr>
        <w:t>年，自双方交接验收合格签署验收报告之日起计算（售后服务承诺详见附件二）。</w:t>
      </w:r>
    </w:p>
    <w:p w14:paraId="0188BB69">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9.2质量标准应包括国家标准、行业标准、企业标准、封存样品质量标准及其他标准等，注明标准代号、编号、标准名称。若采用乙方的企业标准，须将其标准作为（本）合同附件；采用双方技术协议的，技术协议作为本合同附件。</w:t>
      </w:r>
    </w:p>
    <w:p w14:paraId="4A471B46">
      <w:pPr>
        <w:spacing w:line="620" w:lineRule="exact"/>
        <w:ind w:firstLine="480" w:firstLineChars="200"/>
        <w:rPr>
          <w:rFonts w:ascii="宋体" w:hAnsi="宋体"/>
          <w:color w:val="auto"/>
          <w:sz w:val="24"/>
          <w:highlight w:val="none"/>
        </w:rPr>
      </w:pPr>
      <w:r>
        <w:rPr>
          <w:rFonts w:hint="eastAsia" w:ascii="宋体" w:hAnsi="宋体"/>
          <w:color w:val="auto"/>
          <w:sz w:val="24"/>
          <w:highlight w:val="none"/>
          <w:lang w:val="de-DE"/>
        </w:rPr>
        <w:t>9.3乙方须确保在</w:t>
      </w:r>
      <w:r>
        <w:rPr>
          <w:rFonts w:hint="eastAsia" w:ascii="宋体" w:hAnsi="宋体"/>
          <w:color w:val="auto"/>
          <w:sz w:val="24"/>
          <w:highlight w:val="none"/>
        </w:rPr>
        <w:t>销售、</w:t>
      </w:r>
      <w:r>
        <w:rPr>
          <w:rFonts w:hint="eastAsia" w:ascii="宋体" w:hAnsi="宋体"/>
          <w:color w:val="auto"/>
          <w:sz w:val="24"/>
          <w:highlight w:val="none"/>
          <w:lang w:val="de-DE"/>
        </w:rPr>
        <w:t>运输过程中，遵守质量、安全、环境与健康等法律法规的有关要求，并承担质量、安全、环境与健康责任。</w:t>
      </w:r>
    </w:p>
    <w:p w14:paraId="0D5DD77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9.4乙方技术员在校服务期间要有安全防范意识，具备应对安全事件的技能，遵守国家法律法规，并对自身人身、财产安全负全部法律责任及经济责任。</w:t>
      </w:r>
    </w:p>
    <w:p w14:paraId="61D3AA26">
      <w:pPr>
        <w:spacing w:line="620" w:lineRule="exact"/>
        <w:rPr>
          <w:rFonts w:ascii="宋体" w:hAnsi="宋体"/>
          <w:b/>
          <w:color w:val="auto"/>
          <w:sz w:val="24"/>
          <w:highlight w:val="none"/>
        </w:rPr>
      </w:pPr>
      <w:r>
        <w:rPr>
          <w:rFonts w:hint="eastAsia" w:ascii="宋体" w:hAnsi="宋体"/>
          <w:b/>
          <w:color w:val="auto"/>
          <w:sz w:val="24"/>
          <w:highlight w:val="none"/>
        </w:rPr>
        <w:t>10.廉洁条款</w:t>
      </w:r>
    </w:p>
    <w:p w14:paraId="4BEE8CF6">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10.1 甲乙双方共同责任</w:t>
      </w:r>
    </w:p>
    <w:p w14:paraId="2DD5B61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10.1.1严格遵守国家有关法律法规以及廉洁从业的有关规定；严格遵守商业道德和市场规则，共同营造公平公正的交易环境。</w:t>
      </w:r>
    </w:p>
    <w:p w14:paraId="7D052F7D">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10.1.2加强相关人员的管理和廉洁从业教育，自觉抵制不廉洁行为；在交易过程中发现对方及其工作人员存在违规违纪违法问题，应及时向监察部门或司法机关举报。</w:t>
      </w:r>
    </w:p>
    <w:p w14:paraId="446E7363">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10.2 甲方及其人员的责任</w:t>
      </w:r>
    </w:p>
    <w:p w14:paraId="511BD9FD">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10.2.1不得索要或接受乙方及其相关单位、人员提供的折扣费、中介费、佣金、礼金、有价证券、支付凭证、贵重物品等。</w:t>
      </w:r>
    </w:p>
    <w:p w14:paraId="44164053">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10.2.2不得在乙方及其相关单位报销任何应由甲方或个人支付的费用。</w:t>
      </w:r>
    </w:p>
    <w:p w14:paraId="4D3C84F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10.2.3不得违反规定在乙方及其相关单位投资入股、合伙经营，不得向乙方单位及人员借款或委托买卖股票、债券等。</w:t>
      </w:r>
    </w:p>
    <w:p w14:paraId="46D9A008">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10.2.4不得要求、暗示和接受乙方及其相关单位和个人为其购买或装修住房、婚丧嫁娶、配偶和子女的工作安排或上学以及出国（境）、旅游等提供方便。</w:t>
      </w:r>
    </w:p>
    <w:p w14:paraId="5BF8859D">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10.2.5不得参加乙方及其相关单位、个人安排的可能影响公平交易的宴请、健身、娱乐等活动。</w:t>
      </w:r>
    </w:p>
    <w:p w14:paraId="25E9F23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10.2.6不得接受、占用或以明显低于市场价格购买、租用乙方及其相关单位和个人提供的通讯工具、交通工具和高档办公用品。</w:t>
      </w:r>
    </w:p>
    <w:p w14:paraId="1295CDD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10.2.7不得通过乙方及其相关单位为其配偶、子女及其他特定关系人谋取不正当利益。</w:t>
      </w:r>
    </w:p>
    <w:p w14:paraId="05A9008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10.2.8不得违反规定在乙方或乙方相关单位兼职和领取兼职工资及报酬；不得利用甲方的商业秘密谋取个人私利，或将其提供泄漏给乙方及其它企业和个人。</w:t>
      </w:r>
    </w:p>
    <w:p w14:paraId="1A73C258">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10.2.9不得利用职权和工作之便向乙方提出与交易无关的事项或要求。</w:t>
      </w:r>
    </w:p>
    <w:p w14:paraId="43E3B8AA">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10.3乙方及其人员的责任</w:t>
      </w:r>
    </w:p>
    <w:p w14:paraId="43E82E2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10.3.1不得向甲方及其人员提供折扣费、中介费、佣金、礼金、有价证券、支付凭证、贵重物品等。</w:t>
      </w:r>
    </w:p>
    <w:p w14:paraId="611402B2">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10.3.2不得为甲方及其人员报销应由甲方或个人支付的费用。</w:t>
      </w:r>
    </w:p>
    <w:p w14:paraId="55B1A24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10.3.3不得为甲方人员投资入股、个人借款或买卖股票、债券等提供方便。</w:t>
      </w:r>
    </w:p>
    <w:p w14:paraId="0ECDA862">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10.3.4不得为甲方人员购买或装修住房、婚丧嫁娶、配偶子女上学或工作安排以及出国（境）、旅游等提供方便。</w:t>
      </w:r>
    </w:p>
    <w:p w14:paraId="7642DA61">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10.3.5不得为甲方人员安排有可能影响公平交易的宴请、健身、娱乐等活动。</w:t>
      </w:r>
    </w:p>
    <w:p w14:paraId="576D06C9">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10.3.6不得为甲方及其人员购置或以明显低于市场价值提供通讯工具、交通工具和高档办公用品。</w:t>
      </w:r>
    </w:p>
    <w:p w14:paraId="09CFA9C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10.3.7不得为甲方工作人员的配偶、子女及其他特定关系人谋取不正当利益提供方便。</w:t>
      </w:r>
    </w:p>
    <w:p w14:paraId="3FADA95E">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10.3.8不得违反规定安排甲方人员在乙方或乙方相关企业兼职和领取兼职工资及报酬；不得向甲方人员打探涉及甲方的商业秘密。</w:t>
      </w:r>
    </w:p>
    <w:p w14:paraId="61B7D8E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10.3.9甲方对涉嫌不廉洁的商业行为进行调查时，乙方有配合甲方提供证据、作证的义务。</w:t>
      </w:r>
    </w:p>
    <w:p w14:paraId="49FB558C">
      <w:pPr>
        <w:spacing w:line="620" w:lineRule="exact"/>
        <w:ind w:firstLine="480" w:firstLineChars="200"/>
        <w:rPr>
          <w:rFonts w:ascii="宋体" w:hAnsi="宋体"/>
          <w:color w:val="auto"/>
          <w:sz w:val="24"/>
          <w:highlight w:val="none"/>
        </w:rPr>
      </w:pPr>
      <w:r>
        <w:rPr>
          <w:rFonts w:hint="eastAsia" w:ascii="宋体" w:hAnsi="宋体"/>
          <w:color w:val="auto"/>
          <w:sz w:val="24"/>
          <w:highlight w:val="none"/>
          <w:lang w:val="de-DE"/>
        </w:rPr>
        <w:t>10.3.10乙方须确保在</w:t>
      </w:r>
      <w:r>
        <w:rPr>
          <w:rFonts w:hint="eastAsia" w:ascii="宋体" w:hAnsi="宋体"/>
          <w:color w:val="auto"/>
          <w:sz w:val="24"/>
          <w:highlight w:val="none"/>
        </w:rPr>
        <w:t>销售、</w:t>
      </w:r>
      <w:r>
        <w:rPr>
          <w:rFonts w:hint="eastAsia" w:ascii="宋体" w:hAnsi="宋体"/>
          <w:color w:val="auto"/>
          <w:sz w:val="24"/>
          <w:highlight w:val="none"/>
          <w:lang w:val="de-DE"/>
        </w:rPr>
        <w:t>运输过程中，遵守质量、安全、环境与健康等法律法规的有关要求，并承担质量、安全、环境与健康责任。</w:t>
      </w:r>
    </w:p>
    <w:p w14:paraId="3493F6A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10.3.11乙方技术员在校服务期间要有安全防范意识，具备应对安全事件的技能，遵守国家法律法规，并对自身人身、财产安全负全部法律责任及经济责任。</w:t>
      </w:r>
    </w:p>
    <w:p w14:paraId="541A431F">
      <w:pPr>
        <w:spacing w:line="620" w:lineRule="exact"/>
        <w:ind w:firstLine="482" w:firstLineChars="200"/>
        <w:rPr>
          <w:rFonts w:ascii="宋体" w:hAnsi="宋体"/>
          <w:b/>
          <w:color w:val="auto"/>
          <w:sz w:val="24"/>
          <w:highlight w:val="none"/>
        </w:rPr>
      </w:pPr>
      <w:r>
        <w:rPr>
          <w:rFonts w:hint="eastAsia" w:ascii="宋体" w:hAnsi="宋体"/>
          <w:b/>
          <w:color w:val="auto"/>
          <w:sz w:val="24"/>
          <w:highlight w:val="none"/>
        </w:rPr>
        <w:t>11.违约责任</w:t>
      </w:r>
    </w:p>
    <w:p w14:paraId="05914BC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11.1如果乙方所供的产品数量、质量或规格与合同规定不符，或不履行售后服务承诺的，或证实产品是有缺陷的，包括潜在的缺陷或使用不符合要求的材料、零部件等，甲方有权向乙方提出索赔，要求乙方无条件退货或修复，并负责赔偿甲方的一切损失。</w:t>
      </w:r>
    </w:p>
    <w:p w14:paraId="3DB23CB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11.2在合同第9条规定的质量保证期内，如果乙方对质量差异负有责任，乙方应按照甲方同意的下列一种或多种方式进行补救：</w:t>
      </w:r>
    </w:p>
    <w:p w14:paraId="4BAC7E64">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1）乙方负责同意退货并用合同规定的货币将货款退还给甲方，并承担由此发生的一切损失和费用，包括利息、银行手续费、运费、保险费、检验费、仓储费、装卸费以及为保护退回产品所需的其他必要费用。</w:t>
      </w:r>
    </w:p>
    <w:p w14:paraId="3E9496E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2）在满足基本技术性能需求的前提上，根据产品的损坏程度以及甲方所遭受损失的金额，经甲乙双方商定降低产品的价格。</w:t>
      </w:r>
    </w:p>
    <w:p w14:paraId="09BCF89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3）用符合合同规定的规格、质量和性能要求的新零件、部件和/或设备来更换有缺陷的部分和/或修补缺陷部分，乙方应承担一切费用和风险并负担甲方蒙受的全部直接损失费用。同时，乙方应按合同规定，相应延长修补和/或更换件的质量保证期。</w:t>
      </w:r>
    </w:p>
    <w:p w14:paraId="35877556">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11.3如果在甲方发出书面通知后（三十）天内，乙方未作书面答复，上述违约责任应视为已被乙方接受。如乙方未能在甲方发出通知后（三十）天内或甲方同意的延长期内，按照本条规定的任何一种方法解决质量差异并征得甲方同意，甲方将从已付货款中扣回索赔金额（索赔金额不高于合同价的5％）。</w:t>
      </w:r>
    </w:p>
    <w:p w14:paraId="5E092438">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11.4按本条第二款处理质量差异后，甲方保留向乙方追索赔偿的权利（赔偿金额不高于合同价的5％）。</w:t>
      </w:r>
    </w:p>
    <w:p w14:paraId="07DCDE8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11.5甲方及其人员有违反10.1、10.2条规定的，按照管理权限，依据有关法律法规和规定给予有关人员纪律处分或组织处理；涉嫌犯罪的，移交司法机关追究其刑事责任。</w:t>
      </w:r>
    </w:p>
    <w:p w14:paraId="4FE87B7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11.6乙方及其人员有10.1、10.2规定的，根据情节和后果，甲方除有权要求乙方赔偿由此造成的甲方损失外，还将在中国石油大学（北京）分别给予通报、限制或禁止与其交易的处理；涉嫌犯罪的，报请司法机关追究其刑事责任。</w:t>
      </w:r>
    </w:p>
    <w:p w14:paraId="7C021EEE">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11.7乙方技术人员若违反11条规定，按照管理权限，涉嫌犯罪的，移交司法机关追究其刑事责任。</w:t>
      </w:r>
    </w:p>
    <w:p w14:paraId="64B7F0ED">
      <w:pPr>
        <w:spacing w:line="620" w:lineRule="exact"/>
        <w:rPr>
          <w:rFonts w:ascii="宋体" w:hAnsi="宋体"/>
          <w:b/>
          <w:color w:val="auto"/>
          <w:sz w:val="24"/>
          <w:highlight w:val="none"/>
        </w:rPr>
      </w:pPr>
      <w:r>
        <w:rPr>
          <w:rFonts w:hint="eastAsia" w:ascii="宋体" w:hAnsi="宋体"/>
          <w:b/>
          <w:color w:val="auto"/>
          <w:sz w:val="24"/>
          <w:highlight w:val="none"/>
        </w:rPr>
        <w:t>12.误期索赔</w:t>
      </w:r>
    </w:p>
    <w:p w14:paraId="47F3363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12.1如果乙方没有按照合同规定的时间交货，乙方应向甲方支付违约金，违约金按每周迟交货款的0.5％计收，直至交货为止，但违约金的最高限额不超过合同价的5％。一周按七天计算，不足七天按一周计算。一旦达到违约金的最高限额，甲方有权终止合同，因乙方原因造成本合同解除的，乙方除应退还已收的货款，赔偿甲方的全部损失外，还应当向甲方双倍返还首付款。</w:t>
      </w:r>
    </w:p>
    <w:p w14:paraId="2CEE89D7">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12.2如果甲方没有按照合同规定的时间付款（除政府集中支付环节造成时间延误外），甲方应向乙方支付违约金，违约金按每周迟交款的0.5％计收，但违约金的最高限额不超过合同价的5％。</w:t>
      </w:r>
    </w:p>
    <w:p w14:paraId="2401BDE6">
      <w:pPr>
        <w:spacing w:line="620" w:lineRule="exact"/>
        <w:rPr>
          <w:rFonts w:ascii="宋体" w:hAnsi="宋体"/>
          <w:b/>
          <w:color w:val="auto"/>
          <w:sz w:val="24"/>
          <w:highlight w:val="none"/>
        </w:rPr>
      </w:pPr>
      <w:r>
        <w:rPr>
          <w:rFonts w:hint="eastAsia" w:ascii="宋体" w:hAnsi="宋体"/>
          <w:b/>
          <w:color w:val="auto"/>
          <w:sz w:val="24"/>
          <w:highlight w:val="none"/>
        </w:rPr>
        <w:t>13.破产合同的终止</w:t>
      </w:r>
    </w:p>
    <w:p w14:paraId="754D1BCD">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如果乙方破产或无赔偿能力，甲方可在任何时候以书面形式通知乙方终止合同而不给乙方任何补偿。该终止合同将不损害或影响甲方已经采取或将要采取的任何形式或补救措施的权利。</w:t>
      </w:r>
    </w:p>
    <w:p w14:paraId="16BEA850">
      <w:pPr>
        <w:spacing w:line="620" w:lineRule="exact"/>
        <w:rPr>
          <w:rFonts w:ascii="宋体" w:hAnsi="宋体"/>
          <w:b/>
          <w:color w:val="auto"/>
          <w:sz w:val="24"/>
          <w:highlight w:val="none"/>
        </w:rPr>
      </w:pPr>
      <w:r>
        <w:rPr>
          <w:rFonts w:hint="eastAsia" w:ascii="宋体" w:hAnsi="宋体"/>
          <w:b/>
          <w:color w:val="auto"/>
          <w:sz w:val="24"/>
          <w:highlight w:val="none"/>
        </w:rPr>
        <w:t>14.不可抗力</w:t>
      </w:r>
    </w:p>
    <w:p w14:paraId="3A80B99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14.1本条所述的“不可抗力”系指那些不能预见，不能避免，并不能克服的客观情况。但不包括乙方的违约或疏忽。仅限于：战争、严重火灾、洪水、台风、地震以及其它双方商定的事件。</w:t>
      </w:r>
    </w:p>
    <w:p w14:paraId="75CB84A8">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14.2不可抗力事件影响持续超过30天，双方应通过协商解决进一步履行合同事宜。在不可抗力事件发生后，双方应尽快以书面形式将不可抗力的情况和原因通知对方,并在合理期限内提供证明。</w:t>
      </w:r>
    </w:p>
    <w:p w14:paraId="54BDDC14">
      <w:pPr>
        <w:spacing w:line="620" w:lineRule="exact"/>
        <w:rPr>
          <w:rFonts w:ascii="宋体" w:hAnsi="宋体"/>
          <w:b/>
          <w:color w:val="auto"/>
          <w:sz w:val="24"/>
          <w:highlight w:val="none"/>
        </w:rPr>
      </w:pPr>
      <w:r>
        <w:rPr>
          <w:rFonts w:hint="eastAsia" w:ascii="宋体" w:hAnsi="宋体"/>
          <w:b/>
          <w:color w:val="auto"/>
          <w:sz w:val="24"/>
          <w:highlight w:val="none"/>
        </w:rPr>
        <w:t>15.适用法律</w:t>
      </w:r>
    </w:p>
    <w:p w14:paraId="4904E30D">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本合同应按中华人民共和国现行法律进行解释。</w:t>
      </w:r>
    </w:p>
    <w:p w14:paraId="200444C2">
      <w:pPr>
        <w:spacing w:line="620" w:lineRule="exact"/>
        <w:rPr>
          <w:rFonts w:ascii="宋体" w:hAnsi="宋体"/>
          <w:b/>
          <w:color w:val="auto"/>
          <w:sz w:val="24"/>
          <w:highlight w:val="none"/>
        </w:rPr>
      </w:pPr>
      <w:r>
        <w:rPr>
          <w:rFonts w:hint="eastAsia" w:ascii="宋体" w:hAnsi="宋体"/>
          <w:b/>
          <w:color w:val="auto"/>
          <w:sz w:val="24"/>
          <w:highlight w:val="none"/>
        </w:rPr>
        <w:t>16.争端的解决</w:t>
      </w:r>
    </w:p>
    <w:p w14:paraId="5D284A9C">
      <w:pPr>
        <w:spacing w:line="620" w:lineRule="exact"/>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本合同履行过程中发生的或与本合同有关的一切争议，由双方友好协商解决，协商不成的，可依法通过以下第</w:t>
      </w:r>
      <w:r>
        <w:rPr>
          <w:rFonts w:ascii="宋体" w:hAnsi="宋体" w:cs="宋体"/>
          <w:color w:val="auto"/>
          <w:sz w:val="24"/>
          <w:highlight w:val="none"/>
        </w:rPr>
        <w:t xml:space="preserve">   </w:t>
      </w:r>
      <w:r>
        <w:rPr>
          <w:rFonts w:hint="eastAsia" w:ascii="宋体" w:hAnsi="宋体" w:cs="宋体"/>
          <w:color w:val="auto"/>
          <w:sz w:val="24"/>
          <w:highlight w:val="none"/>
        </w:rPr>
        <w:t>种方式解决：</w:t>
      </w:r>
    </w:p>
    <w:p w14:paraId="67C3668F">
      <w:pPr>
        <w:spacing w:line="620" w:lineRule="exact"/>
        <w:ind w:firstLine="480" w:firstLineChars="200"/>
        <w:rPr>
          <w:rFonts w:ascii="宋体" w:hAns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6</w:t>
      </w:r>
      <w:r>
        <w:rPr>
          <w:rFonts w:ascii="宋体" w:hAnsi="宋体" w:cs="宋体"/>
          <w:color w:val="auto"/>
          <w:sz w:val="24"/>
          <w:highlight w:val="none"/>
        </w:rPr>
        <w:t>.1</w:t>
      </w:r>
      <w:r>
        <w:rPr>
          <w:rFonts w:hint="eastAsia" w:ascii="宋体" w:hAnsi="宋体" w:cs="宋体"/>
          <w:color w:val="auto"/>
          <w:sz w:val="24"/>
          <w:highlight w:val="none"/>
        </w:rPr>
        <w:t>提交</w:t>
      </w:r>
      <w:r>
        <w:rPr>
          <w:rFonts w:ascii="宋体" w:hAnsi="宋体" w:cs="宋体"/>
          <w:color w:val="auto"/>
          <w:sz w:val="24"/>
          <w:highlight w:val="none"/>
          <w:u w:val="single"/>
        </w:rPr>
        <w:t xml:space="preserve">   </w:t>
      </w:r>
      <w:r>
        <w:rPr>
          <w:rFonts w:hint="eastAsia" w:ascii="宋体" w:hAnsi="宋体" w:cs="宋体"/>
          <w:color w:val="auto"/>
          <w:sz w:val="24"/>
          <w:highlight w:val="none"/>
        </w:rPr>
        <w:t>仲裁委员会进行仲裁。仲裁地点在</w:t>
      </w:r>
      <w:r>
        <w:rPr>
          <w:rFonts w:ascii="宋体" w:hAnsi="宋体" w:cs="宋体"/>
          <w:color w:val="auto"/>
          <w:sz w:val="24"/>
          <w:highlight w:val="none"/>
          <w:u w:val="single"/>
        </w:rPr>
        <w:t xml:space="preserve">   </w:t>
      </w:r>
      <w:r>
        <w:rPr>
          <w:rFonts w:hint="eastAsia" w:ascii="宋体" w:hAnsi="宋体" w:cs="宋体"/>
          <w:color w:val="auto"/>
          <w:sz w:val="24"/>
          <w:highlight w:val="none"/>
        </w:rPr>
        <w:t>。仲裁裁决是终局的，对双方均有约束力。（可根据实际情况选择仲裁机构）</w:t>
      </w:r>
    </w:p>
    <w:p w14:paraId="6F877E6C">
      <w:pPr>
        <w:spacing w:line="6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16</w:t>
      </w:r>
      <w:r>
        <w:rPr>
          <w:rFonts w:ascii="宋体" w:hAnsi="宋体" w:cs="宋体"/>
          <w:color w:val="auto"/>
          <w:sz w:val="24"/>
          <w:highlight w:val="none"/>
        </w:rPr>
        <w:t>.2.</w:t>
      </w:r>
      <w:r>
        <w:rPr>
          <w:rFonts w:hint="eastAsia" w:ascii="宋体" w:hAnsi="宋体" w:cs="宋体"/>
          <w:color w:val="auto"/>
          <w:sz w:val="24"/>
          <w:highlight w:val="none"/>
        </w:rPr>
        <w:t>向甲方所在地法院提起诉讼。</w:t>
      </w:r>
    </w:p>
    <w:p w14:paraId="69A43C00">
      <w:pPr>
        <w:spacing w:line="6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16</w:t>
      </w:r>
      <w:r>
        <w:rPr>
          <w:rFonts w:ascii="宋体" w:hAnsi="宋体" w:cs="宋体"/>
          <w:color w:val="auto"/>
          <w:sz w:val="24"/>
          <w:highlight w:val="none"/>
        </w:rPr>
        <w:t>.3</w:t>
      </w:r>
      <w:r>
        <w:rPr>
          <w:rFonts w:hint="eastAsia" w:ascii="宋体" w:hAnsi="宋体" w:cs="宋体"/>
          <w:color w:val="auto"/>
          <w:sz w:val="24"/>
          <w:highlight w:val="none"/>
        </w:rPr>
        <w:t>争议解决期间，除争议事项外，双方应继续履行本合同。</w:t>
      </w:r>
    </w:p>
    <w:p w14:paraId="6E96572F">
      <w:pPr>
        <w:spacing w:line="620" w:lineRule="exact"/>
        <w:rPr>
          <w:rFonts w:ascii="宋体" w:hAnsi="宋体"/>
          <w:b/>
          <w:color w:val="auto"/>
          <w:sz w:val="24"/>
          <w:highlight w:val="none"/>
        </w:rPr>
      </w:pPr>
      <w:r>
        <w:rPr>
          <w:rFonts w:hint="eastAsia" w:ascii="宋体" w:hAnsi="宋体"/>
          <w:b/>
          <w:color w:val="auto"/>
          <w:sz w:val="24"/>
          <w:highlight w:val="none"/>
        </w:rPr>
        <w:t>17.其他</w:t>
      </w:r>
    </w:p>
    <w:p w14:paraId="760BADCB">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17.1</w:t>
      </w:r>
      <w:r>
        <w:rPr>
          <w:rFonts w:ascii="宋体" w:hAnsi="宋体"/>
          <w:color w:val="auto"/>
          <w:sz w:val="24"/>
          <w:highlight w:val="none"/>
        </w:rPr>
        <w:t>本合同一式</w:t>
      </w:r>
      <w:r>
        <w:rPr>
          <w:rFonts w:hint="eastAsia" w:ascii="宋体" w:hAnsi="宋体"/>
          <w:color w:val="auto"/>
          <w:sz w:val="24"/>
          <w:highlight w:val="none"/>
        </w:rPr>
        <w:t>__</w:t>
      </w:r>
      <w:r>
        <w:rPr>
          <w:rFonts w:ascii="宋体" w:hAnsi="宋体"/>
          <w:color w:val="auto"/>
          <w:sz w:val="24"/>
          <w:highlight w:val="none"/>
        </w:rPr>
        <w:t>份，甲</w:t>
      </w:r>
      <w:r>
        <w:rPr>
          <w:rFonts w:hint="eastAsia" w:ascii="宋体" w:hAnsi="宋体"/>
          <w:color w:val="auto"/>
          <w:sz w:val="24"/>
          <w:highlight w:val="none"/>
        </w:rPr>
        <w:t>方执__份，乙方执__</w:t>
      </w:r>
      <w:r>
        <w:rPr>
          <w:rFonts w:ascii="宋体" w:hAnsi="宋体"/>
          <w:color w:val="auto"/>
          <w:sz w:val="24"/>
          <w:highlight w:val="none"/>
        </w:rPr>
        <w:t>份，具有同等法律效力</w:t>
      </w:r>
      <w:r>
        <w:rPr>
          <w:rFonts w:hint="eastAsia" w:ascii="宋体" w:hAnsi="宋体"/>
          <w:color w:val="auto"/>
          <w:sz w:val="24"/>
          <w:highlight w:val="none"/>
        </w:rPr>
        <w:t>。</w:t>
      </w:r>
    </w:p>
    <w:p w14:paraId="0D7DE55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17.2本合同</w:t>
      </w:r>
      <w:r>
        <w:rPr>
          <w:rFonts w:ascii="宋体" w:hAnsi="宋体"/>
          <w:color w:val="auto"/>
          <w:sz w:val="24"/>
          <w:highlight w:val="none"/>
        </w:rPr>
        <w:t>自双方签字盖章</w:t>
      </w:r>
      <w:r>
        <w:rPr>
          <w:rFonts w:hint="eastAsia" w:ascii="宋体" w:hAnsi="宋体"/>
          <w:color w:val="auto"/>
          <w:sz w:val="24"/>
          <w:highlight w:val="none"/>
        </w:rPr>
        <w:t>（合同专用章）</w:t>
      </w:r>
      <w:r>
        <w:rPr>
          <w:rFonts w:ascii="宋体" w:hAnsi="宋体"/>
          <w:color w:val="auto"/>
          <w:sz w:val="24"/>
          <w:highlight w:val="none"/>
        </w:rPr>
        <w:t>之日起生效。</w:t>
      </w:r>
    </w:p>
    <w:p w14:paraId="40C4E76C">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17.3 本合同未尽事宜，由双方协商并签订补充合同。补充合同（协议）与主合同具有同等法律效力。</w:t>
      </w:r>
    </w:p>
    <w:p w14:paraId="1F7222C6">
      <w:pPr>
        <w:spacing w:line="620" w:lineRule="exact"/>
        <w:ind w:firstLine="480" w:firstLineChars="200"/>
        <w:rPr>
          <w:rFonts w:ascii="宋体" w:hAnsi="宋体"/>
          <w:color w:val="auto"/>
          <w:sz w:val="24"/>
          <w:highlight w:val="none"/>
        </w:rPr>
      </w:pPr>
    </w:p>
    <w:p w14:paraId="13B30E5A">
      <w:pPr>
        <w:spacing w:line="620" w:lineRule="exact"/>
        <w:ind w:firstLine="480" w:firstLineChars="200"/>
        <w:rPr>
          <w:rFonts w:hint="eastAsia" w:ascii="宋体" w:hAnsi="宋体"/>
          <w:color w:val="auto"/>
          <w:sz w:val="24"/>
          <w:highlight w:val="none"/>
        </w:rPr>
      </w:pPr>
    </w:p>
    <w:p w14:paraId="22539AAA">
      <w:pPr>
        <w:spacing w:line="620" w:lineRule="exact"/>
        <w:rPr>
          <w:rFonts w:ascii="宋体" w:hAnsi="宋体"/>
          <w:b/>
          <w:color w:val="auto"/>
          <w:sz w:val="24"/>
          <w:highlight w:val="none"/>
        </w:rPr>
      </w:pPr>
      <w:r>
        <w:rPr>
          <w:rFonts w:hint="eastAsia" w:ascii="宋体" w:hAnsi="宋体"/>
          <w:b/>
          <w:color w:val="auto"/>
          <w:sz w:val="24"/>
          <w:highlight w:val="none"/>
        </w:rPr>
        <w:t>18.本合同附件包括：</w:t>
      </w:r>
    </w:p>
    <w:p w14:paraId="6BC3AF62">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附件一：产品主要技术配置</w:t>
      </w:r>
    </w:p>
    <w:p w14:paraId="70B2A9E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附件二：售后服务承诺</w:t>
      </w:r>
    </w:p>
    <w:p w14:paraId="0EDF991F">
      <w:pPr>
        <w:spacing w:line="620" w:lineRule="exact"/>
        <w:ind w:firstLine="480" w:firstLineChars="200"/>
        <w:rPr>
          <w:rFonts w:ascii="宋体" w:hAnsi="宋体"/>
          <w:color w:val="auto"/>
          <w:sz w:val="24"/>
          <w:highlight w:val="none"/>
        </w:rPr>
      </w:pPr>
    </w:p>
    <w:p w14:paraId="08F5C448">
      <w:pPr>
        <w:spacing w:line="620" w:lineRule="exact"/>
        <w:ind w:firstLine="480" w:firstLineChars="200"/>
        <w:rPr>
          <w:rFonts w:ascii="宋体" w:hAnsi="宋体"/>
          <w:color w:val="auto"/>
          <w:sz w:val="24"/>
          <w:highlight w:val="none"/>
        </w:rPr>
      </w:pPr>
    </w:p>
    <w:p w14:paraId="343F387E">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（以下无正文）</w:t>
      </w:r>
    </w:p>
    <w:p w14:paraId="3ACF1A95">
      <w:pPr>
        <w:spacing w:line="620" w:lineRule="exact"/>
        <w:ind w:firstLine="480" w:firstLineChars="200"/>
        <w:rPr>
          <w:rFonts w:ascii="宋体" w:hAnsi="宋体"/>
          <w:color w:val="auto"/>
          <w:sz w:val="24"/>
          <w:highlight w:val="none"/>
        </w:rPr>
      </w:pPr>
    </w:p>
    <w:p w14:paraId="4FD5C3F8">
      <w:pPr>
        <w:spacing w:line="620" w:lineRule="exact"/>
        <w:ind w:firstLine="480" w:firstLineChars="200"/>
        <w:rPr>
          <w:rFonts w:ascii="宋体" w:hAnsi="宋体"/>
          <w:color w:val="auto"/>
          <w:sz w:val="24"/>
          <w:highlight w:val="none"/>
        </w:rPr>
      </w:pPr>
    </w:p>
    <w:p w14:paraId="3FCD48C1">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甲    方：中国石油大学（北京）</w:t>
      </w:r>
    </w:p>
    <w:p w14:paraId="4EC69894">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单位地址： 新疆克拉玛依市安定路355号</w:t>
      </w:r>
    </w:p>
    <w:p w14:paraId="4A95C0E0">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 xml:space="preserve">法定代表人： </w:t>
      </w:r>
    </w:p>
    <w:p w14:paraId="05AF65A3">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 xml:space="preserve">委托代理人：                                    </w:t>
      </w:r>
    </w:p>
    <w:p w14:paraId="7D0777EF">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 xml:space="preserve">电    话：                  </w:t>
      </w:r>
    </w:p>
    <w:p w14:paraId="304D3164">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 xml:space="preserve">电子邮箱： </w:t>
      </w:r>
    </w:p>
    <w:p w14:paraId="771A21D9">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 xml:space="preserve">开 户 行：                 </w:t>
      </w:r>
    </w:p>
    <w:p w14:paraId="1196B0D5">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 xml:space="preserve">开户名称：      </w:t>
      </w:r>
    </w:p>
    <w:p w14:paraId="0BFEC1F5">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 xml:space="preserve">银行帐号：                </w:t>
      </w:r>
    </w:p>
    <w:p w14:paraId="17F9A757">
      <w:pPr>
        <w:spacing w:line="620" w:lineRule="exact"/>
        <w:ind w:firstLine="480" w:firstLineChars="200"/>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年   月　 日      </w:t>
      </w:r>
      <w:r>
        <w:rPr>
          <w:rFonts w:ascii="宋体" w:hAnsi="宋体"/>
          <w:color w:val="auto"/>
          <w:sz w:val="24"/>
          <w:highlight w:val="none"/>
        </w:rPr>
        <w:t xml:space="preserve">                        </w:t>
      </w:r>
    </w:p>
    <w:p w14:paraId="4544D209">
      <w:pPr>
        <w:spacing w:line="620" w:lineRule="exact"/>
        <w:ind w:firstLine="480" w:firstLineChars="200"/>
        <w:rPr>
          <w:rFonts w:ascii="宋体" w:hAnsi="宋体"/>
          <w:color w:val="auto"/>
          <w:sz w:val="24"/>
          <w:highlight w:val="none"/>
        </w:rPr>
      </w:pPr>
    </w:p>
    <w:p w14:paraId="7E89C9D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乙    方：</w:t>
      </w:r>
    </w:p>
    <w:p w14:paraId="0FAF6384">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单位地址：</w:t>
      </w:r>
    </w:p>
    <w:p w14:paraId="659D7E73">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法定代表人：</w:t>
      </w:r>
    </w:p>
    <w:p w14:paraId="16967430">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委托代理人：</w:t>
      </w:r>
    </w:p>
    <w:p w14:paraId="1C5D9EE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电    话：</w:t>
      </w:r>
    </w:p>
    <w:p w14:paraId="4EDE5372">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电子邮箱：</w:t>
      </w:r>
    </w:p>
    <w:p w14:paraId="1E0DC4C8">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开 户 行：</w:t>
      </w:r>
    </w:p>
    <w:p w14:paraId="66C1F8D3">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开户名称：</w:t>
      </w:r>
    </w:p>
    <w:p w14:paraId="0D3F7B51">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银行帐号：</w:t>
      </w:r>
    </w:p>
    <w:p w14:paraId="2FD49F0A">
      <w:pPr>
        <w:spacing w:line="620" w:lineRule="exact"/>
        <w:ind w:firstLine="480" w:firstLineChars="200"/>
        <w:rPr>
          <w:rFonts w:ascii="宋体" w:hAnsi="宋体"/>
          <w:color w:val="auto"/>
          <w:sz w:val="24"/>
          <w:highlight w:val="none"/>
        </w:rPr>
      </w:pPr>
      <w:r>
        <w:rPr>
          <w:rFonts w:hint="eastAsia" w:ascii="宋体" w:hAnsi="宋体"/>
          <w:color w:val="auto"/>
          <w:sz w:val="24"/>
          <w:highlight w:val="none"/>
        </w:rPr>
        <w:t>年　 月　 日</w:t>
      </w:r>
    </w:p>
    <w:p w14:paraId="357820BE">
      <w:pPr>
        <w:spacing w:line="620" w:lineRule="exact"/>
        <w:ind w:firstLine="480" w:firstLineChars="200"/>
        <w:rPr>
          <w:rFonts w:hint="eastAsia" w:ascii="宋体" w:hAnsi="宋体"/>
          <w:color w:val="auto"/>
          <w:sz w:val="24"/>
          <w:highlight w:val="none"/>
        </w:rPr>
      </w:pPr>
    </w:p>
    <w:bookmarkEnd w:id="142"/>
    <w:p w14:paraId="2DAD7617">
      <w:pPr>
        <w:adjustRightInd w:val="0"/>
        <w:snapToGrid w:val="0"/>
        <w:jc w:val="both"/>
        <w:rPr>
          <w:color w:val="auto"/>
          <w:highlight w:val="none"/>
        </w:rPr>
      </w:pPr>
    </w:p>
    <w:p w14:paraId="22906E0D">
      <w:pPr>
        <w:rPr>
          <w:rFonts w:hint="eastAsia"/>
          <w:color w:val="auto"/>
          <w:highlight w:val="none"/>
        </w:rPr>
      </w:pPr>
      <w:r>
        <w:rPr>
          <w:rFonts w:hint="eastAsia"/>
          <w:color w:val="auto"/>
          <w:highlight w:val="none"/>
        </w:rPr>
        <w:br w:type="page"/>
      </w:r>
    </w:p>
    <w:p w14:paraId="289D01AD">
      <w:pPr>
        <w:pStyle w:val="38"/>
        <w:rPr>
          <w:rFonts w:hint="eastAsia"/>
          <w:color w:val="auto"/>
          <w:highlight w:val="none"/>
        </w:rPr>
      </w:pPr>
    </w:p>
    <w:p w14:paraId="4B3CED53">
      <w:pPr>
        <w:pStyle w:val="2"/>
        <w:rPr>
          <w:color w:val="auto"/>
          <w:highlight w:val="none"/>
        </w:rPr>
      </w:pPr>
      <w:r>
        <w:rPr>
          <w:rFonts w:hint="eastAsia"/>
          <w:color w:val="auto"/>
          <w:highlight w:val="none"/>
        </w:rPr>
        <w:t>第</w:t>
      </w:r>
      <w:bookmarkStart w:id="143" w:name="_Toc9510643"/>
      <w:r>
        <w:rPr>
          <w:rFonts w:hint="eastAsia"/>
          <w:color w:val="auto"/>
          <w:highlight w:val="none"/>
        </w:rPr>
        <w:t>五章 投标文件格式</w:t>
      </w:r>
      <w:bookmarkEnd w:id="139"/>
      <w:bookmarkEnd w:id="140"/>
      <w:bookmarkEnd w:id="141"/>
    </w:p>
    <w:p w14:paraId="76590EBA">
      <w:pPr>
        <w:adjustRightInd w:val="0"/>
        <w:snapToGrid w:val="0"/>
        <w:spacing w:line="360" w:lineRule="auto"/>
        <w:rPr>
          <w:rFonts w:ascii="宋体" w:hAnsi="宋体" w:cs="宋体"/>
          <w:color w:val="auto"/>
          <w:szCs w:val="24"/>
          <w:highlight w:val="none"/>
        </w:rPr>
      </w:pPr>
    </w:p>
    <w:p w14:paraId="49E4A675">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一、投</w:t>
      </w:r>
      <w:bookmarkEnd w:id="143"/>
      <w:r>
        <w:rPr>
          <w:rFonts w:hint="eastAsia" w:ascii="宋体" w:hAnsi="宋体" w:cs="宋体"/>
          <w:color w:val="auto"/>
          <w:sz w:val="24"/>
          <w:szCs w:val="24"/>
          <w:highlight w:val="none"/>
        </w:rPr>
        <w:t>标人提交投标文件须知：</w:t>
      </w:r>
    </w:p>
    <w:p w14:paraId="206E2C89">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1、投标人应严格按照以下顺序填写和提交下述规定的全部格式文件以及其他有关资料，混乱的编排导致投标文件被误读或评标小组查找不到有效文件是投标人的风险。</w:t>
      </w:r>
    </w:p>
    <w:p w14:paraId="1E8174FD">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2、所附表格中要求回答的全部问题和/或信息都必须正面回答。</w:t>
      </w:r>
    </w:p>
    <w:p w14:paraId="4FB48C3D">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3、本声明书的签字人应保证全部声明和问题的回答是真实的和准确的。</w:t>
      </w:r>
    </w:p>
    <w:p w14:paraId="6EEB276A">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4、评标委员会将应用投标人提交的资料根据自己的判断和考虑决定投标人履行合同的合格性及能力。</w:t>
      </w:r>
    </w:p>
    <w:p w14:paraId="3C17F0BD">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5、投标人提交的材料将在一定期限内被</w:t>
      </w:r>
      <w:r>
        <w:rPr>
          <w:rFonts w:hint="eastAsia" w:asciiTheme="majorEastAsia" w:hAnsiTheme="majorEastAsia" w:eastAsiaTheme="majorEastAsia" w:cstheme="majorEastAsia"/>
          <w:bCs/>
          <w:color w:val="auto"/>
          <w:sz w:val="24"/>
          <w:szCs w:val="24"/>
          <w:highlight w:val="none"/>
        </w:rPr>
        <w:t>保密</w:t>
      </w:r>
      <w:r>
        <w:rPr>
          <w:rFonts w:hint="eastAsia" w:ascii="宋体" w:hAnsi="宋体" w:cs="宋体"/>
          <w:color w:val="auto"/>
          <w:sz w:val="24"/>
          <w:szCs w:val="24"/>
          <w:highlight w:val="none"/>
        </w:rPr>
        <w:t>保存，但不退还。</w:t>
      </w:r>
    </w:p>
    <w:p w14:paraId="25FCB2F8">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6、全部文件应按投标人须知中规定的语言和份数提交。投标文件组成漏项或未按规定的格式编制或投标文件正、副本份数不足，内容不全或内容字迹模糊辨认不清的情况，将有可能被评标小组认定为投标无效。</w:t>
      </w:r>
    </w:p>
    <w:p w14:paraId="13047278">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二、投标文件编制格式及规范要求：</w:t>
      </w:r>
    </w:p>
    <w:p w14:paraId="0265FA85">
      <w:pPr>
        <w:adjustRightInd w:val="0"/>
        <w:snapToGrid w:val="0"/>
        <w:spacing w:line="500" w:lineRule="exact"/>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报价文件、商务技术文件部分，投标人在编制投标文件时请按照以下格式进行，并装订成册。</w:t>
      </w:r>
    </w:p>
    <w:p w14:paraId="1317041C">
      <w:pPr>
        <w:adjustRightInd w:val="0"/>
        <w:snapToGrid w:val="0"/>
        <w:spacing w:before="50" w:after="50" w:line="360" w:lineRule="auto"/>
        <w:rPr>
          <w:rFonts w:ascii="宋体" w:hAnsi="宋体" w:cs="宋体"/>
          <w:color w:val="auto"/>
          <w:sz w:val="32"/>
          <w:highlight w:val="none"/>
        </w:rPr>
      </w:pPr>
    </w:p>
    <w:p w14:paraId="2559EF09">
      <w:pPr>
        <w:adjustRightInd w:val="0"/>
        <w:snapToGrid w:val="0"/>
        <w:spacing w:line="360" w:lineRule="auto"/>
        <w:rPr>
          <w:rFonts w:ascii="宋体" w:hAnsi="宋体" w:cs="宋体"/>
          <w:b/>
          <w:color w:val="auto"/>
          <w:sz w:val="24"/>
          <w:szCs w:val="24"/>
          <w:highlight w:val="none"/>
        </w:rPr>
      </w:pPr>
      <w:r>
        <w:rPr>
          <w:rFonts w:hint="eastAsia" w:ascii="宋体" w:hAnsi="宋体" w:cs="宋体"/>
          <w:color w:val="auto"/>
          <w:sz w:val="32"/>
          <w:highlight w:val="none"/>
        </w:rPr>
        <w:br w:type="page"/>
      </w:r>
      <w:r>
        <w:rPr>
          <w:rFonts w:hint="eastAsia" w:ascii="宋体" w:hAnsi="宋体" w:cs="宋体"/>
          <w:b/>
          <w:color w:val="auto"/>
          <w:sz w:val="24"/>
          <w:szCs w:val="24"/>
          <w:highlight w:val="none"/>
        </w:rPr>
        <w:t>投标文件封面</w:t>
      </w:r>
    </w:p>
    <w:p w14:paraId="7139560D">
      <w:pPr>
        <w:snapToGrid w:val="0"/>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14:paraId="14DB5288">
      <w:pPr>
        <w:snapToGrid w:val="0"/>
        <w:spacing w:line="360" w:lineRule="auto"/>
        <w:jc w:val="center"/>
        <w:rPr>
          <w:rFonts w:ascii="宋体" w:hAnsi="宋体" w:cs="宋体"/>
          <w:color w:val="auto"/>
          <w:sz w:val="56"/>
          <w:szCs w:val="20"/>
          <w:highlight w:val="none"/>
        </w:rPr>
      </w:pPr>
    </w:p>
    <w:p w14:paraId="27F449A0">
      <w:pPr>
        <w:snapToGrid w:val="0"/>
        <w:spacing w:line="360" w:lineRule="auto"/>
        <w:jc w:val="center"/>
        <w:rPr>
          <w:rFonts w:ascii="宋体" w:hAnsi="宋体" w:cs="宋体"/>
          <w:color w:val="auto"/>
          <w:sz w:val="44"/>
          <w:szCs w:val="44"/>
          <w:highlight w:val="none"/>
        </w:rPr>
      </w:pPr>
      <w:r>
        <w:rPr>
          <w:rFonts w:hint="eastAsia" w:ascii="宋体" w:hAnsi="宋体" w:cs="宋体"/>
          <w:color w:val="auto"/>
          <w:sz w:val="44"/>
          <w:szCs w:val="44"/>
          <w:highlight w:val="none"/>
        </w:rPr>
        <w:t>(项目名称)项目</w:t>
      </w:r>
    </w:p>
    <w:p w14:paraId="2718D720">
      <w:pPr>
        <w:snapToGrid w:val="0"/>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lang w:val="en-US" w:eastAsia="zh-CN"/>
        </w:rPr>
        <w:t>项目</w:t>
      </w:r>
      <w:r>
        <w:rPr>
          <w:rFonts w:hint="eastAsia" w:ascii="宋体" w:hAnsi="宋体" w:cs="宋体"/>
          <w:color w:val="auto"/>
          <w:sz w:val="28"/>
          <w:szCs w:val="20"/>
          <w:highlight w:val="none"/>
        </w:rPr>
        <w:t>编号：</w:t>
      </w:r>
    </w:p>
    <w:p w14:paraId="3A0E2953">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报</w:t>
      </w:r>
    </w:p>
    <w:p w14:paraId="7F8168B2">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价</w:t>
      </w:r>
    </w:p>
    <w:p w14:paraId="150C7A44">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文</w:t>
      </w:r>
    </w:p>
    <w:p w14:paraId="7B68FA12">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件</w:t>
      </w:r>
    </w:p>
    <w:p w14:paraId="36B93B64">
      <w:pPr>
        <w:snapToGrid w:val="0"/>
        <w:spacing w:line="360" w:lineRule="auto"/>
        <w:rPr>
          <w:rFonts w:ascii="宋体" w:hAnsi="宋体" w:cs="宋体"/>
          <w:color w:val="auto"/>
          <w:sz w:val="28"/>
          <w:szCs w:val="20"/>
          <w:highlight w:val="none"/>
        </w:rPr>
      </w:pPr>
    </w:p>
    <w:p w14:paraId="6F58DD16">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14:paraId="7171EE48">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14:paraId="4690F053">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投标单位法定代表人（负责人、自然人）或授权代表姓名：（签字或盖章）</w:t>
      </w:r>
    </w:p>
    <w:p w14:paraId="64B7FCD3">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投标单位法定代表人（负责人、自然人）或授权代表职务：</w:t>
      </w:r>
    </w:p>
    <w:p w14:paraId="083CFB7B">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14:paraId="28CED8B9">
      <w:pPr>
        <w:snapToGrid w:val="0"/>
        <w:spacing w:line="360" w:lineRule="auto"/>
        <w:rPr>
          <w:rFonts w:ascii="宋体" w:hAnsi="宋体" w:cs="宋体"/>
          <w:color w:val="auto"/>
          <w:sz w:val="20"/>
          <w:szCs w:val="20"/>
          <w:highlight w:val="none"/>
        </w:rPr>
      </w:pPr>
    </w:p>
    <w:p w14:paraId="40B7C33E">
      <w:pPr>
        <w:adjustRightInd w:val="0"/>
        <w:snapToGrid w:val="0"/>
        <w:spacing w:before="50" w:after="50"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年  月  日</w:t>
      </w:r>
    </w:p>
    <w:p w14:paraId="711FBA6E">
      <w:pPr>
        <w:rPr>
          <w:rFonts w:ascii="宋体" w:hAnsi="宋体" w:cs="宋体"/>
          <w:b/>
          <w:color w:val="auto"/>
          <w:sz w:val="44"/>
          <w:szCs w:val="44"/>
          <w:highlight w:val="none"/>
        </w:rPr>
      </w:pPr>
      <w:r>
        <w:rPr>
          <w:rFonts w:hint="eastAsia" w:ascii="宋体" w:hAnsi="宋体" w:cs="宋体"/>
          <w:b/>
          <w:color w:val="auto"/>
          <w:sz w:val="44"/>
          <w:szCs w:val="44"/>
          <w:highlight w:val="none"/>
        </w:rPr>
        <w:br w:type="page"/>
      </w:r>
    </w:p>
    <w:p w14:paraId="08561AFD">
      <w:pPr>
        <w:widowControl/>
        <w:snapToGrid w:val="0"/>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14:paraId="19CB2D61">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1、投标函…………………………………………………………………（页码）</w:t>
      </w:r>
    </w:p>
    <w:p w14:paraId="19EA9439">
      <w:pPr>
        <w:adjustRightInd w:val="0"/>
        <w:snapToGrid w:val="0"/>
        <w:spacing w:line="400" w:lineRule="exact"/>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2、开标一览表…………………</w:t>
      </w:r>
      <w:r>
        <w:rPr>
          <w:rFonts w:hint="eastAsia" w:ascii="宋体" w:hAnsi="宋体" w:eastAsia="宋体" w:cs="宋体"/>
          <w:color w:val="auto"/>
          <w:sz w:val="24"/>
          <w:szCs w:val="24"/>
          <w:highlight w:val="none"/>
        </w:rPr>
        <w:t>…………………………………………（页码）</w:t>
      </w:r>
    </w:p>
    <w:p w14:paraId="387FBC2C">
      <w:pPr>
        <w:adjustRightInd w:val="0"/>
        <w:snapToGrid w:val="0"/>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3、投标报价明细表</w:t>
      </w:r>
      <w:r>
        <w:rPr>
          <w:rFonts w:hint="eastAsia" w:ascii="宋体" w:hAnsi="宋体" w:cs="宋体"/>
          <w:color w:val="auto"/>
          <w:sz w:val="24"/>
          <w:szCs w:val="24"/>
          <w:highlight w:val="none"/>
        </w:rPr>
        <w:t>……………</w:t>
      </w:r>
      <w:r>
        <w:rPr>
          <w:rFonts w:hint="eastAsia" w:ascii="宋体" w:hAnsi="宋体" w:eastAsia="宋体" w:cs="宋体"/>
          <w:color w:val="auto"/>
          <w:sz w:val="24"/>
          <w:szCs w:val="24"/>
          <w:highlight w:val="none"/>
        </w:rPr>
        <w:t>…………………………………………（页码）</w:t>
      </w:r>
    </w:p>
    <w:p w14:paraId="38BA5B65">
      <w:pPr>
        <w:adjustRightInd w:val="0"/>
        <w:snapToGrid w:val="0"/>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备件</w:t>
      </w:r>
      <w:r>
        <w:rPr>
          <w:rFonts w:hint="eastAsia" w:ascii="宋体" w:hAnsi="宋体" w:cs="宋体"/>
          <w:color w:val="auto"/>
          <w:sz w:val="24"/>
          <w:szCs w:val="24"/>
          <w:highlight w:val="none"/>
          <w:lang w:val="en-US" w:eastAsia="zh-CN"/>
        </w:rPr>
        <w:t>（及易耗品）</w:t>
      </w:r>
      <w:r>
        <w:rPr>
          <w:rFonts w:hint="eastAsia" w:ascii="宋体" w:hAnsi="宋体" w:eastAsia="宋体" w:cs="宋体"/>
          <w:color w:val="auto"/>
          <w:sz w:val="24"/>
          <w:szCs w:val="24"/>
          <w:highlight w:val="none"/>
          <w:lang w:val="en-US" w:eastAsia="zh-CN"/>
        </w:rPr>
        <w:t>清单</w:t>
      </w:r>
      <w:r>
        <w:rPr>
          <w:rFonts w:hint="eastAsia" w:ascii="宋体" w:hAnsi="宋体" w:cs="宋体"/>
          <w:color w:val="auto"/>
          <w:sz w:val="24"/>
          <w:szCs w:val="24"/>
          <w:highlight w:val="none"/>
        </w:rPr>
        <w:t>……</w:t>
      </w:r>
      <w:r>
        <w:rPr>
          <w:rFonts w:hint="eastAsia" w:ascii="宋体" w:hAnsi="宋体" w:eastAsia="宋体" w:cs="宋体"/>
          <w:color w:val="auto"/>
          <w:sz w:val="24"/>
          <w:szCs w:val="24"/>
          <w:highlight w:val="none"/>
        </w:rPr>
        <w:t>…………………………………………（页码）</w:t>
      </w:r>
    </w:p>
    <w:p w14:paraId="562F8ADC">
      <w:pPr>
        <w:adjustRightInd w:val="0"/>
        <w:snapToGrid w:val="0"/>
        <w:spacing w:line="400" w:lineRule="exact"/>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rPr>
        <w:t>投标保证金缴纳凭证复印件</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如有</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………………………………（页码）</w:t>
      </w:r>
    </w:p>
    <w:p w14:paraId="3EAE2B88">
      <w:pPr>
        <w:adjustRightInd w:val="0"/>
        <w:snapToGrid w:val="0"/>
        <w:spacing w:line="400" w:lineRule="exact"/>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投标人针对报价需要说明</w:t>
      </w:r>
      <w:r>
        <w:rPr>
          <w:rFonts w:hint="eastAsia" w:ascii="宋体" w:hAnsi="宋体" w:cs="宋体"/>
          <w:color w:val="auto"/>
          <w:sz w:val="24"/>
          <w:szCs w:val="24"/>
          <w:highlight w:val="none"/>
        </w:rPr>
        <w:t>的其他文件和资料………………………（页码）</w:t>
      </w:r>
    </w:p>
    <w:p w14:paraId="2CE06F70">
      <w:pPr>
        <w:adjustRightInd w:val="0"/>
        <w:snapToGrid w:val="0"/>
        <w:spacing w:line="400" w:lineRule="exact"/>
        <w:rPr>
          <w:rFonts w:ascii="宋体" w:hAnsi="宋体" w:cs="宋体"/>
          <w:color w:val="auto"/>
          <w:sz w:val="24"/>
          <w:szCs w:val="24"/>
          <w:highlight w:val="none"/>
        </w:rPr>
      </w:pPr>
    </w:p>
    <w:p w14:paraId="1AA97401">
      <w:pPr>
        <w:widowControl/>
        <w:jc w:val="left"/>
        <w:rPr>
          <w:rFonts w:ascii="宋体" w:hAnsi="宋体"/>
          <w:b/>
          <w:bCs/>
          <w:color w:val="auto"/>
          <w:sz w:val="32"/>
          <w:szCs w:val="32"/>
          <w:highlight w:val="none"/>
        </w:rPr>
      </w:pPr>
      <w:r>
        <w:rPr>
          <w:color w:val="auto"/>
          <w:highlight w:val="none"/>
        </w:rPr>
        <w:br w:type="page"/>
      </w:r>
    </w:p>
    <w:p w14:paraId="5B9AE96F">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1、投标函格式：</w:t>
      </w:r>
    </w:p>
    <w:p w14:paraId="246111BA">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 标 函</w:t>
      </w:r>
    </w:p>
    <w:p w14:paraId="06004751">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14:paraId="5C1DD5C5">
      <w:pPr>
        <w:adjustRightInd w:val="0"/>
        <w:snapToGrid w:val="0"/>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根据贵方项目（项目编号：）招标公告/投标邀请书，签字代表（全名）经正式授权并代表投标人（投标人名称）提交</w:t>
      </w:r>
      <w:r>
        <w:rPr>
          <w:rFonts w:hint="eastAsia" w:ascii="宋体" w:hAnsi="宋体" w:cs="宋体"/>
          <w:color w:val="auto"/>
          <w:sz w:val="24"/>
          <w:szCs w:val="24"/>
          <w:highlight w:val="none"/>
          <w:u w:val="single"/>
          <w:lang w:val="en-US" w:eastAsia="zh-CN"/>
        </w:rPr>
        <w:t>项目</w:t>
      </w:r>
      <w:r>
        <w:rPr>
          <w:rFonts w:hint="eastAsia" w:ascii="宋体" w:hAnsi="宋体" w:cs="宋体"/>
          <w:color w:val="auto"/>
          <w:sz w:val="24"/>
          <w:szCs w:val="24"/>
          <w:highlight w:val="none"/>
          <w:u w:val="single"/>
        </w:rPr>
        <w:t>编号及内容</w:t>
      </w:r>
      <w:r>
        <w:rPr>
          <w:rFonts w:hint="eastAsia" w:ascii="宋体" w:hAnsi="宋体" w:cs="宋体"/>
          <w:color w:val="auto"/>
          <w:sz w:val="24"/>
          <w:szCs w:val="24"/>
          <w:highlight w:val="none"/>
        </w:rPr>
        <w:t>投标文件正本一份、副本</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份、电子文件</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份。</w:t>
      </w:r>
    </w:p>
    <w:p w14:paraId="0C4E7B5B">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据此函，签字代表宣布同意如下：</w:t>
      </w:r>
    </w:p>
    <w:p w14:paraId="7AD0B648">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1、投标人已详细审查全部“招标文件”，包括补充文件（如有）以及全部参考资料和有关附件，已经了解我方对于招标文件、采购过程、采购结果有依法进行询问、质疑、投诉的权利及相关渠道和要求。</w:t>
      </w:r>
    </w:p>
    <w:p w14:paraId="42A91A31">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2、投标人在投标之前已经与贵方进行了充分的沟通，完全理解并接受招标文件的各项规定和要求，对招标文件的合理性、合法性不再有异议。</w:t>
      </w:r>
    </w:p>
    <w:p w14:paraId="57B1A3D2">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3、本投标有效期自递交投标文件截止之日起</w:t>
      </w:r>
      <w:r>
        <w:rPr>
          <w:rFonts w:hint="eastAsia" w:ascii="宋体" w:hAnsi="宋体" w:cs="宋体"/>
          <w:color w:val="auto"/>
          <w:sz w:val="24"/>
          <w:szCs w:val="24"/>
          <w:highlight w:val="none"/>
          <w:u w:val="single"/>
        </w:rPr>
        <w:t>90</w:t>
      </w:r>
      <w:r>
        <w:rPr>
          <w:rFonts w:hint="eastAsia" w:ascii="宋体" w:hAnsi="宋体" w:cs="宋体"/>
          <w:color w:val="auto"/>
          <w:sz w:val="24"/>
          <w:szCs w:val="24"/>
          <w:highlight w:val="none"/>
        </w:rPr>
        <w:t>日。</w:t>
      </w:r>
    </w:p>
    <w:p w14:paraId="3985E1E6">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4、如中标，本投标文件至本项目合同履行完毕止均保持有效，本投标人将按“招标文件”及政府采购法律、法规的规定履行合同责任和义务。</w:t>
      </w:r>
    </w:p>
    <w:p w14:paraId="34501FE8">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5、投标人同意按照贵方要求提供与投标有关的一切数据或资料，完全理解采购人不一定接受最低价的投标或收到的任何投标。</w:t>
      </w:r>
    </w:p>
    <w:p w14:paraId="179BCC36">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6、与本投标有关的一切正式往来信函请寄：</w:t>
      </w:r>
    </w:p>
    <w:p w14:paraId="562F41F9">
      <w:pPr>
        <w:adjustRightInd w:val="0"/>
        <w:snapToGrid w:val="0"/>
        <w:spacing w:line="400" w:lineRule="exact"/>
        <w:ind w:firstLine="480" w:firstLineChars="200"/>
        <w:rPr>
          <w:rFonts w:ascii="宋体" w:hAnsi="宋体" w:cs="宋体"/>
          <w:color w:val="auto"/>
          <w:sz w:val="24"/>
          <w:szCs w:val="24"/>
          <w:highlight w:val="none"/>
        </w:rPr>
      </w:pPr>
    </w:p>
    <w:p w14:paraId="0BBA5EC9">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地址：  邮编：     电话：</w:t>
      </w:r>
    </w:p>
    <w:p w14:paraId="3FE90354">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传真：   投标人代表姓名：  职务：</w:t>
      </w:r>
    </w:p>
    <w:p w14:paraId="1BB2C9E2">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投标人名称(公章):</w:t>
      </w:r>
    </w:p>
    <w:p w14:paraId="2E4C4795">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开户银行：    银行帐号：</w:t>
      </w:r>
    </w:p>
    <w:p w14:paraId="61C31BB2">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授权代表签字:</w:t>
      </w:r>
    </w:p>
    <w:p w14:paraId="420BBC8F">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日期：</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日</w:t>
      </w:r>
    </w:p>
    <w:p w14:paraId="57709629">
      <w:pPr>
        <w:adjustRightInd w:val="0"/>
        <w:snapToGrid w:val="0"/>
        <w:spacing w:line="400" w:lineRule="exact"/>
        <w:rPr>
          <w:rFonts w:ascii="宋体" w:hAnsi="宋体" w:cs="宋体"/>
          <w:color w:val="auto"/>
          <w:sz w:val="24"/>
          <w:szCs w:val="24"/>
          <w:highlight w:val="none"/>
        </w:rPr>
      </w:pPr>
    </w:p>
    <w:p w14:paraId="2C5ABAD9">
      <w:pPr>
        <w:adjustRightInd w:val="0"/>
        <w:snapToGrid w:val="0"/>
        <w:spacing w:line="400" w:lineRule="exact"/>
        <w:rPr>
          <w:color w:val="auto"/>
          <w:highlight w:val="none"/>
        </w:rPr>
      </w:pPr>
    </w:p>
    <w:p w14:paraId="6FD035CA">
      <w:pPr>
        <w:adjustRightInd w:val="0"/>
        <w:snapToGrid w:val="0"/>
        <w:spacing w:line="400" w:lineRule="exact"/>
        <w:rPr>
          <w:color w:val="auto"/>
          <w:highlight w:val="none"/>
        </w:rPr>
      </w:pPr>
    </w:p>
    <w:p w14:paraId="734E7824">
      <w:pPr>
        <w:adjustRightInd w:val="0"/>
        <w:snapToGrid w:val="0"/>
        <w:spacing w:line="400" w:lineRule="exact"/>
        <w:rPr>
          <w:color w:val="auto"/>
          <w:highlight w:val="none"/>
        </w:rPr>
      </w:pPr>
    </w:p>
    <w:p w14:paraId="21DE2614">
      <w:pPr>
        <w:adjustRightInd w:val="0"/>
        <w:snapToGrid w:val="0"/>
        <w:spacing w:line="400" w:lineRule="exact"/>
        <w:rPr>
          <w:color w:val="auto"/>
          <w:highlight w:val="none"/>
        </w:rPr>
      </w:pPr>
    </w:p>
    <w:p w14:paraId="7BAD6D3A">
      <w:pPr>
        <w:adjustRightInd w:val="0"/>
        <w:snapToGrid w:val="0"/>
        <w:spacing w:line="400" w:lineRule="exact"/>
        <w:rPr>
          <w:color w:val="auto"/>
          <w:highlight w:val="none"/>
        </w:rPr>
      </w:pPr>
    </w:p>
    <w:p w14:paraId="12FB34BC">
      <w:pPr>
        <w:adjustRightInd w:val="0"/>
        <w:snapToGrid w:val="0"/>
        <w:spacing w:line="400" w:lineRule="exact"/>
        <w:rPr>
          <w:color w:val="auto"/>
          <w:highlight w:val="none"/>
        </w:rPr>
      </w:pPr>
    </w:p>
    <w:p w14:paraId="3D7FECD0">
      <w:pPr>
        <w:adjustRightInd w:val="0"/>
        <w:snapToGrid w:val="0"/>
        <w:spacing w:line="400" w:lineRule="exact"/>
        <w:rPr>
          <w:color w:val="auto"/>
          <w:highlight w:val="none"/>
        </w:rPr>
      </w:pPr>
    </w:p>
    <w:p w14:paraId="54722677">
      <w:pPr>
        <w:adjustRightInd w:val="0"/>
        <w:snapToGrid w:val="0"/>
        <w:spacing w:line="400" w:lineRule="exact"/>
        <w:rPr>
          <w:color w:val="auto"/>
          <w:highlight w:val="none"/>
        </w:rPr>
      </w:pPr>
    </w:p>
    <w:p w14:paraId="56BF02F1">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2、开标一览表</w:t>
      </w:r>
    </w:p>
    <w:p w14:paraId="6CC7CA17">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开标一览表</w:t>
      </w:r>
    </w:p>
    <w:p w14:paraId="6E648131">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      </w:t>
      </w:r>
    </w:p>
    <w:p w14:paraId="516DDD0F">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项目</w:t>
      </w:r>
      <w:r>
        <w:rPr>
          <w:rFonts w:hint="eastAsia" w:ascii="宋体" w:hAnsi="宋体" w:cs="宋体"/>
          <w:color w:val="auto"/>
          <w:sz w:val="24"/>
          <w:szCs w:val="24"/>
          <w:highlight w:val="none"/>
        </w:rPr>
        <w:t xml:space="preserve">编号及内容：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p>
    <w:tbl>
      <w:tblPr>
        <w:tblStyle w:val="39"/>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
        <w:gridCol w:w="1250"/>
        <w:gridCol w:w="1065"/>
        <w:gridCol w:w="641"/>
        <w:gridCol w:w="1282"/>
        <w:gridCol w:w="898"/>
        <w:gridCol w:w="1153"/>
        <w:gridCol w:w="1154"/>
        <w:gridCol w:w="897"/>
      </w:tblGrid>
      <w:tr w14:paraId="3301B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476" w:type="dxa"/>
            <w:vAlign w:val="center"/>
          </w:tcPr>
          <w:p w14:paraId="12AE3537">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250" w:type="dxa"/>
            <w:vAlign w:val="center"/>
          </w:tcPr>
          <w:p w14:paraId="16D8BDBF">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标的</w:t>
            </w:r>
            <w:r>
              <w:rPr>
                <w:rFonts w:hint="eastAsia" w:ascii="宋体" w:hAnsi="宋体" w:cs="宋体"/>
                <w:color w:val="auto"/>
                <w:sz w:val="24"/>
                <w:szCs w:val="24"/>
                <w:highlight w:val="none"/>
              </w:rPr>
              <w:t>名称</w:t>
            </w:r>
          </w:p>
        </w:tc>
        <w:tc>
          <w:tcPr>
            <w:tcW w:w="1065" w:type="dxa"/>
            <w:vAlign w:val="center"/>
          </w:tcPr>
          <w:p w14:paraId="2FCAC547">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品牌</w:t>
            </w:r>
          </w:p>
        </w:tc>
        <w:tc>
          <w:tcPr>
            <w:tcW w:w="641" w:type="dxa"/>
            <w:vAlign w:val="center"/>
          </w:tcPr>
          <w:p w14:paraId="36ED8E26">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产地</w:t>
            </w:r>
          </w:p>
        </w:tc>
        <w:tc>
          <w:tcPr>
            <w:tcW w:w="1282" w:type="dxa"/>
            <w:vAlign w:val="center"/>
          </w:tcPr>
          <w:p w14:paraId="4952A95C">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规格型号</w:t>
            </w:r>
          </w:p>
        </w:tc>
        <w:tc>
          <w:tcPr>
            <w:tcW w:w="898" w:type="dxa"/>
            <w:vAlign w:val="center"/>
          </w:tcPr>
          <w:p w14:paraId="711980CD">
            <w:pPr>
              <w:snapToGrid w:val="0"/>
              <w:spacing w:line="40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数量</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台</w:t>
            </w:r>
            <w:r>
              <w:rPr>
                <w:rFonts w:hint="eastAsia" w:ascii="宋体" w:hAnsi="宋体" w:cs="宋体"/>
                <w:color w:val="auto"/>
                <w:sz w:val="24"/>
                <w:szCs w:val="24"/>
                <w:highlight w:val="none"/>
                <w:lang w:eastAsia="zh-CN"/>
              </w:rPr>
              <w:t>）</w:t>
            </w:r>
          </w:p>
        </w:tc>
        <w:tc>
          <w:tcPr>
            <w:tcW w:w="1153" w:type="dxa"/>
            <w:vAlign w:val="center"/>
          </w:tcPr>
          <w:p w14:paraId="7066F60C">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单价（元）</w:t>
            </w:r>
          </w:p>
        </w:tc>
        <w:tc>
          <w:tcPr>
            <w:tcW w:w="1154" w:type="dxa"/>
            <w:vAlign w:val="center"/>
          </w:tcPr>
          <w:p w14:paraId="74148EAE">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合计（元）</w:t>
            </w:r>
          </w:p>
        </w:tc>
        <w:tc>
          <w:tcPr>
            <w:tcW w:w="897" w:type="dxa"/>
            <w:vAlign w:val="center"/>
          </w:tcPr>
          <w:p w14:paraId="6BD4ABEE">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r>
      <w:tr w14:paraId="78760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jc w:val="center"/>
        </w:trPr>
        <w:tc>
          <w:tcPr>
            <w:tcW w:w="476" w:type="dxa"/>
            <w:vAlign w:val="center"/>
          </w:tcPr>
          <w:p w14:paraId="583AB6C4">
            <w:pPr>
              <w:snapToGrid w:val="0"/>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1250" w:type="dxa"/>
            <w:vAlign w:val="center"/>
          </w:tcPr>
          <w:p w14:paraId="64F8153A">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煤直接液化装置</w:t>
            </w:r>
          </w:p>
        </w:tc>
        <w:tc>
          <w:tcPr>
            <w:tcW w:w="1065" w:type="dxa"/>
            <w:vAlign w:val="center"/>
          </w:tcPr>
          <w:p w14:paraId="65F8A179">
            <w:pPr>
              <w:snapToGrid w:val="0"/>
              <w:spacing w:line="400" w:lineRule="exact"/>
              <w:jc w:val="center"/>
              <w:rPr>
                <w:rFonts w:ascii="宋体" w:hAnsi="宋体" w:cs="宋体"/>
                <w:color w:val="auto"/>
                <w:sz w:val="24"/>
                <w:szCs w:val="24"/>
                <w:highlight w:val="none"/>
              </w:rPr>
            </w:pPr>
          </w:p>
        </w:tc>
        <w:tc>
          <w:tcPr>
            <w:tcW w:w="641" w:type="dxa"/>
            <w:vAlign w:val="center"/>
          </w:tcPr>
          <w:p w14:paraId="21F888B6">
            <w:pPr>
              <w:snapToGrid w:val="0"/>
              <w:spacing w:line="400" w:lineRule="exact"/>
              <w:jc w:val="center"/>
              <w:rPr>
                <w:rFonts w:ascii="宋体" w:hAnsi="宋体" w:cs="宋体"/>
                <w:color w:val="auto"/>
                <w:sz w:val="24"/>
                <w:szCs w:val="24"/>
                <w:highlight w:val="none"/>
              </w:rPr>
            </w:pPr>
          </w:p>
        </w:tc>
        <w:tc>
          <w:tcPr>
            <w:tcW w:w="1282" w:type="dxa"/>
            <w:vAlign w:val="center"/>
          </w:tcPr>
          <w:p w14:paraId="2132E679">
            <w:pPr>
              <w:snapToGrid w:val="0"/>
              <w:spacing w:line="400" w:lineRule="exact"/>
              <w:jc w:val="center"/>
              <w:rPr>
                <w:rFonts w:ascii="宋体" w:hAnsi="宋体" w:cs="宋体"/>
                <w:color w:val="auto"/>
                <w:sz w:val="24"/>
                <w:szCs w:val="24"/>
                <w:highlight w:val="none"/>
              </w:rPr>
            </w:pPr>
          </w:p>
        </w:tc>
        <w:tc>
          <w:tcPr>
            <w:tcW w:w="898" w:type="dxa"/>
            <w:vAlign w:val="center"/>
          </w:tcPr>
          <w:p w14:paraId="27E71885">
            <w:pPr>
              <w:snapToGrid w:val="0"/>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1153" w:type="dxa"/>
            <w:vAlign w:val="center"/>
          </w:tcPr>
          <w:p w14:paraId="56ACA178">
            <w:pPr>
              <w:snapToGrid w:val="0"/>
              <w:spacing w:line="400" w:lineRule="exact"/>
              <w:jc w:val="left"/>
              <w:rPr>
                <w:rFonts w:ascii="宋体" w:hAnsi="宋体" w:cs="宋体"/>
                <w:color w:val="auto"/>
                <w:sz w:val="24"/>
                <w:szCs w:val="24"/>
                <w:highlight w:val="none"/>
              </w:rPr>
            </w:pPr>
          </w:p>
        </w:tc>
        <w:tc>
          <w:tcPr>
            <w:tcW w:w="1154" w:type="dxa"/>
            <w:vAlign w:val="center"/>
          </w:tcPr>
          <w:p w14:paraId="135830BB">
            <w:pPr>
              <w:snapToGrid w:val="0"/>
              <w:spacing w:line="400" w:lineRule="exact"/>
              <w:jc w:val="center"/>
              <w:rPr>
                <w:rFonts w:ascii="宋体" w:hAnsi="宋体" w:cs="宋体"/>
                <w:color w:val="auto"/>
                <w:sz w:val="24"/>
                <w:szCs w:val="24"/>
                <w:highlight w:val="none"/>
              </w:rPr>
            </w:pPr>
          </w:p>
        </w:tc>
        <w:tc>
          <w:tcPr>
            <w:tcW w:w="897" w:type="dxa"/>
            <w:vAlign w:val="center"/>
          </w:tcPr>
          <w:p w14:paraId="3FB89EA9">
            <w:pPr>
              <w:snapToGrid w:val="0"/>
              <w:spacing w:line="400" w:lineRule="exact"/>
              <w:jc w:val="center"/>
              <w:rPr>
                <w:rFonts w:ascii="宋体" w:hAnsi="宋体" w:cs="宋体"/>
                <w:color w:val="auto"/>
                <w:sz w:val="24"/>
                <w:szCs w:val="24"/>
                <w:highlight w:val="none"/>
              </w:rPr>
            </w:pPr>
          </w:p>
        </w:tc>
      </w:tr>
      <w:tr w14:paraId="23F54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14:paraId="28EBFFBD">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投标总价（元）</w:t>
            </w:r>
          </w:p>
        </w:tc>
        <w:tc>
          <w:tcPr>
            <w:tcW w:w="7090" w:type="dxa"/>
            <w:gridSpan w:val="7"/>
            <w:vAlign w:val="center"/>
          </w:tcPr>
          <w:p w14:paraId="6630609D">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合计金额大写：  小写：￥</w:t>
            </w:r>
          </w:p>
        </w:tc>
      </w:tr>
      <w:tr w14:paraId="7DFC7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14:paraId="3499611F">
            <w:pPr>
              <w:snapToGrid w:val="0"/>
              <w:spacing w:line="40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交货时间</w:t>
            </w:r>
          </w:p>
        </w:tc>
        <w:tc>
          <w:tcPr>
            <w:tcW w:w="7090" w:type="dxa"/>
            <w:gridSpan w:val="7"/>
            <w:vAlign w:val="center"/>
          </w:tcPr>
          <w:p w14:paraId="1399DEC5">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r w14:paraId="31908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726" w:type="dxa"/>
            <w:gridSpan w:val="2"/>
            <w:vAlign w:val="center"/>
          </w:tcPr>
          <w:p w14:paraId="5FB1DB2A">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质保期</w:t>
            </w:r>
          </w:p>
        </w:tc>
        <w:tc>
          <w:tcPr>
            <w:tcW w:w="7090" w:type="dxa"/>
            <w:gridSpan w:val="7"/>
            <w:vAlign w:val="center"/>
          </w:tcPr>
          <w:p w14:paraId="07D285D1">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bl>
    <w:p w14:paraId="34733C84">
      <w:pPr>
        <w:adjustRightInd w:val="0"/>
        <w:snapToGrid w:val="0"/>
        <w:spacing w:line="400" w:lineRule="exact"/>
        <w:rPr>
          <w:rFonts w:ascii="宋体" w:hAnsi="宋体" w:cs="宋体"/>
          <w:color w:val="auto"/>
          <w:sz w:val="24"/>
          <w:szCs w:val="24"/>
          <w:highlight w:val="none"/>
        </w:rPr>
      </w:pPr>
    </w:p>
    <w:p w14:paraId="59EFF0FD">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注: 投标报价包括项目实施所需的货款、人工费、服务费、运输费、安装调试费、税金及其他一切费用。</w:t>
      </w:r>
    </w:p>
    <w:p w14:paraId="5ADD2886">
      <w:pPr>
        <w:pStyle w:val="3"/>
        <w:rPr>
          <w:color w:val="auto"/>
          <w:highlight w:val="none"/>
        </w:rPr>
      </w:pPr>
    </w:p>
    <w:p w14:paraId="23CE6CB3">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387C999E">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w:t>
      </w:r>
    </w:p>
    <w:p w14:paraId="0DB1AEDB">
      <w:pPr>
        <w:adjustRightInd w:val="0"/>
        <w:snapToGrid w:val="0"/>
        <w:spacing w:line="400" w:lineRule="exact"/>
        <w:ind w:left="-2" w:leftChars="-1"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556A533B">
      <w:pPr>
        <w:adjustRightInd w:val="0"/>
        <w:snapToGrid w:val="0"/>
        <w:spacing w:line="400" w:lineRule="exact"/>
        <w:rPr>
          <w:color w:val="auto"/>
          <w:highlight w:val="none"/>
        </w:rPr>
      </w:pPr>
      <w:r>
        <w:rPr>
          <w:rFonts w:hint="eastAsia" w:ascii="宋体" w:hAnsi="宋体" w:cs="宋体"/>
          <w:b/>
          <w:color w:val="auto"/>
          <w:sz w:val="24"/>
          <w:szCs w:val="24"/>
          <w:highlight w:val="none"/>
        </w:rPr>
        <w:br w:type="page"/>
      </w:r>
    </w:p>
    <w:p w14:paraId="6112777B">
      <w:pPr>
        <w:adjustRightInd w:val="0"/>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3、投标报价明细表格式</w:t>
      </w:r>
      <w:r>
        <w:rPr>
          <w:rFonts w:hint="eastAsia" w:ascii="宋体" w:hAnsi="宋体" w:cs="宋体"/>
          <w:color w:val="auto"/>
          <w:sz w:val="24"/>
          <w:szCs w:val="24"/>
          <w:highlight w:val="none"/>
        </w:rPr>
        <w:t xml:space="preserve">：       </w:t>
      </w:r>
    </w:p>
    <w:p w14:paraId="22FD115E">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投标报价明细表</w:t>
      </w:r>
    </w:p>
    <w:p w14:paraId="3DD797B6">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项目名称：</w:t>
      </w:r>
    </w:p>
    <w:p w14:paraId="55217994">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项目</w:t>
      </w:r>
      <w:r>
        <w:rPr>
          <w:rFonts w:hint="eastAsia" w:ascii="宋体" w:hAnsi="宋体" w:cs="宋体"/>
          <w:color w:val="auto"/>
          <w:sz w:val="24"/>
          <w:szCs w:val="24"/>
          <w:highlight w:val="none"/>
        </w:rPr>
        <w:t>编号及内容：                               金额单位：人民币（元）</w:t>
      </w:r>
    </w:p>
    <w:tbl>
      <w:tblPr>
        <w:tblStyle w:val="39"/>
        <w:tblW w:w="83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57"/>
        <w:gridCol w:w="1315"/>
        <w:gridCol w:w="986"/>
        <w:gridCol w:w="1315"/>
        <w:gridCol w:w="1479"/>
        <w:gridCol w:w="903"/>
        <w:gridCol w:w="903"/>
        <w:gridCol w:w="780"/>
      </w:tblGrid>
      <w:tr w14:paraId="6A9C73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8"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7C4A527B">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序号</w:t>
            </w:r>
          </w:p>
        </w:tc>
        <w:tc>
          <w:tcPr>
            <w:tcW w:w="1315" w:type="dxa"/>
            <w:tcBorders>
              <w:top w:val="single" w:color="auto" w:sz="4" w:space="0"/>
              <w:left w:val="single" w:color="auto" w:sz="4" w:space="0"/>
              <w:bottom w:val="single" w:color="auto" w:sz="4" w:space="0"/>
              <w:right w:val="single" w:color="auto" w:sz="4" w:space="0"/>
            </w:tcBorders>
            <w:vAlign w:val="center"/>
          </w:tcPr>
          <w:p w14:paraId="6DF812FA">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报价组成</w:t>
            </w:r>
          </w:p>
        </w:tc>
        <w:tc>
          <w:tcPr>
            <w:tcW w:w="986" w:type="dxa"/>
            <w:tcBorders>
              <w:top w:val="single" w:color="auto" w:sz="4" w:space="0"/>
              <w:left w:val="single" w:color="auto" w:sz="4" w:space="0"/>
              <w:bottom w:val="single" w:color="auto" w:sz="4" w:space="0"/>
              <w:right w:val="single" w:color="auto" w:sz="4" w:space="0"/>
            </w:tcBorders>
            <w:vAlign w:val="center"/>
          </w:tcPr>
          <w:p w14:paraId="0BD165E0">
            <w:pPr>
              <w:tabs>
                <w:tab w:val="left" w:pos="1418"/>
              </w:tabs>
              <w:adjustRightInd w:val="0"/>
              <w:snapToGrid w:val="0"/>
              <w:spacing w:line="400" w:lineRule="exact"/>
              <w:jc w:val="center"/>
              <w:rPr>
                <w:rFonts w:ascii="宋体" w:hAnsi="宋体" w:cs="宋体"/>
                <w:color w:val="auto"/>
                <w:spacing w:val="-20"/>
                <w:kern w:val="0"/>
                <w:sz w:val="24"/>
                <w:szCs w:val="24"/>
                <w:highlight w:val="none"/>
              </w:rPr>
            </w:pPr>
            <w:r>
              <w:rPr>
                <w:rFonts w:hint="eastAsia" w:ascii="宋体" w:hAnsi="宋体" w:cs="宋体"/>
                <w:color w:val="auto"/>
                <w:spacing w:val="-20"/>
                <w:kern w:val="0"/>
                <w:sz w:val="24"/>
                <w:szCs w:val="24"/>
                <w:highlight w:val="none"/>
              </w:rPr>
              <w:t>品牌</w:t>
            </w:r>
          </w:p>
        </w:tc>
        <w:tc>
          <w:tcPr>
            <w:tcW w:w="1315" w:type="dxa"/>
            <w:tcBorders>
              <w:top w:val="single" w:color="auto" w:sz="4" w:space="0"/>
              <w:left w:val="single" w:color="auto" w:sz="4" w:space="0"/>
              <w:bottom w:val="single" w:color="auto" w:sz="4" w:space="0"/>
              <w:right w:val="single" w:color="auto" w:sz="4" w:space="0"/>
            </w:tcBorders>
            <w:vAlign w:val="center"/>
          </w:tcPr>
          <w:p w14:paraId="17E28D1E">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规格型号</w:t>
            </w:r>
          </w:p>
        </w:tc>
        <w:tc>
          <w:tcPr>
            <w:tcW w:w="1479" w:type="dxa"/>
            <w:tcBorders>
              <w:top w:val="single" w:color="auto" w:sz="4" w:space="0"/>
              <w:left w:val="single" w:color="auto" w:sz="4" w:space="0"/>
              <w:bottom w:val="single" w:color="auto" w:sz="4" w:space="0"/>
              <w:right w:val="single" w:color="auto" w:sz="4" w:space="0"/>
            </w:tcBorders>
            <w:vAlign w:val="center"/>
          </w:tcPr>
          <w:p w14:paraId="0836C744">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单位及数量</w:t>
            </w:r>
          </w:p>
        </w:tc>
        <w:tc>
          <w:tcPr>
            <w:tcW w:w="903" w:type="dxa"/>
            <w:tcBorders>
              <w:top w:val="single" w:color="auto" w:sz="4" w:space="0"/>
              <w:left w:val="single" w:color="auto" w:sz="4" w:space="0"/>
              <w:bottom w:val="single" w:color="auto" w:sz="4" w:space="0"/>
              <w:right w:val="single" w:color="auto" w:sz="4" w:space="0"/>
            </w:tcBorders>
            <w:vAlign w:val="center"/>
          </w:tcPr>
          <w:p w14:paraId="5439F2B2">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单价</w:t>
            </w:r>
          </w:p>
        </w:tc>
        <w:tc>
          <w:tcPr>
            <w:tcW w:w="903" w:type="dxa"/>
            <w:tcBorders>
              <w:top w:val="single" w:color="auto" w:sz="4" w:space="0"/>
              <w:left w:val="single" w:color="auto" w:sz="4" w:space="0"/>
              <w:bottom w:val="single" w:color="auto" w:sz="4" w:space="0"/>
              <w:right w:val="single" w:color="auto" w:sz="4" w:space="0"/>
            </w:tcBorders>
            <w:vAlign w:val="center"/>
          </w:tcPr>
          <w:p w14:paraId="16682CAE">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金额</w:t>
            </w:r>
          </w:p>
        </w:tc>
        <w:tc>
          <w:tcPr>
            <w:tcW w:w="780" w:type="dxa"/>
            <w:tcBorders>
              <w:top w:val="single" w:color="auto" w:sz="4" w:space="0"/>
              <w:left w:val="single" w:color="auto" w:sz="4" w:space="0"/>
              <w:bottom w:val="single" w:color="auto" w:sz="4" w:space="0"/>
              <w:right w:val="single" w:color="auto" w:sz="4" w:space="0"/>
            </w:tcBorders>
            <w:vAlign w:val="center"/>
          </w:tcPr>
          <w:p w14:paraId="08D3B429">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备注</w:t>
            </w:r>
          </w:p>
        </w:tc>
      </w:tr>
      <w:tr w14:paraId="7B95D8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78A68179">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51ADE6A8">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14:paraId="68E40920">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6B16EC28">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14:paraId="102C3B85">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7438DB65">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1B5EF094">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08417233">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14:paraId="2285ED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78E4C6B1">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2CCBF377">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14:paraId="35EF4A60">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7AB4277A">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14:paraId="220C2624">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73196A8B">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2BC3040B">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310FF178">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14:paraId="5FC2B5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2C5D4AE6">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32E9ADF2">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14:paraId="0194D401">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6E8ED34E">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14:paraId="051B2CC9">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4A69EDD5">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78D5CC30">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07FB4C0F">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14:paraId="52531A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14:paraId="2562F918">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31DED915">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w:t>
            </w:r>
          </w:p>
        </w:tc>
        <w:tc>
          <w:tcPr>
            <w:tcW w:w="986" w:type="dxa"/>
            <w:tcBorders>
              <w:top w:val="single" w:color="auto" w:sz="4" w:space="0"/>
              <w:left w:val="single" w:color="auto" w:sz="4" w:space="0"/>
              <w:bottom w:val="single" w:color="auto" w:sz="4" w:space="0"/>
              <w:right w:val="single" w:color="auto" w:sz="4" w:space="0"/>
            </w:tcBorders>
            <w:vAlign w:val="center"/>
          </w:tcPr>
          <w:p w14:paraId="59A987FA">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14:paraId="7E4F15C0">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14:paraId="5FFFBA14">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5495A69F">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14:paraId="332A6A6E">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14:paraId="0E189220">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14:paraId="5BFD0E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1" w:hRule="atLeast"/>
          <w:jc w:val="center"/>
        </w:trPr>
        <w:tc>
          <w:tcPr>
            <w:tcW w:w="8338" w:type="dxa"/>
            <w:gridSpan w:val="8"/>
            <w:tcBorders>
              <w:top w:val="single" w:color="auto" w:sz="4" w:space="0"/>
              <w:left w:val="single" w:color="auto" w:sz="4" w:space="0"/>
              <w:bottom w:val="single" w:color="auto" w:sz="4" w:space="0"/>
              <w:right w:val="single" w:color="auto" w:sz="4" w:space="0"/>
            </w:tcBorders>
            <w:vAlign w:val="center"/>
          </w:tcPr>
          <w:p w14:paraId="1A28338F">
            <w:pPr>
              <w:tabs>
                <w:tab w:val="left" w:pos="1418"/>
              </w:tabs>
              <w:adjustRightInd w:val="0"/>
              <w:snapToGrid w:val="0"/>
              <w:spacing w:line="400" w:lineRule="exact"/>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合计金额：（人民币大写）</w:t>
            </w:r>
          </w:p>
        </w:tc>
      </w:tr>
    </w:tbl>
    <w:p w14:paraId="1E759577">
      <w:pPr>
        <w:tabs>
          <w:tab w:val="left" w:pos="1418"/>
        </w:tabs>
        <w:snapToGrid w:val="0"/>
        <w:spacing w:line="400" w:lineRule="exact"/>
        <w:rPr>
          <w:rFonts w:ascii="宋体" w:hAnsi="宋体" w:cs="宋体"/>
          <w:color w:val="auto"/>
          <w:spacing w:val="20"/>
          <w:sz w:val="24"/>
          <w:szCs w:val="24"/>
          <w:highlight w:val="none"/>
        </w:rPr>
      </w:pPr>
      <w:r>
        <w:rPr>
          <w:rFonts w:hint="eastAsia" w:ascii="宋体" w:hAnsi="宋体" w:cs="宋体"/>
          <w:color w:val="auto"/>
          <w:sz w:val="24"/>
          <w:szCs w:val="24"/>
          <w:highlight w:val="none"/>
        </w:rPr>
        <w:t>说明：1、若获得中标资格并与采购人签署供货合同，由于报价遗漏而造成在供货、安装、调试、培训等工作中出现费用的增加，均由中标供应商自行承担，采购人将不再支付任何额外费用</w:t>
      </w:r>
      <w:r>
        <w:rPr>
          <w:rFonts w:hint="eastAsia" w:ascii="宋体" w:hAnsi="宋体" w:cs="宋体"/>
          <w:color w:val="auto"/>
          <w:spacing w:val="20"/>
          <w:sz w:val="24"/>
          <w:szCs w:val="24"/>
          <w:highlight w:val="none"/>
        </w:rPr>
        <w:t>。</w:t>
      </w:r>
    </w:p>
    <w:p w14:paraId="0C9C7BDF">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1F070C07">
      <w:pPr>
        <w:adjustRightInd w:val="0"/>
        <w:snapToGrid w:val="0"/>
        <w:spacing w:line="400" w:lineRule="exact"/>
        <w:ind w:left="-3" w:leftChars="-72" w:right="-817" w:rightChars="-389" w:hanging="148" w:hangingChars="62"/>
        <w:rPr>
          <w:rFonts w:ascii="宋体" w:hAnsi="宋体" w:cs="宋体"/>
          <w:color w:val="auto"/>
          <w:sz w:val="24"/>
          <w:szCs w:val="24"/>
          <w:highlight w:val="none"/>
        </w:rPr>
      </w:pPr>
    </w:p>
    <w:p w14:paraId="5BC932A6">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w:t>
      </w:r>
    </w:p>
    <w:p w14:paraId="3796082F">
      <w:pPr>
        <w:adjustRightInd w:val="0"/>
        <w:snapToGrid w:val="0"/>
        <w:spacing w:line="400" w:lineRule="exact"/>
        <w:rPr>
          <w:rFonts w:ascii="宋体" w:hAnsi="宋体" w:cs="宋体"/>
          <w:color w:val="auto"/>
          <w:spacing w:val="20"/>
          <w:sz w:val="24"/>
          <w:szCs w:val="24"/>
          <w:highlight w:val="none"/>
        </w:rPr>
      </w:pPr>
    </w:p>
    <w:p w14:paraId="3AC9FD91">
      <w:pPr>
        <w:rPr>
          <w:rFonts w:hint="eastAsia" w:ascii="宋体" w:hAnsi="宋体" w:cs="宋体"/>
          <w:b/>
          <w:color w:val="auto"/>
          <w:sz w:val="24"/>
          <w:szCs w:val="24"/>
          <w:highlight w:val="none"/>
          <w:lang w:val="en-US" w:eastAsia="zh-CN"/>
        </w:rPr>
      </w:pPr>
      <w:r>
        <w:rPr>
          <w:rFonts w:hint="eastAsia" w:ascii="宋体" w:hAnsi="宋体" w:cs="宋体"/>
          <w:color w:val="auto"/>
          <w:sz w:val="24"/>
          <w:szCs w:val="24"/>
          <w:highlight w:val="none"/>
        </w:rPr>
        <w:t>日期：    年   月   日</w:t>
      </w:r>
      <w:r>
        <w:rPr>
          <w:rFonts w:hint="eastAsia" w:ascii="宋体" w:hAnsi="宋体" w:cs="宋体"/>
          <w:b/>
          <w:color w:val="auto"/>
          <w:sz w:val="24"/>
          <w:szCs w:val="24"/>
          <w:highlight w:val="none"/>
          <w:lang w:val="en-US" w:eastAsia="zh-CN"/>
        </w:rPr>
        <w:br w:type="page"/>
      </w:r>
    </w:p>
    <w:p w14:paraId="64461D11">
      <w:pPr>
        <w:adjustRightInd w:val="0"/>
        <w:snapToGrid w:val="0"/>
        <w:spacing w:before="50" w:after="50" w:line="400" w:lineRule="exact"/>
        <w:rPr>
          <w:rFonts w:hint="eastAsia" w:ascii="宋体" w:hAnsi="宋体" w:eastAsia="宋体" w:cs="宋体"/>
          <w:b/>
          <w:bCs/>
          <w:color w:val="auto"/>
          <w:sz w:val="24"/>
          <w:szCs w:val="24"/>
          <w:highlight w:val="none"/>
          <w:u w:val="none"/>
          <w:lang w:eastAsia="zh-CN"/>
        </w:rPr>
      </w:pPr>
      <w:r>
        <w:rPr>
          <w:rFonts w:hint="eastAsia" w:ascii="宋体" w:hAnsi="宋体" w:cs="宋体"/>
          <w:b/>
          <w:bCs/>
          <w:color w:val="auto"/>
          <w:sz w:val="24"/>
          <w:szCs w:val="24"/>
          <w:highlight w:val="none"/>
          <w:u w:val="none"/>
          <w:lang w:val="en-US" w:eastAsia="zh-CN"/>
        </w:rPr>
        <w:t>4、</w:t>
      </w:r>
      <w:r>
        <w:rPr>
          <w:rFonts w:hint="eastAsia" w:ascii="宋体" w:hAnsi="宋体" w:cs="宋体"/>
          <w:b/>
          <w:bCs/>
          <w:color w:val="auto"/>
          <w:sz w:val="24"/>
          <w:szCs w:val="24"/>
          <w:highlight w:val="none"/>
          <w:u w:val="none"/>
        </w:rPr>
        <w:t>投标保证金缴纳凭证复印件</w:t>
      </w:r>
      <w:r>
        <w:rPr>
          <w:rFonts w:hint="eastAsia" w:ascii="宋体" w:hAnsi="宋体" w:cs="宋体"/>
          <w:b/>
          <w:bCs/>
          <w:color w:val="auto"/>
          <w:sz w:val="24"/>
          <w:szCs w:val="24"/>
          <w:highlight w:val="none"/>
          <w:u w:val="none"/>
          <w:lang w:eastAsia="zh-CN"/>
        </w:rPr>
        <w:t>（</w:t>
      </w:r>
      <w:r>
        <w:rPr>
          <w:rFonts w:hint="eastAsia" w:ascii="宋体" w:hAnsi="宋体" w:cs="宋体"/>
          <w:b/>
          <w:bCs/>
          <w:color w:val="auto"/>
          <w:sz w:val="24"/>
          <w:szCs w:val="24"/>
          <w:highlight w:val="none"/>
          <w:u w:val="none"/>
          <w:lang w:val="en-US" w:eastAsia="zh-CN"/>
        </w:rPr>
        <w:t>如有</w:t>
      </w:r>
      <w:r>
        <w:rPr>
          <w:rFonts w:hint="eastAsia" w:ascii="宋体" w:hAnsi="宋体" w:cs="宋体"/>
          <w:b/>
          <w:bCs/>
          <w:color w:val="auto"/>
          <w:sz w:val="24"/>
          <w:szCs w:val="24"/>
          <w:highlight w:val="none"/>
          <w:u w:val="none"/>
          <w:lang w:eastAsia="zh-CN"/>
        </w:rPr>
        <w:t>）</w:t>
      </w:r>
    </w:p>
    <w:p w14:paraId="5510FE63">
      <w:pPr>
        <w:adjustRightInd w:val="0"/>
        <w:snapToGrid w:val="0"/>
        <w:spacing w:before="50" w:after="50" w:line="400" w:lineRule="exact"/>
        <w:rPr>
          <w:rFonts w:hint="eastAsia" w:ascii="宋体" w:hAnsi="宋体" w:cs="宋体"/>
          <w:b/>
          <w:color w:val="auto"/>
          <w:sz w:val="24"/>
          <w:szCs w:val="24"/>
          <w:highlight w:val="none"/>
          <w:lang w:val="en-US" w:eastAsia="zh-CN"/>
        </w:rPr>
      </w:pPr>
    </w:p>
    <w:p w14:paraId="4A8F6973">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5、</w:t>
      </w:r>
      <w:r>
        <w:rPr>
          <w:rFonts w:hint="eastAsia" w:ascii="宋体" w:hAnsi="宋体" w:cs="宋体"/>
          <w:b/>
          <w:color w:val="auto"/>
          <w:sz w:val="24"/>
          <w:szCs w:val="24"/>
          <w:highlight w:val="none"/>
        </w:rPr>
        <w:t>投标人针对报价需要说明的其他文件和资料（如有）</w:t>
      </w:r>
    </w:p>
    <w:p w14:paraId="040DF328">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8"/>
          <w:szCs w:val="28"/>
          <w:highlight w:val="none"/>
        </w:rPr>
        <w:br w:type="page"/>
      </w:r>
      <w:r>
        <w:rPr>
          <w:rFonts w:hint="eastAsia" w:ascii="宋体" w:hAnsi="宋体" w:cs="宋体"/>
          <w:b/>
          <w:color w:val="auto"/>
          <w:sz w:val="24"/>
          <w:szCs w:val="24"/>
          <w:highlight w:val="none"/>
        </w:rPr>
        <w:t>投标文件封面</w:t>
      </w:r>
    </w:p>
    <w:p w14:paraId="177F6037">
      <w:pPr>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14:paraId="1D2A80E0">
      <w:pPr>
        <w:spacing w:line="360" w:lineRule="auto"/>
        <w:jc w:val="center"/>
        <w:rPr>
          <w:rFonts w:ascii="宋体" w:hAnsi="宋体" w:cs="宋体"/>
          <w:color w:val="auto"/>
          <w:sz w:val="56"/>
          <w:szCs w:val="20"/>
          <w:highlight w:val="none"/>
        </w:rPr>
      </w:pPr>
    </w:p>
    <w:p w14:paraId="3468B3DB">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(项目名称)项目</w:t>
      </w:r>
    </w:p>
    <w:p w14:paraId="536F3F40">
      <w:pPr>
        <w:spacing w:line="360" w:lineRule="auto"/>
        <w:jc w:val="center"/>
        <w:rPr>
          <w:rFonts w:ascii="宋体" w:hAnsi="宋体" w:cs="宋体"/>
          <w:color w:val="auto"/>
          <w:sz w:val="28"/>
          <w:szCs w:val="20"/>
          <w:highlight w:val="none"/>
        </w:rPr>
      </w:pPr>
    </w:p>
    <w:p w14:paraId="5001655F">
      <w:pPr>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lang w:val="en-US" w:eastAsia="zh-CN"/>
        </w:rPr>
        <w:t>项目</w:t>
      </w:r>
      <w:r>
        <w:rPr>
          <w:rFonts w:hint="eastAsia" w:ascii="宋体" w:hAnsi="宋体" w:cs="宋体"/>
          <w:color w:val="auto"/>
          <w:sz w:val="28"/>
          <w:szCs w:val="20"/>
          <w:highlight w:val="none"/>
        </w:rPr>
        <w:t>编号：</w:t>
      </w:r>
    </w:p>
    <w:p w14:paraId="6F4EC3BC">
      <w:pPr>
        <w:spacing w:line="360" w:lineRule="auto"/>
        <w:jc w:val="center"/>
        <w:rPr>
          <w:rFonts w:ascii="宋体" w:hAnsi="宋体" w:cs="宋体"/>
          <w:color w:val="auto"/>
          <w:sz w:val="28"/>
          <w:szCs w:val="20"/>
          <w:highlight w:val="none"/>
        </w:rPr>
      </w:pPr>
    </w:p>
    <w:p w14:paraId="65C08B99">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商务技术文件</w:t>
      </w:r>
    </w:p>
    <w:p w14:paraId="42378B2C">
      <w:pPr>
        <w:spacing w:line="360" w:lineRule="auto"/>
        <w:jc w:val="center"/>
        <w:rPr>
          <w:rFonts w:ascii="宋体" w:hAnsi="宋体" w:cs="宋体"/>
          <w:color w:val="auto"/>
          <w:sz w:val="56"/>
          <w:szCs w:val="20"/>
          <w:highlight w:val="none"/>
        </w:rPr>
      </w:pPr>
    </w:p>
    <w:p w14:paraId="30228C0B">
      <w:pPr>
        <w:spacing w:line="360" w:lineRule="auto"/>
        <w:jc w:val="center"/>
        <w:rPr>
          <w:rFonts w:ascii="宋体" w:hAnsi="宋体" w:cs="宋体"/>
          <w:color w:val="auto"/>
          <w:sz w:val="56"/>
          <w:szCs w:val="20"/>
          <w:highlight w:val="none"/>
        </w:rPr>
      </w:pPr>
    </w:p>
    <w:p w14:paraId="7A861DD1">
      <w:pPr>
        <w:spacing w:line="360" w:lineRule="auto"/>
        <w:jc w:val="center"/>
        <w:rPr>
          <w:rFonts w:ascii="宋体" w:hAnsi="宋体" w:cs="宋体"/>
          <w:color w:val="auto"/>
          <w:sz w:val="56"/>
          <w:szCs w:val="20"/>
          <w:highlight w:val="none"/>
        </w:rPr>
      </w:pPr>
    </w:p>
    <w:p w14:paraId="0FA04FB7">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14:paraId="7E910DD4">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14:paraId="304FF299">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投标单位法定代表人（负责人、自然人）或法人授权代表姓名：（签字或盖章）</w:t>
      </w:r>
    </w:p>
    <w:p w14:paraId="4A6C96A6">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投标单位法定代表人（负责人、自然人）或法人授权代表职务：</w:t>
      </w:r>
    </w:p>
    <w:p w14:paraId="50BFB595">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14:paraId="11E19950">
      <w:pPr>
        <w:spacing w:line="360" w:lineRule="auto"/>
        <w:rPr>
          <w:rFonts w:ascii="宋体" w:hAnsi="宋体" w:cs="宋体"/>
          <w:color w:val="auto"/>
          <w:sz w:val="20"/>
          <w:szCs w:val="20"/>
          <w:highlight w:val="none"/>
        </w:rPr>
      </w:pPr>
    </w:p>
    <w:p w14:paraId="4F0198CD">
      <w:pPr>
        <w:adjustRightInd w:val="0"/>
        <w:snapToGrid w:val="0"/>
        <w:jc w:val="center"/>
        <w:rPr>
          <w:rFonts w:ascii="宋体" w:hAnsi="宋体" w:cs="宋体"/>
          <w:b/>
          <w:color w:val="auto"/>
          <w:sz w:val="24"/>
          <w:szCs w:val="24"/>
          <w:highlight w:val="none"/>
        </w:rPr>
      </w:pPr>
      <w:r>
        <w:rPr>
          <w:rFonts w:hint="eastAsia" w:ascii="宋体" w:hAnsi="宋体" w:cs="宋体"/>
          <w:color w:val="auto"/>
          <w:sz w:val="28"/>
          <w:szCs w:val="28"/>
          <w:highlight w:val="none"/>
        </w:rPr>
        <w:t>年  月  日</w:t>
      </w:r>
    </w:p>
    <w:p w14:paraId="5FC44C25">
      <w:pPr>
        <w:jc w:val="center"/>
        <w:rPr>
          <w:rFonts w:ascii="宋体" w:hAnsi="宋体" w:cs="宋体"/>
          <w:b/>
          <w:color w:val="auto"/>
          <w:sz w:val="44"/>
          <w:szCs w:val="44"/>
          <w:highlight w:val="none"/>
        </w:rPr>
      </w:pPr>
      <w:r>
        <w:rPr>
          <w:rFonts w:hint="eastAsia" w:ascii="宋体" w:hAnsi="宋体" w:cs="宋体"/>
          <w:b/>
          <w:color w:val="auto"/>
          <w:sz w:val="28"/>
          <w:szCs w:val="28"/>
          <w:highlight w:val="none"/>
        </w:rPr>
        <w:br w:type="page"/>
      </w: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14:paraId="5335118C">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一、商务部分</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rPr>
        <w:t>…………………………………………………………（页码）</w:t>
      </w:r>
    </w:p>
    <w:p w14:paraId="2B27F7E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投标声明书 </w:t>
      </w:r>
      <w:r>
        <w:rPr>
          <w:rFonts w:hint="eastAsia" w:ascii="宋体" w:hAnsi="宋体" w:cs="宋体"/>
          <w:color w:val="auto"/>
          <w:sz w:val="24"/>
          <w:highlight w:val="none"/>
        </w:rPr>
        <w:t>……………………………………………………………（页码）</w:t>
      </w:r>
    </w:p>
    <w:p w14:paraId="21C7BF7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法定代表人（负责人、自然人）授权书</w:t>
      </w:r>
      <w:r>
        <w:rPr>
          <w:rFonts w:hint="eastAsia" w:ascii="宋体" w:hAnsi="宋体" w:cs="宋体"/>
          <w:color w:val="auto"/>
          <w:sz w:val="24"/>
          <w:highlight w:val="none"/>
        </w:rPr>
        <w:t>……………………………（页码）</w:t>
      </w:r>
    </w:p>
    <w:p w14:paraId="6426557D">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企业法人营业执照（或登记证书、身份证） </w:t>
      </w:r>
      <w:r>
        <w:rPr>
          <w:rFonts w:hint="eastAsia" w:ascii="宋体" w:hAnsi="宋体" w:cs="宋体"/>
          <w:color w:val="auto"/>
          <w:sz w:val="24"/>
          <w:highlight w:val="none"/>
        </w:rPr>
        <w:t>………………………（页码）</w:t>
      </w:r>
    </w:p>
    <w:p w14:paraId="38BD45EF">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投标人情况介绍</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rPr>
        <w:t>……………………………………………………</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14:paraId="335E494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近年财务状况 </w:t>
      </w:r>
      <w:r>
        <w:rPr>
          <w:rFonts w:hint="eastAsia" w:ascii="宋体" w:hAnsi="宋体" w:cs="宋体"/>
          <w:color w:val="auto"/>
          <w:sz w:val="24"/>
          <w:highlight w:val="none"/>
        </w:rPr>
        <w:t>…………………………………………………………（页码）</w:t>
      </w:r>
    </w:p>
    <w:p w14:paraId="7A0C3D87">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投标人须具有履行合同所必需的设备和专业技术能力</w:t>
      </w:r>
      <w:r>
        <w:rPr>
          <w:rFonts w:hint="eastAsia" w:ascii="宋体" w:hAnsi="宋体" w:cs="宋体"/>
          <w:color w:val="auto"/>
          <w:sz w:val="24"/>
          <w:szCs w:val="24"/>
          <w:highlight w:val="none"/>
          <w:lang w:eastAsia="zh-CN"/>
        </w:rPr>
        <w:t>证明资料</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rPr>
        <w:t>…（页码）</w:t>
      </w:r>
    </w:p>
    <w:p w14:paraId="49217403">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rPr>
        <w:t>7</w:t>
      </w:r>
      <w:r>
        <w:rPr>
          <w:rFonts w:hint="eastAsia" w:ascii="宋体" w:hAnsi="宋体" w:cs="宋体"/>
          <w:color w:val="auto"/>
          <w:sz w:val="24"/>
          <w:highlight w:val="none"/>
          <w:lang w:val="en-US" w:eastAsia="zh-CN"/>
        </w:rPr>
        <w:t>.</w:t>
      </w:r>
      <w:r>
        <w:rPr>
          <w:rFonts w:hint="eastAsia" w:ascii="宋体" w:hAnsi="宋体" w:eastAsia="宋体" w:cs="宋体"/>
          <w:color w:val="auto"/>
          <w:sz w:val="24"/>
          <w:szCs w:val="24"/>
          <w:highlight w:val="none"/>
        </w:rPr>
        <w:t>纳税证明社保证明</w:t>
      </w:r>
      <w:r>
        <w:rPr>
          <w:rFonts w:hint="eastAsia" w:ascii="宋体" w:hAnsi="宋体" w:cs="宋体"/>
          <w:color w:val="auto"/>
          <w:sz w:val="24"/>
          <w:highlight w:val="none"/>
        </w:rPr>
        <w:t>……………………………………………………（页码）</w:t>
      </w:r>
    </w:p>
    <w:p w14:paraId="380BC0E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 xml:space="preserve">前三年内在经营活动中没有重大违法记录的书面声明 </w:t>
      </w:r>
      <w:r>
        <w:rPr>
          <w:rFonts w:hint="eastAsia" w:ascii="宋体" w:hAnsi="宋体" w:cs="宋体"/>
          <w:color w:val="auto"/>
          <w:sz w:val="24"/>
          <w:highlight w:val="none"/>
        </w:rPr>
        <w:t>……………（页码）</w:t>
      </w:r>
    </w:p>
    <w:p w14:paraId="68401F2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 xml:space="preserve">信用记录 </w:t>
      </w:r>
      <w:r>
        <w:rPr>
          <w:rFonts w:hint="eastAsia" w:ascii="宋体" w:hAnsi="宋体" w:cs="宋体"/>
          <w:color w:val="auto"/>
          <w:sz w:val="24"/>
          <w:highlight w:val="none"/>
        </w:rPr>
        <w:t>………………………………………………………………（页码）</w:t>
      </w:r>
    </w:p>
    <w:p w14:paraId="0F6C8C7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其他认证证书等</w:t>
      </w:r>
      <w:r>
        <w:rPr>
          <w:rFonts w:hint="eastAsia" w:ascii="宋体" w:hAnsi="宋体" w:cs="宋体"/>
          <w:color w:val="auto"/>
          <w:sz w:val="24"/>
          <w:highlight w:val="none"/>
        </w:rPr>
        <w:t>………………………………………………………（页码）</w:t>
      </w:r>
    </w:p>
    <w:p w14:paraId="42FA001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类似成功业绩…………………………………………………………（页码）</w:t>
      </w:r>
    </w:p>
    <w:p w14:paraId="4B26902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政府采购政策扶持证明材料…………………………………………（页码）</w:t>
      </w:r>
    </w:p>
    <w:p w14:paraId="4BD21165">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13.关于符合本国产品标准的声明函</w:t>
      </w:r>
      <w:r>
        <w:rPr>
          <w:rFonts w:hint="eastAsia" w:ascii="宋体" w:hAnsi="宋体" w:eastAsia="宋体" w:cs="宋体"/>
          <w:color w:val="auto"/>
          <w:sz w:val="24"/>
          <w:szCs w:val="24"/>
          <w:highlight w:val="none"/>
        </w:rPr>
        <w:t>……………………………………（页码）</w:t>
      </w:r>
    </w:p>
    <w:p w14:paraId="3BE0EEB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rPr>
        <w:t>其他证明文件或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认为应提交的商务文件……………………（页码）</w:t>
      </w:r>
    </w:p>
    <w:p w14:paraId="5D382794">
      <w:pPr>
        <w:tabs>
          <w:tab w:val="center" w:pos="4912"/>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二、技术</w:t>
      </w:r>
      <w:r>
        <w:rPr>
          <w:rFonts w:hint="eastAsia" w:ascii="宋体" w:hAnsi="宋体" w:cs="宋体"/>
          <w:color w:val="auto"/>
          <w:sz w:val="24"/>
          <w:szCs w:val="24"/>
          <w:highlight w:val="none"/>
          <w:lang w:val="en-US" w:eastAsia="zh-CN"/>
        </w:rPr>
        <w:t>部分</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14:paraId="341AE5E5">
      <w:pPr>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eastAsia="zh-CN"/>
        </w:rPr>
        <w:t>.技术响应偏离表</w:t>
      </w:r>
      <w:r>
        <w:rPr>
          <w:rFonts w:hint="eastAsia" w:ascii="宋体" w:hAnsi="宋体" w:cs="宋体"/>
          <w:color w:val="auto"/>
          <w:sz w:val="24"/>
          <w:highlight w:val="none"/>
        </w:rPr>
        <w:t>………………………………………………………（页码）</w:t>
      </w:r>
    </w:p>
    <w:p w14:paraId="545E9D93">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16</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产品</w:t>
      </w:r>
      <w:r>
        <w:rPr>
          <w:rFonts w:hint="eastAsia" w:ascii="宋体" w:hAnsi="宋体" w:cs="宋体"/>
          <w:color w:val="auto"/>
          <w:sz w:val="24"/>
          <w:szCs w:val="24"/>
          <w:highlight w:val="none"/>
          <w:lang w:eastAsia="zh-CN"/>
        </w:rPr>
        <w:t>详细技术规格书</w:t>
      </w:r>
      <w:r>
        <w:rPr>
          <w:rFonts w:hint="eastAsia" w:ascii="宋体" w:hAnsi="宋体" w:cs="宋体"/>
          <w:color w:val="auto"/>
          <w:sz w:val="24"/>
          <w:highlight w:val="none"/>
        </w:rPr>
        <w:t>…………………………………………………（页码）</w:t>
      </w:r>
    </w:p>
    <w:p w14:paraId="72E9B723">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lang w:eastAsia="zh-CN"/>
        </w:rPr>
        <w:t>.产品检测报告</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14:paraId="31BAB4A9">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18.</w:t>
      </w:r>
      <w:r>
        <w:rPr>
          <w:rFonts w:hint="eastAsia" w:ascii="宋体" w:hAnsi="宋体" w:cs="宋体"/>
          <w:color w:val="auto"/>
          <w:sz w:val="24"/>
          <w:szCs w:val="24"/>
          <w:highlight w:val="none"/>
        </w:rPr>
        <w:t xml:space="preserve">针对本项目的详细组织实施方案 </w:t>
      </w:r>
      <w:r>
        <w:rPr>
          <w:rFonts w:hint="eastAsia" w:ascii="宋体" w:hAnsi="宋体" w:cs="宋体"/>
          <w:color w:val="auto"/>
          <w:sz w:val="24"/>
          <w:highlight w:val="none"/>
        </w:rPr>
        <w:t>…………………………………（页码）</w:t>
      </w:r>
    </w:p>
    <w:p w14:paraId="486BF4ED">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19.</w:t>
      </w:r>
      <w:r>
        <w:rPr>
          <w:rFonts w:hint="eastAsia" w:ascii="宋体" w:hAnsi="宋体" w:cs="宋体"/>
          <w:color w:val="auto"/>
          <w:sz w:val="24"/>
          <w:szCs w:val="24"/>
          <w:highlight w:val="none"/>
        </w:rPr>
        <w:t>针对本项目的</w:t>
      </w:r>
      <w:r>
        <w:rPr>
          <w:rFonts w:hint="eastAsia" w:ascii="宋体" w:hAnsi="宋体" w:cs="宋体"/>
          <w:color w:val="auto"/>
          <w:sz w:val="24"/>
          <w:szCs w:val="24"/>
          <w:highlight w:val="none"/>
          <w:lang w:eastAsia="zh-CN"/>
        </w:rPr>
        <w:t>详细技术培训</w:t>
      </w:r>
      <w:r>
        <w:rPr>
          <w:rFonts w:hint="eastAsia" w:ascii="宋体" w:hAnsi="宋体" w:cs="宋体"/>
          <w:color w:val="auto"/>
          <w:sz w:val="24"/>
          <w:szCs w:val="24"/>
          <w:highlight w:val="none"/>
        </w:rPr>
        <w:t xml:space="preserve">方案 </w:t>
      </w:r>
      <w:r>
        <w:rPr>
          <w:rFonts w:hint="eastAsia" w:ascii="宋体" w:hAnsi="宋体" w:cs="宋体"/>
          <w:color w:val="auto"/>
          <w:sz w:val="24"/>
          <w:highlight w:val="none"/>
        </w:rPr>
        <w:t>…………………………………（页码）</w:t>
      </w:r>
    </w:p>
    <w:p w14:paraId="4629110D">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20.</w:t>
      </w:r>
      <w:r>
        <w:rPr>
          <w:rFonts w:hint="eastAsia" w:ascii="宋体" w:hAnsi="宋体" w:cs="宋体"/>
          <w:color w:val="auto"/>
          <w:sz w:val="24"/>
          <w:szCs w:val="24"/>
          <w:highlight w:val="none"/>
        </w:rPr>
        <w:t xml:space="preserve">针对本项目的售后服务方案 </w:t>
      </w:r>
      <w:r>
        <w:rPr>
          <w:rFonts w:hint="eastAsia" w:ascii="宋体" w:hAnsi="宋体" w:cs="宋体"/>
          <w:color w:val="auto"/>
          <w:sz w:val="24"/>
          <w:highlight w:val="none"/>
        </w:rPr>
        <w:t>………………………………………（页码）</w:t>
      </w:r>
    </w:p>
    <w:p w14:paraId="0B01DCB8">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rPr>
        <w:t>其他优惠条件（如有）</w:t>
      </w:r>
      <w:r>
        <w:rPr>
          <w:rFonts w:hint="eastAsia" w:ascii="宋体" w:hAnsi="宋体" w:cs="宋体"/>
          <w:color w:val="auto"/>
          <w:sz w:val="24"/>
          <w:highlight w:val="none"/>
        </w:rPr>
        <w:t>………………………………………………（页码）</w:t>
      </w:r>
    </w:p>
    <w:p w14:paraId="0DD29A0E">
      <w:pPr>
        <w:adjustRightInd w:val="0"/>
        <w:snapToGrid w:val="0"/>
        <w:ind w:firstLine="480" w:firstLineChars="200"/>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22.</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认为需要提供的其他技术文件或资料（如有）</w:t>
      </w:r>
      <w:r>
        <w:rPr>
          <w:rFonts w:hint="eastAsia" w:ascii="宋体" w:hAnsi="宋体" w:cs="宋体"/>
          <w:color w:val="auto"/>
          <w:sz w:val="24"/>
          <w:highlight w:val="none"/>
        </w:rPr>
        <w:t>……………（页码）</w:t>
      </w:r>
    </w:p>
    <w:p w14:paraId="59BE5AA4">
      <w:pPr>
        <w:spacing w:line="360" w:lineRule="auto"/>
        <w:ind w:left="719" w:leftChars="228" w:hanging="240" w:hangingChars="100"/>
        <w:rPr>
          <w:rFonts w:ascii="宋体" w:hAnsi="宋体" w:cs="宋体"/>
          <w:color w:val="auto"/>
          <w:sz w:val="24"/>
          <w:szCs w:val="24"/>
          <w:highlight w:val="none"/>
        </w:rPr>
      </w:pPr>
    </w:p>
    <w:p w14:paraId="0FBA27D9">
      <w:pPr>
        <w:rPr>
          <w:color w:val="auto"/>
          <w:highlight w:val="none"/>
        </w:rPr>
      </w:pPr>
    </w:p>
    <w:p w14:paraId="02C18296">
      <w:pPr>
        <w:rPr>
          <w:color w:val="auto"/>
          <w:highlight w:val="none"/>
        </w:rPr>
      </w:pPr>
    </w:p>
    <w:p w14:paraId="0C07C47D">
      <w:pPr>
        <w:rPr>
          <w:color w:val="auto"/>
          <w:highlight w:val="none"/>
        </w:rPr>
      </w:pPr>
    </w:p>
    <w:p w14:paraId="79254D65">
      <w:pPr>
        <w:rPr>
          <w:color w:val="auto"/>
          <w:highlight w:val="none"/>
        </w:rPr>
      </w:pPr>
    </w:p>
    <w:p w14:paraId="4596AE27">
      <w:pPr>
        <w:rPr>
          <w:color w:val="auto"/>
          <w:highlight w:val="none"/>
        </w:rPr>
      </w:pPr>
    </w:p>
    <w:p w14:paraId="54A5976F">
      <w:pPr>
        <w:rPr>
          <w:color w:val="auto"/>
          <w:highlight w:val="none"/>
        </w:rPr>
      </w:pPr>
    </w:p>
    <w:p w14:paraId="55820294">
      <w:pPr>
        <w:rPr>
          <w:color w:val="auto"/>
          <w:highlight w:val="none"/>
        </w:rPr>
      </w:pPr>
    </w:p>
    <w:p w14:paraId="4C3EEE69">
      <w:pPr>
        <w:adjustRightInd w:val="0"/>
        <w:snapToGrid w:val="0"/>
        <w:rPr>
          <w:rFonts w:ascii="宋体" w:hAnsi="宋体" w:cs="宋体"/>
          <w:b/>
          <w:color w:val="auto"/>
          <w:sz w:val="28"/>
          <w:szCs w:val="28"/>
          <w:highlight w:val="none"/>
        </w:rPr>
      </w:pPr>
    </w:p>
    <w:tbl>
      <w:tblPr>
        <w:tblStyle w:val="39"/>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00"/>
        <w:gridCol w:w="2783"/>
        <w:gridCol w:w="2584"/>
      </w:tblGrid>
      <w:tr w14:paraId="144EC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4" w:type="dxa"/>
            <w:gridSpan w:val="4"/>
          </w:tcPr>
          <w:p w14:paraId="462A1CC5">
            <w:pPr>
              <w:adjustRightInd w:val="0"/>
              <w:snapToGrid w:val="0"/>
              <w:jc w:val="center"/>
              <w:rPr>
                <w:rFonts w:ascii="宋体" w:hAnsi="宋体" w:cs="宋体"/>
                <w:b/>
                <w:color w:val="auto"/>
                <w:sz w:val="24"/>
                <w:szCs w:val="24"/>
                <w:highlight w:val="none"/>
              </w:rPr>
            </w:pPr>
            <w:r>
              <w:rPr>
                <w:rFonts w:hint="eastAsia" w:ascii="宋体" w:hAnsi="宋体" w:cs="宋体"/>
                <w:b/>
                <w:color w:val="auto"/>
                <w:sz w:val="24"/>
                <w:szCs w:val="24"/>
                <w:highlight w:val="none"/>
              </w:rPr>
              <w:t>评标索引表</w:t>
            </w:r>
          </w:p>
        </w:tc>
      </w:tr>
      <w:tr w14:paraId="01D7E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6DCE1083">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2000" w:type="dxa"/>
          </w:tcPr>
          <w:p w14:paraId="2181C2F0">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评审因素</w:t>
            </w:r>
          </w:p>
        </w:tc>
        <w:tc>
          <w:tcPr>
            <w:tcW w:w="2783" w:type="dxa"/>
          </w:tcPr>
          <w:p w14:paraId="525264ED">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索引页码</w:t>
            </w:r>
          </w:p>
        </w:tc>
        <w:tc>
          <w:tcPr>
            <w:tcW w:w="2584" w:type="dxa"/>
          </w:tcPr>
          <w:p w14:paraId="3FCC1972">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备注</w:t>
            </w:r>
          </w:p>
        </w:tc>
      </w:tr>
      <w:tr w14:paraId="01601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59EECCE5">
            <w:pPr>
              <w:adjustRightInd w:val="0"/>
              <w:snapToGrid w:val="0"/>
              <w:rPr>
                <w:rFonts w:ascii="宋体" w:hAnsi="宋体" w:cs="宋体"/>
                <w:b/>
                <w:color w:val="auto"/>
                <w:sz w:val="24"/>
                <w:szCs w:val="24"/>
                <w:highlight w:val="none"/>
              </w:rPr>
            </w:pPr>
          </w:p>
        </w:tc>
        <w:tc>
          <w:tcPr>
            <w:tcW w:w="2000" w:type="dxa"/>
          </w:tcPr>
          <w:p w14:paraId="52E4FC1C">
            <w:pPr>
              <w:adjustRightInd w:val="0"/>
              <w:snapToGrid w:val="0"/>
              <w:rPr>
                <w:rFonts w:ascii="宋体" w:hAnsi="宋体" w:cs="宋体"/>
                <w:b/>
                <w:color w:val="auto"/>
                <w:sz w:val="24"/>
                <w:szCs w:val="24"/>
                <w:highlight w:val="none"/>
              </w:rPr>
            </w:pPr>
          </w:p>
        </w:tc>
        <w:tc>
          <w:tcPr>
            <w:tcW w:w="2783" w:type="dxa"/>
          </w:tcPr>
          <w:p w14:paraId="2922730A">
            <w:pPr>
              <w:adjustRightInd w:val="0"/>
              <w:snapToGrid w:val="0"/>
              <w:rPr>
                <w:rFonts w:ascii="宋体" w:hAnsi="宋体" w:cs="宋体"/>
                <w:b/>
                <w:color w:val="auto"/>
                <w:sz w:val="24"/>
                <w:szCs w:val="24"/>
                <w:highlight w:val="none"/>
              </w:rPr>
            </w:pPr>
          </w:p>
        </w:tc>
        <w:tc>
          <w:tcPr>
            <w:tcW w:w="2584" w:type="dxa"/>
          </w:tcPr>
          <w:p w14:paraId="76AAA32A">
            <w:pPr>
              <w:adjustRightInd w:val="0"/>
              <w:snapToGrid w:val="0"/>
              <w:rPr>
                <w:rFonts w:ascii="宋体" w:hAnsi="宋体" w:cs="宋体"/>
                <w:b/>
                <w:color w:val="auto"/>
                <w:sz w:val="24"/>
                <w:szCs w:val="24"/>
                <w:highlight w:val="none"/>
              </w:rPr>
            </w:pPr>
          </w:p>
        </w:tc>
      </w:tr>
      <w:tr w14:paraId="40D6C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57496893">
            <w:pPr>
              <w:adjustRightInd w:val="0"/>
              <w:snapToGrid w:val="0"/>
              <w:rPr>
                <w:rFonts w:ascii="宋体" w:hAnsi="宋体" w:cs="宋体"/>
                <w:b/>
                <w:color w:val="auto"/>
                <w:sz w:val="24"/>
                <w:szCs w:val="24"/>
                <w:highlight w:val="none"/>
              </w:rPr>
            </w:pPr>
          </w:p>
        </w:tc>
        <w:tc>
          <w:tcPr>
            <w:tcW w:w="2000" w:type="dxa"/>
          </w:tcPr>
          <w:p w14:paraId="2990DFB7">
            <w:pPr>
              <w:adjustRightInd w:val="0"/>
              <w:snapToGrid w:val="0"/>
              <w:rPr>
                <w:rFonts w:ascii="宋体" w:hAnsi="宋体" w:cs="宋体"/>
                <w:b/>
                <w:color w:val="auto"/>
                <w:sz w:val="24"/>
                <w:szCs w:val="24"/>
                <w:highlight w:val="none"/>
              </w:rPr>
            </w:pPr>
          </w:p>
        </w:tc>
        <w:tc>
          <w:tcPr>
            <w:tcW w:w="2783" w:type="dxa"/>
          </w:tcPr>
          <w:p w14:paraId="3224CF57">
            <w:pPr>
              <w:adjustRightInd w:val="0"/>
              <w:snapToGrid w:val="0"/>
              <w:rPr>
                <w:rFonts w:ascii="宋体" w:hAnsi="宋体" w:cs="宋体"/>
                <w:b/>
                <w:color w:val="auto"/>
                <w:sz w:val="24"/>
                <w:szCs w:val="24"/>
                <w:highlight w:val="none"/>
              </w:rPr>
            </w:pPr>
          </w:p>
        </w:tc>
        <w:tc>
          <w:tcPr>
            <w:tcW w:w="2584" w:type="dxa"/>
          </w:tcPr>
          <w:p w14:paraId="35B531B7">
            <w:pPr>
              <w:adjustRightInd w:val="0"/>
              <w:snapToGrid w:val="0"/>
              <w:rPr>
                <w:rFonts w:ascii="宋体" w:hAnsi="宋体" w:cs="宋体"/>
                <w:b/>
                <w:color w:val="auto"/>
                <w:sz w:val="24"/>
                <w:szCs w:val="24"/>
                <w:highlight w:val="none"/>
              </w:rPr>
            </w:pPr>
          </w:p>
        </w:tc>
      </w:tr>
      <w:tr w14:paraId="152E0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016C28DD">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000" w:type="dxa"/>
          </w:tcPr>
          <w:p w14:paraId="31E085E2">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783" w:type="dxa"/>
          </w:tcPr>
          <w:p w14:paraId="7F245F4F">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584" w:type="dxa"/>
          </w:tcPr>
          <w:p w14:paraId="1A8DD065">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r>
      <w:tr w14:paraId="3EF98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24EBA806">
            <w:pPr>
              <w:adjustRightInd w:val="0"/>
              <w:snapToGrid w:val="0"/>
              <w:rPr>
                <w:rFonts w:ascii="宋体" w:hAnsi="宋体" w:cs="宋体"/>
                <w:b/>
                <w:color w:val="auto"/>
                <w:sz w:val="24"/>
                <w:szCs w:val="24"/>
                <w:highlight w:val="none"/>
              </w:rPr>
            </w:pPr>
          </w:p>
        </w:tc>
        <w:tc>
          <w:tcPr>
            <w:tcW w:w="2000" w:type="dxa"/>
          </w:tcPr>
          <w:p w14:paraId="65D426C1">
            <w:pPr>
              <w:adjustRightInd w:val="0"/>
              <w:snapToGrid w:val="0"/>
              <w:rPr>
                <w:rFonts w:ascii="宋体" w:hAnsi="宋体" w:cs="宋体"/>
                <w:b/>
                <w:color w:val="auto"/>
                <w:sz w:val="24"/>
                <w:szCs w:val="24"/>
                <w:highlight w:val="none"/>
              </w:rPr>
            </w:pPr>
          </w:p>
        </w:tc>
        <w:tc>
          <w:tcPr>
            <w:tcW w:w="2783" w:type="dxa"/>
          </w:tcPr>
          <w:p w14:paraId="5D2D97A6">
            <w:pPr>
              <w:adjustRightInd w:val="0"/>
              <w:snapToGrid w:val="0"/>
              <w:rPr>
                <w:rFonts w:ascii="宋体" w:hAnsi="宋体" w:cs="宋体"/>
                <w:b/>
                <w:color w:val="auto"/>
                <w:sz w:val="24"/>
                <w:szCs w:val="24"/>
                <w:highlight w:val="none"/>
              </w:rPr>
            </w:pPr>
          </w:p>
        </w:tc>
        <w:tc>
          <w:tcPr>
            <w:tcW w:w="2584" w:type="dxa"/>
          </w:tcPr>
          <w:p w14:paraId="4122C973">
            <w:pPr>
              <w:adjustRightInd w:val="0"/>
              <w:snapToGrid w:val="0"/>
              <w:rPr>
                <w:rFonts w:ascii="宋体" w:hAnsi="宋体" w:cs="宋体"/>
                <w:b/>
                <w:color w:val="auto"/>
                <w:sz w:val="24"/>
                <w:szCs w:val="24"/>
                <w:highlight w:val="none"/>
              </w:rPr>
            </w:pPr>
          </w:p>
        </w:tc>
      </w:tr>
      <w:tr w14:paraId="3A180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7BE0D2AA">
            <w:pPr>
              <w:adjustRightInd w:val="0"/>
              <w:snapToGrid w:val="0"/>
              <w:rPr>
                <w:rFonts w:ascii="宋体" w:hAnsi="宋体" w:cs="宋体"/>
                <w:b/>
                <w:color w:val="auto"/>
                <w:sz w:val="24"/>
                <w:szCs w:val="24"/>
                <w:highlight w:val="none"/>
              </w:rPr>
            </w:pPr>
          </w:p>
        </w:tc>
        <w:tc>
          <w:tcPr>
            <w:tcW w:w="2000" w:type="dxa"/>
          </w:tcPr>
          <w:p w14:paraId="04C2A127">
            <w:pPr>
              <w:adjustRightInd w:val="0"/>
              <w:snapToGrid w:val="0"/>
              <w:rPr>
                <w:rFonts w:ascii="宋体" w:hAnsi="宋体" w:cs="宋体"/>
                <w:b/>
                <w:color w:val="auto"/>
                <w:sz w:val="24"/>
                <w:szCs w:val="24"/>
                <w:highlight w:val="none"/>
              </w:rPr>
            </w:pPr>
          </w:p>
        </w:tc>
        <w:tc>
          <w:tcPr>
            <w:tcW w:w="2783" w:type="dxa"/>
          </w:tcPr>
          <w:p w14:paraId="7CD298B1">
            <w:pPr>
              <w:adjustRightInd w:val="0"/>
              <w:snapToGrid w:val="0"/>
              <w:rPr>
                <w:rFonts w:ascii="宋体" w:hAnsi="宋体" w:cs="宋体"/>
                <w:b/>
                <w:color w:val="auto"/>
                <w:sz w:val="24"/>
                <w:szCs w:val="24"/>
                <w:highlight w:val="none"/>
              </w:rPr>
            </w:pPr>
          </w:p>
        </w:tc>
        <w:tc>
          <w:tcPr>
            <w:tcW w:w="2584" w:type="dxa"/>
          </w:tcPr>
          <w:p w14:paraId="667BE37A">
            <w:pPr>
              <w:adjustRightInd w:val="0"/>
              <w:snapToGrid w:val="0"/>
              <w:rPr>
                <w:rFonts w:ascii="宋体" w:hAnsi="宋体" w:cs="宋体"/>
                <w:b/>
                <w:color w:val="auto"/>
                <w:sz w:val="24"/>
                <w:szCs w:val="24"/>
                <w:highlight w:val="none"/>
              </w:rPr>
            </w:pPr>
          </w:p>
        </w:tc>
      </w:tr>
      <w:tr w14:paraId="13D80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4C7F8713">
            <w:pPr>
              <w:adjustRightInd w:val="0"/>
              <w:snapToGrid w:val="0"/>
              <w:rPr>
                <w:rFonts w:ascii="宋体" w:hAnsi="宋体" w:cs="宋体"/>
                <w:b/>
                <w:color w:val="auto"/>
                <w:sz w:val="24"/>
                <w:szCs w:val="24"/>
                <w:highlight w:val="none"/>
              </w:rPr>
            </w:pPr>
          </w:p>
        </w:tc>
        <w:tc>
          <w:tcPr>
            <w:tcW w:w="2000" w:type="dxa"/>
          </w:tcPr>
          <w:p w14:paraId="6B607E9D">
            <w:pPr>
              <w:adjustRightInd w:val="0"/>
              <w:snapToGrid w:val="0"/>
              <w:rPr>
                <w:rFonts w:ascii="宋体" w:hAnsi="宋体" w:cs="宋体"/>
                <w:b/>
                <w:color w:val="auto"/>
                <w:sz w:val="24"/>
                <w:szCs w:val="24"/>
                <w:highlight w:val="none"/>
              </w:rPr>
            </w:pPr>
          </w:p>
        </w:tc>
        <w:tc>
          <w:tcPr>
            <w:tcW w:w="2783" w:type="dxa"/>
          </w:tcPr>
          <w:p w14:paraId="6BECF277">
            <w:pPr>
              <w:adjustRightInd w:val="0"/>
              <w:snapToGrid w:val="0"/>
              <w:rPr>
                <w:rFonts w:ascii="宋体" w:hAnsi="宋体" w:cs="宋体"/>
                <w:b/>
                <w:color w:val="auto"/>
                <w:sz w:val="24"/>
                <w:szCs w:val="24"/>
                <w:highlight w:val="none"/>
              </w:rPr>
            </w:pPr>
          </w:p>
        </w:tc>
        <w:tc>
          <w:tcPr>
            <w:tcW w:w="2584" w:type="dxa"/>
          </w:tcPr>
          <w:p w14:paraId="1386EA71">
            <w:pPr>
              <w:adjustRightInd w:val="0"/>
              <w:snapToGrid w:val="0"/>
              <w:rPr>
                <w:rFonts w:ascii="宋体" w:hAnsi="宋体" w:cs="宋体"/>
                <w:b/>
                <w:color w:val="auto"/>
                <w:sz w:val="24"/>
                <w:szCs w:val="24"/>
                <w:highlight w:val="none"/>
              </w:rPr>
            </w:pPr>
          </w:p>
        </w:tc>
      </w:tr>
      <w:tr w14:paraId="3E8FC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569FC99B">
            <w:pPr>
              <w:adjustRightInd w:val="0"/>
              <w:snapToGrid w:val="0"/>
              <w:rPr>
                <w:rFonts w:ascii="宋体" w:hAnsi="宋体" w:cs="宋体"/>
                <w:b/>
                <w:color w:val="auto"/>
                <w:sz w:val="24"/>
                <w:szCs w:val="24"/>
                <w:highlight w:val="none"/>
              </w:rPr>
            </w:pPr>
          </w:p>
        </w:tc>
        <w:tc>
          <w:tcPr>
            <w:tcW w:w="2000" w:type="dxa"/>
          </w:tcPr>
          <w:p w14:paraId="2438D2A6">
            <w:pPr>
              <w:adjustRightInd w:val="0"/>
              <w:snapToGrid w:val="0"/>
              <w:rPr>
                <w:rFonts w:ascii="宋体" w:hAnsi="宋体" w:cs="宋体"/>
                <w:b/>
                <w:color w:val="auto"/>
                <w:sz w:val="24"/>
                <w:szCs w:val="24"/>
                <w:highlight w:val="none"/>
              </w:rPr>
            </w:pPr>
          </w:p>
        </w:tc>
        <w:tc>
          <w:tcPr>
            <w:tcW w:w="2783" w:type="dxa"/>
          </w:tcPr>
          <w:p w14:paraId="7535273B">
            <w:pPr>
              <w:adjustRightInd w:val="0"/>
              <w:snapToGrid w:val="0"/>
              <w:rPr>
                <w:rFonts w:ascii="宋体" w:hAnsi="宋体" w:cs="宋体"/>
                <w:b/>
                <w:color w:val="auto"/>
                <w:sz w:val="24"/>
                <w:szCs w:val="24"/>
                <w:highlight w:val="none"/>
              </w:rPr>
            </w:pPr>
          </w:p>
        </w:tc>
        <w:tc>
          <w:tcPr>
            <w:tcW w:w="2584" w:type="dxa"/>
          </w:tcPr>
          <w:p w14:paraId="24BC1DE4">
            <w:pPr>
              <w:adjustRightInd w:val="0"/>
              <w:snapToGrid w:val="0"/>
              <w:rPr>
                <w:rFonts w:ascii="宋体" w:hAnsi="宋体" w:cs="宋体"/>
                <w:b/>
                <w:color w:val="auto"/>
                <w:sz w:val="24"/>
                <w:szCs w:val="24"/>
                <w:highlight w:val="none"/>
              </w:rPr>
            </w:pPr>
          </w:p>
        </w:tc>
      </w:tr>
      <w:tr w14:paraId="2A33C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7B555271">
            <w:pPr>
              <w:adjustRightInd w:val="0"/>
              <w:snapToGrid w:val="0"/>
              <w:rPr>
                <w:rFonts w:ascii="宋体" w:hAnsi="宋体" w:cs="宋体"/>
                <w:b/>
                <w:color w:val="auto"/>
                <w:sz w:val="24"/>
                <w:szCs w:val="24"/>
                <w:highlight w:val="none"/>
              </w:rPr>
            </w:pPr>
          </w:p>
        </w:tc>
        <w:tc>
          <w:tcPr>
            <w:tcW w:w="2000" w:type="dxa"/>
          </w:tcPr>
          <w:p w14:paraId="31002332">
            <w:pPr>
              <w:adjustRightInd w:val="0"/>
              <w:snapToGrid w:val="0"/>
              <w:rPr>
                <w:rFonts w:ascii="宋体" w:hAnsi="宋体" w:cs="宋体"/>
                <w:b/>
                <w:color w:val="auto"/>
                <w:sz w:val="24"/>
                <w:szCs w:val="24"/>
                <w:highlight w:val="none"/>
              </w:rPr>
            </w:pPr>
          </w:p>
        </w:tc>
        <w:tc>
          <w:tcPr>
            <w:tcW w:w="2783" w:type="dxa"/>
          </w:tcPr>
          <w:p w14:paraId="610A2684">
            <w:pPr>
              <w:adjustRightInd w:val="0"/>
              <w:snapToGrid w:val="0"/>
              <w:rPr>
                <w:rFonts w:ascii="宋体" w:hAnsi="宋体" w:cs="宋体"/>
                <w:b/>
                <w:color w:val="auto"/>
                <w:sz w:val="24"/>
                <w:szCs w:val="24"/>
                <w:highlight w:val="none"/>
              </w:rPr>
            </w:pPr>
          </w:p>
        </w:tc>
        <w:tc>
          <w:tcPr>
            <w:tcW w:w="2584" w:type="dxa"/>
          </w:tcPr>
          <w:p w14:paraId="64B880F8">
            <w:pPr>
              <w:adjustRightInd w:val="0"/>
              <w:snapToGrid w:val="0"/>
              <w:rPr>
                <w:rFonts w:ascii="宋体" w:hAnsi="宋体" w:cs="宋体"/>
                <w:b/>
                <w:color w:val="auto"/>
                <w:sz w:val="24"/>
                <w:szCs w:val="24"/>
                <w:highlight w:val="none"/>
              </w:rPr>
            </w:pPr>
          </w:p>
        </w:tc>
      </w:tr>
      <w:tr w14:paraId="3FA8C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14:paraId="0EEB6648">
            <w:pPr>
              <w:adjustRightInd w:val="0"/>
              <w:snapToGrid w:val="0"/>
              <w:rPr>
                <w:rFonts w:ascii="宋体" w:hAnsi="宋体" w:cs="宋体"/>
                <w:b/>
                <w:color w:val="auto"/>
                <w:sz w:val="24"/>
                <w:szCs w:val="24"/>
                <w:highlight w:val="none"/>
              </w:rPr>
            </w:pPr>
          </w:p>
        </w:tc>
        <w:tc>
          <w:tcPr>
            <w:tcW w:w="2000" w:type="dxa"/>
          </w:tcPr>
          <w:p w14:paraId="6317C41B">
            <w:pPr>
              <w:adjustRightInd w:val="0"/>
              <w:snapToGrid w:val="0"/>
              <w:rPr>
                <w:rFonts w:ascii="宋体" w:hAnsi="宋体" w:cs="宋体"/>
                <w:b/>
                <w:color w:val="auto"/>
                <w:sz w:val="24"/>
                <w:szCs w:val="24"/>
                <w:highlight w:val="none"/>
              </w:rPr>
            </w:pPr>
          </w:p>
        </w:tc>
        <w:tc>
          <w:tcPr>
            <w:tcW w:w="2783" w:type="dxa"/>
          </w:tcPr>
          <w:p w14:paraId="693D4B98">
            <w:pPr>
              <w:adjustRightInd w:val="0"/>
              <w:snapToGrid w:val="0"/>
              <w:rPr>
                <w:rFonts w:ascii="宋体" w:hAnsi="宋体" w:cs="宋体"/>
                <w:b/>
                <w:color w:val="auto"/>
                <w:sz w:val="24"/>
                <w:szCs w:val="24"/>
                <w:highlight w:val="none"/>
              </w:rPr>
            </w:pPr>
          </w:p>
        </w:tc>
        <w:tc>
          <w:tcPr>
            <w:tcW w:w="2584" w:type="dxa"/>
          </w:tcPr>
          <w:p w14:paraId="77AFAC37">
            <w:pPr>
              <w:adjustRightInd w:val="0"/>
              <w:snapToGrid w:val="0"/>
              <w:rPr>
                <w:rFonts w:ascii="宋体" w:hAnsi="宋体" w:cs="宋体"/>
                <w:b/>
                <w:color w:val="auto"/>
                <w:sz w:val="24"/>
                <w:szCs w:val="24"/>
                <w:highlight w:val="none"/>
              </w:rPr>
            </w:pPr>
          </w:p>
        </w:tc>
      </w:tr>
    </w:tbl>
    <w:p w14:paraId="2712A728">
      <w:pPr>
        <w:rPr>
          <w:rFonts w:ascii="宋体" w:hAnsi="宋体" w:cs="宋体"/>
          <w:b/>
          <w:color w:val="auto"/>
          <w:sz w:val="28"/>
          <w:szCs w:val="28"/>
          <w:highlight w:val="none"/>
        </w:rPr>
      </w:pPr>
      <w:r>
        <w:rPr>
          <w:rFonts w:hint="eastAsia" w:ascii="宋体" w:hAnsi="宋体" w:cs="宋体"/>
          <w:b/>
          <w:color w:val="auto"/>
          <w:sz w:val="28"/>
          <w:szCs w:val="28"/>
          <w:highlight w:val="none"/>
        </w:rPr>
        <w:br w:type="page"/>
      </w:r>
    </w:p>
    <w:p w14:paraId="5B74D057">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1、投标声明书格式：</w:t>
      </w:r>
    </w:p>
    <w:p w14:paraId="23FECCD8">
      <w:pPr>
        <w:adjustRightInd w:val="0"/>
        <w:snapToGrid w:val="0"/>
        <w:jc w:val="center"/>
        <w:rPr>
          <w:rFonts w:ascii="宋体" w:hAnsi="宋体" w:cs="宋体"/>
          <w:color w:val="auto"/>
          <w:sz w:val="24"/>
          <w:szCs w:val="24"/>
          <w:highlight w:val="none"/>
        </w:rPr>
      </w:pPr>
      <w:r>
        <w:rPr>
          <w:rFonts w:hint="eastAsia" w:ascii="宋体" w:hAnsi="宋体" w:cs="宋体"/>
          <w:color w:val="auto"/>
          <w:sz w:val="24"/>
          <w:szCs w:val="24"/>
          <w:highlight w:val="none"/>
        </w:rPr>
        <w:t>投标声明书</w:t>
      </w:r>
    </w:p>
    <w:p w14:paraId="42B90C74">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14:paraId="1D59925F">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u w:val="single"/>
        </w:rPr>
        <w:t>（投标人名称）</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系中华人民共和国合法企业（其他组织），经营地址</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w:t>
      </w:r>
    </w:p>
    <w:p w14:paraId="5B9CA879">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我</w:t>
      </w:r>
      <w:r>
        <w:rPr>
          <w:rFonts w:hint="eastAsia" w:ascii="宋体" w:hAnsi="宋体" w:cs="宋体"/>
          <w:color w:val="auto"/>
          <w:sz w:val="24"/>
          <w:szCs w:val="24"/>
          <w:highlight w:val="none"/>
          <w:u w:val="single"/>
        </w:rPr>
        <w:t xml:space="preserve">       （姓名）</w:t>
      </w:r>
      <w:r>
        <w:rPr>
          <w:rFonts w:hint="eastAsia" w:ascii="宋体" w:hAnsi="宋体" w:cs="宋体"/>
          <w:color w:val="auto"/>
          <w:sz w:val="24"/>
          <w:szCs w:val="24"/>
          <w:highlight w:val="none"/>
        </w:rPr>
        <w:t>系</w:t>
      </w:r>
      <w:r>
        <w:rPr>
          <w:rFonts w:hint="eastAsia" w:ascii="宋体" w:hAnsi="宋体" w:cs="宋体"/>
          <w:color w:val="auto"/>
          <w:sz w:val="24"/>
          <w:szCs w:val="24"/>
          <w:highlight w:val="none"/>
          <w:u w:val="single"/>
        </w:rPr>
        <w:t xml:space="preserve">       （投标人名称）</w:t>
      </w:r>
      <w:r>
        <w:rPr>
          <w:rFonts w:hint="eastAsia" w:ascii="宋体" w:hAnsi="宋体" w:cs="宋体"/>
          <w:color w:val="auto"/>
          <w:sz w:val="24"/>
          <w:szCs w:val="24"/>
          <w:highlight w:val="none"/>
        </w:rPr>
        <w:t>的法定代表人（负责人），我方愿意参加贵方组织的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的投标，为便于贵方公正、择优地确定中标人及其投标产品和服务，我方就本次投标有关事项郑重声明如下：</w:t>
      </w:r>
    </w:p>
    <w:p w14:paraId="7E4E64AE">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投标方已详细审查全部招标文件，同意招标文件的各项要求。</w:t>
      </w:r>
    </w:p>
    <w:p w14:paraId="48214F38">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我方向贵方提交的所有投标文件、资料都是准确的和真实的。</w:t>
      </w:r>
    </w:p>
    <w:p w14:paraId="14CD6B66">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若中标，我方将按招标文件规定履行合同责任和义务。</w:t>
      </w:r>
    </w:p>
    <w:p w14:paraId="6C7595E4">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我方郑重承诺：我方所投产品及其任何一部分，免受第三方提出的侵犯其专利权、商标权、著作权或其它知识产权的起诉。我方承担由此可能产生的一切法律责任和费用。</w:t>
      </w:r>
    </w:p>
    <w:p w14:paraId="0EF016A8">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我方不是采购人的附属机构；在获知本项目采购信息后，与采购人聘请的为此项目提供咨询服务的公司及其附属机构没有任何联系。</w:t>
      </w:r>
    </w:p>
    <w:p w14:paraId="175524EF">
      <w:pPr>
        <w:numPr>
          <w:ilvl w:val="0"/>
          <w:numId w:val="8"/>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投标书自开标日起有效期为日。以上事项如有虚假或隐瞒，我方愿意承担一切后果，并不再寻求任何旨在减轻或免除法律责任的辩解。</w:t>
      </w:r>
    </w:p>
    <w:p w14:paraId="55C931A9">
      <w:pPr>
        <w:adjustRightInd w:val="0"/>
        <w:snapToGrid w:val="0"/>
        <w:spacing w:line="400" w:lineRule="exact"/>
        <w:ind w:left="-4" w:leftChars="-2" w:right="-817" w:rightChars="-389" w:firstLine="2"/>
        <w:rPr>
          <w:rFonts w:ascii="宋体" w:hAnsi="宋体" w:cs="宋体"/>
          <w:color w:val="auto"/>
          <w:sz w:val="24"/>
          <w:szCs w:val="24"/>
          <w:highlight w:val="none"/>
        </w:rPr>
      </w:pPr>
    </w:p>
    <w:p w14:paraId="274B0BFA">
      <w:pPr>
        <w:adjustRightInd w:val="0"/>
        <w:snapToGrid w:val="0"/>
        <w:spacing w:line="400" w:lineRule="exact"/>
        <w:ind w:left="-4" w:leftChars="-2" w:right="-817" w:rightChars="-389" w:firstLine="2"/>
        <w:rPr>
          <w:rFonts w:ascii="宋体" w:hAnsi="宋体" w:cs="宋体"/>
          <w:color w:val="auto"/>
          <w:sz w:val="24"/>
          <w:szCs w:val="24"/>
          <w:highlight w:val="none"/>
        </w:rPr>
      </w:pPr>
    </w:p>
    <w:p w14:paraId="3D143658">
      <w:pPr>
        <w:adjustRightInd w:val="0"/>
        <w:snapToGrid w:val="0"/>
        <w:spacing w:line="400" w:lineRule="exact"/>
        <w:ind w:left="-4" w:leftChars="-2" w:right="-817" w:rightChars="-389" w:firstLine="2"/>
        <w:rPr>
          <w:rFonts w:ascii="宋体" w:hAnsi="宋体" w:cs="宋体"/>
          <w:color w:val="auto"/>
          <w:sz w:val="24"/>
          <w:szCs w:val="24"/>
          <w:highlight w:val="none"/>
        </w:rPr>
      </w:pPr>
    </w:p>
    <w:p w14:paraId="04B05CF2">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1230D96B">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14:paraId="06D66CE9">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65579689">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br w:type="page"/>
      </w:r>
      <w:r>
        <w:rPr>
          <w:rFonts w:hint="eastAsia" w:ascii="宋体" w:hAnsi="宋体" w:cs="宋体"/>
          <w:b/>
          <w:color w:val="auto"/>
          <w:sz w:val="24"/>
          <w:szCs w:val="24"/>
          <w:highlight w:val="none"/>
        </w:rPr>
        <w:t>2、授权委托书格式：</w:t>
      </w:r>
    </w:p>
    <w:p w14:paraId="6A4377BF">
      <w:pPr>
        <w:adjustRightInd w:val="0"/>
        <w:snapToGrid w:val="0"/>
        <w:spacing w:line="360" w:lineRule="auto"/>
        <w:jc w:val="center"/>
        <w:rPr>
          <w:rFonts w:ascii="宋体" w:hAnsi="宋体" w:cs="宋体"/>
          <w:color w:val="auto"/>
          <w:sz w:val="24"/>
          <w:szCs w:val="24"/>
          <w:highlight w:val="none"/>
        </w:rPr>
      </w:pPr>
    </w:p>
    <w:p w14:paraId="314886C8">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授权委托书</w:t>
      </w:r>
    </w:p>
    <w:p w14:paraId="1C266FBB">
      <w:pPr>
        <w:adjustRightInd w:val="0"/>
        <w:snapToGrid w:val="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u w:val="single"/>
        </w:rPr>
        <w:t xml:space="preserve">（采购代理机构名称）       </w:t>
      </w:r>
      <w:r>
        <w:rPr>
          <w:rFonts w:hint="eastAsia" w:ascii="宋体" w:hAnsi="宋体" w:cs="宋体"/>
          <w:color w:val="auto"/>
          <w:sz w:val="24"/>
          <w:szCs w:val="24"/>
          <w:highlight w:val="none"/>
        </w:rPr>
        <w:t>：</w:t>
      </w:r>
    </w:p>
    <w:p w14:paraId="525B60E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我</w:t>
      </w:r>
      <w:r>
        <w:rPr>
          <w:rFonts w:hint="eastAsia" w:ascii="宋体" w:hAnsi="宋体" w:cs="宋体"/>
          <w:color w:val="auto"/>
          <w:sz w:val="24"/>
          <w:szCs w:val="24"/>
          <w:highlight w:val="none"/>
          <w:u w:val="single"/>
        </w:rPr>
        <w:t xml:space="preserve">     （姓名）</w:t>
      </w:r>
      <w:r>
        <w:rPr>
          <w:rFonts w:hint="eastAsia" w:ascii="宋体" w:hAnsi="宋体" w:cs="宋体"/>
          <w:color w:val="auto"/>
          <w:sz w:val="24"/>
          <w:szCs w:val="24"/>
          <w:highlight w:val="none"/>
        </w:rPr>
        <w:t>系</w:t>
      </w:r>
      <w:r>
        <w:rPr>
          <w:rFonts w:hint="eastAsia" w:ascii="宋体" w:hAnsi="宋体" w:cs="宋体"/>
          <w:color w:val="auto"/>
          <w:sz w:val="24"/>
          <w:szCs w:val="24"/>
          <w:highlight w:val="none"/>
          <w:u w:val="single"/>
        </w:rPr>
        <w:t xml:space="preserve">          （投标人名称）</w:t>
      </w:r>
      <w:r>
        <w:rPr>
          <w:rFonts w:hint="eastAsia" w:ascii="宋体" w:hAnsi="宋体" w:cs="宋体"/>
          <w:color w:val="auto"/>
          <w:sz w:val="24"/>
          <w:szCs w:val="24"/>
          <w:highlight w:val="none"/>
        </w:rPr>
        <w:t>的法定代表人</w:t>
      </w:r>
      <w:r>
        <w:rPr>
          <w:rFonts w:hint="eastAsia" w:ascii="宋体" w:hAnsi="宋体" w:cs="宋体"/>
          <w:color w:val="auto"/>
          <w:sz w:val="24"/>
          <w:szCs w:val="24"/>
          <w:highlight w:val="none"/>
          <w:u w:val="single"/>
        </w:rPr>
        <w:t>（负责人、自然人）</w:t>
      </w:r>
      <w:r>
        <w:rPr>
          <w:rFonts w:hint="eastAsia" w:ascii="宋体" w:hAnsi="宋体" w:cs="宋体"/>
          <w:color w:val="auto"/>
          <w:sz w:val="24"/>
          <w:szCs w:val="24"/>
          <w:highlight w:val="none"/>
        </w:rPr>
        <w:t>，现授权委托</w:t>
      </w:r>
      <w:r>
        <w:rPr>
          <w:rFonts w:hint="eastAsia" w:ascii="宋体" w:hAnsi="宋体" w:cs="宋体"/>
          <w:color w:val="auto"/>
          <w:sz w:val="24"/>
          <w:szCs w:val="24"/>
          <w:highlight w:val="none"/>
          <w:u w:val="single"/>
        </w:rPr>
        <w:t xml:space="preserve">           （姓名）</w:t>
      </w:r>
      <w:r>
        <w:rPr>
          <w:rFonts w:hint="eastAsia" w:ascii="宋体" w:hAnsi="宋体" w:cs="宋体"/>
          <w:color w:val="auto"/>
          <w:sz w:val="24"/>
          <w:szCs w:val="24"/>
          <w:highlight w:val="none"/>
        </w:rPr>
        <w:t>以我方的名义参加</w:t>
      </w:r>
      <w:r>
        <w:rPr>
          <w:rFonts w:hint="eastAsia" w:ascii="宋体" w:hAnsi="宋体" w:cs="宋体"/>
          <w:color w:val="auto"/>
          <w:sz w:val="24"/>
          <w:szCs w:val="24"/>
          <w:highlight w:val="none"/>
          <w:u w:val="single"/>
        </w:rPr>
        <w:t xml:space="preserve">     项目（项目编号：        ）</w:t>
      </w:r>
      <w:r>
        <w:rPr>
          <w:rFonts w:hint="eastAsia" w:ascii="宋体" w:hAnsi="宋体" w:cs="宋体"/>
          <w:color w:val="auto"/>
          <w:sz w:val="24"/>
          <w:szCs w:val="24"/>
          <w:highlight w:val="none"/>
        </w:rPr>
        <w:t>的投标活动，并代表我方全权办理针对上述项目的投标、开标、评标、签约等具体事务和签署相关文件。</w:t>
      </w:r>
    </w:p>
    <w:p w14:paraId="6D55EC7A">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我方对被授权人的签名事项负全部责任。</w:t>
      </w:r>
    </w:p>
    <w:p w14:paraId="43C8F5C5">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u w:val="single"/>
        </w:rPr>
        <w:t>在撤销授权的书面通知以前，本授权书一直有效。</w:t>
      </w:r>
      <w:r>
        <w:rPr>
          <w:rFonts w:hint="eastAsia" w:ascii="宋体" w:hAnsi="宋体" w:cs="宋体"/>
          <w:color w:val="auto"/>
          <w:sz w:val="24"/>
          <w:szCs w:val="24"/>
          <w:highlight w:val="none"/>
        </w:rPr>
        <w:t>被授权人在授权书有效期内签署的所有文件不因授权的撤销而失效。</w:t>
      </w:r>
    </w:p>
    <w:p w14:paraId="768A9F99">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被授权人无转委托权，特此委托。</w:t>
      </w:r>
    </w:p>
    <w:p w14:paraId="04C5FAE5">
      <w:pPr>
        <w:adjustRightInd w:val="0"/>
        <w:snapToGrid w:val="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授权代表签名：                      授权人签名：</w:t>
      </w:r>
    </w:p>
    <w:p w14:paraId="7F887955">
      <w:pPr>
        <w:adjustRightInd w:val="0"/>
        <w:snapToGrid w:val="0"/>
        <w:spacing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职务：                      职务：</w:t>
      </w:r>
    </w:p>
    <w:p w14:paraId="227539EE">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授权代表身份证号码：</w:t>
      </w:r>
    </w:p>
    <w:p w14:paraId="09622C29">
      <w:pPr>
        <w:adjustRightInd w:val="0"/>
        <w:snapToGrid w:val="0"/>
        <w:spacing w:line="360" w:lineRule="auto"/>
        <w:rPr>
          <w:rFonts w:ascii="宋体" w:hAnsi="宋体" w:cs="宋体"/>
          <w:color w:val="auto"/>
          <w:sz w:val="24"/>
          <w:szCs w:val="24"/>
          <w:highlight w:val="none"/>
        </w:rPr>
      </w:pPr>
    </w:p>
    <w:tbl>
      <w:tblPr>
        <w:tblStyle w:val="39"/>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0"/>
        <w:gridCol w:w="4310"/>
      </w:tblGrid>
      <w:tr w14:paraId="7AFAD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trPr>
        <w:tc>
          <w:tcPr>
            <w:tcW w:w="4310" w:type="dxa"/>
            <w:vAlign w:val="center"/>
          </w:tcPr>
          <w:p w14:paraId="31EAEF9D">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授权人身份证正面</w:t>
            </w:r>
          </w:p>
        </w:tc>
        <w:tc>
          <w:tcPr>
            <w:tcW w:w="4310" w:type="dxa"/>
            <w:vAlign w:val="center"/>
          </w:tcPr>
          <w:p w14:paraId="67C72808">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被授权人身份证正面</w:t>
            </w:r>
          </w:p>
        </w:tc>
      </w:tr>
      <w:tr w14:paraId="61C18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trPr>
        <w:tc>
          <w:tcPr>
            <w:tcW w:w="4310" w:type="dxa"/>
            <w:vAlign w:val="center"/>
          </w:tcPr>
          <w:p w14:paraId="5B0E74F7">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授权人身份证反面</w:t>
            </w:r>
          </w:p>
        </w:tc>
        <w:tc>
          <w:tcPr>
            <w:tcW w:w="4310" w:type="dxa"/>
            <w:vAlign w:val="center"/>
          </w:tcPr>
          <w:p w14:paraId="3F436D5D">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被授权人身份证反面</w:t>
            </w:r>
          </w:p>
        </w:tc>
      </w:tr>
    </w:tbl>
    <w:p w14:paraId="564191A2">
      <w:pPr>
        <w:adjustRightInd w:val="0"/>
        <w:snapToGrid w:val="0"/>
        <w:spacing w:line="360" w:lineRule="auto"/>
        <w:ind w:right="480"/>
        <w:jc w:val="center"/>
        <w:rPr>
          <w:rFonts w:ascii="宋体" w:hAnsi="宋体" w:cs="宋体"/>
          <w:color w:val="auto"/>
          <w:sz w:val="24"/>
          <w:szCs w:val="24"/>
          <w:highlight w:val="none"/>
        </w:rPr>
      </w:pPr>
    </w:p>
    <w:p w14:paraId="6E5E0F1A">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投标人名称（盖章）：</w:t>
      </w:r>
    </w:p>
    <w:p w14:paraId="6E13855F">
      <w:pPr>
        <w:adjustRightInd w:val="0"/>
        <w:snapToGrid w:val="0"/>
        <w:spacing w:line="360" w:lineRule="auto"/>
        <w:ind w:right="360"/>
        <w:jc w:val="righ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20B9E73A">
      <w:pPr>
        <w:adjustRightInd w:val="0"/>
        <w:snapToGrid w:val="0"/>
        <w:spacing w:line="360" w:lineRule="auto"/>
        <w:rPr>
          <w:rFonts w:ascii="宋体" w:hAnsi="宋体" w:cs="宋体"/>
          <w:b/>
          <w:color w:val="auto"/>
          <w:sz w:val="24"/>
          <w:szCs w:val="24"/>
          <w:highlight w:val="none"/>
        </w:rPr>
      </w:pPr>
    </w:p>
    <w:p w14:paraId="05164C9C">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3、有效的营业执照（事业单位法人证书、民办非企业单位登记证书、社会团体法人登记证书、基金会法人登记证书、自然人身份证）副本复印件、税务登记证副本（如有）复印件</w:t>
      </w:r>
    </w:p>
    <w:p w14:paraId="38667742">
      <w:pPr>
        <w:adjustRightInd w:val="0"/>
        <w:snapToGrid w:val="0"/>
        <w:spacing w:line="400" w:lineRule="exact"/>
        <w:jc w:val="left"/>
        <w:rPr>
          <w:rFonts w:ascii="宋体" w:hAnsi="宋体" w:cs="宋体"/>
          <w:b/>
          <w:color w:val="auto"/>
          <w:sz w:val="24"/>
          <w:szCs w:val="24"/>
          <w:highlight w:val="none"/>
        </w:rPr>
      </w:pPr>
    </w:p>
    <w:p w14:paraId="7E2C5A69">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r>
    </w:p>
    <w:p w14:paraId="183BAB9B">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4、投标人情况介绍格式：</w:t>
      </w:r>
    </w:p>
    <w:p w14:paraId="46CDED3A">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投标人情况</w:t>
      </w:r>
    </w:p>
    <w:p w14:paraId="5D3E39C7">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                                                   </w:t>
      </w:r>
    </w:p>
    <w:tbl>
      <w:tblPr>
        <w:tblStyle w:val="39"/>
        <w:tblW w:w="8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53"/>
        <w:gridCol w:w="1469"/>
        <w:gridCol w:w="854"/>
        <w:gridCol w:w="1453"/>
        <w:gridCol w:w="765"/>
        <w:gridCol w:w="1400"/>
      </w:tblGrid>
      <w:tr w14:paraId="6087D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3BF8891E">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投标人名称</w:t>
            </w:r>
          </w:p>
        </w:tc>
        <w:tc>
          <w:tcPr>
            <w:tcW w:w="6994" w:type="dxa"/>
            <w:gridSpan w:val="6"/>
            <w:vAlign w:val="center"/>
          </w:tcPr>
          <w:p w14:paraId="2ED59E97">
            <w:pPr>
              <w:pStyle w:val="187"/>
              <w:numPr>
                <w:ilvl w:val="0"/>
                <w:numId w:val="9"/>
              </w:numPr>
              <w:spacing w:line="400" w:lineRule="exact"/>
              <w:ind w:firstLineChars="0"/>
              <w:rPr>
                <w:rFonts w:ascii="宋体" w:hAnsi="宋体" w:cs="宋体"/>
                <w:color w:val="auto"/>
                <w:sz w:val="24"/>
                <w:szCs w:val="24"/>
                <w:highlight w:val="none"/>
              </w:rPr>
            </w:pPr>
          </w:p>
        </w:tc>
      </w:tr>
      <w:tr w14:paraId="444ED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36054DF4">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注册地址</w:t>
            </w:r>
          </w:p>
        </w:tc>
        <w:tc>
          <w:tcPr>
            <w:tcW w:w="3376" w:type="dxa"/>
            <w:gridSpan w:val="3"/>
            <w:vAlign w:val="center"/>
          </w:tcPr>
          <w:p w14:paraId="431B5012">
            <w:pPr>
              <w:pStyle w:val="187"/>
              <w:numPr>
                <w:ilvl w:val="0"/>
                <w:numId w:val="9"/>
              </w:numPr>
              <w:spacing w:line="400" w:lineRule="exact"/>
              <w:ind w:firstLineChars="0"/>
              <w:rPr>
                <w:rFonts w:ascii="宋体" w:hAnsi="宋体" w:cs="宋体"/>
                <w:color w:val="auto"/>
                <w:sz w:val="24"/>
                <w:szCs w:val="24"/>
                <w:highlight w:val="none"/>
              </w:rPr>
            </w:pPr>
          </w:p>
        </w:tc>
        <w:tc>
          <w:tcPr>
            <w:tcW w:w="1453" w:type="dxa"/>
            <w:vAlign w:val="center"/>
          </w:tcPr>
          <w:p w14:paraId="15BE40CC">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邮政编码</w:t>
            </w:r>
          </w:p>
        </w:tc>
        <w:tc>
          <w:tcPr>
            <w:tcW w:w="2165" w:type="dxa"/>
            <w:gridSpan w:val="2"/>
            <w:vAlign w:val="center"/>
          </w:tcPr>
          <w:p w14:paraId="7DDB28CC">
            <w:pPr>
              <w:pStyle w:val="187"/>
              <w:numPr>
                <w:ilvl w:val="0"/>
                <w:numId w:val="9"/>
              </w:numPr>
              <w:spacing w:line="400" w:lineRule="exact"/>
              <w:ind w:firstLineChars="0"/>
              <w:rPr>
                <w:rFonts w:ascii="宋体" w:hAnsi="宋体" w:cs="宋体"/>
                <w:color w:val="auto"/>
                <w:sz w:val="24"/>
                <w:szCs w:val="24"/>
                <w:highlight w:val="none"/>
              </w:rPr>
            </w:pPr>
          </w:p>
        </w:tc>
      </w:tr>
      <w:tr w14:paraId="66674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restart"/>
            <w:vAlign w:val="center"/>
          </w:tcPr>
          <w:p w14:paraId="06EF1726">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联系方式</w:t>
            </w:r>
          </w:p>
        </w:tc>
        <w:tc>
          <w:tcPr>
            <w:tcW w:w="1053" w:type="dxa"/>
            <w:vAlign w:val="center"/>
          </w:tcPr>
          <w:p w14:paraId="7DE8D7D4">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联系人</w:t>
            </w:r>
          </w:p>
        </w:tc>
        <w:tc>
          <w:tcPr>
            <w:tcW w:w="2323" w:type="dxa"/>
            <w:gridSpan w:val="2"/>
            <w:vAlign w:val="center"/>
          </w:tcPr>
          <w:p w14:paraId="40AE785D">
            <w:pPr>
              <w:pStyle w:val="187"/>
              <w:numPr>
                <w:ilvl w:val="0"/>
                <w:numId w:val="9"/>
              </w:numPr>
              <w:spacing w:line="400" w:lineRule="exact"/>
              <w:ind w:firstLineChars="0"/>
              <w:rPr>
                <w:rFonts w:ascii="宋体" w:hAnsi="宋体" w:cs="宋体"/>
                <w:color w:val="auto"/>
                <w:sz w:val="24"/>
                <w:szCs w:val="24"/>
                <w:highlight w:val="none"/>
              </w:rPr>
            </w:pPr>
          </w:p>
        </w:tc>
        <w:tc>
          <w:tcPr>
            <w:tcW w:w="1453" w:type="dxa"/>
            <w:vAlign w:val="center"/>
          </w:tcPr>
          <w:p w14:paraId="5D03807E">
            <w:pPr>
              <w:pStyle w:val="187"/>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2165" w:type="dxa"/>
            <w:gridSpan w:val="2"/>
            <w:vAlign w:val="center"/>
          </w:tcPr>
          <w:p w14:paraId="79942FC0">
            <w:pPr>
              <w:pStyle w:val="187"/>
              <w:numPr>
                <w:ilvl w:val="0"/>
                <w:numId w:val="9"/>
              </w:numPr>
              <w:spacing w:line="400" w:lineRule="exact"/>
              <w:ind w:firstLineChars="0"/>
              <w:rPr>
                <w:rFonts w:ascii="宋体" w:hAnsi="宋体" w:cs="宋体"/>
                <w:color w:val="auto"/>
                <w:sz w:val="24"/>
                <w:szCs w:val="24"/>
                <w:highlight w:val="none"/>
              </w:rPr>
            </w:pPr>
          </w:p>
        </w:tc>
      </w:tr>
      <w:tr w14:paraId="29F95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continue"/>
            <w:vAlign w:val="center"/>
          </w:tcPr>
          <w:p w14:paraId="100FE463">
            <w:pPr>
              <w:pStyle w:val="187"/>
              <w:numPr>
                <w:ilvl w:val="0"/>
                <w:numId w:val="9"/>
              </w:numPr>
              <w:spacing w:line="400" w:lineRule="exact"/>
              <w:ind w:firstLineChars="0"/>
              <w:rPr>
                <w:rFonts w:ascii="宋体" w:hAnsi="宋体" w:cs="宋体"/>
                <w:color w:val="auto"/>
                <w:sz w:val="24"/>
                <w:szCs w:val="24"/>
                <w:highlight w:val="none"/>
              </w:rPr>
            </w:pPr>
          </w:p>
        </w:tc>
        <w:tc>
          <w:tcPr>
            <w:tcW w:w="1053" w:type="dxa"/>
            <w:vAlign w:val="center"/>
          </w:tcPr>
          <w:p w14:paraId="4EBAB7BC">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传 真</w:t>
            </w:r>
          </w:p>
        </w:tc>
        <w:tc>
          <w:tcPr>
            <w:tcW w:w="2323" w:type="dxa"/>
            <w:gridSpan w:val="2"/>
            <w:vAlign w:val="center"/>
          </w:tcPr>
          <w:p w14:paraId="48008E92">
            <w:pPr>
              <w:pStyle w:val="187"/>
              <w:numPr>
                <w:ilvl w:val="0"/>
                <w:numId w:val="9"/>
              </w:numPr>
              <w:spacing w:line="400" w:lineRule="exact"/>
              <w:ind w:firstLineChars="0"/>
              <w:rPr>
                <w:rFonts w:ascii="宋体" w:hAnsi="宋体" w:cs="宋体"/>
                <w:color w:val="auto"/>
                <w:sz w:val="24"/>
                <w:szCs w:val="24"/>
                <w:highlight w:val="none"/>
              </w:rPr>
            </w:pPr>
          </w:p>
        </w:tc>
        <w:tc>
          <w:tcPr>
            <w:tcW w:w="1453" w:type="dxa"/>
            <w:vAlign w:val="center"/>
          </w:tcPr>
          <w:p w14:paraId="76A1A56A">
            <w:pPr>
              <w:pStyle w:val="187"/>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网址</w:t>
            </w:r>
          </w:p>
        </w:tc>
        <w:tc>
          <w:tcPr>
            <w:tcW w:w="2165" w:type="dxa"/>
            <w:gridSpan w:val="2"/>
            <w:vAlign w:val="center"/>
          </w:tcPr>
          <w:p w14:paraId="7091769B">
            <w:pPr>
              <w:pStyle w:val="187"/>
              <w:numPr>
                <w:ilvl w:val="0"/>
                <w:numId w:val="9"/>
              </w:numPr>
              <w:spacing w:line="400" w:lineRule="exact"/>
              <w:ind w:firstLineChars="0"/>
              <w:rPr>
                <w:rFonts w:ascii="宋体" w:hAnsi="宋体" w:cs="宋体"/>
                <w:color w:val="auto"/>
                <w:sz w:val="24"/>
                <w:szCs w:val="24"/>
                <w:highlight w:val="none"/>
              </w:rPr>
            </w:pPr>
          </w:p>
        </w:tc>
      </w:tr>
      <w:tr w14:paraId="57E48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31E4EC9E">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1053" w:type="dxa"/>
            <w:vAlign w:val="center"/>
          </w:tcPr>
          <w:p w14:paraId="310237EA">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14:paraId="3D74B4D3">
            <w:pPr>
              <w:pStyle w:val="187"/>
              <w:numPr>
                <w:ilvl w:val="0"/>
                <w:numId w:val="9"/>
              </w:numPr>
              <w:spacing w:line="400" w:lineRule="exact"/>
              <w:ind w:firstLineChars="0"/>
              <w:rPr>
                <w:rFonts w:ascii="宋体" w:hAnsi="宋体" w:cs="宋体"/>
                <w:color w:val="auto"/>
                <w:sz w:val="24"/>
                <w:szCs w:val="24"/>
                <w:highlight w:val="none"/>
              </w:rPr>
            </w:pPr>
          </w:p>
        </w:tc>
        <w:tc>
          <w:tcPr>
            <w:tcW w:w="854" w:type="dxa"/>
            <w:vAlign w:val="center"/>
          </w:tcPr>
          <w:p w14:paraId="78D27B66">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14:paraId="6F985570">
            <w:pPr>
              <w:pStyle w:val="187"/>
              <w:numPr>
                <w:ilvl w:val="0"/>
                <w:numId w:val="9"/>
              </w:numPr>
              <w:spacing w:line="400" w:lineRule="exact"/>
              <w:ind w:firstLineChars="0"/>
              <w:rPr>
                <w:rFonts w:ascii="宋体" w:hAnsi="宋体" w:cs="宋体"/>
                <w:color w:val="auto"/>
                <w:sz w:val="24"/>
                <w:szCs w:val="24"/>
                <w:highlight w:val="none"/>
              </w:rPr>
            </w:pPr>
          </w:p>
        </w:tc>
        <w:tc>
          <w:tcPr>
            <w:tcW w:w="765" w:type="dxa"/>
            <w:vAlign w:val="center"/>
          </w:tcPr>
          <w:p w14:paraId="5C3E5146">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14:paraId="1C4954B1">
            <w:pPr>
              <w:pStyle w:val="187"/>
              <w:numPr>
                <w:ilvl w:val="0"/>
                <w:numId w:val="9"/>
              </w:numPr>
              <w:spacing w:line="400" w:lineRule="exact"/>
              <w:ind w:firstLineChars="0"/>
              <w:rPr>
                <w:rFonts w:ascii="宋体" w:hAnsi="宋体" w:cs="宋体"/>
                <w:color w:val="auto"/>
                <w:sz w:val="24"/>
                <w:szCs w:val="24"/>
                <w:highlight w:val="none"/>
              </w:rPr>
            </w:pPr>
          </w:p>
        </w:tc>
      </w:tr>
      <w:tr w14:paraId="020C7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0409E857">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企业负责人</w:t>
            </w:r>
          </w:p>
        </w:tc>
        <w:tc>
          <w:tcPr>
            <w:tcW w:w="1053" w:type="dxa"/>
            <w:vAlign w:val="center"/>
          </w:tcPr>
          <w:p w14:paraId="30A16F2F">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14:paraId="6CF5B209">
            <w:pPr>
              <w:pStyle w:val="187"/>
              <w:numPr>
                <w:ilvl w:val="0"/>
                <w:numId w:val="9"/>
              </w:numPr>
              <w:spacing w:line="400" w:lineRule="exact"/>
              <w:ind w:firstLineChars="0"/>
              <w:rPr>
                <w:rFonts w:ascii="宋体" w:hAnsi="宋体" w:cs="宋体"/>
                <w:color w:val="auto"/>
                <w:sz w:val="24"/>
                <w:szCs w:val="24"/>
                <w:highlight w:val="none"/>
              </w:rPr>
            </w:pPr>
          </w:p>
        </w:tc>
        <w:tc>
          <w:tcPr>
            <w:tcW w:w="854" w:type="dxa"/>
            <w:vAlign w:val="center"/>
          </w:tcPr>
          <w:p w14:paraId="1857328F">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14:paraId="6091CFC3">
            <w:pPr>
              <w:pStyle w:val="187"/>
              <w:numPr>
                <w:ilvl w:val="0"/>
                <w:numId w:val="9"/>
              </w:numPr>
              <w:spacing w:line="400" w:lineRule="exact"/>
              <w:ind w:firstLineChars="0"/>
              <w:rPr>
                <w:rFonts w:ascii="宋体" w:hAnsi="宋体" w:cs="宋体"/>
                <w:color w:val="auto"/>
                <w:sz w:val="24"/>
                <w:szCs w:val="24"/>
                <w:highlight w:val="none"/>
              </w:rPr>
            </w:pPr>
          </w:p>
        </w:tc>
        <w:tc>
          <w:tcPr>
            <w:tcW w:w="765" w:type="dxa"/>
            <w:vAlign w:val="center"/>
          </w:tcPr>
          <w:p w14:paraId="4C0F9F4C">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14:paraId="0FC94C16">
            <w:pPr>
              <w:pStyle w:val="187"/>
              <w:numPr>
                <w:ilvl w:val="0"/>
                <w:numId w:val="9"/>
              </w:numPr>
              <w:spacing w:line="400" w:lineRule="exact"/>
              <w:ind w:firstLineChars="0"/>
              <w:rPr>
                <w:rFonts w:ascii="宋体" w:hAnsi="宋体" w:cs="宋体"/>
                <w:color w:val="auto"/>
                <w:sz w:val="24"/>
                <w:szCs w:val="24"/>
                <w:highlight w:val="none"/>
              </w:rPr>
            </w:pPr>
          </w:p>
        </w:tc>
      </w:tr>
      <w:tr w14:paraId="6F2DB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337B9BC4">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技术负责人</w:t>
            </w:r>
          </w:p>
        </w:tc>
        <w:tc>
          <w:tcPr>
            <w:tcW w:w="1053" w:type="dxa"/>
            <w:vAlign w:val="center"/>
          </w:tcPr>
          <w:p w14:paraId="4EF24662">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14:paraId="4D794B71">
            <w:pPr>
              <w:pStyle w:val="187"/>
              <w:numPr>
                <w:ilvl w:val="0"/>
                <w:numId w:val="9"/>
              </w:numPr>
              <w:spacing w:line="400" w:lineRule="exact"/>
              <w:ind w:firstLineChars="0"/>
              <w:rPr>
                <w:rFonts w:ascii="宋体" w:hAnsi="宋体" w:cs="宋体"/>
                <w:color w:val="auto"/>
                <w:sz w:val="24"/>
                <w:szCs w:val="24"/>
                <w:highlight w:val="none"/>
              </w:rPr>
            </w:pPr>
          </w:p>
        </w:tc>
        <w:tc>
          <w:tcPr>
            <w:tcW w:w="854" w:type="dxa"/>
            <w:vAlign w:val="center"/>
          </w:tcPr>
          <w:p w14:paraId="487F4823">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14:paraId="420D78C3">
            <w:pPr>
              <w:pStyle w:val="187"/>
              <w:numPr>
                <w:ilvl w:val="0"/>
                <w:numId w:val="9"/>
              </w:numPr>
              <w:spacing w:line="400" w:lineRule="exact"/>
              <w:ind w:firstLineChars="0"/>
              <w:rPr>
                <w:rFonts w:ascii="宋体" w:hAnsi="宋体" w:cs="宋体"/>
                <w:color w:val="auto"/>
                <w:sz w:val="24"/>
                <w:szCs w:val="24"/>
                <w:highlight w:val="none"/>
              </w:rPr>
            </w:pPr>
          </w:p>
        </w:tc>
        <w:tc>
          <w:tcPr>
            <w:tcW w:w="765" w:type="dxa"/>
            <w:vAlign w:val="center"/>
          </w:tcPr>
          <w:p w14:paraId="33FE2E72">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14:paraId="37AFDAE0">
            <w:pPr>
              <w:pStyle w:val="187"/>
              <w:numPr>
                <w:ilvl w:val="0"/>
                <w:numId w:val="9"/>
              </w:numPr>
              <w:spacing w:line="400" w:lineRule="exact"/>
              <w:ind w:firstLineChars="0"/>
              <w:rPr>
                <w:rFonts w:ascii="宋体" w:hAnsi="宋体" w:cs="宋体"/>
                <w:color w:val="auto"/>
                <w:sz w:val="24"/>
                <w:szCs w:val="24"/>
                <w:highlight w:val="none"/>
              </w:rPr>
            </w:pPr>
          </w:p>
        </w:tc>
      </w:tr>
      <w:tr w14:paraId="5EBFE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14:paraId="65D8E4A9">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企业资质</w:t>
            </w:r>
          </w:p>
        </w:tc>
        <w:tc>
          <w:tcPr>
            <w:tcW w:w="2522" w:type="dxa"/>
            <w:gridSpan w:val="2"/>
            <w:vAlign w:val="center"/>
          </w:tcPr>
          <w:p w14:paraId="4EBAAF31">
            <w:pPr>
              <w:pStyle w:val="187"/>
              <w:numPr>
                <w:ilvl w:val="0"/>
                <w:numId w:val="9"/>
              </w:numPr>
              <w:spacing w:line="400" w:lineRule="exact"/>
              <w:ind w:firstLineChars="0"/>
              <w:rPr>
                <w:rFonts w:ascii="宋体" w:hAnsi="宋体" w:cs="宋体"/>
                <w:color w:val="auto"/>
                <w:sz w:val="24"/>
                <w:szCs w:val="24"/>
                <w:highlight w:val="none"/>
              </w:rPr>
            </w:pPr>
          </w:p>
        </w:tc>
        <w:tc>
          <w:tcPr>
            <w:tcW w:w="2307" w:type="dxa"/>
            <w:gridSpan w:val="2"/>
            <w:vAlign w:val="center"/>
          </w:tcPr>
          <w:p w14:paraId="33F6479F">
            <w:pPr>
              <w:pStyle w:val="187"/>
              <w:spacing w:line="400" w:lineRule="exact"/>
              <w:ind w:left="0"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营业执照号</w:t>
            </w:r>
          </w:p>
        </w:tc>
        <w:tc>
          <w:tcPr>
            <w:tcW w:w="2165" w:type="dxa"/>
            <w:gridSpan w:val="2"/>
            <w:vAlign w:val="center"/>
          </w:tcPr>
          <w:p w14:paraId="619CFDB3">
            <w:pPr>
              <w:pStyle w:val="187"/>
              <w:numPr>
                <w:ilvl w:val="0"/>
                <w:numId w:val="9"/>
              </w:numPr>
              <w:spacing w:line="400" w:lineRule="exact"/>
              <w:ind w:firstLineChars="0"/>
              <w:rPr>
                <w:rFonts w:ascii="宋体" w:hAnsi="宋体" w:cs="宋体"/>
                <w:color w:val="auto"/>
                <w:sz w:val="24"/>
                <w:szCs w:val="24"/>
                <w:highlight w:val="none"/>
              </w:rPr>
            </w:pPr>
          </w:p>
        </w:tc>
      </w:tr>
      <w:tr w14:paraId="323C9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7" w:hRule="atLeast"/>
          <w:jc w:val="center"/>
        </w:trPr>
        <w:tc>
          <w:tcPr>
            <w:tcW w:w="1658" w:type="dxa"/>
            <w:vAlign w:val="center"/>
          </w:tcPr>
          <w:p w14:paraId="789989DD">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资信等级</w:t>
            </w:r>
          </w:p>
        </w:tc>
        <w:tc>
          <w:tcPr>
            <w:tcW w:w="6994" w:type="dxa"/>
            <w:gridSpan w:val="6"/>
            <w:vAlign w:val="center"/>
          </w:tcPr>
          <w:p w14:paraId="5D49A321">
            <w:pPr>
              <w:pStyle w:val="187"/>
              <w:numPr>
                <w:ilvl w:val="0"/>
                <w:numId w:val="9"/>
              </w:numPr>
              <w:spacing w:line="400" w:lineRule="exact"/>
              <w:ind w:firstLineChars="0"/>
              <w:rPr>
                <w:rFonts w:ascii="宋体" w:hAnsi="宋体" w:cs="宋体"/>
                <w:color w:val="auto"/>
                <w:sz w:val="24"/>
                <w:szCs w:val="24"/>
                <w:highlight w:val="none"/>
              </w:rPr>
            </w:pPr>
          </w:p>
        </w:tc>
      </w:tr>
      <w:tr w14:paraId="6CB44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1658" w:type="dxa"/>
            <w:vAlign w:val="center"/>
          </w:tcPr>
          <w:p w14:paraId="0F219581">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环境管理体系认证</w:t>
            </w:r>
          </w:p>
        </w:tc>
        <w:tc>
          <w:tcPr>
            <w:tcW w:w="2522" w:type="dxa"/>
            <w:gridSpan w:val="2"/>
            <w:vAlign w:val="center"/>
          </w:tcPr>
          <w:p w14:paraId="425AB18C">
            <w:pPr>
              <w:pStyle w:val="187"/>
              <w:numPr>
                <w:ilvl w:val="0"/>
                <w:numId w:val="9"/>
              </w:numPr>
              <w:spacing w:line="400" w:lineRule="exact"/>
              <w:ind w:firstLineChars="0"/>
              <w:rPr>
                <w:rFonts w:ascii="宋体" w:hAnsi="宋体" w:cs="宋体"/>
                <w:color w:val="auto"/>
                <w:sz w:val="24"/>
                <w:szCs w:val="24"/>
                <w:highlight w:val="none"/>
              </w:rPr>
            </w:pPr>
          </w:p>
        </w:tc>
        <w:tc>
          <w:tcPr>
            <w:tcW w:w="2307" w:type="dxa"/>
            <w:gridSpan w:val="2"/>
            <w:vAlign w:val="center"/>
          </w:tcPr>
          <w:p w14:paraId="78F58A5E">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职业安全健康管理体系认证</w:t>
            </w:r>
          </w:p>
        </w:tc>
        <w:tc>
          <w:tcPr>
            <w:tcW w:w="2165" w:type="dxa"/>
            <w:gridSpan w:val="2"/>
            <w:vAlign w:val="center"/>
          </w:tcPr>
          <w:p w14:paraId="2884A294">
            <w:pPr>
              <w:pStyle w:val="187"/>
              <w:numPr>
                <w:ilvl w:val="0"/>
                <w:numId w:val="9"/>
              </w:numPr>
              <w:spacing w:line="400" w:lineRule="exact"/>
              <w:ind w:firstLineChars="0"/>
              <w:rPr>
                <w:rFonts w:ascii="宋体" w:hAnsi="宋体" w:cs="宋体"/>
                <w:color w:val="auto"/>
                <w:sz w:val="24"/>
                <w:szCs w:val="24"/>
                <w:highlight w:val="none"/>
              </w:rPr>
            </w:pPr>
          </w:p>
        </w:tc>
      </w:tr>
      <w:tr w14:paraId="632FD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14:paraId="106B59C3">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注册资金</w:t>
            </w:r>
          </w:p>
        </w:tc>
        <w:tc>
          <w:tcPr>
            <w:tcW w:w="2522" w:type="dxa"/>
            <w:gridSpan w:val="2"/>
            <w:vAlign w:val="center"/>
          </w:tcPr>
          <w:p w14:paraId="005810D3">
            <w:pPr>
              <w:pStyle w:val="187"/>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14:paraId="0C964722">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固定资产净值</w:t>
            </w:r>
          </w:p>
        </w:tc>
        <w:tc>
          <w:tcPr>
            <w:tcW w:w="2165" w:type="dxa"/>
            <w:gridSpan w:val="2"/>
            <w:vAlign w:val="center"/>
          </w:tcPr>
          <w:p w14:paraId="63129ECF">
            <w:pPr>
              <w:pStyle w:val="187"/>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r>
      <w:tr w14:paraId="232EC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14:paraId="29684973">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流动资产</w:t>
            </w:r>
          </w:p>
        </w:tc>
        <w:tc>
          <w:tcPr>
            <w:tcW w:w="2522" w:type="dxa"/>
            <w:gridSpan w:val="2"/>
            <w:vAlign w:val="center"/>
          </w:tcPr>
          <w:p w14:paraId="62E9696D">
            <w:pPr>
              <w:pStyle w:val="187"/>
              <w:numPr>
                <w:ilvl w:val="0"/>
                <w:numId w:val="9"/>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14:paraId="4D7E011B">
            <w:pPr>
              <w:pStyle w:val="187"/>
              <w:numPr>
                <w:ilvl w:val="0"/>
                <w:numId w:val="9"/>
              </w:numPr>
              <w:spacing w:line="400" w:lineRule="exact"/>
              <w:ind w:firstLineChars="0"/>
              <w:rPr>
                <w:rFonts w:ascii="宋体" w:hAnsi="宋体" w:cs="宋体"/>
                <w:color w:val="auto"/>
                <w:sz w:val="24"/>
                <w:szCs w:val="24"/>
                <w:highlight w:val="none"/>
              </w:rPr>
            </w:pPr>
          </w:p>
        </w:tc>
        <w:tc>
          <w:tcPr>
            <w:tcW w:w="2165" w:type="dxa"/>
            <w:gridSpan w:val="2"/>
            <w:vAlign w:val="center"/>
          </w:tcPr>
          <w:p w14:paraId="57D3F104">
            <w:pPr>
              <w:pStyle w:val="187"/>
              <w:numPr>
                <w:ilvl w:val="0"/>
                <w:numId w:val="9"/>
              </w:numPr>
              <w:spacing w:line="400" w:lineRule="exact"/>
              <w:ind w:firstLineChars="0"/>
              <w:rPr>
                <w:rFonts w:ascii="宋体" w:hAnsi="宋体" w:cs="宋体"/>
                <w:color w:val="auto"/>
                <w:sz w:val="24"/>
                <w:szCs w:val="24"/>
                <w:highlight w:val="none"/>
              </w:rPr>
            </w:pPr>
          </w:p>
        </w:tc>
      </w:tr>
      <w:tr w14:paraId="4EEDC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14:paraId="486EC07D">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开户银行</w:t>
            </w:r>
          </w:p>
        </w:tc>
        <w:tc>
          <w:tcPr>
            <w:tcW w:w="2522" w:type="dxa"/>
            <w:gridSpan w:val="2"/>
            <w:vAlign w:val="center"/>
          </w:tcPr>
          <w:p w14:paraId="1494B3BA">
            <w:pPr>
              <w:pStyle w:val="187"/>
              <w:numPr>
                <w:ilvl w:val="0"/>
                <w:numId w:val="9"/>
              </w:numPr>
              <w:spacing w:line="400" w:lineRule="exact"/>
              <w:ind w:firstLineChars="0"/>
              <w:rPr>
                <w:rFonts w:ascii="宋体" w:hAnsi="宋体" w:cs="宋体"/>
                <w:color w:val="auto"/>
                <w:sz w:val="24"/>
                <w:szCs w:val="24"/>
                <w:highlight w:val="none"/>
              </w:rPr>
            </w:pPr>
          </w:p>
        </w:tc>
        <w:tc>
          <w:tcPr>
            <w:tcW w:w="2307" w:type="dxa"/>
            <w:gridSpan w:val="2"/>
            <w:vAlign w:val="center"/>
          </w:tcPr>
          <w:p w14:paraId="298147ED">
            <w:pPr>
              <w:pStyle w:val="187"/>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帐号</w:t>
            </w:r>
          </w:p>
        </w:tc>
        <w:tc>
          <w:tcPr>
            <w:tcW w:w="2165" w:type="dxa"/>
            <w:gridSpan w:val="2"/>
            <w:vAlign w:val="center"/>
          </w:tcPr>
          <w:p w14:paraId="320224D6">
            <w:pPr>
              <w:pStyle w:val="187"/>
              <w:numPr>
                <w:ilvl w:val="0"/>
                <w:numId w:val="9"/>
              </w:numPr>
              <w:spacing w:line="400" w:lineRule="exact"/>
              <w:ind w:firstLineChars="0"/>
              <w:rPr>
                <w:rFonts w:ascii="宋体" w:hAnsi="宋体" w:cs="宋体"/>
                <w:color w:val="auto"/>
                <w:sz w:val="24"/>
                <w:szCs w:val="24"/>
                <w:highlight w:val="none"/>
              </w:rPr>
            </w:pPr>
          </w:p>
        </w:tc>
      </w:tr>
      <w:tr w14:paraId="25015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8652" w:type="dxa"/>
            <w:gridSpan w:val="7"/>
            <w:vAlign w:val="center"/>
          </w:tcPr>
          <w:p w14:paraId="106B5AB2">
            <w:pPr>
              <w:pStyle w:val="187"/>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总人数人，其中：具有高级职称的人，中级职称的人。</w:t>
            </w:r>
          </w:p>
        </w:tc>
      </w:tr>
      <w:tr w14:paraId="4D0CE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1" w:hRule="atLeast"/>
          <w:jc w:val="center"/>
        </w:trPr>
        <w:tc>
          <w:tcPr>
            <w:tcW w:w="1658" w:type="dxa"/>
            <w:vAlign w:val="center"/>
          </w:tcPr>
          <w:p w14:paraId="11B47C0D">
            <w:pPr>
              <w:pStyle w:val="187"/>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经营范围</w:t>
            </w:r>
          </w:p>
        </w:tc>
        <w:tc>
          <w:tcPr>
            <w:tcW w:w="6994" w:type="dxa"/>
            <w:gridSpan w:val="6"/>
            <w:vAlign w:val="center"/>
          </w:tcPr>
          <w:p w14:paraId="6EFBE425">
            <w:pPr>
              <w:pStyle w:val="187"/>
              <w:numPr>
                <w:ilvl w:val="0"/>
                <w:numId w:val="9"/>
              </w:numPr>
              <w:spacing w:line="400" w:lineRule="exact"/>
              <w:ind w:firstLineChars="0"/>
              <w:rPr>
                <w:rFonts w:ascii="宋体" w:hAnsi="宋体" w:cs="宋体"/>
                <w:color w:val="auto"/>
                <w:sz w:val="24"/>
                <w:szCs w:val="24"/>
                <w:highlight w:val="none"/>
              </w:rPr>
            </w:pPr>
          </w:p>
        </w:tc>
      </w:tr>
      <w:tr w14:paraId="6E136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14:paraId="0B42BCC6">
            <w:pPr>
              <w:pStyle w:val="187"/>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资质范围</w:t>
            </w:r>
          </w:p>
        </w:tc>
        <w:tc>
          <w:tcPr>
            <w:tcW w:w="6994" w:type="dxa"/>
            <w:gridSpan w:val="6"/>
            <w:vAlign w:val="center"/>
          </w:tcPr>
          <w:p w14:paraId="50BB919F">
            <w:pPr>
              <w:pStyle w:val="187"/>
              <w:numPr>
                <w:ilvl w:val="0"/>
                <w:numId w:val="9"/>
              </w:numPr>
              <w:spacing w:line="400" w:lineRule="exact"/>
              <w:ind w:firstLineChars="0"/>
              <w:rPr>
                <w:rFonts w:ascii="宋体" w:hAnsi="宋体" w:cs="宋体"/>
                <w:color w:val="auto"/>
                <w:sz w:val="24"/>
                <w:szCs w:val="24"/>
                <w:highlight w:val="none"/>
              </w:rPr>
            </w:pPr>
          </w:p>
        </w:tc>
      </w:tr>
      <w:tr w14:paraId="74921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14:paraId="6A3B5140">
            <w:pPr>
              <w:pStyle w:val="187"/>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备  注</w:t>
            </w:r>
          </w:p>
        </w:tc>
        <w:tc>
          <w:tcPr>
            <w:tcW w:w="6994" w:type="dxa"/>
            <w:gridSpan w:val="6"/>
            <w:vAlign w:val="center"/>
          </w:tcPr>
          <w:p w14:paraId="4F20279D">
            <w:pPr>
              <w:pStyle w:val="187"/>
              <w:numPr>
                <w:ilvl w:val="0"/>
                <w:numId w:val="9"/>
              </w:numPr>
              <w:spacing w:line="400" w:lineRule="exact"/>
              <w:ind w:firstLineChars="0"/>
              <w:rPr>
                <w:rFonts w:ascii="宋体" w:hAnsi="宋体" w:cs="宋体"/>
                <w:color w:val="auto"/>
                <w:sz w:val="24"/>
                <w:szCs w:val="24"/>
                <w:highlight w:val="none"/>
              </w:rPr>
            </w:pPr>
          </w:p>
        </w:tc>
      </w:tr>
    </w:tbl>
    <w:p w14:paraId="571234F5">
      <w:pPr>
        <w:autoSpaceDE w:val="0"/>
        <w:autoSpaceDN w:val="0"/>
        <w:adjustRightInd w:val="0"/>
        <w:snapToGrid w:val="0"/>
        <w:spacing w:line="400" w:lineRule="exact"/>
        <w:ind w:firstLine="472" w:firstLineChars="196"/>
        <w:rPr>
          <w:rFonts w:ascii="宋体" w:hAnsi="宋体" w:cs="宋体"/>
          <w:b/>
          <w:color w:val="auto"/>
          <w:sz w:val="24"/>
          <w:szCs w:val="24"/>
          <w:highlight w:val="none"/>
        </w:rPr>
      </w:pPr>
    </w:p>
    <w:p w14:paraId="07F38499">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43565C80">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14:paraId="75923381">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3CA394EC">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558A9304">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5、财务状况报告</w:t>
      </w:r>
    </w:p>
    <w:p w14:paraId="0D682AE8">
      <w:pPr>
        <w:adjustRightInd w:val="0"/>
        <w:snapToGrid w:val="0"/>
        <w:spacing w:line="40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应提供本单位2025年度经会计师事务所出具的审计报告复印件，（报告中须包括资产负债表、利润表、现金流量表及财务报表附注，如供应商注册不满1年无需提供上述资料；）</w:t>
      </w:r>
    </w:p>
    <w:p w14:paraId="54199F24">
      <w:pPr>
        <w:pStyle w:val="38"/>
        <w:rPr>
          <w:color w:val="auto"/>
          <w:highlight w:val="none"/>
        </w:rPr>
      </w:pPr>
    </w:p>
    <w:p w14:paraId="2AD29176">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r>
    </w:p>
    <w:p w14:paraId="1EFD614D">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6、投标人须具有履行合同所必需的设备和专业技术能力，须附相关证明材料或声明：</w:t>
      </w:r>
    </w:p>
    <w:p w14:paraId="663F8B18">
      <w:pPr>
        <w:pStyle w:val="200"/>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格式：</w:t>
      </w:r>
    </w:p>
    <w:p w14:paraId="2A0EF954">
      <w:pPr>
        <w:pStyle w:val="200"/>
        <w:autoSpaceDE w:val="0"/>
        <w:autoSpaceDN w:val="0"/>
        <w:adjustRightInd w:val="0"/>
        <w:snapToGrid w:val="0"/>
        <w:spacing w:line="400" w:lineRule="exact"/>
        <w:ind w:firstLine="115" w:firstLineChars="50"/>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本投标人郑重声明：</w:t>
      </w:r>
    </w:p>
    <w:p w14:paraId="6A96134F">
      <w:pPr>
        <w:pStyle w:val="200"/>
        <w:autoSpaceDE w:val="0"/>
        <w:autoSpaceDN w:val="0"/>
        <w:adjustRightInd w:val="0"/>
        <w:snapToGrid w:val="0"/>
        <w:spacing w:line="400" w:lineRule="exact"/>
        <w:ind w:firstLine="230" w:firstLineChars="10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本公司（或单位）具备本项目履行合同所必需的设备和专业技术能力，特此承诺。 </w:t>
      </w:r>
    </w:p>
    <w:p w14:paraId="453BD667">
      <w:pPr>
        <w:pStyle w:val="200"/>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被授权人签字： </w:t>
      </w:r>
    </w:p>
    <w:p w14:paraId="5FA732AE">
      <w:pPr>
        <w:pStyle w:val="200"/>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投标人名称（加盖公章）：</w:t>
      </w:r>
    </w:p>
    <w:p w14:paraId="0E874086">
      <w:pPr>
        <w:pStyle w:val="200"/>
        <w:autoSpaceDE w:val="0"/>
        <w:autoSpaceDN w:val="0"/>
        <w:adjustRightInd w:val="0"/>
        <w:snapToGrid w:val="0"/>
        <w:spacing w:line="400" w:lineRule="exact"/>
        <w:ind w:firstLine="115" w:firstLineChars="50"/>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年 月 日 </w:t>
      </w:r>
    </w:p>
    <w:p w14:paraId="79FA0B38">
      <w:pPr>
        <w:adjustRightInd w:val="0"/>
        <w:snapToGrid w:val="0"/>
        <w:spacing w:line="400" w:lineRule="exact"/>
        <w:jc w:val="left"/>
        <w:rPr>
          <w:rFonts w:ascii="宋体" w:hAnsi="宋体" w:cs="宋体"/>
          <w:b/>
          <w:color w:val="auto"/>
          <w:sz w:val="24"/>
          <w:szCs w:val="24"/>
          <w:highlight w:val="none"/>
        </w:rPr>
      </w:pPr>
    </w:p>
    <w:p w14:paraId="0A4D55D3">
      <w:pP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br w:type="page"/>
      </w:r>
    </w:p>
    <w:p w14:paraId="6133FF59">
      <w:pPr>
        <w:adjustRightInd w:val="0"/>
        <w:snapToGrid w:val="0"/>
        <w:spacing w:line="400" w:lineRule="exact"/>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7</w:t>
      </w:r>
      <w:r>
        <w:rPr>
          <w:rFonts w:hint="eastAsia" w:ascii="宋体" w:hAnsi="宋体" w:cs="宋体"/>
          <w:b/>
          <w:color w:val="auto"/>
          <w:sz w:val="24"/>
          <w:szCs w:val="24"/>
          <w:highlight w:val="none"/>
        </w:rPr>
        <w:t>、依法缴纳税收和社会保障资金的良好记录</w:t>
      </w:r>
    </w:p>
    <w:p w14:paraId="2B7288EC">
      <w:pPr>
        <w:adjustRightInd w:val="0"/>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缴纳税收的证明材料，指</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缴纳增值税和企业所得税两种缴纳凭据；本项目</w:t>
      </w:r>
      <w:r>
        <w:rPr>
          <w:rFonts w:hint="eastAsia" w:ascii="宋体" w:hAnsi="宋体" w:cs="宋体"/>
          <w:color w:val="auto"/>
          <w:sz w:val="24"/>
          <w:szCs w:val="24"/>
          <w:highlight w:val="none"/>
          <w:lang w:eastAsia="zh-CN"/>
        </w:rPr>
        <w:t>开标</w:t>
      </w:r>
      <w:r>
        <w:rPr>
          <w:rFonts w:hint="eastAsia" w:ascii="宋体" w:hAnsi="宋体" w:cs="宋体"/>
          <w:color w:val="auto"/>
          <w:sz w:val="24"/>
          <w:szCs w:val="24"/>
          <w:highlight w:val="none"/>
        </w:rPr>
        <w:t xml:space="preserve">前6个月内（至少提供1个月）缴纳税收的凭据（完税证、缴款书、印花税票、银行代扣（代缴）转账凭证等均可）； </w:t>
      </w:r>
    </w:p>
    <w:p w14:paraId="502E304A">
      <w:pPr>
        <w:adjustRightInd w:val="0"/>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依法缴纳社会保障资金的证明材料：本项目</w:t>
      </w:r>
      <w:r>
        <w:rPr>
          <w:rFonts w:hint="eastAsia" w:ascii="宋体" w:hAnsi="宋体" w:cs="宋体"/>
          <w:color w:val="auto"/>
          <w:sz w:val="24"/>
          <w:szCs w:val="24"/>
          <w:highlight w:val="none"/>
          <w:lang w:eastAsia="zh-CN"/>
        </w:rPr>
        <w:t>开标</w:t>
      </w:r>
      <w:r>
        <w:rPr>
          <w:rFonts w:hint="eastAsia" w:ascii="宋体" w:hAnsi="宋体" w:cs="宋体"/>
          <w:color w:val="auto"/>
          <w:sz w:val="24"/>
          <w:szCs w:val="24"/>
          <w:highlight w:val="none"/>
        </w:rPr>
        <w:t xml:space="preserve">前 6个月内（至少提供1个月）缴纳社会保险的凭据（专用收据或社会保险交纳清单）； </w:t>
      </w:r>
    </w:p>
    <w:p w14:paraId="0D2EDA24">
      <w:pPr>
        <w:adjustRightInd w:val="0"/>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为其他组织或自然人的，也需要按此项规定提供缴纳税收的凭据和交纳社会保险的凭据。如</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的社会保险为委托第三方代缴，还需同时提供</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与第三方服务机构签署的服务合同（合同中应明确写明第三方为</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代缴其社会保险）。</w:t>
      </w:r>
    </w:p>
    <w:p w14:paraId="025923B5">
      <w:pPr>
        <w:pStyle w:val="30"/>
        <w:rPr>
          <w:color w:val="auto"/>
          <w:highlight w:val="none"/>
        </w:rPr>
      </w:pPr>
    </w:p>
    <w:p w14:paraId="67E39ABC">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14:paraId="6157060C">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8</w:t>
      </w:r>
      <w:r>
        <w:rPr>
          <w:rFonts w:hint="eastAsia" w:ascii="宋体" w:hAnsi="宋体" w:cs="宋体"/>
          <w:b/>
          <w:color w:val="auto"/>
          <w:sz w:val="24"/>
          <w:szCs w:val="24"/>
          <w:highlight w:val="none"/>
        </w:rPr>
        <w:t>、前三年内在经营活动中没有重大违法记录的书面声明：</w:t>
      </w:r>
    </w:p>
    <w:p w14:paraId="69263C2B">
      <w:pPr>
        <w:pStyle w:val="200"/>
        <w:adjustRightInd w:val="0"/>
        <w:snapToGrid w:val="0"/>
        <w:spacing w:line="40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格式：</w:t>
      </w:r>
    </w:p>
    <w:p w14:paraId="3351E176">
      <w:pPr>
        <w:pStyle w:val="200"/>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（采购人）         </w:t>
      </w:r>
      <w:r>
        <w:rPr>
          <w:rFonts w:hint="eastAsia" w:ascii="宋体" w:hAnsi="宋体" w:cs="宋体"/>
          <w:color w:val="auto"/>
          <w:sz w:val="24"/>
          <w:szCs w:val="24"/>
          <w:highlight w:val="none"/>
        </w:rPr>
        <w:t>：</w:t>
      </w:r>
    </w:p>
    <w:p w14:paraId="600CCBC2">
      <w:pPr>
        <w:pStyle w:val="200"/>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我单位参与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编号）投标，并郑重声明，我方参加本项目政府采购活动前三年内无重大违法记录，符合《中华人民共和国政府采购法》规定的投标人条件。若贵方在本项目采购过程中发现我方政府采购活动前三年内有重大违法记录，我方将无条件退出本项目的投标，并承担因此引起的一切后果。我方对此声明负全部法律责任。</w:t>
      </w:r>
    </w:p>
    <w:p w14:paraId="2AFFA2A8">
      <w:pPr>
        <w:pStyle w:val="200"/>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特此声明  </w:t>
      </w:r>
    </w:p>
    <w:p w14:paraId="1CA22E00">
      <w:pPr>
        <w:pStyle w:val="200"/>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14:paraId="65F586BE">
      <w:pPr>
        <w:pStyle w:val="200"/>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法定代表人（负责人、自然人）或其委托代理人签字：</w:t>
      </w:r>
    </w:p>
    <w:p w14:paraId="71B5AFE6">
      <w:pPr>
        <w:adjustRightInd w:val="0"/>
        <w:snapToGrid w:val="0"/>
        <w:spacing w:line="400" w:lineRule="exact"/>
        <w:jc w:val="left"/>
        <w:rPr>
          <w:rFonts w:ascii="宋体" w:hAnsi="宋体" w:cs="宋体"/>
          <w:b/>
          <w:color w:val="auto"/>
          <w:sz w:val="24"/>
          <w:szCs w:val="24"/>
          <w:highlight w:val="none"/>
        </w:rPr>
      </w:pPr>
    </w:p>
    <w:p w14:paraId="05FDDD57">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r>
    </w:p>
    <w:p w14:paraId="255C2CCE">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9、拒绝列入失信被执行人、</w:t>
      </w:r>
      <w:r>
        <w:rPr>
          <w:rFonts w:hint="eastAsia" w:ascii="宋体" w:hAnsi="宋体" w:cs="宋体"/>
          <w:b/>
          <w:color w:val="auto"/>
          <w:sz w:val="24"/>
          <w:szCs w:val="24"/>
          <w:highlight w:val="none"/>
          <w:lang w:eastAsia="zh-CN"/>
        </w:rPr>
        <w:t>重大税收违法失信主体</w:t>
      </w:r>
      <w:r>
        <w:rPr>
          <w:rFonts w:hint="eastAsia" w:ascii="宋体" w:hAnsi="宋体" w:cs="宋体"/>
          <w:b/>
          <w:color w:val="auto"/>
          <w:sz w:val="24"/>
          <w:szCs w:val="24"/>
          <w:highlight w:val="none"/>
        </w:rPr>
        <w:t>、政府采购严重违法失信行为记录名单及及其他不符合规定条件的投标人；投标人未被列入“信用中国”网站(www.creditchina.gov.cn)“记录失信被执行人或重大税收违法案件当事人名单或政府采购严重违法失信行为”记录名单；未处于中国政府采购网(www.ccgp.gov.cn)“政府采购严重违法失信行为信息记录”中的禁止参加政府采购活动 期间（以采购代理机构于开标当天在“信用中国”网站（www.creditchina.gov.cn）及中国政府采购网(www.ccgp.gov.cn)查询结果为准，如相关失信记录已失效，投标人需提供相关证明资料）。</w:t>
      </w:r>
    </w:p>
    <w:p w14:paraId="4190632F">
      <w:pPr>
        <w:adjustRightInd w:val="0"/>
        <w:snapToGrid w:val="0"/>
        <w:spacing w:line="400" w:lineRule="exact"/>
        <w:jc w:val="left"/>
        <w:rPr>
          <w:rFonts w:hint="eastAsia" w:ascii="宋体" w:hAnsi="宋体" w:cs="宋体"/>
          <w:b/>
          <w:color w:val="auto"/>
          <w:sz w:val="24"/>
          <w:szCs w:val="24"/>
          <w:highlight w:val="none"/>
        </w:rPr>
      </w:pPr>
    </w:p>
    <w:p w14:paraId="7C14E566">
      <w:pP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br w:type="page"/>
      </w:r>
    </w:p>
    <w:p w14:paraId="04BFBA75">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10</w:t>
      </w:r>
      <w:r>
        <w:rPr>
          <w:rFonts w:hint="eastAsia" w:ascii="宋体" w:hAnsi="宋体" w:cs="宋体"/>
          <w:b/>
          <w:color w:val="auto"/>
          <w:sz w:val="24"/>
          <w:szCs w:val="24"/>
          <w:highlight w:val="none"/>
        </w:rPr>
        <w:t>、投标人已取得的各种有效认证证书、政府部门（企业）或第三方权威鉴定机构出具的信用等级证书或证明复印件 (如有)。</w:t>
      </w:r>
    </w:p>
    <w:p w14:paraId="3B7BC5B6">
      <w:pPr>
        <w:adjustRightInd w:val="0"/>
        <w:snapToGrid w:val="0"/>
        <w:spacing w:line="400" w:lineRule="exact"/>
        <w:jc w:val="left"/>
        <w:rPr>
          <w:rFonts w:ascii="宋体" w:hAnsi="宋体" w:cs="宋体"/>
          <w:b/>
          <w:color w:val="auto"/>
          <w:sz w:val="24"/>
          <w:szCs w:val="24"/>
          <w:highlight w:val="none"/>
        </w:rPr>
      </w:pPr>
    </w:p>
    <w:p w14:paraId="2CC760C5">
      <w:pPr>
        <w:widowControl/>
        <w:snapToGrid w:val="0"/>
        <w:spacing w:line="400" w:lineRule="exact"/>
        <w:jc w:val="left"/>
        <w:rPr>
          <w:rFonts w:ascii="宋体" w:hAnsi="宋体" w:cs="宋体"/>
          <w:b/>
          <w:bCs/>
          <w:color w:val="auto"/>
          <w:sz w:val="24"/>
          <w:szCs w:val="24"/>
          <w:highlight w:val="none"/>
        </w:rPr>
      </w:pPr>
    </w:p>
    <w:p w14:paraId="01D56B6D">
      <w:pP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br w:type="page"/>
      </w:r>
    </w:p>
    <w:p w14:paraId="7DBA9725">
      <w:pPr>
        <w:adjustRightInd w:val="0"/>
        <w:snapToGrid w:val="0"/>
        <w:spacing w:line="400" w:lineRule="exact"/>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11</w:t>
      </w: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2023</w:t>
      </w:r>
      <w:r>
        <w:rPr>
          <w:rFonts w:hint="eastAsia" w:ascii="宋体" w:hAnsi="宋体" w:cs="宋体"/>
          <w:b/>
          <w:color w:val="auto"/>
          <w:sz w:val="24"/>
          <w:szCs w:val="24"/>
          <w:highlight w:val="none"/>
          <w:lang w:eastAsia="zh-CN"/>
        </w:rPr>
        <w:t>年</w:t>
      </w:r>
      <w:r>
        <w:rPr>
          <w:rFonts w:hint="eastAsia" w:ascii="宋体" w:hAnsi="宋体" w:cs="宋体"/>
          <w:b/>
          <w:color w:val="auto"/>
          <w:sz w:val="24"/>
          <w:szCs w:val="24"/>
          <w:highlight w:val="none"/>
          <w:lang w:val="en-US" w:eastAsia="zh-CN"/>
        </w:rPr>
        <w:t>1</w:t>
      </w:r>
      <w:r>
        <w:rPr>
          <w:rFonts w:hint="eastAsia" w:ascii="宋体" w:hAnsi="宋体" w:cs="宋体"/>
          <w:b/>
          <w:color w:val="auto"/>
          <w:sz w:val="24"/>
          <w:szCs w:val="24"/>
          <w:highlight w:val="none"/>
          <w:lang w:eastAsia="zh-CN"/>
        </w:rPr>
        <w:t>月</w:t>
      </w:r>
      <w:r>
        <w:rPr>
          <w:rFonts w:hint="eastAsia" w:ascii="宋体" w:hAnsi="宋体" w:cs="宋体"/>
          <w:b/>
          <w:color w:val="auto"/>
          <w:sz w:val="24"/>
          <w:szCs w:val="24"/>
          <w:highlight w:val="none"/>
          <w:lang w:val="en-US" w:eastAsia="zh-CN"/>
        </w:rPr>
        <w:t>1</w:t>
      </w:r>
      <w:r>
        <w:rPr>
          <w:rFonts w:hint="eastAsia" w:ascii="宋体" w:hAnsi="宋体" w:cs="宋体"/>
          <w:b/>
          <w:color w:val="auto"/>
          <w:sz w:val="24"/>
          <w:szCs w:val="24"/>
          <w:highlight w:val="none"/>
        </w:rPr>
        <w:t>日以来</w:t>
      </w:r>
      <w:r>
        <w:rPr>
          <w:rFonts w:hint="eastAsia" w:ascii="宋体" w:hAnsi="宋体" w:cs="宋体"/>
          <w:b/>
          <w:color w:val="auto"/>
          <w:sz w:val="24"/>
          <w:szCs w:val="24"/>
          <w:highlight w:val="none"/>
          <w:lang w:val="en-US" w:eastAsia="zh-CN"/>
        </w:rPr>
        <w:t>同类</w:t>
      </w:r>
      <w:r>
        <w:rPr>
          <w:rFonts w:hint="eastAsia" w:ascii="宋体" w:hAnsi="宋体" w:cs="宋体"/>
          <w:b/>
          <w:color w:val="auto"/>
          <w:sz w:val="24"/>
          <w:szCs w:val="24"/>
          <w:highlight w:val="none"/>
        </w:rPr>
        <w:t>业绩</w:t>
      </w:r>
    </w:p>
    <w:p w14:paraId="0B6E260B">
      <w:pPr>
        <w:adjustRightInd w:val="0"/>
        <w:snapToGrid w:val="0"/>
        <w:spacing w:line="400" w:lineRule="exact"/>
        <w:ind w:firstLine="470" w:firstLineChars="196"/>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以签订合同时间为准，需提供</w:t>
      </w:r>
      <w:r>
        <w:rPr>
          <w:rFonts w:hint="eastAsia" w:ascii="宋体" w:hAnsi="宋体" w:cs="宋体"/>
          <w:color w:val="auto"/>
          <w:sz w:val="24"/>
          <w:szCs w:val="24"/>
          <w:highlight w:val="none"/>
          <w:lang w:eastAsia="zh-CN"/>
        </w:rPr>
        <w:t>中标（成交）通知书、</w:t>
      </w:r>
      <w:r>
        <w:rPr>
          <w:rFonts w:hint="eastAsia" w:ascii="宋体" w:hAnsi="宋体" w:cs="宋体"/>
          <w:color w:val="auto"/>
          <w:sz w:val="24"/>
          <w:szCs w:val="24"/>
          <w:highlight w:val="none"/>
        </w:rPr>
        <w:t>与最终用户合同复印件，复印件并加盖公章，如出现与事实不符等情况，将根据有关规定以“提供虚假材料谋取中标”予以处罚。</w:t>
      </w:r>
    </w:p>
    <w:p w14:paraId="69223D12">
      <w:pPr>
        <w:pStyle w:val="30"/>
        <w:rPr>
          <w:rFonts w:ascii="宋体" w:hAnsi="宋体" w:cs="宋体"/>
          <w:b/>
          <w:bCs/>
          <w:color w:val="auto"/>
          <w:sz w:val="24"/>
          <w:szCs w:val="24"/>
          <w:highlight w:val="none"/>
        </w:rPr>
      </w:pPr>
    </w:p>
    <w:p w14:paraId="314262E6">
      <w:pPr>
        <w:pStyle w:val="30"/>
        <w:rPr>
          <w:rFonts w:ascii="宋体" w:hAnsi="宋体" w:cs="宋体"/>
          <w:b/>
          <w:bCs/>
          <w:color w:val="auto"/>
          <w:sz w:val="24"/>
          <w:szCs w:val="24"/>
          <w:highlight w:val="none"/>
        </w:rPr>
      </w:pPr>
    </w:p>
    <w:p w14:paraId="64C9A1B1">
      <w:pPr>
        <w:pStyle w:val="30"/>
        <w:rPr>
          <w:rFonts w:ascii="宋体" w:hAnsi="宋体" w:cs="宋体"/>
          <w:b/>
          <w:bCs/>
          <w:color w:val="auto"/>
          <w:sz w:val="24"/>
          <w:szCs w:val="24"/>
          <w:highlight w:val="none"/>
        </w:rPr>
      </w:pPr>
    </w:p>
    <w:p w14:paraId="69F47268">
      <w:pPr>
        <w:pStyle w:val="30"/>
        <w:rPr>
          <w:rFonts w:ascii="宋体" w:hAnsi="宋体" w:cs="宋体"/>
          <w:b/>
          <w:bCs/>
          <w:color w:val="auto"/>
          <w:sz w:val="24"/>
          <w:szCs w:val="24"/>
          <w:highlight w:val="none"/>
        </w:rPr>
      </w:pPr>
    </w:p>
    <w:p w14:paraId="1F592006">
      <w:pPr>
        <w:pStyle w:val="30"/>
        <w:rPr>
          <w:rFonts w:ascii="宋体" w:hAnsi="宋体" w:cs="宋体"/>
          <w:b/>
          <w:bCs/>
          <w:color w:val="auto"/>
          <w:sz w:val="24"/>
          <w:szCs w:val="24"/>
          <w:highlight w:val="none"/>
        </w:rPr>
      </w:pPr>
    </w:p>
    <w:p w14:paraId="5F63D0A1">
      <w:pPr>
        <w:pStyle w:val="30"/>
        <w:rPr>
          <w:rFonts w:ascii="宋体" w:hAnsi="宋体" w:cs="宋体"/>
          <w:b/>
          <w:bCs/>
          <w:color w:val="auto"/>
          <w:sz w:val="24"/>
          <w:szCs w:val="24"/>
          <w:highlight w:val="none"/>
        </w:rPr>
      </w:pPr>
    </w:p>
    <w:p w14:paraId="459785F4">
      <w:pPr>
        <w:pStyle w:val="30"/>
        <w:rPr>
          <w:rFonts w:ascii="宋体" w:hAnsi="宋体" w:cs="宋体"/>
          <w:b/>
          <w:bCs/>
          <w:color w:val="auto"/>
          <w:sz w:val="24"/>
          <w:szCs w:val="24"/>
          <w:highlight w:val="none"/>
        </w:rPr>
      </w:pPr>
    </w:p>
    <w:p w14:paraId="727CDC34">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r>
    </w:p>
    <w:p w14:paraId="62172162">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2</w:t>
      </w:r>
      <w:r>
        <w:rPr>
          <w:rFonts w:hint="eastAsia" w:ascii="宋体" w:hAnsi="宋体" w:cs="宋体"/>
          <w:b/>
          <w:color w:val="auto"/>
          <w:sz w:val="24"/>
          <w:szCs w:val="24"/>
          <w:highlight w:val="none"/>
        </w:rPr>
        <w:t>、政府采购政策扶持证明材料</w:t>
      </w:r>
    </w:p>
    <w:p w14:paraId="0EB506DE">
      <w:pPr>
        <w:widowControl/>
        <w:snapToGrid w:val="0"/>
        <w:spacing w:before="240" w:after="240" w:line="400" w:lineRule="exact"/>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中小企业声明函（货物）</w:t>
      </w:r>
    </w:p>
    <w:p w14:paraId="3A6D8923">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本公司（联合体）郑重声明，根据关于《政府采购促进中小企业发展管理办法》的通知（财库〔2020〕46号）的规定，本公司（联合体）参加</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u w:val="single"/>
        </w:rPr>
        <w:t>（单位名称）</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u w:val="single"/>
        </w:rPr>
        <w:t>（项目名称）</w:t>
      </w:r>
      <w:r>
        <w:rPr>
          <w:rFonts w:hint="eastAsia" w:ascii="宋体" w:hAnsi="宋体" w:cs="宋体"/>
          <w:color w:val="auto"/>
          <w:kern w:val="0"/>
          <w:sz w:val="24"/>
          <w:szCs w:val="24"/>
          <w:highlight w:val="none"/>
        </w:rPr>
        <w:t>采购活动，提供的货物全部由符合政策要求的中小企业制造。相关企业（含联合体中的中小企业、签订分包意向协议的中小企业）的具体情况如下：</w:t>
      </w:r>
    </w:p>
    <w:p w14:paraId="2B75DCB0">
      <w:pPr>
        <w:widowControl/>
        <w:numPr>
          <w:ilvl w:val="0"/>
          <w:numId w:val="10"/>
        </w:numPr>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u w:val="single"/>
        </w:rPr>
        <w:t>煤直接液化装置（标的名称）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lang w:val="en-US" w:eastAsia="zh-CN"/>
        </w:rPr>
        <w:t>工业行业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人，营业收入为</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万元，资产总额为</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14:paraId="3B409925">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lang w:val="en-US" w:eastAsia="zh-CN"/>
        </w:rPr>
        <w:t>工业行业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人，营业收入为</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万元，资产总额为</w:t>
      </w:r>
      <w:r>
        <w:rPr>
          <w:rFonts w:hint="eastAsia" w:ascii="宋体" w:hAnsi="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rPr>
        <w:t>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14:paraId="2FCB1457">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p>
    <w:p w14:paraId="23510C3F">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以上企业，不属于大企业的分支机构，不存在控股股东为大企业的情形，也不存在与大企业的负责人为同一人的情形。</w:t>
      </w:r>
    </w:p>
    <w:p w14:paraId="2A346904">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本企业对上述声明内容的真实性负责。如有虚假，将依法承担相应责任。</w:t>
      </w:r>
    </w:p>
    <w:p w14:paraId="064624D8">
      <w:pPr>
        <w:widowControl/>
        <w:snapToGrid w:val="0"/>
        <w:spacing w:before="75" w:after="75" w:line="400" w:lineRule="exact"/>
        <w:ind w:firstLine="480" w:firstLineChars="200"/>
        <w:rPr>
          <w:rFonts w:ascii="宋体" w:hAnsi="宋体" w:cs="宋体"/>
          <w:color w:val="auto"/>
          <w:kern w:val="0"/>
          <w:sz w:val="24"/>
          <w:szCs w:val="24"/>
          <w:highlight w:val="none"/>
        </w:rPr>
      </w:pPr>
    </w:p>
    <w:p w14:paraId="1E2ECBAE">
      <w:pPr>
        <w:widowControl/>
        <w:snapToGrid w:val="0"/>
        <w:spacing w:before="75" w:after="75" w:line="400" w:lineRule="exact"/>
        <w:ind w:firstLine="480" w:firstLineChars="200"/>
        <w:rPr>
          <w:rFonts w:ascii="宋体" w:hAnsi="宋体" w:cs="宋体"/>
          <w:color w:val="auto"/>
          <w:kern w:val="0"/>
          <w:sz w:val="24"/>
          <w:szCs w:val="24"/>
          <w:highlight w:val="none"/>
        </w:rPr>
      </w:pPr>
    </w:p>
    <w:p w14:paraId="2D558801">
      <w:pPr>
        <w:widowControl/>
        <w:snapToGrid w:val="0"/>
        <w:spacing w:before="75" w:after="75" w:line="400" w:lineRule="exact"/>
        <w:ind w:firstLine="4677" w:firstLineChars="1949"/>
        <w:rPr>
          <w:rFonts w:ascii="宋体" w:hAnsi="宋体" w:cs="宋体"/>
          <w:color w:val="auto"/>
          <w:kern w:val="0"/>
          <w:sz w:val="24"/>
          <w:szCs w:val="24"/>
          <w:highlight w:val="none"/>
        </w:rPr>
      </w:pPr>
      <w:r>
        <w:rPr>
          <w:rFonts w:hint="eastAsia" w:ascii="宋体" w:hAnsi="宋体" w:cs="宋体"/>
          <w:color w:val="auto"/>
          <w:kern w:val="0"/>
          <w:sz w:val="24"/>
          <w:szCs w:val="24"/>
          <w:highlight w:val="none"/>
        </w:rPr>
        <w:t>企业名称（盖章）：</w:t>
      </w:r>
    </w:p>
    <w:p w14:paraId="662353BC">
      <w:pPr>
        <w:pStyle w:val="22"/>
        <w:snapToGrid w:val="0"/>
        <w:spacing w:before="156" w:after="156"/>
        <w:ind w:firstLine="4920" w:firstLineChars="2050"/>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日期：</w:t>
      </w:r>
    </w:p>
    <w:p w14:paraId="210D6E68">
      <w:pPr>
        <w:snapToGrid w:val="0"/>
        <w:spacing w:line="400" w:lineRule="exact"/>
        <w:ind w:firstLine="480" w:firstLineChars="200"/>
        <w:rPr>
          <w:rFonts w:hint="eastAsia" w:ascii="宋体" w:hAnsi="宋体" w:cs="宋体"/>
          <w:color w:val="auto"/>
          <w:sz w:val="24"/>
          <w:highlight w:val="none"/>
        </w:rPr>
      </w:pPr>
    </w:p>
    <w:p w14:paraId="5B8CEDA3">
      <w:pPr>
        <w:snapToGrid w:val="0"/>
        <w:spacing w:line="4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中小企业参加政府采购活动，应当出具本办法规定的《中小企业声明函》，须提供制造商属于小微企业的声明函,否则不得享受相关中小企业扶持政策。任何单位和个人不得要求供应商提供《中小企业声明函》之外的中小企业身份证明文件。</w:t>
      </w:r>
    </w:p>
    <w:p w14:paraId="7458173B">
      <w:pPr>
        <w:pStyle w:val="56"/>
        <w:rPr>
          <w:rFonts w:hint="eastAsia" w:ascii="宋体" w:hAnsi="宋体" w:cs="宋体"/>
          <w:color w:val="auto"/>
          <w:sz w:val="24"/>
          <w:highlight w:val="none"/>
        </w:rPr>
      </w:pPr>
    </w:p>
    <w:p w14:paraId="6189F6C7">
      <w:pPr>
        <w:pStyle w:val="56"/>
        <w:rPr>
          <w:rFonts w:hint="eastAsia" w:ascii="宋体" w:hAnsi="宋体" w:cs="宋体"/>
          <w:color w:val="auto"/>
          <w:sz w:val="24"/>
          <w:highlight w:val="none"/>
        </w:rPr>
      </w:pPr>
    </w:p>
    <w:p w14:paraId="7B85F596">
      <w:pPr>
        <w:pStyle w:val="56"/>
        <w:rPr>
          <w:rFonts w:hint="default" w:ascii="宋体" w:hAnsi="宋体" w:eastAsia="宋体" w:cs="宋体"/>
          <w:color w:val="auto"/>
          <w:sz w:val="24"/>
          <w:highlight w:val="none"/>
          <w:lang w:val="en-US" w:eastAsia="zh-CN"/>
        </w:rPr>
      </w:pPr>
    </w:p>
    <w:p w14:paraId="55988E36">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r>
    </w:p>
    <w:p w14:paraId="3774C141">
      <w:pPr>
        <w:tabs>
          <w:tab w:val="left" w:pos="3777"/>
          <w:tab w:val="center" w:pos="4819"/>
        </w:tabs>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监狱企业声明函</w:t>
      </w:r>
    </w:p>
    <w:p w14:paraId="63535BDE">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（监狱企业适用）</w:t>
      </w:r>
    </w:p>
    <w:p w14:paraId="6CFDB822">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本公司郑重声明，根据《财政部、司法部关于政府采购支持监狱企业发展有关问题的通知》（财库[2014]68号）的规定，本公司为监狱企业。</w:t>
      </w:r>
    </w:p>
    <w:p w14:paraId="6E1A93B3">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本公司参加______单位的______项目采购活动，采购活动提供本企业（填写制造的货物，由本企业承担工程、提供服务）。</w:t>
      </w:r>
    </w:p>
    <w:p w14:paraId="4A3BA051">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本条所称货物不包括使用大型企业注册商标的货物和服务。</w:t>
      </w:r>
    </w:p>
    <w:p w14:paraId="04685DEB">
      <w:pPr>
        <w:snapToGrid w:val="0"/>
        <w:spacing w:line="400" w:lineRule="exact"/>
        <w:ind w:firstLine="540" w:firstLineChars="225"/>
        <w:rPr>
          <w:rFonts w:ascii="宋体" w:hAnsi="宋体" w:cs="宋体"/>
          <w:color w:val="auto"/>
          <w:sz w:val="24"/>
          <w:highlight w:val="none"/>
        </w:rPr>
      </w:pPr>
      <w:r>
        <w:rPr>
          <w:rFonts w:hint="eastAsia" w:ascii="宋体" w:hAnsi="宋体" w:cs="宋体"/>
          <w:color w:val="auto"/>
          <w:sz w:val="24"/>
          <w:highlight w:val="none"/>
        </w:rPr>
        <w:t>本公司对上述声明的真实性负责。如有虚假，将依法承担相应责任。</w:t>
      </w:r>
    </w:p>
    <w:p w14:paraId="75D14ED4">
      <w:pPr>
        <w:snapToGrid w:val="0"/>
        <w:spacing w:line="400" w:lineRule="exact"/>
        <w:ind w:firstLine="4860" w:firstLineChars="2025"/>
        <w:rPr>
          <w:rFonts w:ascii="宋体" w:hAnsi="宋体" w:cs="宋体"/>
          <w:color w:val="auto"/>
          <w:sz w:val="24"/>
          <w:highlight w:val="none"/>
        </w:rPr>
      </w:pPr>
    </w:p>
    <w:p w14:paraId="0FEE1246">
      <w:pPr>
        <w:pStyle w:val="22"/>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14:paraId="357B15F4">
      <w:pPr>
        <w:pStyle w:val="22"/>
        <w:snapToGrid w:val="0"/>
        <w:spacing w:before="156" w:after="156"/>
        <w:ind w:firstLine="480" w:firstLineChars="200"/>
        <w:rPr>
          <w:rFonts w:hAnsi="宋体" w:cs="宋体"/>
          <w:b/>
          <w:color w:val="auto"/>
          <w:sz w:val="24"/>
          <w:szCs w:val="24"/>
          <w:highlight w:val="none"/>
          <w:lang w:val="zh-CN"/>
        </w:rPr>
      </w:pPr>
      <w:r>
        <w:rPr>
          <w:rFonts w:hint="eastAsia" w:hAnsi="宋体" w:cs="宋体"/>
          <w:color w:val="auto"/>
          <w:sz w:val="24"/>
          <w:szCs w:val="24"/>
          <w:highlight w:val="none"/>
        </w:rPr>
        <w:t>日期：________________________</w:t>
      </w:r>
    </w:p>
    <w:p w14:paraId="03EA4250">
      <w:pPr>
        <w:pStyle w:val="22"/>
        <w:snapToGrid w:val="0"/>
        <w:spacing w:before="156" w:after="156"/>
        <w:ind w:firstLine="562" w:firstLineChars="200"/>
        <w:jc w:val="left"/>
        <w:rPr>
          <w:rFonts w:hAnsi="宋体" w:cs="宋体"/>
          <w:b/>
          <w:color w:val="auto"/>
          <w:sz w:val="28"/>
          <w:szCs w:val="28"/>
          <w:highlight w:val="none"/>
          <w:lang w:val="zh-CN"/>
        </w:rPr>
      </w:pPr>
    </w:p>
    <w:p w14:paraId="5E8684A0">
      <w:pPr>
        <w:pStyle w:val="22"/>
        <w:snapToGrid w:val="0"/>
        <w:spacing w:before="156" w:after="156"/>
        <w:ind w:firstLine="422" w:firstLineChars="200"/>
        <w:jc w:val="left"/>
        <w:rPr>
          <w:rFonts w:hAnsi="宋体" w:cs="宋体"/>
          <w:b/>
          <w:color w:val="auto"/>
          <w:highlight w:val="none"/>
          <w:lang w:val="zh-CN"/>
        </w:rPr>
      </w:pPr>
      <w:r>
        <w:rPr>
          <w:rFonts w:hint="eastAsia" w:hAnsi="宋体" w:cs="宋体"/>
          <w:b/>
          <w:color w:val="auto"/>
          <w:highlight w:val="none"/>
          <w:lang w:val="zh-CN"/>
        </w:rPr>
        <w:t>注：应当提供由省级以上监狱管理局、戒毒管理局（含新疆生产建设兵团）出具的属于监狱企业的证明文件。</w:t>
      </w:r>
    </w:p>
    <w:p w14:paraId="6EC79945">
      <w:pPr>
        <w:pStyle w:val="22"/>
        <w:snapToGrid w:val="0"/>
        <w:spacing w:before="156" w:after="156"/>
        <w:ind w:firstLine="422" w:firstLineChars="200"/>
        <w:jc w:val="center"/>
        <w:rPr>
          <w:rFonts w:hAnsi="宋体" w:cs="宋体"/>
          <w:b/>
          <w:color w:val="auto"/>
          <w:highlight w:val="none"/>
          <w:lang w:val="zh-CN"/>
        </w:rPr>
      </w:pPr>
    </w:p>
    <w:p w14:paraId="06B66C29">
      <w:pPr>
        <w:pStyle w:val="22"/>
        <w:snapToGrid w:val="0"/>
        <w:spacing w:before="156" w:after="156"/>
        <w:ind w:firstLine="562" w:firstLineChars="200"/>
        <w:jc w:val="center"/>
        <w:rPr>
          <w:rFonts w:hAnsi="宋体" w:cs="宋体"/>
          <w:b/>
          <w:color w:val="auto"/>
          <w:sz w:val="28"/>
          <w:szCs w:val="28"/>
          <w:highlight w:val="none"/>
          <w:lang w:val="zh-CN"/>
        </w:rPr>
      </w:pPr>
    </w:p>
    <w:p w14:paraId="72D8E910">
      <w:pPr>
        <w:pStyle w:val="22"/>
        <w:snapToGrid w:val="0"/>
        <w:spacing w:before="156" w:after="156"/>
        <w:ind w:firstLine="562" w:firstLineChars="200"/>
        <w:jc w:val="center"/>
        <w:rPr>
          <w:rFonts w:hAnsi="宋体" w:cs="宋体"/>
          <w:b/>
          <w:color w:val="auto"/>
          <w:sz w:val="28"/>
          <w:szCs w:val="28"/>
          <w:highlight w:val="none"/>
          <w:lang w:val="zh-CN"/>
        </w:rPr>
      </w:pPr>
    </w:p>
    <w:p w14:paraId="2434DD7B">
      <w:pPr>
        <w:pStyle w:val="22"/>
        <w:snapToGrid w:val="0"/>
        <w:spacing w:before="156" w:after="156"/>
        <w:ind w:firstLine="562" w:firstLineChars="200"/>
        <w:jc w:val="center"/>
        <w:rPr>
          <w:rFonts w:hAnsi="宋体" w:cs="宋体"/>
          <w:b/>
          <w:color w:val="auto"/>
          <w:sz w:val="28"/>
          <w:szCs w:val="28"/>
          <w:highlight w:val="none"/>
          <w:lang w:val="zh-CN"/>
        </w:rPr>
      </w:pPr>
    </w:p>
    <w:p w14:paraId="7B3865CD">
      <w:pPr>
        <w:pStyle w:val="22"/>
        <w:snapToGrid w:val="0"/>
        <w:spacing w:before="156" w:after="156"/>
        <w:ind w:firstLine="562" w:firstLineChars="200"/>
        <w:jc w:val="center"/>
        <w:rPr>
          <w:rFonts w:hAnsi="宋体" w:cs="宋体"/>
          <w:b/>
          <w:color w:val="auto"/>
          <w:sz w:val="28"/>
          <w:szCs w:val="28"/>
          <w:highlight w:val="none"/>
          <w:lang w:val="zh-CN"/>
        </w:rPr>
      </w:pPr>
    </w:p>
    <w:p w14:paraId="04447C9E">
      <w:pPr>
        <w:pStyle w:val="22"/>
        <w:snapToGrid w:val="0"/>
        <w:spacing w:before="156" w:after="156"/>
        <w:ind w:firstLine="562" w:firstLineChars="200"/>
        <w:jc w:val="center"/>
        <w:rPr>
          <w:rFonts w:hAnsi="宋体" w:cs="宋体"/>
          <w:b/>
          <w:color w:val="auto"/>
          <w:sz w:val="28"/>
          <w:szCs w:val="28"/>
          <w:highlight w:val="none"/>
          <w:lang w:val="zh-CN"/>
        </w:rPr>
      </w:pPr>
    </w:p>
    <w:p w14:paraId="346CE9FA">
      <w:pPr>
        <w:pStyle w:val="22"/>
        <w:snapToGrid w:val="0"/>
        <w:spacing w:before="156" w:after="156"/>
        <w:ind w:firstLine="562" w:firstLineChars="200"/>
        <w:jc w:val="center"/>
        <w:rPr>
          <w:rFonts w:hAnsi="宋体" w:cs="宋体"/>
          <w:b/>
          <w:color w:val="auto"/>
          <w:sz w:val="28"/>
          <w:szCs w:val="28"/>
          <w:highlight w:val="none"/>
          <w:lang w:val="zh-CN"/>
        </w:rPr>
      </w:pPr>
    </w:p>
    <w:p w14:paraId="413E5192">
      <w:pPr>
        <w:pStyle w:val="22"/>
        <w:snapToGrid w:val="0"/>
        <w:spacing w:before="156" w:after="156"/>
        <w:ind w:firstLine="562" w:firstLineChars="200"/>
        <w:jc w:val="center"/>
        <w:rPr>
          <w:rFonts w:hAnsi="宋体" w:cs="宋体"/>
          <w:b/>
          <w:color w:val="auto"/>
          <w:sz w:val="28"/>
          <w:szCs w:val="28"/>
          <w:highlight w:val="none"/>
          <w:lang w:val="zh-CN"/>
        </w:rPr>
      </w:pPr>
    </w:p>
    <w:p w14:paraId="2A13ED4A">
      <w:pPr>
        <w:pStyle w:val="22"/>
        <w:snapToGrid w:val="0"/>
        <w:spacing w:before="156" w:after="156"/>
        <w:ind w:firstLine="562" w:firstLineChars="200"/>
        <w:jc w:val="center"/>
        <w:rPr>
          <w:rFonts w:hAnsi="宋体" w:cs="宋体"/>
          <w:b/>
          <w:color w:val="auto"/>
          <w:sz w:val="28"/>
          <w:szCs w:val="28"/>
          <w:highlight w:val="none"/>
          <w:lang w:val="zh-CN"/>
        </w:rPr>
      </w:pPr>
    </w:p>
    <w:p w14:paraId="10052098">
      <w:pPr>
        <w:pStyle w:val="22"/>
        <w:snapToGrid w:val="0"/>
        <w:spacing w:before="156" w:after="156"/>
        <w:ind w:firstLine="562" w:firstLineChars="200"/>
        <w:jc w:val="center"/>
        <w:rPr>
          <w:rFonts w:hAnsi="宋体" w:cs="宋体"/>
          <w:b/>
          <w:color w:val="auto"/>
          <w:sz w:val="28"/>
          <w:szCs w:val="28"/>
          <w:highlight w:val="none"/>
          <w:lang w:val="zh-CN"/>
        </w:rPr>
      </w:pPr>
    </w:p>
    <w:p w14:paraId="12DD2CF7">
      <w:pPr>
        <w:pStyle w:val="22"/>
        <w:snapToGrid w:val="0"/>
        <w:spacing w:before="156" w:after="156"/>
        <w:ind w:firstLine="562" w:firstLineChars="200"/>
        <w:jc w:val="left"/>
        <w:rPr>
          <w:rFonts w:hAnsi="宋体" w:cs="宋体"/>
          <w:b/>
          <w:color w:val="auto"/>
          <w:sz w:val="28"/>
          <w:szCs w:val="28"/>
          <w:highlight w:val="none"/>
          <w:lang w:val="zh-CN"/>
        </w:rPr>
      </w:pPr>
    </w:p>
    <w:p w14:paraId="31B1CE1D">
      <w:pPr>
        <w:widowControl/>
        <w:snapToGrid w:val="0"/>
        <w:spacing w:line="400" w:lineRule="exact"/>
        <w:jc w:val="center"/>
        <w:rPr>
          <w:rFonts w:ascii="宋体" w:hAnsi="宋体" w:cs="宋体"/>
          <w:b/>
          <w:color w:val="auto"/>
          <w:spacing w:val="6"/>
          <w:sz w:val="32"/>
          <w:szCs w:val="32"/>
          <w:highlight w:val="none"/>
        </w:rPr>
      </w:pPr>
      <w:r>
        <w:rPr>
          <w:rFonts w:hint="eastAsia" w:ascii="宋体" w:hAnsi="宋体" w:cs="宋体"/>
          <w:b/>
          <w:color w:val="auto"/>
          <w:sz w:val="24"/>
          <w:szCs w:val="24"/>
          <w:highlight w:val="none"/>
        </w:rPr>
        <w:br w:type="page"/>
      </w:r>
      <w:r>
        <w:rPr>
          <w:rFonts w:hint="eastAsia" w:ascii="宋体" w:hAnsi="宋体" w:cs="宋体"/>
          <w:b/>
          <w:color w:val="auto"/>
          <w:sz w:val="24"/>
          <w:szCs w:val="24"/>
          <w:highlight w:val="none"/>
        </w:rPr>
        <w:t>残疾人</w:t>
      </w:r>
      <w:bookmarkStart w:id="144" w:name="OLE_LINK13"/>
      <w:bookmarkStart w:id="145" w:name="OLE_LINK14"/>
      <w:r>
        <w:rPr>
          <w:rFonts w:hint="eastAsia" w:ascii="宋体" w:hAnsi="宋体" w:cs="宋体"/>
          <w:b/>
          <w:color w:val="auto"/>
          <w:sz w:val="24"/>
          <w:szCs w:val="24"/>
          <w:highlight w:val="none"/>
        </w:rPr>
        <w:t>福利性单位声明函</w:t>
      </w:r>
    </w:p>
    <w:p w14:paraId="4F565978">
      <w:pPr>
        <w:snapToGrid w:val="0"/>
        <w:spacing w:line="400" w:lineRule="exact"/>
        <w:ind w:firstLine="504" w:firstLineChars="200"/>
        <w:jc w:val="center"/>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w:t>
      </w:r>
      <w:r>
        <w:rPr>
          <w:rFonts w:hint="eastAsia" w:ascii="宋体" w:hAnsi="宋体" w:cs="宋体"/>
          <w:color w:val="auto"/>
          <w:sz w:val="24"/>
          <w:highlight w:val="none"/>
        </w:rPr>
        <w:t>残疾人福</w:t>
      </w:r>
      <w:bookmarkEnd w:id="144"/>
      <w:bookmarkEnd w:id="145"/>
      <w:r>
        <w:rPr>
          <w:rFonts w:hint="eastAsia" w:ascii="宋体" w:hAnsi="宋体" w:cs="宋体"/>
          <w:color w:val="auto"/>
          <w:sz w:val="24"/>
          <w:highlight w:val="none"/>
        </w:rPr>
        <w:t>利性单位适用</w:t>
      </w:r>
      <w:r>
        <w:rPr>
          <w:rFonts w:hint="eastAsia" w:ascii="宋体" w:hAnsi="宋体" w:cs="宋体"/>
          <w:color w:val="auto"/>
          <w:spacing w:val="6"/>
          <w:sz w:val="24"/>
          <w:szCs w:val="24"/>
          <w:highlight w:val="none"/>
        </w:rPr>
        <w:t>）</w:t>
      </w:r>
    </w:p>
    <w:p w14:paraId="775E162A">
      <w:pPr>
        <w:snapToGrid w:val="0"/>
        <w:spacing w:line="400"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本单位郑重声明，根据《关于促进残疾人就业政府采购政策的通知》（财库</w:t>
      </w:r>
      <w:r>
        <w:rPr>
          <w:rFonts w:hint="eastAsia" w:ascii="宋体" w:hAnsi="宋体" w:cs="宋体"/>
          <w:color w:val="auto"/>
          <w:sz w:val="24"/>
          <w:szCs w:val="24"/>
          <w:highlight w:val="none"/>
        </w:rPr>
        <w:t>〔2017〕 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04F77E8">
      <w:pPr>
        <w:pStyle w:val="22"/>
        <w:snapToGrid w:val="0"/>
        <w:spacing w:before="156" w:after="156"/>
        <w:ind w:firstLine="504" w:firstLineChars="200"/>
        <w:jc w:val="center"/>
        <w:rPr>
          <w:rFonts w:hAnsi="宋体" w:cs="宋体"/>
          <w:color w:val="auto"/>
          <w:spacing w:val="6"/>
          <w:sz w:val="24"/>
          <w:szCs w:val="24"/>
          <w:highlight w:val="none"/>
        </w:rPr>
      </w:pPr>
      <w:r>
        <w:rPr>
          <w:rFonts w:hint="eastAsia" w:hAnsi="宋体" w:cs="宋体"/>
          <w:color w:val="auto"/>
          <w:spacing w:val="6"/>
          <w:sz w:val="24"/>
          <w:szCs w:val="24"/>
          <w:highlight w:val="none"/>
        </w:rPr>
        <w:t>本单位对上述声明的真实性负责。如有虚假，将依法承担相应责任。</w:t>
      </w:r>
    </w:p>
    <w:p w14:paraId="05E79476">
      <w:pPr>
        <w:pStyle w:val="22"/>
        <w:snapToGrid w:val="0"/>
        <w:spacing w:before="156" w:after="156"/>
        <w:ind w:firstLine="444" w:firstLineChars="200"/>
        <w:jc w:val="center"/>
        <w:rPr>
          <w:rFonts w:hAnsi="宋体" w:cs="宋体"/>
          <w:color w:val="auto"/>
          <w:spacing w:val="6"/>
          <w:highlight w:val="none"/>
        </w:rPr>
      </w:pPr>
    </w:p>
    <w:p w14:paraId="0F91636F">
      <w:pPr>
        <w:pStyle w:val="22"/>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14:paraId="69B97D11">
      <w:pPr>
        <w:pStyle w:val="22"/>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日期：________________________</w:t>
      </w:r>
    </w:p>
    <w:p w14:paraId="51837CCA">
      <w:pPr>
        <w:pStyle w:val="202"/>
        <w:snapToGrid w:val="0"/>
        <w:spacing w:line="400" w:lineRule="exact"/>
        <w:ind w:right="17"/>
        <w:jc w:val="right"/>
        <w:rPr>
          <w:rFonts w:hint="eastAsia" w:hAnsi="宋体" w:cs="宋体"/>
          <w:color w:val="auto"/>
          <w:highlight w:val="none"/>
        </w:rPr>
      </w:pPr>
    </w:p>
    <w:p w14:paraId="1DE44913">
      <w:pPr>
        <w:pStyle w:val="202"/>
        <w:snapToGrid w:val="0"/>
        <w:spacing w:line="400" w:lineRule="exact"/>
        <w:ind w:right="17"/>
        <w:jc w:val="right"/>
        <w:rPr>
          <w:rFonts w:hint="eastAsia" w:hAnsi="宋体" w:cs="宋体"/>
          <w:color w:val="auto"/>
          <w:highlight w:val="none"/>
        </w:rPr>
      </w:pPr>
    </w:p>
    <w:p w14:paraId="4015AAF7">
      <w:pPr>
        <w:pStyle w:val="202"/>
        <w:snapToGrid w:val="0"/>
        <w:spacing w:line="400" w:lineRule="exact"/>
        <w:ind w:right="17"/>
        <w:jc w:val="right"/>
        <w:rPr>
          <w:rFonts w:hint="eastAsia" w:hAnsi="宋体" w:cs="宋体"/>
          <w:color w:val="auto"/>
          <w:highlight w:val="none"/>
        </w:rPr>
      </w:pPr>
    </w:p>
    <w:p w14:paraId="62420DEF">
      <w:pPr>
        <w:pStyle w:val="202"/>
        <w:snapToGrid w:val="0"/>
        <w:spacing w:line="400" w:lineRule="exact"/>
        <w:ind w:right="17"/>
        <w:jc w:val="right"/>
        <w:rPr>
          <w:rFonts w:hint="eastAsia" w:hAnsi="宋体" w:cs="宋体"/>
          <w:color w:val="auto"/>
          <w:highlight w:val="none"/>
        </w:rPr>
      </w:pPr>
    </w:p>
    <w:p w14:paraId="6F09EC7B">
      <w:pPr>
        <w:pStyle w:val="202"/>
        <w:snapToGrid w:val="0"/>
        <w:spacing w:line="400" w:lineRule="exact"/>
        <w:ind w:right="17"/>
        <w:jc w:val="right"/>
        <w:rPr>
          <w:rFonts w:hint="eastAsia" w:hAnsi="宋体" w:cs="宋体"/>
          <w:color w:val="auto"/>
          <w:highlight w:val="none"/>
        </w:rPr>
      </w:pPr>
    </w:p>
    <w:p w14:paraId="75FDD446">
      <w:pPr>
        <w:pStyle w:val="202"/>
        <w:snapToGrid w:val="0"/>
        <w:spacing w:line="400" w:lineRule="exact"/>
        <w:ind w:right="17"/>
        <w:jc w:val="right"/>
        <w:rPr>
          <w:rFonts w:hint="eastAsia" w:hAnsi="宋体" w:cs="宋体"/>
          <w:color w:val="auto"/>
          <w:highlight w:val="none"/>
        </w:rPr>
      </w:pPr>
    </w:p>
    <w:p w14:paraId="3864A7A2">
      <w:pPr>
        <w:pStyle w:val="202"/>
        <w:snapToGrid w:val="0"/>
        <w:spacing w:line="400" w:lineRule="exact"/>
        <w:ind w:right="17"/>
        <w:jc w:val="right"/>
        <w:rPr>
          <w:rFonts w:hint="eastAsia" w:hAnsi="宋体" w:cs="宋体"/>
          <w:color w:val="auto"/>
          <w:highlight w:val="none"/>
        </w:rPr>
      </w:pPr>
    </w:p>
    <w:p w14:paraId="177C1284">
      <w:pPr>
        <w:pStyle w:val="202"/>
        <w:snapToGrid w:val="0"/>
        <w:spacing w:line="400" w:lineRule="exact"/>
        <w:ind w:right="17"/>
        <w:jc w:val="right"/>
        <w:rPr>
          <w:rFonts w:hint="eastAsia" w:hAnsi="宋体" w:cs="宋体"/>
          <w:color w:val="auto"/>
          <w:highlight w:val="none"/>
        </w:rPr>
      </w:pPr>
    </w:p>
    <w:p w14:paraId="7B1B0AD4">
      <w:pPr>
        <w:pStyle w:val="202"/>
        <w:snapToGrid w:val="0"/>
        <w:spacing w:line="400" w:lineRule="exact"/>
        <w:ind w:right="17"/>
        <w:jc w:val="right"/>
        <w:rPr>
          <w:rFonts w:hint="eastAsia" w:hAnsi="宋体" w:cs="宋体"/>
          <w:color w:val="auto"/>
          <w:highlight w:val="none"/>
        </w:rPr>
      </w:pPr>
    </w:p>
    <w:p w14:paraId="0C4CD86E">
      <w:pPr>
        <w:pStyle w:val="202"/>
        <w:snapToGrid w:val="0"/>
        <w:spacing w:line="400" w:lineRule="exact"/>
        <w:ind w:right="17"/>
        <w:jc w:val="right"/>
        <w:rPr>
          <w:rFonts w:hint="eastAsia" w:hAnsi="宋体" w:cs="宋体"/>
          <w:color w:val="auto"/>
          <w:highlight w:val="none"/>
        </w:rPr>
      </w:pPr>
    </w:p>
    <w:p w14:paraId="138DAB10">
      <w:pPr>
        <w:pStyle w:val="202"/>
        <w:snapToGrid w:val="0"/>
        <w:spacing w:line="400" w:lineRule="exact"/>
        <w:ind w:right="17"/>
        <w:jc w:val="right"/>
        <w:rPr>
          <w:rFonts w:hint="eastAsia" w:hAnsi="宋体" w:cs="宋体"/>
          <w:color w:val="auto"/>
          <w:highlight w:val="none"/>
        </w:rPr>
      </w:pPr>
    </w:p>
    <w:p w14:paraId="165643C2">
      <w:pPr>
        <w:pStyle w:val="202"/>
        <w:snapToGrid w:val="0"/>
        <w:spacing w:line="400" w:lineRule="exact"/>
        <w:ind w:right="17"/>
        <w:jc w:val="right"/>
        <w:rPr>
          <w:rFonts w:hint="eastAsia" w:hAnsi="宋体" w:cs="宋体"/>
          <w:color w:val="auto"/>
          <w:highlight w:val="none"/>
        </w:rPr>
      </w:pPr>
    </w:p>
    <w:p w14:paraId="15EB37C8">
      <w:pPr>
        <w:pStyle w:val="202"/>
        <w:snapToGrid w:val="0"/>
        <w:spacing w:line="400" w:lineRule="exact"/>
        <w:ind w:right="17"/>
        <w:jc w:val="right"/>
        <w:rPr>
          <w:rFonts w:hint="eastAsia" w:hAnsi="宋体" w:cs="宋体"/>
          <w:color w:val="auto"/>
          <w:highlight w:val="none"/>
        </w:rPr>
      </w:pPr>
    </w:p>
    <w:p w14:paraId="10D6CC59">
      <w:pPr>
        <w:pStyle w:val="202"/>
        <w:snapToGrid w:val="0"/>
        <w:spacing w:line="400" w:lineRule="exact"/>
        <w:ind w:right="17"/>
        <w:jc w:val="right"/>
        <w:rPr>
          <w:rFonts w:hint="eastAsia" w:hAnsi="宋体" w:cs="宋体"/>
          <w:color w:val="auto"/>
          <w:highlight w:val="none"/>
        </w:rPr>
      </w:pPr>
    </w:p>
    <w:p w14:paraId="42BD36D0">
      <w:pPr>
        <w:pStyle w:val="202"/>
        <w:snapToGrid w:val="0"/>
        <w:spacing w:line="400" w:lineRule="exact"/>
        <w:ind w:right="17"/>
        <w:jc w:val="right"/>
        <w:rPr>
          <w:rFonts w:hint="eastAsia" w:hAnsi="宋体" w:cs="宋体"/>
          <w:color w:val="auto"/>
          <w:highlight w:val="none"/>
        </w:rPr>
      </w:pPr>
    </w:p>
    <w:p w14:paraId="414FD939">
      <w:pPr>
        <w:pStyle w:val="202"/>
        <w:snapToGrid w:val="0"/>
        <w:spacing w:line="400" w:lineRule="exact"/>
        <w:ind w:right="17"/>
        <w:jc w:val="right"/>
        <w:rPr>
          <w:rFonts w:hint="eastAsia" w:hAnsi="宋体" w:cs="宋体"/>
          <w:color w:val="auto"/>
          <w:highlight w:val="none"/>
        </w:rPr>
      </w:pPr>
    </w:p>
    <w:p w14:paraId="6AD5EEAE">
      <w:pPr>
        <w:pStyle w:val="202"/>
        <w:snapToGrid w:val="0"/>
        <w:spacing w:line="400" w:lineRule="exact"/>
        <w:ind w:right="17"/>
        <w:jc w:val="right"/>
        <w:rPr>
          <w:rFonts w:hint="eastAsia" w:hAnsi="宋体" w:cs="宋体"/>
          <w:color w:val="auto"/>
          <w:highlight w:val="none"/>
        </w:rPr>
      </w:pPr>
    </w:p>
    <w:p w14:paraId="564B2EB5">
      <w:pPr>
        <w:pStyle w:val="202"/>
        <w:snapToGrid w:val="0"/>
        <w:spacing w:line="400" w:lineRule="exact"/>
        <w:ind w:right="17"/>
        <w:jc w:val="right"/>
        <w:rPr>
          <w:rFonts w:hint="eastAsia" w:hAnsi="宋体" w:cs="宋体"/>
          <w:color w:val="auto"/>
          <w:highlight w:val="none"/>
        </w:rPr>
      </w:pPr>
    </w:p>
    <w:p w14:paraId="7EDD5879">
      <w:pPr>
        <w:pStyle w:val="202"/>
        <w:snapToGrid w:val="0"/>
        <w:spacing w:line="400" w:lineRule="exact"/>
        <w:ind w:right="17"/>
        <w:jc w:val="right"/>
        <w:rPr>
          <w:rFonts w:hint="eastAsia" w:hAnsi="宋体" w:cs="宋体"/>
          <w:color w:val="auto"/>
          <w:highlight w:val="none"/>
        </w:rPr>
      </w:pPr>
    </w:p>
    <w:p w14:paraId="602C2732">
      <w:pPr>
        <w:pStyle w:val="202"/>
        <w:snapToGrid w:val="0"/>
        <w:spacing w:line="400" w:lineRule="exact"/>
        <w:ind w:right="17"/>
        <w:jc w:val="right"/>
        <w:rPr>
          <w:rFonts w:hint="eastAsia" w:hAnsi="宋体" w:cs="宋体"/>
          <w:color w:val="auto"/>
          <w:highlight w:val="none"/>
        </w:rPr>
      </w:pPr>
    </w:p>
    <w:p w14:paraId="58069EE4">
      <w:pPr>
        <w:pStyle w:val="202"/>
        <w:snapToGrid w:val="0"/>
        <w:spacing w:line="400" w:lineRule="exact"/>
        <w:ind w:right="17"/>
        <w:jc w:val="right"/>
        <w:rPr>
          <w:rFonts w:hint="eastAsia" w:hAnsi="宋体" w:cs="宋体"/>
          <w:color w:val="auto"/>
          <w:highlight w:val="none"/>
        </w:rPr>
      </w:pPr>
    </w:p>
    <w:p w14:paraId="5D8BC827">
      <w:pPr>
        <w:pStyle w:val="202"/>
        <w:snapToGrid w:val="0"/>
        <w:spacing w:line="400" w:lineRule="exact"/>
        <w:ind w:right="17"/>
        <w:jc w:val="right"/>
        <w:rPr>
          <w:rFonts w:hint="eastAsia" w:hAnsi="宋体" w:cs="宋体"/>
          <w:color w:val="auto"/>
          <w:highlight w:val="none"/>
        </w:rPr>
      </w:pPr>
    </w:p>
    <w:p w14:paraId="2313A3A5">
      <w:pPr>
        <w:pStyle w:val="202"/>
        <w:snapToGrid w:val="0"/>
        <w:spacing w:line="400" w:lineRule="exact"/>
        <w:ind w:right="17"/>
        <w:jc w:val="center"/>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书面声明</w:t>
      </w:r>
    </w:p>
    <w:p w14:paraId="7C1A1BDD">
      <w:pPr>
        <w:pStyle w:val="202"/>
        <w:snapToGrid w:val="0"/>
        <w:spacing w:line="400" w:lineRule="exact"/>
        <w:ind w:right="17"/>
        <w:jc w:val="center"/>
        <w:rPr>
          <w:rFonts w:hint="eastAsia" w:hAnsi="宋体" w:cs="宋体"/>
          <w:color w:val="auto"/>
          <w:highlight w:val="none"/>
        </w:rPr>
      </w:pPr>
    </w:p>
    <w:p w14:paraId="6EB9B4E4">
      <w:pPr>
        <w:keepNext w:val="0"/>
        <w:keepLines w:val="0"/>
        <w:widowControl/>
        <w:suppressLineNumbers w:val="0"/>
        <w:spacing w:line="360" w:lineRule="auto"/>
        <w:jc w:val="left"/>
        <w:rPr>
          <w:rFonts w:hint="eastAsia" w:ascii="宋体" w:hAnsi="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rPr>
        <w:t>本单位郑重声明，我公司</w:t>
      </w:r>
      <w:r>
        <w:rPr>
          <w:rFonts w:hint="eastAsia" w:ascii="宋体" w:hAnsi="宋体" w:cs="宋体"/>
          <w:color w:val="auto"/>
          <w:spacing w:val="6"/>
          <w:sz w:val="24"/>
          <w:szCs w:val="24"/>
          <w:highlight w:val="none"/>
          <w:lang w:val="en-US" w:eastAsia="zh-CN"/>
        </w:rPr>
        <w:t>无以下情形：</w:t>
      </w:r>
    </w:p>
    <w:p w14:paraId="74B6FECB">
      <w:pPr>
        <w:keepNext w:val="0"/>
        <w:keepLines w:val="0"/>
        <w:widowControl/>
        <w:suppressLineNumbers w:val="0"/>
        <w:spacing w:line="360" w:lineRule="auto"/>
        <w:ind w:firstLine="504" w:firstLineChars="200"/>
        <w:jc w:val="left"/>
        <w:rPr>
          <w:color w:val="auto"/>
          <w:highlight w:val="none"/>
        </w:rPr>
      </w:pPr>
      <w:r>
        <w:rPr>
          <w:rFonts w:hint="eastAsia" w:ascii="宋体" w:hAnsi="宋体" w:cs="宋体"/>
          <w:color w:val="auto"/>
          <w:spacing w:val="6"/>
          <w:sz w:val="24"/>
          <w:szCs w:val="24"/>
          <w:highlight w:val="none"/>
          <w:lang w:val="en-US" w:eastAsia="zh-CN"/>
        </w:rPr>
        <w:t>1、</w:t>
      </w:r>
      <w:r>
        <w:rPr>
          <w:rFonts w:ascii="宋体" w:hAnsi="宋体" w:eastAsia="宋体" w:cs="宋体"/>
          <w:color w:val="auto"/>
          <w:kern w:val="0"/>
          <w:sz w:val="24"/>
          <w:szCs w:val="24"/>
          <w:highlight w:val="none"/>
          <w:lang w:val="en-US" w:eastAsia="zh-CN" w:bidi="ar"/>
        </w:rPr>
        <w:t>与招标人存在利害关系可能影响招标公正性的法人、其他组织或者个人，不得参加同一标段投标或者未划分标段的同一招标不得参加投标。</w:t>
      </w:r>
    </w:p>
    <w:p w14:paraId="1258EE5B">
      <w:pPr>
        <w:keepNext w:val="0"/>
        <w:keepLines w:val="0"/>
        <w:widowControl/>
        <w:suppressLineNumbers w:val="0"/>
        <w:spacing w:line="360" w:lineRule="auto"/>
        <w:ind w:firstLine="480" w:firstLineChars="200"/>
        <w:jc w:val="left"/>
        <w:rPr>
          <w:color w:val="auto"/>
          <w:highlight w:val="none"/>
        </w:rPr>
      </w:pPr>
      <w:r>
        <w:rPr>
          <w:rFonts w:hint="eastAsia" w:ascii="宋体" w:hAnsi="宋体" w:eastAsia="宋体" w:cs="宋体"/>
          <w:color w:val="auto"/>
          <w:kern w:val="0"/>
          <w:sz w:val="24"/>
          <w:szCs w:val="24"/>
          <w:highlight w:val="none"/>
          <w:lang w:val="en-US" w:eastAsia="zh-CN" w:bidi="ar"/>
        </w:rPr>
        <w:t>2、</w:t>
      </w:r>
      <w:r>
        <w:rPr>
          <w:rFonts w:ascii="宋体" w:hAnsi="宋体" w:eastAsia="宋体" w:cs="宋体"/>
          <w:color w:val="auto"/>
          <w:kern w:val="0"/>
          <w:sz w:val="24"/>
          <w:szCs w:val="24"/>
          <w:highlight w:val="none"/>
          <w:lang w:val="en-US" w:eastAsia="zh-CN" w:bidi="ar"/>
        </w:rPr>
        <w:t>投标单位负责人为同一人或者存在直接控股、管理关系的不同投标人不得参加同一合同项下的采购活动。</w:t>
      </w:r>
    </w:p>
    <w:p w14:paraId="0A708EF7">
      <w:pPr>
        <w:snapToGrid w:val="0"/>
        <w:spacing w:line="360" w:lineRule="auto"/>
        <w:ind w:firstLine="504" w:firstLineChars="200"/>
        <w:rPr>
          <w:rFonts w:hint="eastAsia" w:ascii="宋体" w:hAnsi="宋体" w:eastAsia="宋体" w:cs="宋体"/>
          <w:color w:val="auto"/>
          <w:spacing w:val="6"/>
          <w:sz w:val="24"/>
          <w:szCs w:val="24"/>
          <w:highlight w:val="none"/>
        </w:rPr>
      </w:pPr>
    </w:p>
    <w:p w14:paraId="7570656E">
      <w:pPr>
        <w:snapToGrid w:val="0"/>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我方对以上声明负全部法律责任。</w:t>
      </w:r>
    </w:p>
    <w:p w14:paraId="30CBFE92">
      <w:pPr>
        <w:snapToGrid w:val="0"/>
        <w:spacing w:line="360" w:lineRule="auto"/>
        <w:ind w:firstLine="504"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特此声明。</w:t>
      </w:r>
    </w:p>
    <w:p w14:paraId="0416B36E">
      <w:pPr>
        <w:pStyle w:val="202"/>
        <w:snapToGrid w:val="0"/>
        <w:spacing w:line="400" w:lineRule="exact"/>
        <w:ind w:right="17"/>
        <w:jc w:val="center"/>
        <w:rPr>
          <w:rFonts w:hint="eastAsia" w:hAnsi="宋体" w:cs="宋体"/>
          <w:color w:val="auto"/>
          <w:highlight w:val="none"/>
        </w:rPr>
      </w:pPr>
    </w:p>
    <w:p w14:paraId="56A6A329">
      <w:pPr>
        <w:pStyle w:val="22"/>
        <w:snapToGrid w:val="0"/>
        <w:spacing w:before="156" w:after="156"/>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供应商名称(公章)：____________</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p>
    <w:p w14:paraId="71C8E4E6">
      <w:pPr>
        <w:pStyle w:val="22"/>
        <w:snapToGrid w:val="0"/>
        <w:spacing w:before="156" w:after="156"/>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日期：________________________</w:t>
      </w:r>
    </w:p>
    <w:p w14:paraId="2ED41E6C">
      <w:pPr>
        <w:pStyle w:val="202"/>
        <w:snapToGrid w:val="0"/>
        <w:spacing w:line="400" w:lineRule="exact"/>
        <w:ind w:right="17"/>
        <w:jc w:val="right"/>
        <w:rPr>
          <w:rFonts w:ascii="宋体" w:hAnsi="宋体" w:cs="宋体"/>
          <w:color w:val="auto"/>
          <w:sz w:val="24"/>
          <w:highlight w:val="none"/>
        </w:rPr>
      </w:pPr>
      <w:r>
        <w:rPr>
          <w:rFonts w:hint="eastAsia" w:hAnsi="宋体" w:cs="宋体"/>
          <w:color w:val="auto"/>
          <w:highlight w:val="none"/>
        </w:rPr>
        <w:br w:type="page"/>
      </w:r>
    </w:p>
    <w:p w14:paraId="59E4B87B">
      <w:pP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13、关于符合本国产品标准的声明函</w:t>
      </w:r>
    </w:p>
    <w:p w14:paraId="16733C6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center"/>
        <w:rPr>
          <w:rStyle w:val="42"/>
          <w:rFonts w:hint="default" w:ascii="Helvetica" w:hAnsi="Helvetica" w:eastAsia="Helvetica" w:cs="Helvetica"/>
          <w:b/>
          <w:bCs/>
          <w:i w:val="0"/>
          <w:iCs w:val="0"/>
          <w:caps w:val="0"/>
          <w:color w:val="auto"/>
          <w:spacing w:val="0"/>
          <w:kern w:val="0"/>
          <w:sz w:val="21"/>
          <w:szCs w:val="21"/>
          <w:highlight w:val="none"/>
          <w:lang w:val="en-US" w:eastAsia="zh-CN" w:bidi="ar"/>
        </w:rPr>
      </w:pPr>
    </w:p>
    <w:p w14:paraId="01F8B8F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center"/>
        <w:rPr>
          <w:rFonts w:ascii="Helvetica" w:hAnsi="Helvetica" w:eastAsia="Helvetica" w:cs="Helvetica"/>
          <w:i w:val="0"/>
          <w:iCs w:val="0"/>
          <w:caps w:val="0"/>
          <w:color w:val="auto"/>
          <w:spacing w:val="0"/>
          <w:sz w:val="21"/>
          <w:szCs w:val="21"/>
          <w:highlight w:val="none"/>
        </w:rPr>
      </w:pPr>
      <w:r>
        <w:rPr>
          <w:rStyle w:val="42"/>
          <w:rFonts w:hint="default" w:ascii="Helvetica" w:hAnsi="Helvetica" w:eastAsia="Helvetica" w:cs="Helvetica"/>
          <w:b/>
          <w:bCs/>
          <w:i w:val="0"/>
          <w:iCs w:val="0"/>
          <w:caps w:val="0"/>
          <w:color w:val="auto"/>
          <w:spacing w:val="0"/>
          <w:kern w:val="0"/>
          <w:sz w:val="21"/>
          <w:szCs w:val="21"/>
          <w:highlight w:val="none"/>
          <w:lang w:val="en-US" w:eastAsia="zh-CN" w:bidi="ar"/>
        </w:rPr>
        <w:t>关于符合本国产品标准的声明函</w:t>
      </w:r>
    </w:p>
    <w:p w14:paraId="58DDE16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24" w:lineRule="atLeast"/>
        <w:ind w:left="0" w:right="0" w:firstLine="0"/>
        <w:jc w:val="left"/>
        <w:rPr>
          <w:rFonts w:hint="default" w:ascii="Helvetica" w:hAnsi="Helvetica" w:eastAsia="Helvetica" w:cs="Helvetica"/>
          <w:i w:val="0"/>
          <w:iCs w:val="0"/>
          <w:caps w:val="0"/>
          <w:color w:val="auto"/>
          <w:spacing w:val="0"/>
          <w:sz w:val="21"/>
          <w:szCs w:val="21"/>
          <w:highlight w:val="none"/>
        </w:rPr>
      </w:pPr>
      <w:r>
        <w:rPr>
          <w:rFonts w:hint="default" w:ascii="Helvetica" w:hAnsi="Helvetica" w:eastAsia="Helvetica" w:cs="Helvetica"/>
          <w:i w:val="0"/>
          <w:iCs w:val="0"/>
          <w:caps w:val="0"/>
          <w:color w:val="auto"/>
          <w:spacing w:val="0"/>
          <w:kern w:val="0"/>
          <w:sz w:val="24"/>
          <w:szCs w:val="24"/>
          <w:highlight w:val="none"/>
          <w:lang w:val="en-US" w:eastAsia="zh-CN" w:bidi="ar"/>
        </w:rPr>
        <w:t> </w:t>
      </w:r>
    </w:p>
    <w:p w14:paraId="493DCFC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本公司（单位）郑重声明，根据《国务院办公厅关于在政府采购中实施本国产品标准及相关政策的通知》（国办发〔2025〕34号）的规定，本公司（单位）提供的以下产品属于本国产品。具体情况如下：</w:t>
      </w:r>
    </w:p>
    <w:p w14:paraId="3EE97C1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1.</w:t>
      </w:r>
      <w:r>
        <w:rPr>
          <w:rFonts w:hint="eastAsia" w:ascii="宋体" w:hAnsi="宋体" w:eastAsia="宋体" w:cs="宋体"/>
          <w:i w:val="0"/>
          <w:iCs w:val="0"/>
          <w:caps w:val="0"/>
          <w:color w:val="auto"/>
          <w:spacing w:val="0"/>
          <w:kern w:val="0"/>
          <w:sz w:val="24"/>
          <w:szCs w:val="24"/>
          <w:highlight w:val="none"/>
          <w:u w:val="single"/>
          <w:lang w:val="en-US" w:eastAsia="zh-CN" w:bidi="ar"/>
        </w:rPr>
        <w:t>（产品名称1）1</w:t>
      </w:r>
      <w:r>
        <w:rPr>
          <w:rFonts w:hint="eastAsia" w:ascii="宋体" w:hAnsi="宋体" w:eastAsia="宋体" w:cs="宋体"/>
          <w:i w:val="0"/>
          <w:iCs w:val="0"/>
          <w:caps w:val="0"/>
          <w:color w:val="auto"/>
          <w:spacing w:val="0"/>
          <w:kern w:val="0"/>
          <w:sz w:val="24"/>
          <w:szCs w:val="24"/>
          <w:highlight w:val="none"/>
          <w:lang w:val="en-US" w:eastAsia="zh-CN" w:bidi="ar"/>
        </w:rPr>
        <w:t>，生产厂为</w:t>
      </w:r>
      <w:r>
        <w:rPr>
          <w:rFonts w:hint="eastAsia" w:ascii="宋体" w:hAnsi="宋体" w:eastAsia="宋体" w:cs="宋体"/>
          <w:i w:val="0"/>
          <w:iCs w:val="0"/>
          <w:caps w:val="0"/>
          <w:color w:val="auto"/>
          <w:spacing w:val="0"/>
          <w:kern w:val="0"/>
          <w:sz w:val="24"/>
          <w:szCs w:val="24"/>
          <w:highlight w:val="none"/>
          <w:u w:val="single"/>
          <w:lang w:val="en-US" w:eastAsia="zh-CN" w:bidi="ar"/>
        </w:rPr>
        <w:t>（厂名）2</w:t>
      </w:r>
      <w:r>
        <w:rPr>
          <w:rFonts w:hint="eastAsia" w:ascii="宋体" w:hAnsi="宋体" w:eastAsia="宋体" w:cs="宋体"/>
          <w:i w:val="0"/>
          <w:iCs w:val="0"/>
          <w:caps w:val="0"/>
          <w:color w:val="auto"/>
          <w:spacing w:val="0"/>
          <w:kern w:val="0"/>
          <w:sz w:val="24"/>
          <w:szCs w:val="24"/>
          <w:highlight w:val="none"/>
          <w:lang w:val="en-US" w:eastAsia="zh-CN" w:bidi="ar"/>
        </w:rPr>
        <w:t>，厂址为</w:t>
      </w:r>
      <w:r>
        <w:rPr>
          <w:rFonts w:hint="eastAsia" w:ascii="宋体" w:hAnsi="宋体" w:eastAsia="宋体" w:cs="宋体"/>
          <w:i w:val="0"/>
          <w:iCs w:val="0"/>
          <w:caps w:val="0"/>
          <w:color w:val="auto"/>
          <w:spacing w:val="0"/>
          <w:kern w:val="0"/>
          <w:sz w:val="24"/>
          <w:szCs w:val="24"/>
          <w:highlight w:val="none"/>
          <w:u w:val="single"/>
          <w:lang w:val="en-US" w:eastAsia="zh-CN" w:bidi="ar"/>
        </w:rPr>
        <w:t>（生产厂址）</w:t>
      </w:r>
      <w:r>
        <w:rPr>
          <w:rFonts w:hint="eastAsia" w:ascii="宋体" w:hAnsi="宋体" w:eastAsia="宋体" w:cs="宋体"/>
          <w:i w:val="0"/>
          <w:iCs w:val="0"/>
          <w:caps w:val="0"/>
          <w:color w:val="auto"/>
          <w:spacing w:val="0"/>
          <w:kern w:val="0"/>
          <w:sz w:val="24"/>
          <w:szCs w:val="24"/>
          <w:highlight w:val="none"/>
          <w:lang w:val="en-US" w:eastAsia="zh-CN" w:bidi="ar"/>
        </w:rPr>
        <w:t>。</w:t>
      </w:r>
      <w:r>
        <w:rPr>
          <w:rFonts w:hint="eastAsia" w:ascii="宋体" w:hAnsi="宋体" w:eastAsia="宋体" w:cs="宋体"/>
          <w:i w:val="0"/>
          <w:iCs w:val="0"/>
          <w:caps w:val="0"/>
          <w:color w:val="auto"/>
          <w:spacing w:val="0"/>
          <w:kern w:val="0"/>
          <w:sz w:val="24"/>
          <w:szCs w:val="24"/>
          <w:highlight w:val="none"/>
          <w:u w:val="single"/>
          <w:lang w:val="en-US" w:eastAsia="zh-CN" w:bidi="ar"/>
        </w:rPr>
        <w:t>（产品名称1）</w:t>
      </w:r>
      <w:r>
        <w:rPr>
          <w:rFonts w:hint="eastAsia" w:ascii="宋体" w:hAnsi="宋体" w:eastAsia="宋体" w:cs="宋体"/>
          <w:i w:val="0"/>
          <w:iCs w:val="0"/>
          <w:caps w:val="0"/>
          <w:color w:val="auto"/>
          <w:spacing w:val="0"/>
          <w:kern w:val="0"/>
          <w:sz w:val="24"/>
          <w:szCs w:val="24"/>
          <w:highlight w:val="none"/>
          <w:lang w:val="en-US" w:eastAsia="zh-CN" w:bidi="ar"/>
        </w:rPr>
        <w:t>的中国境内生产的组件成本占比≥</w:t>
      </w:r>
      <w:r>
        <w:rPr>
          <w:rFonts w:hint="eastAsia" w:ascii="宋体" w:hAnsi="宋体" w:eastAsia="宋体" w:cs="宋体"/>
          <w:i w:val="0"/>
          <w:iCs w:val="0"/>
          <w:caps w:val="0"/>
          <w:color w:val="auto"/>
          <w:spacing w:val="0"/>
          <w:kern w:val="0"/>
          <w:sz w:val="24"/>
          <w:szCs w:val="24"/>
          <w:highlight w:val="none"/>
          <w:u w:val="single"/>
          <w:lang w:val="en-US" w:eastAsia="zh-CN" w:bidi="ar"/>
        </w:rPr>
        <w:t>（规定比例）3</w:t>
      </w:r>
      <w:r>
        <w:rPr>
          <w:rFonts w:hint="eastAsia" w:ascii="宋体" w:hAnsi="宋体" w:eastAsia="宋体" w:cs="宋体"/>
          <w:i w:val="0"/>
          <w:iCs w:val="0"/>
          <w:caps w:val="0"/>
          <w:color w:val="auto"/>
          <w:spacing w:val="0"/>
          <w:kern w:val="0"/>
          <w:sz w:val="24"/>
          <w:szCs w:val="24"/>
          <w:highlight w:val="none"/>
          <w:lang w:val="en-US" w:eastAsia="zh-CN" w:bidi="ar"/>
        </w:rPr>
        <w:t>。</w:t>
      </w:r>
      <w:r>
        <w:rPr>
          <w:rFonts w:hint="eastAsia" w:ascii="宋体" w:hAnsi="宋体" w:eastAsia="宋体" w:cs="宋体"/>
          <w:i w:val="0"/>
          <w:iCs w:val="0"/>
          <w:caps w:val="0"/>
          <w:color w:val="auto"/>
          <w:spacing w:val="0"/>
          <w:kern w:val="0"/>
          <w:sz w:val="24"/>
          <w:szCs w:val="24"/>
          <w:highlight w:val="none"/>
          <w:u w:val="single"/>
          <w:lang w:val="en-US" w:eastAsia="zh-CN" w:bidi="ar"/>
        </w:rPr>
        <w:t>（产品名称1）</w:t>
      </w:r>
      <w:r>
        <w:rPr>
          <w:rFonts w:hint="eastAsia" w:ascii="宋体" w:hAnsi="宋体" w:eastAsia="宋体" w:cs="宋体"/>
          <w:i w:val="0"/>
          <w:iCs w:val="0"/>
          <w:caps w:val="0"/>
          <w:color w:val="auto"/>
          <w:spacing w:val="0"/>
          <w:kern w:val="0"/>
          <w:sz w:val="24"/>
          <w:szCs w:val="24"/>
          <w:highlight w:val="none"/>
          <w:lang w:val="en-US" w:eastAsia="zh-CN" w:bidi="ar"/>
        </w:rPr>
        <w:t>的</w:t>
      </w:r>
      <w:r>
        <w:rPr>
          <w:rFonts w:hint="eastAsia" w:ascii="宋体" w:hAnsi="宋体" w:eastAsia="宋体" w:cs="宋体"/>
          <w:i w:val="0"/>
          <w:iCs w:val="0"/>
          <w:caps w:val="0"/>
          <w:color w:val="auto"/>
          <w:spacing w:val="0"/>
          <w:kern w:val="0"/>
          <w:sz w:val="24"/>
          <w:szCs w:val="24"/>
          <w:highlight w:val="none"/>
          <w:u w:val="single"/>
          <w:lang w:val="en-US" w:eastAsia="zh-CN" w:bidi="ar"/>
        </w:rPr>
        <w:t>（关键组件）4</w:t>
      </w:r>
      <w:r>
        <w:rPr>
          <w:rFonts w:hint="eastAsia" w:ascii="宋体" w:hAnsi="宋体" w:eastAsia="宋体" w:cs="宋体"/>
          <w:i w:val="0"/>
          <w:iCs w:val="0"/>
          <w:caps w:val="0"/>
          <w:color w:val="auto"/>
          <w:spacing w:val="0"/>
          <w:kern w:val="0"/>
          <w:sz w:val="24"/>
          <w:szCs w:val="24"/>
          <w:highlight w:val="none"/>
          <w:lang w:val="en-US" w:eastAsia="zh-CN" w:bidi="ar"/>
        </w:rPr>
        <w:t>在中国境内生产。</w:t>
      </w:r>
      <w:r>
        <w:rPr>
          <w:rFonts w:hint="eastAsia" w:ascii="宋体" w:hAnsi="宋体" w:eastAsia="宋体" w:cs="宋体"/>
          <w:i w:val="0"/>
          <w:iCs w:val="0"/>
          <w:caps w:val="0"/>
          <w:color w:val="auto"/>
          <w:spacing w:val="0"/>
          <w:kern w:val="0"/>
          <w:sz w:val="24"/>
          <w:szCs w:val="24"/>
          <w:highlight w:val="none"/>
          <w:u w:val="single"/>
          <w:lang w:val="en-US" w:eastAsia="zh-CN" w:bidi="ar"/>
        </w:rPr>
        <w:t>（产品名称1）</w:t>
      </w:r>
      <w:r>
        <w:rPr>
          <w:rFonts w:hint="eastAsia" w:ascii="宋体" w:hAnsi="宋体" w:eastAsia="宋体" w:cs="宋体"/>
          <w:i w:val="0"/>
          <w:iCs w:val="0"/>
          <w:caps w:val="0"/>
          <w:color w:val="auto"/>
          <w:spacing w:val="0"/>
          <w:kern w:val="0"/>
          <w:sz w:val="24"/>
          <w:szCs w:val="24"/>
          <w:highlight w:val="none"/>
          <w:lang w:val="en-US" w:eastAsia="zh-CN" w:bidi="ar"/>
        </w:rPr>
        <w:t>的</w:t>
      </w:r>
      <w:r>
        <w:rPr>
          <w:rFonts w:hint="eastAsia" w:ascii="宋体" w:hAnsi="宋体" w:eastAsia="宋体" w:cs="宋体"/>
          <w:i w:val="0"/>
          <w:iCs w:val="0"/>
          <w:caps w:val="0"/>
          <w:color w:val="auto"/>
          <w:spacing w:val="0"/>
          <w:kern w:val="0"/>
          <w:sz w:val="24"/>
          <w:szCs w:val="24"/>
          <w:highlight w:val="none"/>
          <w:u w:val="single"/>
          <w:lang w:val="en-US" w:eastAsia="zh-CN" w:bidi="ar"/>
        </w:rPr>
        <w:t>（关键工序）5</w:t>
      </w:r>
      <w:r>
        <w:rPr>
          <w:rFonts w:hint="eastAsia" w:ascii="宋体" w:hAnsi="宋体" w:eastAsia="宋体" w:cs="宋体"/>
          <w:i w:val="0"/>
          <w:iCs w:val="0"/>
          <w:caps w:val="0"/>
          <w:color w:val="auto"/>
          <w:spacing w:val="0"/>
          <w:kern w:val="0"/>
          <w:sz w:val="24"/>
          <w:szCs w:val="24"/>
          <w:highlight w:val="none"/>
          <w:lang w:val="en-US" w:eastAsia="zh-CN" w:bidi="ar"/>
        </w:rPr>
        <w:t>在中国境内完成。</w:t>
      </w:r>
    </w:p>
    <w:p w14:paraId="0EC273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2.</w:t>
      </w:r>
      <w:r>
        <w:rPr>
          <w:rFonts w:hint="eastAsia" w:ascii="宋体" w:hAnsi="宋体" w:eastAsia="宋体" w:cs="宋体"/>
          <w:i w:val="0"/>
          <w:iCs w:val="0"/>
          <w:caps w:val="0"/>
          <w:color w:val="auto"/>
          <w:spacing w:val="0"/>
          <w:kern w:val="0"/>
          <w:sz w:val="24"/>
          <w:szCs w:val="24"/>
          <w:highlight w:val="none"/>
          <w:u w:val="single"/>
          <w:lang w:val="en-US" w:eastAsia="zh-CN" w:bidi="ar"/>
        </w:rPr>
        <w:t>（产品名称2）</w:t>
      </w:r>
      <w:r>
        <w:rPr>
          <w:rFonts w:hint="eastAsia" w:ascii="宋体" w:hAnsi="宋体" w:eastAsia="宋体" w:cs="宋体"/>
          <w:i w:val="0"/>
          <w:iCs w:val="0"/>
          <w:caps w:val="0"/>
          <w:color w:val="auto"/>
          <w:spacing w:val="0"/>
          <w:kern w:val="0"/>
          <w:sz w:val="24"/>
          <w:szCs w:val="24"/>
          <w:highlight w:val="none"/>
          <w:lang w:val="en-US" w:eastAsia="zh-CN" w:bidi="ar"/>
        </w:rPr>
        <w:t>，生产厂为</w:t>
      </w:r>
      <w:r>
        <w:rPr>
          <w:rFonts w:hint="eastAsia" w:ascii="宋体" w:hAnsi="宋体" w:eastAsia="宋体" w:cs="宋体"/>
          <w:i w:val="0"/>
          <w:iCs w:val="0"/>
          <w:caps w:val="0"/>
          <w:color w:val="auto"/>
          <w:spacing w:val="0"/>
          <w:kern w:val="0"/>
          <w:sz w:val="24"/>
          <w:szCs w:val="24"/>
          <w:highlight w:val="none"/>
          <w:u w:val="single"/>
          <w:lang w:val="en-US" w:eastAsia="zh-CN" w:bidi="ar"/>
        </w:rPr>
        <w:t>（厂名）</w:t>
      </w:r>
      <w:r>
        <w:rPr>
          <w:rFonts w:hint="eastAsia" w:ascii="宋体" w:hAnsi="宋体" w:eastAsia="宋体" w:cs="宋体"/>
          <w:i w:val="0"/>
          <w:iCs w:val="0"/>
          <w:caps w:val="0"/>
          <w:color w:val="auto"/>
          <w:spacing w:val="0"/>
          <w:kern w:val="0"/>
          <w:sz w:val="24"/>
          <w:szCs w:val="24"/>
          <w:highlight w:val="none"/>
          <w:lang w:val="en-US" w:eastAsia="zh-CN" w:bidi="ar"/>
        </w:rPr>
        <w:t>，厂址为</w:t>
      </w:r>
      <w:r>
        <w:rPr>
          <w:rFonts w:hint="eastAsia" w:ascii="宋体" w:hAnsi="宋体" w:eastAsia="宋体" w:cs="宋体"/>
          <w:i w:val="0"/>
          <w:iCs w:val="0"/>
          <w:caps w:val="0"/>
          <w:color w:val="auto"/>
          <w:spacing w:val="0"/>
          <w:kern w:val="0"/>
          <w:sz w:val="24"/>
          <w:szCs w:val="24"/>
          <w:highlight w:val="none"/>
          <w:u w:val="single"/>
          <w:lang w:val="en-US" w:eastAsia="zh-CN" w:bidi="ar"/>
        </w:rPr>
        <w:t>（生产厂址）</w:t>
      </w:r>
      <w:r>
        <w:rPr>
          <w:rFonts w:hint="eastAsia" w:ascii="宋体" w:hAnsi="宋体" w:eastAsia="宋体" w:cs="宋体"/>
          <w:i w:val="0"/>
          <w:iCs w:val="0"/>
          <w:caps w:val="0"/>
          <w:color w:val="auto"/>
          <w:spacing w:val="0"/>
          <w:kern w:val="0"/>
          <w:sz w:val="24"/>
          <w:szCs w:val="24"/>
          <w:highlight w:val="none"/>
          <w:lang w:val="en-US" w:eastAsia="zh-CN" w:bidi="ar"/>
        </w:rPr>
        <w:t>。</w:t>
      </w:r>
      <w:r>
        <w:rPr>
          <w:rFonts w:hint="eastAsia" w:ascii="宋体" w:hAnsi="宋体" w:eastAsia="宋体" w:cs="宋体"/>
          <w:i w:val="0"/>
          <w:iCs w:val="0"/>
          <w:caps w:val="0"/>
          <w:color w:val="auto"/>
          <w:spacing w:val="0"/>
          <w:kern w:val="0"/>
          <w:sz w:val="24"/>
          <w:szCs w:val="24"/>
          <w:highlight w:val="none"/>
          <w:u w:val="single"/>
          <w:lang w:val="en-US" w:eastAsia="zh-CN" w:bidi="ar"/>
        </w:rPr>
        <w:t>（产品名称2）</w:t>
      </w:r>
      <w:r>
        <w:rPr>
          <w:rFonts w:hint="eastAsia" w:ascii="宋体" w:hAnsi="宋体" w:eastAsia="宋体" w:cs="宋体"/>
          <w:i w:val="0"/>
          <w:iCs w:val="0"/>
          <w:caps w:val="0"/>
          <w:color w:val="auto"/>
          <w:spacing w:val="0"/>
          <w:kern w:val="0"/>
          <w:sz w:val="24"/>
          <w:szCs w:val="24"/>
          <w:highlight w:val="none"/>
          <w:lang w:val="en-US" w:eastAsia="zh-CN" w:bidi="ar"/>
        </w:rPr>
        <w:t>的中国境内生产的组件成本占比≥</w:t>
      </w:r>
      <w:r>
        <w:rPr>
          <w:rFonts w:hint="eastAsia" w:ascii="宋体" w:hAnsi="宋体" w:eastAsia="宋体" w:cs="宋体"/>
          <w:i w:val="0"/>
          <w:iCs w:val="0"/>
          <w:caps w:val="0"/>
          <w:color w:val="auto"/>
          <w:spacing w:val="0"/>
          <w:kern w:val="0"/>
          <w:sz w:val="24"/>
          <w:szCs w:val="24"/>
          <w:highlight w:val="none"/>
          <w:u w:val="single"/>
          <w:lang w:val="en-US" w:eastAsia="zh-CN" w:bidi="ar"/>
        </w:rPr>
        <w:t>（规定比例）</w:t>
      </w:r>
      <w:r>
        <w:rPr>
          <w:rFonts w:hint="eastAsia" w:ascii="宋体" w:hAnsi="宋体" w:eastAsia="宋体" w:cs="宋体"/>
          <w:i w:val="0"/>
          <w:iCs w:val="0"/>
          <w:caps w:val="0"/>
          <w:color w:val="auto"/>
          <w:spacing w:val="0"/>
          <w:kern w:val="0"/>
          <w:sz w:val="24"/>
          <w:szCs w:val="24"/>
          <w:highlight w:val="none"/>
          <w:lang w:val="en-US" w:eastAsia="zh-CN" w:bidi="ar"/>
        </w:rPr>
        <w:t>。</w:t>
      </w:r>
      <w:r>
        <w:rPr>
          <w:rFonts w:hint="eastAsia" w:ascii="宋体" w:hAnsi="宋体" w:eastAsia="宋体" w:cs="宋体"/>
          <w:i w:val="0"/>
          <w:iCs w:val="0"/>
          <w:caps w:val="0"/>
          <w:color w:val="auto"/>
          <w:spacing w:val="0"/>
          <w:kern w:val="0"/>
          <w:sz w:val="24"/>
          <w:szCs w:val="24"/>
          <w:highlight w:val="none"/>
          <w:u w:val="single"/>
          <w:lang w:val="en-US" w:eastAsia="zh-CN" w:bidi="ar"/>
        </w:rPr>
        <w:t>（产品名称2）</w:t>
      </w:r>
      <w:r>
        <w:rPr>
          <w:rFonts w:hint="eastAsia" w:ascii="宋体" w:hAnsi="宋体" w:eastAsia="宋体" w:cs="宋体"/>
          <w:i w:val="0"/>
          <w:iCs w:val="0"/>
          <w:caps w:val="0"/>
          <w:color w:val="auto"/>
          <w:spacing w:val="0"/>
          <w:kern w:val="0"/>
          <w:sz w:val="24"/>
          <w:szCs w:val="24"/>
          <w:highlight w:val="none"/>
          <w:lang w:val="en-US" w:eastAsia="zh-CN" w:bidi="ar"/>
        </w:rPr>
        <w:t>的</w:t>
      </w:r>
      <w:r>
        <w:rPr>
          <w:rFonts w:hint="eastAsia" w:ascii="宋体" w:hAnsi="宋体" w:eastAsia="宋体" w:cs="宋体"/>
          <w:i w:val="0"/>
          <w:iCs w:val="0"/>
          <w:caps w:val="0"/>
          <w:color w:val="auto"/>
          <w:spacing w:val="0"/>
          <w:kern w:val="0"/>
          <w:sz w:val="24"/>
          <w:szCs w:val="24"/>
          <w:highlight w:val="none"/>
          <w:u w:val="single"/>
          <w:lang w:val="en-US" w:eastAsia="zh-CN" w:bidi="ar"/>
        </w:rPr>
        <w:t>（关键组件）</w:t>
      </w:r>
      <w:r>
        <w:rPr>
          <w:rFonts w:hint="eastAsia" w:ascii="宋体" w:hAnsi="宋体" w:eastAsia="宋体" w:cs="宋体"/>
          <w:i w:val="0"/>
          <w:iCs w:val="0"/>
          <w:caps w:val="0"/>
          <w:color w:val="auto"/>
          <w:spacing w:val="0"/>
          <w:kern w:val="0"/>
          <w:sz w:val="24"/>
          <w:szCs w:val="24"/>
          <w:highlight w:val="none"/>
          <w:lang w:val="en-US" w:eastAsia="zh-CN" w:bidi="ar"/>
        </w:rPr>
        <w:t>在中国境内生产。</w:t>
      </w:r>
      <w:r>
        <w:rPr>
          <w:rFonts w:hint="eastAsia" w:ascii="宋体" w:hAnsi="宋体" w:eastAsia="宋体" w:cs="宋体"/>
          <w:i w:val="0"/>
          <w:iCs w:val="0"/>
          <w:caps w:val="0"/>
          <w:color w:val="auto"/>
          <w:spacing w:val="0"/>
          <w:kern w:val="0"/>
          <w:sz w:val="24"/>
          <w:szCs w:val="24"/>
          <w:highlight w:val="none"/>
          <w:u w:val="single"/>
          <w:lang w:val="en-US" w:eastAsia="zh-CN" w:bidi="ar"/>
        </w:rPr>
        <w:t>（产品名称2）</w:t>
      </w:r>
      <w:r>
        <w:rPr>
          <w:rFonts w:hint="eastAsia" w:ascii="宋体" w:hAnsi="宋体" w:eastAsia="宋体" w:cs="宋体"/>
          <w:i w:val="0"/>
          <w:iCs w:val="0"/>
          <w:caps w:val="0"/>
          <w:color w:val="auto"/>
          <w:spacing w:val="0"/>
          <w:kern w:val="0"/>
          <w:sz w:val="24"/>
          <w:szCs w:val="24"/>
          <w:highlight w:val="none"/>
          <w:lang w:val="en-US" w:eastAsia="zh-CN" w:bidi="ar"/>
        </w:rPr>
        <w:t>的</w:t>
      </w:r>
      <w:r>
        <w:rPr>
          <w:rFonts w:hint="eastAsia" w:ascii="宋体" w:hAnsi="宋体" w:eastAsia="宋体" w:cs="宋体"/>
          <w:i w:val="0"/>
          <w:iCs w:val="0"/>
          <w:caps w:val="0"/>
          <w:color w:val="auto"/>
          <w:spacing w:val="0"/>
          <w:kern w:val="0"/>
          <w:sz w:val="24"/>
          <w:szCs w:val="24"/>
          <w:highlight w:val="none"/>
          <w:u w:val="single"/>
          <w:lang w:val="en-US" w:eastAsia="zh-CN" w:bidi="ar"/>
        </w:rPr>
        <w:t>（关键工序）</w:t>
      </w:r>
      <w:r>
        <w:rPr>
          <w:rFonts w:hint="eastAsia" w:ascii="宋体" w:hAnsi="宋体" w:eastAsia="宋体" w:cs="宋体"/>
          <w:i w:val="0"/>
          <w:iCs w:val="0"/>
          <w:caps w:val="0"/>
          <w:color w:val="auto"/>
          <w:spacing w:val="0"/>
          <w:kern w:val="0"/>
          <w:sz w:val="24"/>
          <w:szCs w:val="24"/>
          <w:highlight w:val="none"/>
          <w:lang w:val="en-US" w:eastAsia="zh-CN" w:bidi="ar"/>
        </w:rPr>
        <w:t>在中国境内完成。</w:t>
      </w:r>
    </w:p>
    <w:p w14:paraId="54D311E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        ……</w:t>
      </w:r>
    </w:p>
    <w:p w14:paraId="57323B6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本公司（单位）对上述声明内容的真实性负责。如有虚假，愿承担相应法律责任。</w:t>
      </w:r>
    </w:p>
    <w:p w14:paraId="3B3FD4E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rPr>
      </w:pPr>
    </w:p>
    <w:p w14:paraId="07BA952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rPr>
      </w:pPr>
    </w:p>
    <w:p w14:paraId="73B2A0E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                           公司（单位）名称（盖章）：　        </w:t>
      </w:r>
    </w:p>
    <w:p w14:paraId="2D65DD1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                            日期：　     年　  月　  日         </w:t>
      </w:r>
    </w:p>
    <w:p w14:paraId="7F57E3B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 </w:t>
      </w:r>
    </w:p>
    <w:p w14:paraId="6326CD6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__________________</w:t>
      </w:r>
    </w:p>
    <w:p w14:paraId="76A18E4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  1.产品如有型号，请在“产品名称”栏一并填写。</w:t>
      </w:r>
    </w:p>
    <w:p w14:paraId="0F842CF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  2.生产厂名与厂址应与生产厂营业执照载明的相关信息保持一致。</w:t>
      </w:r>
    </w:p>
    <w:p w14:paraId="3A18CA1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  3.该产品的中国境内生产的组件成本占比相关要求实施前，“规定比例”栏可不填，下同。</w:t>
      </w:r>
    </w:p>
    <w:p w14:paraId="5F93948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0"/>
        <w:jc w:val="left"/>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kern w:val="0"/>
          <w:sz w:val="24"/>
          <w:szCs w:val="24"/>
          <w:highlight w:val="none"/>
          <w:lang w:val="en-US" w:eastAsia="zh-CN" w:bidi="ar"/>
        </w:rPr>
        <w:t>  4.该产品的关键组件要求实施前，“关键组件”栏可不填，下同。</w:t>
      </w:r>
    </w:p>
    <w:p w14:paraId="30605A5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0"/>
        <w:jc w:val="left"/>
        <w:rPr>
          <w:rFonts w:hint="eastAsia" w:ascii="宋体" w:hAnsi="宋体" w:eastAsia="宋体" w:cs="宋体"/>
          <w:b/>
          <w:color w:val="auto"/>
          <w:sz w:val="24"/>
          <w:szCs w:val="24"/>
          <w:highlight w:val="none"/>
          <w:lang w:val="en-US" w:eastAsia="zh-CN"/>
        </w:rPr>
      </w:pPr>
      <w:r>
        <w:rPr>
          <w:rFonts w:hint="eastAsia" w:ascii="宋体" w:hAnsi="宋体" w:eastAsia="宋体" w:cs="宋体"/>
          <w:i w:val="0"/>
          <w:iCs w:val="0"/>
          <w:caps w:val="0"/>
          <w:color w:val="auto"/>
          <w:spacing w:val="0"/>
          <w:kern w:val="0"/>
          <w:sz w:val="24"/>
          <w:szCs w:val="24"/>
          <w:highlight w:val="none"/>
          <w:lang w:val="en-US" w:eastAsia="zh-CN" w:bidi="ar"/>
        </w:rPr>
        <w:t>  5.该产品的关键工序要求实施前，“关键工序”栏可不填，下同。</w:t>
      </w:r>
    </w:p>
    <w:p w14:paraId="4C84BEF1">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r>
    </w:p>
    <w:p w14:paraId="439DB5E2">
      <w:pPr>
        <w:adjustRightInd w:val="0"/>
        <w:snapToGrid w:val="0"/>
        <w:spacing w:line="400" w:lineRule="exact"/>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4</w:t>
      </w:r>
      <w:r>
        <w:rPr>
          <w:rFonts w:hint="eastAsia" w:ascii="宋体" w:hAnsi="宋体" w:cs="宋体"/>
          <w:b/>
          <w:color w:val="auto"/>
          <w:sz w:val="24"/>
          <w:szCs w:val="24"/>
          <w:highlight w:val="none"/>
        </w:rPr>
        <w:t>、其他证明文件或</w:t>
      </w:r>
      <w:r>
        <w:rPr>
          <w:rFonts w:hint="eastAsia" w:ascii="宋体" w:hAnsi="宋体" w:cs="宋体"/>
          <w:b/>
          <w:color w:val="auto"/>
          <w:sz w:val="24"/>
          <w:szCs w:val="24"/>
          <w:highlight w:val="none"/>
          <w:lang w:eastAsia="zh-CN"/>
        </w:rPr>
        <w:t>供应商</w:t>
      </w:r>
      <w:r>
        <w:rPr>
          <w:rFonts w:hint="eastAsia" w:ascii="宋体" w:hAnsi="宋体" w:cs="宋体"/>
          <w:b/>
          <w:color w:val="auto"/>
          <w:sz w:val="24"/>
          <w:szCs w:val="24"/>
          <w:highlight w:val="none"/>
        </w:rPr>
        <w:t>认为应提交的商务文件</w:t>
      </w:r>
    </w:p>
    <w:p w14:paraId="1D92BE22">
      <w:pPr>
        <w:adjustRightInd w:val="0"/>
        <w:snapToGrid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（1）其他生产经营该产品所必需的证明文件、制造商授权书等（如有）；</w:t>
      </w:r>
    </w:p>
    <w:p w14:paraId="0529F72E">
      <w:pPr>
        <w:adjustRightInd w:val="0"/>
        <w:snapToGrid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（2）其他</w:t>
      </w:r>
    </w:p>
    <w:p w14:paraId="7F1BDCF3">
      <w:pPr>
        <w:widowControl/>
        <w:snapToGrid w:val="0"/>
        <w:spacing w:line="400" w:lineRule="exact"/>
        <w:jc w:val="left"/>
        <w:rPr>
          <w:rFonts w:hint="eastAsia" w:ascii="宋体" w:hAnsi="宋体" w:cs="宋体"/>
          <w:b/>
          <w:bCs/>
          <w:color w:val="auto"/>
          <w:sz w:val="24"/>
          <w:szCs w:val="24"/>
          <w:highlight w:val="none"/>
        </w:rPr>
      </w:pPr>
    </w:p>
    <w:p w14:paraId="0427ECDE">
      <w:pPr>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r>
    </w:p>
    <w:p w14:paraId="3DC00255">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5</w:t>
      </w:r>
      <w:r>
        <w:rPr>
          <w:rFonts w:hint="eastAsia" w:ascii="宋体" w:hAnsi="宋体" w:cs="宋体"/>
          <w:b/>
          <w:color w:val="auto"/>
          <w:sz w:val="24"/>
          <w:szCs w:val="24"/>
          <w:highlight w:val="none"/>
        </w:rPr>
        <w:t>、技术偏离表格式：</w:t>
      </w:r>
    </w:p>
    <w:p w14:paraId="67E18497">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b/>
          <w:bCs/>
          <w:color w:val="auto"/>
          <w:sz w:val="24"/>
          <w:szCs w:val="24"/>
          <w:highlight w:val="none"/>
        </w:rPr>
        <w:t>技术偏离表</w:t>
      </w:r>
    </w:p>
    <w:p w14:paraId="7FAAD907">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color w:val="auto"/>
          <w:sz w:val="24"/>
          <w:szCs w:val="24"/>
          <w:highlight w:val="none"/>
        </w:rPr>
        <w:t>项目名称：</w:t>
      </w:r>
    </w:p>
    <w:p w14:paraId="6A9B1A77">
      <w:pPr>
        <w:adjustRightInd w:val="0"/>
        <w:snapToGrid w:val="0"/>
        <w:spacing w:line="400" w:lineRule="exact"/>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项目编号：</w:t>
      </w:r>
    </w:p>
    <w:tbl>
      <w:tblPr>
        <w:tblStyle w:val="39"/>
        <w:tblW w:w="86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92"/>
        <w:gridCol w:w="1836"/>
        <w:gridCol w:w="1994"/>
        <w:gridCol w:w="2030"/>
        <w:gridCol w:w="1264"/>
      </w:tblGrid>
      <w:tr w14:paraId="61E0EC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9" w:hRule="atLeast"/>
          <w:jc w:val="center"/>
        </w:trPr>
        <w:tc>
          <w:tcPr>
            <w:tcW w:w="3328" w:type="dxa"/>
            <w:gridSpan w:val="2"/>
            <w:tcBorders>
              <w:top w:val="single" w:color="auto" w:sz="4" w:space="0"/>
              <w:left w:val="single" w:color="auto" w:sz="4" w:space="0"/>
              <w:bottom w:val="single" w:color="auto" w:sz="4" w:space="0"/>
              <w:right w:val="single" w:color="auto" w:sz="4" w:space="0"/>
            </w:tcBorders>
            <w:vAlign w:val="center"/>
          </w:tcPr>
          <w:p w14:paraId="6EE26243">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招标文件要求</w:t>
            </w:r>
          </w:p>
        </w:tc>
        <w:tc>
          <w:tcPr>
            <w:tcW w:w="4024" w:type="dxa"/>
            <w:gridSpan w:val="2"/>
            <w:tcBorders>
              <w:top w:val="single" w:color="auto" w:sz="4" w:space="0"/>
              <w:left w:val="single" w:color="auto" w:sz="4" w:space="0"/>
              <w:bottom w:val="single" w:color="auto" w:sz="4" w:space="0"/>
              <w:right w:val="single" w:color="auto" w:sz="4" w:space="0"/>
            </w:tcBorders>
            <w:vAlign w:val="center"/>
          </w:tcPr>
          <w:p w14:paraId="7D68B533">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投标文件响应</w:t>
            </w:r>
          </w:p>
        </w:tc>
        <w:tc>
          <w:tcPr>
            <w:tcW w:w="1264" w:type="dxa"/>
            <w:vMerge w:val="restart"/>
            <w:tcBorders>
              <w:top w:val="single" w:color="auto" w:sz="4" w:space="0"/>
              <w:left w:val="single" w:color="auto" w:sz="4" w:space="0"/>
              <w:bottom w:val="single" w:color="auto" w:sz="4" w:space="0"/>
              <w:right w:val="single" w:color="auto" w:sz="4" w:space="0"/>
            </w:tcBorders>
            <w:vAlign w:val="center"/>
          </w:tcPr>
          <w:p w14:paraId="522BEFE5">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偏离情况</w:t>
            </w:r>
          </w:p>
        </w:tc>
      </w:tr>
      <w:tr w14:paraId="51CD87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6"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02B1E964">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p>
        </w:tc>
        <w:tc>
          <w:tcPr>
            <w:tcW w:w="1836" w:type="dxa"/>
            <w:tcBorders>
              <w:top w:val="single" w:color="auto" w:sz="4" w:space="0"/>
              <w:left w:val="single" w:color="auto" w:sz="4" w:space="0"/>
              <w:bottom w:val="single" w:color="auto" w:sz="4" w:space="0"/>
              <w:right w:val="single" w:color="auto" w:sz="4" w:space="0"/>
            </w:tcBorders>
            <w:vAlign w:val="center"/>
          </w:tcPr>
          <w:p w14:paraId="0494C8FA">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要求</w:t>
            </w:r>
          </w:p>
        </w:tc>
        <w:tc>
          <w:tcPr>
            <w:tcW w:w="1994" w:type="dxa"/>
            <w:tcBorders>
              <w:top w:val="single" w:color="auto" w:sz="4" w:space="0"/>
              <w:left w:val="single" w:color="auto" w:sz="4" w:space="0"/>
              <w:bottom w:val="single" w:color="auto" w:sz="4" w:space="0"/>
              <w:right w:val="single" w:color="auto" w:sz="4" w:space="0"/>
            </w:tcBorders>
            <w:vAlign w:val="center"/>
          </w:tcPr>
          <w:p w14:paraId="36F9643D">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名称</w:t>
            </w:r>
          </w:p>
        </w:tc>
        <w:tc>
          <w:tcPr>
            <w:tcW w:w="2030" w:type="dxa"/>
            <w:tcBorders>
              <w:top w:val="single" w:color="auto" w:sz="4" w:space="0"/>
              <w:left w:val="single" w:color="auto" w:sz="4" w:space="0"/>
              <w:bottom w:val="single" w:color="auto" w:sz="4" w:space="0"/>
              <w:right w:val="single" w:color="auto" w:sz="4" w:space="0"/>
            </w:tcBorders>
            <w:vAlign w:val="center"/>
          </w:tcPr>
          <w:p w14:paraId="4CC3E7E6">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性能及指标</w:t>
            </w:r>
          </w:p>
        </w:tc>
        <w:tc>
          <w:tcPr>
            <w:tcW w:w="1264" w:type="dxa"/>
            <w:vMerge w:val="continue"/>
            <w:tcBorders>
              <w:top w:val="single" w:color="auto" w:sz="4" w:space="0"/>
              <w:left w:val="single" w:color="auto" w:sz="4" w:space="0"/>
              <w:bottom w:val="single" w:color="auto" w:sz="4" w:space="0"/>
              <w:right w:val="single" w:color="auto" w:sz="4" w:space="0"/>
            </w:tcBorders>
            <w:vAlign w:val="center"/>
          </w:tcPr>
          <w:p w14:paraId="21ED7C9B">
            <w:pPr>
              <w:widowControl/>
              <w:adjustRightInd w:val="0"/>
              <w:snapToGrid w:val="0"/>
              <w:spacing w:line="400" w:lineRule="exact"/>
              <w:jc w:val="center"/>
              <w:rPr>
                <w:rFonts w:ascii="宋体" w:hAnsi="宋体" w:cs="宋体"/>
                <w:color w:val="auto"/>
                <w:sz w:val="24"/>
                <w:szCs w:val="24"/>
                <w:highlight w:val="none"/>
              </w:rPr>
            </w:pPr>
          </w:p>
        </w:tc>
      </w:tr>
      <w:tr w14:paraId="205B7D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6E0980D0">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1F8D4230">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70007A33">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055B429E">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722A26B5">
            <w:pPr>
              <w:adjustRightInd w:val="0"/>
              <w:snapToGrid w:val="0"/>
              <w:spacing w:line="400" w:lineRule="exact"/>
              <w:jc w:val="center"/>
              <w:rPr>
                <w:rFonts w:ascii="宋体" w:hAnsi="宋体" w:cs="宋体"/>
                <w:color w:val="auto"/>
                <w:sz w:val="24"/>
                <w:szCs w:val="24"/>
                <w:highlight w:val="none"/>
              </w:rPr>
            </w:pPr>
          </w:p>
        </w:tc>
      </w:tr>
      <w:tr w14:paraId="7C4587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3039EDDE">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02AC497E">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6D628D42">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48D00008">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33877CD4">
            <w:pPr>
              <w:adjustRightInd w:val="0"/>
              <w:snapToGrid w:val="0"/>
              <w:spacing w:line="400" w:lineRule="exact"/>
              <w:jc w:val="center"/>
              <w:rPr>
                <w:rFonts w:ascii="宋体" w:hAnsi="宋体" w:cs="宋体"/>
                <w:color w:val="auto"/>
                <w:sz w:val="24"/>
                <w:szCs w:val="24"/>
                <w:highlight w:val="none"/>
              </w:rPr>
            </w:pPr>
          </w:p>
        </w:tc>
      </w:tr>
      <w:tr w14:paraId="567368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5C5C5ABE">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7C433074">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2463DA3B">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3483F5B9">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6EB1BA90">
            <w:pPr>
              <w:adjustRightInd w:val="0"/>
              <w:snapToGrid w:val="0"/>
              <w:spacing w:line="400" w:lineRule="exact"/>
              <w:jc w:val="center"/>
              <w:rPr>
                <w:rFonts w:ascii="宋体" w:hAnsi="宋体" w:cs="宋体"/>
                <w:color w:val="auto"/>
                <w:sz w:val="24"/>
                <w:szCs w:val="24"/>
                <w:highlight w:val="none"/>
              </w:rPr>
            </w:pPr>
          </w:p>
        </w:tc>
      </w:tr>
      <w:tr w14:paraId="452B22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21920222">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2EFCE36E">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0074C7DC">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2E0A006A">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413367A0">
            <w:pPr>
              <w:adjustRightInd w:val="0"/>
              <w:snapToGrid w:val="0"/>
              <w:spacing w:line="400" w:lineRule="exact"/>
              <w:jc w:val="center"/>
              <w:rPr>
                <w:rFonts w:ascii="宋体" w:hAnsi="宋体" w:cs="宋体"/>
                <w:color w:val="auto"/>
                <w:sz w:val="24"/>
                <w:szCs w:val="24"/>
                <w:highlight w:val="none"/>
              </w:rPr>
            </w:pPr>
          </w:p>
        </w:tc>
      </w:tr>
      <w:tr w14:paraId="08239D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14:paraId="389784C1">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14:paraId="3A8E4FE1">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14:paraId="2FD5DBF0">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14:paraId="4DDF0471">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14:paraId="2C98D0F8">
            <w:pPr>
              <w:adjustRightInd w:val="0"/>
              <w:snapToGrid w:val="0"/>
              <w:spacing w:line="400" w:lineRule="exact"/>
              <w:jc w:val="center"/>
              <w:rPr>
                <w:rFonts w:ascii="宋体" w:hAnsi="宋体" w:cs="宋体"/>
                <w:color w:val="auto"/>
                <w:sz w:val="24"/>
                <w:szCs w:val="24"/>
                <w:highlight w:val="none"/>
              </w:rPr>
            </w:pPr>
          </w:p>
        </w:tc>
      </w:tr>
    </w:tbl>
    <w:p w14:paraId="33291068">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注：1、投标人应根据投标设备的性能指标、对照招标文件要求在“偏离情况”栏注明“正偏离”、“负偏离”或“无偏离”。</w:t>
      </w:r>
    </w:p>
    <w:p w14:paraId="07526CC8">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2、每项技术参数须针对项目需求提供相关佐证材料（包括但不限于检测报告、技术规格书等）。</w:t>
      </w:r>
    </w:p>
    <w:p w14:paraId="19E36A9E">
      <w:pPr>
        <w:adjustRightInd w:val="0"/>
        <w:snapToGrid w:val="0"/>
        <w:spacing w:line="400" w:lineRule="exact"/>
        <w:rPr>
          <w:rFonts w:ascii="宋体" w:hAnsi="宋体" w:cs="宋体"/>
          <w:b/>
          <w:bCs/>
          <w:color w:val="auto"/>
          <w:spacing w:val="20"/>
          <w:sz w:val="24"/>
          <w:szCs w:val="24"/>
          <w:highlight w:val="none"/>
        </w:rPr>
      </w:pPr>
      <w:r>
        <w:rPr>
          <w:rFonts w:hint="eastAsia" w:ascii="宋体" w:hAnsi="宋体" w:cs="宋体"/>
          <w:b/>
          <w:bCs/>
          <w:color w:val="auto"/>
          <w:sz w:val="24"/>
          <w:szCs w:val="24"/>
          <w:highlight w:val="none"/>
        </w:rPr>
        <w:t>3、投标人提供投标设备的性能指标与实际不符的且产生偏离的，评标委员会有权认定该投标文件为无效响应。</w:t>
      </w:r>
    </w:p>
    <w:p w14:paraId="21936414">
      <w:pPr>
        <w:adjustRightInd w:val="0"/>
        <w:snapToGrid w:val="0"/>
        <w:spacing w:line="400" w:lineRule="exact"/>
        <w:ind w:right="-817" w:rightChars="-389"/>
        <w:rPr>
          <w:rFonts w:ascii="宋体" w:hAnsi="宋体" w:cs="宋体"/>
          <w:color w:val="auto"/>
          <w:sz w:val="24"/>
          <w:szCs w:val="24"/>
          <w:highlight w:val="none"/>
        </w:rPr>
      </w:pPr>
    </w:p>
    <w:p w14:paraId="1400E328">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14:paraId="52FBD69A">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14:paraId="5582CCFF">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14:paraId="3BF41A2C">
      <w:pPr>
        <w:pStyle w:val="30"/>
        <w:rPr>
          <w:rFonts w:hint="eastAsia"/>
          <w:color w:val="auto"/>
          <w:highlight w:val="none"/>
        </w:rPr>
      </w:pPr>
    </w:p>
    <w:p w14:paraId="318B8BE3">
      <w:pPr>
        <w:pStyle w:val="30"/>
        <w:rPr>
          <w:rFonts w:hint="eastAsia" w:ascii="宋体" w:hAnsi="宋体" w:cs="宋体"/>
          <w:b/>
          <w:bCs/>
          <w:color w:val="auto"/>
          <w:sz w:val="24"/>
          <w:szCs w:val="24"/>
          <w:highlight w:val="none"/>
        </w:rPr>
      </w:pPr>
    </w:p>
    <w:p w14:paraId="56F2EBDB">
      <w:pPr>
        <w:pStyle w:val="30"/>
        <w:rPr>
          <w:rFonts w:hint="eastAsia" w:ascii="宋体" w:hAnsi="宋体" w:cs="宋体"/>
          <w:b/>
          <w:bCs/>
          <w:color w:val="auto"/>
          <w:sz w:val="24"/>
          <w:szCs w:val="24"/>
          <w:highlight w:val="none"/>
        </w:rPr>
      </w:pPr>
    </w:p>
    <w:p w14:paraId="67139A55">
      <w:pPr>
        <w:pStyle w:val="30"/>
        <w:rPr>
          <w:rFonts w:hint="eastAsia" w:ascii="宋体" w:hAnsi="宋体" w:cs="宋体"/>
          <w:b/>
          <w:bCs/>
          <w:color w:val="auto"/>
          <w:sz w:val="24"/>
          <w:szCs w:val="24"/>
          <w:highlight w:val="none"/>
        </w:rPr>
      </w:pPr>
    </w:p>
    <w:p w14:paraId="5A2F9905">
      <w:pPr>
        <w:pStyle w:val="30"/>
        <w:rPr>
          <w:rFonts w:hint="eastAsia" w:ascii="宋体" w:hAnsi="宋体" w:cs="宋体"/>
          <w:b/>
          <w:bCs/>
          <w:color w:val="auto"/>
          <w:sz w:val="24"/>
          <w:szCs w:val="24"/>
          <w:highlight w:val="none"/>
        </w:rPr>
      </w:pPr>
    </w:p>
    <w:p w14:paraId="68F7B5E4">
      <w:pPr>
        <w:pStyle w:val="30"/>
        <w:rPr>
          <w:rFonts w:hint="eastAsia" w:ascii="宋体" w:hAnsi="宋体" w:cs="宋体"/>
          <w:b/>
          <w:bCs/>
          <w:color w:val="auto"/>
          <w:sz w:val="24"/>
          <w:szCs w:val="24"/>
          <w:highlight w:val="none"/>
        </w:rPr>
      </w:pPr>
    </w:p>
    <w:p w14:paraId="36E04BB6">
      <w:pPr>
        <w:pStyle w:val="30"/>
        <w:rPr>
          <w:rFonts w:hint="eastAsia" w:ascii="宋体" w:hAnsi="宋体" w:cs="宋体"/>
          <w:b/>
          <w:bCs/>
          <w:color w:val="auto"/>
          <w:sz w:val="24"/>
          <w:szCs w:val="24"/>
          <w:highlight w:val="none"/>
        </w:rPr>
      </w:pPr>
    </w:p>
    <w:p w14:paraId="02FE007E">
      <w:pPr>
        <w:pStyle w:val="30"/>
        <w:rPr>
          <w:rFonts w:hint="eastAsia" w:ascii="宋体" w:hAnsi="宋体" w:cs="宋体"/>
          <w:b/>
          <w:bCs/>
          <w:color w:val="auto"/>
          <w:sz w:val="24"/>
          <w:szCs w:val="24"/>
          <w:highlight w:val="none"/>
        </w:rPr>
      </w:pPr>
    </w:p>
    <w:p w14:paraId="6F857281">
      <w:pPr>
        <w:pStyle w:val="30"/>
        <w:rPr>
          <w:rFonts w:hint="eastAsia" w:ascii="宋体" w:hAnsi="宋体" w:cs="宋体"/>
          <w:b/>
          <w:bCs/>
          <w:color w:val="auto"/>
          <w:sz w:val="24"/>
          <w:szCs w:val="24"/>
          <w:highlight w:val="none"/>
        </w:rPr>
      </w:pPr>
    </w:p>
    <w:p w14:paraId="7FE323C6">
      <w:pPr>
        <w:pStyle w:val="30"/>
        <w:rPr>
          <w:rFonts w:hint="eastAsia" w:ascii="宋体" w:hAnsi="宋体" w:cs="宋体"/>
          <w:b/>
          <w:bCs/>
          <w:color w:val="auto"/>
          <w:sz w:val="24"/>
          <w:szCs w:val="24"/>
          <w:highlight w:val="none"/>
        </w:rPr>
      </w:pPr>
    </w:p>
    <w:p w14:paraId="051505D6">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1A548B70">
      <w:pPr>
        <w:widowControl/>
        <w:snapToGrid w:val="0"/>
        <w:spacing w:line="400" w:lineRule="exact"/>
        <w:jc w:val="left"/>
        <w:rPr>
          <w:rFonts w:hint="eastAsia" w:ascii="宋体" w:hAnsi="宋体" w:eastAsia="宋体" w:cs="宋体"/>
          <w:b/>
          <w:color w:val="auto"/>
          <w:sz w:val="24"/>
          <w:szCs w:val="24"/>
          <w:highlight w:val="none"/>
          <w:lang w:eastAsia="zh-CN"/>
        </w:rPr>
      </w:pP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6</w:t>
      </w:r>
      <w:r>
        <w:rPr>
          <w:rFonts w:hint="eastAsia" w:ascii="宋体" w:hAnsi="宋体" w:cs="宋体"/>
          <w:b/>
          <w:bCs/>
          <w:color w:val="auto"/>
          <w:sz w:val="24"/>
          <w:szCs w:val="24"/>
          <w:highlight w:val="none"/>
        </w:rPr>
        <w:t>、</w:t>
      </w:r>
      <w:r>
        <w:rPr>
          <w:rFonts w:hint="eastAsia" w:ascii="宋体" w:hAnsi="宋体" w:cs="宋体"/>
          <w:b/>
          <w:color w:val="auto"/>
          <w:sz w:val="24"/>
          <w:szCs w:val="24"/>
          <w:highlight w:val="none"/>
          <w:lang w:eastAsia="zh-CN"/>
        </w:rPr>
        <w:t>产品详细技术规格书</w:t>
      </w:r>
    </w:p>
    <w:p w14:paraId="123C6AF5">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货物说明包括：</w:t>
      </w:r>
    </w:p>
    <w:p w14:paraId="6C67E20A">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(1)产品技术参数（指标）、功能等性能描述；（产品技术参数（指标）、功能等性能描述内容必须为可编辑Word版本）</w:t>
      </w:r>
    </w:p>
    <w:p w14:paraId="7E7C049A">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(2)产品的规范资料、外观彩图及尺寸等描述（要求提供复印件）；</w:t>
      </w:r>
    </w:p>
    <w:p w14:paraId="517E22C9">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(3)配置先进合理，技术成熟，安全可靠；</w:t>
      </w:r>
    </w:p>
    <w:p w14:paraId="4EB11193">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(4)货物优势介绍；</w:t>
      </w:r>
    </w:p>
    <w:p w14:paraId="37BA3987">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(5)产品耐用性及使用功能安全性、采用新技术、新工艺或选用新材料情况；</w:t>
      </w:r>
    </w:p>
    <w:p w14:paraId="52900B7D">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(6)投标人认为有必要提供的其他说明材料。</w:t>
      </w:r>
    </w:p>
    <w:p w14:paraId="096DB40F">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67A8E21F">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r>
    </w:p>
    <w:p w14:paraId="6B4B6A81">
      <w:pPr>
        <w:widowControl/>
        <w:snapToGrid w:val="0"/>
        <w:spacing w:line="400" w:lineRule="exact"/>
        <w:jc w:val="lef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w:t>
      </w:r>
      <w:r>
        <w:rPr>
          <w:rFonts w:hint="eastAsia" w:ascii="宋体" w:hAnsi="宋体" w:cs="宋体"/>
          <w:b/>
          <w:color w:val="auto"/>
          <w:sz w:val="24"/>
          <w:szCs w:val="24"/>
          <w:highlight w:val="none"/>
          <w:lang w:val="en-US" w:eastAsia="zh-CN"/>
        </w:rPr>
        <w:t>7</w:t>
      </w:r>
      <w:r>
        <w:rPr>
          <w:rFonts w:hint="eastAsia" w:ascii="宋体" w:hAnsi="宋体" w:eastAsia="宋体" w:cs="宋体"/>
          <w:b/>
          <w:color w:val="auto"/>
          <w:sz w:val="24"/>
          <w:szCs w:val="24"/>
          <w:highlight w:val="none"/>
          <w:lang w:val="en-US" w:eastAsia="zh-CN"/>
        </w:rPr>
        <w:t>、</w:t>
      </w:r>
      <w:r>
        <w:rPr>
          <w:rFonts w:hint="eastAsia" w:ascii="宋体" w:hAnsi="宋体" w:eastAsia="宋体" w:cs="宋体"/>
          <w:b/>
          <w:color w:val="auto"/>
          <w:sz w:val="24"/>
          <w:szCs w:val="24"/>
          <w:highlight w:val="none"/>
          <w:lang w:eastAsia="zh-CN"/>
        </w:rPr>
        <w:t>与产品相关的由国家认可的检测机构出具的检测报告</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lang w:val="en-US" w:eastAsia="zh-CN"/>
        </w:rPr>
        <w:t>如有</w:t>
      </w:r>
      <w:r>
        <w:rPr>
          <w:rFonts w:hint="eastAsia" w:ascii="宋体" w:hAnsi="宋体" w:cs="宋体"/>
          <w:b/>
          <w:color w:val="auto"/>
          <w:sz w:val="24"/>
          <w:szCs w:val="24"/>
          <w:highlight w:val="none"/>
          <w:lang w:eastAsia="zh-CN"/>
        </w:rPr>
        <w:t>）。</w:t>
      </w:r>
    </w:p>
    <w:p w14:paraId="14CB5165">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75CB2390">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r>
    </w:p>
    <w:p w14:paraId="6194C9EE">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w:t>
      </w:r>
      <w:r>
        <w:rPr>
          <w:rFonts w:hint="eastAsia" w:ascii="宋体" w:hAnsi="宋体" w:cs="宋体"/>
          <w:b/>
          <w:color w:val="auto"/>
          <w:sz w:val="24"/>
          <w:szCs w:val="24"/>
          <w:highlight w:val="none"/>
          <w:lang w:val="en-US" w:eastAsia="zh-CN"/>
        </w:rPr>
        <w:t>8</w:t>
      </w:r>
      <w:r>
        <w:rPr>
          <w:rFonts w:hint="eastAsia" w:ascii="宋体" w:hAnsi="宋体" w:eastAsia="宋体" w:cs="宋体"/>
          <w:b/>
          <w:color w:val="auto"/>
          <w:sz w:val="24"/>
          <w:szCs w:val="24"/>
          <w:highlight w:val="none"/>
          <w:lang w:val="en-US" w:eastAsia="zh-CN"/>
        </w:rPr>
        <w:t>、针对项目的详细组织实施方案：包括（但不限于）项目人员安排、项目供货方案、质量管控方案、测试（调试）方案等内容（格式自拟）；</w:t>
      </w:r>
    </w:p>
    <w:p w14:paraId="5A5E8ADE">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p>
    <w:p w14:paraId="501E5381">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r>
    </w:p>
    <w:p w14:paraId="61E91B7B">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w:t>
      </w:r>
      <w:r>
        <w:rPr>
          <w:rFonts w:hint="eastAsia" w:ascii="宋体" w:hAnsi="宋体" w:cs="宋体"/>
          <w:b/>
          <w:color w:val="auto"/>
          <w:sz w:val="24"/>
          <w:szCs w:val="24"/>
          <w:highlight w:val="none"/>
          <w:lang w:val="en-US" w:eastAsia="zh-CN"/>
        </w:rPr>
        <w:t>9</w:t>
      </w:r>
      <w:r>
        <w:rPr>
          <w:rFonts w:hint="eastAsia" w:ascii="宋体" w:hAnsi="宋体" w:eastAsia="宋体" w:cs="宋体"/>
          <w:b/>
          <w:color w:val="auto"/>
          <w:sz w:val="24"/>
          <w:szCs w:val="24"/>
          <w:highlight w:val="none"/>
          <w:lang w:val="en-US" w:eastAsia="zh-CN"/>
        </w:rPr>
        <w:t>、针对本项目的详细技术培训方案：包括（但不限于）</w:t>
      </w:r>
      <w:r>
        <w:rPr>
          <w:rFonts w:hint="default" w:ascii="宋体" w:hAnsi="宋体" w:eastAsia="宋体" w:cs="宋体"/>
          <w:b/>
          <w:color w:val="auto"/>
          <w:sz w:val="24"/>
          <w:szCs w:val="24"/>
          <w:highlight w:val="none"/>
          <w:lang w:val="en-US" w:eastAsia="zh-CN"/>
        </w:rPr>
        <w:t>培训内容</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培训方式</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培训计划</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培训团队人员配置等</w:t>
      </w:r>
      <w:r>
        <w:rPr>
          <w:rFonts w:hint="eastAsia" w:ascii="宋体" w:hAnsi="宋体" w:eastAsia="宋体" w:cs="宋体"/>
          <w:b/>
          <w:color w:val="auto"/>
          <w:sz w:val="24"/>
          <w:szCs w:val="24"/>
          <w:highlight w:val="none"/>
          <w:lang w:val="en-US" w:eastAsia="zh-CN"/>
        </w:rPr>
        <w:t>内容。</w:t>
      </w:r>
    </w:p>
    <w:p w14:paraId="4DEBF432">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76DE2083">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560091BC">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5B529D3E">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7DF7128E">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7382AF14">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092D64C6">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50C22D2A">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1024E312">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6C24EDB0">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3C261995">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0E3AB110">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5B2E709A">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6F6CBFFE">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537A85EC">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3F7B1B1F">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r>
    </w:p>
    <w:p w14:paraId="27D8DF9C">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20</w:t>
      </w:r>
      <w:r>
        <w:rPr>
          <w:rFonts w:hint="eastAsia" w:ascii="宋体" w:hAnsi="宋体" w:eastAsia="宋体" w:cs="宋体"/>
          <w:b/>
          <w:color w:val="auto"/>
          <w:sz w:val="24"/>
          <w:szCs w:val="24"/>
          <w:highlight w:val="none"/>
          <w:lang w:val="en-US" w:eastAsia="zh-CN"/>
        </w:rPr>
        <w:t>、针对本项目的售后服务方案：包括（但不限于）售后服务承诺、服务响应方案、备件（易耗品）供应方案（含备件清单及价格）、服务人员配备、故障响应措施、质保外服务措施等内容（格式自拟）</w:t>
      </w:r>
    </w:p>
    <w:p w14:paraId="3CE7A03B">
      <w:pPr>
        <w:widowControl/>
        <w:snapToGrid w:val="0"/>
        <w:spacing w:line="400" w:lineRule="exact"/>
        <w:jc w:val="center"/>
        <w:rPr>
          <w:rFonts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售后服务附表</w:t>
      </w:r>
    </w:p>
    <w:p w14:paraId="6202005C">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rPr>
        <w:t>项目名称：</w:t>
      </w:r>
    </w:p>
    <w:p w14:paraId="537921F2">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lang w:val="en-US" w:eastAsia="zh-CN"/>
        </w:rPr>
        <w:t>项目</w:t>
      </w:r>
      <w:r>
        <w:rPr>
          <w:rFonts w:hint="eastAsia" w:asciiTheme="minorEastAsia" w:hAnsiTheme="minorEastAsia" w:eastAsiaTheme="minorEastAsia" w:cstheme="minorEastAsia"/>
          <w:color w:val="auto"/>
          <w:spacing w:val="1"/>
          <w:kern w:val="0"/>
          <w:sz w:val="24"/>
          <w:szCs w:val="24"/>
          <w:highlight w:val="none"/>
        </w:rPr>
        <w:t>编号：</w:t>
      </w:r>
    </w:p>
    <w:tbl>
      <w:tblPr>
        <w:tblStyle w:val="39"/>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46"/>
        <w:gridCol w:w="2151"/>
        <w:gridCol w:w="1253"/>
        <w:gridCol w:w="2242"/>
      </w:tblGrid>
      <w:tr w14:paraId="17621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4C5EA9FD">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服务网点名称</w:t>
            </w:r>
          </w:p>
        </w:tc>
        <w:tc>
          <w:tcPr>
            <w:tcW w:w="4450" w:type="dxa"/>
            <w:gridSpan w:val="3"/>
            <w:vAlign w:val="center"/>
          </w:tcPr>
          <w:p w14:paraId="50774CCD">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14:paraId="6C6905ED">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备注</w:t>
            </w:r>
          </w:p>
        </w:tc>
      </w:tr>
      <w:tr w14:paraId="56205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7C3CA1F1">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地址</w:t>
            </w:r>
          </w:p>
        </w:tc>
        <w:tc>
          <w:tcPr>
            <w:tcW w:w="4450" w:type="dxa"/>
            <w:gridSpan w:val="3"/>
            <w:vAlign w:val="center"/>
          </w:tcPr>
          <w:p w14:paraId="313CDDB2">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107F8F42">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14:paraId="3A59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658" w:type="dxa"/>
            <w:vAlign w:val="center"/>
          </w:tcPr>
          <w:p w14:paraId="33D68562">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注册资本金</w:t>
            </w:r>
          </w:p>
        </w:tc>
        <w:tc>
          <w:tcPr>
            <w:tcW w:w="1046" w:type="dxa"/>
            <w:vAlign w:val="center"/>
          </w:tcPr>
          <w:p w14:paraId="79921611">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14:paraId="2BC80A05">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其中：投标人出资比例</w:t>
            </w:r>
          </w:p>
        </w:tc>
        <w:tc>
          <w:tcPr>
            <w:tcW w:w="1253" w:type="dxa"/>
            <w:vAlign w:val="center"/>
          </w:tcPr>
          <w:p w14:paraId="53983095">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14:paraId="00968758">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提供相关证明材料（如：营业执照或租房合同等）</w:t>
            </w:r>
          </w:p>
        </w:tc>
      </w:tr>
      <w:tr w14:paraId="0E159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7112F10A">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员工总人数</w:t>
            </w:r>
          </w:p>
        </w:tc>
        <w:tc>
          <w:tcPr>
            <w:tcW w:w="1046" w:type="dxa"/>
            <w:vAlign w:val="center"/>
          </w:tcPr>
          <w:p w14:paraId="4D9AA1CE">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14:paraId="0A8F4AAA">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其中：技术人员数</w:t>
            </w:r>
          </w:p>
        </w:tc>
        <w:tc>
          <w:tcPr>
            <w:tcW w:w="1253" w:type="dxa"/>
            <w:vAlign w:val="center"/>
          </w:tcPr>
          <w:p w14:paraId="200828A8">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546FB374">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14:paraId="61BFE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3F7B4EE5">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经营期限</w:t>
            </w:r>
          </w:p>
        </w:tc>
        <w:tc>
          <w:tcPr>
            <w:tcW w:w="4450" w:type="dxa"/>
            <w:gridSpan w:val="3"/>
            <w:vAlign w:val="center"/>
          </w:tcPr>
          <w:p w14:paraId="12E8B085">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342F52A2">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14:paraId="06079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05" w:hRule="atLeast"/>
          <w:jc w:val="center"/>
        </w:trPr>
        <w:tc>
          <w:tcPr>
            <w:tcW w:w="1658" w:type="dxa"/>
            <w:vAlign w:val="center"/>
          </w:tcPr>
          <w:p w14:paraId="2FD1B28E">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售后服务协议</w:t>
            </w:r>
          </w:p>
        </w:tc>
        <w:tc>
          <w:tcPr>
            <w:tcW w:w="4450" w:type="dxa"/>
            <w:gridSpan w:val="3"/>
            <w:vAlign w:val="center"/>
          </w:tcPr>
          <w:p w14:paraId="57961E3E">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Align w:val="center"/>
          </w:tcPr>
          <w:p w14:paraId="0D4BDC4D">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w:t>
            </w:r>
          </w:p>
          <w:p w14:paraId="31AF8AA0">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证明材料</w:t>
            </w:r>
          </w:p>
        </w:tc>
      </w:tr>
      <w:tr w14:paraId="17BD9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44504B13">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售后服务内容</w:t>
            </w:r>
          </w:p>
        </w:tc>
        <w:tc>
          <w:tcPr>
            <w:tcW w:w="4450" w:type="dxa"/>
            <w:gridSpan w:val="3"/>
            <w:vAlign w:val="center"/>
          </w:tcPr>
          <w:p w14:paraId="3AAA0FB8">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14:paraId="0F512AB5">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此部分内容做附件进行详细说明</w:t>
            </w:r>
          </w:p>
        </w:tc>
      </w:tr>
      <w:tr w14:paraId="68FEE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3AF8655F">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服务承诺</w:t>
            </w:r>
          </w:p>
        </w:tc>
        <w:tc>
          <w:tcPr>
            <w:tcW w:w="4450" w:type="dxa"/>
            <w:gridSpan w:val="3"/>
            <w:vAlign w:val="center"/>
          </w:tcPr>
          <w:p w14:paraId="721B1AEF">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5A85483B">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14:paraId="06832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14:paraId="137CC339">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业务咨询电话</w:t>
            </w:r>
          </w:p>
        </w:tc>
        <w:tc>
          <w:tcPr>
            <w:tcW w:w="1046" w:type="dxa"/>
            <w:vAlign w:val="center"/>
          </w:tcPr>
          <w:p w14:paraId="43898C4D">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14:paraId="00972A26">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传真</w:t>
            </w:r>
          </w:p>
        </w:tc>
        <w:tc>
          <w:tcPr>
            <w:tcW w:w="1253" w:type="dxa"/>
            <w:vAlign w:val="center"/>
          </w:tcPr>
          <w:p w14:paraId="46137166">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14:paraId="3C8A7E88">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附人员身份证等相关证件</w:t>
            </w:r>
          </w:p>
        </w:tc>
      </w:tr>
      <w:tr w14:paraId="43F1F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658" w:type="dxa"/>
            <w:vAlign w:val="center"/>
          </w:tcPr>
          <w:p w14:paraId="13AFB32B">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负责人</w:t>
            </w:r>
          </w:p>
        </w:tc>
        <w:tc>
          <w:tcPr>
            <w:tcW w:w="1046" w:type="dxa"/>
            <w:vAlign w:val="center"/>
          </w:tcPr>
          <w:p w14:paraId="5D364172">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14:paraId="144B06C4">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联系电话</w:t>
            </w:r>
          </w:p>
        </w:tc>
        <w:tc>
          <w:tcPr>
            <w:tcW w:w="1253" w:type="dxa"/>
            <w:vAlign w:val="center"/>
          </w:tcPr>
          <w:p w14:paraId="1304C426">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14:paraId="6FE3A085">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bl>
    <w:p w14:paraId="436CA340">
      <w:pPr>
        <w:snapToGrid w:val="0"/>
        <w:spacing w:line="400" w:lineRule="exact"/>
        <w:jc w:val="left"/>
        <w:rPr>
          <w:rFonts w:asciiTheme="minorEastAsia" w:hAnsiTheme="minorEastAsia" w:eastAsiaTheme="minorEastAsia" w:cstheme="minorEastAsia"/>
          <w:color w:val="auto"/>
          <w:kern w:val="0"/>
          <w:sz w:val="24"/>
          <w:szCs w:val="24"/>
          <w:highlight w:val="none"/>
        </w:rPr>
      </w:pPr>
    </w:p>
    <w:p w14:paraId="04A0437F">
      <w:pPr>
        <w:pStyle w:val="200"/>
        <w:adjustRightInd w:val="0"/>
        <w:snapToGrid w:val="0"/>
        <w:spacing w:line="400" w:lineRule="exact"/>
        <w:ind w:left="1747" w:firstLine="470"/>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14:paraId="0A71EA31">
      <w:pPr>
        <w:snapToGrid w:val="0"/>
        <w:spacing w:line="400" w:lineRule="exact"/>
        <w:jc w:val="left"/>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法定代表人或其委托代理人（签字或盖章）：</w:t>
      </w:r>
    </w:p>
    <w:p w14:paraId="7F893322">
      <w:pPr>
        <w:snapToGrid w:val="0"/>
        <w:spacing w:line="400" w:lineRule="exact"/>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日期：        年    月    日</w:t>
      </w:r>
    </w:p>
    <w:p w14:paraId="4A9C112D">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017FBAD0">
      <w:pPr>
        <w:pStyle w:val="30"/>
        <w:rPr>
          <w:rFonts w:hint="eastAsia" w:ascii="宋体" w:hAnsi="宋体" w:eastAsia="宋体" w:cs="宋体"/>
          <w:b/>
          <w:color w:val="auto"/>
          <w:sz w:val="24"/>
          <w:szCs w:val="24"/>
          <w:highlight w:val="none"/>
          <w:lang w:val="en-US" w:eastAsia="zh-CN"/>
        </w:rPr>
      </w:pPr>
    </w:p>
    <w:p w14:paraId="73C51BFE">
      <w:pPr>
        <w:pStyle w:val="30"/>
        <w:rPr>
          <w:rFonts w:hint="eastAsia" w:ascii="宋体" w:hAnsi="宋体" w:eastAsia="宋体" w:cs="宋体"/>
          <w:b/>
          <w:color w:val="auto"/>
          <w:sz w:val="24"/>
          <w:szCs w:val="24"/>
          <w:highlight w:val="none"/>
          <w:lang w:val="en-US" w:eastAsia="zh-CN"/>
        </w:rPr>
      </w:pPr>
    </w:p>
    <w:p w14:paraId="4E8EEFE5">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br w:type="page"/>
      </w:r>
    </w:p>
    <w:p w14:paraId="26F870C9">
      <w:pPr>
        <w:numPr>
          <w:ilvl w:val="0"/>
          <w:numId w:val="0"/>
        </w:numPr>
        <w:jc w:val="both"/>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备件（及易耗品）清单</w:t>
      </w:r>
    </w:p>
    <w:p w14:paraId="2590F18D">
      <w:pPr>
        <w:pStyle w:val="22"/>
        <w:rPr>
          <w:rFonts w:hint="eastAsia" w:ascii="仿宋" w:hAnsi="仿宋" w:eastAsia="仿宋" w:cs="仿宋"/>
          <w:color w:val="auto"/>
          <w:sz w:val="24"/>
          <w:szCs w:val="24"/>
          <w:highlight w:val="none"/>
        </w:rPr>
      </w:pPr>
    </w:p>
    <w:tbl>
      <w:tblPr>
        <w:tblStyle w:val="39"/>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7"/>
        <w:gridCol w:w="1515"/>
        <w:gridCol w:w="1742"/>
        <w:gridCol w:w="855"/>
        <w:gridCol w:w="839"/>
        <w:gridCol w:w="1048"/>
        <w:gridCol w:w="1210"/>
        <w:gridCol w:w="1210"/>
      </w:tblGrid>
      <w:tr w14:paraId="2048B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0" w:hRule="atLeast"/>
          <w:jc w:val="center"/>
        </w:trPr>
        <w:tc>
          <w:tcPr>
            <w:tcW w:w="697" w:type="dxa"/>
            <w:tcBorders>
              <w:top w:val="single" w:color="auto" w:sz="4" w:space="0"/>
              <w:left w:val="single" w:color="auto" w:sz="4" w:space="0"/>
              <w:bottom w:val="single" w:color="auto" w:sz="4" w:space="0"/>
              <w:right w:val="single" w:color="auto" w:sz="4" w:space="0"/>
            </w:tcBorders>
            <w:noWrap w:val="0"/>
            <w:vAlign w:val="center"/>
          </w:tcPr>
          <w:p w14:paraId="66278FA6">
            <w:pPr>
              <w:pStyle w:val="22"/>
              <w:spacing w:line="240" w:lineRule="atLeast"/>
              <w:rPr>
                <w:rFonts w:hint="eastAsia" w:asciiTheme="minorEastAsia" w:hAnsiTheme="minorEastAsia" w:eastAsiaTheme="minorEastAsia" w:cstheme="minorEastAsia"/>
                <w:color w:val="auto"/>
                <w:position w:val="-60"/>
                <w:sz w:val="24"/>
                <w:szCs w:val="24"/>
                <w:highlight w:val="none"/>
              </w:rPr>
            </w:pPr>
            <w:r>
              <w:rPr>
                <w:rFonts w:hint="eastAsia" w:asciiTheme="minorEastAsia" w:hAnsiTheme="minorEastAsia" w:eastAsiaTheme="minorEastAsia" w:cstheme="minorEastAsia"/>
                <w:color w:val="auto"/>
                <w:position w:val="-24"/>
                <w:sz w:val="24"/>
                <w:szCs w:val="24"/>
                <w:highlight w:val="none"/>
              </w:rPr>
              <w:t>序号</w:t>
            </w:r>
          </w:p>
        </w:tc>
        <w:tc>
          <w:tcPr>
            <w:tcW w:w="1515" w:type="dxa"/>
            <w:tcBorders>
              <w:left w:val="single" w:color="auto" w:sz="4" w:space="0"/>
            </w:tcBorders>
            <w:noWrap w:val="0"/>
            <w:vAlign w:val="center"/>
          </w:tcPr>
          <w:p w14:paraId="665B4D01">
            <w:pPr>
              <w:pStyle w:val="22"/>
              <w:spacing w:line="240" w:lineRule="atLeast"/>
              <w:jc w:val="center"/>
              <w:rPr>
                <w:rFonts w:hint="eastAsia" w:asciiTheme="minorEastAsia" w:hAnsiTheme="minorEastAsia" w:eastAsiaTheme="minorEastAsia" w:cstheme="minorEastAsia"/>
                <w:color w:val="auto"/>
                <w:position w:val="-36"/>
                <w:sz w:val="24"/>
                <w:szCs w:val="24"/>
                <w:highlight w:val="none"/>
              </w:rPr>
            </w:pPr>
            <w:r>
              <w:rPr>
                <w:rFonts w:hint="eastAsia" w:asciiTheme="minorEastAsia" w:hAnsiTheme="minorEastAsia" w:eastAsiaTheme="minorEastAsia" w:cstheme="minorEastAsia"/>
                <w:color w:val="auto"/>
                <w:position w:val="-24"/>
                <w:sz w:val="24"/>
                <w:szCs w:val="24"/>
                <w:highlight w:val="none"/>
              </w:rPr>
              <w:t>名称、规格型号、品牌</w:t>
            </w:r>
          </w:p>
        </w:tc>
        <w:tc>
          <w:tcPr>
            <w:tcW w:w="1742" w:type="dxa"/>
            <w:noWrap w:val="0"/>
            <w:vAlign w:val="center"/>
          </w:tcPr>
          <w:p w14:paraId="69D185A7">
            <w:pPr>
              <w:pStyle w:val="22"/>
              <w:spacing w:line="240" w:lineRule="atLeast"/>
              <w:jc w:val="center"/>
              <w:rPr>
                <w:rFonts w:hint="eastAsia" w:asciiTheme="minorEastAsia" w:hAnsiTheme="minorEastAsia" w:eastAsiaTheme="minorEastAsia" w:cstheme="minorEastAsia"/>
                <w:color w:val="auto"/>
                <w:position w:val="-60"/>
                <w:sz w:val="24"/>
                <w:szCs w:val="24"/>
                <w:highlight w:val="none"/>
              </w:rPr>
            </w:pPr>
            <w:r>
              <w:rPr>
                <w:rFonts w:hint="eastAsia" w:asciiTheme="minorEastAsia" w:hAnsiTheme="minorEastAsia" w:eastAsiaTheme="minorEastAsia" w:cstheme="minorEastAsia"/>
                <w:color w:val="auto"/>
                <w:position w:val="-24"/>
                <w:sz w:val="24"/>
                <w:szCs w:val="24"/>
                <w:highlight w:val="none"/>
              </w:rPr>
              <w:t>制造商、原产地、国别</w:t>
            </w:r>
          </w:p>
        </w:tc>
        <w:tc>
          <w:tcPr>
            <w:tcW w:w="855" w:type="dxa"/>
            <w:noWrap w:val="0"/>
            <w:vAlign w:val="center"/>
          </w:tcPr>
          <w:p w14:paraId="0B6D2439">
            <w:pPr>
              <w:pStyle w:val="22"/>
              <w:spacing w:line="240" w:lineRule="atLeast"/>
              <w:jc w:val="center"/>
              <w:rPr>
                <w:rFonts w:hint="eastAsia" w:asciiTheme="minorEastAsia" w:hAnsiTheme="minorEastAsia" w:eastAsiaTheme="minorEastAsia" w:cstheme="minorEastAsia"/>
                <w:color w:val="auto"/>
                <w:position w:val="-60"/>
                <w:sz w:val="24"/>
                <w:szCs w:val="24"/>
                <w:highlight w:val="none"/>
              </w:rPr>
            </w:pPr>
            <w:r>
              <w:rPr>
                <w:rFonts w:hint="eastAsia" w:asciiTheme="minorEastAsia" w:hAnsiTheme="minorEastAsia" w:eastAsiaTheme="minorEastAsia" w:cstheme="minorEastAsia"/>
                <w:color w:val="auto"/>
                <w:position w:val="-24"/>
                <w:sz w:val="24"/>
                <w:szCs w:val="24"/>
                <w:highlight w:val="none"/>
              </w:rPr>
              <w:t>单位</w:t>
            </w:r>
          </w:p>
        </w:tc>
        <w:tc>
          <w:tcPr>
            <w:tcW w:w="839" w:type="dxa"/>
            <w:noWrap w:val="0"/>
            <w:vAlign w:val="center"/>
          </w:tcPr>
          <w:p w14:paraId="3E34CB5E">
            <w:pPr>
              <w:pStyle w:val="22"/>
              <w:spacing w:line="240" w:lineRule="atLeast"/>
              <w:jc w:val="center"/>
              <w:rPr>
                <w:rFonts w:hint="eastAsia" w:asciiTheme="minorEastAsia" w:hAnsiTheme="minorEastAsia" w:eastAsiaTheme="minorEastAsia" w:cstheme="minorEastAsia"/>
                <w:color w:val="auto"/>
                <w:position w:val="-24"/>
                <w:sz w:val="24"/>
                <w:szCs w:val="24"/>
                <w:highlight w:val="none"/>
              </w:rPr>
            </w:pPr>
            <w:r>
              <w:rPr>
                <w:rFonts w:hint="eastAsia" w:asciiTheme="minorEastAsia" w:hAnsiTheme="minorEastAsia" w:eastAsiaTheme="minorEastAsia" w:cstheme="minorEastAsia"/>
                <w:color w:val="auto"/>
                <w:position w:val="-24"/>
                <w:sz w:val="24"/>
                <w:szCs w:val="24"/>
                <w:highlight w:val="none"/>
              </w:rPr>
              <w:t>数量</w:t>
            </w:r>
          </w:p>
        </w:tc>
        <w:tc>
          <w:tcPr>
            <w:tcW w:w="1048" w:type="dxa"/>
            <w:noWrap w:val="0"/>
            <w:vAlign w:val="center"/>
          </w:tcPr>
          <w:p w14:paraId="0A1D0968">
            <w:pPr>
              <w:pStyle w:val="22"/>
              <w:spacing w:line="24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单价</w:t>
            </w:r>
          </w:p>
          <w:p w14:paraId="63D2CE5A">
            <w:pPr>
              <w:pStyle w:val="22"/>
              <w:spacing w:line="240" w:lineRule="atLeast"/>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元</w:t>
            </w:r>
            <w:r>
              <w:rPr>
                <w:rFonts w:hint="eastAsia" w:asciiTheme="minorEastAsia" w:hAnsiTheme="minorEastAsia" w:eastAsiaTheme="minorEastAsia" w:cstheme="minorEastAsia"/>
                <w:color w:val="auto"/>
                <w:sz w:val="24"/>
                <w:szCs w:val="24"/>
                <w:highlight w:val="none"/>
                <w:lang w:eastAsia="zh-CN"/>
              </w:rPr>
              <w:t>）</w:t>
            </w:r>
          </w:p>
        </w:tc>
        <w:tc>
          <w:tcPr>
            <w:tcW w:w="1210" w:type="dxa"/>
            <w:noWrap w:val="0"/>
            <w:vAlign w:val="center"/>
          </w:tcPr>
          <w:p w14:paraId="4EAAD5CA">
            <w:pPr>
              <w:pStyle w:val="22"/>
              <w:spacing w:line="240" w:lineRule="atLeas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合价</w:t>
            </w:r>
          </w:p>
          <w:p w14:paraId="27D376C3">
            <w:pPr>
              <w:pStyle w:val="22"/>
              <w:spacing w:line="240" w:lineRule="atLeas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（万元）</w:t>
            </w:r>
          </w:p>
        </w:tc>
        <w:tc>
          <w:tcPr>
            <w:tcW w:w="1210" w:type="dxa"/>
            <w:noWrap w:val="0"/>
            <w:vAlign w:val="center"/>
          </w:tcPr>
          <w:p w14:paraId="0B47FB1D">
            <w:pPr>
              <w:pStyle w:val="22"/>
              <w:spacing w:line="240" w:lineRule="atLeas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14:paraId="3278B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tcBorders>
              <w:top w:val="single" w:color="auto" w:sz="4" w:space="0"/>
            </w:tcBorders>
            <w:noWrap w:val="0"/>
            <w:vAlign w:val="top"/>
          </w:tcPr>
          <w:p w14:paraId="64943992">
            <w:pPr>
              <w:pStyle w:val="22"/>
              <w:rPr>
                <w:rFonts w:hint="eastAsia" w:asciiTheme="minorEastAsia" w:hAnsiTheme="minorEastAsia" w:eastAsiaTheme="minorEastAsia" w:cstheme="minorEastAsia"/>
                <w:color w:val="auto"/>
                <w:sz w:val="24"/>
                <w:szCs w:val="24"/>
                <w:highlight w:val="none"/>
              </w:rPr>
            </w:pPr>
          </w:p>
        </w:tc>
        <w:tc>
          <w:tcPr>
            <w:tcW w:w="1515" w:type="dxa"/>
            <w:noWrap w:val="0"/>
            <w:vAlign w:val="top"/>
          </w:tcPr>
          <w:p w14:paraId="50187A56">
            <w:pPr>
              <w:pStyle w:val="22"/>
              <w:rPr>
                <w:rFonts w:hint="eastAsia" w:asciiTheme="minorEastAsia" w:hAnsiTheme="minorEastAsia" w:eastAsiaTheme="minorEastAsia" w:cstheme="minorEastAsia"/>
                <w:color w:val="auto"/>
                <w:sz w:val="24"/>
                <w:szCs w:val="24"/>
                <w:highlight w:val="none"/>
              </w:rPr>
            </w:pPr>
          </w:p>
        </w:tc>
        <w:tc>
          <w:tcPr>
            <w:tcW w:w="1742" w:type="dxa"/>
            <w:noWrap w:val="0"/>
            <w:vAlign w:val="top"/>
          </w:tcPr>
          <w:p w14:paraId="11872384">
            <w:pPr>
              <w:pStyle w:val="22"/>
              <w:rPr>
                <w:rFonts w:hint="eastAsia" w:asciiTheme="minorEastAsia" w:hAnsiTheme="minorEastAsia" w:eastAsiaTheme="minorEastAsia" w:cstheme="minorEastAsia"/>
                <w:color w:val="auto"/>
                <w:sz w:val="24"/>
                <w:szCs w:val="24"/>
                <w:highlight w:val="none"/>
              </w:rPr>
            </w:pPr>
          </w:p>
        </w:tc>
        <w:tc>
          <w:tcPr>
            <w:tcW w:w="855" w:type="dxa"/>
            <w:noWrap w:val="0"/>
            <w:vAlign w:val="top"/>
          </w:tcPr>
          <w:p w14:paraId="30C5B04F">
            <w:pPr>
              <w:pStyle w:val="22"/>
              <w:rPr>
                <w:rFonts w:hint="eastAsia" w:asciiTheme="minorEastAsia" w:hAnsiTheme="minorEastAsia" w:eastAsiaTheme="minorEastAsia" w:cstheme="minorEastAsia"/>
                <w:color w:val="auto"/>
                <w:sz w:val="24"/>
                <w:szCs w:val="24"/>
                <w:highlight w:val="none"/>
              </w:rPr>
            </w:pPr>
          </w:p>
        </w:tc>
        <w:tc>
          <w:tcPr>
            <w:tcW w:w="839" w:type="dxa"/>
            <w:noWrap w:val="0"/>
            <w:vAlign w:val="top"/>
          </w:tcPr>
          <w:p w14:paraId="79F61A56">
            <w:pPr>
              <w:pStyle w:val="22"/>
              <w:rPr>
                <w:rFonts w:hint="eastAsia" w:asciiTheme="minorEastAsia" w:hAnsiTheme="minorEastAsia" w:eastAsiaTheme="minorEastAsia" w:cstheme="minorEastAsia"/>
                <w:color w:val="auto"/>
                <w:sz w:val="24"/>
                <w:szCs w:val="24"/>
                <w:highlight w:val="none"/>
              </w:rPr>
            </w:pPr>
          </w:p>
        </w:tc>
        <w:tc>
          <w:tcPr>
            <w:tcW w:w="1048" w:type="dxa"/>
            <w:noWrap w:val="0"/>
            <w:vAlign w:val="top"/>
          </w:tcPr>
          <w:p w14:paraId="4D477864">
            <w:pPr>
              <w:pStyle w:val="22"/>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6DCE4386">
            <w:pPr>
              <w:pStyle w:val="22"/>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6812652E">
            <w:pPr>
              <w:pStyle w:val="22"/>
              <w:rPr>
                <w:rFonts w:hint="eastAsia" w:asciiTheme="minorEastAsia" w:hAnsiTheme="minorEastAsia" w:eastAsiaTheme="minorEastAsia" w:cstheme="minorEastAsia"/>
                <w:color w:val="auto"/>
                <w:sz w:val="24"/>
                <w:szCs w:val="24"/>
                <w:highlight w:val="none"/>
              </w:rPr>
            </w:pPr>
          </w:p>
        </w:tc>
      </w:tr>
      <w:tr w14:paraId="34756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noWrap w:val="0"/>
            <w:vAlign w:val="top"/>
          </w:tcPr>
          <w:p w14:paraId="7C34770C">
            <w:pPr>
              <w:pStyle w:val="22"/>
              <w:rPr>
                <w:rFonts w:hint="eastAsia" w:asciiTheme="minorEastAsia" w:hAnsiTheme="minorEastAsia" w:eastAsiaTheme="minorEastAsia" w:cstheme="minorEastAsia"/>
                <w:color w:val="auto"/>
                <w:sz w:val="24"/>
                <w:szCs w:val="24"/>
                <w:highlight w:val="none"/>
              </w:rPr>
            </w:pPr>
          </w:p>
        </w:tc>
        <w:tc>
          <w:tcPr>
            <w:tcW w:w="1515" w:type="dxa"/>
            <w:noWrap w:val="0"/>
            <w:vAlign w:val="top"/>
          </w:tcPr>
          <w:p w14:paraId="40D44EB4">
            <w:pPr>
              <w:pStyle w:val="22"/>
              <w:rPr>
                <w:rFonts w:hint="eastAsia" w:asciiTheme="minorEastAsia" w:hAnsiTheme="minorEastAsia" w:eastAsiaTheme="minorEastAsia" w:cstheme="minorEastAsia"/>
                <w:color w:val="auto"/>
                <w:sz w:val="24"/>
                <w:szCs w:val="24"/>
                <w:highlight w:val="none"/>
              </w:rPr>
            </w:pPr>
          </w:p>
        </w:tc>
        <w:tc>
          <w:tcPr>
            <w:tcW w:w="1742" w:type="dxa"/>
            <w:noWrap w:val="0"/>
            <w:vAlign w:val="top"/>
          </w:tcPr>
          <w:p w14:paraId="16A115A2">
            <w:pPr>
              <w:pStyle w:val="22"/>
              <w:rPr>
                <w:rFonts w:hint="eastAsia" w:asciiTheme="minorEastAsia" w:hAnsiTheme="minorEastAsia" w:eastAsiaTheme="minorEastAsia" w:cstheme="minorEastAsia"/>
                <w:color w:val="auto"/>
                <w:sz w:val="24"/>
                <w:szCs w:val="24"/>
                <w:highlight w:val="none"/>
              </w:rPr>
            </w:pPr>
          </w:p>
        </w:tc>
        <w:tc>
          <w:tcPr>
            <w:tcW w:w="855" w:type="dxa"/>
            <w:noWrap w:val="0"/>
            <w:vAlign w:val="top"/>
          </w:tcPr>
          <w:p w14:paraId="266AD8AB">
            <w:pPr>
              <w:pStyle w:val="22"/>
              <w:rPr>
                <w:rFonts w:hint="eastAsia" w:asciiTheme="minorEastAsia" w:hAnsiTheme="minorEastAsia" w:eastAsiaTheme="minorEastAsia" w:cstheme="minorEastAsia"/>
                <w:color w:val="auto"/>
                <w:sz w:val="24"/>
                <w:szCs w:val="24"/>
                <w:highlight w:val="none"/>
              </w:rPr>
            </w:pPr>
          </w:p>
        </w:tc>
        <w:tc>
          <w:tcPr>
            <w:tcW w:w="839" w:type="dxa"/>
            <w:noWrap w:val="0"/>
            <w:vAlign w:val="top"/>
          </w:tcPr>
          <w:p w14:paraId="4A12BDC8">
            <w:pPr>
              <w:pStyle w:val="22"/>
              <w:rPr>
                <w:rFonts w:hint="eastAsia" w:asciiTheme="minorEastAsia" w:hAnsiTheme="minorEastAsia" w:eastAsiaTheme="minorEastAsia" w:cstheme="minorEastAsia"/>
                <w:color w:val="auto"/>
                <w:sz w:val="24"/>
                <w:szCs w:val="24"/>
                <w:highlight w:val="none"/>
              </w:rPr>
            </w:pPr>
          </w:p>
        </w:tc>
        <w:tc>
          <w:tcPr>
            <w:tcW w:w="1048" w:type="dxa"/>
            <w:noWrap w:val="0"/>
            <w:vAlign w:val="top"/>
          </w:tcPr>
          <w:p w14:paraId="0D408BD3">
            <w:pPr>
              <w:pStyle w:val="22"/>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20362229">
            <w:pPr>
              <w:pStyle w:val="22"/>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0EA2C9A5">
            <w:pPr>
              <w:pStyle w:val="22"/>
              <w:rPr>
                <w:rFonts w:hint="eastAsia" w:asciiTheme="minorEastAsia" w:hAnsiTheme="minorEastAsia" w:eastAsiaTheme="minorEastAsia" w:cstheme="minorEastAsia"/>
                <w:color w:val="auto"/>
                <w:sz w:val="24"/>
                <w:szCs w:val="24"/>
                <w:highlight w:val="none"/>
              </w:rPr>
            </w:pPr>
          </w:p>
        </w:tc>
      </w:tr>
      <w:tr w14:paraId="403F3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noWrap w:val="0"/>
            <w:vAlign w:val="top"/>
          </w:tcPr>
          <w:p w14:paraId="2070639A">
            <w:pPr>
              <w:pStyle w:val="22"/>
              <w:rPr>
                <w:rFonts w:hint="eastAsia" w:asciiTheme="minorEastAsia" w:hAnsiTheme="minorEastAsia" w:eastAsiaTheme="minorEastAsia" w:cstheme="minorEastAsia"/>
                <w:color w:val="auto"/>
                <w:sz w:val="24"/>
                <w:szCs w:val="24"/>
                <w:highlight w:val="none"/>
              </w:rPr>
            </w:pPr>
          </w:p>
        </w:tc>
        <w:tc>
          <w:tcPr>
            <w:tcW w:w="1515" w:type="dxa"/>
            <w:noWrap w:val="0"/>
            <w:vAlign w:val="top"/>
          </w:tcPr>
          <w:p w14:paraId="248D42E7">
            <w:pPr>
              <w:pStyle w:val="22"/>
              <w:rPr>
                <w:rFonts w:hint="eastAsia" w:asciiTheme="minorEastAsia" w:hAnsiTheme="minorEastAsia" w:eastAsiaTheme="minorEastAsia" w:cstheme="minorEastAsia"/>
                <w:color w:val="auto"/>
                <w:sz w:val="24"/>
                <w:szCs w:val="24"/>
                <w:highlight w:val="none"/>
              </w:rPr>
            </w:pPr>
          </w:p>
        </w:tc>
        <w:tc>
          <w:tcPr>
            <w:tcW w:w="1742" w:type="dxa"/>
            <w:noWrap w:val="0"/>
            <w:vAlign w:val="top"/>
          </w:tcPr>
          <w:p w14:paraId="5446C483">
            <w:pPr>
              <w:pStyle w:val="22"/>
              <w:rPr>
                <w:rFonts w:hint="eastAsia" w:asciiTheme="minorEastAsia" w:hAnsiTheme="minorEastAsia" w:eastAsiaTheme="minorEastAsia" w:cstheme="minorEastAsia"/>
                <w:color w:val="auto"/>
                <w:sz w:val="24"/>
                <w:szCs w:val="24"/>
                <w:highlight w:val="none"/>
              </w:rPr>
            </w:pPr>
          </w:p>
        </w:tc>
        <w:tc>
          <w:tcPr>
            <w:tcW w:w="855" w:type="dxa"/>
            <w:noWrap w:val="0"/>
            <w:vAlign w:val="top"/>
          </w:tcPr>
          <w:p w14:paraId="0A8E217C">
            <w:pPr>
              <w:pStyle w:val="22"/>
              <w:rPr>
                <w:rFonts w:hint="eastAsia" w:asciiTheme="minorEastAsia" w:hAnsiTheme="minorEastAsia" w:eastAsiaTheme="minorEastAsia" w:cstheme="minorEastAsia"/>
                <w:color w:val="auto"/>
                <w:sz w:val="24"/>
                <w:szCs w:val="24"/>
                <w:highlight w:val="none"/>
              </w:rPr>
            </w:pPr>
          </w:p>
        </w:tc>
        <w:tc>
          <w:tcPr>
            <w:tcW w:w="839" w:type="dxa"/>
            <w:noWrap w:val="0"/>
            <w:vAlign w:val="top"/>
          </w:tcPr>
          <w:p w14:paraId="608CFC88">
            <w:pPr>
              <w:pStyle w:val="22"/>
              <w:rPr>
                <w:rFonts w:hint="eastAsia" w:asciiTheme="minorEastAsia" w:hAnsiTheme="minorEastAsia" w:eastAsiaTheme="minorEastAsia" w:cstheme="minorEastAsia"/>
                <w:color w:val="auto"/>
                <w:sz w:val="24"/>
                <w:szCs w:val="24"/>
                <w:highlight w:val="none"/>
              </w:rPr>
            </w:pPr>
          </w:p>
        </w:tc>
        <w:tc>
          <w:tcPr>
            <w:tcW w:w="1048" w:type="dxa"/>
            <w:noWrap w:val="0"/>
            <w:vAlign w:val="top"/>
          </w:tcPr>
          <w:p w14:paraId="1687723D">
            <w:pPr>
              <w:pStyle w:val="22"/>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1CD5A1E3">
            <w:pPr>
              <w:pStyle w:val="22"/>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738FCC5F">
            <w:pPr>
              <w:pStyle w:val="22"/>
              <w:rPr>
                <w:rFonts w:hint="eastAsia" w:asciiTheme="minorEastAsia" w:hAnsiTheme="minorEastAsia" w:eastAsiaTheme="minorEastAsia" w:cstheme="minorEastAsia"/>
                <w:color w:val="auto"/>
                <w:sz w:val="24"/>
                <w:szCs w:val="24"/>
                <w:highlight w:val="none"/>
              </w:rPr>
            </w:pPr>
          </w:p>
        </w:tc>
      </w:tr>
      <w:tr w14:paraId="437E9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noWrap w:val="0"/>
            <w:vAlign w:val="top"/>
          </w:tcPr>
          <w:p w14:paraId="214726E2">
            <w:pPr>
              <w:pStyle w:val="22"/>
              <w:rPr>
                <w:rFonts w:hint="eastAsia" w:asciiTheme="minorEastAsia" w:hAnsiTheme="minorEastAsia" w:eastAsiaTheme="minorEastAsia" w:cstheme="minorEastAsia"/>
                <w:color w:val="auto"/>
                <w:sz w:val="24"/>
                <w:szCs w:val="24"/>
                <w:highlight w:val="none"/>
              </w:rPr>
            </w:pPr>
          </w:p>
        </w:tc>
        <w:tc>
          <w:tcPr>
            <w:tcW w:w="1515" w:type="dxa"/>
            <w:noWrap w:val="0"/>
            <w:vAlign w:val="top"/>
          </w:tcPr>
          <w:p w14:paraId="777AA9C4">
            <w:pPr>
              <w:pStyle w:val="22"/>
              <w:rPr>
                <w:rFonts w:hint="eastAsia" w:asciiTheme="minorEastAsia" w:hAnsiTheme="minorEastAsia" w:eastAsiaTheme="minorEastAsia" w:cstheme="minorEastAsia"/>
                <w:color w:val="auto"/>
                <w:sz w:val="24"/>
                <w:szCs w:val="24"/>
                <w:highlight w:val="none"/>
              </w:rPr>
            </w:pPr>
          </w:p>
        </w:tc>
        <w:tc>
          <w:tcPr>
            <w:tcW w:w="1742" w:type="dxa"/>
            <w:noWrap w:val="0"/>
            <w:vAlign w:val="top"/>
          </w:tcPr>
          <w:p w14:paraId="0FA41362">
            <w:pPr>
              <w:pStyle w:val="22"/>
              <w:rPr>
                <w:rFonts w:hint="eastAsia" w:asciiTheme="minorEastAsia" w:hAnsiTheme="minorEastAsia" w:eastAsiaTheme="minorEastAsia" w:cstheme="minorEastAsia"/>
                <w:color w:val="auto"/>
                <w:sz w:val="24"/>
                <w:szCs w:val="24"/>
                <w:highlight w:val="none"/>
              </w:rPr>
            </w:pPr>
          </w:p>
        </w:tc>
        <w:tc>
          <w:tcPr>
            <w:tcW w:w="855" w:type="dxa"/>
            <w:noWrap w:val="0"/>
            <w:vAlign w:val="top"/>
          </w:tcPr>
          <w:p w14:paraId="48B69C40">
            <w:pPr>
              <w:pStyle w:val="22"/>
              <w:rPr>
                <w:rFonts w:hint="eastAsia" w:asciiTheme="minorEastAsia" w:hAnsiTheme="minorEastAsia" w:eastAsiaTheme="minorEastAsia" w:cstheme="minorEastAsia"/>
                <w:color w:val="auto"/>
                <w:sz w:val="24"/>
                <w:szCs w:val="24"/>
                <w:highlight w:val="none"/>
              </w:rPr>
            </w:pPr>
          </w:p>
        </w:tc>
        <w:tc>
          <w:tcPr>
            <w:tcW w:w="839" w:type="dxa"/>
            <w:noWrap w:val="0"/>
            <w:vAlign w:val="top"/>
          </w:tcPr>
          <w:p w14:paraId="342ABC7D">
            <w:pPr>
              <w:pStyle w:val="22"/>
              <w:rPr>
                <w:rFonts w:hint="eastAsia" w:asciiTheme="minorEastAsia" w:hAnsiTheme="minorEastAsia" w:eastAsiaTheme="minorEastAsia" w:cstheme="minorEastAsia"/>
                <w:color w:val="auto"/>
                <w:sz w:val="24"/>
                <w:szCs w:val="24"/>
                <w:highlight w:val="none"/>
              </w:rPr>
            </w:pPr>
          </w:p>
        </w:tc>
        <w:tc>
          <w:tcPr>
            <w:tcW w:w="1048" w:type="dxa"/>
            <w:noWrap w:val="0"/>
            <w:vAlign w:val="top"/>
          </w:tcPr>
          <w:p w14:paraId="365CF3FC">
            <w:pPr>
              <w:pStyle w:val="22"/>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731E62DF">
            <w:pPr>
              <w:pStyle w:val="22"/>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55EE5473">
            <w:pPr>
              <w:pStyle w:val="22"/>
              <w:rPr>
                <w:rFonts w:hint="eastAsia" w:asciiTheme="minorEastAsia" w:hAnsiTheme="minorEastAsia" w:eastAsiaTheme="minorEastAsia" w:cstheme="minorEastAsia"/>
                <w:color w:val="auto"/>
                <w:sz w:val="24"/>
                <w:szCs w:val="24"/>
                <w:highlight w:val="none"/>
              </w:rPr>
            </w:pPr>
          </w:p>
        </w:tc>
      </w:tr>
      <w:tr w14:paraId="23A13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noWrap w:val="0"/>
            <w:vAlign w:val="top"/>
          </w:tcPr>
          <w:p w14:paraId="40BD35E4">
            <w:pPr>
              <w:pStyle w:val="22"/>
              <w:rPr>
                <w:rFonts w:hint="eastAsia" w:asciiTheme="minorEastAsia" w:hAnsiTheme="minorEastAsia" w:eastAsiaTheme="minorEastAsia" w:cstheme="minorEastAsia"/>
                <w:color w:val="auto"/>
                <w:sz w:val="24"/>
                <w:szCs w:val="24"/>
                <w:highlight w:val="none"/>
              </w:rPr>
            </w:pPr>
          </w:p>
        </w:tc>
        <w:tc>
          <w:tcPr>
            <w:tcW w:w="1515" w:type="dxa"/>
            <w:noWrap w:val="0"/>
            <w:vAlign w:val="top"/>
          </w:tcPr>
          <w:p w14:paraId="7D598287">
            <w:pPr>
              <w:pStyle w:val="22"/>
              <w:rPr>
                <w:rFonts w:hint="eastAsia" w:asciiTheme="minorEastAsia" w:hAnsiTheme="minorEastAsia" w:eastAsiaTheme="minorEastAsia" w:cstheme="minorEastAsia"/>
                <w:color w:val="auto"/>
                <w:sz w:val="24"/>
                <w:szCs w:val="24"/>
                <w:highlight w:val="none"/>
              </w:rPr>
            </w:pPr>
          </w:p>
        </w:tc>
        <w:tc>
          <w:tcPr>
            <w:tcW w:w="1742" w:type="dxa"/>
            <w:noWrap w:val="0"/>
            <w:vAlign w:val="top"/>
          </w:tcPr>
          <w:p w14:paraId="15FEDDA7">
            <w:pPr>
              <w:pStyle w:val="22"/>
              <w:rPr>
                <w:rFonts w:hint="eastAsia" w:asciiTheme="minorEastAsia" w:hAnsiTheme="minorEastAsia" w:eastAsiaTheme="minorEastAsia" w:cstheme="minorEastAsia"/>
                <w:color w:val="auto"/>
                <w:sz w:val="24"/>
                <w:szCs w:val="24"/>
                <w:highlight w:val="none"/>
              </w:rPr>
            </w:pPr>
          </w:p>
        </w:tc>
        <w:tc>
          <w:tcPr>
            <w:tcW w:w="855" w:type="dxa"/>
            <w:noWrap w:val="0"/>
            <w:vAlign w:val="top"/>
          </w:tcPr>
          <w:p w14:paraId="342891D1">
            <w:pPr>
              <w:pStyle w:val="22"/>
              <w:rPr>
                <w:rFonts w:hint="eastAsia" w:asciiTheme="minorEastAsia" w:hAnsiTheme="minorEastAsia" w:eastAsiaTheme="minorEastAsia" w:cstheme="minorEastAsia"/>
                <w:color w:val="auto"/>
                <w:sz w:val="24"/>
                <w:szCs w:val="24"/>
                <w:highlight w:val="none"/>
              </w:rPr>
            </w:pPr>
          </w:p>
        </w:tc>
        <w:tc>
          <w:tcPr>
            <w:tcW w:w="839" w:type="dxa"/>
            <w:noWrap w:val="0"/>
            <w:vAlign w:val="top"/>
          </w:tcPr>
          <w:p w14:paraId="64602098">
            <w:pPr>
              <w:pStyle w:val="22"/>
              <w:rPr>
                <w:rFonts w:hint="eastAsia" w:asciiTheme="minorEastAsia" w:hAnsiTheme="minorEastAsia" w:eastAsiaTheme="minorEastAsia" w:cstheme="minorEastAsia"/>
                <w:color w:val="auto"/>
                <w:sz w:val="24"/>
                <w:szCs w:val="24"/>
                <w:highlight w:val="none"/>
              </w:rPr>
            </w:pPr>
          </w:p>
        </w:tc>
        <w:tc>
          <w:tcPr>
            <w:tcW w:w="1048" w:type="dxa"/>
            <w:noWrap w:val="0"/>
            <w:vAlign w:val="top"/>
          </w:tcPr>
          <w:p w14:paraId="318C22DF">
            <w:pPr>
              <w:pStyle w:val="22"/>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33175EF5">
            <w:pPr>
              <w:pStyle w:val="22"/>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4A0D3A61">
            <w:pPr>
              <w:pStyle w:val="22"/>
              <w:rPr>
                <w:rFonts w:hint="eastAsia" w:asciiTheme="minorEastAsia" w:hAnsiTheme="minorEastAsia" w:eastAsiaTheme="minorEastAsia" w:cstheme="minorEastAsia"/>
                <w:color w:val="auto"/>
                <w:sz w:val="24"/>
                <w:szCs w:val="24"/>
                <w:highlight w:val="none"/>
              </w:rPr>
            </w:pPr>
          </w:p>
        </w:tc>
      </w:tr>
      <w:tr w14:paraId="272F2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noWrap w:val="0"/>
            <w:vAlign w:val="top"/>
          </w:tcPr>
          <w:p w14:paraId="5A198F2C">
            <w:pPr>
              <w:pStyle w:val="22"/>
              <w:rPr>
                <w:rFonts w:hint="eastAsia" w:asciiTheme="minorEastAsia" w:hAnsiTheme="minorEastAsia" w:eastAsiaTheme="minorEastAsia" w:cstheme="minorEastAsia"/>
                <w:color w:val="auto"/>
                <w:sz w:val="24"/>
                <w:szCs w:val="24"/>
                <w:highlight w:val="none"/>
              </w:rPr>
            </w:pPr>
          </w:p>
        </w:tc>
        <w:tc>
          <w:tcPr>
            <w:tcW w:w="1515" w:type="dxa"/>
            <w:noWrap w:val="0"/>
            <w:vAlign w:val="top"/>
          </w:tcPr>
          <w:p w14:paraId="5C96A6E4">
            <w:pPr>
              <w:pStyle w:val="22"/>
              <w:rPr>
                <w:rFonts w:hint="eastAsia" w:asciiTheme="minorEastAsia" w:hAnsiTheme="minorEastAsia" w:eastAsiaTheme="minorEastAsia" w:cstheme="minorEastAsia"/>
                <w:color w:val="auto"/>
                <w:sz w:val="24"/>
                <w:szCs w:val="24"/>
                <w:highlight w:val="none"/>
              </w:rPr>
            </w:pPr>
          </w:p>
        </w:tc>
        <w:tc>
          <w:tcPr>
            <w:tcW w:w="1742" w:type="dxa"/>
            <w:noWrap w:val="0"/>
            <w:vAlign w:val="top"/>
          </w:tcPr>
          <w:p w14:paraId="5E5B05D5">
            <w:pPr>
              <w:pStyle w:val="22"/>
              <w:rPr>
                <w:rFonts w:hint="eastAsia" w:asciiTheme="minorEastAsia" w:hAnsiTheme="minorEastAsia" w:eastAsiaTheme="minorEastAsia" w:cstheme="minorEastAsia"/>
                <w:color w:val="auto"/>
                <w:sz w:val="24"/>
                <w:szCs w:val="24"/>
                <w:highlight w:val="none"/>
              </w:rPr>
            </w:pPr>
          </w:p>
        </w:tc>
        <w:tc>
          <w:tcPr>
            <w:tcW w:w="855" w:type="dxa"/>
            <w:noWrap w:val="0"/>
            <w:vAlign w:val="top"/>
          </w:tcPr>
          <w:p w14:paraId="705B69C8">
            <w:pPr>
              <w:pStyle w:val="22"/>
              <w:rPr>
                <w:rFonts w:hint="eastAsia" w:asciiTheme="minorEastAsia" w:hAnsiTheme="minorEastAsia" w:eastAsiaTheme="minorEastAsia" w:cstheme="minorEastAsia"/>
                <w:color w:val="auto"/>
                <w:sz w:val="24"/>
                <w:szCs w:val="24"/>
                <w:highlight w:val="none"/>
              </w:rPr>
            </w:pPr>
          </w:p>
        </w:tc>
        <w:tc>
          <w:tcPr>
            <w:tcW w:w="839" w:type="dxa"/>
            <w:noWrap w:val="0"/>
            <w:vAlign w:val="top"/>
          </w:tcPr>
          <w:p w14:paraId="3B7A62C4">
            <w:pPr>
              <w:pStyle w:val="22"/>
              <w:rPr>
                <w:rFonts w:hint="eastAsia" w:asciiTheme="minorEastAsia" w:hAnsiTheme="minorEastAsia" w:eastAsiaTheme="minorEastAsia" w:cstheme="minorEastAsia"/>
                <w:color w:val="auto"/>
                <w:sz w:val="24"/>
                <w:szCs w:val="24"/>
                <w:highlight w:val="none"/>
              </w:rPr>
            </w:pPr>
          </w:p>
        </w:tc>
        <w:tc>
          <w:tcPr>
            <w:tcW w:w="1048" w:type="dxa"/>
            <w:noWrap w:val="0"/>
            <w:vAlign w:val="top"/>
          </w:tcPr>
          <w:p w14:paraId="5675F7A3">
            <w:pPr>
              <w:pStyle w:val="22"/>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60E10CD6">
            <w:pPr>
              <w:pStyle w:val="22"/>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695A28A6">
            <w:pPr>
              <w:pStyle w:val="22"/>
              <w:rPr>
                <w:rFonts w:hint="eastAsia" w:asciiTheme="minorEastAsia" w:hAnsiTheme="minorEastAsia" w:eastAsiaTheme="minorEastAsia" w:cstheme="minorEastAsia"/>
                <w:color w:val="auto"/>
                <w:sz w:val="24"/>
                <w:szCs w:val="24"/>
                <w:highlight w:val="none"/>
              </w:rPr>
            </w:pPr>
          </w:p>
        </w:tc>
      </w:tr>
      <w:tr w14:paraId="7E50B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noWrap w:val="0"/>
            <w:vAlign w:val="top"/>
          </w:tcPr>
          <w:p w14:paraId="0E83BA56">
            <w:pPr>
              <w:pStyle w:val="22"/>
              <w:rPr>
                <w:rFonts w:hint="eastAsia" w:asciiTheme="minorEastAsia" w:hAnsiTheme="minorEastAsia" w:eastAsiaTheme="minorEastAsia" w:cstheme="minorEastAsia"/>
                <w:color w:val="auto"/>
                <w:sz w:val="24"/>
                <w:szCs w:val="24"/>
                <w:highlight w:val="none"/>
              </w:rPr>
            </w:pPr>
          </w:p>
        </w:tc>
        <w:tc>
          <w:tcPr>
            <w:tcW w:w="1515" w:type="dxa"/>
            <w:noWrap w:val="0"/>
            <w:vAlign w:val="top"/>
          </w:tcPr>
          <w:p w14:paraId="458EC2FE">
            <w:pPr>
              <w:pStyle w:val="22"/>
              <w:rPr>
                <w:rFonts w:hint="eastAsia" w:asciiTheme="minorEastAsia" w:hAnsiTheme="minorEastAsia" w:eastAsiaTheme="minorEastAsia" w:cstheme="minorEastAsia"/>
                <w:color w:val="auto"/>
                <w:sz w:val="24"/>
                <w:szCs w:val="24"/>
                <w:highlight w:val="none"/>
              </w:rPr>
            </w:pPr>
          </w:p>
        </w:tc>
        <w:tc>
          <w:tcPr>
            <w:tcW w:w="1742" w:type="dxa"/>
            <w:noWrap w:val="0"/>
            <w:vAlign w:val="top"/>
          </w:tcPr>
          <w:p w14:paraId="2AF7DC3C">
            <w:pPr>
              <w:pStyle w:val="22"/>
              <w:rPr>
                <w:rFonts w:hint="eastAsia" w:asciiTheme="minorEastAsia" w:hAnsiTheme="minorEastAsia" w:eastAsiaTheme="minorEastAsia" w:cstheme="minorEastAsia"/>
                <w:color w:val="auto"/>
                <w:sz w:val="24"/>
                <w:szCs w:val="24"/>
                <w:highlight w:val="none"/>
              </w:rPr>
            </w:pPr>
          </w:p>
        </w:tc>
        <w:tc>
          <w:tcPr>
            <w:tcW w:w="855" w:type="dxa"/>
            <w:noWrap w:val="0"/>
            <w:vAlign w:val="top"/>
          </w:tcPr>
          <w:p w14:paraId="3946F1BD">
            <w:pPr>
              <w:pStyle w:val="22"/>
              <w:rPr>
                <w:rFonts w:hint="eastAsia" w:asciiTheme="minorEastAsia" w:hAnsiTheme="minorEastAsia" w:eastAsiaTheme="minorEastAsia" w:cstheme="minorEastAsia"/>
                <w:color w:val="auto"/>
                <w:sz w:val="24"/>
                <w:szCs w:val="24"/>
                <w:highlight w:val="none"/>
              </w:rPr>
            </w:pPr>
          </w:p>
        </w:tc>
        <w:tc>
          <w:tcPr>
            <w:tcW w:w="839" w:type="dxa"/>
            <w:noWrap w:val="0"/>
            <w:vAlign w:val="top"/>
          </w:tcPr>
          <w:p w14:paraId="3C56DEA0">
            <w:pPr>
              <w:pStyle w:val="22"/>
              <w:rPr>
                <w:rFonts w:hint="eastAsia" w:asciiTheme="minorEastAsia" w:hAnsiTheme="minorEastAsia" w:eastAsiaTheme="minorEastAsia" w:cstheme="minorEastAsia"/>
                <w:color w:val="auto"/>
                <w:sz w:val="24"/>
                <w:szCs w:val="24"/>
                <w:highlight w:val="none"/>
              </w:rPr>
            </w:pPr>
          </w:p>
        </w:tc>
        <w:tc>
          <w:tcPr>
            <w:tcW w:w="1048" w:type="dxa"/>
            <w:noWrap w:val="0"/>
            <w:vAlign w:val="top"/>
          </w:tcPr>
          <w:p w14:paraId="7CA7EE88">
            <w:pPr>
              <w:pStyle w:val="22"/>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3C2DAC8A">
            <w:pPr>
              <w:pStyle w:val="22"/>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448E0205">
            <w:pPr>
              <w:pStyle w:val="22"/>
              <w:rPr>
                <w:rFonts w:hint="eastAsia" w:asciiTheme="minorEastAsia" w:hAnsiTheme="minorEastAsia" w:eastAsiaTheme="minorEastAsia" w:cstheme="minorEastAsia"/>
                <w:color w:val="auto"/>
                <w:sz w:val="24"/>
                <w:szCs w:val="24"/>
                <w:highlight w:val="none"/>
              </w:rPr>
            </w:pPr>
          </w:p>
        </w:tc>
      </w:tr>
      <w:tr w14:paraId="79DC4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noWrap w:val="0"/>
            <w:vAlign w:val="top"/>
          </w:tcPr>
          <w:p w14:paraId="66FB51BF">
            <w:pPr>
              <w:pStyle w:val="22"/>
              <w:rPr>
                <w:rFonts w:hint="eastAsia" w:asciiTheme="minorEastAsia" w:hAnsiTheme="minorEastAsia" w:eastAsiaTheme="minorEastAsia" w:cstheme="minorEastAsia"/>
                <w:color w:val="auto"/>
                <w:sz w:val="24"/>
                <w:szCs w:val="24"/>
                <w:highlight w:val="none"/>
              </w:rPr>
            </w:pPr>
          </w:p>
        </w:tc>
        <w:tc>
          <w:tcPr>
            <w:tcW w:w="1515" w:type="dxa"/>
            <w:noWrap w:val="0"/>
            <w:vAlign w:val="top"/>
          </w:tcPr>
          <w:p w14:paraId="11CA4AC1">
            <w:pPr>
              <w:pStyle w:val="22"/>
              <w:rPr>
                <w:rFonts w:hint="eastAsia" w:asciiTheme="minorEastAsia" w:hAnsiTheme="minorEastAsia" w:eastAsiaTheme="minorEastAsia" w:cstheme="minorEastAsia"/>
                <w:color w:val="auto"/>
                <w:sz w:val="24"/>
                <w:szCs w:val="24"/>
                <w:highlight w:val="none"/>
              </w:rPr>
            </w:pPr>
          </w:p>
        </w:tc>
        <w:tc>
          <w:tcPr>
            <w:tcW w:w="1742" w:type="dxa"/>
            <w:noWrap w:val="0"/>
            <w:vAlign w:val="top"/>
          </w:tcPr>
          <w:p w14:paraId="37FA806B">
            <w:pPr>
              <w:pStyle w:val="22"/>
              <w:rPr>
                <w:rFonts w:hint="eastAsia" w:asciiTheme="minorEastAsia" w:hAnsiTheme="minorEastAsia" w:eastAsiaTheme="minorEastAsia" w:cstheme="minorEastAsia"/>
                <w:color w:val="auto"/>
                <w:sz w:val="24"/>
                <w:szCs w:val="24"/>
                <w:highlight w:val="none"/>
              </w:rPr>
            </w:pPr>
          </w:p>
        </w:tc>
        <w:tc>
          <w:tcPr>
            <w:tcW w:w="855" w:type="dxa"/>
            <w:noWrap w:val="0"/>
            <w:vAlign w:val="top"/>
          </w:tcPr>
          <w:p w14:paraId="2F7D9E20">
            <w:pPr>
              <w:pStyle w:val="22"/>
              <w:rPr>
                <w:rFonts w:hint="eastAsia" w:asciiTheme="minorEastAsia" w:hAnsiTheme="minorEastAsia" w:eastAsiaTheme="minorEastAsia" w:cstheme="minorEastAsia"/>
                <w:color w:val="auto"/>
                <w:sz w:val="24"/>
                <w:szCs w:val="24"/>
                <w:highlight w:val="none"/>
              </w:rPr>
            </w:pPr>
          </w:p>
        </w:tc>
        <w:tc>
          <w:tcPr>
            <w:tcW w:w="839" w:type="dxa"/>
            <w:noWrap w:val="0"/>
            <w:vAlign w:val="top"/>
          </w:tcPr>
          <w:p w14:paraId="63DF161B">
            <w:pPr>
              <w:pStyle w:val="22"/>
              <w:rPr>
                <w:rFonts w:hint="eastAsia" w:asciiTheme="minorEastAsia" w:hAnsiTheme="minorEastAsia" w:eastAsiaTheme="minorEastAsia" w:cstheme="minorEastAsia"/>
                <w:color w:val="auto"/>
                <w:sz w:val="24"/>
                <w:szCs w:val="24"/>
                <w:highlight w:val="none"/>
              </w:rPr>
            </w:pPr>
          </w:p>
        </w:tc>
        <w:tc>
          <w:tcPr>
            <w:tcW w:w="1048" w:type="dxa"/>
            <w:noWrap w:val="0"/>
            <w:vAlign w:val="top"/>
          </w:tcPr>
          <w:p w14:paraId="2F2D8F91">
            <w:pPr>
              <w:pStyle w:val="22"/>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3EA0EF34">
            <w:pPr>
              <w:pStyle w:val="22"/>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1378C299">
            <w:pPr>
              <w:pStyle w:val="22"/>
              <w:rPr>
                <w:rFonts w:hint="eastAsia" w:asciiTheme="minorEastAsia" w:hAnsiTheme="minorEastAsia" w:eastAsiaTheme="minorEastAsia" w:cstheme="minorEastAsia"/>
                <w:color w:val="auto"/>
                <w:sz w:val="24"/>
                <w:szCs w:val="24"/>
                <w:highlight w:val="none"/>
              </w:rPr>
            </w:pPr>
          </w:p>
        </w:tc>
      </w:tr>
      <w:tr w14:paraId="2EC96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noWrap w:val="0"/>
            <w:vAlign w:val="top"/>
          </w:tcPr>
          <w:p w14:paraId="41AF93AE">
            <w:pPr>
              <w:pStyle w:val="22"/>
              <w:rPr>
                <w:rFonts w:hint="eastAsia" w:asciiTheme="minorEastAsia" w:hAnsiTheme="minorEastAsia" w:eastAsiaTheme="minorEastAsia" w:cstheme="minorEastAsia"/>
                <w:color w:val="auto"/>
                <w:sz w:val="24"/>
                <w:szCs w:val="24"/>
                <w:highlight w:val="none"/>
              </w:rPr>
            </w:pPr>
          </w:p>
        </w:tc>
        <w:tc>
          <w:tcPr>
            <w:tcW w:w="1515" w:type="dxa"/>
            <w:noWrap w:val="0"/>
            <w:vAlign w:val="top"/>
          </w:tcPr>
          <w:p w14:paraId="16C72C5B">
            <w:pPr>
              <w:pStyle w:val="22"/>
              <w:rPr>
                <w:rFonts w:hint="eastAsia" w:asciiTheme="minorEastAsia" w:hAnsiTheme="minorEastAsia" w:eastAsiaTheme="minorEastAsia" w:cstheme="minorEastAsia"/>
                <w:color w:val="auto"/>
                <w:sz w:val="24"/>
                <w:szCs w:val="24"/>
                <w:highlight w:val="none"/>
              </w:rPr>
            </w:pPr>
          </w:p>
        </w:tc>
        <w:tc>
          <w:tcPr>
            <w:tcW w:w="1742" w:type="dxa"/>
            <w:noWrap w:val="0"/>
            <w:vAlign w:val="top"/>
          </w:tcPr>
          <w:p w14:paraId="1D281097">
            <w:pPr>
              <w:pStyle w:val="22"/>
              <w:rPr>
                <w:rFonts w:hint="eastAsia" w:asciiTheme="minorEastAsia" w:hAnsiTheme="minorEastAsia" w:eastAsiaTheme="minorEastAsia" w:cstheme="minorEastAsia"/>
                <w:color w:val="auto"/>
                <w:sz w:val="24"/>
                <w:szCs w:val="24"/>
                <w:highlight w:val="none"/>
              </w:rPr>
            </w:pPr>
          </w:p>
        </w:tc>
        <w:tc>
          <w:tcPr>
            <w:tcW w:w="855" w:type="dxa"/>
            <w:noWrap w:val="0"/>
            <w:vAlign w:val="top"/>
          </w:tcPr>
          <w:p w14:paraId="274B26CF">
            <w:pPr>
              <w:pStyle w:val="22"/>
              <w:rPr>
                <w:rFonts w:hint="eastAsia" w:asciiTheme="minorEastAsia" w:hAnsiTheme="minorEastAsia" w:eastAsiaTheme="minorEastAsia" w:cstheme="minorEastAsia"/>
                <w:color w:val="auto"/>
                <w:sz w:val="24"/>
                <w:szCs w:val="24"/>
                <w:highlight w:val="none"/>
              </w:rPr>
            </w:pPr>
          </w:p>
        </w:tc>
        <w:tc>
          <w:tcPr>
            <w:tcW w:w="839" w:type="dxa"/>
            <w:noWrap w:val="0"/>
            <w:vAlign w:val="top"/>
          </w:tcPr>
          <w:p w14:paraId="61E24C72">
            <w:pPr>
              <w:pStyle w:val="22"/>
              <w:rPr>
                <w:rFonts w:hint="eastAsia" w:asciiTheme="minorEastAsia" w:hAnsiTheme="minorEastAsia" w:eastAsiaTheme="minorEastAsia" w:cstheme="minorEastAsia"/>
                <w:color w:val="auto"/>
                <w:sz w:val="24"/>
                <w:szCs w:val="24"/>
                <w:highlight w:val="none"/>
              </w:rPr>
            </w:pPr>
          </w:p>
        </w:tc>
        <w:tc>
          <w:tcPr>
            <w:tcW w:w="1048" w:type="dxa"/>
            <w:noWrap w:val="0"/>
            <w:vAlign w:val="top"/>
          </w:tcPr>
          <w:p w14:paraId="24052E67">
            <w:pPr>
              <w:pStyle w:val="22"/>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3C9ACD53">
            <w:pPr>
              <w:pStyle w:val="22"/>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60D0ACFE">
            <w:pPr>
              <w:pStyle w:val="22"/>
              <w:rPr>
                <w:rFonts w:hint="eastAsia" w:asciiTheme="minorEastAsia" w:hAnsiTheme="minorEastAsia" w:eastAsiaTheme="minorEastAsia" w:cstheme="minorEastAsia"/>
                <w:color w:val="auto"/>
                <w:sz w:val="24"/>
                <w:szCs w:val="24"/>
                <w:highlight w:val="none"/>
              </w:rPr>
            </w:pPr>
          </w:p>
        </w:tc>
      </w:tr>
      <w:tr w14:paraId="60AEE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noWrap w:val="0"/>
            <w:vAlign w:val="top"/>
          </w:tcPr>
          <w:p w14:paraId="45222E94">
            <w:pPr>
              <w:pStyle w:val="22"/>
              <w:rPr>
                <w:rFonts w:hint="eastAsia" w:asciiTheme="minorEastAsia" w:hAnsiTheme="minorEastAsia" w:eastAsiaTheme="minorEastAsia" w:cstheme="minorEastAsia"/>
                <w:color w:val="auto"/>
                <w:sz w:val="24"/>
                <w:szCs w:val="24"/>
                <w:highlight w:val="none"/>
              </w:rPr>
            </w:pPr>
          </w:p>
        </w:tc>
        <w:tc>
          <w:tcPr>
            <w:tcW w:w="1515" w:type="dxa"/>
            <w:noWrap w:val="0"/>
            <w:vAlign w:val="top"/>
          </w:tcPr>
          <w:p w14:paraId="1F950A71">
            <w:pPr>
              <w:pStyle w:val="22"/>
              <w:rPr>
                <w:rFonts w:hint="eastAsia" w:asciiTheme="minorEastAsia" w:hAnsiTheme="minorEastAsia" w:eastAsiaTheme="minorEastAsia" w:cstheme="minorEastAsia"/>
                <w:color w:val="auto"/>
                <w:sz w:val="24"/>
                <w:szCs w:val="24"/>
                <w:highlight w:val="none"/>
              </w:rPr>
            </w:pPr>
          </w:p>
        </w:tc>
        <w:tc>
          <w:tcPr>
            <w:tcW w:w="1742" w:type="dxa"/>
            <w:noWrap w:val="0"/>
            <w:vAlign w:val="top"/>
          </w:tcPr>
          <w:p w14:paraId="144C017F">
            <w:pPr>
              <w:pStyle w:val="22"/>
              <w:rPr>
                <w:rFonts w:hint="eastAsia" w:asciiTheme="minorEastAsia" w:hAnsiTheme="minorEastAsia" w:eastAsiaTheme="minorEastAsia" w:cstheme="minorEastAsia"/>
                <w:color w:val="auto"/>
                <w:sz w:val="24"/>
                <w:szCs w:val="24"/>
                <w:highlight w:val="none"/>
              </w:rPr>
            </w:pPr>
          </w:p>
        </w:tc>
        <w:tc>
          <w:tcPr>
            <w:tcW w:w="855" w:type="dxa"/>
            <w:noWrap w:val="0"/>
            <w:vAlign w:val="top"/>
          </w:tcPr>
          <w:p w14:paraId="0AC1D61E">
            <w:pPr>
              <w:pStyle w:val="22"/>
              <w:rPr>
                <w:rFonts w:hint="eastAsia" w:asciiTheme="minorEastAsia" w:hAnsiTheme="minorEastAsia" w:eastAsiaTheme="minorEastAsia" w:cstheme="minorEastAsia"/>
                <w:color w:val="auto"/>
                <w:sz w:val="24"/>
                <w:szCs w:val="24"/>
                <w:highlight w:val="none"/>
              </w:rPr>
            </w:pPr>
          </w:p>
        </w:tc>
        <w:tc>
          <w:tcPr>
            <w:tcW w:w="839" w:type="dxa"/>
            <w:noWrap w:val="0"/>
            <w:vAlign w:val="top"/>
          </w:tcPr>
          <w:p w14:paraId="17DCB43E">
            <w:pPr>
              <w:pStyle w:val="22"/>
              <w:rPr>
                <w:rFonts w:hint="eastAsia" w:asciiTheme="minorEastAsia" w:hAnsiTheme="minorEastAsia" w:eastAsiaTheme="minorEastAsia" w:cstheme="minorEastAsia"/>
                <w:color w:val="auto"/>
                <w:sz w:val="24"/>
                <w:szCs w:val="24"/>
                <w:highlight w:val="none"/>
              </w:rPr>
            </w:pPr>
          </w:p>
        </w:tc>
        <w:tc>
          <w:tcPr>
            <w:tcW w:w="1048" w:type="dxa"/>
            <w:noWrap w:val="0"/>
            <w:vAlign w:val="top"/>
          </w:tcPr>
          <w:p w14:paraId="341B9207">
            <w:pPr>
              <w:pStyle w:val="22"/>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0B0F7A78">
            <w:pPr>
              <w:pStyle w:val="22"/>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684349DC">
            <w:pPr>
              <w:pStyle w:val="22"/>
              <w:rPr>
                <w:rFonts w:hint="eastAsia" w:asciiTheme="minorEastAsia" w:hAnsiTheme="minorEastAsia" w:eastAsiaTheme="minorEastAsia" w:cstheme="minorEastAsia"/>
                <w:color w:val="auto"/>
                <w:sz w:val="24"/>
                <w:szCs w:val="24"/>
                <w:highlight w:val="none"/>
              </w:rPr>
            </w:pPr>
          </w:p>
        </w:tc>
      </w:tr>
      <w:tr w14:paraId="6D25B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697" w:type="dxa"/>
            <w:noWrap w:val="0"/>
            <w:vAlign w:val="top"/>
          </w:tcPr>
          <w:p w14:paraId="5BC6E270">
            <w:pPr>
              <w:pStyle w:val="22"/>
              <w:rPr>
                <w:rFonts w:hint="eastAsia" w:asciiTheme="minorEastAsia" w:hAnsiTheme="minorEastAsia" w:eastAsiaTheme="minorEastAsia" w:cstheme="minorEastAsia"/>
                <w:color w:val="auto"/>
                <w:sz w:val="24"/>
                <w:szCs w:val="24"/>
                <w:highlight w:val="none"/>
              </w:rPr>
            </w:pPr>
          </w:p>
        </w:tc>
        <w:tc>
          <w:tcPr>
            <w:tcW w:w="1515" w:type="dxa"/>
            <w:noWrap w:val="0"/>
            <w:vAlign w:val="top"/>
          </w:tcPr>
          <w:p w14:paraId="72EBEA03">
            <w:pPr>
              <w:pStyle w:val="22"/>
              <w:rPr>
                <w:rFonts w:hint="eastAsia" w:asciiTheme="minorEastAsia" w:hAnsiTheme="minorEastAsia" w:eastAsiaTheme="minorEastAsia" w:cstheme="minorEastAsia"/>
                <w:color w:val="auto"/>
                <w:sz w:val="24"/>
                <w:szCs w:val="24"/>
                <w:highlight w:val="none"/>
              </w:rPr>
            </w:pPr>
          </w:p>
        </w:tc>
        <w:tc>
          <w:tcPr>
            <w:tcW w:w="1742" w:type="dxa"/>
            <w:noWrap w:val="0"/>
            <w:vAlign w:val="top"/>
          </w:tcPr>
          <w:p w14:paraId="22744868">
            <w:pPr>
              <w:pStyle w:val="22"/>
              <w:rPr>
                <w:rFonts w:hint="eastAsia" w:asciiTheme="minorEastAsia" w:hAnsiTheme="minorEastAsia" w:eastAsiaTheme="minorEastAsia" w:cstheme="minorEastAsia"/>
                <w:color w:val="auto"/>
                <w:sz w:val="24"/>
                <w:szCs w:val="24"/>
                <w:highlight w:val="none"/>
              </w:rPr>
            </w:pPr>
          </w:p>
        </w:tc>
        <w:tc>
          <w:tcPr>
            <w:tcW w:w="855" w:type="dxa"/>
            <w:noWrap w:val="0"/>
            <w:vAlign w:val="top"/>
          </w:tcPr>
          <w:p w14:paraId="6395AB26">
            <w:pPr>
              <w:pStyle w:val="22"/>
              <w:rPr>
                <w:rFonts w:hint="eastAsia" w:asciiTheme="minorEastAsia" w:hAnsiTheme="minorEastAsia" w:eastAsiaTheme="minorEastAsia" w:cstheme="minorEastAsia"/>
                <w:color w:val="auto"/>
                <w:sz w:val="24"/>
                <w:szCs w:val="24"/>
                <w:highlight w:val="none"/>
              </w:rPr>
            </w:pPr>
          </w:p>
        </w:tc>
        <w:tc>
          <w:tcPr>
            <w:tcW w:w="839" w:type="dxa"/>
            <w:noWrap w:val="0"/>
            <w:vAlign w:val="top"/>
          </w:tcPr>
          <w:p w14:paraId="0673E21E">
            <w:pPr>
              <w:pStyle w:val="22"/>
              <w:rPr>
                <w:rFonts w:hint="eastAsia" w:asciiTheme="minorEastAsia" w:hAnsiTheme="minorEastAsia" w:eastAsiaTheme="minorEastAsia" w:cstheme="minorEastAsia"/>
                <w:color w:val="auto"/>
                <w:sz w:val="24"/>
                <w:szCs w:val="24"/>
                <w:highlight w:val="none"/>
              </w:rPr>
            </w:pPr>
          </w:p>
        </w:tc>
        <w:tc>
          <w:tcPr>
            <w:tcW w:w="1048" w:type="dxa"/>
            <w:noWrap w:val="0"/>
            <w:vAlign w:val="top"/>
          </w:tcPr>
          <w:p w14:paraId="4DB3058F">
            <w:pPr>
              <w:pStyle w:val="22"/>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6545D069">
            <w:pPr>
              <w:pStyle w:val="22"/>
              <w:rPr>
                <w:rFonts w:hint="eastAsia" w:asciiTheme="minorEastAsia" w:hAnsiTheme="minorEastAsia" w:eastAsiaTheme="minorEastAsia" w:cstheme="minorEastAsia"/>
                <w:color w:val="auto"/>
                <w:sz w:val="24"/>
                <w:szCs w:val="24"/>
                <w:highlight w:val="none"/>
              </w:rPr>
            </w:pPr>
          </w:p>
        </w:tc>
        <w:tc>
          <w:tcPr>
            <w:tcW w:w="1210" w:type="dxa"/>
            <w:noWrap w:val="0"/>
            <w:vAlign w:val="top"/>
          </w:tcPr>
          <w:p w14:paraId="5B1BE8BD">
            <w:pPr>
              <w:pStyle w:val="22"/>
              <w:rPr>
                <w:rFonts w:hint="eastAsia" w:asciiTheme="minorEastAsia" w:hAnsiTheme="minorEastAsia" w:eastAsiaTheme="minorEastAsia" w:cstheme="minorEastAsia"/>
                <w:color w:val="auto"/>
                <w:sz w:val="24"/>
                <w:szCs w:val="24"/>
                <w:highlight w:val="none"/>
              </w:rPr>
            </w:pPr>
          </w:p>
        </w:tc>
      </w:tr>
    </w:tbl>
    <w:p w14:paraId="6BBD94F0">
      <w:pPr>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26C89CC3">
      <w:pPr>
        <w:spacing w:line="360" w:lineRule="auto"/>
        <w:rPr>
          <w:rFonts w:hint="eastAsia" w:asciiTheme="minorEastAsia" w:hAnsiTheme="minorEastAsia" w:eastAsiaTheme="minorEastAsia" w:cstheme="minorEastAsia"/>
          <w:b w:val="0"/>
          <w:bCs w:val="0"/>
          <w:color w:val="auto"/>
          <w:sz w:val="24"/>
          <w:szCs w:val="24"/>
          <w:highlight w:val="none"/>
          <w:u w:val="none"/>
        </w:rPr>
      </w:pPr>
      <w:r>
        <w:rPr>
          <w:rFonts w:hint="eastAsia" w:asciiTheme="minorEastAsia" w:hAnsiTheme="minorEastAsia" w:eastAsiaTheme="minorEastAsia" w:cstheme="minorEastAsia"/>
          <w:color w:val="auto"/>
          <w:sz w:val="24"/>
          <w:szCs w:val="24"/>
          <w:highlight w:val="none"/>
        </w:rPr>
        <w:t>注：1、提供的备品备件、配件及专用工具必须符合国家标准和本项目要求</w:t>
      </w:r>
      <w:r>
        <w:rPr>
          <w:rFonts w:hint="eastAsia" w:asciiTheme="minorEastAsia" w:hAnsiTheme="minorEastAsia" w:eastAsiaTheme="minorEastAsia" w:cstheme="minorEastAsia"/>
          <w:b w:val="0"/>
          <w:bCs w:val="0"/>
          <w:color w:val="auto"/>
          <w:sz w:val="24"/>
          <w:szCs w:val="24"/>
          <w:highlight w:val="none"/>
          <w:u w:val="none"/>
        </w:rPr>
        <w:t>。</w:t>
      </w:r>
    </w:p>
    <w:p w14:paraId="66AB8C2F">
      <w:pPr>
        <w:pStyle w:val="22"/>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投标人应免费提供质量保修期内必备的备品、备件及专用工具。</w:t>
      </w:r>
    </w:p>
    <w:p w14:paraId="3F78DE4F">
      <w:pPr>
        <w:pStyle w:val="22"/>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3、投标人应根据投标清单中的技术状况列出详细的备品备件及专用工具清单，并附详细的使用说明。如在质量保修期内实际所需的数量超过了中标人在投标时预计和实际提供的数量时，中标人应负责免费供应。</w:t>
      </w:r>
    </w:p>
    <w:p w14:paraId="67CBF2E7">
      <w:pPr>
        <w:pStyle w:val="22"/>
        <w:spacing w:line="360" w:lineRule="auto"/>
        <w:rPr>
          <w:rFonts w:hint="eastAsia" w:asciiTheme="minorEastAsia" w:hAnsiTheme="minorEastAsia" w:eastAsiaTheme="minorEastAsia" w:cstheme="minorEastAsia"/>
          <w:color w:val="auto"/>
          <w:sz w:val="24"/>
          <w:szCs w:val="24"/>
          <w:highlight w:val="none"/>
          <w:lang w:val="en-US" w:eastAsia="zh-CN"/>
        </w:rPr>
      </w:pPr>
    </w:p>
    <w:p w14:paraId="6FFBF591">
      <w:pPr>
        <w:pStyle w:val="22"/>
        <w:spacing w:line="360" w:lineRule="auto"/>
        <w:rPr>
          <w:rFonts w:hint="eastAsia" w:asciiTheme="minorEastAsia" w:hAnsiTheme="minorEastAsia" w:eastAsiaTheme="minorEastAsia" w:cstheme="minorEastAsia"/>
          <w:color w:val="auto"/>
          <w:sz w:val="24"/>
          <w:szCs w:val="24"/>
          <w:highlight w:val="none"/>
          <w:lang w:val="en-US" w:eastAsia="zh-CN"/>
        </w:rPr>
      </w:pPr>
    </w:p>
    <w:p w14:paraId="1F63FE0B">
      <w:pPr>
        <w:pStyle w:val="22"/>
        <w:spacing w:line="360" w:lineRule="auto"/>
        <w:ind w:firstLine="2880" w:firstLineChars="1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：（盖章）</w:t>
      </w:r>
    </w:p>
    <w:p w14:paraId="1188FE5E">
      <w:pPr>
        <w:pStyle w:val="22"/>
        <w:spacing w:line="360" w:lineRule="auto"/>
        <w:ind w:firstLine="2880" w:firstLineChars="1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法定代表人或委托代理人：（签字或盖章）</w:t>
      </w:r>
    </w:p>
    <w:p w14:paraId="7C31C690">
      <w:pPr>
        <w:adjustRightInd w:val="0"/>
        <w:snapToGrid w:val="0"/>
        <w:spacing w:before="50" w:after="50" w:line="400" w:lineRule="exact"/>
        <w:ind w:firstLine="2880" w:firstLineChars="1200"/>
        <w:rPr>
          <w:rFonts w:hint="eastAsia" w:ascii="宋体" w:hAnsi="宋体" w:cs="宋体"/>
          <w:b/>
          <w:bCs/>
          <w:color w:val="auto"/>
          <w:sz w:val="24"/>
          <w:szCs w:val="24"/>
          <w:highlight w:val="none"/>
          <w:u w:val="none"/>
        </w:rPr>
      </w:pPr>
      <w:r>
        <w:rPr>
          <w:rFonts w:hint="eastAsia" w:asciiTheme="minorEastAsia" w:hAnsiTheme="minorEastAsia" w:eastAsiaTheme="minorEastAsia" w:cstheme="minorEastAsia"/>
          <w:color w:val="auto"/>
          <w:sz w:val="24"/>
          <w:szCs w:val="24"/>
          <w:highlight w:val="none"/>
          <w:lang w:val="en-US" w:eastAsia="zh-CN"/>
        </w:rPr>
        <w:t>日期：    年    月   日</w:t>
      </w:r>
    </w:p>
    <w:p w14:paraId="0A085006">
      <w:pPr>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rPr>
        <w:br w:type="page"/>
      </w:r>
    </w:p>
    <w:p w14:paraId="406D28EE">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w:t>
      </w:r>
      <w:r>
        <w:rPr>
          <w:rFonts w:hint="eastAsia" w:ascii="宋体" w:hAnsi="宋体" w:cs="宋体"/>
          <w:b/>
          <w:color w:val="auto"/>
          <w:sz w:val="24"/>
          <w:szCs w:val="24"/>
          <w:highlight w:val="none"/>
          <w:lang w:val="en-US" w:eastAsia="zh-CN"/>
        </w:rPr>
        <w:t>1</w:t>
      </w:r>
      <w:r>
        <w:rPr>
          <w:rFonts w:hint="eastAsia" w:ascii="宋体" w:hAnsi="宋体" w:eastAsia="宋体" w:cs="宋体"/>
          <w:b/>
          <w:color w:val="auto"/>
          <w:sz w:val="24"/>
          <w:szCs w:val="24"/>
          <w:highlight w:val="none"/>
          <w:lang w:val="en-US" w:eastAsia="zh-CN"/>
        </w:rPr>
        <w:t>、其他优惠条件（如有）：投标人承诺给予采购人的各种优惠条件，包括备品备件、专用耗材等；</w:t>
      </w:r>
    </w:p>
    <w:p w14:paraId="1B65037A">
      <w:pPr>
        <w:widowControl/>
        <w:snapToGrid w:val="0"/>
        <w:spacing w:line="400" w:lineRule="exact"/>
        <w:jc w:val="left"/>
        <w:rPr>
          <w:rFonts w:hint="eastAsia" w:ascii="宋体" w:hAnsi="宋体" w:eastAsia="宋体" w:cs="宋体"/>
          <w:b/>
          <w:color w:val="auto"/>
          <w:sz w:val="24"/>
          <w:szCs w:val="24"/>
          <w:highlight w:val="none"/>
          <w:lang w:val="en-US" w:eastAsia="zh-CN"/>
        </w:rPr>
      </w:pPr>
    </w:p>
    <w:p w14:paraId="6AAC915B">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br w:type="page"/>
      </w:r>
    </w:p>
    <w:p w14:paraId="03318B98">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w:t>
      </w:r>
      <w:r>
        <w:rPr>
          <w:rFonts w:hint="eastAsia" w:ascii="宋体" w:hAnsi="宋体" w:cs="宋体"/>
          <w:b/>
          <w:color w:val="auto"/>
          <w:sz w:val="24"/>
          <w:szCs w:val="24"/>
          <w:highlight w:val="none"/>
          <w:lang w:val="en-US" w:eastAsia="zh-CN"/>
        </w:rPr>
        <w:t>2</w:t>
      </w:r>
      <w:r>
        <w:rPr>
          <w:rFonts w:hint="eastAsia" w:ascii="宋体" w:hAnsi="宋体" w:eastAsia="宋体" w:cs="宋体"/>
          <w:b/>
          <w:color w:val="auto"/>
          <w:sz w:val="24"/>
          <w:szCs w:val="24"/>
          <w:highlight w:val="none"/>
          <w:lang w:val="en-US" w:eastAsia="zh-CN"/>
        </w:rPr>
        <w:t>、投标人需要提供的其他文件或资料（如有）。</w:t>
      </w:r>
    </w:p>
    <w:p w14:paraId="6BA5B63E">
      <w:pPr>
        <w:pStyle w:val="30"/>
        <w:rPr>
          <w:rFonts w:hint="eastAsia" w:ascii="宋体" w:hAnsi="宋体" w:cs="宋体"/>
          <w:b/>
          <w:bCs/>
          <w:color w:val="auto"/>
          <w:sz w:val="24"/>
          <w:szCs w:val="24"/>
          <w:highlight w:val="none"/>
        </w:rPr>
      </w:pPr>
    </w:p>
    <w:p w14:paraId="313E714A">
      <w:pPr>
        <w:pStyle w:val="30"/>
        <w:rPr>
          <w:rFonts w:hint="eastAsia" w:ascii="宋体" w:hAnsi="宋体" w:cs="宋体"/>
          <w:b/>
          <w:bCs/>
          <w:color w:val="auto"/>
          <w:sz w:val="24"/>
          <w:szCs w:val="24"/>
          <w:highlight w:val="none"/>
        </w:rPr>
      </w:pPr>
    </w:p>
    <w:p w14:paraId="5B87D62A">
      <w:pPr>
        <w:pStyle w:val="30"/>
        <w:rPr>
          <w:rFonts w:hint="eastAsia" w:ascii="宋体" w:hAnsi="宋体" w:cs="宋体"/>
          <w:b/>
          <w:bCs/>
          <w:color w:val="auto"/>
          <w:sz w:val="24"/>
          <w:szCs w:val="24"/>
          <w:highlight w:val="none"/>
        </w:rPr>
      </w:pPr>
    </w:p>
    <w:p w14:paraId="75B530AE">
      <w:pPr>
        <w:rPr>
          <w:rFonts w:hint="eastAsia"/>
          <w:color w:val="auto"/>
          <w:sz w:val="24"/>
          <w:szCs w:val="22"/>
          <w:highlight w:val="none"/>
        </w:rPr>
      </w:pPr>
      <w:r>
        <w:rPr>
          <w:rFonts w:hint="eastAsia"/>
          <w:color w:val="auto"/>
          <w:sz w:val="24"/>
          <w:szCs w:val="22"/>
          <w:highlight w:val="none"/>
        </w:rPr>
        <w:br w:type="page"/>
      </w:r>
    </w:p>
    <w:p w14:paraId="0E309A49">
      <w:pPr>
        <w:pStyle w:val="38"/>
        <w:ind w:firstLine="0" w:firstLineChars="0"/>
        <w:rPr>
          <w:color w:val="auto"/>
          <w:sz w:val="24"/>
          <w:szCs w:val="22"/>
          <w:highlight w:val="none"/>
        </w:rPr>
      </w:pPr>
      <w:r>
        <w:rPr>
          <w:rFonts w:hint="eastAsia"/>
          <w:color w:val="auto"/>
          <w:sz w:val="24"/>
          <w:szCs w:val="22"/>
          <w:highlight w:val="none"/>
        </w:rPr>
        <w:t>附：</w:t>
      </w:r>
    </w:p>
    <w:p w14:paraId="26534D3D">
      <w:pPr>
        <w:pStyle w:val="38"/>
        <w:ind w:firstLine="0" w:firstLineChars="0"/>
        <w:jc w:val="center"/>
        <w:rPr>
          <w:color w:val="auto"/>
          <w:sz w:val="24"/>
          <w:szCs w:val="22"/>
          <w:highlight w:val="none"/>
        </w:rPr>
      </w:pPr>
      <w:r>
        <w:rPr>
          <w:rFonts w:hint="eastAsia"/>
          <w:color w:val="auto"/>
          <w:sz w:val="24"/>
          <w:szCs w:val="22"/>
          <w:highlight w:val="none"/>
        </w:rPr>
        <w:t>质疑函范本</w:t>
      </w:r>
    </w:p>
    <w:p w14:paraId="35CEA6DB">
      <w:pPr>
        <w:pStyle w:val="38"/>
        <w:ind w:firstLine="480"/>
        <w:rPr>
          <w:color w:val="auto"/>
          <w:sz w:val="24"/>
          <w:szCs w:val="22"/>
          <w:highlight w:val="none"/>
        </w:rPr>
      </w:pPr>
      <w:r>
        <w:rPr>
          <w:rFonts w:hint="eastAsia"/>
          <w:color w:val="auto"/>
          <w:sz w:val="24"/>
          <w:szCs w:val="22"/>
          <w:highlight w:val="none"/>
        </w:rPr>
        <w:t>一、质疑供应商基本信息</w:t>
      </w:r>
    </w:p>
    <w:p w14:paraId="082B7CDE">
      <w:pPr>
        <w:pStyle w:val="38"/>
        <w:ind w:firstLine="480"/>
        <w:rPr>
          <w:color w:val="auto"/>
          <w:sz w:val="24"/>
          <w:szCs w:val="22"/>
          <w:highlight w:val="none"/>
          <w:u w:val="single"/>
        </w:rPr>
      </w:pPr>
      <w:r>
        <w:rPr>
          <w:rFonts w:hint="eastAsia"/>
          <w:color w:val="auto"/>
          <w:sz w:val="24"/>
          <w:szCs w:val="22"/>
          <w:highlight w:val="none"/>
        </w:rPr>
        <w:t xml:space="preserve">质疑供应商：  </w:t>
      </w:r>
    </w:p>
    <w:p w14:paraId="086CF72E">
      <w:pPr>
        <w:pStyle w:val="38"/>
        <w:ind w:firstLine="480"/>
        <w:rPr>
          <w:color w:val="auto"/>
          <w:sz w:val="24"/>
          <w:szCs w:val="22"/>
          <w:highlight w:val="none"/>
        </w:rPr>
      </w:pPr>
      <w:r>
        <w:rPr>
          <w:rFonts w:hint="eastAsia"/>
          <w:color w:val="auto"/>
          <w:sz w:val="24"/>
          <w:szCs w:val="22"/>
          <w:highlight w:val="none"/>
        </w:rPr>
        <w:t xml:space="preserve">地址：                          邮编：                  </w:t>
      </w:r>
    </w:p>
    <w:p w14:paraId="3689B03A">
      <w:pPr>
        <w:pStyle w:val="38"/>
        <w:ind w:firstLine="480"/>
        <w:rPr>
          <w:color w:val="auto"/>
          <w:sz w:val="24"/>
          <w:szCs w:val="22"/>
          <w:highlight w:val="none"/>
        </w:rPr>
      </w:pPr>
      <w:r>
        <w:rPr>
          <w:rFonts w:hint="eastAsia"/>
          <w:color w:val="auto"/>
          <w:sz w:val="24"/>
          <w:szCs w:val="22"/>
          <w:highlight w:val="none"/>
        </w:rPr>
        <w:t xml:space="preserve">联系人：                      联系电话：                 </w:t>
      </w:r>
    </w:p>
    <w:p w14:paraId="6871924E">
      <w:pPr>
        <w:pStyle w:val="38"/>
        <w:ind w:firstLine="480"/>
        <w:rPr>
          <w:color w:val="auto"/>
          <w:sz w:val="24"/>
          <w:szCs w:val="22"/>
          <w:highlight w:val="none"/>
        </w:rPr>
      </w:pPr>
      <w:r>
        <w:rPr>
          <w:rFonts w:hint="eastAsia"/>
          <w:color w:val="auto"/>
          <w:sz w:val="24"/>
          <w:szCs w:val="22"/>
          <w:highlight w:val="none"/>
        </w:rPr>
        <w:t xml:space="preserve">授权代表：                                          </w:t>
      </w:r>
    </w:p>
    <w:p w14:paraId="50A83D34">
      <w:pPr>
        <w:pStyle w:val="38"/>
        <w:ind w:firstLine="480"/>
        <w:rPr>
          <w:color w:val="auto"/>
          <w:sz w:val="24"/>
          <w:szCs w:val="22"/>
          <w:highlight w:val="none"/>
        </w:rPr>
      </w:pPr>
      <w:r>
        <w:rPr>
          <w:rFonts w:hint="eastAsia"/>
          <w:color w:val="auto"/>
          <w:sz w:val="24"/>
          <w:szCs w:val="22"/>
          <w:highlight w:val="none"/>
        </w:rPr>
        <w:t xml:space="preserve">联系电话：                                            </w:t>
      </w:r>
    </w:p>
    <w:p w14:paraId="0CEC6899">
      <w:pPr>
        <w:pStyle w:val="38"/>
        <w:ind w:firstLine="480"/>
        <w:rPr>
          <w:color w:val="auto"/>
          <w:sz w:val="24"/>
          <w:szCs w:val="22"/>
          <w:highlight w:val="none"/>
        </w:rPr>
      </w:pPr>
      <w:r>
        <w:rPr>
          <w:rFonts w:hint="eastAsia"/>
          <w:color w:val="auto"/>
          <w:sz w:val="24"/>
          <w:szCs w:val="22"/>
          <w:highlight w:val="none"/>
        </w:rPr>
        <w:t xml:space="preserve">地址：                         邮编：                    </w:t>
      </w:r>
    </w:p>
    <w:p w14:paraId="6A7694A3">
      <w:pPr>
        <w:pStyle w:val="38"/>
        <w:ind w:firstLine="480"/>
        <w:rPr>
          <w:color w:val="auto"/>
          <w:sz w:val="24"/>
          <w:szCs w:val="22"/>
          <w:highlight w:val="none"/>
        </w:rPr>
      </w:pPr>
      <w:r>
        <w:rPr>
          <w:rFonts w:hint="eastAsia"/>
          <w:color w:val="auto"/>
          <w:sz w:val="24"/>
          <w:szCs w:val="22"/>
          <w:highlight w:val="none"/>
        </w:rPr>
        <w:t>二、质疑项目基本情况</w:t>
      </w:r>
    </w:p>
    <w:p w14:paraId="2B74D153">
      <w:pPr>
        <w:pStyle w:val="38"/>
        <w:ind w:firstLine="480"/>
        <w:rPr>
          <w:color w:val="auto"/>
          <w:sz w:val="24"/>
          <w:szCs w:val="22"/>
          <w:highlight w:val="none"/>
        </w:rPr>
      </w:pPr>
      <w:r>
        <w:rPr>
          <w:rFonts w:hint="eastAsia"/>
          <w:color w:val="auto"/>
          <w:sz w:val="24"/>
          <w:szCs w:val="22"/>
          <w:highlight w:val="none"/>
        </w:rPr>
        <w:t xml:space="preserve">质疑项目的名称：                                      </w:t>
      </w:r>
    </w:p>
    <w:p w14:paraId="03E0A6F0">
      <w:pPr>
        <w:pStyle w:val="38"/>
        <w:ind w:firstLine="480"/>
        <w:rPr>
          <w:color w:val="auto"/>
          <w:sz w:val="24"/>
          <w:szCs w:val="22"/>
          <w:highlight w:val="none"/>
        </w:rPr>
      </w:pPr>
      <w:r>
        <w:rPr>
          <w:rFonts w:hint="eastAsia"/>
          <w:color w:val="auto"/>
          <w:sz w:val="24"/>
          <w:szCs w:val="22"/>
          <w:highlight w:val="none"/>
        </w:rPr>
        <w:t xml:space="preserve">质疑项目的编号：               包号：                 </w:t>
      </w:r>
    </w:p>
    <w:p w14:paraId="7AD3A8BB">
      <w:pPr>
        <w:pStyle w:val="38"/>
        <w:ind w:firstLine="480"/>
        <w:rPr>
          <w:color w:val="auto"/>
          <w:sz w:val="24"/>
          <w:szCs w:val="22"/>
          <w:highlight w:val="none"/>
        </w:rPr>
      </w:pPr>
      <w:r>
        <w:rPr>
          <w:rFonts w:hint="eastAsia"/>
          <w:color w:val="auto"/>
          <w:sz w:val="24"/>
          <w:szCs w:val="22"/>
          <w:highlight w:val="none"/>
        </w:rPr>
        <w:t xml:space="preserve">采购人名称：                                         </w:t>
      </w:r>
    </w:p>
    <w:p w14:paraId="52355CA7">
      <w:pPr>
        <w:pStyle w:val="38"/>
        <w:ind w:firstLine="480"/>
        <w:rPr>
          <w:color w:val="auto"/>
          <w:sz w:val="24"/>
          <w:szCs w:val="22"/>
          <w:highlight w:val="none"/>
        </w:rPr>
      </w:pPr>
      <w:r>
        <w:rPr>
          <w:rFonts w:hint="eastAsia"/>
          <w:color w:val="auto"/>
          <w:sz w:val="24"/>
          <w:szCs w:val="22"/>
          <w:highlight w:val="none"/>
        </w:rPr>
        <w:t xml:space="preserve">招标文件获取日期：                                           </w:t>
      </w:r>
    </w:p>
    <w:p w14:paraId="36600364">
      <w:pPr>
        <w:pStyle w:val="38"/>
        <w:ind w:firstLine="480"/>
        <w:rPr>
          <w:color w:val="auto"/>
          <w:sz w:val="24"/>
          <w:szCs w:val="22"/>
          <w:highlight w:val="none"/>
        </w:rPr>
      </w:pPr>
      <w:r>
        <w:rPr>
          <w:rFonts w:hint="eastAsia"/>
          <w:color w:val="auto"/>
          <w:sz w:val="24"/>
          <w:szCs w:val="22"/>
          <w:highlight w:val="none"/>
        </w:rPr>
        <w:t>三、质疑事项具体内容</w:t>
      </w:r>
    </w:p>
    <w:p w14:paraId="6CBB569D">
      <w:pPr>
        <w:pStyle w:val="38"/>
        <w:ind w:firstLine="480"/>
        <w:rPr>
          <w:color w:val="auto"/>
          <w:sz w:val="24"/>
          <w:szCs w:val="22"/>
          <w:highlight w:val="none"/>
        </w:rPr>
      </w:pPr>
      <w:r>
        <w:rPr>
          <w:rFonts w:hint="eastAsia"/>
          <w:color w:val="auto"/>
          <w:sz w:val="24"/>
          <w:szCs w:val="22"/>
          <w:highlight w:val="none"/>
        </w:rPr>
        <w:t xml:space="preserve">质疑事项1：                                         </w:t>
      </w:r>
    </w:p>
    <w:p w14:paraId="1142CA9F">
      <w:pPr>
        <w:pStyle w:val="38"/>
        <w:ind w:firstLine="480"/>
        <w:rPr>
          <w:color w:val="auto"/>
          <w:sz w:val="24"/>
          <w:szCs w:val="22"/>
          <w:highlight w:val="none"/>
        </w:rPr>
      </w:pPr>
      <w:r>
        <w:rPr>
          <w:rFonts w:hint="eastAsia"/>
          <w:color w:val="auto"/>
          <w:sz w:val="24"/>
          <w:szCs w:val="22"/>
          <w:highlight w:val="none"/>
        </w:rPr>
        <w:t xml:space="preserve">事实依据：                                          </w:t>
      </w:r>
    </w:p>
    <w:p w14:paraId="6A1AF974">
      <w:pPr>
        <w:pStyle w:val="38"/>
        <w:ind w:firstLine="480"/>
        <w:rPr>
          <w:color w:val="auto"/>
          <w:sz w:val="24"/>
          <w:szCs w:val="22"/>
          <w:highlight w:val="none"/>
        </w:rPr>
      </w:pPr>
    </w:p>
    <w:p w14:paraId="607615C9">
      <w:pPr>
        <w:pStyle w:val="38"/>
        <w:ind w:firstLine="480"/>
        <w:rPr>
          <w:color w:val="auto"/>
          <w:sz w:val="24"/>
          <w:szCs w:val="22"/>
          <w:highlight w:val="none"/>
        </w:rPr>
      </w:pPr>
      <w:r>
        <w:rPr>
          <w:rFonts w:hint="eastAsia"/>
          <w:color w:val="auto"/>
          <w:sz w:val="24"/>
          <w:szCs w:val="22"/>
          <w:highlight w:val="none"/>
        </w:rPr>
        <w:t xml:space="preserve">法律依据：                                          </w:t>
      </w:r>
    </w:p>
    <w:p w14:paraId="2DE89D22">
      <w:pPr>
        <w:pStyle w:val="38"/>
        <w:ind w:firstLine="480"/>
        <w:rPr>
          <w:color w:val="auto"/>
          <w:sz w:val="24"/>
          <w:szCs w:val="22"/>
          <w:highlight w:val="none"/>
        </w:rPr>
      </w:pPr>
    </w:p>
    <w:p w14:paraId="2192014E">
      <w:pPr>
        <w:pStyle w:val="38"/>
        <w:ind w:firstLine="480"/>
        <w:rPr>
          <w:color w:val="auto"/>
          <w:sz w:val="24"/>
          <w:szCs w:val="22"/>
          <w:highlight w:val="none"/>
        </w:rPr>
      </w:pPr>
      <w:r>
        <w:rPr>
          <w:rFonts w:hint="eastAsia"/>
          <w:color w:val="auto"/>
          <w:sz w:val="24"/>
          <w:szCs w:val="22"/>
          <w:highlight w:val="none"/>
        </w:rPr>
        <w:t>质疑事项2</w:t>
      </w:r>
    </w:p>
    <w:p w14:paraId="7B8D8E73">
      <w:pPr>
        <w:pStyle w:val="38"/>
        <w:ind w:firstLine="480"/>
        <w:rPr>
          <w:color w:val="auto"/>
          <w:sz w:val="24"/>
          <w:szCs w:val="22"/>
          <w:highlight w:val="none"/>
        </w:rPr>
      </w:pPr>
      <w:r>
        <w:rPr>
          <w:rFonts w:hint="eastAsia"/>
          <w:color w:val="auto"/>
          <w:sz w:val="24"/>
          <w:szCs w:val="22"/>
          <w:highlight w:val="none"/>
        </w:rPr>
        <w:t>……</w:t>
      </w:r>
    </w:p>
    <w:p w14:paraId="31F019CF">
      <w:pPr>
        <w:pStyle w:val="38"/>
        <w:ind w:firstLine="480"/>
        <w:rPr>
          <w:color w:val="auto"/>
          <w:sz w:val="24"/>
          <w:szCs w:val="22"/>
          <w:highlight w:val="none"/>
        </w:rPr>
      </w:pPr>
      <w:r>
        <w:rPr>
          <w:rFonts w:hint="eastAsia"/>
          <w:color w:val="auto"/>
          <w:sz w:val="24"/>
          <w:szCs w:val="22"/>
          <w:highlight w:val="none"/>
        </w:rPr>
        <w:t>四、与质疑事项相关的质疑请求</w:t>
      </w:r>
    </w:p>
    <w:p w14:paraId="04E5472E">
      <w:pPr>
        <w:pStyle w:val="38"/>
        <w:ind w:firstLine="480"/>
        <w:rPr>
          <w:color w:val="auto"/>
          <w:sz w:val="24"/>
          <w:szCs w:val="22"/>
          <w:highlight w:val="none"/>
        </w:rPr>
      </w:pPr>
      <w:r>
        <w:rPr>
          <w:rFonts w:hint="eastAsia"/>
          <w:color w:val="auto"/>
          <w:sz w:val="24"/>
          <w:szCs w:val="22"/>
          <w:highlight w:val="none"/>
        </w:rPr>
        <w:t xml:space="preserve">请求：                                               </w:t>
      </w:r>
    </w:p>
    <w:p w14:paraId="14B22534">
      <w:pPr>
        <w:pStyle w:val="38"/>
        <w:ind w:firstLine="480"/>
        <w:rPr>
          <w:color w:val="auto"/>
          <w:sz w:val="24"/>
          <w:szCs w:val="22"/>
          <w:highlight w:val="none"/>
        </w:rPr>
      </w:pPr>
      <w:r>
        <w:rPr>
          <w:rFonts w:hint="eastAsia"/>
          <w:color w:val="auto"/>
          <w:sz w:val="24"/>
          <w:szCs w:val="22"/>
          <w:highlight w:val="none"/>
        </w:rPr>
        <w:t xml:space="preserve">签字(签章)：                   公章：                      </w:t>
      </w:r>
    </w:p>
    <w:p w14:paraId="380E7389">
      <w:pPr>
        <w:pStyle w:val="38"/>
        <w:ind w:firstLine="480"/>
        <w:rPr>
          <w:color w:val="auto"/>
          <w:sz w:val="24"/>
          <w:szCs w:val="22"/>
          <w:highlight w:val="none"/>
        </w:rPr>
      </w:pPr>
      <w:r>
        <w:rPr>
          <w:rFonts w:hint="eastAsia"/>
          <w:color w:val="auto"/>
          <w:sz w:val="24"/>
          <w:szCs w:val="22"/>
          <w:highlight w:val="none"/>
        </w:rPr>
        <w:t xml:space="preserve">日期：    </w:t>
      </w:r>
    </w:p>
    <w:p w14:paraId="659F343B">
      <w:pPr>
        <w:rPr>
          <w:color w:val="auto"/>
          <w:sz w:val="24"/>
          <w:szCs w:val="22"/>
          <w:highlight w:val="none"/>
        </w:rPr>
      </w:pPr>
      <w:r>
        <w:rPr>
          <w:rFonts w:hint="eastAsia"/>
          <w:color w:val="auto"/>
          <w:sz w:val="24"/>
          <w:szCs w:val="22"/>
          <w:highlight w:val="none"/>
        </w:rPr>
        <w:br w:type="page"/>
      </w:r>
    </w:p>
    <w:p w14:paraId="5E5CCECC">
      <w:pPr>
        <w:pStyle w:val="38"/>
        <w:ind w:firstLine="480"/>
        <w:rPr>
          <w:color w:val="auto"/>
          <w:sz w:val="24"/>
          <w:szCs w:val="22"/>
          <w:highlight w:val="none"/>
        </w:rPr>
      </w:pPr>
      <w:r>
        <w:rPr>
          <w:rFonts w:hint="eastAsia"/>
          <w:color w:val="auto"/>
          <w:sz w:val="24"/>
          <w:szCs w:val="22"/>
          <w:highlight w:val="none"/>
        </w:rPr>
        <w:t>质疑函制作说明：</w:t>
      </w:r>
    </w:p>
    <w:p w14:paraId="2244C974">
      <w:pPr>
        <w:pStyle w:val="38"/>
        <w:ind w:firstLine="480"/>
        <w:rPr>
          <w:color w:val="auto"/>
          <w:sz w:val="24"/>
          <w:szCs w:val="22"/>
          <w:highlight w:val="none"/>
        </w:rPr>
      </w:pPr>
      <w:r>
        <w:rPr>
          <w:rFonts w:hint="eastAsia"/>
          <w:color w:val="auto"/>
          <w:sz w:val="24"/>
          <w:szCs w:val="22"/>
          <w:highlight w:val="none"/>
        </w:rPr>
        <w:t>1.供应商提出质疑时，应提交质疑函和必要的证明材料。</w:t>
      </w:r>
    </w:p>
    <w:p w14:paraId="4F30FED3">
      <w:pPr>
        <w:pStyle w:val="38"/>
        <w:ind w:firstLine="480"/>
        <w:rPr>
          <w:color w:val="auto"/>
          <w:sz w:val="24"/>
          <w:szCs w:val="22"/>
          <w:highlight w:val="none"/>
        </w:rPr>
      </w:pPr>
      <w:r>
        <w:rPr>
          <w:rFonts w:hint="eastAsia"/>
          <w:color w:val="auto"/>
          <w:sz w:val="24"/>
          <w:szCs w:val="2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4AB5153">
      <w:pPr>
        <w:pStyle w:val="38"/>
        <w:ind w:firstLine="480"/>
        <w:rPr>
          <w:color w:val="auto"/>
          <w:sz w:val="24"/>
          <w:szCs w:val="22"/>
          <w:highlight w:val="none"/>
        </w:rPr>
      </w:pPr>
      <w:r>
        <w:rPr>
          <w:rFonts w:hint="eastAsia"/>
          <w:color w:val="auto"/>
          <w:sz w:val="24"/>
          <w:szCs w:val="22"/>
          <w:highlight w:val="none"/>
        </w:rPr>
        <w:t>3.质疑供应商若对项目的某一分包进行质疑，质疑函中应列明具体分包号。</w:t>
      </w:r>
    </w:p>
    <w:p w14:paraId="015DE500">
      <w:pPr>
        <w:pStyle w:val="38"/>
        <w:ind w:firstLine="480"/>
        <w:rPr>
          <w:color w:val="auto"/>
          <w:sz w:val="24"/>
          <w:szCs w:val="22"/>
          <w:highlight w:val="none"/>
        </w:rPr>
      </w:pPr>
      <w:r>
        <w:rPr>
          <w:rFonts w:hint="eastAsia"/>
          <w:color w:val="auto"/>
          <w:sz w:val="24"/>
          <w:szCs w:val="22"/>
          <w:highlight w:val="none"/>
        </w:rPr>
        <w:t>4.质疑函的质疑事项应具体、明确，并有必要的事实依据和法律依据。</w:t>
      </w:r>
    </w:p>
    <w:p w14:paraId="4F6577CE">
      <w:pPr>
        <w:pStyle w:val="38"/>
        <w:ind w:firstLine="480"/>
        <w:rPr>
          <w:color w:val="auto"/>
          <w:sz w:val="24"/>
          <w:szCs w:val="22"/>
          <w:highlight w:val="none"/>
        </w:rPr>
      </w:pPr>
      <w:r>
        <w:rPr>
          <w:rFonts w:hint="eastAsia"/>
          <w:color w:val="auto"/>
          <w:sz w:val="24"/>
          <w:szCs w:val="22"/>
          <w:highlight w:val="none"/>
        </w:rPr>
        <w:t>5.质疑函的质疑请求应与质疑事项相关。</w:t>
      </w:r>
    </w:p>
    <w:p w14:paraId="45A68360">
      <w:pPr>
        <w:pStyle w:val="38"/>
        <w:ind w:firstLine="480"/>
        <w:rPr>
          <w:color w:val="auto"/>
          <w:sz w:val="24"/>
          <w:szCs w:val="22"/>
          <w:highlight w:val="none"/>
        </w:rPr>
      </w:pPr>
      <w:r>
        <w:rPr>
          <w:rFonts w:hint="eastAsia"/>
          <w:color w:val="auto"/>
          <w:sz w:val="24"/>
          <w:szCs w:val="22"/>
          <w:highlight w:val="none"/>
        </w:rPr>
        <w:t>6.质疑供应商为自然人的，质疑函应由本人签字；质疑供应商为法人或者其他组织的，质疑函应由法定代表人、主要负责人，或者其授权代表签字或者盖章，并加盖公章。</w:t>
      </w:r>
    </w:p>
    <w:p w14:paraId="069CA351">
      <w:pPr>
        <w:rPr>
          <w:rFonts w:hint="eastAsia" w:eastAsia="宋体"/>
          <w:color w:val="auto"/>
          <w:highlight w:val="none"/>
          <w:lang w:eastAsia="zh-CN"/>
        </w:rPr>
        <w:sectPr>
          <w:headerReference r:id="rId4" w:type="default"/>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3"/>
          <w:cols w:space="720" w:num="1"/>
          <w:docGrid w:type="lines" w:linePitch="312" w:charSpace="0"/>
        </w:sectPr>
      </w:pPr>
      <w:bookmarkStart w:id="146" w:name="_Toc24870"/>
      <w:bookmarkStart w:id="147" w:name="_Toc105522757"/>
      <w:bookmarkStart w:id="148" w:name="_Toc30959"/>
      <w:bookmarkStart w:id="149" w:name="_Toc6920"/>
      <w:bookmarkStart w:id="150" w:name="_Toc99731325"/>
      <w:bookmarkStart w:id="151" w:name="_Toc99731210"/>
      <w:bookmarkStart w:id="152" w:name="_Toc95234398"/>
    </w:p>
    <w:bookmarkEnd w:id="146"/>
    <w:bookmarkEnd w:id="147"/>
    <w:bookmarkEnd w:id="148"/>
    <w:bookmarkEnd w:id="149"/>
    <w:bookmarkEnd w:id="150"/>
    <w:bookmarkEnd w:id="151"/>
    <w:bookmarkEnd w:id="152"/>
    <w:p w14:paraId="068175F1">
      <w:pPr>
        <w:pStyle w:val="2"/>
        <w:rPr>
          <w:rFonts w:hint="eastAsia" w:ascii="宋体" w:hAnsi="宋体" w:eastAsia="宋体" w:cs="宋体"/>
          <w:color w:val="auto"/>
          <w:highlight w:val="none"/>
        </w:rPr>
      </w:pPr>
      <w:r>
        <w:rPr>
          <w:rFonts w:hint="eastAsia" w:ascii="宋体" w:hAnsi="宋体" w:eastAsia="宋体" w:cs="宋体"/>
          <w:color w:val="auto"/>
          <w:highlight w:val="none"/>
        </w:rPr>
        <w:t>第六章 项目需求</w:t>
      </w:r>
    </w:p>
    <w:p w14:paraId="214B1749">
      <w:pPr>
        <w:pStyle w:val="128"/>
        <w:spacing w:line="360" w:lineRule="auto"/>
        <w:ind w:left="0" w:leftChars="0" w:firstLine="0" w:firstLineChars="0"/>
        <w:rPr>
          <w:rFonts w:hint="eastAsia" w:ascii="宋体" w:hAnsi="宋体" w:eastAsia="宋体" w:cs="宋体"/>
          <w:b/>
          <w:bCs/>
          <w:color w:val="auto"/>
          <w:sz w:val="24"/>
          <w:szCs w:val="32"/>
          <w:highlight w:val="none"/>
          <w:lang w:val="en-US" w:eastAsia="zh-CN"/>
        </w:rPr>
      </w:pPr>
      <w:r>
        <w:rPr>
          <w:rFonts w:hint="eastAsia" w:ascii="宋体" w:hAnsi="宋体" w:cs="宋体"/>
          <w:b/>
          <w:bCs/>
          <w:color w:val="auto"/>
          <w:sz w:val="24"/>
          <w:szCs w:val="32"/>
          <w:highlight w:val="none"/>
          <w:lang w:val="en-US" w:eastAsia="zh-CN"/>
        </w:rPr>
        <w:t>一、</w:t>
      </w:r>
      <w:r>
        <w:rPr>
          <w:rFonts w:hint="eastAsia" w:ascii="宋体" w:hAnsi="宋体" w:eastAsia="宋体" w:cs="宋体"/>
          <w:b/>
          <w:bCs/>
          <w:color w:val="auto"/>
          <w:sz w:val="24"/>
          <w:szCs w:val="32"/>
          <w:highlight w:val="none"/>
          <w:lang w:val="en-US" w:eastAsia="zh-CN"/>
        </w:rPr>
        <w:t>采购清单目录</w:t>
      </w:r>
    </w:p>
    <w:tbl>
      <w:tblPr>
        <w:tblStyle w:val="40"/>
        <w:tblpPr w:leftFromText="180" w:rightFromText="180" w:vertAnchor="text" w:horzAnchor="page" w:tblpX="656" w:tblpY="516"/>
        <w:tblOverlap w:val="never"/>
        <w:tblW w:w="100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5"/>
        <w:gridCol w:w="1000"/>
        <w:gridCol w:w="5968"/>
        <w:gridCol w:w="451"/>
        <w:gridCol w:w="613"/>
        <w:gridCol w:w="968"/>
        <w:gridCol w:w="468"/>
      </w:tblGrid>
      <w:tr w14:paraId="4FA8D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565" w:type="dxa"/>
            <w:vAlign w:val="center"/>
          </w:tcPr>
          <w:p w14:paraId="5A2279EB">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序号</w:t>
            </w:r>
          </w:p>
        </w:tc>
        <w:tc>
          <w:tcPr>
            <w:tcW w:w="1000" w:type="dxa"/>
            <w:vAlign w:val="center"/>
          </w:tcPr>
          <w:p w14:paraId="521383E5">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采购品目名称</w:t>
            </w:r>
          </w:p>
        </w:tc>
        <w:tc>
          <w:tcPr>
            <w:tcW w:w="5968" w:type="dxa"/>
            <w:vAlign w:val="center"/>
          </w:tcPr>
          <w:p w14:paraId="3F0B7823">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技术参数</w:t>
            </w:r>
          </w:p>
        </w:tc>
        <w:tc>
          <w:tcPr>
            <w:tcW w:w="451" w:type="dxa"/>
            <w:vAlign w:val="center"/>
          </w:tcPr>
          <w:p w14:paraId="7C32DE17">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单位</w:t>
            </w:r>
          </w:p>
        </w:tc>
        <w:tc>
          <w:tcPr>
            <w:tcW w:w="613" w:type="dxa"/>
            <w:vAlign w:val="center"/>
          </w:tcPr>
          <w:p w14:paraId="728423C7">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采购数量</w:t>
            </w:r>
          </w:p>
        </w:tc>
        <w:tc>
          <w:tcPr>
            <w:tcW w:w="968" w:type="dxa"/>
            <w:vAlign w:val="center"/>
          </w:tcPr>
          <w:p w14:paraId="2265890A">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控制单价</w:t>
            </w:r>
          </w:p>
          <w:p w14:paraId="2036D725">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sz w:val="18"/>
                <w:szCs w:val="18"/>
                <w:highlight w:val="none"/>
                <w:vertAlign w:val="baseline"/>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（万元）</w:t>
            </w:r>
          </w:p>
        </w:tc>
        <w:tc>
          <w:tcPr>
            <w:tcW w:w="468" w:type="dxa"/>
            <w:vAlign w:val="center"/>
          </w:tcPr>
          <w:p w14:paraId="6674AE42">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备注</w:t>
            </w:r>
          </w:p>
        </w:tc>
      </w:tr>
      <w:tr w14:paraId="16306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6" w:hRule="atLeast"/>
        </w:trPr>
        <w:tc>
          <w:tcPr>
            <w:tcW w:w="565" w:type="dxa"/>
            <w:vAlign w:val="center"/>
          </w:tcPr>
          <w:p w14:paraId="5203322F">
            <w:pPr>
              <w:pStyle w:val="22"/>
              <w:spacing w:line="240" w:lineRule="auto"/>
              <w:jc w:val="center"/>
              <w:rPr>
                <w:rFonts w:hint="eastAsia" w:asciiTheme="minorEastAsia" w:hAnsiTheme="minorEastAsia" w:eastAsiaTheme="minorEastAsia" w:cstheme="minorEastAsia"/>
                <w:color w:val="auto"/>
                <w:kern w:val="2"/>
                <w:sz w:val="18"/>
                <w:szCs w:val="18"/>
                <w:highlight w:val="none"/>
                <w:vertAlign w:val="baseline"/>
                <w:lang w:val="en-US" w:eastAsia="zh-CN" w:bidi="ar-SA"/>
              </w:rPr>
            </w:pPr>
            <w:r>
              <w:rPr>
                <w:rFonts w:hint="eastAsia" w:asciiTheme="minorEastAsia" w:hAnsiTheme="minorEastAsia" w:eastAsiaTheme="minorEastAsia" w:cstheme="minorEastAsia"/>
                <w:color w:val="auto"/>
                <w:kern w:val="2"/>
                <w:sz w:val="18"/>
                <w:szCs w:val="18"/>
                <w:highlight w:val="none"/>
                <w:vertAlign w:val="baseline"/>
                <w:lang w:val="en-US" w:eastAsia="zh-CN" w:bidi="ar-SA"/>
              </w:rPr>
              <w:t>1</w:t>
            </w:r>
          </w:p>
        </w:tc>
        <w:tc>
          <w:tcPr>
            <w:tcW w:w="1000" w:type="dxa"/>
            <w:vAlign w:val="center"/>
          </w:tcPr>
          <w:p w14:paraId="181A3538">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color w:val="auto"/>
                <w:kern w:val="2"/>
                <w:sz w:val="18"/>
                <w:szCs w:val="18"/>
                <w:highlight w:val="none"/>
                <w:vertAlign w:val="baseline"/>
                <w:lang w:val="en-US" w:eastAsia="zh-CN" w:bidi="ar-SA"/>
              </w:rPr>
            </w:pPr>
            <w:r>
              <w:rPr>
                <w:rFonts w:hint="eastAsia" w:asciiTheme="minorEastAsia" w:hAnsiTheme="minorEastAsia" w:eastAsiaTheme="minorEastAsia" w:cstheme="minorEastAsia"/>
                <w:color w:val="auto"/>
                <w:kern w:val="2"/>
                <w:sz w:val="18"/>
                <w:szCs w:val="18"/>
                <w:highlight w:val="none"/>
                <w:vertAlign w:val="baseline"/>
                <w:lang w:val="en-US" w:eastAsia="zh-CN" w:bidi="ar-SA"/>
              </w:rPr>
              <w:t>煤直接液化装置</w:t>
            </w:r>
          </w:p>
        </w:tc>
        <w:tc>
          <w:tcPr>
            <w:tcW w:w="5968" w:type="dxa"/>
            <w:vAlign w:val="center"/>
          </w:tcPr>
          <w:p w14:paraId="58B838C0">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（一）反应釜</w:t>
            </w:r>
          </w:p>
          <w:p w14:paraId="4985742C">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★1.与物料接触部分全部采用哈氏合金C276，使用方便安全（提供釜体、釜盖、搅拌桨的Thermo色散型X荧光光谱合金分析仪的金属元素材质检测分析报告）</w:t>
            </w:r>
          </w:p>
          <w:p w14:paraId="45E8E860">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2.智能控制系统KM控制箱控制。智能控制系统对应PID智能温控，系统所用的软件，应取得软件著作权。UI界面设计，温度、搅拌一体化控制，数据采集功能，可将反应过程中的温度、压力、转速数据通过USB接口导出，超温超压报警，自动切断加热炉电源，基于现场网络环境，可进行远程监控；</w:t>
            </w:r>
          </w:p>
          <w:p w14:paraId="62CDC1D5">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3.压力传感器：膜片采用溅射薄膜的膜片，可耐受快速压力变化的冲击。压力传感元件能100V/m电磁干扰保护，使用温度-40℃～125℃，密封无O型圈、无焊缝和其他有机物，耐受快速充压和泄压，精度不低于0.25%，（提供实物照片或官网截图佐证）；</w:t>
            </w:r>
          </w:p>
          <w:p w14:paraId="59841F5F">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★4.搅拌形式：磁力耦合搅拌，它通过隔离套实现静密封，将动态的旋转轴密封转化为静态的壳体密封，从而实现了零泄漏，扭矩。（提供三维和二维证明技术文件，制造商盖公章）</w:t>
            </w:r>
          </w:p>
          <w:p w14:paraId="609F3B86">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★5.针型阀，316不锈钢, 螺纹阀帽针阀, 端口均为1/8 NPT阴螺纹, PTFE填料, 414bar(6000psig)；</w:t>
            </w:r>
          </w:p>
          <w:p w14:paraId="29FCDE9B">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6.有效容积：≥1L</w:t>
            </w:r>
          </w:p>
          <w:p w14:paraId="174B3288">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7.设计使用温度：≥500℃</w:t>
            </w:r>
          </w:p>
          <w:p w14:paraId="01B78CE4">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8.设计压力：≥25MPa</w:t>
            </w:r>
          </w:p>
          <w:p w14:paraId="503BD7CB">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★9.釜体釜头材料：哈氏合金 HC-276（釜内接触液态物料部分均为该材质）</w:t>
            </w:r>
          </w:p>
          <w:p w14:paraId="50DF87FF">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10.釜体结构：快开式设计一体加工成型，无焊接。</w:t>
            </w:r>
          </w:p>
          <w:p w14:paraId="21F81CC4">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11.工作电压：220V</w:t>
            </w:r>
          </w:p>
          <w:p w14:paraId="546507A1">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12.控制系统：IPT可编程高精度控温仪7英寸触控显示屏进行操作和显示，可以设置温度和转速，显示温度升温曲线和压力变化曲线。可通过USB接口将温度数据导出。</w:t>
            </w:r>
          </w:p>
          <w:p w14:paraId="53694312">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13.压力传感器：0~40MPa，精度≤0.25%</w:t>
            </w:r>
          </w:p>
          <w:p w14:paraId="6E15CC41">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14.配备充放气阀门</w:t>
            </w:r>
          </w:p>
          <w:p w14:paraId="1E250018">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15.压力表：压力表0~40MPa，精度≤1.0%</w:t>
            </w:r>
          </w:p>
          <w:p w14:paraId="77726F39">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16.安全阀：比例卸荷阀，泄压压力≥25MPa</w:t>
            </w:r>
          </w:p>
          <w:p w14:paraId="7AF9343E">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17.防爆阀：爆破片材质HC276、爆破压力≥25MPa</w:t>
            </w:r>
          </w:p>
          <w:p w14:paraId="2DC1AB1B">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18.测温：K型热电偶</w:t>
            </w:r>
          </w:p>
          <w:p w14:paraId="30E02120">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19.加热装置：金属加热圈电加热，加热炉带隔热保护，和反应釜可以快速分离。</w:t>
            </w:r>
          </w:p>
          <w:p w14:paraId="4D7C7282">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20.开合方式：卡钳快开，石墨垫圈密封</w:t>
            </w:r>
          </w:p>
          <w:p w14:paraId="726D8D4B">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21.充放气钢管：2根（正反螺纹接口各一根）</w:t>
            </w:r>
          </w:p>
          <w:p w14:paraId="115DC990">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22.附件：扳手、助力板、支架等，赠送内衬、密封垫圈。</w:t>
            </w:r>
          </w:p>
          <w:p w14:paraId="7C039281">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23.搅拌桨：推进式搅拌桨</w:t>
            </w:r>
          </w:p>
          <w:p w14:paraId="16ED93D8">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24.搅拌器：磁力耦合机械搅拌；集成式设计，触摸屏控制</w:t>
            </w:r>
          </w:p>
          <w:p w14:paraId="2B1998A4">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p>
          <w:p w14:paraId="7080B1D9">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（二）蒸馏系统</w:t>
            </w:r>
          </w:p>
          <w:p w14:paraId="02DD3B1D">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装置概述：</w:t>
            </w:r>
          </w:p>
          <w:p w14:paraId="731E46F3">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1.本装置适用常压、减压精馏操作。装置主体采用不锈钢材料制成。</w:t>
            </w:r>
          </w:p>
          <w:p w14:paraId="246515DD">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2.塔釜电加热，采用人工智能型仪表自动控温，配置磁力密封搅拌器。</w:t>
            </w:r>
          </w:p>
          <w:p w14:paraId="1CFE2BAF">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3.塔体外壁电伴热保温，自动控温；塔顶、塔釜测温、测压仪表数显。</w:t>
            </w:r>
          </w:p>
          <w:p w14:paraId="51A7645C">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4.塔顶冷凝器为内蛇管外夹套结构，二级冷凝器内盘管外夹套结构，内通自来水作为冷却介质。</w:t>
            </w:r>
          </w:p>
          <w:p w14:paraId="369A55E6">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5.回流比控制系统自动控制回流与采出比例，回流比5:1。塔顶设置3个馏分储罐，可根据塔顶蒸汽温度切换产品收集罐。采出管路设置真空取样点1个。</w:t>
            </w:r>
          </w:p>
          <w:p w14:paraId="3F01B08D">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★6.配置真空系统和真空度调节机构，可根据塔顶压力自动调节系统真空度（绝压≥1KPa可自动控制）。</w:t>
            </w:r>
          </w:p>
          <w:p w14:paraId="061C5240">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7.装置主体采用不锈钢316L材质。精馏塔主体法兰连接，塔体、塔釜和塔顶冷凝器均可拆卸，便于更换填料、检修和清洗。设备其他部件之间的连接采用卡套、螺纹或法兰等形式连接，均可拆卸更换，便于检修和清洗。</w:t>
            </w:r>
          </w:p>
          <w:p w14:paraId="61F96121">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8.装置采用高精度二次仪表控制，仪表配电柜集成二次仪表和电气元件，可实时显示和监测工艺参数，进行参数设置、设备启动/停止等功能操作。</w:t>
            </w:r>
          </w:p>
          <w:p w14:paraId="7F4D2D7A">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装置整体置于铝型材架台上，布局合理，便于操作。</w:t>
            </w:r>
          </w:p>
          <w:p w14:paraId="00CA3B1B">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9.配置参数</w:t>
            </w:r>
          </w:p>
          <w:p w14:paraId="04A8939C">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（1）蒸馏温度C3-400℃。</w:t>
            </w:r>
          </w:p>
          <w:p w14:paraId="0CABBFC0">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（2）操作压力：操作压力15 KPa，-0.1~0MPa（表压）。</w:t>
            </w:r>
          </w:p>
          <w:p w14:paraId="18B4390B">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★（3）缓冲罐：容积≥5L，材质316L不锈钢，配套电子秤计量，实时监测智能缓冲罐。</w:t>
            </w:r>
          </w:p>
          <w:p w14:paraId="55C4E53A">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★（4）塔体：材质316L不锈钢，塔径DN25，高度约1m（理论板数＞25块），1段，电伴热保温，自动控温，外置硅酸铝棉保温层及不锈钢保温罩。</w:t>
            </w:r>
          </w:p>
          <w:p w14:paraId="7C604C78">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（5）回流段塔体：材质316L不锈钢，塔径DN25，高度约0.6m，1段，电伴热保温，自动控温，外置硅酸铝棉保温层及不锈钢保温罩</w:t>
            </w:r>
          </w:p>
          <w:p w14:paraId="680C5137">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（6）塔釜：材质316L不锈钢，容积≥10L，配置玻璃液位计，电加热自动控温，带磁力密封搅拌器，转速可调，外置硅酸铝棉保温层及不锈钢保温罩。</w:t>
            </w:r>
          </w:p>
          <w:p w14:paraId="24E2A024">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（7）塔顶冷凝器：材质316L不锈钢，内盘管外夹套结构。</w:t>
            </w:r>
          </w:p>
          <w:p w14:paraId="1E6A732D">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（8）二次冷凝器：材质316L不锈钢，容积≥2L，内盘管外夹套结构。</w:t>
            </w:r>
          </w:p>
          <w:p w14:paraId="6109A509">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（9）回流比控制系统：包含回流器材质316L不锈钢，电磁线圈和回流比控制仪，回流比控制范围0~99：99~0，自动控制。</w:t>
            </w:r>
          </w:p>
          <w:p w14:paraId="405AED8D">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（10）馏分储罐：容积≥1L，材质316L不锈钢，配置玻璃液位计，数量3个。</w:t>
            </w:r>
          </w:p>
          <w:p w14:paraId="6A333D60">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★（11）配置真空系统和真空度调节机构，可根据塔顶压力自动调节系统真空度（绝压≥1KPa可自动控制）。</w:t>
            </w:r>
          </w:p>
          <w:p w14:paraId="5D6E6EFD">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★（12）塔顶采出设置取样点，可在常压或减压下取样分析。</w:t>
            </w:r>
          </w:p>
          <w:p w14:paraId="4D6AD619">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（13）控制系统：集成配电柜集成高精度二次仪表，1套。</w:t>
            </w:r>
          </w:p>
          <w:p w14:paraId="75558A81">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（14）配套控温、测温、测压等仪表及传感器，1套。</w:t>
            </w:r>
          </w:p>
          <w:p w14:paraId="1B24C731">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（15）配套管阀件，1套。</w:t>
            </w:r>
          </w:p>
          <w:p w14:paraId="3BBA5F65">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（16）铝型材架台，1套。</w:t>
            </w:r>
          </w:p>
          <w:p w14:paraId="68E66AA3">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r>
              <w:rPr>
                <w:rFonts w:hint="eastAsia" w:asciiTheme="minorEastAsia" w:hAnsiTheme="minorEastAsia" w:eastAsiaTheme="minorEastAsia" w:cstheme="minorEastAsia"/>
                <w:i w:val="0"/>
                <w:iCs w:val="0"/>
                <w:color w:val="auto"/>
                <w:kern w:val="0"/>
                <w:sz w:val="18"/>
                <w:szCs w:val="18"/>
                <w:highlight w:val="none"/>
                <w:u w:val="none"/>
                <w:lang w:val="en-US" w:eastAsia="zh-CN" w:bidi="ar"/>
              </w:rPr>
              <w:t>★（17）提供产品彩页。</w:t>
            </w:r>
          </w:p>
        </w:tc>
        <w:tc>
          <w:tcPr>
            <w:tcW w:w="451" w:type="dxa"/>
            <w:vAlign w:val="center"/>
          </w:tcPr>
          <w:p w14:paraId="6781EDEE">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color w:val="auto"/>
                <w:kern w:val="2"/>
                <w:sz w:val="18"/>
                <w:szCs w:val="18"/>
                <w:highlight w:val="none"/>
                <w:vertAlign w:val="baseline"/>
                <w:lang w:val="en-US" w:eastAsia="zh-CN" w:bidi="ar-SA"/>
              </w:rPr>
            </w:pPr>
            <w:r>
              <w:rPr>
                <w:rFonts w:hint="eastAsia" w:asciiTheme="minorEastAsia" w:hAnsiTheme="minorEastAsia" w:eastAsiaTheme="minorEastAsia" w:cstheme="minorEastAsia"/>
                <w:color w:val="auto"/>
                <w:kern w:val="2"/>
                <w:sz w:val="18"/>
                <w:szCs w:val="18"/>
                <w:highlight w:val="none"/>
                <w:vertAlign w:val="baseline"/>
                <w:lang w:val="en-US" w:eastAsia="zh-CN" w:bidi="ar-SA"/>
              </w:rPr>
              <w:t>台</w:t>
            </w:r>
          </w:p>
        </w:tc>
        <w:tc>
          <w:tcPr>
            <w:tcW w:w="613" w:type="dxa"/>
            <w:vAlign w:val="center"/>
          </w:tcPr>
          <w:p w14:paraId="7EF082B5">
            <w:pPr>
              <w:keepNext w:val="0"/>
              <w:keepLines w:val="0"/>
              <w:widowControl/>
              <w:suppressLineNumbers w:val="0"/>
              <w:jc w:val="center"/>
              <w:textAlignment w:val="center"/>
              <w:rPr>
                <w:rFonts w:hint="eastAsia" w:asciiTheme="minorEastAsia" w:hAnsiTheme="minorEastAsia" w:eastAsiaTheme="minorEastAsia" w:cstheme="minorEastAsia"/>
                <w:color w:val="auto"/>
                <w:kern w:val="2"/>
                <w:sz w:val="18"/>
                <w:szCs w:val="18"/>
                <w:highlight w:val="none"/>
                <w:vertAlign w:val="baseline"/>
                <w:lang w:val="en-US" w:eastAsia="zh-CN" w:bidi="ar-SA"/>
              </w:rPr>
            </w:pPr>
            <w:r>
              <w:rPr>
                <w:rFonts w:hint="eastAsia" w:asciiTheme="minorEastAsia" w:hAnsiTheme="minorEastAsia" w:eastAsiaTheme="minorEastAsia" w:cstheme="minorEastAsia"/>
                <w:color w:val="auto"/>
                <w:kern w:val="2"/>
                <w:sz w:val="18"/>
                <w:szCs w:val="18"/>
                <w:highlight w:val="none"/>
                <w:vertAlign w:val="baseline"/>
                <w:lang w:val="en-US" w:eastAsia="zh-CN" w:bidi="ar-SA"/>
              </w:rPr>
              <w:t>1</w:t>
            </w:r>
          </w:p>
        </w:tc>
        <w:tc>
          <w:tcPr>
            <w:tcW w:w="968" w:type="dxa"/>
            <w:vAlign w:val="center"/>
          </w:tcPr>
          <w:p w14:paraId="1947F37F">
            <w:pPr>
              <w:keepNext w:val="0"/>
              <w:keepLines w:val="0"/>
              <w:widowControl/>
              <w:suppressLineNumbers w:val="0"/>
              <w:jc w:val="center"/>
              <w:textAlignment w:val="center"/>
              <w:rPr>
                <w:rFonts w:hint="default" w:asciiTheme="minorEastAsia" w:hAnsiTheme="minorEastAsia" w:eastAsiaTheme="minorEastAsia" w:cstheme="minorEastAsia"/>
                <w:color w:val="auto"/>
                <w:kern w:val="2"/>
                <w:sz w:val="18"/>
                <w:szCs w:val="18"/>
                <w:highlight w:val="none"/>
                <w:vertAlign w:val="baseline"/>
                <w:lang w:val="en-US" w:eastAsia="zh-CN" w:bidi="ar-SA"/>
              </w:rPr>
            </w:pPr>
            <w:r>
              <w:rPr>
                <w:rFonts w:hint="eastAsia" w:asciiTheme="minorEastAsia" w:hAnsiTheme="minorEastAsia" w:eastAsiaTheme="minorEastAsia" w:cstheme="minorEastAsia"/>
                <w:color w:val="auto"/>
                <w:kern w:val="2"/>
                <w:sz w:val="18"/>
                <w:szCs w:val="18"/>
                <w:highlight w:val="none"/>
                <w:vertAlign w:val="baseline"/>
                <w:lang w:val="en-US" w:eastAsia="zh-CN" w:bidi="ar-SA"/>
              </w:rPr>
              <w:t>44</w:t>
            </w:r>
          </w:p>
        </w:tc>
        <w:tc>
          <w:tcPr>
            <w:tcW w:w="468" w:type="dxa"/>
            <w:vAlign w:val="center"/>
          </w:tcPr>
          <w:p w14:paraId="5DF7AADD">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auto"/>
                <w:kern w:val="0"/>
                <w:sz w:val="18"/>
                <w:szCs w:val="18"/>
                <w:highlight w:val="none"/>
                <w:u w:val="none"/>
                <w:lang w:val="en-US" w:eastAsia="zh-CN" w:bidi="ar"/>
              </w:rPr>
            </w:pPr>
          </w:p>
        </w:tc>
      </w:tr>
    </w:tbl>
    <w:p w14:paraId="66BC7403">
      <w:pPr>
        <w:pStyle w:val="22"/>
        <w:jc w:val="both"/>
        <w:rPr>
          <w:rFonts w:hint="default" w:ascii="宋体" w:hAnsi="宋体" w:eastAsia="宋体" w:cs="宋体"/>
          <w:b/>
          <w:bCs/>
          <w:color w:val="auto"/>
          <w:sz w:val="21"/>
          <w:szCs w:val="21"/>
          <w:highlight w:val="none"/>
          <w:lang w:val="en-US" w:eastAsia="zh-CN"/>
        </w:rPr>
      </w:pPr>
    </w:p>
    <w:p w14:paraId="6316838E">
      <w:pPr>
        <w:pStyle w:val="22"/>
        <w:spacing w:line="360" w:lineRule="auto"/>
        <w:jc w:val="both"/>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二、是否接受进口产品投标</w:t>
      </w:r>
    </w:p>
    <w:p w14:paraId="26124AD4">
      <w:pPr>
        <w:pStyle w:val="22"/>
        <w:spacing w:line="360" w:lineRule="auto"/>
        <w:jc w:val="both"/>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本项目不接受进口产品投标</w:t>
      </w:r>
    </w:p>
    <w:p w14:paraId="7E7F5EA1">
      <w:pPr>
        <w:pStyle w:val="22"/>
        <w:spacing w:line="360" w:lineRule="auto"/>
        <w:jc w:val="both"/>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三、一般性技术及服务标准</w:t>
      </w:r>
    </w:p>
    <w:p w14:paraId="04458A30">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1、供货时同步提供全套原厂中文版操作指导手册、日常维护保养指南、出厂合格证明及计量校准溯源文件；</w:t>
      </w:r>
    </w:p>
    <w:p w14:paraId="60900463">
      <w:pPr>
        <w:pStyle w:val="22"/>
        <w:spacing w:line="360" w:lineRule="auto"/>
        <w:jc w:val="both"/>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2、原厂提供优于基础年限的整机质保承诺，质保期内配套系统软件终身免费迭代升级，终身提供基础技术更新与远程故障诊断服务；</w:t>
      </w:r>
    </w:p>
    <w:p w14:paraId="67042A3C">
      <w:pPr>
        <w:pStyle w:val="22"/>
        <w:spacing w:line="360" w:lineRule="auto"/>
        <w:jc w:val="both"/>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3、</w:t>
      </w:r>
      <w:r>
        <w:rPr>
          <w:rFonts w:hint="default" w:hAnsi="宋体" w:cs="宋体"/>
          <w:b w:val="0"/>
          <w:bCs w:val="0"/>
          <w:color w:val="auto"/>
          <w:sz w:val="21"/>
          <w:szCs w:val="21"/>
          <w:highlight w:val="none"/>
          <w:lang w:val="en-US" w:eastAsia="zh-CN"/>
        </w:rPr>
        <w:t>供应商免费提供上门就位安装、整机性能精准校准，可提供多场次专项实操与进阶应用培训，全程提供7×24小时应急售后响应与长效上门技术保障</w:t>
      </w:r>
      <w:r>
        <w:rPr>
          <w:rFonts w:hint="eastAsia" w:hAnsi="宋体" w:cs="宋体"/>
          <w:b w:val="0"/>
          <w:bCs w:val="0"/>
          <w:color w:val="auto"/>
          <w:sz w:val="21"/>
          <w:szCs w:val="21"/>
          <w:highlight w:val="none"/>
          <w:lang w:val="en-US" w:eastAsia="zh-CN"/>
        </w:rPr>
        <w:t>。</w:t>
      </w:r>
    </w:p>
    <w:p w14:paraId="5CAA0CF3">
      <w:pPr>
        <w:pStyle w:val="22"/>
        <w:spacing w:line="360" w:lineRule="auto"/>
        <w:jc w:val="both"/>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四、质量要求</w:t>
      </w:r>
    </w:p>
    <w:p w14:paraId="14093AE6">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1、投标人提供的物品必须是原厂生产的、全新的、未使用过的(包括零部件)，并完全符合原厂质量检测标准和国家检测标准以及标书规定的质量规格和性能要求，具有一定的先进性和性能可靠性。投标人遵守有关部门和厂家承诺的售后服务及采购文件的要求，保证货物经过正确安装、合理操作和维护保养，在货物寿命期内运转良好。</w:t>
      </w:r>
    </w:p>
    <w:p w14:paraId="50597268">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2、技术要求</w:t>
      </w:r>
    </w:p>
    <w:p w14:paraId="223355A8">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投标人所提供的货物性能，型号规格应满足采购文件中的型号规格及要求。</w:t>
      </w:r>
    </w:p>
    <w:p w14:paraId="0D94C19E">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本采购项目所述型号规格，应视为保证涉及运行所需的最低要求，如有遗漏，投标人应予以补充，否则一旦中标将视为投标人认同遗漏部分并免费提供。</w:t>
      </w:r>
    </w:p>
    <w:p w14:paraId="00288107">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货物验收前，中标人须免费提供完整的技术资料(包括货物制造厂家授权书、使用说明书、安装手册、维修手册、用户手册、出厂明细表或装箱单、制造厂质量合格证书及其他相关文件资料)。</w:t>
      </w:r>
    </w:p>
    <w:p w14:paraId="2B8A745A">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3、知识产权要求</w:t>
      </w:r>
    </w:p>
    <w:p w14:paraId="602F193E">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投标人必须保证所提供的产品具有独立的知识产权，保证采购单位在使用投标方所提供的产品时不受任何专利或版权等方面的侵权困扰，如出现类似纠纷，投标人应对由此产生的后果负全部责任，并赔偿甲方由此而造成的全部损失。</w:t>
      </w:r>
    </w:p>
    <w:p w14:paraId="3EC510E5">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4、一般性技术及服务标准</w:t>
      </w:r>
    </w:p>
    <w:p w14:paraId="79752BA2">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4.1投标人在技术和商务上的任何偏离都要在偏离表中列出，没有在表中列出的项目都被视为投标人承诺满足招标文件的要求，供应商的报价若被接受必须按此规定签约并履约。</w:t>
      </w:r>
    </w:p>
    <w:p w14:paraId="05BE4706">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4.2本招标货物在配置要求中所列明的部件、附件、组件、消耗品等若无特殊说明应为该投标货物品牌配套原装正品。</w:t>
      </w:r>
    </w:p>
    <w:p w14:paraId="76C2BD6C">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4.3上述技术规格及要求中所发生的一切费用均包含在报价价格中。</w:t>
      </w:r>
    </w:p>
    <w:p w14:paraId="5A680B1F">
      <w:pPr>
        <w:snapToGrid w:val="0"/>
        <w:spacing w:line="360" w:lineRule="auto"/>
        <w:jc w:val="both"/>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五、验收方式</w:t>
      </w:r>
    </w:p>
    <w:p w14:paraId="1802EC5E">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1、货物到达现场后，中标人应在使用单位人员在场情况下当面开箱，共同清点、检查外观，作出开箱记录，双方签字确认。</w:t>
      </w:r>
    </w:p>
    <w:p w14:paraId="610F878E">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2、中标人应保证货物到达采购人所在地完好无损，如有缺漏、损坏，由供应商负责调换、补齐或赔偿。</w:t>
      </w:r>
    </w:p>
    <w:p w14:paraId="50652102">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3、中标人应提供完备的技术资料、装箱单和合格证等，并派遣专业技术人员进行现场安装调试。验收合格条件如下：</w:t>
      </w:r>
    </w:p>
    <w:p w14:paraId="7E186B28">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3.1设备技术参数与采购合同一致，性能指标达到规定的标准。</w:t>
      </w:r>
    </w:p>
    <w:p w14:paraId="21F923AE">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3.2货物技术资料、装箱单、合格证等资料齐全。</w:t>
      </w:r>
    </w:p>
    <w:p w14:paraId="6CDB2DC3">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3.3在系统试运行期间所出现的问题得到解决，并运行正常。</w:t>
      </w:r>
    </w:p>
    <w:p w14:paraId="6FC954A7">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3.4在规定时间内交货和验收，并经采购人确认。</w:t>
      </w:r>
    </w:p>
    <w:p w14:paraId="3E96F5EC">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4、产品在安装调试并试运行符合要求后，才作为最终验收。</w:t>
      </w:r>
    </w:p>
    <w:p w14:paraId="3578CB66">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5、供应商提供的货物未达到招标文件规定要求，且对采购人造成损失的，由供应商承担一切责任，并赔偿所造成的损失。</w:t>
      </w:r>
    </w:p>
    <w:p w14:paraId="1F0AA768">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6、大型或者复杂的政府采购项目，采购人应当邀请国家认可的质量检测机构参加验收工作。</w:t>
      </w:r>
    </w:p>
    <w:p w14:paraId="3DFB21BF">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7、采购人需要制造商对中标人交付的产品（包括质量、技术参数等）进行确认的，制造商应予以配合，并出具书面意见。</w:t>
      </w:r>
    </w:p>
    <w:p w14:paraId="5B36730A">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8、产品包装材料归采购人所有。</w:t>
      </w:r>
    </w:p>
    <w:p w14:paraId="104A0801">
      <w:pPr>
        <w:snapToGrid w:val="0"/>
        <w:spacing w:line="360" w:lineRule="auto"/>
        <w:jc w:val="both"/>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六、产品质量保证期</w:t>
      </w:r>
    </w:p>
    <w:p w14:paraId="7B72CFE3">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1、投标产品质量保证期1年。</w:t>
      </w:r>
    </w:p>
    <w:p w14:paraId="417A06D1">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2、投标产品属于国家规定“三包”范围的，其产品质量保证期不得低于“三包”规定。</w:t>
      </w:r>
    </w:p>
    <w:p w14:paraId="1309FBE5">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3、投标人的质量保证期承诺优于国家“三包”规定的，按投标人实际承诺执行。</w:t>
      </w:r>
    </w:p>
    <w:p w14:paraId="1DB256EC">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4、投标产品由制造商（指产品生产制造商，或其负责销售、售后服务机构，以下同）负责标准售后服务的，应当在投标文件中予以明确说明，并附制造商售后服务承诺。</w:t>
      </w:r>
    </w:p>
    <w:p w14:paraId="4C310FE5">
      <w:pPr>
        <w:snapToGrid w:val="0"/>
        <w:spacing w:line="360" w:lineRule="auto"/>
        <w:jc w:val="both"/>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七、合同履约期限</w:t>
      </w:r>
    </w:p>
    <w:p w14:paraId="7E727BBD">
      <w:pPr>
        <w:spacing w:line="360" w:lineRule="auto"/>
        <w:rPr>
          <w:rFonts w:hint="default"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自签订采购合同后60日（日历日）内交货并完成安装调试。</w:t>
      </w:r>
    </w:p>
    <w:p w14:paraId="7EF70A86">
      <w:pPr>
        <w:snapToGrid w:val="0"/>
        <w:spacing w:line="360" w:lineRule="auto"/>
        <w:jc w:val="both"/>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八、售后服务内容</w:t>
      </w:r>
    </w:p>
    <w:p w14:paraId="578BB7CD">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1、投标人和制造商在质量保证期内应当为采购人提供以下技术支持和服务：</w:t>
      </w:r>
    </w:p>
    <w:p w14:paraId="08DC376C">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1.1电话咨询</w:t>
      </w:r>
    </w:p>
    <w:p w14:paraId="6D305524">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中标人和制造商应当为采购人提供技术援助电话，解答采购人在使用中遇到的问题，及时为采购人提出解决问题的建议。</w:t>
      </w:r>
    </w:p>
    <w:p w14:paraId="1E32DD3A">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1.2现场响应</w:t>
      </w:r>
    </w:p>
    <w:p w14:paraId="036558A4">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采购人遇到使用及技术问题，电话咨询不能解决的，中标人和制造商应在24小时内到达现场进行处理，确保产品正常工作。</w:t>
      </w:r>
    </w:p>
    <w:p w14:paraId="08E1D585">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1.3技术升级</w:t>
      </w:r>
    </w:p>
    <w:p w14:paraId="0919FA64">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在质保期内，如果中标人和制造商的产品技术升级，供应商应及时通知采购人，如采购人有相应要求，中标人和制造商应对采购人购买的产品进行升级服务。</w:t>
      </w:r>
    </w:p>
    <w:p w14:paraId="0F80D7A0">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2、质保期外服务要求</w:t>
      </w:r>
    </w:p>
    <w:p w14:paraId="3A4FA77D">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2.1质量保证期过后，供应商和制造商应同样提供免费电话咨询服务，并应承诺提供产品上门维护服务。</w:t>
      </w:r>
    </w:p>
    <w:p w14:paraId="249C0187">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2.2质量保证期过后，采购人需要继续由原供应商和制造商提供售后服务的，该供应商和制造商应以优惠价格提供售后服务。</w:t>
      </w:r>
    </w:p>
    <w:p w14:paraId="25624AA7">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3、备品备件及易损件</w:t>
      </w:r>
    </w:p>
    <w:p w14:paraId="6565D488">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中标人和制造商售后服务中，维修使用的备品备件及易损件应为原厂配件，未经采购人同意不得使用非原厂配件，常用的、容易损坏的备品备件及易损件的价格清单须在投标文件中列出。</w:t>
      </w:r>
    </w:p>
    <w:p w14:paraId="544AD01C">
      <w:pPr>
        <w:snapToGrid w:val="0"/>
        <w:spacing w:line="360" w:lineRule="auto"/>
        <w:jc w:val="both"/>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八、交货地点</w:t>
      </w:r>
    </w:p>
    <w:p w14:paraId="458A3FB2">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中国石油大学（北京）克拉玛依校区</w:t>
      </w:r>
    </w:p>
    <w:p w14:paraId="499ADF3C">
      <w:pPr>
        <w:snapToGrid w:val="0"/>
        <w:spacing w:line="360" w:lineRule="auto"/>
        <w:jc w:val="both"/>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九、付款方式</w:t>
      </w:r>
    </w:p>
    <w:p w14:paraId="54DB30C6">
      <w:pPr>
        <w:pStyle w:val="38"/>
        <w:ind w:firstLine="0" w:firstLineChars="0"/>
        <w:rPr>
          <w:rFonts w:hint="eastAsia"/>
          <w:color w:val="auto"/>
          <w:highlight w:val="none"/>
        </w:rPr>
      </w:pPr>
      <w:r>
        <w:rPr>
          <w:rFonts w:hint="eastAsia"/>
          <w:color w:val="auto"/>
          <w:highlight w:val="none"/>
        </w:rPr>
        <w:t>1、合同签订后，采购人向中标人支付合同总价50%的预付款；</w:t>
      </w:r>
    </w:p>
    <w:p w14:paraId="5C53FA22">
      <w:pPr>
        <w:pStyle w:val="38"/>
        <w:ind w:firstLine="0" w:firstLineChars="0"/>
        <w:rPr>
          <w:rFonts w:hint="eastAsia"/>
          <w:color w:val="auto"/>
          <w:highlight w:val="none"/>
        </w:rPr>
      </w:pPr>
      <w:r>
        <w:rPr>
          <w:rFonts w:hint="eastAsia"/>
          <w:color w:val="auto"/>
          <w:highlight w:val="none"/>
        </w:rPr>
        <w:t>2、中标人按采购合同交货，完成安装调试，经验收合格后，采购人向中标人支付合同总价50%的货款；</w:t>
      </w:r>
    </w:p>
    <w:p w14:paraId="6B94B3BC">
      <w:pPr>
        <w:pStyle w:val="38"/>
        <w:ind w:firstLine="0" w:firstLineChars="0"/>
        <w:rPr>
          <w:rFonts w:hint="eastAsia"/>
          <w:color w:val="auto"/>
          <w:highlight w:val="none"/>
        </w:rPr>
      </w:pPr>
      <w:r>
        <w:rPr>
          <w:rFonts w:hint="eastAsia"/>
          <w:color w:val="auto"/>
          <w:highlight w:val="none"/>
        </w:rPr>
        <w:t>3、中标人提交采购合同、发票等材料，向采购人申请付款；</w:t>
      </w:r>
    </w:p>
    <w:p w14:paraId="116262D2">
      <w:pPr>
        <w:spacing w:line="360" w:lineRule="auto"/>
        <w:rPr>
          <w:rFonts w:hint="default" w:hAnsi="宋体" w:cs="宋体"/>
          <w:b w:val="0"/>
          <w:bCs w:val="0"/>
          <w:color w:val="auto"/>
          <w:sz w:val="21"/>
          <w:szCs w:val="21"/>
          <w:highlight w:val="none"/>
          <w:lang w:val="en-US" w:eastAsia="zh-CN"/>
        </w:rPr>
      </w:pPr>
      <w:r>
        <w:rPr>
          <w:rFonts w:hint="eastAsia"/>
          <w:color w:val="auto"/>
          <w:highlight w:val="none"/>
        </w:rPr>
        <w:t>4、采购人对中标人提交的付款资料审核通过后，以转账方式向中标人付款。</w:t>
      </w:r>
    </w:p>
    <w:p w14:paraId="00544D71">
      <w:pPr>
        <w:snapToGrid w:val="0"/>
        <w:spacing w:line="360" w:lineRule="auto"/>
        <w:jc w:val="both"/>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十、培训</w:t>
      </w:r>
    </w:p>
    <w:p w14:paraId="06CA8F74">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1、培训内容</w:t>
      </w:r>
    </w:p>
    <w:p w14:paraId="750045A7">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设备原理与结构培训、控制系统操作培训、实验全流程操作培训、维护保养培训、安全操作与应急处理</w:t>
      </w:r>
    </w:p>
    <w:p w14:paraId="20B5C303">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2、培训要求</w:t>
      </w:r>
    </w:p>
    <w:p w14:paraId="5DC987E1">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提供设备使用培训，培训次数不少于2次，单次培训时间不少于3天，受训人员不少于3人，提供设备使用维护手册，培训以受训人员能独立完成所有设备操作为合格</w:t>
      </w:r>
    </w:p>
    <w:p w14:paraId="18148C3A">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3、培训方式</w:t>
      </w:r>
    </w:p>
    <w:p w14:paraId="212E3FF4">
      <w:pPr>
        <w:spacing w:line="360" w:lineRule="auto"/>
        <w:rPr>
          <w:rFonts w:hint="eastAsia"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（1）通过PPT、视频等形式进行理论知识讲解；</w:t>
      </w:r>
    </w:p>
    <w:p w14:paraId="3187AB34">
      <w:pPr>
        <w:spacing w:line="360" w:lineRule="auto"/>
        <w:rPr>
          <w:rFonts w:hint="default" w:hAnsi="宋体" w:cs="宋体"/>
          <w:b w:val="0"/>
          <w:bCs w:val="0"/>
          <w:color w:val="auto"/>
          <w:sz w:val="21"/>
          <w:szCs w:val="21"/>
          <w:highlight w:val="none"/>
          <w:lang w:val="en-US" w:eastAsia="zh-CN"/>
        </w:rPr>
      </w:pPr>
      <w:r>
        <w:rPr>
          <w:rFonts w:hint="eastAsia" w:hAnsi="宋体" w:cs="宋体"/>
          <w:b w:val="0"/>
          <w:bCs w:val="0"/>
          <w:color w:val="auto"/>
          <w:sz w:val="21"/>
          <w:szCs w:val="21"/>
          <w:highlight w:val="none"/>
          <w:lang w:val="en-US" w:eastAsia="zh-CN"/>
        </w:rPr>
        <w:t>（2）在设备现场进行实际操作演练，确保能够熟练掌握设备使用。</w:t>
      </w:r>
    </w:p>
    <w:sectPr>
      <w:headerReference r:id="rId6" w:type="default"/>
      <w:footerReference r:id="rId7" w:type="default"/>
      <w:pgSz w:w="11906" w:h="16838"/>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type="linesAndChars" w:linePitch="319" w:charSpace="5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Helvetica Neue">
    <w:altName w:val="Times New Roman"/>
    <w:panose1 w:val="02000503000000020004"/>
    <w:charset w:val="00"/>
    <w:family w:val="auto"/>
    <w:pitch w:val="default"/>
    <w:sig w:usb0="00000000" w:usb1="00000000" w:usb2="00000010" w:usb3="00000000" w:csb0="00000000" w:csb1="00000000"/>
  </w:font>
  <w:font w:name="方正黑体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roman"/>
    <w:pitch w:val="default"/>
    <w:sig w:usb0="00000000" w:usb1="00000000" w:usb2="0000003F" w:usb3="00000000" w:csb0="603F01FF" w:csb1="FFFF0000"/>
  </w:font>
  <w:font w:name="方正小标宋_GBK">
    <w:altName w:val="微软雅黑"/>
    <w:panose1 w:val="02000000000000000000"/>
    <w:charset w:val="86"/>
    <w:family w:val="script"/>
    <w:pitch w:val="default"/>
    <w:sig w:usb0="00000000" w:usb1="00000000" w:usb2="00082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仿宋简体">
    <w:altName w:val="微软雅黑"/>
    <w:panose1 w:val="02000000000000000000"/>
    <w:charset w:val="86"/>
    <w:family w:val="auto"/>
    <w:pitch w:val="default"/>
    <w:sig w:usb0="00000000" w:usb1="00000000" w:usb2="00000012" w:usb3="00000000" w:csb0="00040001" w:csb1="00000000"/>
  </w:font>
  <w:font w:name="华文楷体">
    <w:altName w:val="宋体"/>
    <w:panose1 w:val="02010600040101010101"/>
    <w:charset w:val="86"/>
    <w:family w:val="auto"/>
    <w:pitch w:val="default"/>
    <w:sig w:usb0="00000000" w:usb1="00000000" w:usb2="00000016" w:usb3="00000000" w:csb0="0004001F" w:csb1="00000000"/>
  </w:font>
  <w:font w:name="Wingdings 2">
    <w:altName w:val="Wingdings"/>
    <w:panose1 w:val="05020102010507070707"/>
    <w:charset w:val="00"/>
    <w:family w:val="auto"/>
    <w:pitch w:val="default"/>
    <w:sig w:usb0="00000000" w:usb1="00000000" w:usb2="00000000" w:usb3="00000000" w:csb0="80000000" w:csb1="00000000"/>
  </w:font>
  <w:font w:name="Helvetica">
    <w:altName w:val="Arial"/>
    <w:panose1 w:val="00000000000000000000"/>
    <w:charset w:val="00"/>
    <w:family w:val="auto"/>
    <w:pitch w:val="default"/>
    <w:sig w:usb0="00000000" w:usb1="00000000" w:usb2="00000000" w:usb3="00000000" w:csb0="2000019F" w:csb1="4F010000"/>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KSOF7FC4CF2A">
    <w:panose1 w:val="020B0604020202020204"/>
    <w:charset w:val="00"/>
    <w:family w:val="auto"/>
    <w:pitch w:val="default"/>
    <w:sig w:usb0="00000001" w:usb1="00000000" w:usb2="00000000" w:usb3="00000000" w:csb0="0000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592F5">
    <w:pPr>
      <w:tabs>
        <w:tab w:val="left" w:pos="3305"/>
      </w:tabs>
      <w:ind w:right="360"/>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17DADB">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917DADB">
                    <w:pPr>
                      <w:pStyle w:val="26"/>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8D7C7">
    <w:pPr>
      <w:tabs>
        <w:tab w:val="left" w:pos="3305"/>
      </w:tabs>
      <w:ind w:right="360"/>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D93F38">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5D93F38">
                    <w:pPr>
                      <w:pStyle w:val="26"/>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13A86">
    <w:pPr>
      <w:ind w:right="360"/>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650D7C">
                          <w:pPr>
                            <w:pStyle w:val="26"/>
                          </w:pPr>
                          <w:r>
                            <w:fldChar w:fldCharType="begin"/>
                          </w:r>
                          <w:r>
                            <w:instrText xml:space="preserve"> PAGE  \* MERGEFORMAT </w:instrText>
                          </w:r>
                          <w:r>
                            <w:fldChar w:fldCharType="separate"/>
                          </w:r>
                          <w:r>
                            <w:t>83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9650D7C">
                    <w:pPr>
                      <w:pStyle w:val="26"/>
                    </w:pPr>
                    <w:r>
                      <w:fldChar w:fldCharType="begin"/>
                    </w:r>
                    <w:r>
                      <w:instrText xml:space="preserve"> PAGE  \* MERGEFORMAT </w:instrText>
                    </w:r>
                    <w:r>
                      <w:fldChar w:fldCharType="separate"/>
                    </w:r>
                    <w:r>
                      <w:t>83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A757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962A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784D56"/>
    <w:multiLevelType w:val="singleLevel"/>
    <w:tmpl w:val="06784D56"/>
    <w:lvl w:ilvl="0" w:tentative="0">
      <w:start w:val="1"/>
      <w:numFmt w:val="upperLetter"/>
      <w:pStyle w:val="121"/>
      <w:lvlText w:val="附录%1."/>
      <w:lvlJc w:val="left"/>
      <w:pPr>
        <w:tabs>
          <w:tab w:val="left" w:pos="907"/>
        </w:tabs>
        <w:ind w:left="907" w:hanging="907"/>
      </w:pPr>
      <w:rPr>
        <w:rFonts w:hint="eastAsia"/>
      </w:rPr>
    </w:lvl>
  </w:abstractNum>
  <w:abstractNum w:abstractNumId="1">
    <w:nsid w:val="253E05EF"/>
    <w:multiLevelType w:val="multilevel"/>
    <w:tmpl w:val="253E05EF"/>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3504174E"/>
    <w:multiLevelType w:val="multilevel"/>
    <w:tmpl w:val="3504174E"/>
    <w:lvl w:ilvl="0" w:tentative="0">
      <w:start w:val="1"/>
      <w:numFmt w:val="decimal"/>
      <w:lvlText w:val="%1."/>
      <w:lvlJc w:val="left"/>
      <w:pPr>
        <w:ind w:left="360" w:hanging="360"/>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A15682F"/>
    <w:multiLevelType w:val="singleLevel"/>
    <w:tmpl w:val="3A15682F"/>
    <w:lvl w:ilvl="0" w:tentative="0">
      <w:start w:val="0"/>
      <w:numFmt w:val="none"/>
      <w:lvlText w:val=""/>
      <w:lvlJc w:val="left"/>
      <w:pPr>
        <w:tabs>
          <w:tab w:val="left" w:pos="360"/>
        </w:tabs>
      </w:pPr>
    </w:lvl>
  </w:abstractNum>
  <w:abstractNum w:abstractNumId="4">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6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5">
    <w:nsid w:val="420C153B"/>
    <w:multiLevelType w:val="multilevel"/>
    <w:tmpl w:val="420C153B"/>
    <w:lvl w:ilvl="0" w:tentative="0">
      <w:start w:val="1"/>
      <w:numFmt w:val="decimal"/>
      <w:pStyle w:val="10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6137EDD"/>
    <w:multiLevelType w:val="multilevel"/>
    <w:tmpl w:val="46137EDD"/>
    <w:lvl w:ilvl="0" w:tentative="0">
      <w:start w:val="1"/>
      <w:numFmt w:val="decimal"/>
      <w:lvlText w:val="%1"/>
      <w:lvlJc w:val="left"/>
      <w:pPr>
        <w:tabs>
          <w:tab w:val="left" w:pos="432"/>
        </w:tabs>
        <w:ind w:left="432" w:hanging="432"/>
        <w:textAlignment w:val="baseline"/>
      </w:pPr>
    </w:lvl>
    <w:lvl w:ilvl="1" w:tentative="0">
      <w:start w:val="1"/>
      <w:numFmt w:val="decimal"/>
      <w:pStyle w:val="59"/>
      <w:lvlText w:val="%1.%2"/>
      <w:lvlJc w:val="left"/>
      <w:pPr>
        <w:tabs>
          <w:tab w:val="left" w:pos="718"/>
        </w:tabs>
        <w:ind w:left="718" w:hanging="576"/>
        <w:textAlignment w:val="baseline"/>
      </w:pPr>
    </w:lvl>
    <w:lvl w:ilvl="2" w:tentative="0">
      <w:start w:val="1"/>
      <w:numFmt w:val="decimal"/>
      <w:lvlText w:val="%1.%2.%3"/>
      <w:lvlJc w:val="left"/>
      <w:pPr>
        <w:tabs>
          <w:tab w:val="left" w:pos="720"/>
        </w:tabs>
        <w:ind w:left="720" w:hanging="720"/>
        <w:textAlignment w:val="baseline"/>
      </w:pPr>
    </w:lvl>
    <w:lvl w:ilvl="3" w:tentative="0">
      <w:start w:val="1"/>
      <w:numFmt w:val="decimal"/>
      <w:lvlText w:val="%1.%2.%3.%4"/>
      <w:lvlJc w:val="left"/>
      <w:pPr>
        <w:tabs>
          <w:tab w:val="left" w:pos="864"/>
        </w:tabs>
        <w:ind w:left="864" w:hanging="864"/>
        <w:textAlignment w:val="baseline"/>
      </w:pPr>
    </w:lvl>
    <w:lvl w:ilvl="4" w:tentative="0">
      <w:start w:val="1"/>
      <w:numFmt w:val="decimal"/>
      <w:lvlText w:val="%1.%2.%3.%4.%5"/>
      <w:lvlJc w:val="left"/>
      <w:pPr>
        <w:tabs>
          <w:tab w:val="left" w:pos="1008"/>
        </w:tabs>
        <w:ind w:left="1008" w:hanging="1008"/>
        <w:textAlignment w:val="baseline"/>
      </w:pPr>
    </w:lvl>
    <w:lvl w:ilvl="5" w:tentative="0">
      <w:start w:val="1"/>
      <w:numFmt w:val="decimal"/>
      <w:lvlText w:val="%1.%2.%3.%4.%5.%6"/>
      <w:lvlJc w:val="left"/>
      <w:pPr>
        <w:tabs>
          <w:tab w:val="left" w:pos="1152"/>
        </w:tabs>
        <w:ind w:left="1152" w:hanging="1152"/>
        <w:textAlignment w:val="baseline"/>
      </w:pPr>
    </w:lvl>
    <w:lvl w:ilvl="6" w:tentative="0">
      <w:start w:val="1"/>
      <w:numFmt w:val="decimal"/>
      <w:lvlText w:val="%1.%2.%3.%4.%5.%6.%7"/>
      <w:lvlJc w:val="left"/>
      <w:pPr>
        <w:tabs>
          <w:tab w:val="left" w:pos="1296"/>
        </w:tabs>
        <w:ind w:left="1296" w:hanging="1296"/>
        <w:textAlignment w:val="baseline"/>
      </w:pPr>
    </w:lvl>
    <w:lvl w:ilvl="7" w:tentative="0">
      <w:start w:val="1"/>
      <w:numFmt w:val="decimal"/>
      <w:lvlText w:val="%1.%2.%3.%4.%5.%6.%7.%8"/>
      <w:lvlJc w:val="left"/>
      <w:pPr>
        <w:tabs>
          <w:tab w:val="left" w:pos="1440"/>
        </w:tabs>
        <w:ind w:left="1440" w:hanging="1440"/>
        <w:textAlignment w:val="baseline"/>
      </w:pPr>
    </w:lvl>
    <w:lvl w:ilvl="8" w:tentative="0">
      <w:start w:val="1"/>
      <w:numFmt w:val="decimal"/>
      <w:lvlText w:val="%1.%2.%3.%4.%5.%6.%7.%8.%9"/>
      <w:lvlJc w:val="left"/>
      <w:pPr>
        <w:tabs>
          <w:tab w:val="left" w:pos="1584"/>
        </w:tabs>
        <w:ind w:left="1584" w:hanging="1584"/>
        <w:textAlignment w:val="baseline"/>
      </w:pPr>
    </w:lvl>
  </w:abstractNum>
  <w:abstractNum w:abstractNumId="7">
    <w:nsid w:val="4C0C1BFB"/>
    <w:multiLevelType w:val="singleLevel"/>
    <w:tmpl w:val="4C0C1BFB"/>
    <w:lvl w:ilvl="0" w:tentative="0">
      <w:start w:val="1"/>
      <w:numFmt w:val="decimal"/>
      <w:pStyle w:val="126"/>
      <w:lvlText w:val="（%1）"/>
      <w:lvlJc w:val="left"/>
      <w:pPr>
        <w:tabs>
          <w:tab w:val="left" w:pos="810"/>
        </w:tabs>
        <w:ind w:left="810" w:hanging="810"/>
      </w:pPr>
      <w:rPr>
        <w:rFonts w:hint="eastAsia"/>
      </w:rPr>
    </w:lvl>
  </w:abstractNum>
  <w:abstractNum w:abstractNumId="8">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9">
    <w:nsid w:val="6AA94A46"/>
    <w:multiLevelType w:val="singleLevel"/>
    <w:tmpl w:val="6AA94A46"/>
    <w:lvl w:ilvl="0" w:tentative="0">
      <w:start w:val="1"/>
      <w:numFmt w:val="decimal"/>
      <w:suff w:val="space"/>
      <w:lvlText w:val="%1."/>
      <w:lvlJc w:val="left"/>
    </w:lvl>
  </w:abstractNum>
  <w:num w:numId="1">
    <w:abstractNumId w:val="8"/>
  </w:num>
  <w:num w:numId="2">
    <w:abstractNumId w:val="6"/>
  </w:num>
  <w:num w:numId="3">
    <w:abstractNumId w:val="4"/>
  </w:num>
  <w:num w:numId="4">
    <w:abstractNumId w:val="5"/>
  </w:num>
  <w:num w:numId="5">
    <w:abstractNumId w:val="0"/>
  </w:num>
  <w:num w:numId="6">
    <w:abstractNumId w:val="7"/>
  </w:num>
  <w:num w:numId="7">
    <w:abstractNumId w:val="2"/>
  </w:num>
  <w:num w:numId="8">
    <w:abstractNumId w:val="1"/>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documentProtection w:enforcement="0"/>
  <w:defaultTabStop w:val="420"/>
  <w:drawingGridHorizontalSpacing w:val="106"/>
  <w:drawingGridVerticalSpacing w:val="159"/>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E3NjhlZGQ0MTYyYjVjZGJhOGQxNjVmZGEyNWEwMjYifQ=="/>
    <w:docVar w:name="KSO_WPS_MARK_KEY" w:val="Ā"/>
  </w:docVars>
  <w:rsids>
    <w:rsidRoot w:val="00172A27"/>
    <w:rsid w:val="00000B50"/>
    <w:rsid w:val="000012AD"/>
    <w:rsid w:val="00002023"/>
    <w:rsid w:val="00002A41"/>
    <w:rsid w:val="00003038"/>
    <w:rsid w:val="000036FB"/>
    <w:rsid w:val="00003E3B"/>
    <w:rsid w:val="000040E6"/>
    <w:rsid w:val="000044C5"/>
    <w:rsid w:val="00004833"/>
    <w:rsid w:val="00004C7F"/>
    <w:rsid w:val="00005A61"/>
    <w:rsid w:val="00005C0D"/>
    <w:rsid w:val="00006327"/>
    <w:rsid w:val="00006AA3"/>
    <w:rsid w:val="00006E32"/>
    <w:rsid w:val="00010521"/>
    <w:rsid w:val="00010E39"/>
    <w:rsid w:val="00010EC6"/>
    <w:rsid w:val="00011619"/>
    <w:rsid w:val="00011FF2"/>
    <w:rsid w:val="000126A3"/>
    <w:rsid w:val="00012BC2"/>
    <w:rsid w:val="0001340E"/>
    <w:rsid w:val="00013C36"/>
    <w:rsid w:val="000144A3"/>
    <w:rsid w:val="00015CBB"/>
    <w:rsid w:val="000178E0"/>
    <w:rsid w:val="00017D33"/>
    <w:rsid w:val="000209DD"/>
    <w:rsid w:val="000214BA"/>
    <w:rsid w:val="000217F4"/>
    <w:rsid w:val="00023805"/>
    <w:rsid w:val="0002607A"/>
    <w:rsid w:val="00026720"/>
    <w:rsid w:val="000269AE"/>
    <w:rsid w:val="00026D40"/>
    <w:rsid w:val="0002771F"/>
    <w:rsid w:val="000300C7"/>
    <w:rsid w:val="00031135"/>
    <w:rsid w:val="000313D5"/>
    <w:rsid w:val="00031400"/>
    <w:rsid w:val="0003239D"/>
    <w:rsid w:val="00033D51"/>
    <w:rsid w:val="00034EE1"/>
    <w:rsid w:val="000355B7"/>
    <w:rsid w:val="00035B84"/>
    <w:rsid w:val="00035DB5"/>
    <w:rsid w:val="00035FD3"/>
    <w:rsid w:val="0003628F"/>
    <w:rsid w:val="00036464"/>
    <w:rsid w:val="000368D5"/>
    <w:rsid w:val="000404B4"/>
    <w:rsid w:val="00041C0C"/>
    <w:rsid w:val="000426B0"/>
    <w:rsid w:val="000448ED"/>
    <w:rsid w:val="00045FCC"/>
    <w:rsid w:val="0004682D"/>
    <w:rsid w:val="00047D80"/>
    <w:rsid w:val="00050598"/>
    <w:rsid w:val="00050F3A"/>
    <w:rsid w:val="000523C9"/>
    <w:rsid w:val="000527CA"/>
    <w:rsid w:val="00052F6E"/>
    <w:rsid w:val="000533AB"/>
    <w:rsid w:val="00054001"/>
    <w:rsid w:val="00055613"/>
    <w:rsid w:val="00055942"/>
    <w:rsid w:val="00055E74"/>
    <w:rsid w:val="000574F5"/>
    <w:rsid w:val="0006136C"/>
    <w:rsid w:val="00063CEE"/>
    <w:rsid w:val="00063F19"/>
    <w:rsid w:val="00063F82"/>
    <w:rsid w:val="00064391"/>
    <w:rsid w:val="0006639D"/>
    <w:rsid w:val="000664B9"/>
    <w:rsid w:val="0006714F"/>
    <w:rsid w:val="00071811"/>
    <w:rsid w:val="00071CEE"/>
    <w:rsid w:val="00071E07"/>
    <w:rsid w:val="0007307E"/>
    <w:rsid w:val="00073596"/>
    <w:rsid w:val="00075DBF"/>
    <w:rsid w:val="000760C9"/>
    <w:rsid w:val="00076450"/>
    <w:rsid w:val="00076D7B"/>
    <w:rsid w:val="00076DB5"/>
    <w:rsid w:val="0007732F"/>
    <w:rsid w:val="00077725"/>
    <w:rsid w:val="00082FDE"/>
    <w:rsid w:val="0008349C"/>
    <w:rsid w:val="00083A9A"/>
    <w:rsid w:val="00083E1C"/>
    <w:rsid w:val="00083F9C"/>
    <w:rsid w:val="00084F92"/>
    <w:rsid w:val="000874A6"/>
    <w:rsid w:val="00087583"/>
    <w:rsid w:val="00087AC3"/>
    <w:rsid w:val="00087F97"/>
    <w:rsid w:val="00090237"/>
    <w:rsid w:val="00091368"/>
    <w:rsid w:val="00091374"/>
    <w:rsid w:val="0009190E"/>
    <w:rsid w:val="000920C7"/>
    <w:rsid w:val="00094CF9"/>
    <w:rsid w:val="0009585A"/>
    <w:rsid w:val="00095E05"/>
    <w:rsid w:val="000965F2"/>
    <w:rsid w:val="00097697"/>
    <w:rsid w:val="000A1DC0"/>
    <w:rsid w:val="000A437C"/>
    <w:rsid w:val="000B09F2"/>
    <w:rsid w:val="000B0F3D"/>
    <w:rsid w:val="000B1318"/>
    <w:rsid w:val="000B2104"/>
    <w:rsid w:val="000B2ADE"/>
    <w:rsid w:val="000B51A5"/>
    <w:rsid w:val="000B6C52"/>
    <w:rsid w:val="000C095E"/>
    <w:rsid w:val="000C0CB7"/>
    <w:rsid w:val="000C26EA"/>
    <w:rsid w:val="000C4195"/>
    <w:rsid w:val="000C42B7"/>
    <w:rsid w:val="000C42F3"/>
    <w:rsid w:val="000C5411"/>
    <w:rsid w:val="000C54F2"/>
    <w:rsid w:val="000C676C"/>
    <w:rsid w:val="000C77A1"/>
    <w:rsid w:val="000D0BBA"/>
    <w:rsid w:val="000D1844"/>
    <w:rsid w:val="000D1950"/>
    <w:rsid w:val="000D2400"/>
    <w:rsid w:val="000D26C1"/>
    <w:rsid w:val="000D26D8"/>
    <w:rsid w:val="000D3A32"/>
    <w:rsid w:val="000D3CF7"/>
    <w:rsid w:val="000D3EE4"/>
    <w:rsid w:val="000D4D2B"/>
    <w:rsid w:val="000D6565"/>
    <w:rsid w:val="000D7692"/>
    <w:rsid w:val="000E0173"/>
    <w:rsid w:val="000E0F51"/>
    <w:rsid w:val="000E157E"/>
    <w:rsid w:val="000E1A22"/>
    <w:rsid w:val="000E5078"/>
    <w:rsid w:val="000E6A6F"/>
    <w:rsid w:val="000F0EB5"/>
    <w:rsid w:val="000F3923"/>
    <w:rsid w:val="000F4D9E"/>
    <w:rsid w:val="000F5242"/>
    <w:rsid w:val="000F5CDE"/>
    <w:rsid w:val="000F6E74"/>
    <w:rsid w:val="000F7537"/>
    <w:rsid w:val="00100053"/>
    <w:rsid w:val="00100A5E"/>
    <w:rsid w:val="00101DB7"/>
    <w:rsid w:val="00102619"/>
    <w:rsid w:val="00102D5E"/>
    <w:rsid w:val="00103454"/>
    <w:rsid w:val="00103E0B"/>
    <w:rsid w:val="00105903"/>
    <w:rsid w:val="00107536"/>
    <w:rsid w:val="001077C0"/>
    <w:rsid w:val="001101E9"/>
    <w:rsid w:val="00111226"/>
    <w:rsid w:val="00111F3D"/>
    <w:rsid w:val="00114CA6"/>
    <w:rsid w:val="001160D7"/>
    <w:rsid w:val="001170D2"/>
    <w:rsid w:val="00120A69"/>
    <w:rsid w:val="00121CC9"/>
    <w:rsid w:val="00124CD5"/>
    <w:rsid w:val="00124F52"/>
    <w:rsid w:val="001252B0"/>
    <w:rsid w:val="00126FD7"/>
    <w:rsid w:val="00127A72"/>
    <w:rsid w:val="00127C63"/>
    <w:rsid w:val="00131277"/>
    <w:rsid w:val="00131881"/>
    <w:rsid w:val="001319ED"/>
    <w:rsid w:val="00131A58"/>
    <w:rsid w:val="001333E9"/>
    <w:rsid w:val="0013433C"/>
    <w:rsid w:val="00134831"/>
    <w:rsid w:val="001372D8"/>
    <w:rsid w:val="00140DFA"/>
    <w:rsid w:val="00141F88"/>
    <w:rsid w:val="0014204A"/>
    <w:rsid w:val="00143575"/>
    <w:rsid w:val="0014483C"/>
    <w:rsid w:val="00146F7C"/>
    <w:rsid w:val="001477FB"/>
    <w:rsid w:val="001510B7"/>
    <w:rsid w:val="0015158B"/>
    <w:rsid w:val="00151C50"/>
    <w:rsid w:val="001525DE"/>
    <w:rsid w:val="00152F20"/>
    <w:rsid w:val="00152FA5"/>
    <w:rsid w:val="001541B9"/>
    <w:rsid w:val="001544A4"/>
    <w:rsid w:val="0015497E"/>
    <w:rsid w:val="00154CA1"/>
    <w:rsid w:val="001551BF"/>
    <w:rsid w:val="0015531C"/>
    <w:rsid w:val="00155D52"/>
    <w:rsid w:val="00157E5B"/>
    <w:rsid w:val="00160AE5"/>
    <w:rsid w:val="001637D2"/>
    <w:rsid w:val="0016437E"/>
    <w:rsid w:val="00164C69"/>
    <w:rsid w:val="00165AF0"/>
    <w:rsid w:val="001667D0"/>
    <w:rsid w:val="00166EFF"/>
    <w:rsid w:val="00170749"/>
    <w:rsid w:val="00170A2D"/>
    <w:rsid w:val="00171360"/>
    <w:rsid w:val="00171D87"/>
    <w:rsid w:val="00172A27"/>
    <w:rsid w:val="00172FF1"/>
    <w:rsid w:val="00173033"/>
    <w:rsid w:val="001749B6"/>
    <w:rsid w:val="0017505E"/>
    <w:rsid w:val="00176950"/>
    <w:rsid w:val="00181110"/>
    <w:rsid w:val="0018156A"/>
    <w:rsid w:val="00182E37"/>
    <w:rsid w:val="00183EB5"/>
    <w:rsid w:val="001864A5"/>
    <w:rsid w:val="00186705"/>
    <w:rsid w:val="00187B49"/>
    <w:rsid w:val="00187C1F"/>
    <w:rsid w:val="00187DC4"/>
    <w:rsid w:val="0019076F"/>
    <w:rsid w:val="00193274"/>
    <w:rsid w:val="00193DAC"/>
    <w:rsid w:val="00194202"/>
    <w:rsid w:val="001946FF"/>
    <w:rsid w:val="001947C5"/>
    <w:rsid w:val="001953B0"/>
    <w:rsid w:val="00195808"/>
    <w:rsid w:val="00195A83"/>
    <w:rsid w:val="001A1033"/>
    <w:rsid w:val="001A187D"/>
    <w:rsid w:val="001A18C0"/>
    <w:rsid w:val="001A1D99"/>
    <w:rsid w:val="001A26B5"/>
    <w:rsid w:val="001A57FF"/>
    <w:rsid w:val="001A6C7F"/>
    <w:rsid w:val="001A7BA0"/>
    <w:rsid w:val="001A7F3C"/>
    <w:rsid w:val="001B1D18"/>
    <w:rsid w:val="001B2822"/>
    <w:rsid w:val="001B34C4"/>
    <w:rsid w:val="001B37C7"/>
    <w:rsid w:val="001B4172"/>
    <w:rsid w:val="001B452D"/>
    <w:rsid w:val="001B4A8B"/>
    <w:rsid w:val="001B52A8"/>
    <w:rsid w:val="001B5378"/>
    <w:rsid w:val="001B6B93"/>
    <w:rsid w:val="001B79B5"/>
    <w:rsid w:val="001B7A07"/>
    <w:rsid w:val="001B7A15"/>
    <w:rsid w:val="001C02D6"/>
    <w:rsid w:val="001C077B"/>
    <w:rsid w:val="001C21EF"/>
    <w:rsid w:val="001C2404"/>
    <w:rsid w:val="001C2429"/>
    <w:rsid w:val="001C2454"/>
    <w:rsid w:val="001C3136"/>
    <w:rsid w:val="001C37D3"/>
    <w:rsid w:val="001C3F88"/>
    <w:rsid w:val="001C573D"/>
    <w:rsid w:val="001C6670"/>
    <w:rsid w:val="001C7269"/>
    <w:rsid w:val="001D03CD"/>
    <w:rsid w:val="001D0B04"/>
    <w:rsid w:val="001D1063"/>
    <w:rsid w:val="001D1087"/>
    <w:rsid w:val="001D1E13"/>
    <w:rsid w:val="001D3DF4"/>
    <w:rsid w:val="001D4B6D"/>
    <w:rsid w:val="001D5588"/>
    <w:rsid w:val="001D690B"/>
    <w:rsid w:val="001D6F14"/>
    <w:rsid w:val="001E1785"/>
    <w:rsid w:val="001E19C0"/>
    <w:rsid w:val="001E218A"/>
    <w:rsid w:val="001E2A27"/>
    <w:rsid w:val="001E2AB5"/>
    <w:rsid w:val="001E3117"/>
    <w:rsid w:val="001E3212"/>
    <w:rsid w:val="001E48AF"/>
    <w:rsid w:val="001E4C69"/>
    <w:rsid w:val="001E6CFD"/>
    <w:rsid w:val="001F35A1"/>
    <w:rsid w:val="001F4946"/>
    <w:rsid w:val="001F4B41"/>
    <w:rsid w:val="001F58DB"/>
    <w:rsid w:val="001F5F91"/>
    <w:rsid w:val="001F64B1"/>
    <w:rsid w:val="001F6652"/>
    <w:rsid w:val="00200726"/>
    <w:rsid w:val="00201570"/>
    <w:rsid w:val="00201AAD"/>
    <w:rsid w:val="00201B5C"/>
    <w:rsid w:val="002026FD"/>
    <w:rsid w:val="002029A0"/>
    <w:rsid w:val="00203FDB"/>
    <w:rsid w:val="00204503"/>
    <w:rsid w:val="00204B0E"/>
    <w:rsid w:val="00207854"/>
    <w:rsid w:val="002114C5"/>
    <w:rsid w:val="0021150E"/>
    <w:rsid w:val="00211D84"/>
    <w:rsid w:val="002129B4"/>
    <w:rsid w:val="00213554"/>
    <w:rsid w:val="002135F1"/>
    <w:rsid w:val="00213952"/>
    <w:rsid w:val="0021413E"/>
    <w:rsid w:val="002150AA"/>
    <w:rsid w:val="00215D7A"/>
    <w:rsid w:val="0021681C"/>
    <w:rsid w:val="00216D78"/>
    <w:rsid w:val="0022068B"/>
    <w:rsid w:val="0022183A"/>
    <w:rsid w:val="00221D7A"/>
    <w:rsid w:val="00224BF6"/>
    <w:rsid w:val="00224D56"/>
    <w:rsid w:val="002250E1"/>
    <w:rsid w:val="0022514B"/>
    <w:rsid w:val="002251B2"/>
    <w:rsid w:val="00225592"/>
    <w:rsid w:val="00225C8B"/>
    <w:rsid w:val="00225CD5"/>
    <w:rsid w:val="00227982"/>
    <w:rsid w:val="00227C43"/>
    <w:rsid w:val="0023202D"/>
    <w:rsid w:val="00232077"/>
    <w:rsid w:val="0023283A"/>
    <w:rsid w:val="00232BF5"/>
    <w:rsid w:val="002331F2"/>
    <w:rsid w:val="00235603"/>
    <w:rsid w:val="002369AF"/>
    <w:rsid w:val="00236A1C"/>
    <w:rsid w:val="00237C74"/>
    <w:rsid w:val="00241187"/>
    <w:rsid w:val="00241203"/>
    <w:rsid w:val="002412FF"/>
    <w:rsid w:val="002414E0"/>
    <w:rsid w:val="00241671"/>
    <w:rsid w:val="00243079"/>
    <w:rsid w:val="00243975"/>
    <w:rsid w:val="002447BD"/>
    <w:rsid w:val="00246C19"/>
    <w:rsid w:val="00250E77"/>
    <w:rsid w:val="002514DA"/>
    <w:rsid w:val="00252722"/>
    <w:rsid w:val="00252AA4"/>
    <w:rsid w:val="002537B2"/>
    <w:rsid w:val="00254207"/>
    <w:rsid w:val="00254B9B"/>
    <w:rsid w:val="00255C8D"/>
    <w:rsid w:val="00255FEB"/>
    <w:rsid w:val="00257A01"/>
    <w:rsid w:val="00261A7E"/>
    <w:rsid w:val="002623E9"/>
    <w:rsid w:val="0026387F"/>
    <w:rsid w:val="002640B2"/>
    <w:rsid w:val="0026470C"/>
    <w:rsid w:val="00264902"/>
    <w:rsid w:val="00264B13"/>
    <w:rsid w:val="00264D4D"/>
    <w:rsid w:val="00264FAC"/>
    <w:rsid w:val="002657FF"/>
    <w:rsid w:val="00266329"/>
    <w:rsid w:val="002665DA"/>
    <w:rsid w:val="00266BA2"/>
    <w:rsid w:val="00267D06"/>
    <w:rsid w:val="00267D13"/>
    <w:rsid w:val="002702B6"/>
    <w:rsid w:val="00270609"/>
    <w:rsid w:val="002706C2"/>
    <w:rsid w:val="002707A9"/>
    <w:rsid w:val="00270858"/>
    <w:rsid w:val="00270E78"/>
    <w:rsid w:val="00270EEE"/>
    <w:rsid w:val="00270F7A"/>
    <w:rsid w:val="00271354"/>
    <w:rsid w:val="0027159B"/>
    <w:rsid w:val="002750C2"/>
    <w:rsid w:val="00275F24"/>
    <w:rsid w:val="0027611E"/>
    <w:rsid w:val="00276467"/>
    <w:rsid w:val="002767AF"/>
    <w:rsid w:val="002769A6"/>
    <w:rsid w:val="00276C85"/>
    <w:rsid w:val="002773BE"/>
    <w:rsid w:val="00280CC5"/>
    <w:rsid w:val="00280F9F"/>
    <w:rsid w:val="00281C6E"/>
    <w:rsid w:val="00282FDE"/>
    <w:rsid w:val="0028368D"/>
    <w:rsid w:val="00284A73"/>
    <w:rsid w:val="00284F56"/>
    <w:rsid w:val="0028524A"/>
    <w:rsid w:val="00285266"/>
    <w:rsid w:val="0028532D"/>
    <w:rsid w:val="002854C9"/>
    <w:rsid w:val="00286E46"/>
    <w:rsid w:val="00287A23"/>
    <w:rsid w:val="0029224A"/>
    <w:rsid w:val="0029269B"/>
    <w:rsid w:val="00293DBF"/>
    <w:rsid w:val="00293ED7"/>
    <w:rsid w:val="00296520"/>
    <w:rsid w:val="00296EE7"/>
    <w:rsid w:val="00297C93"/>
    <w:rsid w:val="002A006D"/>
    <w:rsid w:val="002A1B0C"/>
    <w:rsid w:val="002A35C8"/>
    <w:rsid w:val="002A67A6"/>
    <w:rsid w:val="002A693A"/>
    <w:rsid w:val="002A7962"/>
    <w:rsid w:val="002B084C"/>
    <w:rsid w:val="002B11E6"/>
    <w:rsid w:val="002B1B75"/>
    <w:rsid w:val="002B3E53"/>
    <w:rsid w:val="002B4B17"/>
    <w:rsid w:val="002B5620"/>
    <w:rsid w:val="002B6716"/>
    <w:rsid w:val="002B70EF"/>
    <w:rsid w:val="002C00C1"/>
    <w:rsid w:val="002C067B"/>
    <w:rsid w:val="002C29A7"/>
    <w:rsid w:val="002C3863"/>
    <w:rsid w:val="002C4077"/>
    <w:rsid w:val="002C4418"/>
    <w:rsid w:val="002C5B63"/>
    <w:rsid w:val="002C75A7"/>
    <w:rsid w:val="002D046F"/>
    <w:rsid w:val="002D1163"/>
    <w:rsid w:val="002D15D0"/>
    <w:rsid w:val="002D3E1D"/>
    <w:rsid w:val="002D4138"/>
    <w:rsid w:val="002D44AA"/>
    <w:rsid w:val="002D6759"/>
    <w:rsid w:val="002D703B"/>
    <w:rsid w:val="002D78A6"/>
    <w:rsid w:val="002D7B1C"/>
    <w:rsid w:val="002E0200"/>
    <w:rsid w:val="002E0546"/>
    <w:rsid w:val="002E1397"/>
    <w:rsid w:val="002E192A"/>
    <w:rsid w:val="002E2B69"/>
    <w:rsid w:val="002E3028"/>
    <w:rsid w:val="002E4A67"/>
    <w:rsid w:val="002E4B77"/>
    <w:rsid w:val="002E4D8D"/>
    <w:rsid w:val="002E717B"/>
    <w:rsid w:val="002E7638"/>
    <w:rsid w:val="002E7821"/>
    <w:rsid w:val="002E7FEC"/>
    <w:rsid w:val="002F080F"/>
    <w:rsid w:val="002F0B59"/>
    <w:rsid w:val="002F0E29"/>
    <w:rsid w:val="002F2018"/>
    <w:rsid w:val="002F3084"/>
    <w:rsid w:val="002F3C42"/>
    <w:rsid w:val="002F3DAA"/>
    <w:rsid w:val="002F45B0"/>
    <w:rsid w:val="002F56BB"/>
    <w:rsid w:val="002F57C5"/>
    <w:rsid w:val="002F5A9D"/>
    <w:rsid w:val="002F7C78"/>
    <w:rsid w:val="002F7F15"/>
    <w:rsid w:val="00302002"/>
    <w:rsid w:val="00303AB3"/>
    <w:rsid w:val="00303E18"/>
    <w:rsid w:val="00304294"/>
    <w:rsid w:val="003065CE"/>
    <w:rsid w:val="003077D7"/>
    <w:rsid w:val="00310052"/>
    <w:rsid w:val="003105BC"/>
    <w:rsid w:val="00310924"/>
    <w:rsid w:val="00310A49"/>
    <w:rsid w:val="003119DF"/>
    <w:rsid w:val="00313D00"/>
    <w:rsid w:val="003146AA"/>
    <w:rsid w:val="00314D7A"/>
    <w:rsid w:val="00315BB3"/>
    <w:rsid w:val="00315D25"/>
    <w:rsid w:val="00316838"/>
    <w:rsid w:val="003176F0"/>
    <w:rsid w:val="00317A43"/>
    <w:rsid w:val="00317CA3"/>
    <w:rsid w:val="003203FB"/>
    <w:rsid w:val="00320A43"/>
    <w:rsid w:val="00320F55"/>
    <w:rsid w:val="00321DA1"/>
    <w:rsid w:val="003238EE"/>
    <w:rsid w:val="00325989"/>
    <w:rsid w:val="003267CD"/>
    <w:rsid w:val="00326BC1"/>
    <w:rsid w:val="003306B8"/>
    <w:rsid w:val="003306B9"/>
    <w:rsid w:val="003313D8"/>
    <w:rsid w:val="003320F3"/>
    <w:rsid w:val="003323B2"/>
    <w:rsid w:val="00332D6E"/>
    <w:rsid w:val="003346DE"/>
    <w:rsid w:val="00334AA9"/>
    <w:rsid w:val="00336151"/>
    <w:rsid w:val="0033681E"/>
    <w:rsid w:val="0034142F"/>
    <w:rsid w:val="00341757"/>
    <w:rsid w:val="00341E0E"/>
    <w:rsid w:val="00342DCC"/>
    <w:rsid w:val="00343BB6"/>
    <w:rsid w:val="00344805"/>
    <w:rsid w:val="00344B6D"/>
    <w:rsid w:val="0034542F"/>
    <w:rsid w:val="003458F9"/>
    <w:rsid w:val="0034648C"/>
    <w:rsid w:val="0034699A"/>
    <w:rsid w:val="00346D70"/>
    <w:rsid w:val="00347AB6"/>
    <w:rsid w:val="0035011B"/>
    <w:rsid w:val="00350189"/>
    <w:rsid w:val="003508CE"/>
    <w:rsid w:val="0035183D"/>
    <w:rsid w:val="00351988"/>
    <w:rsid w:val="00351C56"/>
    <w:rsid w:val="00352EFB"/>
    <w:rsid w:val="003543A9"/>
    <w:rsid w:val="003545FF"/>
    <w:rsid w:val="00356239"/>
    <w:rsid w:val="003570D2"/>
    <w:rsid w:val="00357549"/>
    <w:rsid w:val="00357654"/>
    <w:rsid w:val="00357F4D"/>
    <w:rsid w:val="00361201"/>
    <w:rsid w:val="00361C5C"/>
    <w:rsid w:val="00362C38"/>
    <w:rsid w:val="00363F37"/>
    <w:rsid w:val="003643E2"/>
    <w:rsid w:val="003646CC"/>
    <w:rsid w:val="00364EDB"/>
    <w:rsid w:val="00366A96"/>
    <w:rsid w:val="003670B2"/>
    <w:rsid w:val="0036776C"/>
    <w:rsid w:val="00367FE7"/>
    <w:rsid w:val="00370A2C"/>
    <w:rsid w:val="003715B6"/>
    <w:rsid w:val="00373601"/>
    <w:rsid w:val="00373708"/>
    <w:rsid w:val="00373911"/>
    <w:rsid w:val="003758D1"/>
    <w:rsid w:val="00375F18"/>
    <w:rsid w:val="0037721C"/>
    <w:rsid w:val="00377CC7"/>
    <w:rsid w:val="00381306"/>
    <w:rsid w:val="00381464"/>
    <w:rsid w:val="003817C2"/>
    <w:rsid w:val="0038282F"/>
    <w:rsid w:val="00382FB7"/>
    <w:rsid w:val="003849D4"/>
    <w:rsid w:val="00385814"/>
    <w:rsid w:val="00385B86"/>
    <w:rsid w:val="0038623D"/>
    <w:rsid w:val="00386ACE"/>
    <w:rsid w:val="003872C9"/>
    <w:rsid w:val="00391270"/>
    <w:rsid w:val="003919D8"/>
    <w:rsid w:val="00391DF3"/>
    <w:rsid w:val="003931D2"/>
    <w:rsid w:val="00393A1F"/>
    <w:rsid w:val="00394D4B"/>
    <w:rsid w:val="003957DF"/>
    <w:rsid w:val="0039611D"/>
    <w:rsid w:val="00396232"/>
    <w:rsid w:val="00396B6D"/>
    <w:rsid w:val="00396C2C"/>
    <w:rsid w:val="0039729F"/>
    <w:rsid w:val="003979B3"/>
    <w:rsid w:val="003A0F75"/>
    <w:rsid w:val="003A1161"/>
    <w:rsid w:val="003A201F"/>
    <w:rsid w:val="003A2A26"/>
    <w:rsid w:val="003A359F"/>
    <w:rsid w:val="003A3E40"/>
    <w:rsid w:val="003A543B"/>
    <w:rsid w:val="003A56A9"/>
    <w:rsid w:val="003A6696"/>
    <w:rsid w:val="003A787B"/>
    <w:rsid w:val="003B0C2E"/>
    <w:rsid w:val="003B1B8D"/>
    <w:rsid w:val="003B2DBA"/>
    <w:rsid w:val="003B3157"/>
    <w:rsid w:val="003B4334"/>
    <w:rsid w:val="003B43AD"/>
    <w:rsid w:val="003B515E"/>
    <w:rsid w:val="003B529D"/>
    <w:rsid w:val="003B5AD2"/>
    <w:rsid w:val="003B5EF0"/>
    <w:rsid w:val="003B7727"/>
    <w:rsid w:val="003C0167"/>
    <w:rsid w:val="003C10FE"/>
    <w:rsid w:val="003C1167"/>
    <w:rsid w:val="003C19FD"/>
    <w:rsid w:val="003C1CD0"/>
    <w:rsid w:val="003C2871"/>
    <w:rsid w:val="003C2A77"/>
    <w:rsid w:val="003C351A"/>
    <w:rsid w:val="003C3568"/>
    <w:rsid w:val="003C3C93"/>
    <w:rsid w:val="003C45FD"/>
    <w:rsid w:val="003C4D5A"/>
    <w:rsid w:val="003C56E8"/>
    <w:rsid w:val="003C5927"/>
    <w:rsid w:val="003C5C27"/>
    <w:rsid w:val="003C70E2"/>
    <w:rsid w:val="003C71C6"/>
    <w:rsid w:val="003D2469"/>
    <w:rsid w:val="003D3332"/>
    <w:rsid w:val="003D3B66"/>
    <w:rsid w:val="003D784D"/>
    <w:rsid w:val="003E1622"/>
    <w:rsid w:val="003E18FC"/>
    <w:rsid w:val="003E1E7B"/>
    <w:rsid w:val="003E2237"/>
    <w:rsid w:val="003E264C"/>
    <w:rsid w:val="003E2E2E"/>
    <w:rsid w:val="003E33E7"/>
    <w:rsid w:val="003E3E53"/>
    <w:rsid w:val="003E4E2B"/>
    <w:rsid w:val="003E7B57"/>
    <w:rsid w:val="003F0211"/>
    <w:rsid w:val="003F121A"/>
    <w:rsid w:val="003F28E4"/>
    <w:rsid w:val="003F421A"/>
    <w:rsid w:val="003F4303"/>
    <w:rsid w:val="003F4C69"/>
    <w:rsid w:val="003F518D"/>
    <w:rsid w:val="003F564E"/>
    <w:rsid w:val="003F5F28"/>
    <w:rsid w:val="003F5F35"/>
    <w:rsid w:val="00401CB7"/>
    <w:rsid w:val="00401E65"/>
    <w:rsid w:val="00402203"/>
    <w:rsid w:val="0040243C"/>
    <w:rsid w:val="00402F1F"/>
    <w:rsid w:val="0040487A"/>
    <w:rsid w:val="00406032"/>
    <w:rsid w:val="00407C08"/>
    <w:rsid w:val="00411EE8"/>
    <w:rsid w:val="00412DDC"/>
    <w:rsid w:val="004132F7"/>
    <w:rsid w:val="00413748"/>
    <w:rsid w:val="004159DA"/>
    <w:rsid w:val="004177AB"/>
    <w:rsid w:val="00417D89"/>
    <w:rsid w:val="00420F30"/>
    <w:rsid w:val="0042107D"/>
    <w:rsid w:val="004224DE"/>
    <w:rsid w:val="00422896"/>
    <w:rsid w:val="004241F1"/>
    <w:rsid w:val="00424246"/>
    <w:rsid w:val="0042442B"/>
    <w:rsid w:val="00425878"/>
    <w:rsid w:val="00426093"/>
    <w:rsid w:val="004263B3"/>
    <w:rsid w:val="00426987"/>
    <w:rsid w:val="0043085D"/>
    <w:rsid w:val="00430CEA"/>
    <w:rsid w:val="0043137F"/>
    <w:rsid w:val="00432B25"/>
    <w:rsid w:val="00432CC5"/>
    <w:rsid w:val="00433E58"/>
    <w:rsid w:val="004342CE"/>
    <w:rsid w:val="004365F0"/>
    <w:rsid w:val="004372D1"/>
    <w:rsid w:val="00437676"/>
    <w:rsid w:val="00441C99"/>
    <w:rsid w:val="00442013"/>
    <w:rsid w:val="0044504A"/>
    <w:rsid w:val="0044618B"/>
    <w:rsid w:val="004472F6"/>
    <w:rsid w:val="004474F1"/>
    <w:rsid w:val="004508AB"/>
    <w:rsid w:val="00451204"/>
    <w:rsid w:val="00451285"/>
    <w:rsid w:val="004519BB"/>
    <w:rsid w:val="00451C2C"/>
    <w:rsid w:val="00454102"/>
    <w:rsid w:val="00455551"/>
    <w:rsid w:val="004559D5"/>
    <w:rsid w:val="00457712"/>
    <w:rsid w:val="00460782"/>
    <w:rsid w:val="00461077"/>
    <w:rsid w:val="004613FD"/>
    <w:rsid w:val="0046161D"/>
    <w:rsid w:val="00461967"/>
    <w:rsid w:val="00461A67"/>
    <w:rsid w:val="004629B0"/>
    <w:rsid w:val="004639B1"/>
    <w:rsid w:val="00463AFA"/>
    <w:rsid w:val="00466966"/>
    <w:rsid w:val="004710C4"/>
    <w:rsid w:val="00471489"/>
    <w:rsid w:val="0047189B"/>
    <w:rsid w:val="0047253D"/>
    <w:rsid w:val="00472CBE"/>
    <w:rsid w:val="00473367"/>
    <w:rsid w:val="0047381F"/>
    <w:rsid w:val="00473C95"/>
    <w:rsid w:val="00474D40"/>
    <w:rsid w:val="00476ACD"/>
    <w:rsid w:val="0047734E"/>
    <w:rsid w:val="00477ADD"/>
    <w:rsid w:val="00477F45"/>
    <w:rsid w:val="00480225"/>
    <w:rsid w:val="00480325"/>
    <w:rsid w:val="004803B5"/>
    <w:rsid w:val="00480999"/>
    <w:rsid w:val="00482268"/>
    <w:rsid w:val="00482632"/>
    <w:rsid w:val="00482710"/>
    <w:rsid w:val="00482774"/>
    <w:rsid w:val="004839CA"/>
    <w:rsid w:val="004839E9"/>
    <w:rsid w:val="00484112"/>
    <w:rsid w:val="00484166"/>
    <w:rsid w:val="00484277"/>
    <w:rsid w:val="004852FF"/>
    <w:rsid w:val="0048538E"/>
    <w:rsid w:val="00486582"/>
    <w:rsid w:val="00486E6C"/>
    <w:rsid w:val="00486FDA"/>
    <w:rsid w:val="00487BD0"/>
    <w:rsid w:val="00487C85"/>
    <w:rsid w:val="00490194"/>
    <w:rsid w:val="00491209"/>
    <w:rsid w:val="004917D5"/>
    <w:rsid w:val="00491927"/>
    <w:rsid w:val="0049277B"/>
    <w:rsid w:val="00492C84"/>
    <w:rsid w:val="0049420D"/>
    <w:rsid w:val="00495FD5"/>
    <w:rsid w:val="00496C5F"/>
    <w:rsid w:val="004A00A9"/>
    <w:rsid w:val="004A147C"/>
    <w:rsid w:val="004A1507"/>
    <w:rsid w:val="004A16D9"/>
    <w:rsid w:val="004A1865"/>
    <w:rsid w:val="004A21EF"/>
    <w:rsid w:val="004A23FD"/>
    <w:rsid w:val="004A2DA5"/>
    <w:rsid w:val="004A4E03"/>
    <w:rsid w:val="004A5003"/>
    <w:rsid w:val="004A58A4"/>
    <w:rsid w:val="004B246E"/>
    <w:rsid w:val="004B4AF9"/>
    <w:rsid w:val="004B4CC3"/>
    <w:rsid w:val="004B5F0A"/>
    <w:rsid w:val="004B6D38"/>
    <w:rsid w:val="004B6FBF"/>
    <w:rsid w:val="004C0A0F"/>
    <w:rsid w:val="004C0C79"/>
    <w:rsid w:val="004C1EDB"/>
    <w:rsid w:val="004C35DD"/>
    <w:rsid w:val="004C3779"/>
    <w:rsid w:val="004C44BC"/>
    <w:rsid w:val="004C5E96"/>
    <w:rsid w:val="004C64CB"/>
    <w:rsid w:val="004C6752"/>
    <w:rsid w:val="004C6900"/>
    <w:rsid w:val="004C6B7A"/>
    <w:rsid w:val="004C70CE"/>
    <w:rsid w:val="004C71F0"/>
    <w:rsid w:val="004C774A"/>
    <w:rsid w:val="004C7A80"/>
    <w:rsid w:val="004D009E"/>
    <w:rsid w:val="004D10CE"/>
    <w:rsid w:val="004D1DAE"/>
    <w:rsid w:val="004D20D8"/>
    <w:rsid w:val="004D3D3B"/>
    <w:rsid w:val="004D4416"/>
    <w:rsid w:val="004D5A75"/>
    <w:rsid w:val="004D6F55"/>
    <w:rsid w:val="004E03BC"/>
    <w:rsid w:val="004E1641"/>
    <w:rsid w:val="004E1780"/>
    <w:rsid w:val="004E241E"/>
    <w:rsid w:val="004E2B96"/>
    <w:rsid w:val="004E3C48"/>
    <w:rsid w:val="004E3C8C"/>
    <w:rsid w:val="004E4069"/>
    <w:rsid w:val="004E42B6"/>
    <w:rsid w:val="004E59D5"/>
    <w:rsid w:val="004E7DFC"/>
    <w:rsid w:val="004F05EC"/>
    <w:rsid w:val="004F0B8C"/>
    <w:rsid w:val="004F0FA7"/>
    <w:rsid w:val="004F1130"/>
    <w:rsid w:val="004F2D73"/>
    <w:rsid w:val="004F2FEF"/>
    <w:rsid w:val="004F3277"/>
    <w:rsid w:val="004F4320"/>
    <w:rsid w:val="004F4FE8"/>
    <w:rsid w:val="004F543A"/>
    <w:rsid w:val="004F5FE8"/>
    <w:rsid w:val="004F6692"/>
    <w:rsid w:val="004F76A4"/>
    <w:rsid w:val="005000AE"/>
    <w:rsid w:val="00500F24"/>
    <w:rsid w:val="0050144C"/>
    <w:rsid w:val="00502618"/>
    <w:rsid w:val="00503278"/>
    <w:rsid w:val="00503D2C"/>
    <w:rsid w:val="005056C0"/>
    <w:rsid w:val="005069E2"/>
    <w:rsid w:val="00506DCB"/>
    <w:rsid w:val="005116ED"/>
    <w:rsid w:val="00512587"/>
    <w:rsid w:val="005130CC"/>
    <w:rsid w:val="005140BE"/>
    <w:rsid w:val="0051457B"/>
    <w:rsid w:val="0051588C"/>
    <w:rsid w:val="005164B9"/>
    <w:rsid w:val="00516F0A"/>
    <w:rsid w:val="00517791"/>
    <w:rsid w:val="00517F84"/>
    <w:rsid w:val="00520B4F"/>
    <w:rsid w:val="00523526"/>
    <w:rsid w:val="0052372F"/>
    <w:rsid w:val="005241ED"/>
    <w:rsid w:val="00524999"/>
    <w:rsid w:val="00525ABC"/>
    <w:rsid w:val="00525C95"/>
    <w:rsid w:val="005274DB"/>
    <w:rsid w:val="0052786A"/>
    <w:rsid w:val="00530081"/>
    <w:rsid w:val="005303F9"/>
    <w:rsid w:val="00531126"/>
    <w:rsid w:val="00531461"/>
    <w:rsid w:val="00532144"/>
    <w:rsid w:val="00532583"/>
    <w:rsid w:val="00533C4E"/>
    <w:rsid w:val="00534E21"/>
    <w:rsid w:val="0053652A"/>
    <w:rsid w:val="00536C3C"/>
    <w:rsid w:val="005370DA"/>
    <w:rsid w:val="00537C9F"/>
    <w:rsid w:val="005409D9"/>
    <w:rsid w:val="00540FEA"/>
    <w:rsid w:val="00541234"/>
    <w:rsid w:val="005413F9"/>
    <w:rsid w:val="00541D72"/>
    <w:rsid w:val="00542948"/>
    <w:rsid w:val="00544C26"/>
    <w:rsid w:val="0054560C"/>
    <w:rsid w:val="0055051E"/>
    <w:rsid w:val="00550E5A"/>
    <w:rsid w:val="00551CC7"/>
    <w:rsid w:val="00551FA0"/>
    <w:rsid w:val="00553521"/>
    <w:rsid w:val="005542B5"/>
    <w:rsid w:val="00555955"/>
    <w:rsid w:val="00557558"/>
    <w:rsid w:val="00560104"/>
    <w:rsid w:val="0056019B"/>
    <w:rsid w:val="0056092D"/>
    <w:rsid w:val="00560D0C"/>
    <w:rsid w:val="00560E9F"/>
    <w:rsid w:val="00561076"/>
    <w:rsid w:val="0056140C"/>
    <w:rsid w:val="00562990"/>
    <w:rsid w:val="00562C82"/>
    <w:rsid w:val="00562D2C"/>
    <w:rsid w:val="00563224"/>
    <w:rsid w:val="0056324E"/>
    <w:rsid w:val="005641A4"/>
    <w:rsid w:val="005644FD"/>
    <w:rsid w:val="00564883"/>
    <w:rsid w:val="00564F7B"/>
    <w:rsid w:val="00564F9A"/>
    <w:rsid w:val="00570226"/>
    <w:rsid w:val="00570533"/>
    <w:rsid w:val="00571918"/>
    <w:rsid w:val="0057213D"/>
    <w:rsid w:val="00573D5C"/>
    <w:rsid w:val="00574032"/>
    <w:rsid w:val="0057530D"/>
    <w:rsid w:val="00576232"/>
    <w:rsid w:val="0057660D"/>
    <w:rsid w:val="00577F13"/>
    <w:rsid w:val="00580612"/>
    <w:rsid w:val="00580814"/>
    <w:rsid w:val="00580A8F"/>
    <w:rsid w:val="005814EE"/>
    <w:rsid w:val="00581985"/>
    <w:rsid w:val="00581A36"/>
    <w:rsid w:val="00581CC3"/>
    <w:rsid w:val="00581D84"/>
    <w:rsid w:val="005821DF"/>
    <w:rsid w:val="0058318B"/>
    <w:rsid w:val="00583D3B"/>
    <w:rsid w:val="00584298"/>
    <w:rsid w:val="005862F7"/>
    <w:rsid w:val="00587127"/>
    <w:rsid w:val="005879B9"/>
    <w:rsid w:val="00587EC6"/>
    <w:rsid w:val="00590EE1"/>
    <w:rsid w:val="00594762"/>
    <w:rsid w:val="00594C98"/>
    <w:rsid w:val="005957FD"/>
    <w:rsid w:val="00595D5A"/>
    <w:rsid w:val="00597277"/>
    <w:rsid w:val="00597651"/>
    <w:rsid w:val="00597C31"/>
    <w:rsid w:val="005A1802"/>
    <w:rsid w:val="005A1FD8"/>
    <w:rsid w:val="005A4AC9"/>
    <w:rsid w:val="005A4DAF"/>
    <w:rsid w:val="005B0D40"/>
    <w:rsid w:val="005B0D5A"/>
    <w:rsid w:val="005B1A8B"/>
    <w:rsid w:val="005B20EB"/>
    <w:rsid w:val="005B2186"/>
    <w:rsid w:val="005B2208"/>
    <w:rsid w:val="005B25E7"/>
    <w:rsid w:val="005B284F"/>
    <w:rsid w:val="005B3EE0"/>
    <w:rsid w:val="005B3F4A"/>
    <w:rsid w:val="005B41AD"/>
    <w:rsid w:val="005B520E"/>
    <w:rsid w:val="005B6BCB"/>
    <w:rsid w:val="005C02DA"/>
    <w:rsid w:val="005C19D0"/>
    <w:rsid w:val="005C2806"/>
    <w:rsid w:val="005C2941"/>
    <w:rsid w:val="005C526F"/>
    <w:rsid w:val="005C6801"/>
    <w:rsid w:val="005C7A3E"/>
    <w:rsid w:val="005C7DD2"/>
    <w:rsid w:val="005D197A"/>
    <w:rsid w:val="005D1C6C"/>
    <w:rsid w:val="005D27E4"/>
    <w:rsid w:val="005D2838"/>
    <w:rsid w:val="005D34D5"/>
    <w:rsid w:val="005D452A"/>
    <w:rsid w:val="005D59C2"/>
    <w:rsid w:val="005D6EFD"/>
    <w:rsid w:val="005D7200"/>
    <w:rsid w:val="005E1A40"/>
    <w:rsid w:val="005E22B7"/>
    <w:rsid w:val="005E232E"/>
    <w:rsid w:val="005E6055"/>
    <w:rsid w:val="005E79EF"/>
    <w:rsid w:val="005E7D55"/>
    <w:rsid w:val="005F0CA7"/>
    <w:rsid w:val="005F3081"/>
    <w:rsid w:val="005F3B87"/>
    <w:rsid w:val="005F4E1F"/>
    <w:rsid w:val="005F50AA"/>
    <w:rsid w:val="005F61E0"/>
    <w:rsid w:val="005F6E74"/>
    <w:rsid w:val="005F7393"/>
    <w:rsid w:val="005F754E"/>
    <w:rsid w:val="00601800"/>
    <w:rsid w:val="006026CF"/>
    <w:rsid w:val="006037E7"/>
    <w:rsid w:val="00604122"/>
    <w:rsid w:val="00604EE1"/>
    <w:rsid w:val="0060514E"/>
    <w:rsid w:val="00605499"/>
    <w:rsid w:val="00606153"/>
    <w:rsid w:val="00606829"/>
    <w:rsid w:val="00607BDE"/>
    <w:rsid w:val="00610478"/>
    <w:rsid w:val="00611B7B"/>
    <w:rsid w:val="006125F6"/>
    <w:rsid w:val="00613EC9"/>
    <w:rsid w:val="00615C60"/>
    <w:rsid w:val="00616B9A"/>
    <w:rsid w:val="006176D8"/>
    <w:rsid w:val="00620646"/>
    <w:rsid w:val="00620798"/>
    <w:rsid w:val="00620A02"/>
    <w:rsid w:val="00620FB8"/>
    <w:rsid w:val="0062161E"/>
    <w:rsid w:val="00622100"/>
    <w:rsid w:val="00622BBE"/>
    <w:rsid w:val="006233F1"/>
    <w:rsid w:val="006235A4"/>
    <w:rsid w:val="006264C0"/>
    <w:rsid w:val="006304F2"/>
    <w:rsid w:val="00630DEF"/>
    <w:rsid w:val="0063168A"/>
    <w:rsid w:val="006334DB"/>
    <w:rsid w:val="0063359A"/>
    <w:rsid w:val="0063389F"/>
    <w:rsid w:val="0063484A"/>
    <w:rsid w:val="00635FBA"/>
    <w:rsid w:val="006366D3"/>
    <w:rsid w:val="00636D68"/>
    <w:rsid w:val="00636F10"/>
    <w:rsid w:val="006375B9"/>
    <w:rsid w:val="0063764D"/>
    <w:rsid w:val="00637F29"/>
    <w:rsid w:val="00640A52"/>
    <w:rsid w:val="006414AE"/>
    <w:rsid w:val="00641D5B"/>
    <w:rsid w:val="00642C5D"/>
    <w:rsid w:val="00643113"/>
    <w:rsid w:val="00643235"/>
    <w:rsid w:val="00644264"/>
    <w:rsid w:val="006444FB"/>
    <w:rsid w:val="00644F9E"/>
    <w:rsid w:val="00646E6B"/>
    <w:rsid w:val="006470D3"/>
    <w:rsid w:val="00647B5F"/>
    <w:rsid w:val="00647DCD"/>
    <w:rsid w:val="00650DAE"/>
    <w:rsid w:val="00652A80"/>
    <w:rsid w:val="00652D1E"/>
    <w:rsid w:val="0065333B"/>
    <w:rsid w:val="00654EC5"/>
    <w:rsid w:val="0065652B"/>
    <w:rsid w:val="00656E91"/>
    <w:rsid w:val="00657D19"/>
    <w:rsid w:val="006602B2"/>
    <w:rsid w:val="00660571"/>
    <w:rsid w:val="006625D5"/>
    <w:rsid w:val="00662AA0"/>
    <w:rsid w:val="006666E7"/>
    <w:rsid w:val="006669B9"/>
    <w:rsid w:val="00666AA4"/>
    <w:rsid w:val="00666D45"/>
    <w:rsid w:val="00666E2E"/>
    <w:rsid w:val="00667933"/>
    <w:rsid w:val="0067155D"/>
    <w:rsid w:val="00671D55"/>
    <w:rsid w:val="00672174"/>
    <w:rsid w:val="00672511"/>
    <w:rsid w:val="006727DB"/>
    <w:rsid w:val="00672AC0"/>
    <w:rsid w:val="0067457D"/>
    <w:rsid w:val="00677215"/>
    <w:rsid w:val="00677D3C"/>
    <w:rsid w:val="006806A0"/>
    <w:rsid w:val="00680FBF"/>
    <w:rsid w:val="00680FD5"/>
    <w:rsid w:val="006821F1"/>
    <w:rsid w:val="0068231F"/>
    <w:rsid w:val="00682BB2"/>
    <w:rsid w:val="006835EF"/>
    <w:rsid w:val="00683881"/>
    <w:rsid w:val="006838D3"/>
    <w:rsid w:val="00683D2C"/>
    <w:rsid w:val="00684443"/>
    <w:rsid w:val="00684688"/>
    <w:rsid w:val="0068608D"/>
    <w:rsid w:val="00691E5A"/>
    <w:rsid w:val="00692790"/>
    <w:rsid w:val="006932A6"/>
    <w:rsid w:val="00693B8D"/>
    <w:rsid w:val="00693E0F"/>
    <w:rsid w:val="006952FE"/>
    <w:rsid w:val="0069530B"/>
    <w:rsid w:val="006965B4"/>
    <w:rsid w:val="0069777E"/>
    <w:rsid w:val="00697F18"/>
    <w:rsid w:val="006A0DFB"/>
    <w:rsid w:val="006A2053"/>
    <w:rsid w:val="006A20A7"/>
    <w:rsid w:val="006A2213"/>
    <w:rsid w:val="006A2E48"/>
    <w:rsid w:val="006A3865"/>
    <w:rsid w:val="006A41F7"/>
    <w:rsid w:val="006A530E"/>
    <w:rsid w:val="006A7659"/>
    <w:rsid w:val="006A77B9"/>
    <w:rsid w:val="006A7E1D"/>
    <w:rsid w:val="006B014A"/>
    <w:rsid w:val="006B2566"/>
    <w:rsid w:val="006B2E16"/>
    <w:rsid w:val="006B39DB"/>
    <w:rsid w:val="006B442F"/>
    <w:rsid w:val="006B57E8"/>
    <w:rsid w:val="006B66B1"/>
    <w:rsid w:val="006B79C6"/>
    <w:rsid w:val="006C010E"/>
    <w:rsid w:val="006C0263"/>
    <w:rsid w:val="006C1436"/>
    <w:rsid w:val="006C24A6"/>
    <w:rsid w:val="006C29A8"/>
    <w:rsid w:val="006C3527"/>
    <w:rsid w:val="006C3D35"/>
    <w:rsid w:val="006C6406"/>
    <w:rsid w:val="006C7F12"/>
    <w:rsid w:val="006D16AB"/>
    <w:rsid w:val="006D1BFF"/>
    <w:rsid w:val="006D2BBC"/>
    <w:rsid w:val="006D2E1F"/>
    <w:rsid w:val="006D2FBF"/>
    <w:rsid w:val="006D3A19"/>
    <w:rsid w:val="006D577B"/>
    <w:rsid w:val="006D5D29"/>
    <w:rsid w:val="006D5E0C"/>
    <w:rsid w:val="006D6BB0"/>
    <w:rsid w:val="006D6D4D"/>
    <w:rsid w:val="006E1B1C"/>
    <w:rsid w:val="006E1E98"/>
    <w:rsid w:val="006E2AB6"/>
    <w:rsid w:val="006E311E"/>
    <w:rsid w:val="006E48D6"/>
    <w:rsid w:val="006E62B8"/>
    <w:rsid w:val="006E74AB"/>
    <w:rsid w:val="006F0737"/>
    <w:rsid w:val="006F0B53"/>
    <w:rsid w:val="006F0BB9"/>
    <w:rsid w:val="006F109E"/>
    <w:rsid w:val="006F1814"/>
    <w:rsid w:val="006F2BF0"/>
    <w:rsid w:val="006F4417"/>
    <w:rsid w:val="006F4A43"/>
    <w:rsid w:val="006F4C11"/>
    <w:rsid w:val="006F5368"/>
    <w:rsid w:val="006F60F7"/>
    <w:rsid w:val="006F7BDC"/>
    <w:rsid w:val="007000A4"/>
    <w:rsid w:val="00702618"/>
    <w:rsid w:val="00703E9E"/>
    <w:rsid w:val="00704E67"/>
    <w:rsid w:val="00705115"/>
    <w:rsid w:val="0070651C"/>
    <w:rsid w:val="00707755"/>
    <w:rsid w:val="00711C3B"/>
    <w:rsid w:val="00711E18"/>
    <w:rsid w:val="00713F73"/>
    <w:rsid w:val="00713FFA"/>
    <w:rsid w:val="0071427C"/>
    <w:rsid w:val="007146F7"/>
    <w:rsid w:val="007149B2"/>
    <w:rsid w:val="007158EF"/>
    <w:rsid w:val="0071631E"/>
    <w:rsid w:val="00716632"/>
    <w:rsid w:val="00716702"/>
    <w:rsid w:val="00720115"/>
    <w:rsid w:val="007210EF"/>
    <w:rsid w:val="007227FE"/>
    <w:rsid w:val="00722A7B"/>
    <w:rsid w:val="007250CA"/>
    <w:rsid w:val="00725731"/>
    <w:rsid w:val="0072667B"/>
    <w:rsid w:val="00726C14"/>
    <w:rsid w:val="007277F0"/>
    <w:rsid w:val="00727A7D"/>
    <w:rsid w:val="00727D39"/>
    <w:rsid w:val="00733908"/>
    <w:rsid w:val="00734AA6"/>
    <w:rsid w:val="00735288"/>
    <w:rsid w:val="00737EBA"/>
    <w:rsid w:val="007406DB"/>
    <w:rsid w:val="00740C8C"/>
    <w:rsid w:val="00741C51"/>
    <w:rsid w:val="007439BF"/>
    <w:rsid w:val="0074531B"/>
    <w:rsid w:val="0074572F"/>
    <w:rsid w:val="00745CA2"/>
    <w:rsid w:val="007501AF"/>
    <w:rsid w:val="00751574"/>
    <w:rsid w:val="007515CC"/>
    <w:rsid w:val="00752B83"/>
    <w:rsid w:val="00753568"/>
    <w:rsid w:val="00753D56"/>
    <w:rsid w:val="00755371"/>
    <w:rsid w:val="00761DEC"/>
    <w:rsid w:val="00762CE9"/>
    <w:rsid w:val="007638CF"/>
    <w:rsid w:val="0076480E"/>
    <w:rsid w:val="00766A0D"/>
    <w:rsid w:val="0076701E"/>
    <w:rsid w:val="00767FBB"/>
    <w:rsid w:val="007700D4"/>
    <w:rsid w:val="007703DD"/>
    <w:rsid w:val="007721EB"/>
    <w:rsid w:val="00774164"/>
    <w:rsid w:val="007743C6"/>
    <w:rsid w:val="00775A41"/>
    <w:rsid w:val="00777D52"/>
    <w:rsid w:val="00780CDB"/>
    <w:rsid w:val="00781A33"/>
    <w:rsid w:val="0078474D"/>
    <w:rsid w:val="00784763"/>
    <w:rsid w:val="00785A40"/>
    <w:rsid w:val="00790661"/>
    <w:rsid w:val="00791230"/>
    <w:rsid w:val="00791649"/>
    <w:rsid w:val="00794260"/>
    <w:rsid w:val="00794C51"/>
    <w:rsid w:val="007952DF"/>
    <w:rsid w:val="00795557"/>
    <w:rsid w:val="00795A57"/>
    <w:rsid w:val="007969C1"/>
    <w:rsid w:val="007A08E7"/>
    <w:rsid w:val="007A2791"/>
    <w:rsid w:val="007A383E"/>
    <w:rsid w:val="007A74E5"/>
    <w:rsid w:val="007A7A18"/>
    <w:rsid w:val="007B14B1"/>
    <w:rsid w:val="007B16DD"/>
    <w:rsid w:val="007B20C4"/>
    <w:rsid w:val="007B2ECE"/>
    <w:rsid w:val="007B708C"/>
    <w:rsid w:val="007B7ABF"/>
    <w:rsid w:val="007C1569"/>
    <w:rsid w:val="007C4A2C"/>
    <w:rsid w:val="007D06B7"/>
    <w:rsid w:val="007D1506"/>
    <w:rsid w:val="007D40E2"/>
    <w:rsid w:val="007D490C"/>
    <w:rsid w:val="007D5132"/>
    <w:rsid w:val="007D5221"/>
    <w:rsid w:val="007D6351"/>
    <w:rsid w:val="007D68FB"/>
    <w:rsid w:val="007E1466"/>
    <w:rsid w:val="007E2571"/>
    <w:rsid w:val="007E302C"/>
    <w:rsid w:val="007E325F"/>
    <w:rsid w:val="007E4185"/>
    <w:rsid w:val="007E4A08"/>
    <w:rsid w:val="007E4FAB"/>
    <w:rsid w:val="007E5799"/>
    <w:rsid w:val="007E5A1C"/>
    <w:rsid w:val="007E5CFD"/>
    <w:rsid w:val="007E5DE0"/>
    <w:rsid w:val="007E7CC0"/>
    <w:rsid w:val="007E7E9F"/>
    <w:rsid w:val="007F2020"/>
    <w:rsid w:val="007F2FB0"/>
    <w:rsid w:val="007F4C3B"/>
    <w:rsid w:val="007F53E2"/>
    <w:rsid w:val="007F561B"/>
    <w:rsid w:val="007F5749"/>
    <w:rsid w:val="007F6AC8"/>
    <w:rsid w:val="007F6F33"/>
    <w:rsid w:val="00800BAC"/>
    <w:rsid w:val="00801272"/>
    <w:rsid w:val="0080467D"/>
    <w:rsid w:val="00805C95"/>
    <w:rsid w:val="00806153"/>
    <w:rsid w:val="008063C6"/>
    <w:rsid w:val="008063CB"/>
    <w:rsid w:val="00810100"/>
    <w:rsid w:val="008109B0"/>
    <w:rsid w:val="00810C91"/>
    <w:rsid w:val="00815852"/>
    <w:rsid w:val="008158EF"/>
    <w:rsid w:val="00816EE6"/>
    <w:rsid w:val="0081732B"/>
    <w:rsid w:val="00820D79"/>
    <w:rsid w:val="008210D4"/>
    <w:rsid w:val="00821AEF"/>
    <w:rsid w:val="00821FA6"/>
    <w:rsid w:val="00822573"/>
    <w:rsid w:val="008227E2"/>
    <w:rsid w:val="00822AC8"/>
    <w:rsid w:val="00822B35"/>
    <w:rsid w:val="00823272"/>
    <w:rsid w:val="008232BD"/>
    <w:rsid w:val="00823D0E"/>
    <w:rsid w:val="00826134"/>
    <w:rsid w:val="008263E2"/>
    <w:rsid w:val="00830585"/>
    <w:rsid w:val="00831B06"/>
    <w:rsid w:val="00832016"/>
    <w:rsid w:val="00832B8C"/>
    <w:rsid w:val="00832E5D"/>
    <w:rsid w:val="0083356B"/>
    <w:rsid w:val="008338D8"/>
    <w:rsid w:val="008355D4"/>
    <w:rsid w:val="008370C1"/>
    <w:rsid w:val="00842EAC"/>
    <w:rsid w:val="00843EED"/>
    <w:rsid w:val="0084407C"/>
    <w:rsid w:val="0084414A"/>
    <w:rsid w:val="00844875"/>
    <w:rsid w:val="00845A4C"/>
    <w:rsid w:val="00846062"/>
    <w:rsid w:val="0084647B"/>
    <w:rsid w:val="0084796E"/>
    <w:rsid w:val="00850B80"/>
    <w:rsid w:val="00851E51"/>
    <w:rsid w:val="008520C9"/>
    <w:rsid w:val="008539C7"/>
    <w:rsid w:val="008547DC"/>
    <w:rsid w:val="00854A2D"/>
    <w:rsid w:val="00854A8D"/>
    <w:rsid w:val="008551BA"/>
    <w:rsid w:val="008568AC"/>
    <w:rsid w:val="008576EF"/>
    <w:rsid w:val="00860E5C"/>
    <w:rsid w:val="00861F00"/>
    <w:rsid w:val="0086232B"/>
    <w:rsid w:val="00863D85"/>
    <w:rsid w:val="00864C9C"/>
    <w:rsid w:val="008659D6"/>
    <w:rsid w:val="00866672"/>
    <w:rsid w:val="0086712E"/>
    <w:rsid w:val="00870AAD"/>
    <w:rsid w:val="008715E0"/>
    <w:rsid w:val="00874BAB"/>
    <w:rsid w:val="00875931"/>
    <w:rsid w:val="00876248"/>
    <w:rsid w:val="0087713C"/>
    <w:rsid w:val="0087740E"/>
    <w:rsid w:val="00880159"/>
    <w:rsid w:val="0088393E"/>
    <w:rsid w:val="00885FC4"/>
    <w:rsid w:val="00886D12"/>
    <w:rsid w:val="00886F84"/>
    <w:rsid w:val="00887E94"/>
    <w:rsid w:val="008928E6"/>
    <w:rsid w:val="00892DC1"/>
    <w:rsid w:val="0089354A"/>
    <w:rsid w:val="00894558"/>
    <w:rsid w:val="0089738C"/>
    <w:rsid w:val="008A004C"/>
    <w:rsid w:val="008A067E"/>
    <w:rsid w:val="008A0C4A"/>
    <w:rsid w:val="008A1810"/>
    <w:rsid w:val="008A212F"/>
    <w:rsid w:val="008A21EC"/>
    <w:rsid w:val="008A291B"/>
    <w:rsid w:val="008A318E"/>
    <w:rsid w:val="008A70C8"/>
    <w:rsid w:val="008A793D"/>
    <w:rsid w:val="008A7B56"/>
    <w:rsid w:val="008B0885"/>
    <w:rsid w:val="008B3B09"/>
    <w:rsid w:val="008B4097"/>
    <w:rsid w:val="008B45DD"/>
    <w:rsid w:val="008B48DE"/>
    <w:rsid w:val="008C0EFC"/>
    <w:rsid w:val="008C1620"/>
    <w:rsid w:val="008C294F"/>
    <w:rsid w:val="008C2A57"/>
    <w:rsid w:val="008C399B"/>
    <w:rsid w:val="008C4171"/>
    <w:rsid w:val="008C429A"/>
    <w:rsid w:val="008C675A"/>
    <w:rsid w:val="008C70A7"/>
    <w:rsid w:val="008C7BF9"/>
    <w:rsid w:val="008D055B"/>
    <w:rsid w:val="008D199A"/>
    <w:rsid w:val="008D29E2"/>
    <w:rsid w:val="008D2D5F"/>
    <w:rsid w:val="008D4366"/>
    <w:rsid w:val="008D46B1"/>
    <w:rsid w:val="008D7C24"/>
    <w:rsid w:val="008E206E"/>
    <w:rsid w:val="008E211B"/>
    <w:rsid w:val="008E22E9"/>
    <w:rsid w:val="008E2666"/>
    <w:rsid w:val="008E296A"/>
    <w:rsid w:val="008E35A7"/>
    <w:rsid w:val="008E3E12"/>
    <w:rsid w:val="008E4BC0"/>
    <w:rsid w:val="008E538F"/>
    <w:rsid w:val="008E5B0E"/>
    <w:rsid w:val="008E5B74"/>
    <w:rsid w:val="008E5E3A"/>
    <w:rsid w:val="008E72FC"/>
    <w:rsid w:val="008F00AF"/>
    <w:rsid w:val="008F01A8"/>
    <w:rsid w:val="008F1CB9"/>
    <w:rsid w:val="008F2197"/>
    <w:rsid w:val="008F3B99"/>
    <w:rsid w:val="008F445F"/>
    <w:rsid w:val="008F5128"/>
    <w:rsid w:val="008F5184"/>
    <w:rsid w:val="008F5D65"/>
    <w:rsid w:val="008F628A"/>
    <w:rsid w:val="008F67D0"/>
    <w:rsid w:val="008F6BC2"/>
    <w:rsid w:val="008F6F05"/>
    <w:rsid w:val="00901675"/>
    <w:rsid w:val="00902139"/>
    <w:rsid w:val="00902860"/>
    <w:rsid w:val="00902884"/>
    <w:rsid w:val="00902D61"/>
    <w:rsid w:val="00907908"/>
    <w:rsid w:val="00910D58"/>
    <w:rsid w:val="009124E3"/>
    <w:rsid w:val="009125AE"/>
    <w:rsid w:val="00912C3E"/>
    <w:rsid w:val="0091343D"/>
    <w:rsid w:val="00915D17"/>
    <w:rsid w:val="00917031"/>
    <w:rsid w:val="009171C9"/>
    <w:rsid w:val="00917A79"/>
    <w:rsid w:val="0092024E"/>
    <w:rsid w:val="00920842"/>
    <w:rsid w:val="00920FE4"/>
    <w:rsid w:val="00921D77"/>
    <w:rsid w:val="009222B0"/>
    <w:rsid w:val="00923406"/>
    <w:rsid w:val="0092428A"/>
    <w:rsid w:val="0092484B"/>
    <w:rsid w:val="009249B4"/>
    <w:rsid w:val="00927DDF"/>
    <w:rsid w:val="00927FE6"/>
    <w:rsid w:val="009310E4"/>
    <w:rsid w:val="009316D2"/>
    <w:rsid w:val="00931CE7"/>
    <w:rsid w:val="009334EE"/>
    <w:rsid w:val="00935971"/>
    <w:rsid w:val="009364DE"/>
    <w:rsid w:val="00936B2E"/>
    <w:rsid w:val="00937108"/>
    <w:rsid w:val="00937B24"/>
    <w:rsid w:val="00941790"/>
    <w:rsid w:val="009438EB"/>
    <w:rsid w:val="00943A59"/>
    <w:rsid w:val="00943F44"/>
    <w:rsid w:val="009446B1"/>
    <w:rsid w:val="009447DC"/>
    <w:rsid w:val="009448EB"/>
    <w:rsid w:val="00945114"/>
    <w:rsid w:val="00945370"/>
    <w:rsid w:val="00946ABA"/>
    <w:rsid w:val="00946C15"/>
    <w:rsid w:val="00947663"/>
    <w:rsid w:val="00947E99"/>
    <w:rsid w:val="009525C3"/>
    <w:rsid w:val="0095341B"/>
    <w:rsid w:val="00953BBB"/>
    <w:rsid w:val="00954BFE"/>
    <w:rsid w:val="00954E69"/>
    <w:rsid w:val="009554AC"/>
    <w:rsid w:val="00956694"/>
    <w:rsid w:val="0095690A"/>
    <w:rsid w:val="00961EC8"/>
    <w:rsid w:val="009625D4"/>
    <w:rsid w:val="009631FA"/>
    <w:rsid w:val="0096362C"/>
    <w:rsid w:val="00965AEC"/>
    <w:rsid w:val="009668C2"/>
    <w:rsid w:val="00967B62"/>
    <w:rsid w:val="0097077D"/>
    <w:rsid w:val="00971E52"/>
    <w:rsid w:val="00971FF7"/>
    <w:rsid w:val="00972AF9"/>
    <w:rsid w:val="00974F8C"/>
    <w:rsid w:val="00975A18"/>
    <w:rsid w:val="00976082"/>
    <w:rsid w:val="00976359"/>
    <w:rsid w:val="009770AB"/>
    <w:rsid w:val="009803F5"/>
    <w:rsid w:val="009810FC"/>
    <w:rsid w:val="00981AED"/>
    <w:rsid w:val="0098223A"/>
    <w:rsid w:val="00982397"/>
    <w:rsid w:val="009828F8"/>
    <w:rsid w:val="00982C4F"/>
    <w:rsid w:val="009835BB"/>
    <w:rsid w:val="00983904"/>
    <w:rsid w:val="0098642B"/>
    <w:rsid w:val="00987188"/>
    <w:rsid w:val="00987369"/>
    <w:rsid w:val="00987EEB"/>
    <w:rsid w:val="00990589"/>
    <w:rsid w:val="00990672"/>
    <w:rsid w:val="00990CF7"/>
    <w:rsid w:val="00992D59"/>
    <w:rsid w:val="00994812"/>
    <w:rsid w:val="009948ED"/>
    <w:rsid w:val="00995AF3"/>
    <w:rsid w:val="00995B1C"/>
    <w:rsid w:val="0099603D"/>
    <w:rsid w:val="009A0FE1"/>
    <w:rsid w:val="009A1207"/>
    <w:rsid w:val="009A12CC"/>
    <w:rsid w:val="009A1E6A"/>
    <w:rsid w:val="009A322D"/>
    <w:rsid w:val="009A4021"/>
    <w:rsid w:val="009A5A12"/>
    <w:rsid w:val="009A5E63"/>
    <w:rsid w:val="009A6055"/>
    <w:rsid w:val="009A6718"/>
    <w:rsid w:val="009A6AA0"/>
    <w:rsid w:val="009B00F8"/>
    <w:rsid w:val="009B0EBA"/>
    <w:rsid w:val="009B2512"/>
    <w:rsid w:val="009B4072"/>
    <w:rsid w:val="009B4657"/>
    <w:rsid w:val="009B5096"/>
    <w:rsid w:val="009B79E5"/>
    <w:rsid w:val="009B7E34"/>
    <w:rsid w:val="009B7FEF"/>
    <w:rsid w:val="009C2B21"/>
    <w:rsid w:val="009C2BC4"/>
    <w:rsid w:val="009C3CC4"/>
    <w:rsid w:val="009C4D7A"/>
    <w:rsid w:val="009C57D2"/>
    <w:rsid w:val="009C6D07"/>
    <w:rsid w:val="009C7CC2"/>
    <w:rsid w:val="009D18C4"/>
    <w:rsid w:val="009D4829"/>
    <w:rsid w:val="009D4EA6"/>
    <w:rsid w:val="009D4EB3"/>
    <w:rsid w:val="009D4F38"/>
    <w:rsid w:val="009D6298"/>
    <w:rsid w:val="009D6481"/>
    <w:rsid w:val="009D6C9B"/>
    <w:rsid w:val="009D7D5C"/>
    <w:rsid w:val="009D7F85"/>
    <w:rsid w:val="009E50F7"/>
    <w:rsid w:val="009E7800"/>
    <w:rsid w:val="009F3B3B"/>
    <w:rsid w:val="009F512E"/>
    <w:rsid w:val="009F7CB7"/>
    <w:rsid w:val="00A00F8D"/>
    <w:rsid w:val="00A019F4"/>
    <w:rsid w:val="00A01BA0"/>
    <w:rsid w:val="00A02040"/>
    <w:rsid w:val="00A02D65"/>
    <w:rsid w:val="00A0357B"/>
    <w:rsid w:val="00A037B8"/>
    <w:rsid w:val="00A03C0A"/>
    <w:rsid w:val="00A03DE2"/>
    <w:rsid w:val="00A059FE"/>
    <w:rsid w:val="00A05F20"/>
    <w:rsid w:val="00A06AAA"/>
    <w:rsid w:val="00A11095"/>
    <w:rsid w:val="00A11229"/>
    <w:rsid w:val="00A122DF"/>
    <w:rsid w:val="00A12567"/>
    <w:rsid w:val="00A13BEA"/>
    <w:rsid w:val="00A14171"/>
    <w:rsid w:val="00A15232"/>
    <w:rsid w:val="00A15EDE"/>
    <w:rsid w:val="00A16B79"/>
    <w:rsid w:val="00A16E24"/>
    <w:rsid w:val="00A20C90"/>
    <w:rsid w:val="00A20F13"/>
    <w:rsid w:val="00A22C11"/>
    <w:rsid w:val="00A237AF"/>
    <w:rsid w:val="00A24A78"/>
    <w:rsid w:val="00A25378"/>
    <w:rsid w:val="00A25803"/>
    <w:rsid w:val="00A269BE"/>
    <w:rsid w:val="00A26F02"/>
    <w:rsid w:val="00A27013"/>
    <w:rsid w:val="00A2716D"/>
    <w:rsid w:val="00A273E5"/>
    <w:rsid w:val="00A27EDD"/>
    <w:rsid w:val="00A315F2"/>
    <w:rsid w:val="00A31FDD"/>
    <w:rsid w:val="00A33A76"/>
    <w:rsid w:val="00A33BAB"/>
    <w:rsid w:val="00A34A44"/>
    <w:rsid w:val="00A35926"/>
    <w:rsid w:val="00A35BA2"/>
    <w:rsid w:val="00A35C68"/>
    <w:rsid w:val="00A37278"/>
    <w:rsid w:val="00A37D8B"/>
    <w:rsid w:val="00A40BCD"/>
    <w:rsid w:val="00A411A3"/>
    <w:rsid w:val="00A42755"/>
    <w:rsid w:val="00A438A7"/>
    <w:rsid w:val="00A43E05"/>
    <w:rsid w:val="00A44A1A"/>
    <w:rsid w:val="00A467C8"/>
    <w:rsid w:val="00A46DBC"/>
    <w:rsid w:val="00A478B1"/>
    <w:rsid w:val="00A51444"/>
    <w:rsid w:val="00A516A8"/>
    <w:rsid w:val="00A51E42"/>
    <w:rsid w:val="00A52F13"/>
    <w:rsid w:val="00A5322E"/>
    <w:rsid w:val="00A53677"/>
    <w:rsid w:val="00A548B5"/>
    <w:rsid w:val="00A5594C"/>
    <w:rsid w:val="00A55B0B"/>
    <w:rsid w:val="00A56003"/>
    <w:rsid w:val="00A56D55"/>
    <w:rsid w:val="00A60265"/>
    <w:rsid w:val="00A6109B"/>
    <w:rsid w:val="00A63987"/>
    <w:rsid w:val="00A63D7C"/>
    <w:rsid w:val="00A6507F"/>
    <w:rsid w:val="00A66FF6"/>
    <w:rsid w:val="00A70CA8"/>
    <w:rsid w:val="00A7113D"/>
    <w:rsid w:val="00A71E75"/>
    <w:rsid w:val="00A72E9B"/>
    <w:rsid w:val="00A747FA"/>
    <w:rsid w:val="00A74DBB"/>
    <w:rsid w:val="00A765DF"/>
    <w:rsid w:val="00A808DD"/>
    <w:rsid w:val="00A820A8"/>
    <w:rsid w:val="00A821B5"/>
    <w:rsid w:val="00A869AC"/>
    <w:rsid w:val="00A86C3B"/>
    <w:rsid w:val="00A87912"/>
    <w:rsid w:val="00A90070"/>
    <w:rsid w:val="00A90235"/>
    <w:rsid w:val="00A902F6"/>
    <w:rsid w:val="00A90BE2"/>
    <w:rsid w:val="00A90CBF"/>
    <w:rsid w:val="00A90E4D"/>
    <w:rsid w:val="00A93324"/>
    <w:rsid w:val="00A94729"/>
    <w:rsid w:val="00A970B8"/>
    <w:rsid w:val="00A97174"/>
    <w:rsid w:val="00AA0091"/>
    <w:rsid w:val="00AA00AD"/>
    <w:rsid w:val="00AA0803"/>
    <w:rsid w:val="00AA0888"/>
    <w:rsid w:val="00AA12D7"/>
    <w:rsid w:val="00AA3408"/>
    <w:rsid w:val="00AA45A7"/>
    <w:rsid w:val="00AA46B9"/>
    <w:rsid w:val="00AA4F80"/>
    <w:rsid w:val="00AA575E"/>
    <w:rsid w:val="00AA5ADD"/>
    <w:rsid w:val="00AA5D39"/>
    <w:rsid w:val="00AA650F"/>
    <w:rsid w:val="00AB01B2"/>
    <w:rsid w:val="00AB0247"/>
    <w:rsid w:val="00AB0265"/>
    <w:rsid w:val="00AB03C2"/>
    <w:rsid w:val="00AB1105"/>
    <w:rsid w:val="00AB2564"/>
    <w:rsid w:val="00AB3BA3"/>
    <w:rsid w:val="00AB490F"/>
    <w:rsid w:val="00AB547D"/>
    <w:rsid w:val="00AC01B5"/>
    <w:rsid w:val="00AC0CA1"/>
    <w:rsid w:val="00AC13F4"/>
    <w:rsid w:val="00AC25D1"/>
    <w:rsid w:val="00AC3044"/>
    <w:rsid w:val="00AC3EAF"/>
    <w:rsid w:val="00AC5641"/>
    <w:rsid w:val="00AC6560"/>
    <w:rsid w:val="00AC70DD"/>
    <w:rsid w:val="00AD107E"/>
    <w:rsid w:val="00AD1611"/>
    <w:rsid w:val="00AD2B10"/>
    <w:rsid w:val="00AD3297"/>
    <w:rsid w:val="00AD3405"/>
    <w:rsid w:val="00AD394E"/>
    <w:rsid w:val="00AD4493"/>
    <w:rsid w:val="00AD5653"/>
    <w:rsid w:val="00AD7D87"/>
    <w:rsid w:val="00AE2384"/>
    <w:rsid w:val="00AE24D0"/>
    <w:rsid w:val="00AE666E"/>
    <w:rsid w:val="00AE6D69"/>
    <w:rsid w:val="00AF2825"/>
    <w:rsid w:val="00AF2E9A"/>
    <w:rsid w:val="00AF3FB7"/>
    <w:rsid w:val="00AF4183"/>
    <w:rsid w:val="00AF4DC6"/>
    <w:rsid w:val="00AF4DEC"/>
    <w:rsid w:val="00AF4FF8"/>
    <w:rsid w:val="00AF50B7"/>
    <w:rsid w:val="00AF5117"/>
    <w:rsid w:val="00AF609E"/>
    <w:rsid w:val="00AF6367"/>
    <w:rsid w:val="00B00498"/>
    <w:rsid w:val="00B00823"/>
    <w:rsid w:val="00B0089D"/>
    <w:rsid w:val="00B01606"/>
    <w:rsid w:val="00B02505"/>
    <w:rsid w:val="00B042EE"/>
    <w:rsid w:val="00B0452E"/>
    <w:rsid w:val="00B05012"/>
    <w:rsid w:val="00B05BB3"/>
    <w:rsid w:val="00B060E2"/>
    <w:rsid w:val="00B10DDB"/>
    <w:rsid w:val="00B10F04"/>
    <w:rsid w:val="00B1130A"/>
    <w:rsid w:val="00B11DC0"/>
    <w:rsid w:val="00B12AF7"/>
    <w:rsid w:val="00B12BDA"/>
    <w:rsid w:val="00B13827"/>
    <w:rsid w:val="00B150F7"/>
    <w:rsid w:val="00B15380"/>
    <w:rsid w:val="00B175A0"/>
    <w:rsid w:val="00B20552"/>
    <w:rsid w:val="00B2069B"/>
    <w:rsid w:val="00B214D3"/>
    <w:rsid w:val="00B2406E"/>
    <w:rsid w:val="00B24A27"/>
    <w:rsid w:val="00B25B24"/>
    <w:rsid w:val="00B27108"/>
    <w:rsid w:val="00B3037F"/>
    <w:rsid w:val="00B30769"/>
    <w:rsid w:val="00B319DD"/>
    <w:rsid w:val="00B31D2C"/>
    <w:rsid w:val="00B329B6"/>
    <w:rsid w:val="00B3349F"/>
    <w:rsid w:val="00B33DCE"/>
    <w:rsid w:val="00B34013"/>
    <w:rsid w:val="00B34F8F"/>
    <w:rsid w:val="00B353E9"/>
    <w:rsid w:val="00B3738F"/>
    <w:rsid w:val="00B37C39"/>
    <w:rsid w:val="00B4071D"/>
    <w:rsid w:val="00B41D59"/>
    <w:rsid w:val="00B42AC5"/>
    <w:rsid w:val="00B43774"/>
    <w:rsid w:val="00B43C1B"/>
    <w:rsid w:val="00B444B6"/>
    <w:rsid w:val="00B44752"/>
    <w:rsid w:val="00B447B4"/>
    <w:rsid w:val="00B45AEE"/>
    <w:rsid w:val="00B465BD"/>
    <w:rsid w:val="00B469E5"/>
    <w:rsid w:val="00B46A45"/>
    <w:rsid w:val="00B471A4"/>
    <w:rsid w:val="00B47BD3"/>
    <w:rsid w:val="00B500DB"/>
    <w:rsid w:val="00B5089C"/>
    <w:rsid w:val="00B51AA4"/>
    <w:rsid w:val="00B52721"/>
    <w:rsid w:val="00B54757"/>
    <w:rsid w:val="00B54EFD"/>
    <w:rsid w:val="00B555CE"/>
    <w:rsid w:val="00B55870"/>
    <w:rsid w:val="00B56214"/>
    <w:rsid w:val="00B5651F"/>
    <w:rsid w:val="00B56C7F"/>
    <w:rsid w:val="00B579E5"/>
    <w:rsid w:val="00B60093"/>
    <w:rsid w:val="00B60ECC"/>
    <w:rsid w:val="00B612CF"/>
    <w:rsid w:val="00B62EA8"/>
    <w:rsid w:val="00B63002"/>
    <w:rsid w:val="00B633C0"/>
    <w:rsid w:val="00B63FB6"/>
    <w:rsid w:val="00B64F87"/>
    <w:rsid w:val="00B64FE3"/>
    <w:rsid w:val="00B66533"/>
    <w:rsid w:val="00B66B50"/>
    <w:rsid w:val="00B6704D"/>
    <w:rsid w:val="00B67F4F"/>
    <w:rsid w:val="00B71427"/>
    <w:rsid w:val="00B71AD4"/>
    <w:rsid w:val="00B72829"/>
    <w:rsid w:val="00B72948"/>
    <w:rsid w:val="00B72DA5"/>
    <w:rsid w:val="00B73520"/>
    <w:rsid w:val="00B7368F"/>
    <w:rsid w:val="00B745FB"/>
    <w:rsid w:val="00B74AD0"/>
    <w:rsid w:val="00B76488"/>
    <w:rsid w:val="00B764B0"/>
    <w:rsid w:val="00B77D12"/>
    <w:rsid w:val="00B8043E"/>
    <w:rsid w:val="00B80864"/>
    <w:rsid w:val="00B817CF"/>
    <w:rsid w:val="00B8269F"/>
    <w:rsid w:val="00B82EDC"/>
    <w:rsid w:val="00B830EF"/>
    <w:rsid w:val="00B83201"/>
    <w:rsid w:val="00B8338B"/>
    <w:rsid w:val="00B83C43"/>
    <w:rsid w:val="00B83E72"/>
    <w:rsid w:val="00B851FB"/>
    <w:rsid w:val="00B873C2"/>
    <w:rsid w:val="00B908E7"/>
    <w:rsid w:val="00B93186"/>
    <w:rsid w:val="00B9472A"/>
    <w:rsid w:val="00B94780"/>
    <w:rsid w:val="00B974E5"/>
    <w:rsid w:val="00BA0A43"/>
    <w:rsid w:val="00BA2102"/>
    <w:rsid w:val="00BA4D63"/>
    <w:rsid w:val="00BA5C53"/>
    <w:rsid w:val="00BA6021"/>
    <w:rsid w:val="00BA6BC8"/>
    <w:rsid w:val="00BB0257"/>
    <w:rsid w:val="00BB0292"/>
    <w:rsid w:val="00BB02DB"/>
    <w:rsid w:val="00BB19B7"/>
    <w:rsid w:val="00BB32B8"/>
    <w:rsid w:val="00BB4322"/>
    <w:rsid w:val="00BB5B80"/>
    <w:rsid w:val="00BB60B8"/>
    <w:rsid w:val="00BC085E"/>
    <w:rsid w:val="00BC5FDF"/>
    <w:rsid w:val="00BC634D"/>
    <w:rsid w:val="00BC6E2A"/>
    <w:rsid w:val="00BC6E3B"/>
    <w:rsid w:val="00BC7FE9"/>
    <w:rsid w:val="00BD3E0D"/>
    <w:rsid w:val="00BD4529"/>
    <w:rsid w:val="00BD4CA2"/>
    <w:rsid w:val="00BD4E96"/>
    <w:rsid w:val="00BD589C"/>
    <w:rsid w:val="00BD60AF"/>
    <w:rsid w:val="00BE095B"/>
    <w:rsid w:val="00BE0A0A"/>
    <w:rsid w:val="00BE1DC6"/>
    <w:rsid w:val="00BE22B6"/>
    <w:rsid w:val="00BE2857"/>
    <w:rsid w:val="00BE4C09"/>
    <w:rsid w:val="00BE4D08"/>
    <w:rsid w:val="00BE4FC8"/>
    <w:rsid w:val="00BE5551"/>
    <w:rsid w:val="00BE58B4"/>
    <w:rsid w:val="00BE5DB0"/>
    <w:rsid w:val="00BE766E"/>
    <w:rsid w:val="00BE7F6A"/>
    <w:rsid w:val="00BF0209"/>
    <w:rsid w:val="00BF063B"/>
    <w:rsid w:val="00BF06A4"/>
    <w:rsid w:val="00BF08F0"/>
    <w:rsid w:val="00BF0A60"/>
    <w:rsid w:val="00BF195B"/>
    <w:rsid w:val="00BF289F"/>
    <w:rsid w:val="00BF2B03"/>
    <w:rsid w:val="00BF2B1B"/>
    <w:rsid w:val="00BF2D29"/>
    <w:rsid w:val="00BF2F55"/>
    <w:rsid w:val="00BF32B7"/>
    <w:rsid w:val="00BF3DA2"/>
    <w:rsid w:val="00BF4F27"/>
    <w:rsid w:val="00BF6D0B"/>
    <w:rsid w:val="00BF7E18"/>
    <w:rsid w:val="00BF7F82"/>
    <w:rsid w:val="00C00C3B"/>
    <w:rsid w:val="00C01F08"/>
    <w:rsid w:val="00C0268E"/>
    <w:rsid w:val="00C0358B"/>
    <w:rsid w:val="00C0449D"/>
    <w:rsid w:val="00C06083"/>
    <w:rsid w:val="00C064A7"/>
    <w:rsid w:val="00C102D6"/>
    <w:rsid w:val="00C103E2"/>
    <w:rsid w:val="00C110AA"/>
    <w:rsid w:val="00C11385"/>
    <w:rsid w:val="00C11843"/>
    <w:rsid w:val="00C11AF0"/>
    <w:rsid w:val="00C12152"/>
    <w:rsid w:val="00C1217A"/>
    <w:rsid w:val="00C12ED0"/>
    <w:rsid w:val="00C13613"/>
    <w:rsid w:val="00C14128"/>
    <w:rsid w:val="00C1468B"/>
    <w:rsid w:val="00C149A5"/>
    <w:rsid w:val="00C16CA0"/>
    <w:rsid w:val="00C2149B"/>
    <w:rsid w:val="00C22419"/>
    <w:rsid w:val="00C245D1"/>
    <w:rsid w:val="00C262BA"/>
    <w:rsid w:val="00C27D64"/>
    <w:rsid w:val="00C304E4"/>
    <w:rsid w:val="00C30E16"/>
    <w:rsid w:val="00C34B28"/>
    <w:rsid w:val="00C35E83"/>
    <w:rsid w:val="00C3779A"/>
    <w:rsid w:val="00C37D5E"/>
    <w:rsid w:val="00C410A8"/>
    <w:rsid w:val="00C41C1F"/>
    <w:rsid w:val="00C4245A"/>
    <w:rsid w:val="00C44C80"/>
    <w:rsid w:val="00C45335"/>
    <w:rsid w:val="00C509EA"/>
    <w:rsid w:val="00C51F9F"/>
    <w:rsid w:val="00C52130"/>
    <w:rsid w:val="00C52361"/>
    <w:rsid w:val="00C524ED"/>
    <w:rsid w:val="00C52A0B"/>
    <w:rsid w:val="00C57489"/>
    <w:rsid w:val="00C604BD"/>
    <w:rsid w:val="00C61872"/>
    <w:rsid w:val="00C61A15"/>
    <w:rsid w:val="00C631D2"/>
    <w:rsid w:val="00C63E2A"/>
    <w:rsid w:val="00C6424B"/>
    <w:rsid w:val="00C6614D"/>
    <w:rsid w:val="00C671D3"/>
    <w:rsid w:val="00C67D52"/>
    <w:rsid w:val="00C67F47"/>
    <w:rsid w:val="00C707AA"/>
    <w:rsid w:val="00C70DEB"/>
    <w:rsid w:val="00C71983"/>
    <w:rsid w:val="00C7234D"/>
    <w:rsid w:val="00C72DEB"/>
    <w:rsid w:val="00C74171"/>
    <w:rsid w:val="00C74338"/>
    <w:rsid w:val="00C74C4D"/>
    <w:rsid w:val="00C77337"/>
    <w:rsid w:val="00C774C9"/>
    <w:rsid w:val="00C801A7"/>
    <w:rsid w:val="00C8036D"/>
    <w:rsid w:val="00C80841"/>
    <w:rsid w:val="00C80A33"/>
    <w:rsid w:val="00C80DCA"/>
    <w:rsid w:val="00C84E9B"/>
    <w:rsid w:val="00C86851"/>
    <w:rsid w:val="00C86BF0"/>
    <w:rsid w:val="00C923A0"/>
    <w:rsid w:val="00C926A4"/>
    <w:rsid w:val="00C92B56"/>
    <w:rsid w:val="00C930DF"/>
    <w:rsid w:val="00C93737"/>
    <w:rsid w:val="00C9402E"/>
    <w:rsid w:val="00C9461A"/>
    <w:rsid w:val="00C94F87"/>
    <w:rsid w:val="00C95C4E"/>
    <w:rsid w:val="00C969D1"/>
    <w:rsid w:val="00C9789E"/>
    <w:rsid w:val="00C97927"/>
    <w:rsid w:val="00C97A9F"/>
    <w:rsid w:val="00C97AE2"/>
    <w:rsid w:val="00CA0D6F"/>
    <w:rsid w:val="00CA33F8"/>
    <w:rsid w:val="00CA3732"/>
    <w:rsid w:val="00CA3A65"/>
    <w:rsid w:val="00CA584B"/>
    <w:rsid w:val="00CA735A"/>
    <w:rsid w:val="00CB04A4"/>
    <w:rsid w:val="00CB0C94"/>
    <w:rsid w:val="00CB28E7"/>
    <w:rsid w:val="00CB2DEE"/>
    <w:rsid w:val="00CB4260"/>
    <w:rsid w:val="00CB449E"/>
    <w:rsid w:val="00CB5475"/>
    <w:rsid w:val="00CB54F4"/>
    <w:rsid w:val="00CB5A5A"/>
    <w:rsid w:val="00CB5CA9"/>
    <w:rsid w:val="00CB649B"/>
    <w:rsid w:val="00CB6718"/>
    <w:rsid w:val="00CC0807"/>
    <w:rsid w:val="00CC0852"/>
    <w:rsid w:val="00CC09C8"/>
    <w:rsid w:val="00CC0DB4"/>
    <w:rsid w:val="00CC0DF1"/>
    <w:rsid w:val="00CC1DED"/>
    <w:rsid w:val="00CC1E5D"/>
    <w:rsid w:val="00CC257A"/>
    <w:rsid w:val="00CC2AA5"/>
    <w:rsid w:val="00CC48AC"/>
    <w:rsid w:val="00CC4CA4"/>
    <w:rsid w:val="00CC513F"/>
    <w:rsid w:val="00CC7B85"/>
    <w:rsid w:val="00CD17D5"/>
    <w:rsid w:val="00CD2D1F"/>
    <w:rsid w:val="00CD3B53"/>
    <w:rsid w:val="00CD3B69"/>
    <w:rsid w:val="00CD5B08"/>
    <w:rsid w:val="00CD5C8A"/>
    <w:rsid w:val="00CD76A5"/>
    <w:rsid w:val="00CD7BA5"/>
    <w:rsid w:val="00CE00D2"/>
    <w:rsid w:val="00CE08E1"/>
    <w:rsid w:val="00CE114E"/>
    <w:rsid w:val="00CE1389"/>
    <w:rsid w:val="00CE15BC"/>
    <w:rsid w:val="00CE27A9"/>
    <w:rsid w:val="00CE3355"/>
    <w:rsid w:val="00CE36C3"/>
    <w:rsid w:val="00CE43FB"/>
    <w:rsid w:val="00CE55F3"/>
    <w:rsid w:val="00CE660C"/>
    <w:rsid w:val="00CE66EA"/>
    <w:rsid w:val="00CE720B"/>
    <w:rsid w:val="00CE7C56"/>
    <w:rsid w:val="00CE7ED3"/>
    <w:rsid w:val="00CF170D"/>
    <w:rsid w:val="00CF2B49"/>
    <w:rsid w:val="00CF3F63"/>
    <w:rsid w:val="00CF4C60"/>
    <w:rsid w:val="00CF60E0"/>
    <w:rsid w:val="00CF61E2"/>
    <w:rsid w:val="00CF716B"/>
    <w:rsid w:val="00D00673"/>
    <w:rsid w:val="00D0198A"/>
    <w:rsid w:val="00D0245A"/>
    <w:rsid w:val="00D03AF1"/>
    <w:rsid w:val="00D0437F"/>
    <w:rsid w:val="00D05470"/>
    <w:rsid w:val="00D06750"/>
    <w:rsid w:val="00D06C89"/>
    <w:rsid w:val="00D06FC1"/>
    <w:rsid w:val="00D06FE4"/>
    <w:rsid w:val="00D106B9"/>
    <w:rsid w:val="00D14C64"/>
    <w:rsid w:val="00D164D5"/>
    <w:rsid w:val="00D16B57"/>
    <w:rsid w:val="00D16B59"/>
    <w:rsid w:val="00D17428"/>
    <w:rsid w:val="00D21203"/>
    <w:rsid w:val="00D21E78"/>
    <w:rsid w:val="00D22497"/>
    <w:rsid w:val="00D224A3"/>
    <w:rsid w:val="00D228EA"/>
    <w:rsid w:val="00D2329C"/>
    <w:rsid w:val="00D23717"/>
    <w:rsid w:val="00D23D3B"/>
    <w:rsid w:val="00D24BF5"/>
    <w:rsid w:val="00D25C8B"/>
    <w:rsid w:val="00D25D12"/>
    <w:rsid w:val="00D25DC4"/>
    <w:rsid w:val="00D27188"/>
    <w:rsid w:val="00D27859"/>
    <w:rsid w:val="00D309E8"/>
    <w:rsid w:val="00D31430"/>
    <w:rsid w:val="00D33ACB"/>
    <w:rsid w:val="00D352A3"/>
    <w:rsid w:val="00D363FD"/>
    <w:rsid w:val="00D37234"/>
    <w:rsid w:val="00D37FE6"/>
    <w:rsid w:val="00D4096C"/>
    <w:rsid w:val="00D40EB1"/>
    <w:rsid w:val="00D416E3"/>
    <w:rsid w:val="00D41EDC"/>
    <w:rsid w:val="00D41F7E"/>
    <w:rsid w:val="00D428A0"/>
    <w:rsid w:val="00D43564"/>
    <w:rsid w:val="00D43750"/>
    <w:rsid w:val="00D44AF3"/>
    <w:rsid w:val="00D4667B"/>
    <w:rsid w:val="00D47001"/>
    <w:rsid w:val="00D5001E"/>
    <w:rsid w:val="00D504EE"/>
    <w:rsid w:val="00D51AFA"/>
    <w:rsid w:val="00D51B3B"/>
    <w:rsid w:val="00D52153"/>
    <w:rsid w:val="00D52403"/>
    <w:rsid w:val="00D5327B"/>
    <w:rsid w:val="00D5379A"/>
    <w:rsid w:val="00D55F4E"/>
    <w:rsid w:val="00D565C9"/>
    <w:rsid w:val="00D57629"/>
    <w:rsid w:val="00D60878"/>
    <w:rsid w:val="00D60ECA"/>
    <w:rsid w:val="00D63683"/>
    <w:rsid w:val="00D63B86"/>
    <w:rsid w:val="00D64531"/>
    <w:rsid w:val="00D647E8"/>
    <w:rsid w:val="00D64944"/>
    <w:rsid w:val="00D664E3"/>
    <w:rsid w:val="00D67710"/>
    <w:rsid w:val="00D71906"/>
    <w:rsid w:val="00D7435C"/>
    <w:rsid w:val="00D74539"/>
    <w:rsid w:val="00D74984"/>
    <w:rsid w:val="00D750F5"/>
    <w:rsid w:val="00D775DD"/>
    <w:rsid w:val="00D775EF"/>
    <w:rsid w:val="00D77E69"/>
    <w:rsid w:val="00D803E8"/>
    <w:rsid w:val="00D805DB"/>
    <w:rsid w:val="00D819E2"/>
    <w:rsid w:val="00D822F1"/>
    <w:rsid w:val="00D824F4"/>
    <w:rsid w:val="00D8372F"/>
    <w:rsid w:val="00D84905"/>
    <w:rsid w:val="00D90332"/>
    <w:rsid w:val="00D9073B"/>
    <w:rsid w:val="00D9264B"/>
    <w:rsid w:val="00D92988"/>
    <w:rsid w:val="00D9377B"/>
    <w:rsid w:val="00D94EAB"/>
    <w:rsid w:val="00D95DB2"/>
    <w:rsid w:val="00D96031"/>
    <w:rsid w:val="00D96ABC"/>
    <w:rsid w:val="00D9727A"/>
    <w:rsid w:val="00D97622"/>
    <w:rsid w:val="00DA003A"/>
    <w:rsid w:val="00DA2415"/>
    <w:rsid w:val="00DA27AF"/>
    <w:rsid w:val="00DA3A59"/>
    <w:rsid w:val="00DA3CED"/>
    <w:rsid w:val="00DA421F"/>
    <w:rsid w:val="00DA5D20"/>
    <w:rsid w:val="00DA6586"/>
    <w:rsid w:val="00DA66CE"/>
    <w:rsid w:val="00DA6B93"/>
    <w:rsid w:val="00DB0DF4"/>
    <w:rsid w:val="00DB2DE1"/>
    <w:rsid w:val="00DB3230"/>
    <w:rsid w:val="00DB3AA4"/>
    <w:rsid w:val="00DB50FF"/>
    <w:rsid w:val="00DB5495"/>
    <w:rsid w:val="00DB5C36"/>
    <w:rsid w:val="00DB7367"/>
    <w:rsid w:val="00DC0208"/>
    <w:rsid w:val="00DC09F8"/>
    <w:rsid w:val="00DC195D"/>
    <w:rsid w:val="00DC1A7E"/>
    <w:rsid w:val="00DC25D6"/>
    <w:rsid w:val="00DC3351"/>
    <w:rsid w:val="00DC393F"/>
    <w:rsid w:val="00DC3C3D"/>
    <w:rsid w:val="00DC4761"/>
    <w:rsid w:val="00DC4B2D"/>
    <w:rsid w:val="00DC54A5"/>
    <w:rsid w:val="00DC55B3"/>
    <w:rsid w:val="00DC5853"/>
    <w:rsid w:val="00DC5DCA"/>
    <w:rsid w:val="00DC79F4"/>
    <w:rsid w:val="00DD16BB"/>
    <w:rsid w:val="00DD1D6F"/>
    <w:rsid w:val="00DD32B0"/>
    <w:rsid w:val="00DD341D"/>
    <w:rsid w:val="00DD45D1"/>
    <w:rsid w:val="00DD4895"/>
    <w:rsid w:val="00DD6E5D"/>
    <w:rsid w:val="00DD6EBE"/>
    <w:rsid w:val="00DD7087"/>
    <w:rsid w:val="00DD76FD"/>
    <w:rsid w:val="00DE106B"/>
    <w:rsid w:val="00DE19C0"/>
    <w:rsid w:val="00DE2F57"/>
    <w:rsid w:val="00DE30B0"/>
    <w:rsid w:val="00DE496D"/>
    <w:rsid w:val="00DE4D98"/>
    <w:rsid w:val="00DE515C"/>
    <w:rsid w:val="00DE5BB1"/>
    <w:rsid w:val="00DE60C5"/>
    <w:rsid w:val="00DE6E8A"/>
    <w:rsid w:val="00DF073F"/>
    <w:rsid w:val="00DF28B5"/>
    <w:rsid w:val="00DF2B05"/>
    <w:rsid w:val="00DF2D4B"/>
    <w:rsid w:val="00DF3107"/>
    <w:rsid w:val="00DF3E3C"/>
    <w:rsid w:val="00DF3E6E"/>
    <w:rsid w:val="00DF47D8"/>
    <w:rsid w:val="00DF4A95"/>
    <w:rsid w:val="00DF4C89"/>
    <w:rsid w:val="00DF617D"/>
    <w:rsid w:val="00DF7578"/>
    <w:rsid w:val="00DF7E7B"/>
    <w:rsid w:val="00E0089B"/>
    <w:rsid w:val="00E01093"/>
    <w:rsid w:val="00E0185C"/>
    <w:rsid w:val="00E02A6B"/>
    <w:rsid w:val="00E02E0E"/>
    <w:rsid w:val="00E0302B"/>
    <w:rsid w:val="00E030E1"/>
    <w:rsid w:val="00E033BE"/>
    <w:rsid w:val="00E042A2"/>
    <w:rsid w:val="00E04CB5"/>
    <w:rsid w:val="00E06D95"/>
    <w:rsid w:val="00E075CF"/>
    <w:rsid w:val="00E10563"/>
    <w:rsid w:val="00E10FD4"/>
    <w:rsid w:val="00E118A4"/>
    <w:rsid w:val="00E11C4A"/>
    <w:rsid w:val="00E12F28"/>
    <w:rsid w:val="00E13183"/>
    <w:rsid w:val="00E1445A"/>
    <w:rsid w:val="00E160F7"/>
    <w:rsid w:val="00E1696F"/>
    <w:rsid w:val="00E17816"/>
    <w:rsid w:val="00E17F27"/>
    <w:rsid w:val="00E20A8B"/>
    <w:rsid w:val="00E2125F"/>
    <w:rsid w:val="00E21D8C"/>
    <w:rsid w:val="00E22B48"/>
    <w:rsid w:val="00E22FFC"/>
    <w:rsid w:val="00E233FF"/>
    <w:rsid w:val="00E23836"/>
    <w:rsid w:val="00E2403C"/>
    <w:rsid w:val="00E25019"/>
    <w:rsid w:val="00E2511A"/>
    <w:rsid w:val="00E258C4"/>
    <w:rsid w:val="00E27092"/>
    <w:rsid w:val="00E31792"/>
    <w:rsid w:val="00E32577"/>
    <w:rsid w:val="00E33C3D"/>
    <w:rsid w:val="00E33FBD"/>
    <w:rsid w:val="00E341B6"/>
    <w:rsid w:val="00E34476"/>
    <w:rsid w:val="00E34B93"/>
    <w:rsid w:val="00E34BB9"/>
    <w:rsid w:val="00E34C91"/>
    <w:rsid w:val="00E35C21"/>
    <w:rsid w:val="00E360F0"/>
    <w:rsid w:val="00E366C8"/>
    <w:rsid w:val="00E36B2F"/>
    <w:rsid w:val="00E370FB"/>
    <w:rsid w:val="00E37BDE"/>
    <w:rsid w:val="00E42A0C"/>
    <w:rsid w:val="00E4567F"/>
    <w:rsid w:val="00E4613C"/>
    <w:rsid w:val="00E46249"/>
    <w:rsid w:val="00E4629B"/>
    <w:rsid w:val="00E478EE"/>
    <w:rsid w:val="00E51CE6"/>
    <w:rsid w:val="00E5230E"/>
    <w:rsid w:val="00E52D43"/>
    <w:rsid w:val="00E540B0"/>
    <w:rsid w:val="00E54D0D"/>
    <w:rsid w:val="00E5551B"/>
    <w:rsid w:val="00E55610"/>
    <w:rsid w:val="00E558FB"/>
    <w:rsid w:val="00E562AB"/>
    <w:rsid w:val="00E56C8B"/>
    <w:rsid w:val="00E57705"/>
    <w:rsid w:val="00E601A3"/>
    <w:rsid w:val="00E60794"/>
    <w:rsid w:val="00E60E34"/>
    <w:rsid w:val="00E613FD"/>
    <w:rsid w:val="00E61B17"/>
    <w:rsid w:val="00E62119"/>
    <w:rsid w:val="00E6227E"/>
    <w:rsid w:val="00E62669"/>
    <w:rsid w:val="00E62CAC"/>
    <w:rsid w:val="00E638F7"/>
    <w:rsid w:val="00E65370"/>
    <w:rsid w:val="00E65BF4"/>
    <w:rsid w:val="00E663BB"/>
    <w:rsid w:val="00E664A2"/>
    <w:rsid w:val="00E669BF"/>
    <w:rsid w:val="00E72582"/>
    <w:rsid w:val="00E72D56"/>
    <w:rsid w:val="00E72F5C"/>
    <w:rsid w:val="00E73AB0"/>
    <w:rsid w:val="00E747B3"/>
    <w:rsid w:val="00E74A51"/>
    <w:rsid w:val="00E75210"/>
    <w:rsid w:val="00E76839"/>
    <w:rsid w:val="00E77326"/>
    <w:rsid w:val="00E800B0"/>
    <w:rsid w:val="00E81067"/>
    <w:rsid w:val="00E810A8"/>
    <w:rsid w:val="00E82405"/>
    <w:rsid w:val="00E83644"/>
    <w:rsid w:val="00E83C7C"/>
    <w:rsid w:val="00E83CC4"/>
    <w:rsid w:val="00E84EF4"/>
    <w:rsid w:val="00E86820"/>
    <w:rsid w:val="00E87244"/>
    <w:rsid w:val="00E873DB"/>
    <w:rsid w:val="00E906F2"/>
    <w:rsid w:val="00E90895"/>
    <w:rsid w:val="00E90F03"/>
    <w:rsid w:val="00E911E7"/>
    <w:rsid w:val="00E91CB2"/>
    <w:rsid w:val="00E92641"/>
    <w:rsid w:val="00E94FF5"/>
    <w:rsid w:val="00E96E22"/>
    <w:rsid w:val="00E97C51"/>
    <w:rsid w:val="00E97D4D"/>
    <w:rsid w:val="00EA0150"/>
    <w:rsid w:val="00EA0F0F"/>
    <w:rsid w:val="00EA1E79"/>
    <w:rsid w:val="00EA3015"/>
    <w:rsid w:val="00EA33D9"/>
    <w:rsid w:val="00EA3579"/>
    <w:rsid w:val="00EA3B1D"/>
    <w:rsid w:val="00EA3B91"/>
    <w:rsid w:val="00EA3FFB"/>
    <w:rsid w:val="00EA49EF"/>
    <w:rsid w:val="00EA4A0F"/>
    <w:rsid w:val="00EA6769"/>
    <w:rsid w:val="00EA6BFD"/>
    <w:rsid w:val="00EA71ED"/>
    <w:rsid w:val="00EB0ADA"/>
    <w:rsid w:val="00EB18C1"/>
    <w:rsid w:val="00EB3DA1"/>
    <w:rsid w:val="00EB3ED3"/>
    <w:rsid w:val="00EB447F"/>
    <w:rsid w:val="00EB44E2"/>
    <w:rsid w:val="00EB6AB1"/>
    <w:rsid w:val="00EB6E10"/>
    <w:rsid w:val="00EB7353"/>
    <w:rsid w:val="00EB7A1B"/>
    <w:rsid w:val="00EC021F"/>
    <w:rsid w:val="00EC0C4E"/>
    <w:rsid w:val="00EC21F9"/>
    <w:rsid w:val="00EC44AB"/>
    <w:rsid w:val="00EC4A1F"/>
    <w:rsid w:val="00EC4CA9"/>
    <w:rsid w:val="00EC6204"/>
    <w:rsid w:val="00EC720C"/>
    <w:rsid w:val="00EC7C03"/>
    <w:rsid w:val="00ED0230"/>
    <w:rsid w:val="00ED2C73"/>
    <w:rsid w:val="00ED2D71"/>
    <w:rsid w:val="00ED498B"/>
    <w:rsid w:val="00ED58B2"/>
    <w:rsid w:val="00ED5A1C"/>
    <w:rsid w:val="00ED6A6E"/>
    <w:rsid w:val="00ED7AB9"/>
    <w:rsid w:val="00ED7FA7"/>
    <w:rsid w:val="00EE0555"/>
    <w:rsid w:val="00EE3ED6"/>
    <w:rsid w:val="00EE5504"/>
    <w:rsid w:val="00EE6C71"/>
    <w:rsid w:val="00EE7B20"/>
    <w:rsid w:val="00EF0017"/>
    <w:rsid w:val="00EF21B3"/>
    <w:rsid w:val="00EF2464"/>
    <w:rsid w:val="00EF2999"/>
    <w:rsid w:val="00EF2C5B"/>
    <w:rsid w:val="00EF3CEF"/>
    <w:rsid w:val="00EF3D14"/>
    <w:rsid w:val="00EF4A01"/>
    <w:rsid w:val="00EF6020"/>
    <w:rsid w:val="00EF60ED"/>
    <w:rsid w:val="00EF6956"/>
    <w:rsid w:val="00EF6B64"/>
    <w:rsid w:val="00EF784D"/>
    <w:rsid w:val="00F01D2A"/>
    <w:rsid w:val="00F02034"/>
    <w:rsid w:val="00F044BE"/>
    <w:rsid w:val="00F048B9"/>
    <w:rsid w:val="00F05B56"/>
    <w:rsid w:val="00F0624B"/>
    <w:rsid w:val="00F0711A"/>
    <w:rsid w:val="00F10334"/>
    <w:rsid w:val="00F1056F"/>
    <w:rsid w:val="00F11686"/>
    <w:rsid w:val="00F11EC8"/>
    <w:rsid w:val="00F12B32"/>
    <w:rsid w:val="00F1330A"/>
    <w:rsid w:val="00F14F0B"/>
    <w:rsid w:val="00F15061"/>
    <w:rsid w:val="00F150FA"/>
    <w:rsid w:val="00F15826"/>
    <w:rsid w:val="00F203D0"/>
    <w:rsid w:val="00F20A51"/>
    <w:rsid w:val="00F2131E"/>
    <w:rsid w:val="00F23C3B"/>
    <w:rsid w:val="00F243B5"/>
    <w:rsid w:val="00F26400"/>
    <w:rsid w:val="00F30066"/>
    <w:rsid w:val="00F31969"/>
    <w:rsid w:val="00F32880"/>
    <w:rsid w:val="00F32D9A"/>
    <w:rsid w:val="00F334FF"/>
    <w:rsid w:val="00F33A69"/>
    <w:rsid w:val="00F368DF"/>
    <w:rsid w:val="00F370C1"/>
    <w:rsid w:val="00F40D6E"/>
    <w:rsid w:val="00F4207B"/>
    <w:rsid w:val="00F4475E"/>
    <w:rsid w:val="00F44C48"/>
    <w:rsid w:val="00F44C84"/>
    <w:rsid w:val="00F44EF3"/>
    <w:rsid w:val="00F4581C"/>
    <w:rsid w:val="00F4684B"/>
    <w:rsid w:val="00F505B0"/>
    <w:rsid w:val="00F5105B"/>
    <w:rsid w:val="00F511B6"/>
    <w:rsid w:val="00F524CD"/>
    <w:rsid w:val="00F52998"/>
    <w:rsid w:val="00F53CA2"/>
    <w:rsid w:val="00F5401C"/>
    <w:rsid w:val="00F542CA"/>
    <w:rsid w:val="00F5466F"/>
    <w:rsid w:val="00F54DCB"/>
    <w:rsid w:val="00F56116"/>
    <w:rsid w:val="00F56661"/>
    <w:rsid w:val="00F56888"/>
    <w:rsid w:val="00F56C22"/>
    <w:rsid w:val="00F602FE"/>
    <w:rsid w:val="00F60457"/>
    <w:rsid w:val="00F60F9B"/>
    <w:rsid w:val="00F61917"/>
    <w:rsid w:val="00F62167"/>
    <w:rsid w:val="00F62CC1"/>
    <w:rsid w:val="00F6339C"/>
    <w:rsid w:val="00F636A8"/>
    <w:rsid w:val="00F63B77"/>
    <w:rsid w:val="00F64DDC"/>
    <w:rsid w:val="00F653D7"/>
    <w:rsid w:val="00F6609A"/>
    <w:rsid w:val="00F66557"/>
    <w:rsid w:val="00F71770"/>
    <w:rsid w:val="00F717A5"/>
    <w:rsid w:val="00F72576"/>
    <w:rsid w:val="00F7304D"/>
    <w:rsid w:val="00F73C1D"/>
    <w:rsid w:val="00F742BF"/>
    <w:rsid w:val="00F748DD"/>
    <w:rsid w:val="00F753A9"/>
    <w:rsid w:val="00F759D6"/>
    <w:rsid w:val="00F75E96"/>
    <w:rsid w:val="00F766B8"/>
    <w:rsid w:val="00F77D9D"/>
    <w:rsid w:val="00F77FA4"/>
    <w:rsid w:val="00F81FFE"/>
    <w:rsid w:val="00F829A0"/>
    <w:rsid w:val="00F830BF"/>
    <w:rsid w:val="00F83B35"/>
    <w:rsid w:val="00F8496D"/>
    <w:rsid w:val="00F84F4E"/>
    <w:rsid w:val="00F855DC"/>
    <w:rsid w:val="00F908C6"/>
    <w:rsid w:val="00F90B9C"/>
    <w:rsid w:val="00F91316"/>
    <w:rsid w:val="00F91828"/>
    <w:rsid w:val="00F91D71"/>
    <w:rsid w:val="00F91DD2"/>
    <w:rsid w:val="00F92310"/>
    <w:rsid w:val="00F93137"/>
    <w:rsid w:val="00F94F34"/>
    <w:rsid w:val="00F94F3F"/>
    <w:rsid w:val="00F94F68"/>
    <w:rsid w:val="00F9567C"/>
    <w:rsid w:val="00F95967"/>
    <w:rsid w:val="00F9605D"/>
    <w:rsid w:val="00F96BC7"/>
    <w:rsid w:val="00F97DE9"/>
    <w:rsid w:val="00FA09E1"/>
    <w:rsid w:val="00FA15BA"/>
    <w:rsid w:val="00FA2C0E"/>
    <w:rsid w:val="00FA3DAE"/>
    <w:rsid w:val="00FA4D54"/>
    <w:rsid w:val="00FA5745"/>
    <w:rsid w:val="00FA67C1"/>
    <w:rsid w:val="00FA7FE2"/>
    <w:rsid w:val="00FB1683"/>
    <w:rsid w:val="00FB3149"/>
    <w:rsid w:val="00FB391B"/>
    <w:rsid w:val="00FB402B"/>
    <w:rsid w:val="00FB40CB"/>
    <w:rsid w:val="00FB4175"/>
    <w:rsid w:val="00FB457A"/>
    <w:rsid w:val="00FB629C"/>
    <w:rsid w:val="00FB772E"/>
    <w:rsid w:val="00FB7E93"/>
    <w:rsid w:val="00FB7F02"/>
    <w:rsid w:val="00FC0948"/>
    <w:rsid w:val="00FC0BA8"/>
    <w:rsid w:val="00FC188D"/>
    <w:rsid w:val="00FC4BB2"/>
    <w:rsid w:val="00FC6466"/>
    <w:rsid w:val="00FC796E"/>
    <w:rsid w:val="00FD104A"/>
    <w:rsid w:val="00FD207C"/>
    <w:rsid w:val="00FD2B77"/>
    <w:rsid w:val="00FD3E2A"/>
    <w:rsid w:val="00FD4832"/>
    <w:rsid w:val="00FD5311"/>
    <w:rsid w:val="00FD54C6"/>
    <w:rsid w:val="00FD6445"/>
    <w:rsid w:val="00FD7C18"/>
    <w:rsid w:val="00FE2A0B"/>
    <w:rsid w:val="00FE453C"/>
    <w:rsid w:val="00FE7430"/>
    <w:rsid w:val="00FF03A7"/>
    <w:rsid w:val="00FF0EE1"/>
    <w:rsid w:val="00FF1B23"/>
    <w:rsid w:val="00FF29B8"/>
    <w:rsid w:val="00FF2FAE"/>
    <w:rsid w:val="00FF38FA"/>
    <w:rsid w:val="00FF5B2A"/>
    <w:rsid w:val="00FF6DB0"/>
    <w:rsid w:val="00FF74FF"/>
    <w:rsid w:val="00FF76BA"/>
    <w:rsid w:val="01087389"/>
    <w:rsid w:val="01142947"/>
    <w:rsid w:val="01200505"/>
    <w:rsid w:val="0122216F"/>
    <w:rsid w:val="01325A8F"/>
    <w:rsid w:val="013516BE"/>
    <w:rsid w:val="014A0D22"/>
    <w:rsid w:val="01747137"/>
    <w:rsid w:val="017E3632"/>
    <w:rsid w:val="01BB5FED"/>
    <w:rsid w:val="01EA6151"/>
    <w:rsid w:val="01FB1BFF"/>
    <w:rsid w:val="0205056A"/>
    <w:rsid w:val="02190BBE"/>
    <w:rsid w:val="021B6D21"/>
    <w:rsid w:val="02322F28"/>
    <w:rsid w:val="023B08EE"/>
    <w:rsid w:val="023F388C"/>
    <w:rsid w:val="02421CC3"/>
    <w:rsid w:val="02561DE2"/>
    <w:rsid w:val="02695A35"/>
    <w:rsid w:val="02725E2D"/>
    <w:rsid w:val="027D11A2"/>
    <w:rsid w:val="028227B2"/>
    <w:rsid w:val="0286314D"/>
    <w:rsid w:val="02935814"/>
    <w:rsid w:val="029E5B2D"/>
    <w:rsid w:val="02A0096B"/>
    <w:rsid w:val="02A90E9A"/>
    <w:rsid w:val="02AE013F"/>
    <w:rsid w:val="02B64DFD"/>
    <w:rsid w:val="02C1579F"/>
    <w:rsid w:val="02C32118"/>
    <w:rsid w:val="02CA6108"/>
    <w:rsid w:val="02D60F91"/>
    <w:rsid w:val="02D76984"/>
    <w:rsid w:val="02E40D97"/>
    <w:rsid w:val="02E85072"/>
    <w:rsid w:val="02F333A9"/>
    <w:rsid w:val="02FB21AB"/>
    <w:rsid w:val="02FC79E3"/>
    <w:rsid w:val="030247BA"/>
    <w:rsid w:val="030544FF"/>
    <w:rsid w:val="030D1793"/>
    <w:rsid w:val="030E29BA"/>
    <w:rsid w:val="031831F2"/>
    <w:rsid w:val="03357038"/>
    <w:rsid w:val="033A0C2B"/>
    <w:rsid w:val="03513633"/>
    <w:rsid w:val="03654039"/>
    <w:rsid w:val="03663018"/>
    <w:rsid w:val="03704A13"/>
    <w:rsid w:val="037D1336"/>
    <w:rsid w:val="038E120F"/>
    <w:rsid w:val="039E1095"/>
    <w:rsid w:val="03A30167"/>
    <w:rsid w:val="03A54CF2"/>
    <w:rsid w:val="03AA04B8"/>
    <w:rsid w:val="03AF714B"/>
    <w:rsid w:val="03B57082"/>
    <w:rsid w:val="03BE7AAE"/>
    <w:rsid w:val="03C345D9"/>
    <w:rsid w:val="03CD305E"/>
    <w:rsid w:val="03D72EEA"/>
    <w:rsid w:val="03E80CD8"/>
    <w:rsid w:val="03ED12D9"/>
    <w:rsid w:val="03EE48EF"/>
    <w:rsid w:val="03F11BF1"/>
    <w:rsid w:val="03F24DC9"/>
    <w:rsid w:val="03F34100"/>
    <w:rsid w:val="04161F26"/>
    <w:rsid w:val="04170DF7"/>
    <w:rsid w:val="04320854"/>
    <w:rsid w:val="043D5D21"/>
    <w:rsid w:val="04483D61"/>
    <w:rsid w:val="045020EC"/>
    <w:rsid w:val="046A53CB"/>
    <w:rsid w:val="047821E2"/>
    <w:rsid w:val="04947470"/>
    <w:rsid w:val="04A24CDA"/>
    <w:rsid w:val="04B0388E"/>
    <w:rsid w:val="04C40E62"/>
    <w:rsid w:val="04D66201"/>
    <w:rsid w:val="04DB2929"/>
    <w:rsid w:val="04F84B1F"/>
    <w:rsid w:val="04FC3F5D"/>
    <w:rsid w:val="04FF5314"/>
    <w:rsid w:val="05010644"/>
    <w:rsid w:val="051313AC"/>
    <w:rsid w:val="05144C7F"/>
    <w:rsid w:val="052E4741"/>
    <w:rsid w:val="053013D0"/>
    <w:rsid w:val="05401924"/>
    <w:rsid w:val="0544423B"/>
    <w:rsid w:val="055C5935"/>
    <w:rsid w:val="056612F2"/>
    <w:rsid w:val="057B42FE"/>
    <w:rsid w:val="0594349D"/>
    <w:rsid w:val="05A84AB3"/>
    <w:rsid w:val="05B37535"/>
    <w:rsid w:val="05D93D5D"/>
    <w:rsid w:val="05DC08CF"/>
    <w:rsid w:val="05E31168"/>
    <w:rsid w:val="05E40F06"/>
    <w:rsid w:val="060646BB"/>
    <w:rsid w:val="06096F34"/>
    <w:rsid w:val="061C53B3"/>
    <w:rsid w:val="064017F2"/>
    <w:rsid w:val="064737C1"/>
    <w:rsid w:val="065B3392"/>
    <w:rsid w:val="06626E56"/>
    <w:rsid w:val="06636C72"/>
    <w:rsid w:val="0672304F"/>
    <w:rsid w:val="06835943"/>
    <w:rsid w:val="0686299B"/>
    <w:rsid w:val="068A2316"/>
    <w:rsid w:val="068C384C"/>
    <w:rsid w:val="068D21A7"/>
    <w:rsid w:val="069B4513"/>
    <w:rsid w:val="06A17F3E"/>
    <w:rsid w:val="06A20FC1"/>
    <w:rsid w:val="06A833F4"/>
    <w:rsid w:val="06B34496"/>
    <w:rsid w:val="06B66577"/>
    <w:rsid w:val="06B95AC7"/>
    <w:rsid w:val="06C158EB"/>
    <w:rsid w:val="06C74C9F"/>
    <w:rsid w:val="06CC3929"/>
    <w:rsid w:val="06CC7CBA"/>
    <w:rsid w:val="06CF60DB"/>
    <w:rsid w:val="06DB44D3"/>
    <w:rsid w:val="06E82CFE"/>
    <w:rsid w:val="06EB0BBA"/>
    <w:rsid w:val="06F313BF"/>
    <w:rsid w:val="071C0C28"/>
    <w:rsid w:val="072A23D5"/>
    <w:rsid w:val="073B74A1"/>
    <w:rsid w:val="074B379C"/>
    <w:rsid w:val="07561504"/>
    <w:rsid w:val="07565F25"/>
    <w:rsid w:val="075864F0"/>
    <w:rsid w:val="075D356D"/>
    <w:rsid w:val="076C4500"/>
    <w:rsid w:val="07751C03"/>
    <w:rsid w:val="0777098F"/>
    <w:rsid w:val="07841BEF"/>
    <w:rsid w:val="0786398B"/>
    <w:rsid w:val="078932FF"/>
    <w:rsid w:val="07AA0244"/>
    <w:rsid w:val="07AB2628"/>
    <w:rsid w:val="07B224B6"/>
    <w:rsid w:val="07B5030F"/>
    <w:rsid w:val="07B75BB0"/>
    <w:rsid w:val="07BB37F9"/>
    <w:rsid w:val="07BF3D6F"/>
    <w:rsid w:val="07D12B5A"/>
    <w:rsid w:val="07DD5D59"/>
    <w:rsid w:val="07E037EB"/>
    <w:rsid w:val="07E41AFA"/>
    <w:rsid w:val="07E71830"/>
    <w:rsid w:val="07F53F9D"/>
    <w:rsid w:val="07F615C4"/>
    <w:rsid w:val="07FA0547"/>
    <w:rsid w:val="08015D6C"/>
    <w:rsid w:val="08047348"/>
    <w:rsid w:val="080571A2"/>
    <w:rsid w:val="08093596"/>
    <w:rsid w:val="080A2255"/>
    <w:rsid w:val="080D777F"/>
    <w:rsid w:val="0814117C"/>
    <w:rsid w:val="0828314D"/>
    <w:rsid w:val="084E0BD6"/>
    <w:rsid w:val="08503979"/>
    <w:rsid w:val="085A158C"/>
    <w:rsid w:val="085D7497"/>
    <w:rsid w:val="086428B3"/>
    <w:rsid w:val="08656BD0"/>
    <w:rsid w:val="087760D1"/>
    <w:rsid w:val="087B0710"/>
    <w:rsid w:val="08854A3B"/>
    <w:rsid w:val="089D5EE4"/>
    <w:rsid w:val="089D7D7B"/>
    <w:rsid w:val="08B35707"/>
    <w:rsid w:val="08B710B0"/>
    <w:rsid w:val="08DD6B03"/>
    <w:rsid w:val="08E43B0F"/>
    <w:rsid w:val="08FF7DDD"/>
    <w:rsid w:val="090166A2"/>
    <w:rsid w:val="09022534"/>
    <w:rsid w:val="090B5543"/>
    <w:rsid w:val="090D5D07"/>
    <w:rsid w:val="090F1B78"/>
    <w:rsid w:val="0922667C"/>
    <w:rsid w:val="09275236"/>
    <w:rsid w:val="092B119A"/>
    <w:rsid w:val="0940385B"/>
    <w:rsid w:val="0941465B"/>
    <w:rsid w:val="094840A2"/>
    <w:rsid w:val="094F6709"/>
    <w:rsid w:val="0952183D"/>
    <w:rsid w:val="09637930"/>
    <w:rsid w:val="09664528"/>
    <w:rsid w:val="096C5C58"/>
    <w:rsid w:val="096D038B"/>
    <w:rsid w:val="097848B8"/>
    <w:rsid w:val="0983683C"/>
    <w:rsid w:val="09853824"/>
    <w:rsid w:val="09985395"/>
    <w:rsid w:val="099F7FEA"/>
    <w:rsid w:val="09B65D38"/>
    <w:rsid w:val="09C56E7C"/>
    <w:rsid w:val="09CB3C0A"/>
    <w:rsid w:val="09D24C53"/>
    <w:rsid w:val="09D82898"/>
    <w:rsid w:val="09EF672A"/>
    <w:rsid w:val="09FA3203"/>
    <w:rsid w:val="09FF7BFE"/>
    <w:rsid w:val="0A0D7099"/>
    <w:rsid w:val="0A3D1A29"/>
    <w:rsid w:val="0A3F5CD9"/>
    <w:rsid w:val="0A415908"/>
    <w:rsid w:val="0A52244D"/>
    <w:rsid w:val="0A5A637B"/>
    <w:rsid w:val="0A663B0A"/>
    <w:rsid w:val="0A6E4652"/>
    <w:rsid w:val="0A750189"/>
    <w:rsid w:val="0A7532F0"/>
    <w:rsid w:val="0A7C228C"/>
    <w:rsid w:val="0A867835"/>
    <w:rsid w:val="0A8B5A32"/>
    <w:rsid w:val="0AA536BF"/>
    <w:rsid w:val="0AA82F3B"/>
    <w:rsid w:val="0AB75001"/>
    <w:rsid w:val="0ABB3376"/>
    <w:rsid w:val="0ACB0F48"/>
    <w:rsid w:val="0AD332E8"/>
    <w:rsid w:val="0AD754CD"/>
    <w:rsid w:val="0AE83ED5"/>
    <w:rsid w:val="0B043018"/>
    <w:rsid w:val="0B0634FA"/>
    <w:rsid w:val="0B087721"/>
    <w:rsid w:val="0B0B3459"/>
    <w:rsid w:val="0B0C5CC4"/>
    <w:rsid w:val="0B1612A2"/>
    <w:rsid w:val="0B212588"/>
    <w:rsid w:val="0B217B56"/>
    <w:rsid w:val="0B2C6CAB"/>
    <w:rsid w:val="0B3F2C19"/>
    <w:rsid w:val="0B5012DA"/>
    <w:rsid w:val="0B523A95"/>
    <w:rsid w:val="0B681ED1"/>
    <w:rsid w:val="0B6B22C9"/>
    <w:rsid w:val="0B70168E"/>
    <w:rsid w:val="0B72147D"/>
    <w:rsid w:val="0B7725F4"/>
    <w:rsid w:val="0B780B37"/>
    <w:rsid w:val="0B821E6A"/>
    <w:rsid w:val="0B8B2703"/>
    <w:rsid w:val="0B8D3F60"/>
    <w:rsid w:val="0B951D43"/>
    <w:rsid w:val="0B9655C3"/>
    <w:rsid w:val="0B9A1F23"/>
    <w:rsid w:val="0B9B6EF1"/>
    <w:rsid w:val="0B9C1C9D"/>
    <w:rsid w:val="0BA706AC"/>
    <w:rsid w:val="0BB02E2A"/>
    <w:rsid w:val="0BB8526F"/>
    <w:rsid w:val="0BC71C64"/>
    <w:rsid w:val="0BC8644B"/>
    <w:rsid w:val="0BC952D6"/>
    <w:rsid w:val="0BDB78F8"/>
    <w:rsid w:val="0BEA7594"/>
    <w:rsid w:val="0BF72442"/>
    <w:rsid w:val="0BFC49CA"/>
    <w:rsid w:val="0BFF7F8F"/>
    <w:rsid w:val="0C123946"/>
    <w:rsid w:val="0C1A74BA"/>
    <w:rsid w:val="0C2658DC"/>
    <w:rsid w:val="0C3410D8"/>
    <w:rsid w:val="0C410A25"/>
    <w:rsid w:val="0C477D93"/>
    <w:rsid w:val="0C515ECD"/>
    <w:rsid w:val="0C523489"/>
    <w:rsid w:val="0C55652A"/>
    <w:rsid w:val="0C5D5223"/>
    <w:rsid w:val="0C5E1BFD"/>
    <w:rsid w:val="0C631F97"/>
    <w:rsid w:val="0C7042B9"/>
    <w:rsid w:val="0C7512C7"/>
    <w:rsid w:val="0C777867"/>
    <w:rsid w:val="0C793191"/>
    <w:rsid w:val="0C7B02EA"/>
    <w:rsid w:val="0C937576"/>
    <w:rsid w:val="0C992063"/>
    <w:rsid w:val="0C9F6118"/>
    <w:rsid w:val="0CA14B3C"/>
    <w:rsid w:val="0CBD0903"/>
    <w:rsid w:val="0CBE41F6"/>
    <w:rsid w:val="0CC441C8"/>
    <w:rsid w:val="0CC53C5B"/>
    <w:rsid w:val="0CCD169F"/>
    <w:rsid w:val="0CCD5722"/>
    <w:rsid w:val="0CDC0754"/>
    <w:rsid w:val="0CE831C7"/>
    <w:rsid w:val="0D004C93"/>
    <w:rsid w:val="0D0208D3"/>
    <w:rsid w:val="0D033888"/>
    <w:rsid w:val="0D091841"/>
    <w:rsid w:val="0D1A0B50"/>
    <w:rsid w:val="0D2C070A"/>
    <w:rsid w:val="0D2C767A"/>
    <w:rsid w:val="0D3247FD"/>
    <w:rsid w:val="0D335F49"/>
    <w:rsid w:val="0D4D5C6B"/>
    <w:rsid w:val="0D4F346B"/>
    <w:rsid w:val="0D694F5F"/>
    <w:rsid w:val="0D6A79DB"/>
    <w:rsid w:val="0D8D77E8"/>
    <w:rsid w:val="0D8F21B8"/>
    <w:rsid w:val="0DA6181C"/>
    <w:rsid w:val="0DAE75C1"/>
    <w:rsid w:val="0DAF2A5B"/>
    <w:rsid w:val="0DB00D5C"/>
    <w:rsid w:val="0DB8226D"/>
    <w:rsid w:val="0DB902A0"/>
    <w:rsid w:val="0DC85F26"/>
    <w:rsid w:val="0DD2548D"/>
    <w:rsid w:val="0DDF7BF6"/>
    <w:rsid w:val="0DE133C7"/>
    <w:rsid w:val="0DE657DA"/>
    <w:rsid w:val="0DEE0F90"/>
    <w:rsid w:val="0DF03072"/>
    <w:rsid w:val="0DF575E7"/>
    <w:rsid w:val="0DFD7024"/>
    <w:rsid w:val="0E097122"/>
    <w:rsid w:val="0E0B0E89"/>
    <w:rsid w:val="0E191823"/>
    <w:rsid w:val="0E227B23"/>
    <w:rsid w:val="0E2E708F"/>
    <w:rsid w:val="0E3A292E"/>
    <w:rsid w:val="0E502AAA"/>
    <w:rsid w:val="0E5D364A"/>
    <w:rsid w:val="0E833DCE"/>
    <w:rsid w:val="0E947D89"/>
    <w:rsid w:val="0EA86FBB"/>
    <w:rsid w:val="0EC842D6"/>
    <w:rsid w:val="0ED8416C"/>
    <w:rsid w:val="0EE23A03"/>
    <w:rsid w:val="0EE43BCF"/>
    <w:rsid w:val="0EEA02B1"/>
    <w:rsid w:val="0EED0C82"/>
    <w:rsid w:val="0EF42513"/>
    <w:rsid w:val="0EF94317"/>
    <w:rsid w:val="0EFC6C34"/>
    <w:rsid w:val="0F020558"/>
    <w:rsid w:val="0F052A35"/>
    <w:rsid w:val="0F0A1177"/>
    <w:rsid w:val="0F18383B"/>
    <w:rsid w:val="0F196507"/>
    <w:rsid w:val="0F204B19"/>
    <w:rsid w:val="0F2D3F1C"/>
    <w:rsid w:val="0F2D739E"/>
    <w:rsid w:val="0F2D7847"/>
    <w:rsid w:val="0F343334"/>
    <w:rsid w:val="0F375AB3"/>
    <w:rsid w:val="0F375BC5"/>
    <w:rsid w:val="0F3B242E"/>
    <w:rsid w:val="0F3B3452"/>
    <w:rsid w:val="0F4E2DD2"/>
    <w:rsid w:val="0F661A9F"/>
    <w:rsid w:val="0F8344AB"/>
    <w:rsid w:val="0F8632D3"/>
    <w:rsid w:val="0F8F1D65"/>
    <w:rsid w:val="0F915FE1"/>
    <w:rsid w:val="0F9C07C7"/>
    <w:rsid w:val="0FD757AD"/>
    <w:rsid w:val="0FD80609"/>
    <w:rsid w:val="0FE07CC3"/>
    <w:rsid w:val="0FE64614"/>
    <w:rsid w:val="0FF44CA3"/>
    <w:rsid w:val="100173F2"/>
    <w:rsid w:val="1005338D"/>
    <w:rsid w:val="100C4023"/>
    <w:rsid w:val="10120F66"/>
    <w:rsid w:val="10132D37"/>
    <w:rsid w:val="102121B6"/>
    <w:rsid w:val="102E22AB"/>
    <w:rsid w:val="103A2F9B"/>
    <w:rsid w:val="103C085C"/>
    <w:rsid w:val="10532861"/>
    <w:rsid w:val="106D3EDC"/>
    <w:rsid w:val="10817E99"/>
    <w:rsid w:val="1096558C"/>
    <w:rsid w:val="10974FCF"/>
    <w:rsid w:val="109B3F51"/>
    <w:rsid w:val="10AA3894"/>
    <w:rsid w:val="10AC4127"/>
    <w:rsid w:val="10BE21EF"/>
    <w:rsid w:val="10BF05EF"/>
    <w:rsid w:val="10E45CE2"/>
    <w:rsid w:val="10E55BF3"/>
    <w:rsid w:val="110450AE"/>
    <w:rsid w:val="110C7F5E"/>
    <w:rsid w:val="110E5C22"/>
    <w:rsid w:val="111431D1"/>
    <w:rsid w:val="111B308D"/>
    <w:rsid w:val="111E4721"/>
    <w:rsid w:val="112C3B78"/>
    <w:rsid w:val="113E5D8A"/>
    <w:rsid w:val="113F131D"/>
    <w:rsid w:val="11402938"/>
    <w:rsid w:val="11512B20"/>
    <w:rsid w:val="115305C3"/>
    <w:rsid w:val="11563AAD"/>
    <w:rsid w:val="11610A29"/>
    <w:rsid w:val="11671A45"/>
    <w:rsid w:val="11682FBD"/>
    <w:rsid w:val="117046DB"/>
    <w:rsid w:val="1186246D"/>
    <w:rsid w:val="11992D75"/>
    <w:rsid w:val="11A93A6B"/>
    <w:rsid w:val="11A97B89"/>
    <w:rsid w:val="11B54ED8"/>
    <w:rsid w:val="11BD1C00"/>
    <w:rsid w:val="11BF511D"/>
    <w:rsid w:val="11C9491E"/>
    <w:rsid w:val="11CE5425"/>
    <w:rsid w:val="11ED1B8B"/>
    <w:rsid w:val="11F254F3"/>
    <w:rsid w:val="11F40BF5"/>
    <w:rsid w:val="11FA5A8C"/>
    <w:rsid w:val="11FC73C1"/>
    <w:rsid w:val="11FD36C5"/>
    <w:rsid w:val="121B3B70"/>
    <w:rsid w:val="121C4D18"/>
    <w:rsid w:val="122300F0"/>
    <w:rsid w:val="12377FD1"/>
    <w:rsid w:val="12495C37"/>
    <w:rsid w:val="124F3FCF"/>
    <w:rsid w:val="125F3B3E"/>
    <w:rsid w:val="12601EFA"/>
    <w:rsid w:val="126401D3"/>
    <w:rsid w:val="12662A16"/>
    <w:rsid w:val="12734291"/>
    <w:rsid w:val="127614B6"/>
    <w:rsid w:val="127F42ED"/>
    <w:rsid w:val="128C5F73"/>
    <w:rsid w:val="12917963"/>
    <w:rsid w:val="129206AA"/>
    <w:rsid w:val="12932067"/>
    <w:rsid w:val="12970D18"/>
    <w:rsid w:val="12A06B6E"/>
    <w:rsid w:val="12A12A75"/>
    <w:rsid w:val="12A7080A"/>
    <w:rsid w:val="12A70C59"/>
    <w:rsid w:val="12AC32C8"/>
    <w:rsid w:val="12B3472F"/>
    <w:rsid w:val="12CD6741"/>
    <w:rsid w:val="12D13428"/>
    <w:rsid w:val="12D1659E"/>
    <w:rsid w:val="12DF77AA"/>
    <w:rsid w:val="12E02E18"/>
    <w:rsid w:val="12E35613"/>
    <w:rsid w:val="13013A04"/>
    <w:rsid w:val="130A326B"/>
    <w:rsid w:val="13142C82"/>
    <w:rsid w:val="1320256D"/>
    <w:rsid w:val="132E3653"/>
    <w:rsid w:val="132F4AB0"/>
    <w:rsid w:val="133B323C"/>
    <w:rsid w:val="133E409F"/>
    <w:rsid w:val="134279E1"/>
    <w:rsid w:val="13524BCD"/>
    <w:rsid w:val="13541569"/>
    <w:rsid w:val="135610DD"/>
    <w:rsid w:val="135B7BC8"/>
    <w:rsid w:val="135D4BEE"/>
    <w:rsid w:val="13600450"/>
    <w:rsid w:val="13611CA1"/>
    <w:rsid w:val="136649CE"/>
    <w:rsid w:val="137D5290"/>
    <w:rsid w:val="137E5CEB"/>
    <w:rsid w:val="13866697"/>
    <w:rsid w:val="13AA53FC"/>
    <w:rsid w:val="13AE5829"/>
    <w:rsid w:val="13C76879"/>
    <w:rsid w:val="13C90091"/>
    <w:rsid w:val="13D5547A"/>
    <w:rsid w:val="13D562D3"/>
    <w:rsid w:val="13EE3A98"/>
    <w:rsid w:val="13F31769"/>
    <w:rsid w:val="13FF65A9"/>
    <w:rsid w:val="140A39B3"/>
    <w:rsid w:val="1440200A"/>
    <w:rsid w:val="14462972"/>
    <w:rsid w:val="1450411B"/>
    <w:rsid w:val="145C7AB8"/>
    <w:rsid w:val="14751C07"/>
    <w:rsid w:val="147B7D72"/>
    <w:rsid w:val="14A2036B"/>
    <w:rsid w:val="14A5642A"/>
    <w:rsid w:val="14A6471E"/>
    <w:rsid w:val="14A81CBB"/>
    <w:rsid w:val="14AE1156"/>
    <w:rsid w:val="14CA105D"/>
    <w:rsid w:val="14CB13CC"/>
    <w:rsid w:val="14D1667B"/>
    <w:rsid w:val="14DA0880"/>
    <w:rsid w:val="14DC1B42"/>
    <w:rsid w:val="14DD1797"/>
    <w:rsid w:val="14EC1251"/>
    <w:rsid w:val="14EF08C2"/>
    <w:rsid w:val="14F678B5"/>
    <w:rsid w:val="1500607F"/>
    <w:rsid w:val="150263BE"/>
    <w:rsid w:val="15036EB4"/>
    <w:rsid w:val="15094E25"/>
    <w:rsid w:val="153E0A4F"/>
    <w:rsid w:val="15417FCB"/>
    <w:rsid w:val="157F3DAD"/>
    <w:rsid w:val="15810381"/>
    <w:rsid w:val="158F7650"/>
    <w:rsid w:val="15B10B36"/>
    <w:rsid w:val="15C6137F"/>
    <w:rsid w:val="15CF75C2"/>
    <w:rsid w:val="15D3061D"/>
    <w:rsid w:val="15DB4E8B"/>
    <w:rsid w:val="15DB629E"/>
    <w:rsid w:val="15FA1CBA"/>
    <w:rsid w:val="15FA4642"/>
    <w:rsid w:val="16005B4D"/>
    <w:rsid w:val="16023749"/>
    <w:rsid w:val="16117F11"/>
    <w:rsid w:val="16122D70"/>
    <w:rsid w:val="163500E7"/>
    <w:rsid w:val="16390BF0"/>
    <w:rsid w:val="16394F6A"/>
    <w:rsid w:val="163A5649"/>
    <w:rsid w:val="16511CDE"/>
    <w:rsid w:val="165C63EB"/>
    <w:rsid w:val="166169AF"/>
    <w:rsid w:val="16662B1E"/>
    <w:rsid w:val="166C4748"/>
    <w:rsid w:val="166D5CF9"/>
    <w:rsid w:val="1679677C"/>
    <w:rsid w:val="16806F5F"/>
    <w:rsid w:val="16856C77"/>
    <w:rsid w:val="16891110"/>
    <w:rsid w:val="16B200D8"/>
    <w:rsid w:val="16B4157E"/>
    <w:rsid w:val="16B53E81"/>
    <w:rsid w:val="16C80E28"/>
    <w:rsid w:val="16C91A60"/>
    <w:rsid w:val="16D30DE4"/>
    <w:rsid w:val="16D53A3A"/>
    <w:rsid w:val="16E16162"/>
    <w:rsid w:val="16E7887E"/>
    <w:rsid w:val="16EC69F2"/>
    <w:rsid w:val="16F46BD4"/>
    <w:rsid w:val="16F679BE"/>
    <w:rsid w:val="17011FF5"/>
    <w:rsid w:val="17082077"/>
    <w:rsid w:val="17086A04"/>
    <w:rsid w:val="170C79EF"/>
    <w:rsid w:val="1733704F"/>
    <w:rsid w:val="1739584F"/>
    <w:rsid w:val="175D2140"/>
    <w:rsid w:val="17704AAB"/>
    <w:rsid w:val="17731FA9"/>
    <w:rsid w:val="177B7741"/>
    <w:rsid w:val="1785028E"/>
    <w:rsid w:val="178F1DC2"/>
    <w:rsid w:val="179F445C"/>
    <w:rsid w:val="17A36B40"/>
    <w:rsid w:val="17A377C9"/>
    <w:rsid w:val="17A408D6"/>
    <w:rsid w:val="17A974E2"/>
    <w:rsid w:val="17B920AF"/>
    <w:rsid w:val="17BA6CC5"/>
    <w:rsid w:val="17BC7BFC"/>
    <w:rsid w:val="17BE4DD5"/>
    <w:rsid w:val="17C136A2"/>
    <w:rsid w:val="17D23C27"/>
    <w:rsid w:val="18142066"/>
    <w:rsid w:val="18196BEB"/>
    <w:rsid w:val="182401DB"/>
    <w:rsid w:val="18242F81"/>
    <w:rsid w:val="18464199"/>
    <w:rsid w:val="184B2CE6"/>
    <w:rsid w:val="185524EF"/>
    <w:rsid w:val="185858F1"/>
    <w:rsid w:val="186407CC"/>
    <w:rsid w:val="186B4D4A"/>
    <w:rsid w:val="188B6D6F"/>
    <w:rsid w:val="188E5E3A"/>
    <w:rsid w:val="188F5CA0"/>
    <w:rsid w:val="189622E4"/>
    <w:rsid w:val="189F5400"/>
    <w:rsid w:val="18A15213"/>
    <w:rsid w:val="18B040D7"/>
    <w:rsid w:val="18C33FDF"/>
    <w:rsid w:val="18CD25A4"/>
    <w:rsid w:val="18D3152C"/>
    <w:rsid w:val="18D712D8"/>
    <w:rsid w:val="18D82E24"/>
    <w:rsid w:val="18FE3820"/>
    <w:rsid w:val="19130E36"/>
    <w:rsid w:val="191772D0"/>
    <w:rsid w:val="194B1EC4"/>
    <w:rsid w:val="19550C97"/>
    <w:rsid w:val="19590856"/>
    <w:rsid w:val="1962306A"/>
    <w:rsid w:val="19775154"/>
    <w:rsid w:val="198364F1"/>
    <w:rsid w:val="198A6011"/>
    <w:rsid w:val="198D4077"/>
    <w:rsid w:val="19A36B5B"/>
    <w:rsid w:val="19AB225A"/>
    <w:rsid w:val="19AD7F51"/>
    <w:rsid w:val="19D65577"/>
    <w:rsid w:val="19FB1C97"/>
    <w:rsid w:val="1A0A4ACB"/>
    <w:rsid w:val="1A1846F1"/>
    <w:rsid w:val="1A2062AD"/>
    <w:rsid w:val="1A3261AF"/>
    <w:rsid w:val="1A352916"/>
    <w:rsid w:val="1A402C90"/>
    <w:rsid w:val="1A606D71"/>
    <w:rsid w:val="1A8D27AD"/>
    <w:rsid w:val="1A9021AA"/>
    <w:rsid w:val="1A920900"/>
    <w:rsid w:val="1A9349CE"/>
    <w:rsid w:val="1A942CB7"/>
    <w:rsid w:val="1A9E57EB"/>
    <w:rsid w:val="1AA151CF"/>
    <w:rsid w:val="1AA2653D"/>
    <w:rsid w:val="1AA82093"/>
    <w:rsid w:val="1AB8095B"/>
    <w:rsid w:val="1ACD6EFD"/>
    <w:rsid w:val="1AD244DF"/>
    <w:rsid w:val="1AE87493"/>
    <w:rsid w:val="1AF06026"/>
    <w:rsid w:val="1AF54F22"/>
    <w:rsid w:val="1B011B04"/>
    <w:rsid w:val="1B0B7197"/>
    <w:rsid w:val="1B270D19"/>
    <w:rsid w:val="1B312411"/>
    <w:rsid w:val="1B3157F0"/>
    <w:rsid w:val="1B347B21"/>
    <w:rsid w:val="1B35192A"/>
    <w:rsid w:val="1B4120DC"/>
    <w:rsid w:val="1B473D6A"/>
    <w:rsid w:val="1B50316D"/>
    <w:rsid w:val="1B5230EB"/>
    <w:rsid w:val="1B593292"/>
    <w:rsid w:val="1B5B3A17"/>
    <w:rsid w:val="1B6B1CE4"/>
    <w:rsid w:val="1B6B6F05"/>
    <w:rsid w:val="1B6B7277"/>
    <w:rsid w:val="1B701516"/>
    <w:rsid w:val="1B77374A"/>
    <w:rsid w:val="1B7927FA"/>
    <w:rsid w:val="1B832673"/>
    <w:rsid w:val="1B870F6D"/>
    <w:rsid w:val="1B873604"/>
    <w:rsid w:val="1B9008DD"/>
    <w:rsid w:val="1BAD6F45"/>
    <w:rsid w:val="1BB25C71"/>
    <w:rsid w:val="1BBC2E22"/>
    <w:rsid w:val="1BF16305"/>
    <w:rsid w:val="1C122B82"/>
    <w:rsid w:val="1C153B71"/>
    <w:rsid w:val="1C1952D0"/>
    <w:rsid w:val="1C1D13BE"/>
    <w:rsid w:val="1C226D51"/>
    <w:rsid w:val="1C2D27CB"/>
    <w:rsid w:val="1C362701"/>
    <w:rsid w:val="1C393D1E"/>
    <w:rsid w:val="1C5300CD"/>
    <w:rsid w:val="1C5314BB"/>
    <w:rsid w:val="1C6A13EC"/>
    <w:rsid w:val="1C784A20"/>
    <w:rsid w:val="1C7D2C17"/>
    <w:rsid w:val="1C7E52F6"/>
    <w:rsid w:val="1C7E5910"/>
    <w:rsid w:val="1C8A179F"/>
    <w:rsid w:val="1C915908"/>
    <w:rsid w:val="1C986C96"/>
    <w:rsid w:val="1C9C180B"/>
    <w:rsid w:val="1C9F0025"/>
    <w:rsid w:val="1CAE0268"/>
    <w:rsid w:val="1CC00E4E"/>
    <w:rsid w:val="1CC10B52"/>
    <w:rsid w:val="1CCC725F"/>
    <w:rsid w:val="1CD53DBF"/>
    <w:rsid w:val="1CDB373E"/>
    <w:rsid w:val="1CE27F12"/>
    <w:rsid w:val="1CE65EB6"/>
    <w:rsid w:val="1CE95744"/>
    <w:rsid w:val="1CF00DBA"/>
    <w:rsid w:val="1D0807A5"/>
    <w:rsid w:val="1D090ADB"/>
    <w:rsid w:val="1D0E00EC"/>
    <w:rsid w:val="1D1939ED"/>
    <w:rsid w:val="1D1F62E2"/>
    <w:rsid w:val="1D2101C2"/>
    <w:rsid w:val="1D29203C"/>
    <w:rsid w:val="1D294E26"/>
    <w:rsid w:val="1D297AB2"/>
    <w:rsid w:val="1D5613CC"/>
    <w:rsid w:val="1D652F47"/>
    <w:rsid w:val="1D657F1B"/>
    <w:rsid w:val="1D6926C1"/>
    <w:rsid w:val="1D7A117D"/>
    <w:rsid w:val="1D880D96"/>
    <w:rsid w:val="1D9A1B1C"/>
    <w:rsid w:val="1D9B3BF5"/>
    <w:rsid w:val="1D9E241B"/>
    <w:rsid w:val="1DA014B3"/>
    <w:rsid w:val="1DB213DC"/>
    <w:rsid w:val="1DBF4C41"/>
    <w:rsid w:val="1DCE7F11"/>
    <w:rsid w:val="1DD0331B"/>
    <w:rsid w:val="1DDD1BD4"/>
    <w:rsid w:val="1DE0672A"/>
    <w:rsid w:val="1DFD4F3E"/>
    <w:rsid w:val="1E021E39"/>
    <w:rsid w:val="1E0358BF"/>
    <w:rsid w:val="1E244853"/>
    <w:rsid w:val="1E28091B"/>
    <w:rsid w:val="1E286DFF"/>
    <w:rsid w:val="1E2D10E0"/>
    <w:rsid w:val="1E344C44"/>
    <w:rsid w:val="1E3D3A5F"/>
    <w:rsid w:val="1E3E15B2"/>
    <w:rsid w:val="1E3E4FF3"/>
    <w:rsid w:val="1E4F234C"/>
    <w:rsid w:val="1E5D2340"/>
    <w:rsid w:val="1E620067"/>
    <w:rsid w:val="1E632548"/>
    <w:rsid w:val="1E6D6D7F"/>
    <w:rsid w:val="1E7B5267"/>
    <w:rsid w:val="1E9004FA"/>
    <w:rsid w:val="1E9646FF"/>
    <w:rsid w:val="1E966318"/>
    <w:rsid w:val="1EA11680"/>
    <w:rsid w:val="1EA64B76"/>
    <w:rsid w:val="1EC3007D"/>
    <w:rsid w:val="1EC54812"/>
    <w:rsid w:val="1ECF054D"/>
    <w:rsid w:val="1ED76E60"/>
    <w:rsid w:val="1EEF0243"/>
    <w:rsid w:val="1EEF5642"/>
    <w:rsid w:val="1F045F88"/>
    <w:rsid w:val="1F3D5A2B"/>
    <w:rsid w:val="1F422AE4"/>
    <w:rsid w:val="1F434323"/>
    <w:rsid w:val="1F4E0DE8"/>
    <w:rsid w:val="1F77383F"/>
    <w:rsid w:val="1F7E73A9"/>
    <w:rsid w:val="1F83291B"/>
    <w:rsid w:val="1F87452F"/>
    <w:rsid w:val="1F875D46"/>
    <w:rsid w:val="1F896D6A"/>
    <w:rsid w:val="1F95416B"/>
    <w:rsid w:val="1FA77244"/>
    <w:rsid w:val="1FB72D07"/>
    <w:rsid w:val="1FC37E78"/>
    <w:rsid w:val="1FD54EF5"/>
    <w:rsid w:val="1FF52A08"/>
    <w:rsid w:val="1FFD0BB5"/>
    <w:rsid w:val="200050CC"/>
    <w:rsid w:val="2003179C"/>
    <w:rsid w:val="2003268C"/>
    <w:rsid w:val="200B5C0B"/>
    <w:rsid w:val="200D1367"/>
    <w:rsid w:val="20150AF2"/>
    <w:rsid w:val="201C4CA7"/>
    <w:rsid w:val="20201E76"/>
    <w:rsid w:val="202C422E"/>
    <w:rsid w:val="2033450B"/>
    <w:rsid w:val="203E1903"/>
    <w:rsid w:val="20526EB3"/>
    <w:rsid w:val="2064551F"/>
    <w:rsid w:val="206D6F3E"/>
    <w:rsid w:val="207D3B26"/>
    <w:rsid w:val="209875C0"/>
    <w:rsid w:val="209C2B3E"/>
    <w:rsid w:val="20B35BED"/>
    <w:rsid w:val="20B36678"/>
    <w:rsid w:val="20B47E17"/>
    <w:rsid w:val="20BD4F1E"/>
    <w:rsid w:val="20CA66FD"/>
    <w:rsid w:val="20D112FB"/>
    <w:rsid w:val="20D13B63"/>
    <w:rsid w:val="20E85164"/>
    <w:rsid w:val="20ED5FC1"/>
    <w:rsid w:val="20F50EA7"/>
    <w:rsid w:val="212B1CCB"/>
    <w:rsid w:val="212D5B2C"/>
    <w:rsid w:val="213F2BAB"/>
    <w:rsid w:val="214E088D"/>
    <w:rsid w:val="215C01B1"/>
    <w:rsid w:val="21603FBE"/>
    <w:rsid w:val="2194182A"/>
    <w:rsid w:val="21A77AE0"/>
    <w:rsid w:val="21B667D4"/>
    <w:rsid w:val="21B87BA4"/>
    <w:rsid w:val="21D50128"/>
    <w:rsid w:val="21D555AC"/>
    <w:rsid w:val="21DD7568"/>
    <w:rsid w:val="21F04E7F"/>
    <w:rsid w:val="22165C38"/>
    <w:rsid w:val="22224D86"/>
    <w:rsid w:val="22386FD2"/>
    <w:rsid w:val="22410FAB"/>
    <w:rsid w:val="22414157"/>
    <w:rsid w:val="224263F9"/>
    <w:rsid w:val="22440002"/>
    <w:rsid w:val="22481730"/>
    <w:rsid w:val="224C30CF"/>
    <w:rsid w:val="224F2D6A"/>
    <w:rsid w:val="225116B9"/>
    <w:rsid w:val="22547524"/>
    <w:rsid w:val="225F67AC"/>
    <w:rsid w:val="22621291"/>
    <w:rsid w:val="226E6D66"/>
    <w:rsid w:val="228C0017"/>
    <w:rsid w:val="228F35D6"/>
    <w:rsid w:val="22967C76"/>
    <w:rsid w:val="229949E3"/>
    <w:rsid w:val="22B24BDD"/>
    <w:rsid w:val="22C01A09"/>
    <w:rsid w:val="22C52F66"/>
    <w:rsid w:val="22C708C4"/>
    <w:rsid w:val="22C7230E"/>
    <w:rsid w:val="22D842DA"/>
    <w:rsid w:val="22E71D38"/>
    <w:rsid w:val="22EA0933"/>
    <w:rsid w:val="22EC07EF"/>
    <w:rsid w:val="22EE4B61"/>
    <w:rsid w:val="22EE7D2D"/>
    <w:rsid w:val="22F10EAE"/>
    <w:rsid w:val="22FC7D64"/>
    <w:rsid w:val="23036601"/>
    <w:rsid w:val="230D48E9"/>
    <w:rsid w:val="2321231C"/>
    <w:rsid w:val="23331BF5"/>
    <w:rsid w:val="233D0BA3"/>
    <w:rsid w:val="23425054"/>
    <w:rsid w:val="234611FA"/>
    <w:rsid w:val="234A56F8"/>
    <w:rsid w:val="23501055"/>
    <w:rsid w:val="235B5E01"/>
    <w:rsid w:val="235B7F06"/>
    <w:rsid w:val="23686C68"/>
    <w:rsid w:val="236C5D90"/>
    <w:rsid w:val="236E4580"/>
    <w:rsid w:val="237C6924"/>
    <w:rsid w:val="23801CB6"/>
    <w:rsid w:val="23822F4E"/>
    <w:rsid w:val="2390111C"/>
    <w:rsid w:val="23957A8C"/>
    <w:rsid w:val="23A7715D"/>
    <w:rsid w:val="23B26890"/>
    <w:rsid w:val="23B430BC"/>
    <w:rsid w:val="23BD3CBF"/>
    <w:rsid w:val="23CA51A8"/>
    <w:rsid w:val="23CC7174"/>
    <w:rsid w:val="23DF1584"/>
    <w:rsid w:val="23E42C88"/>
    <w:rsid w:val="23FA639B"/>
    <w:rsid w:val="23FD4981"/>
    <w:rsid w:val="24131E75"/>
    <w:rsid w:val="241C3500"/>
    <w:rsid w:val="241C3808"/>
    <w:rsid w:val="242530D9"/>
    <w:rsid w:val="243A2CDC"/>
    <w:rsid w:val="24450C8E"/>
    <w:rsid w:val="24505030"/>
    <w:rsid w:val="24544436"/>
    <w:rsid w:val="246254F1"/>
    <w:rsid w:val="246256CC"/>
    <w:rsid w:val="246A5AC3"/>
    <w:rsid w:val="2480376B"/>
    <w:rsid w:val="24803A09"/>
    <w:rsid w:val="24805846"/>
    <w:rsid w:val="248C219B"/>
    <w:rsid w:val="24941808"/>
    <w:rsid w:val="249F59AA"/>
    <w:rsid w:val="24A567BE"/>
    <w:rsid w:val="24A77CC7"/>
    <w:rsid w:val="24AA572C"/>
    <w:rsid w:val="24B11A33"/>
    <w:rsid w:val="24BD0D51"/>
    <w:rsid w:val="24D65B77"/>
    <w:rsid w:val="24DE650A"/>
    <w:rsid w:val="24EB7C26"/>
    <w:rsid w:val="24F77329"/>
    <w:rsid w:val="24FC6EB5"/>
    <w:rsid w:val="250107BC"/>
    <w:rsid w:val="250170D7"/>
    <w:rsid w:val="250C1416"/>
    <w:rsid w:val="25215F5B"/>
    <w:rsid w:val="25287EFC"/>
    <w:rsid w:val="25305A8C"/>
    <w:rsid w:val="25314CEF"/>
    <w:rsid w:val="253506B3"/>
    <w:rsid w:val="253F224B"/>
    <w:rsid w:val="255710E7"/>
    <w:rsid w:val="255F47F5"/>
    <w:rsid w:val="25696F6D"/>
    <w:rsid w:val="25787665"/>
    <w:rsid w:val="258409DC"/>
    <w:rsid w:val="2585705F"/>
    <w:rsid w:val="258623A5"/>
    <w:rsid w:val="25923602"/>
    <w:rsid w:val="259823ED"/>
    <w:rsid w:val="25A04D0A"/>
    <w:rsid w:val="25B306C7"/>
    <w:rsid w:val="25CC1B09"/>
    <w:rsid w:val="25CE43CE"/>
    <w:rsid w:val="25DC7BF4"/>
    <w:rsid w:val="25E130D5"/>
    <w:rsid w:val="25EF09CC"/>
    <w:rsid w:val="25F018F1"/>
    <w:rsid w:val="25FD7B6A"/>
    <w:rsid w:val="26123E85"/>
    <w:rsid w:val="261E1B8F"/>
    <w:rsid w:val="262E79BC"/>
    <w:rsid w:val="26436B55"/>
    <w:rsid w:val="26454B11"/>
    <w:rsid w:val="264616B2"/>
    <w:rsid w:val="264B5C5F"/>
    <w:rsid w:val="264F0D93"/>
    <w:rsid w:val="265911BA"/>
    <w:rsid w:val="265E5FBA"/>
    <w:rsid w:val="26600667"/>
    <w:rsid w:val="266C74E3"/>
    <w:rsid w:val="268A268F"/>
    <w:rsid w:val="268E25DD"/>
    <w:rsid w:val="26997A56"/>
    <w:rsid w:val="269A4AD7"/>
    <w:rsid w:val="269C4E0B"/>
    <w:rsid w:val="269C55D5"/>
    <w:rsid w:val="26A75199"/>
    <w:rsid w:val="26AD3471"/>
    <w:rsid w:val="26C17B69"/>
    <w:rsid w:val="26C33FFE"/>
    <w:rsid w:val="26C64400"/>
    <w:rsid w:val="26CE36E5"/>
    <w:rsid w:val="26E31B06"/>
    <w:rsid w:val="26E6217B"/>
    <w:rsid w:val="26FC7D13"/>
    <w:rsid w:val="26FF6276"/>
    <w:rsid w:val="27037513"/>
    <w:rsid w:val="27117BFF"/>
    <w:rsid w:val="27135D4E"/>
    <w:rsid w:val="27203EEB"/>
    <w:rsid w:val="2754129C"/>
    <w:rsid w:val="27566510"/>
    <w:rsid w:val="27603EC1"/>
    <w:rsid w:val="27851A0B"/>
    <w:rsid w:val="27876136"/>
    <w:rsid w:val="279462F5"/>
    <w:rsid w:val="27A06CC5"/>
    <w:rsid w:val="27A30287"/>
    <w:rsid w:val="27B34755"/>
    <w:rsid w:val="27B506FD"/>
    <w:rsid w:val="27BB6190"/>
    <w:rsid w:val="27C112E1"/>
    <w:rsid w:val="27DB14BA"/>
    <w:rsid w:val="27DD6376"/>
    <w:rsid w:val="27DE6D28"/>
    <w:rsid w:val="27E03D9F"/>
    <w:rsid w:val="27E07DE8"/>
    <w:rsid w:val="27E862A2"/>
    <w:rsid w:val="27EF19B8"/>
    <w:rsid w:val="27FE488A"/>
    <w:rsid w:val="280334C5"/>
    <w:rsid w:val="2804309E"/>
    <w:rsid w:val="28071DAC"/>
    <w:rsid w:val="28130274"/>
    <w:rsid w:val="281459A7"/>
    <w:rsid w:val="28327F9F"/>
    <w:rsid w:val="283D06F2"/>
    <w:rsid w:val="2841272B"/>
    <w:rsid w:val="28454B2D"/>
    <w:rsid w:val="285C6DCA"/>
    <w:rsid w:val="28603EB7"/>
    <w:rsid w:val="286930B9"/>
    <w:rsid w:val="286A5D40"/>
    <w:rsid w:val="286F6AEE"/>
    <w:rsid w:val="287967D6"/>
    <w:rsid w:val="28910825"/>
    <w:rsid w:val="289A4C69"/>
    <w:rsid w:val="28AB4E56"/>
    <w:rsid w:val="28AC4758"/>
    <w:rsid w:val="28AE3251"/>
    <w:rsid w:val="28B2405D"/>
    <w:rsid w:val="28C04C4C"/>
    <w:rsid w:val="28C82DD8"/>
    <w:rsid w:val="28E07697"/>
    <w:rsid w:val="28E824C9"/>
    <w:rsid w:val="28EC4FBD"/>
    <w:rsid w:val="28EC7622"/>
    <w:rsid w:val="28EE5156"/>
    <w:rsid w:val="28FB73A9"/>
    <w:rsid w:val="2900631A"/>
    <w:rsid w:val="291173EA"/>
    <w:rsid w:val="291268CF"/>
    <w:rsid w:val="291470DB"/>
    <w:rsid w:val="29237032"/>
    <w:rsid w:val="292A3D9E"/>
    <w:rsid w:val="292E34BD"/>
    <w:rsid w:val="29340781"/>
    <w:rsid w:val="29470E70"/>
    <w:rsid w:val="29482C06"/>
    <w:rsid w:val="295D54F0"/>
    <w:rsid w:val="296206AF"/>
    <w:rsid w:val="297045CA"/>
    <w:rsid w:val="298040D2"/>
    <w:rsid w:val="298E1846"/>
    <w:rsid w:val="298F5ED7"/>
    <w:rsid w:val="29A009BF"/>
    <w:rsid w:val="29A03A03"/>
    <w:rsid w:val="29BC6F56"/>
    <w:rsid w:val="29DA2DCF"/>
    <w:rsid w:val="29E17A78"/>
    <w:rsid w:val="29E439C2"/>
    <w:rsid w:val="29FB6096"/>
    <w:rsid w:val="2A070FB7"/>
    <w:rsid w:val="2A0F7329"/>
    <w:rsid w:val="2A132508"/>
    <w:rsid w:val="2A1D0B14"/>
    <w:rsid w:val="2A225936"/>
    <w:rsid w:val="2A3A79B3"/>
    <w:rsid w:val="2A53353C"/>
    <w:rsid w:val="2A5534B9"/>
    <w:rsid w:val="2A57508D"/>
    <w:rsid w:val="2A5D2041"/>
    <w:rsid w:val="2A6F2F5D"/>
    <w:rsid w:val="2A713219"/>
    <w:rsid w:val="2A755211"/>
    <w:rsid w:val="2A7A1212"/>
    <w:rsid w:val="2A8A0E3C"/>
    <w:rsid w:val="2A8D0991"/>
    <w:rsid w:val="2A936E4D"/>
    <w:rsid w:val="2A9D36CA"/>
    <w:rsid w:val="2AA1252A"/>
    <w:rsid w:val="2AA37910"/>
    <w:rsid w:val="2AAE121F"/>
    <w:rsid w:val="2AAF72FB"/>
    <w:rsid w:val="2AC309F8"/>
    <w:rsid w:val="2AD80D1A"/>
    <w:rsid w:val="2AE863AE"/>
    <w:rsid w:val="2AF156B3"/>
    <w:rsid w:val="2B0158CD"/>
    <w:rsid w:val="2B0A133F"/>
    <w:rsid w:val="2B50728E"/>
    <w:rsid w:val="2B520F1D"/>
    <w:rsid w:val="2B684964"/>
    <w:rsid w:val="2B687D7B"/>
    <w:rsid w:val="2B694E68"/>
    <w:rsid w:val="2B791766"/>
    <w:rsid w:val="2B7F05AB"/>
    <w:rsid w:val="2B924276"/>
    <w:rsid w:val="2BA32F62"/>
    <w:rsid w:val="2BAD6A07"/>
    <w:rsid w:val="2BB53941"/>
    <w:rsid w:val="2BBE3BE5"/>
    <w:rsid w:val="2BCB64C7"/>
    <w:rsid w:val="2BD92E3F"/>
    <w:rsid w:val="2BD96F73"/>
    <w:rsid w:val="2BDE12CD"/>
    <w:rsid w:val="2BE25A98"/>
    <w:rsid w:val="2BE37625"/>
    <w:rsid w:val="2BE86CA8"/>
    <w:rsid w:val="2BEC7697"/>
    <w:rsid w:val="2BF01660"/>
    <w:rsid w:val="2BF2460D"/>
    <w:rsid w:val="2BF56003"/>
    <w:rsid w:val="2C045AC7"/>
    <w:rsid w:val="2C20470A"/>
    <w:rsid w:val="2C217016"/>
    <w:rsid w:val="2C2F0132"/>
    <w:rsid w:val="2C4A36EA"/>
    <w:rsid w:val="2C550ACB"/>
    <w:rsid w:val="2C571774"/>
    <w:rsid w:val="2C595F36"/>
    <w:rsid w:val="2C5B5F15"/>
    <w:rsid w:val="2C676E85"/>
    <w:rsid w:val="2C825C0E"/>
    <w:rsid w:val="2C837851"/>
    <w:rsid w:val="2C912F01"/>
    <w:rsid w:val="2CA0428D"/>
    <w:rsid w:val="2CA60204"/>
    <w:rsid w:val="2CAB6D99"/>
    <w:rsid w:val="2CC122AF"/>
    <w:rsid w:val="2CC62607"/>
    <w:rsid w:val="2CC90499"/>
    <w:rsid w:val="2CD566E0"/>
    <w:rsid w:val="2CDE1D5D"/>
    <w:rsid w:val="2CE1145B"/>
    <w:rsid w:val="2CEE5D0C"/>
    <w:rsid w:val="2CFB1ACD"/>
    <w:rsid w:val="2CFC166C"/>
    <w:rsid w:val="2D0C4370"/>
    <w:rsid w:val="2D19422F"/>
    <w:rsid w:val="2D1B612E"/>
    <w:rsid w:val="2D272A78"/>
    <w:rsid w:val="2D294D17"/>
    <w:rsid w:val="2D2D77E4"/>
    <w:rsid w:val="2D302844"/>
    <w:rsid w:val="2D340907"/>
    <w:rsid w:val="2D422B39"/>
    <w:rsid w:val="2D4B41B4"/>
    <w:rsid w:val="2D4B565F"/>
    <w:rsid w:val="2D5C7521"/>
    <w:rsid w:val="2D664F53"/>
    <w:rsid w:val="2D7149C3"/>
    <w:rsid w:val="2D747094"/>
    <w:rsid w:val="2D863523"/>
    <w:rsid w:val="2D992C03"/>
    <w:rsid w:val="2DA216C6"/>
    <w:rsid w:val="2DA33153"/>
    <w:rsid w:val="2DAD1E76"/>
    <w:rsid w:val="2DB50AD8"/>
    <w:rsid w:val="2DB653BC"/>
    <w:rsid w:val="2DC83F7E"/>
    <w:rsid w:val="2DFB0C12"/>
    <w:rsid w:val="2E0940C9"/>
    <w:rsid w:val="2E11532A"/>
    <w:rsid w:val="2E2C7B59"/>
    <w:rsid w:val="2E3A7BAD"/>
    <w:rsid w:val="2E5111CF"/>
    <w:rsid w:val="2E512381"/>
    <w:rsid w:val="2E6D0A1B"/>
    <w:rsid w:val="2E7C6418"/>
    <w:rsid w:val="2E896136"/>
    <w:rsid w:val="2E904A45"/>
    <w:rsid w:val="2E921142"/>
    <w:rsid w:val="2E9238C2"/>
    <w:rsid w:val="2E972F4E"/>
    <w:rsid w:val="2E987C9D"/>
    <w:rsid w:val="2EBC2DDB"/>
    <w:rsid w:val="2EDE6676"/>
    <w:rsid w:val="2EDF3C70"/>
    <w:rsid w:val="2EE62071"/>
    <w:rsid w:val="2F181834"/>
    <w:rsid w:val="2F1877C3"/>
    <w:rsid w:val="2F1D3166"/>
    <w:rsid w:val="2F1E4AC6"/>
    <w:rsid w:val="2F3D2575"/>
    <w:rsid w:val="2F4D56BE"/>
    <w:rsid w:val="2F5F6DC2"/>
    <w:rsid w:val="2F634EE2"/>
    <w:rsid w:val="2F715E38"/>
    <w:rsid w:val="2F7313FD"/>
    <w:rsid w:val="2F732A13"/>
    <w:rsid w:val="2F941D65"/>
    <w:rsid w:val="2FA43F61"/>
    <w:rsid w:val="2FA96F2B"/>
    <w:rsid w:val="2FAE669D"/>
    <w:rsid w:val="2FB35201"/>
    <w:rsid w:val="2FBD3AD7"/>
    <w:rsid w:val="2FF9240C"/>
    <w:rsid w:val="2FF946AE"/>
    <w:rsid w:val="2FFD2F9F"/>
    <w:rsid w:val="304537EB"/>
    <w:rsid w:val="304835DA"/>
    <w:rsid w:val="304D1B6D"/>
    <w:rsid w:val="305059B1"/>
    <w:rsid w:val="305E3A75"/>
    <w:rsid w:val="305E47CA"/>
    <w:rsid w:val="30726515"/>
    <w:rsid w:val="308C47E8"/>
    <w:rsid w:val="308D2CDE"/>
    <w:rsid w:val="30904197"/>
    <w:rsid w:val="30972D75"/>
    <w:rsid w:val="309A496D"/>
    <w:rsid w:val="30A413BA"/>
    <w:rsid w:val="30AC2D28"/>
    <w:rsid w:val="30BB31C8"/>
    <w:rsid w:val="30BC2C33"/>
    <w:rsid w:val="30C0620D"/>
    <w:rsid w:val="30CF2B57"/>
    <w:rsid w:val="30D34409"/>
    <w:rsid w:val="30DC76BD"/>
    <w:rsid w:val="30E43E01"/>
    <w:rsid w:val="30FD59F3"/>
    <w:rsid w:val="30FE700B"/>
    <w:rsid w:val="3120701A"/>
    <w:rsid w:val="312316A3"/>
    <w:rsid w:val="312C5189"/>
    <w:rsid w:val="31305298"/>
    <w:rsid w:val="313B489A"/>
    <w:rsid w:val="315238A4"/>
    <w:rsid w:val="31551F9A"/>
    <w:rsid w:val="315C56BE"/>
    <w:rsid w:val="315D6C8B"/>
    <w:rsid w:val="316546A0"/>
    <w:rsid w:val="316D71E4"/>
    <w:rsid w:val="317E2405"/>
    <w:rsid w:val="31802A8F"/>
    <w:rsid w:val="3181495E"/>
    <w:rsid w:val="318B193E"/>
    <w:rsid w:val="31931ABF"/>
    <w:rsid w:val="31A10BF5"/>
    <w:rsid w:val="31A55C86"/>
    <w:rsid w:val="31A970A8"/>
    <w:rsid w:val="31AB1E21"/>
    <w:rsid w:val="31B5579D"/>
    <w:rsid w:val="31B75CB4"/>
    <w:rsid w:val="31BE052E"/>
    <w:rsid w:val="31CA483D"/>
    <w:rsid w:val="31D156FC"/>
    <w:rsid w:val="31F434C6"/>
    <w:rsid w:val="320475C1"/>
    <w:rsid w:val="320F2803"/>
    <w:rsid w:val="321043B9"/>
    <w:rsid w:val="32164D38"/>
    <w:rsid w:val="3220530C"/>
    <w:rsid w:val="322713CA"/>
    <w:rsid w:val="322A670F"/>
    <w:rsid w:val="32432616"/>
    <w:rsid w:val="3243394A"/>
    <w:rsid w:val="324C6483"/>
    <w:rsid w:val="324E5E77"/>
    <w:rsid w:val="32522469"/>
    <w:rsid w:val="32776BA9"/>
    <w:rsid w:val="327B2A0D"/>
    <w:rsid w:val="329D3CFC"/>
    <w:rsid w:val="32B45676"/>
    <w:rsid w:val="32C5561F"/>
    <w:rsid w:val="32DC084A"/>
    <w:rsid w:val="32E12CEE"/>
    <w:rsid w:val="32E34CE2"/>
    <w:rsid w:val="32F669C8"/>
    <w:rsid w:val="33001B7A"/>
    <w:rsid w:val="331535A7"/>
    <w:rsid w:val="33182DFB"/>
    <w:rsid w:val="331A0CC8"/>
    <w:rsid w:val="331A7AF8"/>
    <w:rsid w:val="33226E62"/>
    <w:rsid w:val="3324614F"/>
    <w:rsid w:val="33547948"/>
    <w:rsid w:val="335F2062"/>
    <w:rsid w:val="33686602"/>
    <w:rsid w:val="3369637D"/>
    <w:rsid w:val="336A7882"/>
    <w:rsid w:val="33842ECB"/>
    <w:rsid w:val="33884E93"/>
    <w:rsid w:val="339771F4"/>
    <w:rsid w:val="339B1393"/>
    <w:rsid w:val="33B71F93"/>
    <w:rsid w:val="33BF2903"/>
    <w:rsid w:val="33CD6404"/>
    <w:rsid w:val="33CF2301"/>
    <w:rsid w:val="33D354D0"/>
    <w:rsid w:val="33D46EDF"/>
    <w:rsid w:val="33EE148C"/>
    <w:rsid w:val="33EF3CEA"/>
    <w:rsid w:val="33F07711"/>
    <w:rsid w:val="33FC203D"/>
    <w:rsid w:val="3406286A"/>
    <w:rsid w:val="34222A44"/>
    <w:rsid w:val="343E41D2"/>
    <w:rsid w:val="345B1B4D"/>
    <w:rsid w:val="3464291B"/>
    <w:rsid w:val="34840E64"/>
    <w:rsid w:val="34890588"/>
    <w:rsid w:val="34910F9E"/>
    <w:rsid w:val="34911926"/>
    <w:rsid w:val="34927084"/>
    <w:rsid w:val="349928CF"/>
    <w:rsid w:val="34A76BD5"/>
    <w:rsid w:val="34AF3A6D"/>
    <w:rsid w:val="34B64338"/>
    <w:rsid w:val="34BD011B"/>
    <w:rsid w:val="34CD4B64"/>
    <w:rsid w:val="34D72B0D"/>
    <w:rsid w:val="34DC640B"/>
    <w:rsid w:val="34DF5BDE"/>
    <w:rsid w:val="34EE06B7"/>
    <w:rsid w:val="34F24CD0"/>
    <w:rsid w:val="34FD7410"/>
    <w:rsid w:val="35020CF9"/>
    <w:rsid w:val="351A6043"/>
    <w:rsid w:val="351C0EA2"/>
    <w:rsid w:val="351C625F"/>
    <w:rsid w:val="351D3D85"/>
    <w:rsid w:val="35236897"/>
    <w:rsid w:val="3525520B"/>
    <w:rsid w:val="35255512"/>
    <w:rsid w:val="35280DC0"/>
    <w:rsid w:val="3542168B"/>
    <w:rsid w:val="35461EBC"/>
    <w:rsid w:val="354716FF"/>
    <w:rsid w:val="354D7F75"/>
    <w:rsid w:val="354E7EA3"/>
    <w:rsid w:val="355A12E4"/>
    <w:rsid w:val="355F7EFA"/>
    <w:rsid w:val="35605956"/>
    <w:rsid w:val="35756336"/>
    <w:rsid w:val="3585603E"/>
    <w:rsid w:val="358D25A9"/>
    <w:rsid w:val="358D30B5"/>
    <w:rsid w:val="358F21E7"/>
    <w:rsid w:val="35914AC1"/>
    <w:rsid w:val="35921F18"/>
    <w:rsid w:val="359706D2"/>
    <w:rsid w:val="35A16764"/>
    <w:rsid w:val="35A303EA"/>
    <w:rsid w:val="35A80566"/>
    <w:rsid w:val="35AA4F6C"/>
    <w:rsid w:val="35BE2E72"/>
    <w:rsid w:val="35F73CF2"/>
    <w:rsid w:val="360407DE"/>
    <w:rsid w:val="361E461E"/>
    <w:rsid w:val="362236CD"/>
    <w:rsid w:val="364D069A"/>
    <w:rsid w:val="36507137"/>
    <w:rsid w:val="365628C0"/>
    <w:rsid w:val="365D071B"/>
    <w:rsid w:val="365E4E53"/>
    <w:rsid w:val="36657792"/>
    <w:rsid w:val="36741C91"/>
    <w:rsid w:val="367451EA"/>
    <w:rsid w:val="36745F37"/>
    <w:rsid w:val="368220F2"/>
    <w:rsid w:val="36826C73"/>
    <w:rsid w:val="368C5779"/>
    <w:rsid w:val="36943485"/>
    <w:rsid w:val="369D3512"/>
    <w:rsid w:val="36AD7FE4"/>
    <w:rsid w:val="36B54F4A"/>
    <w:rsid w:val="36B6196C"/>
    <w:rsid w:val="36C4252E"/>
    <w:rsid w:val="36D01095"/>
    <w:rsid w:val="36DA2FB5"/>
    <w:rsid w:val="36E1641D"/>
    <w:rsid w:val="36E6311A"/>
    <w:rsid w:val="36E905F8"/>
    <w:rsid w:val="36F13492"/>
    <w:rsid w:val="36FD3CFD"/>
    <w:rsid w:val="37024C59"/>
    <w:rsid w:val="370A2947"/>
    <w:rsid w:val="370F2612"/>
    <w:rsid w:val="37101BB1"/>
    <w:rsid w:val="371C0798"/>
    <w:rsid w:val="37237B4D"/>
    <w:rsid w:val="3729161C"/>
    <w:rsid w:val="372F0DF2"/>
    <w:rsid w:val="373677D5"/>
    <w:rsid w:val="37421881"/>
    <w:rsid w:val="37433BFB"/>
    <w:rsid w:val="37471BEF"/>
    <w:rsid w:val="37563B82"/>
    <w:rsid w:val="376712E7"/>
    <w:rsid w:val="376923BA"/>
    <w:rsid w:val="37733813"/>
    <w:rsid w:val="377C7E0E"/>
    <w:rsid w:val="378823DF"/>
    <w:rsid w:val="378E20BB"/>
    <w:rsid w:val="37941218"/>
    <w:rsid w:val="37945822"/>
    <w:rsid w:val="37990A35"/>
    <w:rsid w:val="37A12891"/>
    <w:rsid w:val="37AD65C6"/>
    <w:rsid w:val="37BB0FD8"/>
    <w:rsid w:val="37C35F96"/>
    <w:rsid w:val="37C4673A"/>
    <w:rsid w:val="37CA1A7A"/>
    <w:rsid w:val="37D31ED9"/>
    <w:rsid w:val="37E35871"/>
    <w:rsid w:val="37F5270D"/>
    <w:rsid w:val="37FE10B8"/>
    <w:rsid w:val="37FE7227"/>
    <w:rsid w:val="380B32C6"/>
    <w:rsid w:val="381309C6"/>
    <w:rsid w:val="3827564E"/>
    <w:rsid w:val="38341B70"/>
    <w:rsid w:val="386211A0"/>
    <w:rsid w:val="38774AC4"/>
    <w:rsid w:val="387A2AEC"/>
    <w:rsid w:val="38980B25"/>
    <w:rsid w:val="38B676A5"/>
    <w:rsid w:val="38B91722"/>
    <w:rsid w:val="38F86829"/>
    <w:rsid w:val="39097304"/>
    <w:rsid w:val="39205BF2"/>
    <w:rsid w:val="3922196A"/>
    <w:rsid w:val="392502E5"/>
    <w:rsid w:val="393741B4"/>
    <w:rsid w:val="39531710"/>
    <w:rsid w:val="395D3D25"/>
    <w:rsid w:val="395F496C"/>
    <w:rsid w:val="396804A8"/>
    <w:rsid w:val="396B3903"/>
    <w:rsid w:val="397074D5"/>
    <w:rsid w:val="397321C6"/>
    <w:rsid w:val="397B405B"/>
    <w:rsid w:val="397D525A"/>
    <w:rsid w:val="39965EB4"/>
    <w:rsid w:val="39981BEB"/>
    <w:rsid w:val="39AC75EE"/>
    <w:rsid w:val="39B916DF"/>
    <w:rsid w:val="39BB0FFD"/>
    <w:rsid w:val="39DC2DAA"/>
    <w:rsid w:val="39DD0D52"/>
    <w:rsid w:val="39E33868"/>
    <w:rsid w:val="39E81252"/>
    <w:rsid w:val="39ED01CA"/>
    <w:rsid w:val="39EE69BC"/>
    <w:rsid w:val="39F01DE6"/>
    <w:rsid w:val="39F24125"/>
    <w:rsid w:val="39F458C7"/>
    <w:rsid w:val="39FC21BB"/>
    <w:rsid w:val="3A00359B"/>
    <w:rsid w:val="3A052798"/>
    <w:rsid w:val="3A24028F"/>
    <w:rsid w:val="3A3718D6"/>
    <w:rsid w:val="3A4660AA"/>
    <w:rsid w:val="3A5E3659"/>
    <w:rsid w:val="3A602D2B"/>
    <w:rsid w:val="3A64520B"/>
    <w:rsid w:val="3A750770"/>
    <w:rsid w:val="3A7D3282"/>
    <w:rsid w:val="3A83468A"/>
    <w:rsid w:val="3A9F77C4"/>
    <w:rsid w:val="3AE8089A"/>
    <w:rsid w:val="3AF20ADE"/>
    <w:rsid w:val="3AFB240E"/>
    <w:rsid w:val="3AFD5CD9"/>
    <w:rsid w:val="3B1919AB"/>
    <w:rsid w:val="3B246193"/>
    <w:rsid w:val="3B2C4003"/>
    <w:rsid w:val="3B2C4D22"/>
    <w:rsid w:val="3B322AFF"/>
    <w:rsid w:val="3B340B6C"/>
    <w:rsid w:val="3B3616FD"/>
    <w:rsid w:val="3B5E09F6"/>
    <w:rsid w:val="3B6B12B0"/>
    <w:rsid w:val="3B790184"/>
    <w:rsid w:val="3B88270F"/>
    <w:rsid w:val="3B8C153A"/>
    <w:rsid w:val="3B8F24B5"/>
    <w:rsid w:val="3BAB27D1"/>
    <w:rsid w:val="3BAD7364"/>
    <w:rsid w:val="3BBB22A6"/>
    <w:rsid w:val="3BBE60C2"/>
    <w:rsid w:val="3BC34952"/>
    <w:rsid w:val="3BCB0097"/>
    <w:rsid w:val="3BCB453B"/>
    <w:rsid w:val="3BE01FA9"/>
    <w:rsid w:val="3BE82D14"/>
    <w:rsid w:val="3BEA7FE9"/>
    <w:rsid w:val="3BFC2F3F"/>
    <w:rsid w:val="3C05618E"/>
    <w:rsid w:val="3C0C5C53"/>
    <w:rsid w:val="3C25022E"/>
    <w:rsid w:val="3C2C06BD"/>
    <w:rsid w:val="3C343788"/>
    <w:rsid w:val="3C435976"/>
    <w:rsid w:val="3C5B4206"/>
    <w:rsid w:val="3C64645A"/>
    <w:rsid w:val="3C656018"/>
    <w:rsid w:val="3C667DB0"/>
    <w:rsid w:val="3C6C06DF"/>
    <w:rsid w:val="3C7B68BB"/>
    <w:rsid w:val="3C7E695B"/>
    <w:rsid w:val="3C8A4CBA"/>
    <w:rsid w:val="3C8D11AD"/>
    <w:rsid w:val="3C946D71"/>
    <w:rsid w:val="3CAE79D6"/>
    <w:rsid w:val="3CB369E7"/>
    <w:rsid w:val="3CB83945"/>
    <w:rsid w:val="3CC106AE"/>
    <w:rsid w:val="3CCE5337"/>
    <w:rsid w:val="3CDA3E5E"/>
    <w:rsid w:val="3D0A559A"/>
    <w:rsid w:val="3D1E14E7"/>
    <w:rsid w:val="3D255602"/>
    <w:rsid w:val="3D3A558F"/>
    <w:rsid w:val="3D3C3A49"/>
    <w:rsid w:val="3D3D225B"/>
    <w:rsid w:val="3D577E3C"/>
    <w:rsid w:val="3D6C3114"/>
    <w:rsid w:val="3D7A74DC"/>
    <w:rsid w:val="3D7E5C88"/>
    <w:rsid w:val="3D8252C4"/>
    <w:rsid w:val="3D89645B"/>
    <w:rsid w:val="3D8C2AD7"/>
    <w:rsid w:val="3D901D9C"/>
    <w:rsid w:val="3D996C27"/>
    <w:rsid w:val="3D9B0069"/>
    <w:rsid w:val="3D9E48C4"/>
    <w:rsid w:val="3DD017C1"/>
    <w:rsid w:val="3DD27FEA"/>
    <w:rsid w:val="3DDB77FC"/>
    <w:rsid w:val="3DEF7094"/>
    <w:rsid w:val="3DFF3C37"/>
    <w:rsid w:val="3E0445FE"/>
    <w:rsid w:val="3E173072"/>
    <w:rsid w:val="3E3B08E6"/>
    <w:rsid w:val="3E3F581A"/>
    <w:rsid w:val="3E50322D"/>
    <w:rsid w:val="3E6C643E"/>
    <w:rsid w:val="3E7919F5"/>
    <w:rsid w:val="3E830253"/>
    <w:rsid w:val="3E883052"/>
    <w:rsid w:val="3E8950E5"/>
    <w:rsid w:val="3EA13331"/>
    <w:rsid w:val="3EA82911"/>
    <w:rsid w:val="3EAB50B7"/>
    <w:rsid w:val="3EB41A1A"/>
    <w:rsid w:val="3EC571FD"/>
    <w:rsid w:val="3ECF0CFF"/>
    <w:rsid w:val="3EEB4417"/>
    <w:rsid w:val="3EFC73B7"/>
    <w:rsid w:val="3F016450"/>
    <w:rsid w:val="3F082623"/>
    <w:rsid w:val="3F304E08"/>
    <w:rsid w:val="3F3D4A3D"/>
    <w:rsid w:val="3F3F4D49"/>
    <w:rsid w:val="3F4E2855"/>
    <w:rsid w:val="3F517949"/>
    <w:rsid w:val="3F537D57"/>
    <w:rsid w:val="3F5F0663"/>
    <w:rsid w:val="3F733AE9"/>
    <w:rsid w:val="3F7722E4"/>
    <w:rsid w:val="3F88009A"/>
    <w:rsid w:val="3F8A5A5C"/>
    <w:rsid w:val="3F976986"/>
    <w:rsid w:val="3F9D725A"/>
    <w:rsid w:val="3F9E25CD"/>
    <w:rsid w:val="3FA708C6"/>
    <w:rsid w:val="3FAC46C9"/>
    <w:rsid w:val="3FB528EC"/>
    <w:rsid w:val="3FBE264C"/>
    <w:rsid w:val="3FC04688"/>
    <w:rsid w:val="3FC35C6C"/>
    <w:rsid w:val="3FCC35A6"/>
    <w:rsid w:val="3FCE355B"/>
    <w:rsid w:val="3FDB2873"/>
    <w:rsid w:val="3FE0432D"/>
    <w:rsid w:val="3FF94E2C"/>
    <w:rsid w:val="40035149"/>
    <w:rsid w:val="400351B4"/>
    <w:rsid w:val="4005743D"/>
    <w:rsid w:val="4010775A"/>
    <w:rsid w:val="40125316"/>
    <w:rsid w:val="4013337A"/>
    <w:rsid w:val="40143DF8"/>
    <w:rsid w:val="40212F54"/>
    <w:rsid w:val="40266073"/>
    <w:rsid w:val="40396DA6"/>
    <w:rsid w:val="40470673"/>
    <w:rsid w:val="404A3285"/>
    <w:rsid w:val="404A445A"/>
    <w:rsid w:val="404A52B1"/>
    <w:rsid w:val="405E23E3"/>
    <w:rsid w:val="406E3A13"/>
    <w:rsid w:val="40863AC3"/>
    <w:rsid w:val="409A1F76"/>
    <w:rsid w:val="40A219AE"/>
    <w:rsid w:val="40B576E7"/>
    <w:rsid w:val="40B70D19"/>
    <w:rsid w:val="40C24133"/>
    <w:rsid w:val="40CA5AEE"/>
    <w:rsid w:val="40DC4E34"/>
    <w:rsid w:val="40E260D9"/>
    <w:rsid w:val="40F461DB"/>
    <w:rsid w:val="4103272C"/>
    <w:rsid w:val="410F300B"/>
    <w:rsid w:val="4125450E"/>
    <w:rsid w:val="413041F2"/>
    <w:rsid w:val="41421C8D"/>
    <w:rsid w:val="415119B9"/>
    <w:rsid w:val="416C56EA"/>
    <w:rsid w:val="417007D7"/>
    <w:rsid w:val="41713E0B"/>
    <w:rsid w:val="41744B76"/>
    <w:rsid w:val="417F375C"/>
    <w:rsid w:val="418B7CA8"/>
    <w:rsid w:val="418D19C3"/>
    <w:rsid w:val="41953D1B"/>
    <w:rsid w:val="41BC64D5"/>
    <w:rsid w:val="41DA54BD"/>
    <w:rsid w:val="41E2613A"/>
    <w:rsid w:val="41E8185E"/>
    <w:rsid w:val="41F148BE"/>
    <w:rsid w:val="42084E7C"/>
    <w:rsid w:val="420F79EB"/>
    <w:rsid w:val="421B685C"/>
    <w:rsid w:val="42323D88"/>
    <w:rsid w:val="423F1FDD"/>
    <w:rsid w:val="42435B11"/>
    <w:rsid w:val="42584A8A"/>
    <w:rsid w:val="426116DE"/>
    <w:rsid w:val="42786A51"/>
    <w:rsid w:val="42886EC3"/>
    <w:rsid w:val="429163FD"/>
    <w:rsid w:val="42963474"/>
    <w:rsid w:val="42AA0529"/>
    <w:rsid w:val="42AF2E88"/>
    <w:rsid w:val="42B14668"/>
    <w:rsid w:val="42DF1B53"/>
    <w:rsid w:val="42E414AE"/>
    <w:rsid w:val="42F256CD"/>
    <w:rsid w:val="43171E14"/>
    <w:rsid w:val="431B6658"/>
    <w:rsid w:val="432F53AF"/>
    <w:rsid w:val="43482915"/>
    <w:rsid w:val="435E4B64"/>
    <w:rsid w:val="43636C20"/>
    <w:rsid w:val="436379C5"/>
    <w:rsid w:val="43707776"/>
    <w:rsid w:val="437A14BF"/>
    <w:rsid w:val="438A50B6"/>
    <w:rsid w:val="4399065B"/>
    <w:rsid w:val="43992916"/>
    <w:rsid w:val="43C56BDE"/>
    <w:rsid w:val="43CC5F2C"/>
    <w:rsid w:val="43DA7B28"/>
    <w:rsid w:val="43E234DF"/>
    <w:rsid w:val="43E52CC5"/>
    <w:rsid w:val="43E960F8"/>
    <w:rsid w:val="43EC292D"/>
    <w:rsid w:val="43FC25A4"/>
    <w:rsid w:val="43FF2AD0"/>
    <w:rsid w:val="44052CBA"/>
    <w:rsid w:val="440740E3"/>
    <w:rsid w:val="440954ED"/>
    <w:rsid w:val="440C143D"/>
    <w:rsid w:val="4413082D"/>
    <w:rsid w:val="44142F49"/>
    <w:rsid w:val="441E013E"/>
    <w:rsid w:val="442C7144"/>
    <w:rsid w:val="442D183B"/>
    <w:rsid w:val="443E5A02"/>
    <w:rsid w:val="444A6E63"/>
    <w:rsid w:val="444D5CD5"/>
    <w:rsid w:val="44620E2F"/>
    <w:rsid w:val="44734028"/>
    <w:rsid w:val="4475210F"/>
    <w:rsid w:val="44830EA6"/>
    <w:rsid w:val="44876E52"/>
    <w:rsid w:val="4488274F"/>
    <w:rsid w:val="449D3C54"/>
    <w:rsid w:val="44D41F91"/>
    <w:rsid w:val="44DC2DC4"/>
    <w:rsid w:val="44DD0CDA"/>
    <w:rsid w:val="44DE52DF"/>
    <w:rsid w:val="44E87738"/>
    <w:rsid w:val="44F66110"/>
    <w:rsid w:val="451D4B80"/>
    <w:rsid w:val="4523563D"/>
    <w:rsid w:val="45237196"/>
    <w:rsid w:val="452926E8"/>
    <w:rsid w:val="45340E1B"/>
    <w:rsid w:val="45512375"/>
    <w:rsid w:val="456C6947"/>
    <w:rsid w:val="456D7481"/>
    <w:rsid w:val="45742F08"/>
    <w:rsid w:val="4579370A"/>
    <w:rsid w:val="459C0CF6"/>
    <w:rsid w:val="459D0F13"/>
    <w:rsid w:val="45AE7782"/>
    <w:rsid w:val="45D02B0C"/>
    <w:rsid w:val="45D17124"/>
    <w:rsid w:val="45DB5496"/>
    <w:rsid w:val="45DC4264"/>
    <w:rsid w:val="45DD1335"/>
    <w:rsid w:val="45E21FE7"/>
    <w:rsid w:val="45ED40E2"/>
    <w:rsid w:val="45ED4FA4"/>
    <w:rsid w:val="45F1221E"/>
    <w:rsid w:val="45F262B7"/>
    <w:rsid w:val="45F865A3"/>
    <w:rsid w:val="460A2471"/>
    <w:rsid w:val="460C19D8"/>
    <w:rsid w:val="464D3810"/>
    <w:rsid w:val="464F15EF"/>
    <w:rsid w:val="465511B3"/>
    <w:rsid w:val="46575EC8"/>
    <w:rsid w:val="46584C1D"/>
    <w:rsid w:val="46677ABB"/>
    <w:rsid w:val="46737C6F"/>
    <w:rsid w:val="4693603D"/>
    <w:rsid w:val="469B6A1E"/>
    <w:rsid w:val="46A42DF8"/>
    <w:rsid w:val="46AB02D8"/>
    <w:rsid w:val="46AF2439"/>
    <w:rsid w:val="46BE6BCD"/>
    <w:rsid w:val="46C916D3"/>
    <w:rsid w:val="46CB5C37"/>
    <w:rsid w:val="46D05B31"/>
    <w:rsid w:val="46EE0EDA"/>
    <w:rsid w:val="46F9303C"/>
    <w:rsid w:val="47094169"/>
    <w:rsid w:val="47154453"/>
    <w:rsid w:val="47210AB5"/>
    <w:rsid w:val="47355090"/>
    <w:rsid w:val="47423169"/>
    <w:rsid w:val="474336A4"/>
    <w:rsid w:val="47482A84"/>
    <w:rsid w:val="475048B6"/>
    <w:rsid w:val="47583D74"/>
    <w:rsid w:val="475F36B2"/>
    <w:rsid w:val="477D6967"/>
    <w:rsid w:val="479653C5"/>
    <w:rsid w:val="47A26A3C"/>
    <w:rsid w:val="47B53536"/>
    <w:rsid w:val="47B72BD9"/>
    <w:rsid w:val="47BE24AA"/>
    <w:rsid w:val="47BF7E31"/>
    <w:rsid w:val="47CA0AC9"/>
    <w:rsid w:val="47D7253A"/>
    <w:rsid w:val="47E2428C"/>
    <w:rsid w:val="47E77A11"/>
    <w:rsid w:val="47E83C04"/>
    <w:rsid w:val="47EE5734"/>
    <w:rsid w:val="47FB2D21"/>
    <w:rsid w:val="480E07D8"/>
    <w:rsid w:val="481C6DA3"/>
    <w:rsid w:val="482B24EA"/>
    <w:rsid w:val="4860425D"/>
    <w:rsid w:val="486924B1"/>
    <w:rsid w:val="487735EE"/>
    <w:rsid w:val="487970CD"/>
    <w:rsid w:val="488A2EB7"/>
    <w:rsid w:val="48902B3C"/>
    <w:rsid w:val="48931F3C"/>
    <w:rsid w:val="48A326ED"/>
    <w:rsid w:val="48AB58C3"/>
    <w:rsid w:val="48AF1997"/>
    <w:rsid w:val="48B013B1"/>
    <w:rsid w:val="48C03C76"/>
    <w:rsid w:val="48C4391C"/>
    <w:rsid w:val="48C775B3"/>
    <w:rsid w:val="48C93E5F"/>
    <w:rsid w:val="48CB3363"/>
    <w:rsid w:val="48EB6461"/>
    <w:rsid w:val="48F10FE7"/>
    <w:rsid w:val="48F7551F"/>
    <w:rsid w:val="48FD2C21"/>
    <w:rsid w:val="48FF04F9"/>
    <w:rsid w:val="4903586B"/>
    <w:rsid w:val="49057B88"/>
    <w:rsid w:val="49131BB2"/>
    <w:rsid w:val="49160122"/>
    <w:rsid w:val="49186988"/>
    <w:rsid w:val="492822E2"/>
    <w:rsid w:val="49284D7B"/>
    <w:rsid w:val="492E4E74"/>
    <w:rsid w:val="4931444D"/>
    <w:rsid w:val="494F46CF"/>
    <w:rsid w:val="4961011A"/>
    <w:rsid w:val="497751F7"/>
    <w:rsid w:val="499A2986"/>
    <w:rsid w:val="499F7F0B"/>
    <w:rsid w:val="49A200E2"/>
    <w:rsid w:val="49A72FB2"/>
    <w:rsid w:val="49AD58E5"/>
    <w:rsid w:val="49B133BD"/>
    <w:rsid w:val="49B75190"/>
    <w:rsid w:val="49C72642"/>
    <w:rsid w:val="49CC519F"/>
    <w:rsid w:val="49D60DA0"/>
    <w:rsid w:val="49DC64FA"/>
    <w:rsid w:val="49DD13EB"/>
    <w:rsid w:val="49E07403"/>
    <w:rsid w:val="49EA6878"/>
    <w:rsid w:val="49EB5D1F"/>
    <w:rsid w:val="49F15863"/>
    <w:rsid w:val="49F242C9"/>
    <w:rsid w:val="49F44FF0"/>
    <w:rsid w:val="4A030844"/>
    <w:rsid w:val="4A0D7F42"/>
    <w:rsid w:val="4A130CD4"/>
    <w:rsid w:val="4A1B647C"/>
    <w:rsid w:val="4A2A2D74"/>
    <w:rsid w:val="4A2B6F2D"/>
    <w:rsid w:val="4A2F4A4D"/>
    <w:rsid w:val="4A541C13"/>
    <w:rsid w:val="4A7D7215"/>
    <w:rsid w:val="4A845BD3"/>
    <w:rsid w:val="4A8D52FB"/>
    <w:rsid w:val="4A8D56DE"/>
    <w:rsid w:val="4A9E3173"/>
    <w:rsid w:val="4A9F7430"/>
    <w:rsid w:val="4AAA2B34"/>
    <w:rsid w:val="4AAC5368"/>
    <w:rsid w:val="4AB27A6D"/>
    <w:rsid w:val="4AB33A2C"/>
    <w:rsid w:val="4AB47A12"/>
    <w:rsid w:val="4AB538C9"/>
    <w:rsid w:val="4ABE260E"/>
    <w:rsid w:val="4AC507B2"/>
    <w:rsid w:val="4ACF0F07"/>
    <w:rsid w:val="4AD66CD6"/>
    <w:rsid w:val="4AD74653"/>
    <w:rsid w:val="4AE07DFB"/>
    <w:rsid w:val="4AE23121"/>
    <w:rsid w:val="4AEC627C"/>
    <w:rsid w:val="4AEE16B8"/>
    <w:rsid w:val="4AEF24ED"/>
    <w:rsid w:val="4AF96CB6"/>
    <w:rsid w:val="4AFB201B"/>
    <w:rsid w:val="4AFD5169"/>
    <w:rsid w:val="4B093295"/>
    <w:rsid w:val="4B0C06DC"/>
    <w:rsid w:val="4B184095"/>
    <w:rsid w:val="4B2043B8"/>
    <w:rsid w:val="4B285F31"/>
    <w:rsid w:val="4B2E3AD0"/>
    <w:rsid w:val="4B406692"/>
    <w:rsid w:val="4B460DF2"/>
    <w:rsid w:val="4B492A3B"/>
    <w:rsid w:val="4B497029"/>
    <w:rsid w:val="4B5C74E9"/>
    <w:rsid w:val="4B5F3ED9"/>
    <w:rsid w:val="4B605F8F"/>
    <w:rsid w:val="4B634726"/>
    <w:rsid w:val="4B7D0C82"/>
    <w:rsid w:val="4B8671D2"/>
    <w:rsid w:val="4B8F6E14"/>
    <w:rsid w:val="4B951AD0"/>
    <w:rsid w:val="4B9809FD"/>
    <w:rsid w:val="4BB0472C"/>
    <w:rsid w:val="4BB30D0B"/>
    <w:rsid w:val="4BB41CBD"/>
    <w:rsid w:val="4BBB33A6"/>
    <w:rsid w:val="4BBE46DB"/>
    <w:rsid w:val="4BC472D1"/>
    <w:rsid w:val="4BC54E66"/>
    <w:rsid w:val="4BC863A1"/>
    <w:rsid w:val="4BCD57A7"/>
    <w:rsid w:val="4BCF788F"/>
    <w:rsid w:val="4BD84E75"/>
    <w:rsid w:val="4BDC5224"/>
    <w:rsid w:val="4BE60A31"/>
    <w:rsid w:val="4BE76065"/>
    <w:rsid w:val="4BEA3BEA"/>
    <w:rsid w:val="4BEC4DB3"/>
    <w:rsid w:val="4BF149C3"/>
    <w:rsid w:val="4BF9780B"/>
    <w:rsid w:val="4BFA4125"/>
    <w:rsid w:val="4C020E7B"/>
    <w:rsid w:val="4C23448B"/>
    <w:rsid w:val="4C252331"/>
    <w:rsid w:val="4C345224"/>
    <w:rsid w:val="4C4C2771"/>
    <w:rsid w:val="4C543B22"/>
    <w:rsid w:val="4C5566D7"/>
    <w:rsid w:val="4C644E8C"/>
    <w:rsid w:val="4C742D40"/>
    <w:rsid w:val="4C746C1E"/>
    <w:rsid w:val="4C7C48A7"/>
    <w:rsid w:val="4C7C506B"/>
    <w:rsid w:val="4CA87F80"/>
    <w:rsid w:val="4CBB0A14"/>
    <w:rsid w:val="4CC208D3"/>
    <w:rsid w:val="4CCB4740"/>
    <w:rsid w:val="4CCD1A64"/>
    <w:rsid w:val="4CD251A8"/>
    <w:rsid w:val="4CD52E3E"/>
    <w:rsid w:val="4CE57A8E"/>
    <w:rsid w:val="4CFB55CD"/>
    <w:rsid w:val="4D072D79"/>
    <w:rsid w:val="4D145D5B"/>
    <w:rsid w:val="4D17778C"/>
    <w:rsid w:val="4D281D25"/>
    <w:rsid w:val="4D2C015A"/>
    <w:rsid w:val="4D473BE7"/>
    <w:rsid w:val="4D5544C8"/>
    <w:rsid w:val="4D616AAD"/>
    <w:rsid w:val="4D692A8F"/>
    <w:rsid w:val="4D700D45"/>
    <w:rsid w:val="4D73778C"/>
    <w:rsid w:val="4D745DFC"/>
    <w:rsid w:val="4D8663D0"/>
    <w:rsid w:val="4D8F10BC"/>
    <w:rsid w:val="4D8F631A"/>
    <w:rsid w:val="4D987A0C"/>
    <w:rsid w:val="4DA2170E"/>
    <w:rsid w:val="4DA226DD"/>
    <w:rsid w:val="4DBC6884"/>
    <w:rsid w:val="4DEE07CD"/>
    <w:rsid w:val="4DF010A0"/>
    <w:rsid w:val="4DF633EF"/>
    <w:rsid w:val="4E0361F9"/>
    <w:rsid w:val="4E096E2C"/>
    <w:rsid w:val="4E0B4471"/>
    <w:rsid w:val="4E131941"/>
    <w:rsid w:val="4E34712A"/>
    <w:rsid w:val="4E37534F"/>
    <w:rsid w:val="4E3A1C2D"/>
    <w:rsid w:val="4E3C38DB"/>
    <w:rsid w:val="4E463A07"/>
    <w:rsid w:val="4E4923F9"/>
    <w:rsid w:val="4E4F7006"/>
    <w:rsid w:val="4E567965"/>
    <w:rsid w:val="4E5858C8"/>
    <w:rsid w:val="4E5879FD"/>
    <w:rsid w:val="4E5B246B"/>
    <w:rsid w:val="4E6A6162"/>
    <w:rsid w:val="4E6A7AAB"/>
    <w:rsid w:val="4E6F7F3D"/>
    <w:rsid w:val="4E77126F"/>
    <w:rsid w:val="4E870CEC"/>
    <w:rsid w:val="4E932227"/>
    <w:rsid w:val="4E951779"/>
    <w:rsid w:val="4E9D5E6B"/>
    <w:rsid w:val="4EA310EA"/>
    <w:rsid w:val="4EAB5E7F"/>
    <w:rsid w:val="4EAB7B87"/>
    <w:rsid w:val="4EB27D68"/>
    <w:rsid w:val="4EB5456F"/>
    <w:rsid w:val="4EB94173"/>
    <w:rsid w:val="4ECA4D18"/>
    <w:rsid w:val="4ED34D61"/>
    <w:rsid w:val="4EDD4F23"/>
    <w:rsid w:val="4EDE2A17"/>
    <w:rsid w:val="4EDE412D"/>
    <w:rsid w:val="4EE44BE8"/>
    <w:rsid w:val="4EF82C0F"/>
    <w:rsid w:val="4F1705ED"/>
    <w:rsid w:val="4F1B405C"/>
    <w:rsid w:val="4F221450"/>
    <w:rsid w:val="4F2950ED"/>
    <w:rsid w:val="4F39547D"/>
    <w:rsid w:val="4F5831BF"/>
    <w:rsid w:val="4F5E50E8"/>
    <w:rsid w:val="4F6065C7"/>
    <w:rsid w:val="4F67737B"/>
    <w:rsid w:val="4F766114"/>
    <w:rsid w:val="4F7C258C"/>
    <w:rsid w:val="4F944AF3"/>
    <w:rsid w:val="4F9B48E0"/>
    <w:rsid w:val="4FB547BF"/>
    <w:rsid w:val="4FD46E5C"/>
    <w:rsid w:val="4FD518A8"/>
    <w:rsid w:val="4FDA66A3"/>
    <w:rsid w:val="4FDA7262"/>
    <w:rsid w:val="4FDC477D"/>
    <w:rsid w:val="4FF7433D"/>
    <w:rsid w:val="4FFB4A12"/>
    <w:rsid w:val="4FFB53F6"/>
    <w:rsid w:val="500B08C0"/>
    <w:rsid w:val="50136893"/>
    <w:rsid w:val="50187BDC"/>
    <w:rsid w:val="501A6B51"/>
    <w:rsid w:val="50271C76"/>
    <w:rsid w:val="503754C6"/>
    <w:rsid w:val="50403AD2"/>
    <w:rsid w:val="50435E55"/>
    <w:rsid w:val="50486282"/>
    <w:rsid w:val="50511B72"/>
    <w:rsid w:val="50693BBD"/>
    <w:rsid w:val="506B0124"/>
    <w:rsid w:val="506F18E4"/>
    <w:rsid w:val="50700EA1"/>
    <w:rsid w:val="50795EBC"/>
    <w:rsid w:val="508D1967"/>
    <w:rsid w:val="50AC504D"/>
    <w:rsid w:val="50B109AF"/>
    <w:rsid w:val="50B9275C"/>
    <w:rsid w:val="50B96C00"/>
    <w:rsid w:val="50C9265F"/>
    <w:rsid w:val="50C954CC"/>
    <w:rsid w:val="50CF5EBE"/>
    <w:rsid w:val="50D856A5"/>
    <w:rsid w:val="50E20B5E"/>
    <w:rsid w:val="5128530D"/>
    <w:rsid w:val="512C2F2E"/>
    <w:rsid w:val="513A20EB"/>
    <w:rsid w:val="51475B9B"/>
    <w:rsid w:val="514F764A"/>
    <w:rsid w:val="515446F4"/>
    <w:rsid w:val="515C44D2"/>
    <w:rsid w:val="51607C8A"/>
    <w:rsid w:val="51646F20"/>
    <w:rsid w:val="51694C80"/>
    <w:rsid w:val="5173358C"/>
    <w:rsid w:val="51776126"/>
    <w:rsid w:val="51837B55"/>
    <w:rsid w:val="51866838"/>
    <w:rsid w:val="518F457C"/>
    <w:rsid w:val="51917235"/>
    <w:rsid w:val="519E06BD"/>
    <w:rsid w:val="51A13D0B"/>
    <w:rsid w:val="51A94649"/>
    <w:rsid w:val="51AD7117"/>
    <w:rsid w:val="51B71FD1"/>
    <w:rsid w:val="51BA3A7E"/>
    <w:rsid w:val="51CD59F0"/>
    <w:rsid w:val="51D37172"/>
    <w:rsid w:val="51DA6316"/>
    <w:rsid w:val="51FE1BA6"/>
    <w:rsid w:val="51FF0643"/>
    <w:rsid w:val="52115C1C"/>
    <w:rsid w:val="521E385D"/>
    <w:rsid w:val="521F3230"/>
    <w:rsid w:val="522A6D57"/>
    <w:rsid w:val="522F077A"/>
    <w:rsid w:val="52306B3C"/>
    <w:rsid w:val="524E1C99"/>
    <w:rsid w:val="525700F4"/>
    <w:rsid w:val="525A5EFE"/>
    <w:rsid w:val="526724C9"/>
    <w:rsid w:val="52692625"/>
    <w:rsid w:val="527E1DD7"/>
    <w:rsid w:val="527F727E"/>
    <w:rsid w:val="52983A2D"/>
    <w:rsid w:val="52993E93"/>
    <w:rsid w:val="529E0439"/>
    <w:rsid w:val="52A802A4"/>
    <w:rsid w:val="52A835F0"/>
    <w:rsid w:val="52AB626E"/>
    <w:rsid w:val="52AC20F1"/>
    <w:rsid w:val="52BD4667"/>
    <w:rsid w:val="52C4650C"/>
    <w:rsid w:val="52C75BB0"/>
    <w:rsid w:val="52C9432D"/>
    <w:rsid w:val="52D16FF2"/>
    <w:rsid w:val="52DB5A3F"/>
    <w:rsid w:val="52DC0984"/>
    <w:rsid w:val="52E674BE"/>
    <w:rsid w:val="52EC48FA"/>
    <w:rsid w:val="53005A6E"/>
    <w:rsid w:val="53057EDB"/>
    <w:rsid w:val="530748DF"/>
    <w:rsid w:val="53204D14"/>
    <w:rsid w:val="53222E14"/>
    <w:rsid w:val="53300FB6"/>
    <w:rsid w:val="533019DA"/>
    <w:rsid w:val="53430A03"/>
    <w:rsid w:val="53475D3A"/>
    <w:rsid w:val="53655A80"/>
    <w:rsid w:val="538B42DE"/>
    <w:rsid w:val="53993286"/>
    <w:rsid w:val="539E6AA6"/>
    <w:rsid w:val="53A60DD5"/>
    <w:rsid w:val="53A87967"/>
    <w:rsid w:val="53AE0572"/>
    <w:rsid w:val="53C22CCA"/>
    <w:rsid w:val="53C6271B"/>
    <w:rsid w:val="53CC5E1A"/>
    <w:rsid w:val="53D127E7"/>
    <w:rsid w:val="53DC7670"/>
    <w:rsid w:val="53E03B1E"/>
    <w:rsid w:val="53EC1861"/>
    <w:rsid w:val="53F76048"/>
    <w:rsid w:val="542F35D9"/>
    <w:rsid w:val="542F444C"/>
    <w:rsid w:val="5434239B"/>
    <w:rsid w:val="543643DA"/>
    <w:rsid w:val="543876E2"/>
    <w:rsid w:val="543A3C6A"/>
    <w:rsid w:val="543C7CB2"/>
    <w:rsid w:val="54576514"/>
    <w:rsid w:val="545F6B68"/>
    <w:rsid w:val="54703B76"/>
    <w:rsid w:val="548D7640"/>
    <w:rsid w:val="54AF37EA"/>
    <w:rsid w:val="54C0023A"/>
    <w:rsid w:val="54C16897"/>
    <w:rsid w:val="54CF1AAB"/>
    <w:rsid w:val="54ED448D"/>
    <w:rsid w:val="54F55A9E"/>
    <w:rsid w:val="55010C6B"/>
    <w:rsid w:val="55025A45"/>
    <w:rsid w:val="55092FAD"/>
    <w:rsid w:val="55194651"/>
    <w:rsid w:val="551E3960"/>
    <w:rsid w:val="5536081F"/>
    <w:rsid w:val="55375455"/>
    <w:rsid w:val="554C64B6"/>
    <w:rsid w:val="556154BA"/>
    <w:rsid w:val="5585712D"/>
    <w:rsid w:val="558D4110"/>
    <w:rsid w:val="559912AF"/>
    <w:rsid w:val="559961B4"/>
    <w:rsid w:val="55AA6225"/>
    <w:rsid w:val="55AE6718"/>
    <w:rsid w:val="55EC13BA"/>
    <w:rsid w:val="55F94F8E"/>
    <w:rsid w:val="56004989"/>
    <w:rsid w:val="56110C10"/>
    <w:rsid w:val="561428C1"/>
    <w:rsid w:val="56150EB3"/>
    <w:rsid w:val="561901FA"/>
    <w:rsid w:val="561E2D2C"/>
    <w:rsid w:val="561F3CB6"/>
    <w:rsid w:val="56233904"/>
    <w:rsid w:val="565A22EB"/>
    <w:rsid w:val="565F77C9"/>
    <w:rsid w:val="5670160A"/>
    <w:rsid w:val="56796C5B"/>
    <w:rsid w:val="56803E23"/>
    <w:rsid w:val="56821842"/>
    <w:rsid w:val="56841C2E"/>
    <w:rsid w:val="568E1D15"/>
    <w:rsid w:val="56955916"/>
    <w:rsid w:val="56985C18"/>
    <w:rsid w:val="569A6E40"/>
    <w:rsid w:val="56AB0A15"/>
    <w:rsid w:val="56AE6EA8"/>
    <w:rsid w:val="56B83943"/>
    <w:rsid w:val="56BA113F"/>
    <w:rsid w:val="56C41882"/>
    <w:rsid w:val="56D54E6B"/>
    <w:rsid w:val="56DC53F6"/>
    <w:rsid w:val="56DD6FA5"/>
    <w:rsid w:val="56DF626B"/>
    <w:rsid w:val="56EC2D4F"/>
    <w:rsid w:val="56F444EE"/>
    <w:rsid w:val="56FB3FF9"/>
    <w:rsid w:val="56FD2198"/>
    <w:rsid w:val="57114899"/>
    <w:rsid w:val="5718099E"/>
    <w:rsid w:val="571F4340"/>
    <w:rsid w:val="572409FC"/>
    <w:rsid w:val="572D3E71"/>
    <w:rsid w:val="57380C37"/>
    <w:rsid w:val="5739626B"/>
    <w:rsid w:val="574717EA"/>
    <w:rsid w:val="574E13AD"/>
    <w:rsid w:val="576F6C2C"/>
    <w:rsid w:val="57743AE9"/>
    <w:rsid w:val="577522C7"/>
    <w:rsid w:val="57805764"/>
    <w:rsid w:val="57861513"/>
    <w:rsid w:val="5789573D"/>
    <w:rsid w:val="578C704A"/>
    <w:rsid w:val="57981B34"/>
    <w:rsid w:val="579A1FB5"/>
    <w:rsid w:val="579B7EDC"/>
    <w:rsid w:val="57A13883"/>
    <w:rsid w:val="57A2525D"/>
    <w:rsid w:val="57B671D8"/>
    <w:rsid w:val="57BF3979"/>
    <w:rsid w:val="57DD1AD7"/>
    <w:rsid w:val="57E74CF7"/>
    <w:rsid w:val="57E825D4"/>
    <w:rsid w:val="57E94278"/>
    <w:rsid w:val="57ED39CE"/>
    <w:rsid w:val="57F413E2"/>
    <w:rsid w:val="57F70468"/>
    <w:rsid w:val="581329DA"/>
    <w:rsid w:val="581A50BC"/>
    <w:rsid w:val="581D1822"/>
    <w:rsid w:val="58230D38"/>
    <w:rsid w:val="58312587"/>
    <w:rsid w:val="5837317F"/>
    <w:rsid w:val="58385FF7"/>
    <w:rsid w:val="583B5B3E"/>
    <w:rsid w:val="583B6401"/>
    <w:rsid w:val="584157D2"/>
    <w:rsid w:val="584331DC"/>
    <w:rsid w:val="586036A7"/>
    <w:rsid w:val="586C4558"/>
    <w:rsid w:val="586D0393"/>
    <w:rsid w:val="58735665"/>
    <w:rsid w:val="587F7ED1"/>
    <w:rsid w:val="58897F06"/>
    <w:rsid w:val="58982948"/>
    <w:rsid w:val="589D49D4"/>
    <w:rsid w:val="589D5EBC"/>
    <w:rsid w:val="58A219B7"/>
    <w:rsid w:val="58A2448A"/>
    <w:rsid w:val="58A45E46"/>
    <w:rsid w:val="58B8779D"/>
    <w:rsid w:val="58C06223"/>
    <w:rsid w:val="58C06677"/>
    <w:rsid w:val="58C17993"/>
    <w:rsid w:val="58DB506F"/>
    <w:rsid w:val="58E93DFA"/>
    <w:rsid w:val="59053C3E"/>
    <w:rsid w:val="590E7B63"/>
    <w:rsid w:val="5911704A"/>
    <w:rsid w:val="591E31B2"/>
    <w:rsid w:val="593239B2"/>
    <w:rsid w:val="593D52A0"/>
    <w:rsid w:val="594279D7"/>
    <w:rsid w:val="59434133"/>
    <w:rsid w:val="5958106F"/>
    <w:rsid w:val="59796DE8"/>
    <w:rsid w:val="599A30CF"/>
    <w:rsid w:val="59A93A45"/>
    <w:rsid w:val="59AE331A"/>
    <w:rsid w:val="59B1531E"/>
    <w:rsid w:val="59B31432"/>
    <w:rsid w:val="59B33F7E"/>
    <w:rsid w:val="59B86BB4"/>
    <w:rsid w:val="59BC5BAA"/>
    <w:rsid w:val="59C52172"/>
    <w:rsid w:val="59DC530F"/>
    <w:rsid w:val="59DD0BC9"/>
    <w:rsid w:val="59DE647C"/>
    <w:rsid w:val="59E051FD"/>
    <w:rsid w:val="59EC3697"/>
    <w:rsid w:val="59EE732A"/>
    <w:rsid w:val="59F24F64"/>
    <w:rsid w:val="59F83A7F"/>
    <w:rsid w:val="5A063D38"/>
    <w:rsid w:val="5A0A04CC"/>
    <w:rsid w:val="5A142786"/>
    <w:rsid w:val="5A2B00AB"/>
    <w:rsid w:val="5A3A281E"/>
    <w:rsid w:val="5A3C6AE3"/>
    <w:rsid w:val="5A4C6AB4"/>
    <w:rsid w:val="5A4C6EDF"/>
    <w:rsid w:val="5A517945"/>
    <w:rsid w:val="5A60354C"/>
    <w:rsid w:val="5A684474"/>
    <w:rsid w:val="5A807B8B"/>
    <w:rsid w:val="5A8B483A"/>
    <w:rsid w:val="5A9B3CFD"/>
    <w:rsid w:val="5AAD0BDB"/>
    <w:rsid w:val="5AB10E32"/>
    <w:rsid w:val="5AC44599"/>
    <w:rsid w:val="5ADF07E8"/>
    <w:rsid w:val="5AE979C9"/>
    <w:rsid w:val="5AEC6396"/>
    <w:rsid w:val="5B07328E"/>
    <w:rsid w:val="5B376556"/>
    <w:rsid w:val="5B393C4D"/>
    <w:rsid w:val="5B4165B4"/>
    <w:rsid w:val="5B4517BC"/>
    <w:rsid w:val="5B451EA5"/>
    <w:rsid w:val="5B5F159B"/>
    <w:rsid w:val="5B750D47"/>
    <w:rsid w:val="5B7610DF"/>
    <w:rsid w:val="5B7B1DBC"/>
    <w:rsid w:val="5B820CEA"/>
    <w:rsid w:val="5B830C39"/>
    <w:rsid w:val="5B9A7652"/>
    <w:rsid w:val="5BC815A9"/>
    <w:rsid w:val="5BDF10EC"/>
    <w:rsid w:val="5BE11AD0"/>
    <w:rsid w:val="5BE77F80"/>
    <w:rsid w:val="5BF65E4A"/>
    <w:rsid w:val="5BFC5DEF"/>
    <w:rsid w:val="5C031C08"/>
    <w:rsid w:val="5C073493"/>
    <w:rsid w:val="5C08313A"/>
    <w:rsid w:val="5C124740"/>
    <w:rsid w:val="5C167CAD"/>
    <w:rsid w:val="5C271679"/>
    <w:rsid w:val="5C277A24"/>
    <w:rsid w:val="5C284D5E"/>
    <w:rsid w:val="5C2C3EF8"/>
    <w:rsid w:val="5C2F6D78"/>
    <w:rsid w:val="5C3071E6"/>
    <w:rsid w:val="5C4707B9"/>
    <w:rsid w:val="5C526139"/>
    <w:rsid w:val="5C5675E5"/>
    <w:rsid w:val="5C5F5E7F"/>
    <w:rsid w:val="5C642116"/>
    <w:rsid w:val="5C646B0E"/>
    <w:rsid w:val="5C65426F"/>
    <w:rsid w:val="5C731A7F"/>
    <w:rsid w:val="5C7569AD"/>
    <w:rsid w:val="5C764DF0"/>
    <w:rsid w:val="5C9D354B"/>
    <w:rsid w:val="5CAF2C03"/>
    <w:rsid w:val="5CD062DF"/>
    <w:rsid w:val="5CD27D37"/>
    <w:rsid w:val="5CD36B2E"/>
    <w:rsid w:val="5CD4779E"/>
    <w:rsid w:val="5CD677DA"/>
    <w:rsid w:val="5CD821BC"/>
    <w:rsid w:val="5CDE27BC"/>
    <w:rsid w:val="5CE77BCF"/>
    <w:rsid w:val="5D137532"/>
    <w:rsid w:val="5D157C88"/>
    <w:rsid w:val="5D1E0ED1"/>
    <w:rsid w:val="5D374EE4"/>
    <w:rsid w:val="5D496913"/>
    <w:rsid w:val="5D573B55"/>
    <w:rsid w:val="5D604E1A"/>
    <w:rsid w:val="5D613ECE"/>
    <w:rsid w:val="5D6A6E55"/>
    <w:rsid w:val="5D6E48CE"/>
    <w:rsid w:val="5D76283E"/>
    <w:rsid w:val="5D77279F"/>
    <w:rsid w:val="5D8306C9"/>
    <w:rsid w:val="5D842A1D"/>
    <w:rsid w:val="5DB20FCB"/>
    <w:rsid w:val="5DB46785"/>
    <w:rsid w:val="5DB70023"/>
    <w:rsid w:val="5DDD7E94"/>
    <w:rsid w:val="5DE51229"/>
    <w:rsid w:val="5DF31E43"/>
    <w:rsid w:val="5DFE1897"/>
    <w:rsid w:val="5E021953"/>
    <w:rsid w:val="5E036527"/>
    <w:rsid w:val="5E04757B"/>
    <w:rsid w:val="5E087B7C"/>
    <w:rsid w:val="5E0E54E0"/>
    <w:rsid w:val="5E207E63"/>
    <w:rsid w:val="5E225DE5"/>
    <w:rsid w:val="5E4565B9"/>
    <w:rsid w:val="5E4B0A93"/>
    <w:rsid w:val="5E7E1766"/>
    <w:rsid w:val="5E8F38D1"/>
    <w:rsid w:val="5E9255CA"/>
    <w:rsid w:val="5E927AEF"/>
    <w:rsid w:val="5EB37363"/>
    <w:rsid w:val="5EB91C0B"/>
    <w:rsid w:val="5EBA5D65"/>
    <w:rsid w:val="5EBF4211"/>
    <w:rsid w:val="5EC4031F"/>
    <w:rsid w:val="5EC6445F"/>
    <w:rsid w:val="5ED50336"/>
    <w:rsid w:val="5ED65319"/>
    <w:rsid w:val="5EEB5E61"/>
    <w:rsid w:val="5EF1586C"/>
    <w:rsid w:val="5F2141F8"/>
    <w:rsid w:val="5F46047A"/>
    <w:rsid w:val="5F4A68D0"/>
    <w:rsid w:val="5F664499"/>
    <w:rsid w:val="5F7A0801"/>
    <w:rsid w:val="5F843E24"/>
    <w:rsid w:val="5F8D62F8"/>
    <w:rsid w:val="5F8F2452"/>
    <w:rsid w:val="5FA23D09"/>
    <w:rsid w:val="5FA32278"/>
    <w:rsid w:val="5FAF7865"/>
    <w:rsid w:val="5FB5B2C3"/>
    <w:rsid w:val="5FB73F3B"/>
    <w:rsid w:val="5FB84FB7"/>
    <w:rsid w:val="5FC67588"/>
    <w:rsid w:val="5FD046CB"/>
    <w:rsid w:val="5FE73D0E"/>
    <w:rsid w:val="5FF72275"/>
    <w:rsid w:val="60067040"/>
    <w:rsid w:val="6008140F"/>
    <w:rsid w:val="60086F0A"/>
    <w:rsid w:val="601B4A47"/>
    <w:rsid w:val="60217A1A"/>
    <w:rsid w:val="603C0CB4"/>
    <w:rsid w:val="604270E5"/>
    <w:rsid w:val="604D05E2"/>
    <w:rsid w:val="60592246"/>
    <w:rsid w:val="605B2155"/>
    <w:rsid w:val="605E5EB2"/>
    <w:rsid w:val="605F20D7"/>
    <w:rsid w:val="60646418"/>
    <w:rsid w:val="60691264"/>
    <w:rsid w:val="606D52A1"/>
    <w:rsid w:val="60733DFE"/>
    <w:rsid w:val="60761A02"/>
    <w:rsid w:val="607704D1"/>
    <w:rsid w:val="60815C20"/>
    <w:rsid w:val="608D24C2"/>
    <w:rsid w:val="609A3072"/>
    <w:rsid w:val="609E62ED"/>
    <w:rsid w:val="60A76608"/>
    <w:rsid w:val="60A80CA6"/>
    <w:rsid w:val="60B26B24"/>
    <w:rsid w:val="60B322B3"/>
    <w:rsid w:val="60BF1DF9"/>
    <w:rsid w:val="60EE0218"/>
    <w:rsid w:val="60FA4B1B"/>
    <w:rsid w:val="60FE7FA1"/>
    <w:rsid w:val="610544EA"/>
    <w:rsid w:val="61091E5D"/>
    <w:rsid w:val="610A7CB7"/>
    <w:rsid w:val="611F56E1"/>
    <w:rsid w:val="61350A6B"/>
    <w:rsid w:val="61353591"/>
    <w:rsid w:val="614B40F4"/>
    <w:rsid w:val="6160227E"/>
    <w:rsid w:val="6162303C"/>
    <w:rsid w:val="616E53C9"/>
    <w:rsid w:val="616F678F"/>
    <w:rsid w:val="61775741"/>
    <w:rsid w:val="618C32E6"/>
    <w:rsid w:val="61942B31"/>
    <w:rsid w:val="61B17E42"/>
    <w:rsid w:val="61BB3420"/>
    <w:rsid w:val="61D17319"/>
    <w:rsid w:val="61D81473"/>
    <w:rsid w:val="61F50A5F"/>
    <w:rsid w:val="61F77AB6"/>
    <w:rsid w:val="620436BF"/>
    <w:rsid w:val="621078B3"/>
    <w:rsid w:val="62186A15"/>
    <w:rsid w:val="621A2E5F"/>
    <w:rsid w:val="621F7BE7"/>
    <w:rsid w:val="6226668F"/>
    <w:rsid w:val="62322E1F"/>
    <w:rsid w:val="623624F2"/>
    <w:rsid w:val="62406662"/>
    <w:rsid w:val="624A6F2B"/>
    <w:rsid w:val="62577A6A"/>
    <w:rsid w:val="62584960"/>
    <w:rsid w:val="6259394F"/>
    <w:rsid w:val="625B15D8"/>
    <w:rsid w:val="62691671"/>
    <w:rsid w:val="62875AAB"/>
    <w:rsid w:val="62BC0D55"/>
    <w:rsid w:val="62BC6E3C"/>
    <w:rsid w:val="62E0150F"/>
    <w:rsid w:val="62E02F60"/>
    <w:rsid w:val="62F526E7"/>
    <w:rsid w:val="63106D5B"/>
    <w:rsid w:val="6332766D"/>
    <w:rsid w:val="63396158"/>
    <w:rsid w:val="633C5B98"/>
    <w:rsid w:val="63430D2A"/>
    <w:rsid w:val="63473BF7"/>
    <w:rsid w:val="634D61C9"/>
    <w:rsid w:val="635272F9"/>
    <w:rsid w:val="635C4C57"/>
    <w:rsid w:val="635C750D"/>
    <w:rsid w:val="63674CA4"/>
    <w:rsid w:val="6386400D"/>
    <w:rsid w:val="63A177AC"/>
    <w:rsid w:val="63A54F06"/>
    <w:rsid w:val="63A64DC2"/>
    <w:rsid w:val="63AD6951"/>
    <w:rsid w:val="63B16962"/>
    <w:rsid w:val="63BA2EDA"/>
    <w:rsid w:val="63C9624A"/>
    <w:rsid w:val="63CC601E"/>
    <w:rsid w:val="63D719DB"/>
    <w:rsid w:val="63ED4724"/>
    <w:rsid w:val="63F80D94"/>
    <w:rsid w:val="63FF6FFC"/>
    <w:rsid w:val="64001A81"/>
    <w:rsid w:val="64026854"/>
    <w:rsid w:val="642411E7"/>
    <w:rsid w:val="643D2B73"/>
    <w:rsid w:val="644857E1"/>
    <w:rsid w:val="644A226C"/>
    <w:rsid w:val="64522AC7"/>
    <w:rsid w:val="64525187"/>
    <w:rsid w:val="64553A5C"/>
    <w:rsid w:val="6462771D"/>
    <w:rsid w:val="64713622"/>
    <w:rsid w:val="64750A67"/>
    <w:rsid w:val="648F4603"/>
    <w:rsid w:val="64940BBC"/>
    <w:rsid w:val="649D58E8"/>
    <w:rsid w:val="649D6000"/>
    <w:rsid w:val="649E0BD2"/>
    <w:rsid w:val="64A22D34"/>
    <w:rsid w:val="64B2181C"/>
    <w:rsid w:val="64BD6D1E"/>
    <w:rsid w:val="64CA3146"/>
    <w:rsid w:val="64CF2FBB"/>
    <w:rsid w:val="64D076D0"/>
    <w:rsid w:val="64D25ADC"/>
    <w:rsid w:val="64D8700C"/>
    <w:rsid w:val="64DA642E"/>
    <w:rsid w:val="64FB1BDE"/>
    <w:rsid w:val="650B1C07"/>
    <w:rsid w:val="651A5F91"/>
    <w:rsid w:val="65251E4A"/>
    <w:rsid w:val="652C5EB4"/>
    <w:rsid w:val="654B2836"/>
    <w:rsid w:val="65526E69"/>
    <w:rsid w:val="6556509D"/>
    <w:rsid w:val="65680726"/>
    <w:rsid w:val="657F58CB"/>
    <w:rsid w:val="658159DC"/>
    <w:rsid w:val="65830371"/>
    <w:rsid w:val="65A76DE5"/>
    <w:rsid w:val="65BA079C"/>
    <w:rsid w:val="65DA2049"/>
    <w:rsid w:val="65E17BA8"/>
    <w:rsid w:val="65EE47FE"/>
    <w:rsid w:val="65FA1534"/>
    <w:rsid w:val="65FA5D55"/>
    <w:rsid w:val="66020B60"/>
    <w:rsid w:val="660255FB"/>
    <w:rsid w:val="66123D10"/>
    <w:rsid w:val="66133DAB"/>
    <w:rsid w:val="661A16F1"/>
    <w:rsid w:val="661C75BD"/>
    <w:rsid w:val="663D1055"/>
    <w:rsid w:val="664541E6"/>
    <w:rsid w:val="66474970"/>
    <w:rsid w:val="6648514C"/>
    <w:rsid w:val="664B39FF"/>
    <w:rsid w:val="66542240"/>
    <w:rsid w:val="6663790C"/>
    <w:rsid w:val="66747232"/>
    <w:rsid w:val="667D15A4"/>
    <w:rsid w:val="667D7BC5"/>
    <w:rsid w:val="668215CB"/>
    <w:rsid w:val="66837765"/>
    <w:rsid w:val="668533B4"/>
    <w:rsid w:val="669518A0"/>
    <w:rsid w:val="669902AD"/>
    <w:rsid w:val="66A129BA"/>
    <w:rsid w:val="66A80E51"/>
    <w:rsid w:val="66A93610"/>
    <w:rsid w:val="66AB587F"/>
    <w:rsid w:val="66B671D8"/>
    <w:rsid w:val="66BF39A8"/>
    <w:rsid w:val="66D95276"/>
    <w:rsid w:val="66DA1819"/>
    <w:rsid w:val="66DC6F2C"/>
    <w:rsid w:val="66E016CA"/>
    <w:rsid w:val="66E83E34"/>
    <w:rsid w:val="66EF52A5"/>
    <w:rsid w:val="66F30D69"/>
    <w:rsid w:val="66FC72F7"/>
    <w:rsid w:val="670B0931"/>
    <w:rsid w:val="67120309"/>
    <w:rsid w:val="67443AE9"/>
    <w:rsid w:val="67572F8F"/>
    <w:rsid w:val="675D5151"/>
    <w:rsid w:val="675E333F"/>
    <w:rsid w:val="67693754"/>
    <w:rsid w:val="6775322B"/>
    <w:rsid w:val="67893596"/>
    <w:rsid w:val="678A0557"/>
    <w:rsid w:val="67A42E46"/>
    <w:rsid w:val="67BA708E"/>
    <w:rsid w:val="67BF023C"/>
    <w:rsid w:val="67CE55FF"/>
    <w:rsid w:val="67D5557E"/>
    <w:rsid w:val="67E0047E"/>
    <w:rsid w:val="67F6293B"/>
    <w:rsid w:val="67FA187D"/>
    <w:rsid w:val="68142795"/>
    <w:rsid w:val="68336430"/>
    <w:rsid w:val="684F4B81"/>
    <w:rsid w:val="685149A2"/>
    <w:rsid w:val="68571975"/>
    <w:rsid w:val="685A79FC"/>
    <w:rsid w:val="68611261"/>
    <w:rsid w:val="686A5EB8"/>
    <w:rsid w:val="686C43C0"/>
    <w:rsid w:val="68815DFE"/>
    <w:rsid w:val="688E4077"/>
    <w:rsid w:val="688F672B"/>
    <w:rsid w:val="688F6F87"/>
    <w:rsid w:val="68A17AAF"/>
    <w:rsid w:val="68AD09A1"/>
    <w:rsid w:val="68B027B4"/>
    <w:rsid w:val="68DA74AF"/>
    <w:rsid w:val="68E05863"/>
    <w:rsid w:val="68EE64F5"/>
    <w:rsid w:val="68FD0805"/>
    <w:rsid w:val="69030B1E"/>
    <w:rsid w:val="69085C0C"/>
    <w:rsid w:val="691378B0"/>
    <w:rsid w:val="6920283B"/>
    <w:rsid w:val="693B41FE"/>
    <w:rsid w:val="6941314D"/>
    <w:rsid w:val="69521130"/>
    <w:rsid w:val="69580133"/>
    <w:rsid w:val="69586E43"/>
    <w:rsid w:val="69662AFA"/>
    <w:rsid w:val="69672C6C"/>
    <w:rsid w:val="696A29B9"/>
    <w:rsid w:val="69770527"/>
    <w:rsid w:val="698222FD"/>
    <w:rsid w:val="6985069B"/>
    <w:rsid w:val="69937B96"/>
    <w:rsid w:val="69AD5538"/>
    <w:rsid w:val="69BA1C87"/>
    <w:rsid w:val="69E274C8"/>
    <w:rsid w:val="69E928CE"/>
    <w:rsid w:val="69ED5045"/>
    <w:rsid w:val="69F4010D"/>
    <w:rsid w:val="69F70652"/>
    <w:rsid w:val="6A065174"/>
    <w:rsid w:val="6A1073EC"/>
    <w:rsid w:val="6A1935F8"/>
    <w:rsid w:val="6A2004CE"/>
    <w:rsid w:val="6A254BD0"/>
    <w:rsid w:val="6A2F6254"/>
    <w:rsid w:val="6A35394F"/>
    <w:rsid w:val="6A413EE6"/>
    <w:rsid w:val="6A4A02DE"/>
    <w:rsid w:val="6A4C4802"/>
    <w:rsid w:val="6A5779AC"/>
    <w:rsid w:val="6A674B7F"/>
    <w:rsid w:val="6A6A1708"/>
    <w:rsid w:val="6A6C42F6"/>
    <w:rsid w:val="6A7513A2"/>
    <w:rsid w:val="6A86465B"/>
    <w:rsid w:val="6A8C267C"/>
    <w:rsid w:val="6A9F0C6C"/>
    <w:rsid w:val="6AA103AC"/>
    <w:rsid w:val="6AA84B5B"/>
    <w:rsid w:val="6AAB3624"/>
    <w:rsid w:val="6AC75641"/>
    <w:rsid w:val="6ACE7ECF"/>
    <w:rsid w:val="6AD55603"/>
    <w:rsid w:val="6ADB14A0"/>
    <w:rsid w:val="6AE22AC5"/>
    <w:rsid w:val="6AE44653"/>
    <w:rsid w:val="6AF42BA2"/>
    <w:rsid w:val="6B047FBB"/>
    <w:rsid w:val="6B066BC6"/>
    <w:rsid w:val="6B1430EB"/>
    <w:rsid w:val="6B184B73"/>
    <w:rsid w:val="6B1B3BDE"/>
    <w:rsid w:val="6B2040B3"/>
    <w:rsid w:val="6B256F14"/>
    <w:rsid w:val="6B3B19FE"/>
    <w:rsid w:val="6B3E0DFA"/>
    <w:rsid w:val="6B410AE7"/>
    <w:rsid w:val="6B453FFA"/>
    <w:rsid w:val="6B575B75"/>
    <w:rsid w:val="6B650DA6"/>
    <w:rsid w:val="6B674FF6"/>
    <w:rsid w:val="6B74202F"/>
    <w:rsid w:val="6B81450D"/>
    <w:rsid w:val="6B8558F1"/>
    <w:rsid w:val="6B9416DB"/>
    <w:rsid w:val="6B9568EC"/>
    <w:rsid w:val="6BC71567"/>
    <w:rsid w:val="6BCB1C20"/>
    <w:rsid w:val="6BD10E4A"/>
    <w:rsid w:val="6BD22BED"/>
    <w:rsid w:val="6BDE039E"/>
    <w:rsid w:val="6BE45057"/>
    <w:rsid w:val="6BF07522"/>
    <w:rsid w:val="6BF62C43"/>
    <w:rsid w:val="6BFB724A"/>
    <w:rsid w:val="6BFD1C3F"/>
    <w:rsid w:val="6C053E4A"/>
    <w:rsid w:val="6C056342"/>
    <w:rsid w:val="6C1F12F7"/>
    <w:rsid w:val="6C2235BB"/>
    <w:rsid w:val="6C225202"/>
    <w:rsid w:val="6C2358F3"/>
    <w:rsid w:val="6C285F16"/>
    <w:rsid w:val="6C2B087F"/>
    <w:rsid w:val="6C3D08E7"/>
    <w:rsid w:val="6C457A5B"/>
    <w:rsid w:val="6C477DAC"/>
    <w:rsid w:val="6C5A499B"/>
    <w:rsid w:val="6C6E5018"/>
    <w:rsid w:val="6C743C3C"/>
    <w:rsid w:val="6C781324"/>
    <w:rsid w:val="6C787634"/>
    <w:rsid w:val="6C7D28E1"/>
    <w:rsid w:val="6C982A1B"/>
    <w:rsid w:val="6CA83A9D"/>
    <w:rsid w:val="6CAE0FC7"/>
    <w:rsid w:val="6CB60E58"/>
    <w:rsid w:val="6CB90ABC"/>
    <w:rsid w:val="6CC17C43"/>
    <w:rsid w:val="6CCC1D14"/>
    <w:rsid w:val="6CE1750C"/>
    <w:rsid w:val="6CE32FE9"/>
    <w:rsid w:val="6CF50CAC"/>
    <w:rsid w:val="6CFA47C3"/>
    <w:rsid w:val="6D013069"/>
    <w:rsid w:val="6D0A4253"/>
    <w:rsid w:val="6D17288C"/>
    <w:rsid w:val="6D234F26"/>
    <w:rsid w:val="6D282CEC"/>
    <w:rsid w:val="6D41740F"/>
    <w:rsid w:val="6D471E32"/>
    <w:rsid w:val="6D543AE1"/>
    <w:rsid w:val="6D586C1C"/>
    <w:rsid w:val="6D5F1476"/>
    <w:rsid w:val="6D6131F6"/>
    <w:rsid w:val="6D6362FF"/>
    <w:rsid w:val="6D6908C9"/>
    <w:rsid w:val="6D7A46AA"/>
    <w:rsid w:val="6D891B50"/>
    <w:rsid w:val="6D897E65"/>
    <w:rsid w:val="6D943EDD"/>
    <w:rsid w:val="6DA0720B"/>
    <w:rsid w:val="6DBA383E"/>
    <w:rsid w:val="6DBC4E4A"/>
    <w:rsid w:val="6DCF2747"/>
    <w:rsid w:val="6DE26E66"/>
    <w:rsid w:val="6DF4133C"/>
    <w:rsid w:val="6DFE0A46"/>
    <w:rsid w:val="6E046D6A"/>
    <w:rsid w:val="6E0A4EE7"/>
    <w:rsid w:val="6E0F7A08"/>
    <w:rsid w:val="6E1D1B14"/>
    <w:rsid w:val="6E1D77C2"/>
    <w:rsid w:val="6E1D7D06"/>
    <w:rsid w:val="6E275A60"/>
    <w:rsid w:val="6E2D6A2F"/>
    <w:rsid w:val="6E392AF4"/>
    <w:rsid w:val="6E4B7BC4"/>
    <w:rsid w:val="6E6267FC"/>
    <w:rsid w:val="6E641481"/>
    <w:rsid w:val="6E816EBD"/>
    <w:rsid w:val="6E892BF0"/>
    <w:rsid w:val="6E8B2C58"/>
    <w:rsid w:val="6E8E6B7E"/>
    <w:rsid w:val="6E922738"/>
    <w:rsid w:val="6E931C3F"/>
    <w:rsid w:val="6EB0012B"/>
    <w:rsid w:val="6EB849F5"/>
    <w:rsid w:val="6EC32CCC"/>
    <w:rsid w:val="6EE669BA"/>
    <w:rsid w:val="6EF93A79"/>
    <w:rsid w:val="6F017A68"/>
    <w:rsid w:val="6F074C7D"/>
    <w:rsid w:val="6F095F3A"/>
    <w:rsid w:val="6F0B3914"/>
    <w:rsid w:val="6F1A6726"/>
    <w:rsid w:val="6F282B2F"/>
    <w:rsid w:val="6F321C00"/>
    <w:rsid w:val="6F35524C"/>
    <w:rsid w:val="6F3732CE"/>
    <w:rsid w:val="6F4266DF"/>
    <w:rsid w:val="6F5B73A8"/>
    <w:rsid w:val="6F653D83"/>
    <w:rsid w:val="6F773AB6"/>
    <w:rsid w:val="6F881695"/>
    <w:rsid w:val="6F887515"/>
    <w:rsid w:val="6F891B0C"/>
    <w:rsid w:val="6F8C16B9"/>
    <w:rsid w:val="6F92194C"/>
    <w:rsid w:val="6F997777"/>
    <w:rsid w:val="6FAC2382"/>
    <w:rsid w:val="6FC13DD2"/>
    <w:rsid w:val="6FCD418C"/>
    <w:rsid w:val="6FE83720"/>
    <w:rsid w:val="6FEF7197"/>
    <w:rsid w:val="6FEF7D8A"/>
    <w:rsid w:val="6FFD2BE7"/>
    <w:rsid w:val="70006A1E"/>
    <w:rsid w:val="70050220"/>
    <w:rsid w:val="70076EA8"/>
    <w:rsid w:val="702C5E4F"/>
    <w:rsid w:val="703062FD"/>
    <w:rsid w:val="703A2C04"/>
    <w:rsid w:val="70422316"/>
    <w:rsid w:val="70486DDE"/>
    <w:rsid w:val="704E70A7"/>
    <w:rsid w:val="70556940"/>
    <w:rsid w:val="7056218C"/>
    <w:rsid w:val="705975BD"/>
    <w:rsid w:val="70677361"/>
    <w:rsid w:val="706A0FD7"/>
    <w:rsid w:val="70762356"/>
    <w:rsid w:val="70827379"/>
    <w:rsid w:val="70846B10"/>
    <w:rsid w:val="708F5CC6"/>
    <w:rsid w:val="70A51E7A"/>
    <w:rsid w:val="70A94695"/>
    <w:rsid w:val="70AE1665"/>
    <w:rsid w:val="70C64C13"/>
    <w:rsid w:val="70CE2A7D"/>
    <w:rsid w:val="70D311C0"/>
    <w:rsid w:val="70F57258"/>
    <w:rsid w:val="71033854"/>
    <w:rsid w:val="710D2536"/>
    <w:rsid w:val="710D3A95"/>
    <w:rsid w:val="7123116D"/>
    <w:rsid w:val="712626A7"/>
    <w:rsid w:val="71295015"/>
    <w:rsid w:val="712F4753"/>
    <w:rsid w:val="712F4EC4"/>
    <w:rsid w:val="71405C9D"/>
    <w:rsid w:val="71605930"/>
    <w:rsid w:val="716A0E09"/>
    <w:rsid w:val="717402AD"/>
    <w:rsid w:val="717F25F9"/>
    <w:rsid w:val="71861D20"/>
    <w:rsid w:val="7186437F"/>
    <w:rsid w:val="71A45894"/>
    <w:rsid w:val="71BA0287"/>
    <w:rsid w:val="71BE7BEA"/>
    <w:rsid w:val="71C933A1"/>
    <w:rsid w:val="71D64AC4"/>
    <w:rsid w:val="71DF2A49"/>
    <w:rsid w:val="71E96735"/>
    <w:rsid w:val="71EE2413"/>
    <w:rsid w:val="720000E6"/>
    <w:rsid w:val="72034464"/>
    <w:rsid w:val="720C50DD"/>
    <w:rsid w:val="723D68C6"/>
    <w:rsid w:val="723E1C92"/>
    <w:rsid w:val="72493B52"/>
    <w:rsid w:val="726A35DE"/>
    <w:rsid w:val="726C29D6"/>
    <w:rsid w:val="72812BB6"/>
    <w:rsid w:val="72823CD6"/>
    <w:rsid w:val="728A58AF"/>
    <w:rsid w:val="72934FF3"/>
    <w:rsid w:val="72992DCB"/>
    <w:rsid w:val="729C0A73"/>
    <w:rsid w:val="72A10AC9"/>
    <w:rsid w:val="72B01AB7"/>
    <w:rsid w:val="72BD7A32"/>
    <w:rsid w:val="72BE0926"/>
    <w:rsid w:val="72C405CA"/>
    <w:rsid w:val="72C46B36"/>
    <w:rsid w:val="72D92A8D"/>
    <w:rsid w:val="72E03CB4"/>
    <w:rsid w:val="72E10B87"/>
    <w:rsid w:val="72E17BC5"/>
    <w:rsid w:val="72E74124"/>
    <w:rsid w:val="72FB055A"/>
    <w:rsid w:val="72FE1676"/>
    <w:rsid w:val="72FF7DFC"/>
    <w:rsid w:val="73095A3C"/>
    <w:rsid w:val="730A4D01"/>
    <w:rsid w:val="731A788A"/>
    <w:rsid w:val="731D44F3"/>
    <w:rsid w:val="731D49AA"/>
    <w:rsid w:val="731E1436"/>
    <w:rsid w:val="73214234"/>
    <w:rsid w:val="73283E0D"/>
    <w:rsid w:val="732E26DE"/>
    <w:rsid w:val="7332362C"/>
    <w:rsid w:val="7334325D"/>
    <w:rsid w:val="73350C5E"/>
    <w:rsid w:val="734F0FD2"/>
    <w:rsid w:val="73513CCA"/>
    <w:rsid w:val="73574EBF"/>
    <w:rsid w:val="73581579"/>
    <w:rsid w:val="735A1D60"/>
    <w:rsid w:val="735C724B"/>
    <w:rsid w:val="736A2E27"/>
    <w:rsid w:val="73743E64"/>
    <w:rsid w:val="73922C6D"/>
    <w:rsid w:val="739D2CEC"/>
    <w:rsid w:val="739E1612"/>
    <w:rsid w:val="73A21C06"/>
    <w:rsid w:val="73AA4C42"/>
    <w:rsid w:val="73B20E59"/>
    <w:rsid w:val="73B60A10"/>
    <w:rsid w:val="73BDC2E9"/>
    <w:rsid w:val="73C05B2F"/>
    <w:rsid w:val="73CA2AC9"/>
    <w:rsid w:val="73CA68AB"/>
    <w:rsid w:val="73CC5B9E"/>
    <w:rsid w:val="73DE05EE"/>
    <w:rsid w:val="73F74306"/>
    <w:rsid w:val="74011DAF"/>
    <w:rsid w:val="741E2752"/>
    <w:rsid w:val="74251284"/>
    <w:rsid w:val="74355159"/>
    <w:rsid w:val="743B31CD"/>
    <w:rsid w:val="743F3479"/>
    <w:rsid w:val="745049B3"/>
    <w:rsid w:val="74621C01"/>
    <w:rsid w:val="74661EF8"/>
    <w:rsid w:val="746F5A57"/>
    <w:rsid w:val="7476433D"/>
    <w:rsid w:val="74795BDB"/>
    <w:rsid w:val="747A3B5C"/>
    <w:rsid w:val="747A67B7"/>
    <w:rsid w:val="747C0EC2"/>
    <w:rsid w:val="74941B1E"/>
    <w:rsid w:val="74982BC3"/>
    <w:rsid w:val="74A027D8"/>
    <w:rsid w:val="74A369C6"/>
    <w:rsid w:val="74D75E35"/>
    <w:rsid w:val="751050E9"/>
    <w:rsid w:val="75130B97"/>
    <w:rsid w:val="75202B2C"/>
    <w:rsid w:val="75391372"/>
    <w:rsid w:val="753929D7"/>
    <w:rsid w:val="753F5399"/>
    <w:rsid w:val="754247CE"/>
    <w:rsid w:val="755D4111"/>
    <w:rsid w:val="75653527"/>
    <w:rsid w:val="75687183"/>
    <w:rsid w:val="756E4E38"/>
    <w:rsid w:val="757C644D"/>
    <w:rsid w:val="757F5E29"/>
    <w:rsid w:val="75A97B92"/>
    <w:rsid w:val="75AC0C8E"/>
    <w:rsid w:val="75BE2C13"/>
    <w:rsid w:val="75C867D8"/>
    <w:rsid w:val="75C91681"/>
    <w:rsid w:val="75CC1F36"/>
    <w:rsid w:val="75E1159B"/>
    <w:rsid w:val="75E834FA"/>
    <w:rsid w:val="75F52AFB"/>
    <w:rsid w:val="760756D8"/>
    <w:rsid w:val="760E676A"/>
    <w:rsid w:val="76140FF1"/>
    <w:rsid w:val="76226E1B"/>
    <w:rsid w:val="7624764F"/>
    <w:rsid w:val="76277F2F"/>
    <w:rsid w:val="762C0888"/>
    <w:rsid w:val="762F6D25"/>
    <w:rsid w:val="7635A0DD"/>
    <w:rsid w:val="763E0E8A"/>
    <w:rsid w:val="764A3CD3"/>
    <w:rsid w:val="7653662C"/>
    <w:rsid w:val="765C3FDB"/>
    <w:rsid w:val="76672689"/>
    <w:rsid w:val="766E5C13"/>
    <w:rsid w:val="76715FC4"/>
    <w:rsid w:val="767D2360"/>
    <w:rsid w:val="768B2490"/>
    <w:rsid w:val="768F2D84"/>
    <w:rsid w:val="769B20F2"/>
    <w:rsid w:val="76A80580"/>
    <w:rsid w:val="76AD7DBE"/>
    <w:rsid w:val="76B36E87"/>
    <w:rsid w:val="76B65EF5"/>
    <w:rsid w:val="76BF19C6"/>
    <w:rsid w:val="76C86371"/>
    <w:rsid w:val="76D95C53"/>
    <w:rsid w:val="76F679B7"/>
    <w:rsid w:val="76FF643E"/>
    <w:rsid w:val="77027F7F"/>
    <w:rsid w:val="77120494"/>
    <w:rsid w:val="771542E1"/>
    <w:rsid w:val="772A380A"/>
    <w:rsid w:val="772B6736"/>
    <w:rsid w:val="775A0E70"/>
    <w:rsid w:val="775B2B18"/>
    <w:rsid w:val="775D6AA2"/>
    <w:rsid w:val="77601172"/>
    <w:rsid w:val="77603D4F"/>
    <w:rsid w:val="776142C0"/>
    <w:rsid w:val="77635826"/>
    <w:rsid w:val="777032C5"/>
    <w:rsid w:val="77820948"/>
    <w:rsid w:val="77897FBF"/>
    <w:rsid w:val="778E3455"/>
    <w:rsid w:val="778F5D5D"/>
    <w:rsid w:val="7794100B"/>
    <w:rsid w:val="779F63A2"/>
    <w:rsid w:val="77AB6538"/>
    <w:rsid w:val="77B24F19"/>
    <w:rsid w:val="77B70EF4"/>
    <w:rsid w:val="77BF2F35"/>
    <w:rsid w:val="77BF46A4"/>
    <w:rsid w:val="77E75E53"/>
    <w:rsid w:val="77E80025"/>
    <w:rsid w:val="77FD14CD"/>
    <w:rsid w:val="77FD49BF"/>
    <w:rsid w:val="780B0E91"/>
    <w:rsid w:val="780E5553"/>
    <w:rsid w:val="781007D0"/>
    <w:rsid w:val="781400F4"/>
    <w:rsid w:val="78284AA1"/>
    <w:rsid w:val="782B7A82"/>
    <w:rsid w:val="78335932"/>
    <w:rsid w:val="78342BFE"/>
    <w:rsid w:val="78381BDF"/>
    <w:rsid w:val="783C5C12"/>
    <w:rsid w:val="783D42FB"/>
    <w:rsid w:val="783F561E"/>
    <w:rsid w:val="784811A2"/>
    <w:rsid w:val="784D6313"/>
    <w:rsid w:val="78627D0B"/>
    <w:rsid w:val="787212BF"/>
    <w:rsid w:val="78732237"/>
    <w:rsid w:val="78930909"/>
    <w:rsid w:val="78935C12"/>
    <w:rsid w:val="78980533"/>
    <w:rsid w:val="789E75C3"/>
    <w:rsid w:val="78AD313F"/>
    <w:rsid w:val="78B01E75"/>
    <w:rsid w:val="78BE05D7"/>
    <w:rsid w:val="78BE5E7F"/>
    <w:rsid w:val="78D5711D"/>
    <w:rsid w:val="78E83B09"/>
    <w:rsid w:val="78EE5162"/>
    <w:rsid w:val="78F91E55"/>
    <w:rsid w:val="78FA71C1"/>
    <w:rsid w:val="78FF3BFC"/>
    <w:rsid w:val="78FF5DBE"/>
    <w:rsid w:val="790E3900"/>
    <w:rsid w:val="791D12D7"/>
    <w:rsid w:val="79222CE5"/>
    <w:rsid w:val="792339A0"/>
    <w:rsid w:val="792702FB"/>
    <w:rsid w:val="79304FC0"/>
    <w:rsid w:val="793150EC"/>
    <w:rsid w:val="79336CA0"/>
    <w:rsid w:val="794530C2"/>
    <w:rsid w:val="79725D75"/>
    <w:rsid w:val="79765133"/>
    <w:rsid w:val="797711F5"/>
    <w:rsid w:val="79881741"/>
    <w:rsid w:val="799678E9"/>
    <w:rsid w:val="79AB4472"/>
    <w:rsid w:val="79BC1E65"/>
    <w:rsid w:val="79BC5AF1"/>
    <w:rsid w:val="79BC691E"/>
    <w:rsid w:val="79C370CC"/>
    <w:rsid w:val="79CB4015"/>
    <w:rsid w:val="79EA7D45"/>
    <w:rsid w:val="79EC2752"/>
    <w:rsid w:val="79FC3536"/>
    <w:rsid w:val="79FF3C57"/>
    <w:rsid w:val="7A022DAC"/>
    <w:rsid w:val="7A077D86"/>
    <w:rsid w:val="7A0F6AA3"/>
    <w:rsid w:val="7A1D24B9"/>
    <w:rsid w:val="7A262361"/>
    <w:rsid w:val="7A29027E"/>
    <w:rsid w:val="7A2B4E0B"/>
    <w:rsid w:val="7A2F1E62"/>
    <w:rsid w:val="7A3000FF"/>
    <w:rsid w:val="7A3D4B0E"/>
    <w:rsid w:val="7A524F0D"/>
    <w:rsid w:val="7A7443E6"/>
    <w:rsid w:val="7A8157E9"/>
    <w:rsid w:val="7A820CB5"/>
    <w:rsid w:val="7A8D74A2"/>
    <w:rsid w:val="7A9C45C8"/>
    <w:rsid w:val="7AA0686D"/>
    <w:rsid w:val="7AA42764"/>
    <w:rsid w:val="7AB3181F"/>
    <w:rsid w:val="7AB65491"/>
    <w:rsid w:val="7AC048A7"/>
    <w:rsid w:val="7AEF76CB"/>
    <w:rsid w:val="7AF4245F"/>
    <w:rsid w:val="7B056A7F"/>
    <w:rsid w:val="7B082DB3"/>
    <w:rsid w:val="7B0A12D7"/>
    <w:rsid w:val="7B1743C0"/>
    <w:rsid w:val="7B2429F8"/>
    <w:rsid w:val="7B265958"/>
    <w:rsid w:val="7B336BC8"/>
    <w:rsid w:val="7B3E5BD9"/>
    <w:rsid w:val="7B411828"/>
    <w:rsid w:val="7B4229E6"/>
    <w:rsid w:val="7B443620"/>
    <w:rsid w:val="7B4E1B6F"/>
    <w:rsid w:val="7B5810C9"/>
    <w:rsid w:val="7B590472"/>
    <w:rsid w:val="7B664919"/>
    <w:rsid w:val="7B666F72"/>
    <w:rsid w:val="7B681541"/>
    <w:rsid w:val="7B6C7AFA"/>
    <w:rsid w:val="7B711D02"/>
    <w:rsid w:val="7B8E13EB"/>
    <w:rsid w:val="7BA1297E"/>
    <w:rsid w:val="7BA44318"/>
    <w:rsid w:val="7BAE2D8D"/>
    <w:rsid w:val="7BBE70D0"/>
    <w:rsid w:val="7BC70E87"/>
    <w:rsid w:val="7BD44EE3"/>
    <w:rsid w:val="7BDE7643"/>
    <w:rsid w:val="7BE45866"/>
    <w:rsid w:val="7BEE1EEB"/>
    <w:rsid w:val="7BF40907"/>
    <w:rsid w:val="7C194DCB"/>
    <w:rsid w:val="7C2036C5"/>
    <w:rsid w:val="7C21033A"/>
    <w:rsid w:val="7C27425D"/>
    <w:rsid w:val="7C2D5C29"/>
    <w:rsid w:val="7C330C76"/>
    <w:rsid w:val="7C4C5FDA"/>
    <w:rsid w:val="7C5062E6"/>
    <w:rsid w:val="7C5E7893"/>
    <w:rsid w:val="7C76130F"/>
    <w:rsid w:val="7C817D22"/>
    <w:rsid w:val="7C82417D"/>
    <w:rsid w:val="7C886DA3"/>
    <w:rsid w:val="7C8E405C"/>
    <w:rsid w:val="7C8F12C6"/>
    <w:rsid w:val="7C904C17"/>
    <w:rsid w:val="7C990F7B"/>
    <w:rsid w:val="7C992D45"/>
    <w:rsid w:val="7C993C6F"/>
    <w:rsid w:val="7CA01071"/>
    <w:rsid w:val="7CB44F60"/>
    <w:rsid w:val="7CBC3D27"/>
    <w:rsid w:val="7CD5583A"/>
    <w:rsid w:val="7CE53197"/>
    <w:rsid w:val="7CF177AF"/>
    <w:rsid w:val="7D0B5714"/>
    <w:rsid w:val="7D180444"/>
    <w:rsid w:val="7D1D7B5D"/>
    <w:rsid w:val="7D246B41"/>
    <w:rsid w:val="7D3D330D"/>
    <w:rsid w:val="7D3E6D4F"/>
    <w:rsid w:val="7D3F7B43"/>
    <w:rsid w:val="7D40373A"/>
    <w:rsid w:val="7D412929"/>
    <w:rsid w:val="7D4157D8"/>
    <w:rsid w:val="7D480840"/>
    <w:rsid w:val="7D585D08"/>
    <w:rsid w:val="7D6A441D"/>
    <w:rsid w:val="7D742B7F"/>
    <w:rsid w:val="7D79512E"/>
    <w:rsid w:val="7D7B7260"/>
    <w:rsid w:val="7D8557E5"/>
    <w:rsid w:val="7D8B5FF0"/>
    <w:rsid w:val="7D900D66"/>
    <w:rsid w:val="7D9B631F"/>
    <w:rsid w:val="7D9C45E3"/>
    <w:rsid w:val="7D9D2594"/>
    <w:rsid w:val="7DA64309"/>
    <w:rsid w:val="7DCB394B"/>
    <w:rsid w:val="7DD36B30"/>
    <w:rsid w:val="7DD65438"/>
    <w:rsid w:val="7DDB2A9A"/>
    <w:rsid w:val="7DDC23C7"/>
    <w:rsid w:val="7DDF11A4"/>
    <w:rsid w:val="7DE41C45"/>
    <w:rsid w:val="7DFD7AA5"/>
    <w:rsid w:val="7E1741FF"/>
    <w:rsid w:val="7E183080"/>
    <w:rsid w:val="7E1A6A4C"/>
    <w:rsid w:val="7E1D4BD1"/>
    <w:rsid w:val="7E1E164C"/>
    <w:rsid w:val="7E236558"/>
    <w:rsid w:val="7E2767EA"/>
    <w:rsid w:val="7E2F1CBD"/>
    <w:rsid w:val="7E310BC1"/>
    <w:rsid w:val="7E3239CA"/>
    <w:rsid w:val="7E336A9D"/>
    <w:rsid w:val="7E3C4EA2"/>
    <w:rsid w:val="7E405738"/>
    <w:rsid w:val="7E510CBD"/>
    <w:rsid w:val="7E5155FB"/>
    <w:rsid w:val="7E54753C"/>
    <w:rsid w:val="7E582E84"/>
    <w:rsid w:val="7E5E609E"/>
    <w:rsid w:val="7E5F5FE3"/>
    <w:rsid w:val="7E6D347C"/>
    <w:rsid w:val="7E6E4981"/>
    <w:rsid w:val="7E7354F5"/>
    <w:rsid w:val="7E7B6FE3"/>
    <w:rsid w:val="7E805D08"/>
    <w:rsid w:val="7E81400A"/>
    <w:rsid w:val="7E82584A"/>
    <w:rsid w:val="7E943510"/>
    <w:rsid w:val="7E986A37"/>
    <w:rsid w:val="7EDF056C"/>
    <w:rsid w:val="7EEDB6B1"/>
    <w:rsid w:val="7EEF2E28"/>
    <w:rsid w:val="7EF21F47"/>
    <w:rsid w:val="7EF31942"/>
    <w:rsid w:val="7EFB4FD9"/>
    <w:rsid w:val="7EFD2A44"/>
    <w:rsid w:val="7F011AFE"/>
    <w:rsid w:val="7F0C3BD0"/>
    <w:rsid w:val="7F303107"/>
    <w:rsid w:val="7F326A44"/>
    <w:rsid w:val="7F33157B"/>
    <w:rsid w:val="7F3D1095"/>
    <w:rsid w:val="7F4327F8"/>
    <w:rsid w:val="7F480CEA"/>
    <w:rsid w:val="7F4E4945"/>
    <w:rsid w:val="7F593BCF"/>
    <w:rsid w:val="7F675F78"/>
    <w:rsid w:val="7F727385"/>
    <w:rsid w:val="7F7741D2"/>
    <w:rsid w:val="7F7C2FEC"/>
    <w:rsid w:val="7F801D46"/>
    <w:rsid w:val="7FBC103A"/>
    <w:rsid w:val="7FE20B4D"/>
    <w:rsid w:val="7FE61D04"/>
    <w:rsid w:val="7FEF9FDC"/>
    <w:rsid w:val="7FF20382"/>
    <w:rsid w:val="7FF21DC8"/>
    <w:rsid w:val="7FF52749"/>
    <w:rsid w:val="7FF7505D"/>
    <w:rsid w:val="B5FF3301"/>
    <w:rsid w:val="B77F19D3"/>
    <w:rsid w:val="BCF7060E"/>
    <w:rsid w:val="BFEB99D2"/>
    <w:rsid w:val="DF6E69CF"/>
    <w:rsid w:val="DF7D3155"/>
    <w:rsid w:val="EADEAFAD"/>
    <w:rsid w:val="ED7C43D2"/>
    <w:rsid w:val="F7EB0086"/>
    <w:rsid w:val="FD5FC4D6"/>
    <w:rsid w:val="FFDF6917"/>
    <w:rsid w:val="FFE72453"/>
    <w:rsid w:val="FFEF4A3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qFormat="1" w:unhideWhenUsed="0" w:uiPriority="0" w:semiHidden="0" w:name="toa heading"/>
    <w:lsdException w:qFormat="1" w:unhideWhenUsed="0" w:uiPriority="0" w:semiHidden="0" w:name="List"/>
    <w:lsdException w:unhideWhenUsed="0" w:uiPriority="0" w:semiHidden="0" w:name="List Bullet"/>
    <w:lsdException w:uiPriority="0" w:name="List Number"/>
    <w:lsdException w:qFormat="1" w:unhideWhenUsed="0" w:uiPriority="0" w:semiHidden="0" w:name="List 2"/>
    <w:lsdException w:qFormat="1" w:unhideWhenUsed="0" w:uiPriority="0"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3"/>
    <w:link w:val="60"/>
    <w:autoRedefine/>
    <w:qFormat/>
    <w:uiPriority w:val="9"/>
    <w:pPr>
      <w:keepNext/>
      <w:jc w:val="center"/>
      <w:outlineLvl w:val="0"/>
    </w:pPr>
    <w:rPr>
      <w:rFonts w:ascii="楷体_GB2312" w:hAnsi="楷体_GB2312"/>
      <w:b/>
      <w:sz w:val="32"/>
      <w:szCs w:val="32"/>
    </w:rPr>
  </w:style>
  <w:style w:type="paragraph" w:styleId="4">
    <w:name w:val="heading 2"/>
    <w:basedOn w:val="1"/>
    <w:next w:val="1"/>
    <w:link w:val="93"/>
    <w:autoRedefine/>
    <w:qFormat/>
    <w:uiPriority w:val="0"/>
    <w:pPr>
      <w:keepNext/>
      <w:keepLines/>
      <w:spacing w:before="200" w:after="200" w:line="480" w:lineRule="auto"/>
      <w:jc w:val="left"/>
      <w:outlineLvl w:val="1"/>
    </w:pPr>
    <w:rPr>
      <w:rFonts w:ascii="Arial" w:hAnsi="Arial" w:cs="Arial"/>
      <w:b/>
      <w:bCs/>
      <w:sz w:val="30"/>
      <w:szCs w:val="30"/>
    </w:rPr>
  </w:style>
  <w:style w:type="paragraph" w:styleId="5">
    <w:name w:val="heading 3"/>
    <w:basedOn w:val="1"/>
    <w:next w:val="3"/>
    <w:link w:val="88"/>
    <w:autoRedefine/>
    <w:qFormat/>
    <w:uiPriority w:val="0"/>
    <w:pPr>
      <w:keepNext/>
      <w:keepLines/>
      <w:spacing w:before="200" w:after="100" w:line="480" w:lineRule="auto"/>
      <w:jc w:val="left"/>
      <w:outlineLvl w:val="2"/>
    </w:pPr>
    <w:rPr>
      <w:b/>
      <w:bCs/>
      <w:sz w:val="28"/>
      <w:szCs w:val="32"/>
    </w:rPr>
  </w:style>
  <w:style w:type="paragraph" w:styleId="6">
    <w:name w:val="heading 4"/>
    <w:basedOn w:val="1"/>
    <w:next w:val="1"/>
    <w:link w:val="61"/>
    <w:autoRedefine/>
    <w:qFormat/>
    <w:uiPriority w:val="0"/>
    <w:pPr>
      <w:keepNext/>
      <w:keepLines/>
      <w:ind w:firstLine="420" w:firstLineChars="150"/>
      <w:outlineLvl w:val="3"/>
    </w:pPr>
    <w:rPr>
      <w:rFonts w:ascii="Arial" w:hAnsi="Arial" w:cs="Arial"/>
      <w:b/>
      <w:sz w:val="28"/>
      <w:szCs w:val="28"/>
    </w:rPr>
  </w:style>
  <w:style w:type="paragraph" w:styleId="7">
    <w:name w:val="heading 5"/>
    <w:basedOn w:val="1"/>
    <w:next w:val="3"/>
    <w:link w:val="98"/>
    <w:autoRedefine/>
    <w:qFormat/>
    <w:uiPriority w:val="0"/>
    <w:pPr>
      <w:keepNext/>
      <w:autoSpaceDE w:val="0"/>
      <w:autoSpaceDN w:val="0"/>
      <w:adjustRightInd w:val="0"/>
      <w:outlineLvl w:val="4"/>
    </w:pPr>
    <w:rPr>
      <w:rFonts w:ascii="宋体"/>
      <w:color w:val="000000"/>
      <w:kern w:val="0"/>
      <w:sz w:val="28"/>
      <w:szCs w:val="28"/>
    </w:rPr>
  </w:style>
  <w:style w:type="paragraph" w:styleId="8">
    <w:name w:val="heading 6"/>
    <w:basedOn w:val="1"/>
    <w:next w:val="1"/>
    <w:link w:val="89"/>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69"/>
    <w:autoRedefine/>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70"/>
    <w:autoRedefine/>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64"/>
    <w:autoRedefine/>
    <w:qFormat/>
    <w:uiPriority w:val="0"/>
    <w:pPr>
      <w:keepNext/>
      <w:keepLines/>
      <w:numPr>
        <w:ilvl w:val="8"/>
        <w:numId w:val="1"/>
      </w:numPr>
      <w:spacing w:before="240" w:after="64" w:line="320" w:lineRule="auto"/>
      <w:outlineLvl w:val="8"/>
    </w:pPr>
    <w:rPr>
      <w:rFonts w:ascii="Arial" w:hAnsi="Arial" w:eastAsia="黑体"/>
    </w:rPr>
  </w:style>
  <w:style w:type="character" w:default="1" w:styleId="41">
    <w:name w:val="Default Paragraph Font"/>
    <w:autoRedefine/>
    <w:semiHidden/>
    <w:unhideWhenUsed/>
    <w:qFormat/>
    <w:uiPriority w:val="1"/>
  </w:style>
  <w:style w:type="table" w:default="1" w:styleId="39">
    <w:name w:val="Normal Table"/>
    <w:autoRedefine/>
    <w:semiHidden/>
    <w:unhideWhenUsed/>
    <w:qFormat/>
    <w:uiPriority w:val="99"/>
    <w:tblPr>
      <w:tblCellMar>
        <w:top w:w="0" w:type="dxa"/>
        <w:left w:w="108" w:type="dxa"/>
        <w:bottom w:w="0" w:type="dxa"/>
        <w:right w:w="108" w:type="dxa"/>
      </w:tblCellMar>
    </w:tblPr>
  </w:style>
  <w:style w:type="paragraph" w:styleId="3">
    <w:name w:val="Normal Indent"/>
    <w:basedOn w:val="1"/>
    <w:next w:val="1"/>
    <w:link w:val="76"/>
    <w:autoRedefine/>
    <w:qFormat/>
    <w:uiPriority w:val="0"/>
    <w:pPr>
      <w:ind w:firstLine="420"/>
    </w:pPr>
  </w:style>
  <w:style w:type="paragraph" w:styleId="12">
    <w:name w:val="List 3"/>
    <w:basedOn w:val="1"/>
    <w:autoRedefine/>
    <w:qFormat/>
    <w:uiPriority w:val="0"/>
    <w:pPr>
      <w:ind w:left="100" w:leftChars="400" w:hanging="200" w:hangingChars="200"/>
    </w:pPr>
  </w:style>
  <w:style w:type="paragraph" w:styleId="13">
    <w:name w:val="Document Map"/>
    <w:basedOn w:val="1"/>
    <w:link w:val="95"/>
    <w:autoRedefine/>
    <w:semiHidden/>
    <w:qFormat/>
    <w:uiPriority w:val="0"/>
    <w:pPr>
      <w:shd w:val="clear" w:color="auto" w:fill="000080"/>
    </w:pPr>
  </w:style>
  <w:style w:type="paragraph" w:styleId="14">
    <w:name w:val="toa heading"/>
    <w:basedOn w:val="1"/>
    <w:next w:val="1"/>
    <w:autoRedefine/>
    <w:qFormat/>
    <w:uiPriority w:val="0"/>
    <w:pPr>
      <w:spacing w:before="120"/>
    </w:pPr>
    <w:rPr>
      <w:rFonts w:ascii="Cambria" w:hAnsi="Cambria"/>
      <w:sz w:val="24"/>
    </w:rPr>
  </w:style>
  <w:style w:type="paragraph" w:styleId="15">
    <w:name w:val="annotation text"/>
    <w:basedOn w:val="1"/>
    <w:link w:val="208"/>
    <w:autoRedefine/>
    <w:semiHidden/>
    <w:qFormat/>
    <w:uiPriority w:val="0"/>
    <w:pPr>
      <w:jc w:val="left"/>
    </w:pPr>
  </w:style>
  <w:style w:type="paragraph" w:styleId="16">
    <w:name w:val="Body Text 3"/>
    <w:basedOn w:val="1"/>
    <w:link w:val="72"/>
    <w:autoRedefine/>
    <w:qFormat/>
    <w:uiPriority w:val="0"/>
    <w:rPr>
      <w:rFonts w:ascii="仿宋_GB2312" w:hAnsi="Arial" w:eastAsia="仿宋_GB2312"/>
      <w:sz w:val="32"/>
      <w:szCs w:val="32"/>
    </w:rPr>
  </w:style>
  <w:style w:type="paragraph" w:styleId="17">
    <w:name w:val="Body Text"/>
    <w:basedOn w:val="1"/>
    <w:next w:val="1"/>
    <w:link w:val="68"/>
    <w:autoRedefine/>
    <w:qFormat/>
    <w:uiPriority w:val="0"/>
    <w:rPr>
      <w:rFonts w:ascii="楷体_GB2312" w:hAnsi="Arial" w:eastAsia="楷体_GB2312"/>
      <w:sz w:val="28"/>
      <w:szCs w:val="28"/>
    </w:rPr>
  </w:style>
  <w:style w:type="paragraph" w:styleId="18">
    <w:name w:val="Body Text Indent"/>
    <w:basedOn w:val="1"/>
    <w:next w:val="3"/>
    <w:link w:val="74"/>
    <w:autoRedefine/>
    <w:qFormat/>
    <w:uiPriority w:val="0"/>
    <w:pPr>
      <w:ind w:firstLine="645"/>
    </w:pPr>
    <w:rPr>
      <w:rFonts w:ascii="楷体_GB2312" w:eastAsia="楷体_GB2312"/>
      <w:sz w:val="32"/>
      <w:szCs w:val="32"/>
    </w:rPr>
  </w:style>
  <w:style w:type="paragraph" w:styleId="19">
    <w:name w:val="List 2"/>
    <w:basedOn w:val="1"/>
    <w:autoRedefine/>
    <w:qFormat/>
    <w:uiPriority w:val="0"/>
    <w:pPr>
      <w:ind w:left="100" w:leftChars="200" w:hanging="200" w:hangingChars="200"/>
    </w:pPr>
  </w:style>
  <w:style w:type="paragraph" w:styleId="20">
    <w:name w:val="toc 3"/>
    <w:basedOn w:val="21"/>
    <w:next w:val="1"/>
    <w:autoRedefine/>
    <w:qFormat/>
    <w:uiPriority w:val="39"/>
    <w:pPr>
      <w:ind w:left="840" w:leftChars="400"/>
    </w:pPr>
  </w:style>
  <w:style w:type="paragraph" w:styleId="21">
    <w:name w:val="toc 1"/>
    <w:basedOn w:val="1"/>
    <w:next w:val="1"/>
    <w:autoRedefine/>
    <w:unhideWhenUsed/>
    <w:qFormat/>
    <w:uiPriority w:val="39"/>
    <w:pPr>
      <w:widowControl/>
      <w:spacing w:after="100" w:line="259" w:lineRule="auto"/>
      <w:jc w:val="left"/>
    </w:pPr>
    <w:rPr>
      <w:rFonts w:ascii="Calibri" w:hAnsi="Calibri"/>
      <w:kern w:val="0"/>
      <w:sz w:val="22"/>
      <w:szCs w:val="22"/>
    </w:rPr>
  </w:style>
  <w:style w:type="paragraph" w:styleId="22">
    <w:name w:val="Plain Text"/>
    <w:basedOn w:val="1"/>
    <w:link w:val="97"/>
    <w:autoRedefine/>
    <w:qFormat/>
    <w:uiPriority w:val="0"/>
    <w:rPr>
      <w:rFonts w:ascii="宋体" w:hAnsi="Courier New" w:cs="Courier New"/>
    </w:rPr>
  </w:style>
  <w:style w:type="paragraph" w:styleId="23">
    <w:name w:val="Date"/>
    <w:basedOn w:val="1"/>
    <w:next w:val="1"/>
    <w:link w:val="80"/>
    <w:autoRedefine/>
    <w:qFormat/>
    <w:uiPriority w:val="0"/>
    <w:rPr>
      <w:sz w:val="24"/>
      <w:szCs w:val="24"/>
    </w:rPr>
  </w:style>
  <w:style w:type="paragraph" w:styleId="24">
    <w:name w:val="Body Text Indent 2"/>
    <w:basedOn w:val="1"/>
    <w:link w:val="75"/>
    <w:autoRedefine/>
    <w:qFormat/>
    <w:uiPriority w:val="0"/>
    <w:pPr>
      <w:ind w:left="630" w:firstLine="645"/>
    </w:pPr>
    <w:rPr>
      <w:rFonts w:ascii="Arial" w:hAnsi="Arial" w:eastAsia="仿宋_GB2312" w:cs="Arial"/>
      <w:sz w:val="32"/>
      <w:szCs w:val="32"/>
    </w:rPr>
  </w:style>
  <w:style w:type="paragraph" w:styleId="25">
    <w:name w:val="Balloon Text"/>
    <w:basedOn w:val="1"/>
    <w:link w:val="99"/>
    <w:autoRedefine/>
    <w:semiHidden/>
    <w:qFormat/>
    <w:uiPriority w:val="0"/>
    <w:rPr>
      <w:sz w:val="18"/>
      <w:szCs w:val="18"/>
    </w:rPr>
  </w:style>
  <w:style w:type="paragraph" w:styleId="26">
    <w:name w:val="footer"/>
    <w:basedOn w:val="1"/>
    <w:link w:val="73"/>
    <w:autoRedefine/>
    <w:qFormat/>
    <w:uiPriority w:val="99"/>
    <w:pPr>
      <w:tabs>
        <w:tab w:val="center" w:pos="4153"/>
        <w:tab w:val="right" w:pos="8306"/>
      </w:tabs>
      <w:snapToGrid w:val="0"/>
      <w:jc w:val="left"/>
    </w:pPr>
    <w:rPr>
      <w:rFonts w:cs="Symbol"/>
      <w:color w:val="000000" w:themeColor="text1"/>
      <w:sz w:val="18"/>
      <w:szCs w:val="18"/>
      <w14:textFill>
        <w14:solidFill>
          <w14:schemeClr w14:val="tx1"/>
        </w14:solidFill>
      </w14:textFill>
    </w:rPr>
  </w:style>
  <w:style w:type="paragraph" w:styleId="27">
    <w:name w:val="header"/>
    <w:basedOn w:val="1"/>
    <w:link w:val="91"/>
    <w:autoRedefine/>
    <w:qFormat/>
    <w:uiPriority w:val="99"/>
    <w:pPr>
      <w:pBdr>
        <w:bottom w:val="single" w:color="auto" w:sz="6" w:space="1"/>
      </w:pBdr>
      <w:tabs>
        <w:tab w:val="center" w:pos="4153"/>
        <w:tab w:val="right" w:pos="8306"/>
      </w:tabs>
      <w:snapToGrid w:val="0"/>
      <w:jc w:val="center"/>
    </w:pPr>
    <w:rPr>
      <w:sz w:val="18"/>
      <w:szCs w:val="18"/>
    </w:rPr>
  </w:style>
  <w:style w:type="paragraph" w:styleId="28">
    <w:name w:val="toc 4"/>
    <w:basedOn w:val="1"/>
    <w:next w:val="1"/>
    <w:autoRedefine/>
    <w:qFormat/>
    <w:uiPriority w:val="39"/>
    <w:pPr>
      <w:ind w:left="960"/>
      <w:jc w:val="left"/>
    </w:pPr>
    <w:rPr>
      <w:rFonts w:ascii="Calibri" w:hAnsi="Calibri"/>
      <w:sz w:val="18"/>
      <w:szCs w:val="18"/>
    </w:rPr>
  </w:style>
  <w:style w:type="paragraph" w:styleId="29">
    <w:name w:val="List"/>
    <w:basedOn w:val="1"/>
    <w:autoRedefine/>
    <w:qFormat/>
    <w:uiPriority w:val="0"/>
    <w:pPr>
      <w:ind w:left="200" w:hanging="200" w:hangingChars="200"/>
    </w:pPr>
  </w:style>
  <w:style w:type="paragraph" w:styleId="30">
    <w:name w:val="footnote text"/>
    <w:basedOn w:val="1"/>
    <w:link w:val="209"/>
    <w:autoRedefine/>
    <w:qFormat/>
    <w:uiPriority w:val="0"/>
    <w:pPr>
      <w:snapToGrid w:val="0"/>
      <w:jc w:val="left"/>
    </w:pPr>
    <w:rPr>
      <w:sz w:val="18"/>
    </w:rPr>
  </w:style>
  <w:style w:type="paragraph" w:styleId="31">
    <w:name w:val="Body Text Indent 3"/>
    <w:basedOn w:val="1"/>
    <w:link w:val="90"/>
    <w:autoRedefine/>
    <w:qFormat/>
    <w:uiPriority w:val="0"/>
    <w:pPr>
      <w:ind w:left="645" w:firstLine="645"/>
    </w:pPr>
    <w:rPr>
      <w:rFonts w:ascii="Arial" w:hAnsi="Arial" w:eastAsia="仿宋_GB2312" w:cs="Arial"/>
      <w:color w:val="FFFF00"/>
      <w:sz w:val="32"/>
      <w:szCs w:val="32"/>
    </w:rPr>
  </w:style>
  <w:style w:type="paragraph" w:styleId="32">
    <w:name w:val="toc 2"/>
    <w:basedOn w:val="21"/>
    <w:next w:val="1"/>
    <w:autoRedefine/>
    <w:qFormat/>
    <w:uiPriority w:val="39"/>
    <w:pPr>
      <w:ind w:left="210"/>
    </w:pPr>
    <w:rPr>
      <w:smallCaps/>
      <w:szCs w:val="24"/>
    </w:rPr>
  </w:style>
  <w:style w:type="paragraph" w:styleId="33">
    <w:name w:val="Body Text 2"/>
    <w:basedOn w:val="1"/>
    <w:link w:val="96"/>
    <w:autoRedefine/>
    <w:qFormat/>
    <w:uiPriority w:val="0"/>
    <w:pPr>
      <w:widowControl/>
      <w:jc w:val="center"/>
    </w:pPr>
    <w:rPr>
      <w:rFonts w:ascii="楷体_GB2312" w:eastAsia="楷体_GB2312"/>
      <w:sz w:val="28"/>
      <w:szCs w:val="28"/>
    </w:rPr>
  </w:style>
  <w:style w:type="paragraph" w:styleId="34">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5">
    <w:name w:val="Normal (Web)"/>
    <w:basedOn w:val="1"/>
    <w:next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6">
    <w:name w:val="annotation subject"/>
    <w:basedOn w:val="15"/>
    <w:next w:val="15"/>
    <w:link w:val="92"/>
    <w:autoRedefine/>
    <w:semiHidden/>
    <w:qFormat/>
    <w:uiPriority w:val="0"/>
    <w:rPr>
      <w:b/>
      <w:bCs/>
    </w:rPr>
  </w:style>
  <w:style w:type="paragraph" w:styleId="37">
    <w:name w:val="Body Text First Indent"/>
    <w:basedOn w:val="17"/>
    <w:link w:val="94"/>
    <w:autoRedefine/>
    <w:qFormat/>
    <w:uiPriority w:val="0"/>
    <w:pPr>
      <w:spacing w:line="360" w:lineRule="auto"/>
      <w:ind w:firstLine="200" w:firstLineChars="200"/>
    </w:pPr>
    <w:rPr>
      <w:rFonts w:ascii="仿宋_GB2312" w:eastAsia="仿宋_GB2312"/>
      <w:sz w:val="30"/>
      <w:szCs w:val="30"/>
    </w:rPr>
  </w:style>
  <w:style w:type="paragraph" w:styleId="38">
    <w:name w:val="Body Text First Indent 2"/>
    <w:basedOn w:val="18"/>
    <w:next w:val="1"/>
    <w:link w:val="77"/>
    <w:autoRedefine/>
    <w:qFormat/>
    <w:uiPriority w:val="0"/>
    <w:pPr>
      <w:spacing w:line="360" w:lineRule="auto"/>
      <w:ind w:firstLine="420" w:firstLineChars="200"/>
    </w:pPr>
    <w:rPr>
      <w:rFonts w:ascii="宋体" w:hAnsi="宋体" w:eastAsia="宋体"/>
      <w:sz w:val="21"/>
      <w:szCs w:val="20"/>
    </w:rPr>
  </w:style>
  <w:style w:type="table" w:styleId="40">
    <w:name w:val="Table Grid"/>
    <w:basedOn w:val="39"/>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2">
    <w:name w:val="Strong"/>
    <w:basedOn w:val="41"/>
    <w:autoRedefine/>
    <w:qFormat/>
    <w:uiPriority w:val="0"/>
    <w:rPr>
      <w:b/>
      <w:bCs/>
    </w:rPr>
  </w:style>
  <w:style w:type="character" w:styleId="43">
    <w:name w:val="page number"/>
    <w:basedOn w:val="41"/>
    <w:autoRedefine/>
    <w:qFormat/>
    <w:uiPriority w:val="0"/>
  </w:style>
  <w:style w:type="character" w:styleId="44">
    <w:name w:val="FollowedHyperlink"/>
    <w:autoRedefine/>
    <w:qFormat/>
    <w:uiPriority w:val="99"/>
    <w:rPr>
      <w:color w:val="800080"/>
      <w:u w:val="single"/>
    </w:rPr>
  </w:style>
  <w:style w:type="character" w:styleId="45">
    <w:name w:val="Emphasis"/>
    <w:basedOn w:val="41"/>
    <w:autoRedefine/>
    <w:qFormat/>
    <w:uiPriority w:val="0"/>
  </w:style>
  <w:style w:type="character" w:styleId="46">
    <w:name w:val="HTML Definition"/>
    <w:basedOn w:val="41"/>
    <w:autoRedefine/>
    <w:qFormat/>
    <w:uiPriority w:val="0"/>
  </w:style>
  <w:style w:type="character" w:styleId="47">
    <w:name w:val="HTML Typewriter"/>
    <w:basedOn w:val="41"/>
    <w:autoRedefine/>
    <w:qFormat/>
    <w:uiPriority w:val="0"/>
    <w:rPr>
      <w:rFonts w:hint="default" w:ascii="monospace" w:hAnsi="monospace" w:eastAsia="monospace" w:cs="monospace"/>
      <w:sz w:val="20"/>
    </w:rPr>
  </w:style>
  <w:style w:type="character" w:styleId="48">
    <w:name w:val="HTML Acronym"/>
    <w:basedOn w:val="41"/>
    <w:autoRedefine/>
    <w:qFormat/>
    <w:uiPriority w:val="0"/>
  </w:style>
  <w:style w:type="character" w:styleId="49">
    <w:name w:val="HTML Variable"/>
    <w:basedOn w:val="41"/>
    <w:autoRedefine/>
    <w:qFormat/>
    <w:uiPriority w:val="0"/>
  </w:style>
  <w:style w:type="character" w:styleId="50">
    <w:name w:val="Hyperlink"/>
    <w:autoRedefine/>
    <w:qFormat/>
    <w:uiPriority w:val="99"/>
    <w:rPr>
      <w:color w:val="0000FF"/>
      <w:u w:val="single"/>
    </w:rPr>
  </w:style>
  <w:style w:type="character" w:styleId="51">
    <w:name w:val="HTML Code"/>
    <w:basedOn w:val="41"/>
    <w:autoRedefine/>
    <w:qFormat/>
    <w:uiPriority w:val="0"/>
    <w:rPr>
      <w:rFonts w:hint="default" w:ascii="monospace" w:hAnsi="monospace" w:eastAsia="monospace" w:cs="monospace"/>
      <w:sz w:val="20"/>
    </w:rPr>
  </w:style>
  <w:style w:type="character" w:styleId="52">
    <w:name w:val="annotation reference"/>
    <w:autoRedefine/>
    <w:qFormat/>
    <w:uiPriority w:val="0"/>
    <w:rPr>
      <w:sz w:val="21"/>
      <w:szCs w:val="21"/>
    </w:rPr>
  </w:style>
  <w:style w:type="character" w:styleId="53">
    <w:name w:val="HTML Cite"/>
    <w:basedOn w:val="41"/>
    <w:autoRedefine/>
    <w:qFormat/>
    <w:uiPriority w:val="0"/>
  </w:style>
  <w:style w:type="character" w:styleId="54">
    <w:name w:val="HTML Keyboard"/>
    <w:basedOn w:val="41"/>
    <w:autoRedefine/>
    <w:qFormat/>
    <w:uiPriority w:val="0"/>
    <w:rPr>
      <w:rFonts w:hint="default" w:ascii="monospace" w:hAnsi="monospace" w:eastAsia="monospace" w:cs="monospace"/>
      <w:sz w:val="20"/>
    </w:rPr>
  </w:style>
  <w:style w:type="character" w:styleId="55">
    <w:name w:val="HTML Sample"/>
    <w:basedOn w:val="41"/>
    <w:autoRedefine/>
    <w:qFormat/>
    <w:uiPriority w:val="0"/>
    <w:rPr>
      <w:rFonts w:ascii="monospace" w:hAnsi="monospace" w:eastAsia="monospace" w:cs="monospace"/>
    </w:rPr>
  </w:style>
  <w:style w:type="paragraph" w:customStyle="1" w:styleId="56">
    <w:name w:val="无间隔1"/>
    <w:basedOn w:val="57"/>
    <w:autoRedefine/>
    <w:qFormat/>
    <w:uiPriority w:val="1"/>
    <w:pPr>
      <w:spacing w:line="400" w:lineRule="exact"/>
    </w:pPr>
    <w:rPr>
      <w:sz w:val="24"/>
    </w:rPr>
  </w:style>
  <w:style w:type="paragraph" w:customStyle="1" w:styleId="57">
    <w:name w:val="正文1"/>
    <w:next w:val="58"/>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58">
    <w:name w:val="页脚1"/>
    <w:basedOn w:val="57"/>
    <w:autoRedefine/>
    <w:unhideWhenUsed/>
    <w:qFormat/>
    <w:uiPriority w:val="99"/>
    <w:pPr>
      <w:tabs>
        <w:tab w:val="center" w:pos="4153"/>
        <w:tab w:val="right" w:pos="8306"/>
      </w:tabs>
      <w:snapToGrid w:val="0"/>
      <w:jc w:val="left"/>
    </w:pPr>
    <w:rPr>
      <w:rFonts w:ascii="Times New Roman" w:hAnsi="Times New Roman"/>
      <w:kern w:val="0"/>
      <w:sz w:val="18"/>
      <w:szCs w:val="18"/>
    </w:rPr>
  </w:style>
  <w:style w:type="paragraph" w:customStyle="1" w:styleId="59">
    <w:name w:val="Heading2"/>
    <w:basedOn w:val="1"/>
    <w:next w:val="1"/>
    <w:autoRedefine/>
    <w:qFormat/>
    <w:uiPriority w:val="0"/>
    <w:pPr>
      <w:keepNext/>
      <w:keepLines/>
      <w:numPr>
        <w:ilvl w:val="1"/>
        <w:numId w:val="2"/>
      </w:numPr>
      <w:spacing w:before="260" w:after="260" w:line="416" w:lineRule="auto"/>
    </w:pPr>
    <w:rPr>
      <w:rFonts w:ascii="宋体" w:hAnsi="宋体"/>
      <w:b/>
      <w:bCs/>
      <w:sz w:val="32"/>
      <w:szCs w:val="32"/>
    </w:rPr>
  </w:style>
  <w:style w:type="character" w:customStyle="1" w:styleId="60">
    <w:name w:val="标题 1 Char"/>
    <w:link w:val="2"/>
    <w:autoRedefine/>
    <w:qFormat/>
    <w:uiPriority w:val="9"/>
    <w:rPr>
      <w:rFonts w:ascii="楷体_GB2312" w:hAnsi="楷体_GB2312" w:eastAsia="宋体"/>
      <w:b/>
      <w:kern w:val="2"/>
      <w:sz w:val="32"/>
      <w:szCs w:val="32"/>
      <w:lang w:val="en-US" w:eastAsia="zh-CN" w:bidi="ar-SA"/>
    </w:rPr>
  </w:style>
  <w:style w:type="character" w:customStyle="1" w:styleId="61">
    <w:name w:val="标题 4 Char"/>
    <w:link w:val="6"/>
    <w:autoRedefine/>
    <w:qFormat/>
    <w:uiPriority w:val="0"/>
    <w:rPr>
      <w:rFonts w:ascii="Arial" w:hAnsi="Arial" w:eastAsia="宋体" w:cs="Arial"/>
      <w:b/>
      <w:kern w:val="2"/>
      <w:sz w:val="28"/>
      <w:szCs w:val="28"/>
      <w:lang w:val="en-US" w:eastAsia="zh-CN" w:bidi="ar-SA"/>
    </w:rPr>
  </w:style>
  <w:style w:type="paragraph" w:customStyle="1" w:styleId="62">
    <w:name w:val="标题 5（有编号）（绿盟科技）"/>
    <w:basedOn w:val="1"/>
    <w:next w:val="63"/>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63">
    <w:name w:val="正文（绿盟科技）"/>
    <w:autoRedefine/>
    <w:qFormat/>
    <w:uiPriority w:val="0"/>
    <w:pPr>
      <w:spacing w:line="300" w:lineRule="auto"/>
    </w:pPr>
    <w:rPr>
      <w:rFonts w:ascii="Arial" w:hAnsi="Arial" w:eastAsia="宋体" w:cs="黑体"/>
      <w:sz w:val="21"/>
      <w:szCs w:val="21"/>
      <w:lang w:val="en-US" w:eastAsia="zh-CN" w:bidi="ar-SA"/>
    </w:rPr>
  </w:style>
  <w:style w:type="character" w:customStyle="1" w:styleId="64">
    <w:name w:val="标题 9 Char"/>
    <w:link w:val="11"/>
    <w:autoRedefine/>
    <w:qFormat/>
    <w:uiPriority w:val="0"/>
    <w:rPr>
      <w:rFonts w:ascii="Arial" w:hAnsi="Arial" w:eastAsia="黑体"/>
      <w:kern w:val="2"/>
      <w:sz w:val="21"/>
      <w:szCs w:val="21"/>
      <w:lang w:val="en-US" w:eastAsia="zh-CN" w:bidi="ar-SA"/>
    </w:rPr>
  </w:style>
  <w:style w:type="character" w:customStyle="1" w:styleId="65">
    <w:name w:val="正文缩进 Char"/>
    <w:autoRedefine/>
    <w:qFormat/>
    <w:uiPriority w:val="0"/>
    <w:rPr>
      <w:kern w:val="2"/>
      <w:sz w:val="21"/>
      <w:szCs w:val="21"/>
    </w:rPr>
  </w:style>
  <w:style w:type="character" w:customStyle="1" w:styleId="66">
    <w:name w:val="列出段落 Char"/>
    <w:link w:val="67"/>
    <w:autoRedefine/>
    <w:qFormat/>
    <w:locked/>
    <w:uiPriority w:val="0"/>
    <w:rPr>
      <w:rFonts w:ascii="Calibri" w:hAnsi="Calibri"/>
      <w:sz w:val="24"/>
      <w:szCs w:val="24"/>
      <w:lang w:eastAsia="en-US" w:bidi="en-US"/>
    </w:rPr>
  </w:style>
  <w:style w:type="paragraph" w:customStyle="1" w:styleId="67">
    <w:name w:val="列出段落11"/>
    <w:basedOn w:val="1"/>
    <w:link w:val="66"/>
    <w:autoRedefine/>
    <w:qFormat/>
    <w:uiPriority w:val="0"/>
    <w:pPr>
      <w:widowControl/>
      <w:ind w:left="720"/>
      <w:contextualSpacing/>
      <w:jc w:val="left"/>
    </w:pPr>
    <w:rPr>
      <w:rFonts w:ascii="Calibri" w:hAnsi="Calibri"/>
      <w:kern w:val="0"/>
      <w:sz w:val="24"/>
      <w:szCs w:val="24"/>
      <w:lang w:eastAsia="en-US" w:bidi="en-US"/>
    </w:rPr>
  </w:style>
  <w:style w:type="character" w:customStyle="1" w:styleId="68">
    <w:name w:val="正文文本 Char"/>
    <w:link w:val="17"/>
    <w:autoRedefine/>
    <w:qFormat/>
    <w:uiPriority w:val="0"/>
    <w:rPr>
      <w:rFonts w:ascii="楷体_GB2312" w:hAnsi="Arial" w:eastAsia="楷体_GB2312"/>
      <w:kern w:val="2"/>
      <w:sz w:val="28"/>
      <w:szCs w:val="28"/>
      <w:lang w:val="en-US" w:eastAsia="zh-CN" w:bidi="ar-SA"/>
    </w:rPr>
  </w:style>
  <w:style w:type="character" w:customStyle="1" w:styleId="69">
    <w:name w:val="标题 7 Char"/>
    <w:link w:val="9"/>
    <w:autoRedefine/>
    <w:qFormat/>
    <w:uiPriority w:val="0"/>
    <w:rPr>
      <w:rFonts w:eastAsia="宋体"/>
      <w:b/>
      <w:bCs/>
      <w:kern w:val="2"/>
      <w:sz w:val="24"/>
      <w:szCs w:val="24"/>
      <w:lang w:val="en-US" w:eastAsia="zh-CN" w:bidi="ar-SA"/>
    </w:rPr>
  </w:style>
  <w:style w:type="character" w:customStyle="1" w:styleId="70">
    <w:name w:val="标题 8 Char"/>
    <w:link w:val="10"/>
    <w:autoRedefine/>
    <w:qFormat/>
    <w:uiPriority w:val="0"/>
    <w:rPr>
      <w:rFonts w:ascii="Arial" w:hAnsi="Arial" w:eastAsia="黑体"/>
      <w:kern w:val="2"/>
      <w:sz w:val="24"/>
      <w:szCs w:val="24"/>
      <w:lang w:val="en-US" w:eastAsia="zh-CN" w:bidi="ar-SA"/>
    </w:rPr>
  </w:style>
  <w:style w:type="character" w:customStyle="1" w:styleId="71">
    <w:name w:val="正文首行缩进 Char"/>
    <w:autoRedefine/>
    <w:qFormat/>
    <w:uiPriority w:val="0"/>
    <w:rPr>
      <w:rFonts w:ascii="仿宋_GB2312" w:hAnsi="Times New Roman" w:eastAsia="仿宋_GB2312" w:cs="Times New Roman"/>
      <w:kern w:val="2"/>
      <w:sz w:val="30"/>
      <w:szCs w:val="30"/>
    </w:rPr>
  </w:style>
  <w:style w:type="character" w:customStyle="1" w:styleId="72">
    <w:name w:val="正文文本 3 Char"/>
    <w:link w:val="16"/>
    <w:autoRedefine/>
    <w:qFormat/>
    <w:uiPriority w:val="0"/>
    <w:rPr>
      <w:rFonts w:ascii="仿宋_GB2312" w:hAnsi="Arial" w:eastAsia="仿宋_GB2312"/>
      <w:kern w:val="2"/>
      <w:sz w:val="32"/>
      <w:szCs w:val="32"/>
      <w:lang w:val="en-US" w:eastAsia="zh-CN" w:bidi="ar-SA"/>
    </w:rPr>
  </w:style>
  <w:style w:type="character" w:customStyle="1" w:styleId="73">
    <w:name w:val="页脚 Char"/>
    <w:link w:val="26"/>
    <w:autoRedefine/>
    <w:qFormat/>
    <w:uiPriority w:val="99"/>
    <w:rPr>
      <w:rFonts w:eastAsia="宋体" w:cs="Symbol"/>
      <w:color w:val="000000" w:themeColor="text1"/>
      <w:kern w:val="2"/>
      <w:sz w:val="18"/>
      <w:szCs w:val="18"/>
      <w:lang w:bidi="ar-SA"/>
      <w14:textFill>
        <w14:solidFill>
          <w14:schemeClr w14:val="tx1"/>
        </w14:solidFill>
      </w14:textFill>
    </w:rPr>
  </w:style>
  <w:style w:type="character" w:customStyle="1" w:styleId="74">
    <w:name w:val="正文文本缩进 Char"/>
    <w:link w:val="18"/>
    <w:autoRedefine/>
    <w:qFormat/>
    <w:uiPriority w:val="0"/>
    <w:rPr>
      <w:rFonts w:ascii="楷体_GB2312" w:eastAsia="楷体_GB2312"/>
      <w:kern w:val="2"/>
      <w:sz w:val="32"/>
      <w:szCs w:val="32"/>
      <w:lang w:val="en-US" w:eastAsia="zh-CN" w:bidi="ar-SA"/>
    </w:rPr>
  </w:style>
  <w:style w:type="character" w:customStyle="1" w:styleId="75">
    <w:name w:val="正文文本缩进 2 Char"/>
    <w:link w:val="24"/>
    <w:autoRedefine/>
    <w:qFormat/>
    <w:uiPriority w:val="0"/>
    <w:rPr>
      <w:rFonts w:ascii="Arial" w:hAnsi="Arial" w:eastAsia="仿宋_GB2312" w:cs="Arial"/>
      <w:kern w:val="2"/>
      <w:sz w:val="32"/>
      <w:szCs w:val="32"/>
      <w:lang w:val="en-US" w:eastAsia="zh-CN" w:bidi="ar-SA"/>
    </w:rPr>
  </w:style>
  <w:style w:type="character" w:customStyle="1" w:styleId="76">
    <w:name w:val="正文缩进 Char1"/>
    <w:link w:val="3"/>
    <w:autoRedefine/>
    <w:qFormat/>
    <w:uiPriority w:val="0"/>
    <w:rPr>
      <w:rFonts w:eastAsia="宋体"/>
      <w:kern w:val="2"/>
      <w:sz w:val="21"/>
      <w:szCs w:val="21"/>
      <w:lang w:bidi="ar-SA"/>
    </w:rPr>
  </w:style>
  <w:style w:type="character" w:customStyle="1" w:styleId="77">
    <w:name w:val="正文首行缩进 2 Char"/>
    <w:link w:val="38"/>
    <w:autoRedefine/>
    <w:qFormat/>
    <w:uiPriority w:val="0"/>
    <w:rPr>
      <w:rFonts w:ascii="宋体" w:hAnsi="宋体" w:eastAsia="宋体"/>
      <w:kern w:val="2"/>
      <w:sz w:val="21"/>
      <w:lang w:val="en-US" w:eastAsia="zh-CN" w:bidi="ar-SA"/>
    </w:rPr>
  </w:style>
  <w:style w:type="character" w:customStyle="1" w:styleId="78">
    <w:name w:val="正文首行缩进（qhb） Char"/>
    <w:link w:val="79"/>
    <w:autoRedefine/>
    <w:qFormat/>
    <w:uiPriority w:val="0"/>
    <w:rPr>
      <w:rFonts w:ascii="Arial" w:hAnsi="Arial"/>
      <w:sz w:val="24"/>
      <w:szCs w:val="21"/>
    </w:rPr>
  </w:style>
  <w:style w:type="paragraph" w:customStyle="1" w:styleId="79">
    <w:name w:val="正文首行缩进（qhb）"/>
    <w:basedOn w:val="1"/>
    <w:link w:val="78"/>
    <w:autoRedefine/>
    <w:qFormat/>
    <w:uiPriority w:val="0"/>
    <w:pPr>
      <w:widowControl/>
      <w:spacing w:after="50" w:line="360" w:lineRule="auto"/>
      <w:ind w:firstLine="200" w:firstLineChars="200"/>
      <w:jc w:val="left"/>
    </w:pPr>
    <w:rPr>
      <w:rFonts w:ascii="Arial" w:hAnsi="Arial"/>
      <w:kern w:val="0"/>
      <w:sz w:val="24"/>
    </w:rPr>
  </w:style>
  <w:style w:type="character" w:customStyle="1" w:styleId="80">
    <w:name w:val="日期 Char"/>
    <w:link w:val="23"/>
    <w:autoRedefine/>
    <w:qFormat/>
    <w:uiPriority w:val="0"/>
    <w:rPr>
      <w:rFonts w:eastAsia="宋体"/>
      <w:kern w:val="2"/>
      <w:sz w:val="24"/>
      <w:szCs w:val="24"/>
      <w:lang w:val="en-US" w:eastAsia="zh-CN" w:bidi="ar-SA"/>
    </w:rPr>
  </w:style>
  <w:style w:type="character" w:customStyle="1" w:styleId="81">
    <w:name w:val="font5 Char"/>
    <w:autoRedefine/>
    <w:qFormat/>
    <w:uiPriority w:val="0"/>
    <w:rPr>
      <w:rFonts w:ascii="宋体" w:hAnsi="宋体" w:eastAsia="宋体"/>
      <w:sz w:val="28"/>
      <w:szCs w:val="28"/>
      <w:lang w:val="en-US" w:eastAsia="zh-CN" w:bidi="ar-SA"/>
    </w:rPr>
  </w:style>
  <w:style w:type="character" w:customStyle="1" w:styleId="82">
    <w:name w:val="Char Char2"/>
    <w:autoRedefine/>
    <w:qFormat/>
    <w:uiPriority w:val="0"/>
    <w:rPr>
      <w:rFonts w:ascii="Times New Roman" w:hAnsi="Times New Roman" w:eastAsia="宋体" w:cs="Times New Roman"/>
      <w:szCs w:val="21"/>
    </w:rPr>
  </w:style>
  <w:style w:type="character" w:customStyle="1" w:styleId="83">
    <w:name w:val="正文格式 Char"/>
    <w:link w:val="84"/>
    <w:autoRedefine/>
    <w:qFormat/>
    <w:uiPriority w:val="0"/>
    <w:rPr>
      <w:rFonts w:eastAsia="仿宋_GB2312"/>
      <w:sz w:val="28"/>
      <w:lang w:bidi="ar-SA"/>
    </w:rPr>
  </w:style>
  <w:style w:type="paragraph" w:customStyle="1" w:styleId="84">
    <w:name w:val="正文格式"/>
    <w:basedOn w:val="1"/>
    <w:link w:val="83"/>
    <w:autoRedefine/>
    <w:qFormat/>
    <w:uiPriority w:val="0"/>
    <w:pPr>
      <w:widowControl/>
      <w:adjustRightInd w:val="0"/>
      <w:snapToGrid w:val="0"/>
      <w:spacing w:before="100" w:beforeAutospacing="1" w:line="360" w:lineRule="auto"/>
      <w:ind w:firstLine="200" w:firstLineChars="200"/>
      <w:textAlignment w:val="baseline"/>
    </w:pPr>
    <w:rPr>
      <w:rFonts w:eastAsia="仿宋_GB2312"/>
      <w:kern w:val="0"/>
      <w:sz w:val="28"/>
      <w:szCs w:val="20"/>
    </w:rPr>
  </w:style>
  <w:style w:type="character" w:customStyle="1" w:styleId="85">
    <w:name w:val="二级目录 Char"/>
    <w:link w:val="86"/>
    <w:autoRedefine/>
    <w:qFormat/>
    <w:uiPriority w:val="0"/>
    <w:rPr>
      <w:rFonts w:eastAsia="Times New Roman"/>
      <w:b/>
      <w:kern w:val="2"/>
      <w:sz w:val="30"/>
      <w:szCs w:val="28"/>
      <w:lang w:val="en-US" w:eastAsia="zh-CN" w:bidi="ar-SA"/>
    </w:rPr>
  </w:style>
  <w:style w:type="paragraph" w:customStyle="1" w:styleId="86">
    <w:name w:val="二级目录"/>
    <w:next w:val="1"/>
    <w:link w:val="85"/>
    <w:autoRedefine/>
    <w:qFormat/>
    <w:uiPriority w:val="0"/>
    <w:pPr>
      <w:tabs>
        <w:tab w:val="left" w:pos="907"/>
        <w:tab w:val="left" w:pos="1145"/>
      </w:tabs>
      <w:ind w:left="907" w:hanging="907"/>
      <w:outlineLvl w:val="1"/>
    </w:pPr>
    <w:rPr>
      <w:rFonts w:ascii="Times New Roman" w:hAnsi="Times New Roman" w:eastAsia="Times New Roman" w:cs="Times New Roman"/>
      <w:b/>
      <w:kern w:val="2"/>
      <w:sz w:val="30"/>
      <w:szCs w:val="28"/>
      <w:lang w:val="en-US" w:eastAsia="zh-CN" w:bidi="ar-SA"/>
    </w:rPr>
  </w:style>
  <w:style w:type="character" w:customStyle="1" w:styleId="87">
    <w:name w:val="Char Char6"/>
    <w:autoRedefine/>
    <w:qFormat/>
    <w:uiPriority w:val="0"/>
    <w:rPr>
      <w:rFonts w:ascii="Times New Roman" w:hAnsi="Times New Roman" w:eastAsia="宋体" w:cs="Times New Roman"/>
      <w:sz w:val="18"/>
      <w:szCs w:val="18"/>
    </w:rPr>
  </w:style>
  <w:style w:type="character" w:customStyle="1" w:styleId="88">
    <w:name w:val="标题 3 Char"/>
    <w:link w:val="5"/>
    <w:autoRedefine/>
    <w:qFormat/>
    <w:uiPriority w:val="0"/>
    <w:rPr>
      <w:rFonts w:ascii="Times New Roman" w:hAnsi="Times New Roman" w:eastAsia="宋体"/>
      <w:b/>
      <w:bCs/>
      <w:kern w:val="2"/>
      <w:sz w:val="28"/>
      <w:szCs w:val="32"/>
      <w:lang w:val="en-US" w:eastAsia="zh-CN" w:bidi="ar-SA"/>
    </w:rPr>
  </w:style>
  <w:style w:type="character" w:customStyle="1" w:styleId="89">
    <w:name w:val="标题 6 Char"/>
    <w:link w:val="8"/>
    <w:autoRedefine/>
    <w:qFormat/>
    <w:uiPriority w:val="0"/>
    <w:rPr>
      <w:rFonts w:ascii="Arial" w:hAnsi="Arial" w:eastAsia="黑体"/>
      <w:b/>
      <w:bCs/>
      <w:kern w:val="2"/>
      <w:sz w:val="24"/>
      <w:szCs w:val="24"/>
      <w:lang w:val="en-US" w:eastAsia="zh-CN" w:bidi="ar-SA"/>
    </w:rPr>
  </w:style>
  <w:style w:type="character" w:customStyle="1" w:styleId="90">
    <w:name w:val="正文文本缩进 3 Char"/>
    <w:link w:val="31"/>
    <w:autoRedefine/>
    <w:qFormat/>
    <w:uiPriority w:val="0"/>
    <w:rPr>
      <w:rFonts w:ascii="Arial" w:hAnsi="Arial" w:eastAsia="仿宋_GB2312" w:cs="Arial"/>
      <w:color w:val="FFFF00"/>
      <w:kern w:val="2"/>
      <w:sz w:val="32"/>
      <w:szCs w:val="32"/>
      <w:lang w:val="en-US" w:eastAsia="zh-CN" w:bidi="ar-SA"/>
    </w:rPr>
  </w:style>
  <w:style w:type="character" w:customStyle="1" w:styleId="91">
    <w:name w:val="页眉 Char"/>
    <w:link w:val="27"/>
    <w:autoRedefine/>
    <w:qFormat/>
    <w:uiPriority w:val="99"/>
    <w:rPr>
      <w:rFonts w:eastAsia="宋体"/>
      <w:kern w:val="2"/>
      <w:sz w:val="18"/>
      <w:szCs w:val="18"/>
      <w:lang w:val="en-US" w:eastAsia="zh-CN" w:bidi="ar-SA"/>
    </w:rPr>
  </w:style>
  <w:style w:type="character" w:customStyle="1" w:styleId="92">
    <w:name w:val="批注主题 Char"/>
    <w:link w:val="36"/>
    <w:autoRedefine/>
    <w:semiHidden/>
    <w:qFormat/>
    <w:uiPriority w:val="0"/>
    <w:rPr>
      <w:rFonts w:eastAsia="宋体"/>
      <w:b/>
      <w:bCs/>
      <w:kern w:val="2"/>
      <w:sz w:val="21"/>
      <w:szCs w:val="21"/>
      <w:lang w:val="en-US" w:eastAsia="zh-CN" w:bidi="ar-SA"/>
    </w:rPr>
  </w:style>
  <w:style w:type="character" w:customStyle="1" w:styleId="93">
    <w:name w:val="标题 2 Char"/>
    <w:link w:val="4"/>
    <w:autoRedefine/>
    <w:qFormat/>
    <w:uiPriority w:val="0"/>
    <w:rPr>
      <w:rFonts w:ascii="Arial" w:hAnsi="Arial" w:eastAsia="宋体" w:cs="Arial"/>
      <w:b/>
      <w:bCs/>
      <w:kern w:val="2"/>
      <w:sz w:val="30"/>
      <w:szCs w:val="30"/>
      <w:lang w:val="en-US" w:eastAsia="zh-CN" w:bidi="ar-SA"/>
    </w:rPr>
  </w:style>
  <w:style w:type="character" w:customStyle="1" w:styleId="94">
    <w:name w:val="正文首行缩进 Char1"/>
    <w:link w:val="37"/>
    <w:autoRedefine/>
    <w:qFormat/>
    <w:uiPriority w:val="0"/>
    <w:rPr>
      <w:rFonts w:ascii="仿宋_GB2312" w:eastAsia="仿宋_GB2312"/>
      <w:kern w:val="2"/>
      <w:sz w:val="30"/>
      <w:szCs w:val="30"/>
      <w:lang w:val="en-US" w:eastAsia="zh-CN" w:bidi="ar-SA"/>
    </w:rPr>
  </w:style>
  <w:style w:type="character" w:customStyle="1" w:styleId="95">
    <w:name w:val="文档结构图 Char"/>
    <w:link w:val="13"/>
    <w:autoRedefine/>
    <w:semiHidden/>
    <w:qFormat/>
    <w:uiPriority w:val="0"/>
    <w:rPr>
      <w:rFonts w:eastAsia="宋体"/>
      <w:kern w:val="2"/>
      <w:sz w:val="21"/>
      <w:szCs w:val="21"/>
      <w:lang w:bidi="ar-SA"/>
    </w:rPr>
  </w:style>
  <w:style w:type="character" w:customStyle="1" w:styleId="96">
    <w:name w:val="正文文本 2 Char"/>
    <w:link w:val="33"/>
    <w:autoRedefine/>
    <w:qFormat/>
    <w:uiPriority w:val="0"/>
    <w:rPr>
      <w:rFonts w:ascii="楷体_GB2312" w:eastAsia="楷体_GB2312"/>
      <w:kern w:val="2"/>
      <w:sz w:val="28"/>
      <w:szCs w:val="28"/>
      <w:lang w:val="en-US" w:eastAsia="zh-CN" w:bidi="ar-SA"/>
    </w:rPr>
  </w:style>
  <w:style w:type="character" w:customStyle="1" w:styleId="97">
    <w:name w:val="纯文本 Char"/>
    <w:link w:val="22"/>
    <w:autoRedefine/>
    <w:qFormat/>
    <w:uiPriority w:val="0"/>
    <w:rPr>
      <w:rFonts w:ascii="宋体" w:hAnsi="Courier New" w:eastAsia="宋体" w:cs="Courier New"/>
      <w:kern w:val="2"/>
      <w:sz w:val="21"/>
      <w:szCs w:val="21"/>
      <w:lang w:val="en-US" w:eastAsia="zh-CN" w:bidi="ar-SA"/>
    </w:rPr>
  </w:style>
  <w:style w:type="character" w:customStyle="1" w:styleId="98">
    <w:name w:val="标题 5 Char"/>
    <w:link w:val="7"/>
    <w:autoRedefine/>
    <w:qFormat/>
    <w:uiPriority w:val="0"/>
    <w:rPr>
      <w:rFonts w:ascii="宋体" w:eastAsia="宋体"/>
      <w:color w:val="000000"/>
      <w:sz w:val="28"/>
      <w:szCs w:val="28"/>
      <w:lang w:val="en-US" w:eastAsia="zh-CN" w:bidi="ar-SA"/>
    </w:rPr>
  </w:style>
  <w:style w:type="character" w:customStyle="1" w:styleId="99">
    <w:name w:val="批注框文本 Char"/>
    <w:link w:val="25"/>
    <w:autoRedefine/>
    <w:semiHidden/>
    <w:qFormat/>
    <w:uiPriority w:val="0"/>
    <w:rPr>
      <w:rFonts w:eastAsia="宋体"/>
      <w:kern w:val="2"/>
      <w:sz w:val="18"/>
      <w:szCs w:val="18"/>
      <w:lang w:val="en-US" w:eastAsia="zh-CN" w:bidi="ar-SA"/>
    </w:rPr>
  </w:style>
  <w:style w:type="paragraph" w:customStyle="1" w:styleId="100">
    <w:name w:val="font7"/>
    <w:basedOn w:val="1"/>
    <w:autoRedefine/>
    <w:qFormat/>
    <w:uiPriority w:val="0"/>
    <w:pPr>
      <w:widowControl/>
      <w:numPr>
        <w:ilvl w:val="0"/>
        <w:numId w:val="4"/>
      </w:numPr>
      <w:tabs>
        <w:tab w:val="clear" w:pos="709"/>
      </w:tabs>
      <w:spacing w:before="100" w:beforeAutospacing="1" w:after="100" w:afterAutospacing="1"/>
      <w:ind w:left="0" w:firstLine="0"/>
      <w:jc w:val="left"/>
    </w:pPr>
    <w:rPr>
      <w:rFonts w:hint="eastAsia" w:ascii="宋体" w:hAnsi="宋体"/>
      <w:kern w:val="0"/>
      <w:sz w:val="18"/>
      <w:szCs w:val="18"/>
    </w:rPr>
  </w:style>
  <w:style w:type="paragraph" w:customStyle="1" w:styleId="101">
    <w:name w:val="xl2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2">
    <w:name w:val="p1"/>
    <w:basedOn w:val="1"/>
    <w:autoRedefine/>
    <w:qFormat/>
    <w:uiPriority w:val="0"/>
    <w:pPr>
      <w:spacing w:line="380" w:lineRule="atLeast"/>
      <w:jc w:val="left"/>
    </w:pPr>
    <w:rPr>
      <w:rFonts w:ascii="Helvetica Neue" w:hAnsi="Helvetica Neue" w:eastAsia="Helvetica Neue"/>
      <w:kern w:val="0"/>
      <w:sz w:val="26"/>
      <w:szCs w:val="26"/>
    </w:rPr>
  </w:style>
  <w:style w:type="paragraph" w:customStyle="1" w:styleId="103">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04">
    <w:name w:val="标题3"/>
    <w:basedOn w:val="1"/>
    <w:next w:val="1"/>
    <w:autoRedefine/>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5">
    <w:name w:val="xl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6">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7">
    <w:name w:val="font6"/>
    <w:basedOn w:val="1"/>
    <w:autoRedefine/>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8">
    <w:name w:val="Char Char Char Char Char Char Char Char Char Char"/>
    <w:basedOn w:val="1"/>
    <w:autoRedefine/>
    <w:qFormat/>
    <w:uiPriority w:val="0"/>
    <w:pPr>
      <w:adjustRightInd w:val="0"/>
      <w:spacing w:line="360" w:lineRule="auto"/>
    </w:pPr>
    <w:rPr>
      <w:kern w:val="0"/>
      <w:sz w:val="24"/>
      <w:szCs w:val="20"/>
    </w:rPr>
  </w:style>
  <w:style w:type="paragraph" w:customStyle="1" w:styleId="109">
    <w:name w:val="附录1"/>
    <w:autoRedefine/>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110">
    <w:name w:val="_Style 30"/>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11">
    <w:name w:val="图标"/>
    <w:basedOn w:val="1"/>
    <w:next w:val="1"/>
    <w:autoRedefine/>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12">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13">
    <w:name w:val="列出段落1"/>
    <w:basedOn w:val="1"/>
    <w:autoRedefine/>
    <w:qFormat/>
    <w:uiPriority w:val="99"/>
    <w:pPr>
      <w:ind w:firstLine="420" w:firstLineChars="200"/>
    </w:pPr>
  </w:style>
  <w:style w:type="paragraph" w:customStyle="1" w:styleId="114">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5">
    <w:name w:val="样式1"/>
    <w:basedOn w:val="1"/>
    <w:autoRedefine/>
    <w:qFormat/>
    <w:uiPriority w:val="0"/>
    <w:pPr>
      <w:tabs>
        <w:tab w:val="left" w:pos="709"/>
      </w:tabs>
      <w:adjustRightInd w:val="0"/>
      <w:ind w:left="709" w:hanging="709"/>
      <w:textAlignment w:val="baseline"/>
    </w:pPr>
    <w:rPr>
      <w:rFonts w:ascii="宋体" w:hAnsi="宋体"/>
      <w:kern w:val="0"/>
    </w:rPr>
  </w:style>
  <w:style w:type="paragraph" w:customStyle="1" w:styleId="116">
    <w:name w:val="Char"/>
    <w:basedOn w:val="1"/>
    <w:autoRedefine/>
    <w:qFormat/>
    <w:uiPriority w:val="0"/>
    <w:pPr>
      <w:tabs>
        <w:tab w:val="left" w:pos="360"/>
      </w:tabs>
      <w:ind w:firstLine="200" w:firstLineChars="200"/>
    </w:pPr>
    <w:rPr>
      <w:sz w:val="28"/>
      <w:szCs w:val="30"/>
    </w:rPr>
  </w:style>
  <w:style w:type="paragraph" w:customStyle="1" w:styleId="117">
    <w:name w:val="table_1stline"/>
    <w:basedOn w:val="1"/>
    <w:autoRedefine/>
    <w:qFormat/>
    <w:uiPriority w:val="0"/>
    <w:pPr>
      <w:widowControl/>
      <w:spacing w:before="120"/>
      <w:jc w:val="left"/>
    </w:pPr>
    <w:rPr>
      <w:bCs/>
      <w:kern w:val="0"/>
      <w:sz w:val="20"/>
      <w:szCs w:val="20"/>
      <w:lang w:val="de-DE" w:eastAsia="de-DE"/>
    </w:rPr>
  </w:style>
  <w:style w:type="paragraph" w:customStyle="1" w:styleId="118">
    <w:name w:val="table_lines"/>
    <w:basedOn w:val="1"/>
    <w:autoRedefine/>
    <w:qFormat/>
    <w:uiPriority w:val="0"/>
    <w:pPr>
      <w:widowControl/>
      <w:jc w:val="left"/>
    </w:pPr>
    <w:rPr>
      <w:kern w:val="0"/>
      <w:sz w:val="20"/>
      <w:szCs w:val="20"/>
      <w:lang w:val="de-DE" w:eastAsia="de-DE"/>
    </w:rPr>
  </w:style>
  <w:style w:type="paragraph" w:customStyle="1" w:styleId="119">
    <w:name w:val="xl30"/>
    <w:basedOn w:val="1"/>
    <w:autoRedefine/>
    <w:qFormat/>
    <w:uiPriority w:val="0"/>
    <w:pPr>
      <w:widowControl/>
      <w:spacing w:before="100" w:beforeAutospacing="1" w:after="100" w:afterAutospacing="1"/>
      <w:jc w:val="center"/>
    </w:pPr>
    <w:rPr>
      <w:rFonts w:ascii="宋体" w:hAnsi="宋体"/>
      <w:b/>
      <w:bCs/>
      <w:kern w:val="0"/>
      <w:sz w:val="36"/>
      <w:szCs w:val="36"/>
    </w:rPr>
  </w:style>
  <w:style w:type="paragraph" w:customStyle="1" w:styleId="120">
    <w:name w:val="Char Char Char Char1"/>
    <w:basedOn w:val="13"/>
    <w:autoRedefine/>
    <w:qFormat/>
    <w:uiPriority w:val="0"/>
    <w:pPr>
      <w:adjustRightInd w:val="0"/>
      <w:snapToGrid w:val="0"/>
      <w:spacing w:line="360" w:lineRule="auto"/>
    </w:pPr>
    <w:rPr>
      <w:rFonts w:ascii="Tahoma" w:hAnsi="Tahoma"/>
      <w:kern w:val="0"/>
      <w:sz w:val="24"/>
      <w:szCs w:val="24"/>
    </w:rPr>
  </w:style>
  <w:style w:type="paragraph" w:customStyle="1" w:styleId="121">
    <w:name w:val="font5"/>
    <w:basedOn w:val="1"/>
    <w:autoRedefine/>
    <w:qFormat/>
    <w:uiPriority w:val="0"/>
    <w:pPr>
      <w:widowControl/>
      <w:numPr>
        <w:ilvl w:val="0"/>
        <w:numId w:val="5"/>
      </w:numPr>
      <w:tabs>
        <w:tab w:val="clear" w:pos="907"/>
      </w:tabs>
      <w:spacing w:before="100" w:beforeAutospacing="1" w:after="100" w:afterAutospacing="1"/>
      <w:ind w:left="0" w:firstLine="0"/>
      <w:jc w:val="left"/>
    </w:pPr>
    <w:rPr>
      <w:rFonts w:hint="eastAsia" w:ascii="宋体" w:hAnsi="宋体"/>
      <w:kern w:val="0"/>
      <w:sz w:val="28"/>
      <w:szCs w:val="28"/>
    </w:rPr>
  </w:style>
  <w:style w:type="paragraph" w:customStyle="1" w:styleId="122">
    <w:name w:val="xl2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23">
    <w:name w:val="Char Char Char Char"/>
    <w:basedOn w:val="13"/>
    <w:autoRedefine/>
    <w:qFormat/>
    <w:uiPriority w:val="0"/>
    <w:pPr>
      <w:adjustRightInd w:val="0"/>
      <w:snapToGrid w:val="0"/>
      <w:spacing w:line="360" w:lineRule="auto"/>
    </w:pPr>
    <w:rPr>
      <w:rFonts w:ascii="Tahoma" w:hAnsi="Tahoma"/>
      <w:sz w:val="24"/>
      <w:szCs w:val="24"/>
    </w:rPr>
  </w:style>
  <w:style w:type="paragraph" w:customStyle="1" w:styleId="124">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5">
    <w:name w:val="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6">
    <w:name w:val="列表内容"/>
    <w:basedOn w:val="1"/>
    <w:next w:val="1"/>
    <w:autoRedefine/>
    <w:qFormat/>
    <w:uiPriority w:val="0"/>
    <w:pPr>
      <w:widowControl/>
      <w:numPr>
        <w:ilvl w:val="0"/>
        <w:numId w:val="6"/>
      </w:numPr>
      <w:tabs>
        <w:tab w:val="left" w:pos="840"/>
      </w:tabs>
      <w:jc w:val="left"/>
    </w:pPr>
    <w:rPr>
      <w:kern w:val="0"/>
      <w:sz w:val="18"/>
      <w:szCs w:val="24"/>
    </w:rPr>
  </w:style>
  <w:style w:type="paragraph" w:customStyle="1" w:styleId="127">
    <w:name w:val="Body Text(ch)"/>
    <w:basedOn w:val="1"/>
    <w:next w:val="17"/>
    <w:autoRedefine/>
    <w:qFormat/>
    <w:uiPriority w:val="0"/>
    <w:pPr>
      <w:spacing w:after="120"/>
    </w:pPr>
    <w:rPr>
      <w:rFonts w:ascii="宋体" w:hAnsi="Arial"/>
      <w:bCs/>
      <w:iCs/>
      <w:szCs w:val="24"/>
    </w:rPr>
  </w:style>
  <w:style w:type="paragraph" w:styleId="128">
    <w:name w:val="List Paragraph"/>
    <w:basedOn w:val="1"/>
    <w:autoRedefine/>
    <w:qFormat/>
    <w:uiPriority w:val="34"/>
    <w:pPr>
      <w:widowControl/>
      <w:ind w:left="720"/>
      <w:contextualSpacing/>
      <w:jc w:val="left"/>
    </w:pPr>
    <w:rPr>
      <w:rFonts w:ascii="Calibri" w:hAnsi="Calibri"/>
      <w:kern w:val="0"/>
      <w:sz w:val="24"/>
      <w:szCs w:val="24"/>
      <w:lang w:eastAsia="en-US" w:bidi="en-US"/>
    </w:rPr>
  </w:style>
  <w:style w:type="paragraph" w:customStyle="1" w:styleId="129">
    <w:name w:val="Char11"/>
    <w:basedOn w:val="13"/>
    <w:autoRedefine/>
    <w:qFormat/>
    <w:uiPriority w:val="0"/>
    <w:rPr>
      <w:rFonts w:ascii="Tahoma" w:hAnsi="Tahoma"/>
      <w:sz w:val="24"/>
      <w:szCs w:val="24"/>
    </w:rPr>
  </w:style>
  <w:style w:type="paragraph" w:customStyle="1" w:styleId="130">
    <w:name w:val="普通 (Web)"/>
    <w:basedOn w:val="1"/>
    <w:autoRedefine/>
    <w:qFormat/>
    <w:uiPriority w:val="0"/>
    <w:pPr>
      <w:widowControl/>
      <w:spacing w:before="100" w:beforeAutospacing="1" w:after="100" w:afterAutospacing="1"/>
      <w:jc w:val="left"/>
    </w:pPr>
    <w:rPr>
      <w:rFonts w:ascii="宋体" w:hAnsi="宋体"/>
      <w:kern w:val="0"/>
      <w:sz w:val="24"/>
      <w:szCs w:val="24"/>
    </w:rPr>
  </w:style>
  <w:style w:type="paragraph" w:customStyle="1" w:styleId="131">
    <w:name w:val="_Style 4"/>
    <w:basedOn w:val="13"/>
    <w:autoRedefine/>
    <w:qFormat/>
    <w:uiPriority w:val="0"/>
    <w:pPr>
      <w:shd w:val="clear" w:color="auto" w:fill="auto"/>
      <w:spacing w:line="360" w:lineRule="auto"/>
      <w:jc w:val="left"/>
    </w:pPr>
    <w:rPr>
      <w:kern w:val="0"/>
      <w:sz w:val="20"/>
      <w:szCs w:val="20"/>
    </w:rPr>
  </w:style>
  <w:style w:type="paragraph" w:customStyle="1" w:styleId="132">
    <w:name w:val="4"/>
    <w:basedOn w:val="1"/>
    <w:next w:val="31"/>
    <w:autoRedefine/>
    <w:qFormat/>
    <w:uiPriority w:val="0"/>
    <w:pPr>
      <w:spacing w:line="360" w:lineRule="auto"/>
      <w:ind w:firstLine="420"/>
    </w:pPr>
    <w:rPr>
      <w:color w:val="FF0000"/>
      <w:sz w:val="24"/>
      <w:szCs w:val="24"/>
    </w:rPr>
  </w:style>
  <w:style w:type="paragraph" w:customStyle="1" w:styleId="133">
    <w:name w:val="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4">
    <w:name w:val="TOC 标题1"/>
    <w:basedOn w:val="2"/>
    <w:next w:val="1"/>
    <w:autoRedefine/>
    <w:qFormat/>
    <w:uiPriority w:val="39"/>
    <w:pPr>
      <w:keepLines/>
      <w:widowControl/>
      <w:spacing w:before="480" w:line="276" w:lineRule="auto"/>
      <w:jc w:val="left"/>
      <w:outlineLvl w:val="9"/>
    </w:pPr>
    <w:rPr>
      <w:rFonts w:ascii="Cambria" w:hAnsi="Cambria"/>
      <w:bCs/>
      <w:color w:val="365F91"/>
      <w:kern w:val="0"/>
    </w:rPr>
  </w:style>
  <w:style w:type="paragraph" w:customStyle="1" w:styleId="135">
    <w:name w:val="xl29"/>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36">
    <w:name w:val="Char1"/>
    <w:basedOn w:val="1"/>
    <w:autoRedefine/>
    <w:qFormat/>
    <w:uiPriority w:val="0"/>
    <w:pPr>
      <w:tabs>
        <w:tab w:val="left" w:pos="360"/>
      </w:tabs>
      <w:ind w:firstLine="200" w:firstLineChars="200"/>
    </w:pPr>
    <w:rPr>
      <w:sz w:val="28"/>
      <w:szCs w:val="30"/>
    </w:rPr>
  </w:style>
  <w:style w:type="paragraph" w:customStyle="1" w:styleId="137">
    <w:name w:val="Char2 Char1 Char"/>
    <w:basedOn w:val="1"/>
    <w:autoRedefine/>
    <w:qFormat/>
    <w:uiPriority w:val="0"/>
    <w:pPr>
      <w:tabs>
        <w:tab w:val="left" w:pos="360"/>
      </w:tabs>
    </w:pPr>
    <w:rPr>
      <w:rFonts w:eastAsia="方正仿宋简体"/>
      <w:sz w:val="24"/>
      <w:szCs w:val="32"/>
    </w:rPr>
  </w:style>
  <w:style w:type="paragraph" w:customStyle="1" w:styleId="138">
    <w:name w:val="正文 A"/>
    <w:autoRedefine/>
    <w:qFormat/>
    <w:uiPriority w:val="0"/>
    <w:pPr>
      <w:widowControl w:val="0"/>
      <w:jc w:val="both"/>
    </w:pPr>
    <w:rPr>
      <w:rFonts w:ascii="Times New Roman" w:hAnsi="Arial Unicode MS" w:eastAsia="Arial Unicode MS" w:cs="Arial Unicode MS"/>
      <w:color w:val="000000"/>
      <w:kern w:val="2"/>
      <w:sz w:val="21"/>
      <w:szCs w:val="21"/>
      <w:u w:color="000000"/>
      <w:lang w:val="en-US" w:eastAsia="zh-CN" w:bidi="ar-SA"/>
    </w:rPr>
  </w:style>
  <w:style w:type="paragraph" w:customStyle="1" w:styleId="139">
    <w:name w:val="Char Char Char Char2"/>
    <w:basedOn w:val="13"/>
    <w:autoRedefine/>
    <w:qFormat/>
    <w:uiPriority w:val="0"/>
    <w:pPr>
      <w:adjustRightInd w:val="0"/>
      <w:snapToGrid w:val="0"/>
      <w:spacing w:line="360" w:lineRule="auto"/>
    </w:pPr>
    <w:rPr>
      <w:rFonts w:ascii="Tahoma" w:hAnsi="Tahoma"/>
      <w:sz w:val="24"/>
      <w:szCs w:val="24"/>
    </w:rPr>
  </w:style>
  <w:style w:type="paragraph" w:customStyle="1" w:styleId="140">
    <w:name w:val="_Style 119"/>
    <w:basedOn w:val="1"/>
    <w:next w:val="128"/>
    <w:autoRedefine/>
    <w:qFormat/>
    <w:uiPriority w:val="34"/>
    <w:pPr>
      <w:widowControl/>
      <w:ind w:left="720"/>
      <w:contextualSpacing/>
      <w:jc w:val="left"/>
    </w:pPr>
    <w:rPr>
      <w:rFonts w:ascii="Calibri" w:hAnsi="Calibri"/>
      <w:kern w:val="0"/>
      <w:sz w:val="24"/>
      <w:szCs w:val="24"/>
      <w:lang w:eastAsia="en-US" w:bidi="en-US"/>
    </w:rPr>
  </w:style>
  <w:style w:type="paragraph" w:customStyle="1" w:styleId="141">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42">
    <w:name w:val="Table Paragraph"/>
    <w:basedOn w:val="1"/>
    <w:autoRedefine/>
    <w:qFormat/>
    <w:uiPriority w:val="1"/>
  </w:style>
  <w:style w:type="character" w:customStyle="1" w:styleId="143">
    <w:name w:val="纯文本 字符"/>
    <w:autoRedefine/>
    <w:qFormat/>
    <w:uiPriority w:val="0"/>
    <w:rPr>
      <w:rFonts w:ascii="宋体" w:hAnsi="Courier New" w:cs="Courier New"/>
      <w:kern w:val="2"/>
      <w:sz w:val="21"/>
      <w:szCs w:val="21"/>
    </w:rPr>
  </w:style>
  <w:style w:type="character" w:customStyle="1" w:styleId="144">
    <w:name w:val="正文缩进 字符"/>
    <w:autoRedefine/>
    <w:qFormat/>
    <w:uiPriority w:val="0"/>
    <w:rPr>
      <w:kern w:val="2"/>
      <w:sz w:val="21"/>
      <w:szCs w:val="21"/>
    </w:rPr>
  </w:style>
  <w:style w:type="paragraph" w:customStyle="1" w:styleId="145">
    <w:name w:val="缺省文本"/>
    <w:autoRedefine/>
    <w:qFormat/>
    <w:uiPriority w:val="0"/>
    <w:pPr>
      <w:widowControl w:val="0"/>
      <w:autoSpaceDE w:val="0"/>
      <w:autoSpaceDN w:val="0"/>
      <w:adjustRightInd w:val="0"/>
    </w:pPr>
    <w:rPr>
      <w:rFonts w:ascii="Calibri" w:hAnsi="Calibri" w:eastAsia="宋体" w:cs="Times New Roman"/>
      <w:color w:val="000000"/>
      <w:sz w:val="21"/>
      <w:szCs w:val="22"/>
      <w:lang w:val="en-US" w:eastAsia="zh-CN" w:bidi="ar-SA"/>
    </w:rPr>
  </w:style>
  <w:style w:type="paragraph" w:customStyle="1" w:styleId="146">
    <w:name w:val="xl70"/>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47">
    <w:name w:val="xl71"/>
    <w:basedOn w:val="1"/>
    <w:autoRedefine/>
    <w:qFormat/>
    <w:uiPriority w:val="0"/>
    <w:pPr>
      <w:widowControl/>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8">
    <w:name w:val="xl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9">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50">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1">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2">
    <w:name w:val="xl7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3">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4">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5">
    <w:name w:val="xl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6">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D0D0D"/>
      <w:kern w:val="0"/>
      <w:sz w:val="20"/>
      <w:szCs w:val="20"/>
    </w:rPr>
  </w:style>
  <w:style w:type="paragraph" w:customStyle="1" w:styleId="157">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8">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9">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60">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1">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62">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3">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4">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5">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6">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7">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68">
    <w:name w:val="xl92"/>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9">
    <w:name w:val="xl93"/>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0">
    <w:name w:val="xl94"/>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1">
    <w:name w:val="xl95"/>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2">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73">
    <w:name w:val="xl97"/>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74">
    <w:name w:val="xl98"/>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5">
    <w:name w:val="xl99"/>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6">
    <w:name w:val="xl100"/>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7">
    <w:name w:val="xl10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8">
    <w:name w:val="xl102"/>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9">
    <w:name w:val="xl103"/>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80">
    <w:name w:val="xl10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81">
    <w:name w:val="xl68"/>
    <w:basedOn w:val="1"/>
    <w:autoRedefine/>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82">
    <w:name w:val="xl69"/>
    <w:basedOn w:val="1"/>
    <w:autoRedefine/>
    <w:qFormat/>
    <w:uiPriority w:val="0"/>
    <w:pPr>
      <w:widowControl/>
      <w:spacing w:before="100" w:beforeAutospacing="1" w:after="100" w:afterAutospacing="1"/>
      <w:jc w:val="left"/>
    </w:pPr>
    <w:rPr>
      <w:rFonts w:ascii="宋体" w:hAnsi="宋体" w:cs="宋体"/>
      <w:kern w:val="0"/>
      <w:sz w:val="20"/>
      <w:szCs w:val="20"/>
    </w:rPr>
  </w:style>
  <w:style w:type="character" w:customStyle="1" w:styleId="183">
    <w:name w:val="超链接_0"/>
    <w:autoRedefine/>
    <w:qFormat/>
    <w:uiPriority w:val="99"/>
    <w:rPr>
      <w:rFonts w:hint="default" w:ascii="Calibri" w:hAnsi="Calibri" w:cs="Calibri"/>
      <w:color w:val="0000FF"/>
      <w:u w:val="single"/>
    </w:rPr>
  </w:style>
  <w:style w:type="paragraph" w:customStyle="1" w:styleId="184">
    <w:name w:val="正文_0"/>
    <w:basedOn w:val="1"/>
    <w:next w:val="1"/>
    <w:autoRedefine/>
    <w:qFormat/>
    <w:uiPriority w:val="0"/>
    <w:pPr>
      <w:spacing w:after="200" w:line="276" w:lineRule="auto"/>
    </w:pPr>
    <w:rPr>
      <w:rFonts w:ascii="Calibri" w:hAnsi="Calibri"/>
      <w:szCs w:val="24"/>
    </w:rPr>
  </w:style>
  <w:style w:type="paragraph" w:customStyle="1" w:styleId="185">
    <w:name w:val="普通(网站)1"/>
    <w:basedOn w:val="1"/>
    <w:autoRedefine/>
    <w:qFormat/>
    <w:uiPriority w:val="0"/>
    <w:pPr>
      <w:spacing w:beforeAutospacing="1" w:afterAutospacing="1"/>
      <w:jc w:val="left"/>
    </w:pPr>
    <w:rPr>
      <w:rFonts w:ascii="Calibri" w:hAnsi="Calibri"/>
      <w:kern w:val="0"/>
      <w:sz w:val="24"/>
    </w:rPr>
  </w:style>
  <w:style w:type="character" w:customStyle="1" w:styleId="186">
    <w:name w:val="bookmark-item"/>
    <w:basedOn w:val="41"/>
    <w:autoRedefine/>
    <w:qFormat/>
    <w:uiPriority w:val="0"/>
  </w:style>
  <w:style w:type="paragraph" w:customStyle="1" w:styleId="187">
    <w:name w:val="表格"/>
    <w:basedOn w:val="29"/>
    <w:next w:val="1"/>
    <w:autoRedefine/>
    <w:qFormat/>
    <w:uiPriority w:val="0"/>
    <w:pPr>
      <w:adjustRightInd w:val="0"/>
      <w:snapToGrid w:val="0"/>
      <w:spacing w:before="20" w:after="20"/>
      <w:jc w:val="center"/>
      <w:textAlignment w:val="baseline"/>
    </w:pPr>
    <w:rPr>
      <w:rFonts w:ascii="Arial" w:hAnsi="Arial"/>
      <w:snapToGrid w:val="0"/>
    </w:rPr>
  </w:style>
  <w:style w:type="character" w:customStyle="1" w:styleId="188">
    <w:name w:val="btn-auto-1"/>
    <w:basedOn w:val="41"/>
    <w:autoRedefine/>
    <w:qFormat/>
    <w:uiPriority w:val="0"/>
  </w:style>
  <w:style w:type="character" w:customStyle="1" w:styleId="189">
    <w:name w:val="s1"/>
    <w:basedOn w:val="41"/>
    <w:autoRedefine/>
    <w:qFormat/>
    <w:uiPriority w:val="0"/>
    <w:rPr>
      <w:color w:val="DDDDDD"/>
      <w:sz w:val="14"/>
      <w:szCs w:val="14"/>
    </w:rPr>
  </w:style>
  <w:style w:type="character" w:customStyle="1" w:styleId="190">
    <w:name w:val="btn-task-gray2"/>
    <w:basedOn w:val="41"/>
    <w:autoRedefine/>
    <w:qFormat/>
    <w:uiPriority w:val="0"/>
    <w:rPr>
      <w:color w:val="FFFFFF"/>
      <w:u w:val="none"/>
      <w:shd w:val="clear" w:color="auto" w:fill="CCCCCC"/>
    </w:rPr>
  </w:style>
  <w:style w:type="character" w:customStyle="1" w:styleId="191">
    <w:name w:val="btn-task-gray3"/>
    <w:basedOn w:val="41"/>
    <w:autoRedefine/>
    <w:qFormat/>
    <w:uiPriority w:val="0"/>
  </w:style>
  <w:style w:type="character" w:customStyle="1" w:styleId="192">
    <w:name w:val="fontstyle01"/>
    <w:basedOn w:val="41"/>
    <w:autoRedefine/>
    <w:qFormat/>
    <w:uiPriority w:val="0"/>
    <w:rPr>
      <w:rFonts w:ascii="仿宋" w:hAnsi="仿宋" w:eastAsia="仿宋" w:cs="仿宋"/>
      <w:color w:val="000000"/>
      <w:sz w:val="32"/>
      <w:szCs w:val="32"/>
    </w:rPr>
  </w:style>
  <w:style w:type="paragraph" w:customStyle="1" w:styleId="193">
    <w:name w:val="修订1"/>
    <w:autoRedefine/>
    <w:hidden/>
    <w:semiHidden/>
    <w:qFormat/>
    <w:uiPriority w:val="99"/>
    <w:rPr>
      <w:rFonts w:ascii="Times New Roman" w:hAnsi="Times New Roman" w:eastAsia="宋体" w:cs="Times New Roman"/>
      <w:kern w:val="2"/>
      <w:sz w:val="21"/>
      <w:szCs w:val="21"/>
      <w:lang w:val="en-US" w:eastAsia="zh-CN" w:bidi="ar-SA"/>
    </w:rPr>
  </w:style>
  <w:style w:type="paragraph" w:customStyle="1" w:styleId="194">
    <w:name w:val="msonormal"/>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95">
    <w:name w:val="xl65"/>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96">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97">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198">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99">
    <w:name w:val="正文2"/>
    <w:basedOn w:val="1"/>
    <w:autoRedefine/>
    <w:qFormat/>
    <w:uiPriority w:val="0"/>
    <w:pPr>
      <w:spacing w:before="156" w:line="360" w:lineRule="auto"/>
      <w:ind w:firstLine="510" w:firstLineChars="200"/>
    </w:pPr>
    <w:rPr>
      <w:sz w:val="24"/>
    </w:rPr>
  </w:style>
  <w:style w:type="paragraph" w:customStyle="1" w:styleId="200">
    <w:name w:val="正文_0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01">
    <w:name w:val="正文文本缩进_2"/>
    <w:basedOn w:val="202"/>
    <w:autoRedefine/>
    <w:qFormat/>
    <w:uiPriority w:val="0"/>
    <w:pPr>
      <w:spacing w:line="500" w:lineRule="exact"/>
      <w:ind w:left="1588" w:leftChars="832" w:firstLine="433" w:firstLineChars="196"/>
    </w:pPr>
    <w:rPr>
      <w:kern w:val="0"/>
      <w:sz w:val="24"/>
    </w:rPr>
  </w:style>
  <w:style w:type="paragraph" w:customStyle="1" w:styleId="202">
    <w:name w:val="正文_14"/>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03">
    <w:name w:val="layui-layer-tabnow"/>
    <w:basedOn w:val="41"/>
    <w:autoRedefine/>
    <w:qFormat/>
    <w:uiPriority w:val="0"/>
    <w:rPr>
      <w:bdr w:val="single" w:color="CCCCCC" w:sz="4" w:space="0"/>
      <w:shd w:val="clear" w:color="auto" w:fill="FFFFFF"/>
    </w:rPr>
  </w:style>
  <w:style w:type="character" w:customStyle="1" w:styleId="204">
    <w:name w:val="first-child"/>
    <w:basedOn w:val="41"/>
    <w:autoRedefine/>
    <w:qFormat/>
    <w:uiPriority w:val="0"/>
  </w:style>
  <w:style w:type="paragraph" w:customStyle="1" w:styleId="205">
    <w:name w:val="正文（深信服）"/>
    <w:autoRedefine/>
    <w:qFormat/>
    <w:uiPriority w:val="0"/>
    <w:pPr>
      <w:adjustRightInd w:val="0"/>
      <w:snapToGrid w:val="0"/>
      <w:spacing w:line="360" w:lineRule="auto"/>
      <w:ind w:firstLine="480" w:firstLineChars="200"/>
    </w:pPr>
    <w:rPr>
      <w:rFonts w:ascii="Times New Roman" w:hAnsi="Times New Roman" w:eastAsia="宋体" w:cs="Times New Roman"/>
      <w:sz w:val="24"/>
      <w:szCs w:val="21"/>
      <w:lang w:val="en-US" w:eastAsia="zh-CN" w:bidi="ar-SA"/>
    </w:rPr>
  </w:style>
  <w:style w:type="paragraph" w:customStyle="1" w:styleId="206">
    <w:name w:val="正文2.25"/>
    <w:basedOn w:val="1"/>
    <w:autoRedefine/>
    <w:qFormat/>
    <w:uiPriority w:val="0"/>
    <w:pPr>
      <w:spacing w:line="360" w:lineRule="auto"/>
      <w:ind w:firstLine="540"/>
    </w:pPr>
    <w:rPr>
      <w:sz w:val="24"/>
      <w:szCs w:val="24"/>
    </w:rPr>
  </w:style>
  <w:style w:type="paragraph" w:customStyle="1" w:styleId="207">
    <w:name w:val="文档正文"/>
    <w:basedOn w:val="1"/>
    <w:autoRedefine/>
    <w:qFormat/>
    <w:uiPriority w:val="0"/>
    <w:pPr>
      <w:adjustRightInd w:val="0"/>
      <w:spacing w:before="60" w:after="60" w:line="360" w:lineRule="atLeast"/>
      <w:ind w:firstLine="482"/>
    </w:pPr>
    <w:rPr>
      <w:rFonts w:hAnsi="宋体" w:cs="宋体"/>
      <w:sz w:val="24"/>
    </w:rPr>
  </w:style>
  <w:style w:type="character" w:customStyle="1" w:styleId="208">
    <w:name w:val="批注文字 Char"/>
    <w:basedOn w:val="41"/>
    <w:link w:val="15"/>
    <w:autoRedefine/>
    <w:semiHidden/>
    <w:qFormat/>
    <w:uiPriority w:val="0"/>
    <w:rPr>
      <w:kern w:val="2"/>
      <w:sz w:val="21"/>
      <w:szCs w:val="21"/>
    </w:rPr>
  </w:style>
  <w:style w:type="character" w:customStyle="1" w:styleId="209">
    <w:name w:val="脚注文本 Char"/>
    <w:basedOn w:val="41"/>
    <w:link w:val="30"/>
    <w:autoRedefine/>
    <w:qFormat/>
    <w:uiPriority w:val="0"/>
    <w:rPr>
      <w:kern w:val="2"/>
      <w:sz w:val="18"/>
      <w:szCs w:val="21"/>
    </w:rPr>
  </w:style>
  <w:style w:type="character" w:customStyle="1" w:styleId="210">
    <w:name w:val="font01"/>
    <w:basedOn w:val="41"/>
    <w:autoRedefine/>
    <w:qFormat/>
    <w:uiPriority w:val="0"/>
    <w:rPr>
      <w:rFonts w:hint="default" w:ascii="Times New Roman" w:hAnsi="Times New Roman" w:cs="Times New Roman"/>
      <w:color w:val="000000"/>
      <w:sz w:val="24"/>
      <w:szCs w:val="24"/>
      <w:u w:val="none"/>
    </w:rPr>
  </w:style>
  <w:style w:type="character" w:customStyle="1" w:styleId="211">
    <w:name w:val="font21"/>
    <w:basedOn w:val="41"/>
    <w:autoRedefine/>
    <w:qFormat/>
    <w:uiPriority w:val="0"/>
    <w:rPr>
      <w:rFonts w:hint="eastAsia" w:ascii="宋体" w:hAnsi="宋体" w:eastAsia="宋体" w:cs="宋体"/>
      <w:color w:val="000000"/>
      <w:sz w:val="24"/>
      <w:szCs w:val="24"/>
      <w:u w:val="none"/>
    </w:rPr>
  </w:style>
  <w:style w:type="character" w:customStyle="1" w:styleId="212">
    <w:name w:val="font11"/>
    <w:basedOn w:val="41"/>
    <w:autoRedefine/>
    <w:qFormat/>
    <w:uiPriority w:val="0"/>
    <w:rPr>
      <w:rFonts w:hint="eastAsia" w:ascii="宋体" w:hAnsi="宋体" w:eastAsia="宋体" w:cs="宋体"/>
      <w:color w:val="000000"/>
      <w:sz w:val="24"/>
      <w:szCs w:val="24"/>
      <w:u w:val="none"/>
    </w:rPr>
  </w:style>
  <w:style w:type="table" w:customStyle="1" w:styleId="213">
    <w:name w:val="Table Normal"/>
    <w:autoRedefine/>
    <w:semiHidden/>
    <w:unhideWhenUsed/>
    <w:qFormat/>
    <w:uiPriority w:val="0"/>
    <w:tblPr>
      <w:tblCellMar>
        <w:top w:w="0" w:type="dxa"/>
        <w:left w:w="0" w:type="dxa"/>
        <w:bottom w:w="0" w:type="dxa"/>
        <w:right w:w="0" w:type="dxa"/>
      </w:tblCellMar>
    </w:tblPr>
  </w:style>
  <w:style w:type="character" w:customStyle="1" w:styleId="214">
    <w:name w:val="font31"/>
    <w:basedOn w:val="41"/>
    <w:autoRedefine/>
    <w:qFormat/>
    <w:uiPriority w:val="0"/>
    <w:rPr>
      <w:rFonts w:hint="eastAsia" w:ascii="宋体" w:hAnsi="宋体" w:eastAsia="宋体" w:cs="宋体"/>
      <w:color w:val="000000"/>
      <w:sz w:val="24"/>
      <w:szCs w:val="24"/>
      <w:u w:val="none"/>
    </w:rPr>
  </w:style>
  <w:style w:type="character" w:customStyle="1" w:styleId="215">
    <w:name w:val="font61"/>
    <w:basedOn w:val="41"/>
    <w:autoRedefine/>
    <w:qFormat/>
    <w:uiPriority w:val="0"/>
    <w:rPr>
      <w:rFonts w:hint="eastAsia" w:ascii="宋体" w:hAnsi="宋体" w:eastAsia="宋体" w:cs="宋体"/>
      <w:color w:val="FF0000"/>
      <w:sz w:val="20"/>
      <w:szCs w:val="20"/>
      <w:u w:val="none"/>
    </w:rPr>
  </w:style>
  <w:style w:type="character" w:customStyle="1" w:styleId="216">
    <w:name w:val="font51"/>
    <w:basedOn w:val="41"/>
    <w:autoRedefine/>
    <w:qFormat/>
    <w:uiPriority w:val="0"/>
    <w:rPr>
      <w:rFonts w:hint="default" w:ascii="方正黑体_GBK" w:hAnsi="方正黑体_GBK" w:eastAsia="方正黑体_GBK" w:cs="方正黑体_GBK"/>
      <w:color w:val="FF0000"/>
      <w:sz w:val="20"/>
      <w:szCs w:val="20"/>
      <w:u w:val="none"/>
    </w:rPr>
  </w:style>
  <w:style w:type="character" w:customStyle="1" w:styleId="217">
    <w:name w:val="font41"/>
    <w:basedOn w:val="41"/>
    <w:autoRedefine/>
    <w:qFormat/>
    <w:uiPriority w:val="0"/>
    <w:rPr>
      <w:rFonts w:hint="default" w:ascii="方正黑体_GBK" w:hAnsi="方正黑体_GBK" w:eastAsia="方正黑体_GBK" w:cs="方正黑体_GBK"/>
      <w:color w:val="000000"/>
      <w:sz w:val="20"/>
      <w:szCs w:val="20"/>
      <w:u w:val="none"/>
    </w:rPr>
  </w:style>
  <w:style w:type="character" w:customStyle="1" w:styleId="218">
    <w:name w:val="font81"/>
    <w:basedOn w:val="41"/>
    <w:autoRedefine/>
    <w:qFormat/>
    <w:uiPriority w:val="0"/>
    <w:rPr>
      <w:rFonts w:hint="eastAsia" w:ascii="黑体" w:hAnsi="宋体" w:eastAsia="黑体" w:cs="黑体"/>
      <w:color w:val="FF0000"/>
      <w:sz w:val="20"/>
      <w:szCs w:val="20"/>
      <w:u w:val="none"/>
    </w:rPr>
  </w:style>
  <w:style w:type="character" w:customStyle="1" w:styleId="219">
    <w:name w:val="font71"/>
    <w:basedOn w:val="41"/>
    <w:autoRedefine/>
    <w:qFormat/>
    <w:uiPriority w:val="0"/>
    <w:rPr>
      <w:rFonts w:hint="default" w:ascii="方正黑体_GBK" w:hAnsi="方正黑体_GBK" w:eastAsia="方正黑体_GBK" w:cs="方正黑体_GBK"/>
      <w:color w:val="000000"/>
      <w:sz w:val="20"/>
      <w:szCs w:val="20"/>
      <w:u w:val="none"/>
    </w:rPr>
  </w:style>
  <w:style w:type="character" w:customStyle="1" w:styleId="220">
    <w:name w:val="font91"/>
    <w:basedOn w:val="41"/>
    <w:autoRedefine/>
    <w:qFormat/>
    <w:uiPriority w:val="0"/>
    <w:rPr>
      <w:rFonts w:hint="default" w:ascii="方正黑体_GBK" w:hAnsi="方正黑体_GBK" w:eastAsia="方正黑体_GBK" w:cs="方正黑体_GBK"/>
      <w:color w:val="000000"/>
      <w:sz w:val="20"/>
      <w:szCs w:val="20"/>
      <w:u w:val="none"/>
    </w:rPr>
  </w:style>
  <w:style w:type="character" w:customStyle="1" w:styleId="221">
    <w:name w:val="font101"/>
    <w:basedOn w:val="41"/>
    <w:autoRedefine/>
    <w:qFormat/>
    <w:uiPriority w:val="0"/>
    <w:rPr>
      <w:rFonts w:hint="default" w:ascii="Times New Roman" w:hAnsi="Times New Roman" w:cs="Times New Roman"/>
      <w:color w:val="000000"/>
      <w:sz w:val="22"/>
      <w:szCs w:val="22"/>
      <w:u w:val="none"/>
    </w:rPr>
  </w:style>
  <w:style w:type="character" w:customStyle="1" w:styleId="222">
    <w:name w:val="font112"/>
    <w:basedOn w:val="41"/>
    <w:autoRedefine/>
    <w:qFormat/>
    <w:uiPriority w:val="0"/>
    <w:rPr>
      <w:rFonts w:hint="eastAsia" w:ascii="黑体" w:hAnsi="宋体" w:eastAsia="黑体" w:cs="黑体"/>
      <w:color w:val="000000"/>
      <w:sz w:val="22"/>
      <w:szCs w:val="22"/>
      <w:u w:val="none"/>
    </w:rPr>
  </w:style>
  <w:style w:type="paragraph" w:customStyle="1" w:styleId="223">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4D8702-CD7E-4C19-ACCF-7EE74A4FBC04}">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91</Pages>
  <Words>6326</Words>
  <Characters>6830</Characters>
  <Lines>616</Lines>
  <Paragraphs>173</Paragraphs>
  <TotalTime>5</TotalTime>
  <ScaleCrop>false</ScaleCrop>
  <LinksUpToDate>false</LinksUpToDate>
  <CharactersWithSpaces>6928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2023-01-02T21:26:00Z</dcterms:created>
  <dc:creator>yinjian</dc:creator>
  <cp:lastModifiedBy>徐璐琪</cp:lastModifiedBy>
  <cp:lastPrinted>2024-04-04T18:28:00Z</cp:lastPrinted>
  <dcterms:modified xsi:type="dcterms:W3CDTF">2026-10-21T12:02:54Z</dcterms:modified>
  <dc:title>招　标　文　件</dc:title>
  <cp:revision>153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30BBBDF6D789995E164ABB6A490128AE_43</vt:lpwstr>
  </property>
  <property fmtid="{D5CDD505-2E9C-101B-9397-08002B2CF9AE}" pid="4" name="KSOTemplateDocerSaveRecord">
    <vt:lpwstr>eyJoZGlkIjoiNzhiNWQ2Zjg4MWRiZWUzNDE2Y2Y0MzhlM2NjZDU3OTQiLCJ1c2VySWQiOiI3MzIxODk2NDgifQ==</vt:lpwstr>
  </property>
</Properties>
</file>