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B7599B">
      <w:pPr>
        <w:adjustRightInd w:val="0"/>
        <w:snapToGrid w:val="0"/>
        <w:spacing w:line="360" w:lineRule="auto"/>
        <w:jc w:val="center"/>
        <w:rPr>
          <w:rFonts w:hint="eastAsia" w:ascii="宋体" w:hAnsi="宋体"/>
          <w:b/>
          <w:bCs/>
          <w:szCs w:val="32"/>
        </w:rPr>
      </w:pPr>
      <w:r>
        <w:rPr>
          <w:rFonts w:hint="eastAsia" w:ascii="宋体" w:hAnsi="宋体"/>
          <w:b/>
          <w:sz w:val="32"/>
          <w:szCs w:val="32"/>
        </w:rPr>
        <w:t xml:space="preserve">                                           </w:t>
      </w:r>
    </w:p>
    <w:p w14:paraId="225D5279">
      <w:pPr>
        <w:spacing w:line="360" w:lineRule="auto"/>
        <w:ind w:right="-281"/>
        <w:jc w:val="right"/>
        <w:rPr>
          <w:rFonts w:hint="eastAsia" w:ascii="宋体" w:hAnsi="宋体"/>
          <w:sz w:val="24"/>
        </w:rPr>
      </w:pPr>
      <w:r>
        <w:rPr>
          <w:rFonts w:hint="eastAsia" w:ascii="宋体" w:hAnsi="宋体"/>
          <w:sz w:val="24"/>
        </w:rPr>
        <w:drawing>
          <wp:anchor distT="0" distB="0" distL="114300" distR="114300" simplePos="0" relativeHeight="251660288" behindDoc="1" locked="0" layoutInCell="1" allowOverlap="1">
            <wp:simplePos x="0" y="0"/>
            <wp:positionH relativeFrom="column">
              <wp:posOffset>4280535</wp:posOffset>
            </wp:positionH>
            <wp:positionV relativeFrom="paragraph">
              <wp:posOffset>-437515</wp:posOffset>
            </wp:positionV>
            <wp:extent cx="1628775" cy="600075"/>
            <wp:effectExtent l="0" t="0" r="9525" b="9525"/>
            <wp:wrapTight wrapText="bothSides">
              <wp:wrapPolygon>
                <wp:start x="0" y="0"/>
                <wp:lineTo x="0" y="21257"/>
                <wp:lineTo x="21474" y="21257"/>
                <wp:lineTo x="21474" y="0"/>
                <wp:lineTo x="0" y="0"/>
              </wp:wrapPolygon>
            </wp:wrapTight>
            <wp:docPr id="1" name="图片 3"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无标题"/>
                    <pic:cNvPicPr>
                      <a:picLocks noChangeAspect="1"/>
                    </pic:cNvPicPr>
                  </pic:nvPicPr>
                  <pic:blipFill>
                    <a:blip r:embed="rId8"/>
                    <a:stretch>
                      <a:fillRect/>
                    </a:stretch>
                  </pic:blipFill>
                  <pic:spPr>
                    <a:xfrm>
                      <a:off x="0" y="0"/>
                      <a:ext cx="1628775" cy="600075"/>
                    </a:xfrm>
                    <a:prstGeom prst="rect">
                      <a:avLst/>
                    </a:prstGeom>
                    <a:noFill/>
                    <a:ln>
                      <a:noFill/>
                    </a:ln>
                  </pic:spPr>
                </pic:pic>
              </a:graphicData>
            </a:graphic>
          </wp:anchor>
        </w:drawing>
      </w:r>
    </w:p>
    <w:p w14:paraId="00F02B04">
      <w:pPr>
        <w:spacing w:line="360" w:lineRule="auto"/>
        <w:ind w:right="-281"/>
        <w:jc w:val="right"/>
        <w:rPr>
          <w:rFonts w:hint="eastAsia" w:ascii="宋体" w:hAnsi="宋体"/>
          <w:sz w:val="24"/>
        </w:rPr>
      </w:pPr>
    </w:p>
    <w:p w14:paraId="7131ADF7">
      <w:pPr>
        <w:spacing w:line="360" w:lineRule="auto"/>
        <w:jc w:val="center"/>
        <w:rPr>
          <w:b/>
          <w:sz w:val="52"/>
          <w:szCs w:val="52"/>
        </w:rPr>
      </w:pPr>
      <w:r>
        <w:rPr>
          <w:rFonts w:hint="eastAsia"/>
          <w:b/>
          <w:sz w:val="52"/>
          <w:szCs w:val="52"/>
          <w:lang w:eastAsia="zh-CN"/>
        </w:rPr>
        <w:t>中国科学院华南植物园多通道长期监测荧光仪等5台仪器设备</w:t>
      </w:r>
      <w:r>
        <w:rPr>
          <w:rFonts w:hint="eastAsia"/>
          <w:b/>
          <w:sz w:val="52"/>
          <w:szCs w:val="52"/>
        </w:rPr>
        <w:t>采购项目</w:t>
      </w:r>
    </w:p>
    <w:p w14:paraId="19EBDDE9">
      <w:pPr>
        <w:spacing w:line="360" w:lineRule="auto"/>
        <w:jc w:val="center"/>
        <w:rPr>
          <w:b/>
          <w:sz w:val="44"/>
        </w:rPr>
      </w:pPr>
    </w:p>
    <w:p w14:paraId="08ACECD2">
      <w:pPr>
        <w:spacing w:line="360" w:lineRule="auto"/>
        <w:jc w:val="center"/>
        <w:rPr>
          <w:rFonts w:hint="eastAsia" w:ascii="宋体" w:hAnsi="宋体"/>
          <w:b/>
          <w:szCs w:val="21"/>
        </w:rPr>
      </w:pPr>
      <w:r>
        <w:rPr>
          <w:rFonts w:hint="eastAsia" w:ascii="宋体" w:hAnsi="宋体"/>
          <w:b/>
          <w:sz w:val="72"/>
          <w:szCs w:val="52"/>
        </w:rPr>
        <w:t>招</w:t>
      </w:r>
      <w:r>
        <w:rPr>
          <w:rFonts w:ascii="宋体" w:hAnsi="宋体"/>
          <w:b/>
          <w:sz w:val="72"/>
          <w:szCs w:val="52"/>
        </w:rPr>
        <w:t xml:space="preserve">  </w:t>
      </w:r>
      <w:r>
        <w:rPr>
          <w:rFonts w:hint="eastAsia" w:ascii="宋体" w:hAnsi="宋体"/>
          <w:b/>
          <w:sz w:val="72"/>
          <w:szCs w:val="52"/>
        </w:rPr>
        <w:t>标</w:t>
      </w:r>
      <w:r>
        <w:rPr>
          <w:rFonts w:ascii="宋体" w:hAnsi="宋体"/>
          <w:b/>
          <w:sz w:val="72"/>
          <w:szCs w:val="52"/>
        </w:rPr>
        <w:t xml:space="preserve">  </w:t>
      </w:r>
      <w:r>
        <w:rPr>
          <w:rFonts w:hint="eastAsia" w:ascii="宋体" w:hAnsi="宋体"/>
          <w:b/>
          <w:sz w:val="72"/>
          <w:szCs w:val="52"/>
        </w:rPr>
        <w:t>文</w:t>
      </w:r>
      <w:r>
        <w:rPr>
          <w:rFonts w:ascii="宋体" w:hAnsi="宋体"/>
          <w:b/>
          <w:sz w:val="72"/>
          <w:szCs w:val="52"/>
        </w:rPr>
        <w:t xml:space="preserve">  </w:t>
      </w:r>
      <w:r>
        <w:rPr>
          <w:rFonts w:hint="eastAsia" w:ascii="宋体" w:hAnsi="宋体"/>
          <w:b/>
          <w:sz w:val="72"/>
          <w:szCs w:val="52"/>
        </w:rPr>
        <w:t>件</w:t>
      </w:r>
    </w:p>
    <w:p w14:paraId="6D05D81A">
      <w:pPr>
        <w:spacing w:line="360" w:lineRule="auto"/>
        <w:jc w:val="center"/>
        <w:rPr>
          <w:rFonts w:hint="eastAsia" w:ascii="宋体" w:hAnsi="宋体"/>
          <w:b/>
          <w:sz w:val="32"/>
          <w:szCs w:val="32"/>
        </w:rPr>
      </w:pPr>
    </w:p>
    <w:p w14:paraId="144056E8">
      <w:pPr>
        <w:spacing w:line="360" w:lineRule="auto"/>
        <w:jc w:val="center"/>
        <w:rPr>
          <w:rFonts w:hint="eastAsia" w:ascii="宋体" w:hAnsi="宋体"/>
          <w:b/>
          <w:sz w:val="30"/>
          <w:szCs w:val="30"/>
        </w:rPr>
      </w:pPr>
    </w:p>
    <w:p w14:paraId="0352C6B2">
      <w:pPr>
        <w:spacing w:line="360" w:lineRule="auto"/>
        <w:ind w:firstLine="2168" w:firstLineChars="600"/>
        <w:rPr>
          <w:rFonts w:hint="eastAsia" w:eastAsia="宋体"/>
          <w:b/>
          <w:sz w:val="32"/>
          <w:u w:val="single"/>
          <w:lang w:eastAsia="zh-CN"/>
        </w:rPr>
      </w:pPr>
      <w:r>
        <w:rPr>
          <w:rFonts w:hint="eastAsia" w:ascii="宋体" w:hAnsi="宋体"/>
          <w:b/>
          <w:sz w:val="36"/>
          <w:szCs w:val="36"/>
        </w:rPr>
        <w:t>招标编号：</w:t>
      </w:r>
      <w:r>
        <w:rPr>
          <w:rFonts w:hint="eastAsia" w:ascii="宋体" w:hAnsi="宋体"/>
          <w:b/>
          <w:sz w:val="36"/>
          <w:szCs w:val="36"/>
          <w:lang w:eastAsia="zh-CN"/>
        </w:rPr>
        <w:t>OITC-G260392132</w:t>
      </w:r>
    </w:p>
    <w:p w14:paraId="199D47EC">
      <w:pPr>
        <w:spacing w:line="360" w:lineRule="auto"/>
        <w:jc w:val="center"/>
        <w:rPr>
          <w:b/>
          <w:sz w:val="32"/>
        </w:rPr>
      </w:pPr>
    </w:p>
    <w:p w14:paraId="41DCF77D">
      <w:pPr>
        <w:spacing w:line="360" w:lineRule="auto"/>
        <w:rPr>
          <w:b/>
          <w:sz w:val="32"/>
        </w:rPr>
      </w:pPr>
    </w:p>
    <w:p w14:paraId="550F3D37">
      <w:pPr>
        <w:adjustRightInd w:val="0"/>
        <w:snapToGrid w:val="0"/>
        <w:spacing w:before="120" w:line="360" w:lineRule="auto"/>
        <w:jc w:val="center"/>
        <w:rPr>
          <w:rFonts w:hint="eastAsia" w:ascii="宋体" w:hAnsi="宋体"/>
          <w:b/>
          <w:bCs/>
          <w:snapToGrid w:val="0"/>
          <w:spacing w:val="20"/>
          <w:sz w:val="36"/>
          <w:szCs w:val="36"/>
        </w:rPr>
      </w:pPr>
      <w:r>
        <w:rPr>
          <w:rFonts w:hint="eastAsia" w:ascii="宋体" w:hAnsi="宋体"/>
          <w:b/>
          <w:bCs/>
          <w:snapToGrid w:val="0"/>
          <w:spacing w:val="20"/>
          <w:sz w:val="36"/>
          <w:szCs w:val="36"/>
        </w:rPr>
        <w:t>东方国际招标有限责任公司</w:t>
      </w:r>
    </w:p>
    <w:p w14:paraId="44AC59C5">
      <w:pPr>
        <w:adjustRightInd w:val="0"/>
        <w:snapToGrid w:val="0"/>
        <w:spacing w:line="360" w:lineRule="auto"/>
        <w:jc w:val="center"/>
        <w:rPr>
          <w:rFonts w:hint="eastAsia" w:ascii="宋体" w:hAnsi="宋体"/>
          <w:b/>
          <w:snapToGrid w:val="0"/>
          <w:sz w:val="36"/>
          <w:szCs w:val="36"/>
        </w:rPr>
      </w:pPr>
    </w:p>
    <w:p w14:paraId="22FCBEE6">
      <w:pPr>
        <w:adjustRightInd w:val="0"/>
        <w:snapToGrid w:val="0"/>
        <w:spacing w:line="360" w:lineRule="auto"/>
        <w:jc w:val="center"/>
        <w:rPr>
          <w:rFonts w:hint="eastAsia" w:ascii="宋体" w:hAnsi="宋体"/>
          <w:b/>
          <w:snapToGrid w:val="0"/>
          <w:sz w:val="36"/>
          <w:szCs w:val="36"/>
        </w:rPr>
      </w:pPr>
      <w:r>
        <w:rPr>
          <w:rFonts w:hint="eastAsia" w:ascii="宋体" w:hAnsi="宋体"/>
          <w:b/>
          <w:snapToGrid w:val="0"/>
          <w:sz w:val="36"/>
          <w:szCs w:val="36"/>
        </w:rPr>
        <w:t>中国 · 北京</w:t>
      </w:r>
    </w:p>
    <w:p w14:paraId="55343959">
      <w:pPr>
        <w:adjustRightInd w:val="0"/>
        <w:snapToGrid w:val="0"/>
        <w:spacing w:line="360" w:lineRule="auto"/>
        <w:jc w:val="center"/>
        <w:rPr>
          <w:rFonts w:hint="eastAsia" w:ascii="宋体" w:hAnsi="宋体"/>
          <w:b/>
          <w:snapToGrid w:val="0"/>
          <w:sz w:val="36"/>
          <w:szCs w:val="36"/>
        </w:rPr>
      </w:pPr>
    </w:p>
    <w:p w14:paraId="4F88E339">
      <w:pPr>
        <w:adjustRightInd w:val="0"/>
        <w:snapToGrid w:val="0"/>
        <w:spacing w:line="360" w:lineRule="auto"/>
        <w:jc w:val="center"/>
        <w:rPr>
          <w:rFonts w:hint="eastAsia" w:ascii="宋体" w:hAnsi="宋体"/>
          <w:b/>
          <w:snapToGrid w:val="0"/>
          <w:sz w:val="36"/>
          <w:szCs w:val="36"/>
        </w:rPr>
        <w:sectPr>
          <w:footerReference r:id="rId4" w:type="first"/>
          <w:headerReference r:id="rId3" w:type="default"/>
          <w:pgSz w:w="11906" w:h="16838"/>
          <w:pgMar w:top="1418" w:right="1418" w:bottom="1418" w:left="1418" w:header="851" w:footer="992" w:gutter="0"/>
          <w:pgNumType w:start="0"/>
          <w:cols w:space="720" w:num="1"/>
          <w:titlePg/>
          <w:docGrid w:type="lines" w:linePitch="312" w:charSpace="0"/>
        </w:sectPr>
      </w:pPr>
      <w:r>
        <w:rPr>
          <w:rFonts w:hint="eastAsia" w:ascii="宋体" w:hAnsi="宋体"/>
          <w:b/>
          <w:snapToGrid w:val="0"/>
          <w:sz w:val="36"/>
          <w:szCs w:val="36"/>
        </w:rPr>
        <w:t>2026年</w:t>
      </w:r>
      <w:r>
        <w:rPr>
          <w:rFonts w:hint="eastAsia" w:ascii="宋体" w:hAnsi="宋体"/>
          <w:b/>
          <w:snapToGrid w:val="0"/>
          <w:sz w:val="36"/>
          <w:szCs w:val="36"/>
          <w:lang w:val="en-US" w:eastAsia="zh-CN"/>
        </w:rPr>
        <w:t>9</w:t>
      </w:r>
      <w:r>
        <w:rPr>
          <w:rFonts w:hint="eastAsia" w:ascii="宋体" w:hAnsi="宋体"/>
          <w:b/>
          <w:snapToGrid w:val="0"/>
          <w:sz w:val="36"/>
          <w:szCs w:val="36"/>
        </w:rPr>
        <w:t>月</w:t>
      </w:r>
    </w:p>
    <w:p w14:paraId="5181DE05">
      <w:pPr>
        <w:adjustRightInd w:val="0"/>
        <w:snapToGrid w:val="0"/>
        <w:spacing w:line="360" w:lineRule="auto"/>
        <w:rPr>
          <w:rFonts w:hint="eastAsia" w:ascii="宋体" w:hAnsi="宋体"/>
          <w:b/>
          <w:szCs w:val="21"/>
        </w:rPr>
      </w:pPr>
    </w:p>
    <w:p w14:paraId="7E2F3743">
      <w:pPr>
        <w:autoSpaceDE w:val="0"/>
        <w:autoSpaceDN w:val="0"/>
        <w:adjustRightInd w:val="0"/>
        <w:spacing w:line="360" w:lineRule="auto"/>
        <w:jc w:val="center"/>
        <w:outlineLvl w:val="0"/>
        <w:rPr>
          <w:rFonts w:hint="eastAsia" w:ascii="宋体" w:hAnsi="宋体"/>
          <w:b/>
          <w:kern w:val="0"/>
          <w:sz w:val="36"/>
          <w:szCs w:val="36"/>
        </w:rPr>
      </w:pPr>
      <w:r>
        <w:rPr>
          <w:rFonts w:hint="eastAsia" w:ascii="宋体" w:hAnsi="宋体"/>
          <w:b/>
          <w:kern w:val="0"/>
          <w:sz w:val="36"/>
          <w:szCs w:val="36"/>
        </w:rPr>
        <w:t>目录</w:t>
      </w:r>
    </w:p>
    <w:p w14:paraId="7467F02F">
      <w:pPr>
        <w:autoSpaceDE w:val="0"/>
        <w:autoSpaceDN w:val="0"/>
        <w:adjustRightInd w:val="0"/>
        <w:spacing w:line="360" w:lineRule="auto"/>
        <w:jc w:val="center"/>
        <w:rPr>
          <w:rFonts w:hint="eastAsia" w:ascii="宋体" w:hAnsi="宋体"/>
          <w:b/>
          <w:kern w:val="0"/>
          <w:sz w:val="24"/>
        </w:rPr>
      </w:pPr>
    </w:p>
    <w:p w14:paraId="52763C2D">
      <w:pPr>
        <w:autoSpaceDE w:val="0"/>
        <w:autoSpaceDN w:val="0"/>
        <w:adjustRightInd w:val="0"/>
        <w:spacing w:line="360" w:lineRule="auto"/>
        <w:jc w:val="left"/>
        <w:rPr>
          <w:rFonts w:hint="eastAsia" w:ascii="宋体" w:hAnsi="宋体"/>
          <w:b/>
          <w:kern w:val="0"/>
          <w:sz w:val="24"/>
        </w:rPr>
      </w:pPr>
      <w:bookmarkStart w:id="0" w:name="_Hlk126854363"/>
      <w:r>
        <w:rPr>
          <w:rFonts w:hint="eastAsia" w:ascii="宋体" w:hAnsi="宋体"/>
          <w:b/>
          <w:kern w:val="0"/>
          <w:sz w:val="24"/>
        </w:rPr>
        <w:t>第一章 投标邀请</w:t>
      </w:r>
      <w:bookmarkEnd w:id="0"/>
    </w:p>
    <w:p w14:paraId="1CEF62FE">
      <w:pPr>
        <w:pStyle w:val="8"/>
        <w:spacing w:line="360" w:lineRule="auto"/>
        <w:rPr>
          <w:rFonts w:hint="eastAsia"/>
          <w:b/>
        </w:rPr>
      </w:pPr>
    </w:p>
    <w:p w14:paraId="26B5592E">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第二章 投标人须知资料表</w:t>
      </w:r>
    </w:p>
    <w:p w14:paraId="162B0850">
      <w:pPr>
        <w:pStyle w:val="8"/>
        <w:spacing w:line="360" w:lineRule="auto"/>
        <w:rPr>
          <w:rFonts w:hint="eastAsia"/>
          <w:b/>
        </w:rPr>
      </w:pPr>
    </w:p>
    <w:p w14:paraId="0BEAAD4C">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第三章 投标人须知</w:t>
      </w:r>
    </w:p>
    <w:p w14:paraId="4506F3FB">
      <w:pPr>
        <w:autoSpaceDE w:val="0"/>
        <w:autoSpaceDN w:val="0"/>
        <w:adjustRightInd w:val="0"/>
        <w:spacing w:line="360" w:lineRule="auto"/>
        <w:jc w:val="left"/>
        <w:rPr>
          <w:rFonts w:hint="eastAsia" w:ascii="宋体" w:hAnsi="宋体"/>
          <w:b/>
          <w:kern w:val="0"/>
          <w:sz w:val="24"/>
        </w:rPr>
      </w:pPr>
    </w:p>
    <w:p w14:paraId="36CAC6F1">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第四章 项目需求</w:t>
      </w:r>
    </w:p>
    <w:p w14:paraId="1C3ECE77">
      <w:pPr>
        <w:autoSpaceDE w:val="0"/>
        <w:autoSpaceDN w:val="0"/>
        <w:adjustRightInd w:val="0"/>
        <w:spacing w:line="360" w:lineRule="auto"/>
        <w:jc w:val="left"/>
        <w:rPr>
          <w:rFonts w:hint="eastAsia" w:ascii="宋体" w:hAnsi="宋体"/>
          <w:b/>
          <w:kern w:val="0"/>
          <w:sz w:val="24"/>
        </w:rPr>
      </w:pPr>
    </w:p>
    <w:p w14:paraId="30836693">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第五章 拟签订的合同文本（范本）</w:t>
      </w:r>
    </w:p>
    <w:p w14:paraId="3C02E9D9">
      <w:pPr>
        <w:autoSpaceDE w:val="0"/>
        <w:autoSpaceDN w:val="0"/>
        <w:adjustRightInd w:val="0"/>
        <w:spacing w:line="360" w:lineRule="auto"/>
        <w:jc w:val="left"/>
        <w:rPr>
          <w:rFonts w:hint="eastAsia" w:ascii="宋体" w:hAnsi="宋体"/>
          <w:b/>
          <w:kern w:val="0"/>
          <w:sz w:val="24"/>
        </w:rPr>
      </w:pPr>
    </w:p>
    <w:p w14:paraId="56D1F881">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第六章 投标文件格式</w:t>
      </w:r>
    </w:p>
    <w:p w14:paraId="5037626D">
      <w:pPr>
        <w:autoSpaceDE w:val="0"/>
        <w:autoSpaceDN w:val="0"/>
        <w:adjustRightInd w:val="0"/>
        <w:spacing w:line="360" w:lineRule="auto"/>
        <w:jc w:val="left"/>
        <w:rPr>
          <w:rFonts w:hint="eastAsia" w:ascii="宋体" w:hAnsi="宋体"/>
          <w:b/>
          <w:kern w:val="0"/>
          <w:sz w:val="24"/>
        </w:rPr>
      </w:pPr>
    </w:p>
    <w:p w14:paraId="77C7C935">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第七章 评标文件（附：评标标准）</w:t>
      </w:r>
    </w:p>
    <w:p w14:paraId="467EFFBF">
      <w:pPr>
        <w:pStyle w:val="8"/>
        <w:spacing w:line="360" w:lineRule="auto"/>
        <w:rPr>
          <w:rFonts w:hint="eastAsia"/>
          <w:b/>
        </w:rPr>
      </w:pPr>
    </w:p>
    <w:p w14:paraId="11262838">
      <w:pPr>
        <w:pStyle w:val="8"/>
        <w:spacing w:line="360" w:lineRule="auto"/>
        <w:rPr>
          <w:rFonts w:hint="eastAsia"/>
          <w:b/>
        </w:rPr>
      </w:pPr>
    </w:p>
    <w:p w14:paraId="7F49542A">
      <w:pPr>
        <w:adjustRightInd w:val="0"/>
        <w:snapToGrid w:val="0"/>
        <w:spacing w:line="360" w:lineRule="auto"/>
        <w:jc w:val="center"/>
        <w:outlineLvl w:val="0"/>
        <w:rPr>
          <w:rFonts w:hint="eastAsia" w:ascii="宋体" w:hAnsi="宋体"/>
          <w:b/>
          <w:sz w:val="30"/>
          <w:szCs w:val="30"/>
        </w:rPr>
        <w:sectPr>
          <w:pgSz w:w="11906" w:h="16838"/>
          <w:pgMar w:top="1418" w:right="1418" w:bottom="1418" w:left="1418" w:header="851" w:footer="992" w:gutter="0"/>
          <w:pgNumType w:start="0"/>
          <w:cols w:space="720" w:num="1"/>
          <w:titlePg/>
          <w:docGrid w:type="lines" w:linePitch="312" w:charSpace="0"/>
        </w:sectPr>
      </w:pPr>
    </w:p>
    <w:p w14:paraId="7FE19A0C">
      <w:pPr>
        <w:adjustRightInd w:val="0"/>
        <w:snapToGrid w:val="0"/>
        <w:spacing w:line="360" w:lineRule="auto"/>
        <w:jc w:val="center"/>
        <w:outlineLvl w:val="0"/>
        <w:rPr>
          <w:rFonts w:hint="eastAsia" w:ascii="宋体" w:hAnsi="宋体"/>
          <w:b/>
          <w:sz w:val="30"/>
          <w:szCs w:val="30"/>
        </w:rPr>
      </w:pPr>
      <w:r>
        <w:rPr>
          <w:rFonts w:hint="eastAsia" w:ascii="宋体" w:hAnsi="宋体"/>
          <w:b/>
          <w:sz w:val="30"/>
          <w:szCs w:val="30"/>
        </w:rPr>
        <w:t xml:space="preserve">第一章 </w:t>
      </w:r>
      <w:r>
        <w:rPr>
          <w:rFonts w:ascii="宋体" w:hAnsi="宋体"/>
          <w:b/>
          <w:sz w:val="30"/>
          <w:szCs w:val="30"/>
        </w:rPr>
        <w:t xml:space="preserve"> </w:t>
      </w:r>
      <w:r>
        <w:rPr>
          <w:rFonts w:hint="eastAsia" w:ascii="宋体" w:hAnsi="宋体"/>
          <w:b/>
          <w:sz w:val="30"/>
          <w:szCs w:val="30"/>
        </w:rPr>
        <w:t>投标邀请</w:t>
      </w:r>
    </w:p>
    <w:p w14:paraId="0CDFB6EC">
      <w:pPr>
        <w:adjustRightInd w:val="0"/>
        <w:snapToGrid w:val="0"/>
        <w:spacing w:line="360" w:lineRule="auto"/>
        <w:jc w:val="center"/>
        <w:rPr>
          <w:rFonts w:hint="eastAsia" w:ascii="宋体" w:hAnsi="宋体"/>
          <w:b/>
          <w:sz w:val="24"/>
        </w:rPr>
      </w:pPr>
    </w:p>
    <w:p w14:paraId="7D79393F">
      <w:pPr>
        <w:spacing w:line="360" w:lineRule="auto"/>
        <w:jc w:val="right"/>
        <w:rPr>
          <w:rFonts w:hint="eastAsia" w:ascii="宋体" w:hAnsi="宋体"/>
          <w:bCs/>
          <w:sz w:val="24"/>
        </w:rPr>
      </w:pPr>
      <w:bookmarkStart w:id="1" w:name="_Toc512937850"/>
      <w:r>
        <w:rPr>
          <w:rFonts w:hint="eastAsia" w:ascii="宋体" w:hAnsi="宋体"/>
          <w:bCs/>
          <w:sz w:val="24"/>
        </w:rPr>
        <w:t>日期：</w:t>
      </w:r>
      <w:r>
        <w:rPr>
          <w:rFonts w:ascii="宋体" w:hAnsi="宋体"/>
          <w:bCs/>
          <w:sz w:val="24"/>
        </w:rPr>
        <w:t xml:space="preserve"> </w:t>
      </w:r>
      <w:r>
        <w:rPr>
          <w:rFonts w:ascii="宋体" w:hAnsi="宋体"/>
          <w:bCs/>
          <w:sz w:val="24"/>
          <w:u w:val="single"/>
        </w:rPr>
        <w:t>2</w:t>
      </w:r>
      <w:r>
        <w:rPr>
          <w:rFonts w:hint="eastAsia" w:ascii="宋体" w:hAnsi="宋体"/>
          <w:bCs/>
          <w:sz w:val="24"/>
          <w:u w:val="single"/>
        </w:rPr>
        <w:t>026</w:t>
      </w:r>
      <w:r>
        <w:rPr>
          <w:rFonts w:ascii="宋体" w:hAnsi="宋体"/>
          <w:bCs/>
          <w:sz w:val="24"/>
          <w:u w:val="single"/>
        </w:rPr>
        <w:t xml:space="preserve">  </w:t>
      </w:r>
      <w:r>
        <w:rPr>
          <w:rFonts w:hint="eastAsia" w:ascii="宋体" w:hAnsi="宋体"/>
          <w:bCs/>
          <w:sz w:val="24"/>
        </w:rPr>
        <w:t>年</w:t>
      </w:r>
      <w:r>
        <w:rPr>
          <w:rFonts w:hint="eastAsia" w:ascii="宋体" w:hAnsi="宋体"/>
          <w:bCs/>
          <w:sz w:val="24"/>
          <w:u w:val="single"/>
          <w:lang w:val="en-US" w:eastAsia="zh-CN"/>
        </w:rPr>
        <w:t>9</w:t>
      </w:r>
      <w:r>
        <w:rPr>
          <w:rFonts w:hint="eastAsia" w:ascii="宋体" w:hAnsi="宋体"/>
          <w:bCs/>
          <w:sz w:val="24"/>
        </w:rPr>
        <w:t>月</w:t>
      </w:r>
      <w:r>
        <w:rPr>
          <w:rFonts w:hint="eastAsia" w:ascii="宋体" w:hAnsi="宋体"/>
          <w:bCs/>
          <w:sz w:val="24"/>
          <w:u w:val="single"/>
          <w:lang w:val="en-US" w:eastAsia="zh-CN"/>
        </w:rPr>
        <w:t>15</w:t>
      </w:r>
      <w:r>
        <w:rPr>
          <w:rFonts w:hint="eastAsia" w:ascii="宋体" w:hAnsi="宋体"/>
          <w:bCs/>
          <w:sz w:val="24"/>
        </w:rPr>
        <w:t>日</w:t>
      </w:r>
    </w:p>
    <w:p w14:paraId="2E962AF6">
      <w:pPr>
        <w:widowControl/>
        <w:adjustRightInd w:val="0"/>
        <w:snapToGrid w:val="0"/>
        <w:spacing w:line="360" w:lineRule="auto"/>
        <w:jc w:val="left"/>
        <w:rPr>
          <w:rFonts w:hint="eastAsia" w:ascii="宋体" w:hAnsi="宋体"/>
          <w:bCs/>
          <w:sz w:val="24"/>
        </w:rPr>
      </w:pPr>
    </w:p>
    <w:p w14:paraId="51FAE99F">
      <w:pPr>
        <w:widowControl/>
        <w:adjustRightInd w:val="0"/>
        <w:snapToGrid w:val="0"/>
        <w:spacing w:line="360" w:lineRule="auto"/>
        <w:jc w:val="left"/>
        <w:rPr>
          <w:rFonts w:hint="eastAsia" w:ascii="宋体" w:hAnsi="宋体" w:cs="宋体"/>
          <w:b/>
          <w:kern w:val="0"/>
          <w:sz w:val="24"/>
        </w:rPr>
      </w:pPr>
      <w:r>
        <w:rPr>
          <w:rFonts w:hint="eastAsia" w:ascii="宋体" w:hAnsi="宋体" w:cs="宋体"/>
          <w:b/>
          <w:kern w:val="0"/>
          <w:sz w:val="24"/>
        </w:rPr>
        <w:t>项目概况</w:t>
      </w:r>
    </w:p>
    <w:p w14:paraId="21E152D4">
      <w:pPr>
        <w:widowControl/>
        <w:adjustRightInd w:val="0"/>
        <w:snapToGrid w:val="0"/>
        <w:spacing w:line="360" w:lineRule="auto"/>
        <w:ind w:firstLine="480" w:firstLineChars="200"/>
        <w:rPr>
          <w:rFonts w:hint="eastAsia" w:ascii="宋体" w:hAnsi="宋体" w:cs="宋体"/>
          <w:bCs/>
          <w:kern w:val="0"/>
          <w:sz w:val="24"/>
          <w:u w:val="single"/>
        </w:rPr>
      </w:pPr>
      <w:r>
        <w:rPr>
          <w:rFonts w:hint="eastAsia" w:ascii="宋体" w:hAnsi="宋体" w:cs="宋体"/>
          <w:bCs/>
          <w:kern w:val="0"/>
          <w:sz w:val="24"/>
          <w:u w:val="single"/>
          <w:lang w:eastAsia="zh-CN"/>
        </w:rPr>
        <w:t>中国科学院华南植物园多通道长期监测荧光仪等5台仪器设备</w:t>
      </w:r>
      <w:r>
        <w:rPr>
          <w:rFonts w:hint="eastAsia" w:ascii="宋体" w:hAnsi="宋体" w:cs="宋体"/>
          <w:bCs/>
          <w:kern w:val="0"/>
          <w:sz w:val="24"/>
          <w:u w:val="single"/>
        </w:rPr>
        <w:t xml:space="preserve">采购项目 </w:t>
      </w:r>
      <w:r>
        <w:rPr>
          <w:rFonts w:hint="eastAsia" w:ascii="宋体" w:hAnsi="宋体" w:cs="宋体"/>
          <w:bCs/>
          <w:kern w:val="0"/>
          <w:sz w:val="24"/>
        </w:rPr>
        <w:t>的潜在投标人应在</w:t>
      </w:r>
      <w:r>
        <w:rPr>
          <w:rFonts w:ascii="宋体" w:hAnsi="宋体" w:cs="宋体"/>
          <w:bCs/>
          <w:kern w:val="0"/>
          <w:sz w:val="24"/>
        </w:rPr>
        <w:t>www.oitccas.com</w:t>
      </w:r>
      <w:r>
        <w:rPr>
          <w:rFonts w:hint="eastAsia" w:ascii="宋体" w:hAnsi="宋体" w:cs="宋体"/>
          <w:bCs/>
          <w:kern w:val="0"/>
          <w:sz w:val="24"/>
        </w:rPr>
        <w:t>获取招标文件，并于</w:t>
      </w:r>
      <w:r>
        <w:rPr>
          <w:rFonts w:hint="eastAsia" w:ascii="宋体" w:hAnsi="宋体"/>
          <w:bCs/>
          <w:sz w:val="24"/>
          <w:shd w:val="clear" w:color="auto" w:fill="FFFFFF"/>
        </w:rPr>
        <w:t>2026年</w:t>
      </w:r>
      <w:r>
        <w:rPr>
          <w:rFonts w:hint="eastAsia" w:ascii="宋体" w:hAnsi="宋体"/>
          <w:bCs/>
          <w:sz w:val="24"/>
          <w:shd w:val="clear" w:color="auto" w:fill="FFFFFF"/>
          <w:lang w:val="en-US" w:eastAsia="zh-CN"/>
        </w:rPr>
        <w:t>10</w:t>
      </w:r>
      <w:r>
        <w:rPr>
          <w:rFonts w:hint="eastAsia" w:ascii="宋体" w:hAnsi="宋体"/>
          <w:bCs/>
          <w:sz w:val="24"/>
          <w:shd w:val="clear" w:color="auto" w:fill="FFFFFF"/>
        </w:rPr>
        <w:t>月</w:t>
      </w:r>
      <w:r>
        <w:rPr>
          <w:rFonts w:hint="eastAsia" w:ascii="宋体" w:hAnsi="宋体"/>
          <w:bCs/>
          <w:sz w:val="24"/>
          <w:shd w:val="clear" w:color="auto" w:fill="FFFFFF"/>
          <w:lang w:val="en-US" w:eastAsia="zh-CN"/>
        </w:rPr>
        <w:t>12</w:t>
      </w:r>
      <w:r>
        <w:rPr>
          <w:rFonts w:hint="eastAsia" w:ascii="宋体" w:hAnsi="宋体"/>
          <w:bCs/>
          <w:sz w:val="24"/>
          <w:shd w:val="clear" w:color="auto" w:fill="FFFFFF"/>
        </w:rPr>
        <w:t>日09 点</w:t>
      </w:r>
      <w:r>
        <w:rPr>
          <w:rFonts w:ascii="宋体" w:hAnsi="宋体"/>
          <w:bCs/>
          <w:sz w:val="24"/>
          <w:shd w:val="clear" w:color="auto" w:fill="FFFFFF"/>
        </w:rPr>
        <w:t xml:space="preserve"> 30 </w:t>
      </w:r>
      <w:r>
        <w:rPr>
          <w:rFonts w:hint="eastAsia" w:ascii="宋体" w:hAnsi="宋体"/>
          <w:bCs/>
          <w:sz w:val="24"/>
          <w:shd w:val="clear" w:color="auto" w:fill="FFFFFF"/>
        </w:rPr>
        <w:t>分(北京时间)</w:t>
      </w:r>
      <w:r>
        <w:rPr>
          <w:rFonts w:hint="eastAsia" w:ascii="宋体" w:hAnsi="宋体" w:cs="宋体"/>
          <w:bCs/>
          <w:kern w:val="0"/>
          <w:sz w:val="24"/>
        </w:rPr>
        <w:t>前递交投标文件。</w:t>
      </w:r>
    </w:p>
    <w:p w14:paraId="5C334F3A">
      <w:pPr>
        <w:widowControl/>
        <w:adjustRightInd w:val="0"/>
        <w:snapToGrid w:val="0"/>
        <w:spacing w:line="360" w:lineRule="auto"/>
        <w:jc w:val="left"/>
        <w:rPr>
          <w:rFonts w:hint="eastAsia" w:ascii="宋体" w:hAnsi="宋体" w:cs="宋体"/>
          <w:bCs/>
          <w:kern w:val="0"/>
          <w:szCs w:val="21"/>
        </w:rPr>
      </w:pPr>
    </w:p>
    <w:p w14:paraId="37735776">
      <w:pPr>
        <w:widowControl/>
        <w:adjustRightInd w:val="0"/>
        <w:snapToGrid w:val="0"/>
        <w:spacing w:line="360" w:lineRule="auto"/>
        <w:jc w:val="left"/>
        <w:outlineLvl w:val="1"/>
        <w:rPr>
          <w:rFonts w:hint="eastAsia" w:ascii="宋体" w:hAnsi="宋体" w:cs="宋体"/>
          <w:b/>
          <w:kern w:val="0"/>
          <w:sz w:val="24"/>
        </w:rPr>
      </w:pPr>
      <w:r>
        <w:rPr>
          <w:rFonts w:hint="eastAsia" w:ascii="宋体" w:hAnsi="宋体" w:cs="宋体"/>
          <w:b/>
          <w:kern w:val="0"/>
          <w:sz w:val="24"/>
        </w:rPr>
        <w:t>一、项目基本情况</w:t>
      </w:r>
    </w:p>
    <w:p w14:paraId="5EEF1937">
      <w:pPr>
        <w:widowControl/>
        <w:tabs>
          <w:tab w:val="left" w:pos="5103"/>
        </w:tabs>
        <w:adjustRightInd w:val="0"/>
        <w:snapToGrid w:val="0"/>
        <w:spacing w:before="100" w:beforeAutospacing="1" w:after="100" w:afterAutospacing="1" w:line="360" w:lineRule="auto"/>
        <w:jc w:val="left"/>
        <w:rPr>
          <w:rFonts w:hint="eastAsia" w:ascii="宋体" w:hAnsi="宋体" w:cs="宋体"/>
          <w:bCs/>
          <w:kern w:val="0"/>
          <w:sz w:val="24"/>
          <w:u w:val="single"/>
        </w:rPr>
      </w:pPr>
      <w:r>
        <w:rPr>
          <w:rFonts w:hint="eastAsia" w:ascii="宋体" w:hAnsi="宋体" w:cs="宋体"/>
          <w:bCs/>
          <w:kern w:val="0"/>
          <w:sz w:val="24"/>
        </w:rPr>
        <w:t>项目编号：</w:t>
      </w:r>
      <w:r>
        <w:rPr>
          <w:rFonts w:hint="eastAsia" w:ascii="宋体" w:hAnsi="宋体" w:cs="宋体"/>
          <w:bCs/>
          <w:kern w:val="0"/>
          <w:sz w:val="24"/>
          <w:u w:val="single"/>
        </w:rPr>
        <w:t xml:space="preserve">       </w:t>
      </w:r>
      <w:r>
        <w:rPr>
          <w:rFonts w:ascii="宋体" w:hAnsi="宋体" w:cs="宋体"/>
          <w:bCs/>
          <w:kern w:val="0"/>
          <w:sz w:val="24"/>
          <w:u w:val="single"/>
        </w:rPr>
        <w:t xml:space="preserve"> </w:t>
      </w:r>
      <w:r>
        <w:rPr>
          <w:rFonts w:hint="eastAsia" w:ascii="宋体" w:hAnsi="宋体" w:cs="宋体"/>
          <w:bCs/>
          <w:kern w:val="0"/>
          <w:sz w:val="24"/>
          <w:u w:val="single"/>
        </w:rPr>
        <w:t xml:space="preserve"> </w:t>
      </w:r>
      <w:r>
        <w:rPr>
          <w:rFonts w:hint="eastAsia" w:ascii="宋体" w:hAnsi="宋体" w:cs="宋体"/>
          <w:bCs/>
          <w:kern w:val="0"/>
          <w:sz w:val="24"/>
          <w:u w:val="single"/>
          <w:lang w:eastAsia="zh-CN"/>
        </w:rPr>
        <w:t>OITC-G260392132</w:t>
      </w:r>
      <w:r>
        <w:rPr>
          <w:rFonts w:hint="eastAsia" w:ascii="宋体" w:hAnsi="宋体" w:cs="宋体"/>
          <w:bCs/>
          <w:kern w:val="0"/>
          <w:sz w:val="24"/>
          <w:u w:val="single"/>
        </w:rPr>
        <w:t xml:space="preserve">   </w:t>
      </w:r>
    </w:p>
    <w:p w14:paraId="15A73A89">
      <w:pPr>
        <w:widowControl/>
        <w:adjustRightInd w:val="0"/>
        <w:snapToGrid w:val="0"/>
        <w:spacing w:before="100" w:beforeAutospacing="1" w:after="100" w:afterAutospacing="1" w:line="360" w:lineRule="auto"/>
        <w:ind w:left="1200" w:hanging="1200" w:hangingChars="500"/>
        <w:jc w:val="left"/>
        <w:rPr>
          <w:rFonts w:hint="eastAsia" w:ascii="宋体" w:hAnsi="宋体" w:cs="宋体"/>
          <w:bCs/>
          <w:kern w:val="0"/>
          <w:sz w:val="24"/>
          <w:u w:val="single"/>
        </w:rPr>
      </w:pPr>
      <w:r>
        <w:rPr>
          <w:rFonts w:hint="eastAsia" w:ascii="宋体" w:hAnsi="宋体" w:cs="宋体"/>
          <w:bCs/>
          <w:kern w:val="0"/>
          <w:sz w:val="24"/>
        </w:rPr>
        <w:t>项目名称：</w:t>
      </w:r>
      <w:r>
        <w:rPr>
          <w:rFonts w:hint="eastAsia" w:ascii="宋体" w:hAnsi="宋体" w:cs="宋体"/>
          <w:bCs/>
          <w:kern w:val="0"/>
          <w:sz w:val="24"/>
          <w:u w:val="single"/>
          <w:lang w:eastAsia="zh-CN"/>
        </w:rPr>
        <w:t>中国科学院华南植物园多通道长期监测荧光仪等5台仪器设备</w:t>
      </w:r>
      <w:r>
        <w:rPr>
          <w:rFonts w:hint="eastAsia" w:ascii="宋体" w:hAnsi="宋体" w:cs="宋体"/>
          <w:bCs/>
          <w:kern w:val="0"/>
          <w:sz w:val="24"/>
          <w:u w:val="single"/>
        </w:rPr>
        <w:t xml:space="preserve">采购项目  </w:t>
      </w:r>
    </w:p>
    <w:p w14:paraId="4B7D4E4B">
      <w:pPr>
        <w:widowControl/>
        <w:adjustRightInd w:val="0"/>
        <w:snapToGrid w:val="0"/>
        <w:spacing w:before="100" w:beforeAutospacing="1" w:after="100" w:afterAutospacing="1" w:line="360" w:lineRule="auto"/>
        <w:jc w:val="left"/>
        <w:rPr>
          <w:rFonts w:hint="eastAsia" w:ascii="宋体" w:hAnsi="宋体" w:cs="宋体"/>
          <w:bCs/>
          <w:kern w:val="0"/>
          <w:sz w:val="24"/>
        </w:rPr>
      </w:pPr>
      <w:r>
        <w:rPr>
          <w:rFonts w:hint="eastAsia" w:ascii="宋体" w:hAnsi="宋体" w:cs="宋体"/>
          <w:bCs/>
          <w:kern w:val="0"/>
          <w:sz w:val="24"/>
        </w:rPr>
        <w:t>预算金额：</w:t>
      </w:r>
      <w:r>
        <w:rPr>
          <w:rFonts w:hint="eastAsia" w:ascii="宋体" w:hAnsi="宋体" w:cs="宋体"/>
          <w:bCs/>
          <w:kern w:val="0"/>
          <w:sz w:val="24"/>
          <w:u w:val="single"/>
        </w:rPr>
        <w:t xml:space="preserve"> </w:t>
      </w:r>
      <w:r>
        <w:rPr>
          <w:rFonts w:hint="eastAsia" w:ascii="宋体" w:hAnsi="宋体" w:cs="宋体"/>
          <w:bCs/>
          <w:kern w:val="0"/>
          <w:sz w:val="24"/>
          <w:u w:val="single"/>
          <w:lang w:val="en-US" w:eastAsia="zh-CN"/>
        </w:rPr>
        <w:t>470</w:t>
      </w:r>
      <w:r>
        <w:rPr>
          <w:rFonts w:hint="eastAsia" w:ascii="宋体" w:hAnsi="宋体" w:cs="宋体"/>
          <w:bCs/>
          <w:kern w:val="0"/>
          <w:sz w:val="24"/>
        </w:rPr>
        <w:t>万元(人民币)</w:t>
      </w:r>
    </w:p>
    <w:p w14:paraId="213179C0">
      <w:pPr>
        <w:widowControl/>
        <w:adjustRightInd w:val="0"/>
        <w:snapToGrid w:val="0"/>
        <w:spacing w:before="100" w:beforeAutospacing="1" w:after="100" w:afterAutospacing="1" w:line="360" w:lineRule="auto"/>
        <w:jc w:val="left"/>
        <w:rPr>
          <w:rFonts w:hint="eastAsia" w:ascii="宋体" w:hAnsi="宋体" w:cs="宋体"/>
          <w:bCs/>
          <w:kern w:val="0"/>
          <w:sz w:val="24"/>
        </w:rPr>
      </w:pPr>
      <w:r>
        <w:rPr>
          <w:rFonts w:hint="eastAsia" w:ascii="宋体" w:hAnsi="宋体" w:cs="宋体"/>
          <w:bCs/>
          <w:kern w:val="0"/>
          <w:sz w:val="24"/>
        </w:rPr>
        <w:t>最高限价(如有)：</w:t>
      </w:r>
      <w:r>
        <w:rPr>
          <w:rFonts w:hint="eastAsia" w:ascii="宋体" w:hAnsi="宋体" w:cs="宋体"/>
          <w:bCs/>
          <w:kern w:val="0"/>
          <w:sz w:val="24"/>
          <w:u w:val="single"/>
          <w:lang w:val="en-US" w:eastAsia="zh-CN"/>
        </w:rPr>
        <w:t>470</w:t>
      </w:r>
      <w:r>
        <w:rPr>
          <w:rFonts w:hint="eastAsia" w:ascii="宋体" w:hAnsi="宋体" w:cs="宋体"/>
          <w:bCs/>
          <w:kern w:val="0"/>
          <w:sz w:val="24"/>
        </w:rPr>
        <w:t>万元(人民币)</w:t>
      </w:r>
    </w:p>
    <w:p w14:paraId="021880D0">
      <w:pPr>
        <w:widowControl/>
        <w:adjustRightInd w:val="0"/>
        <w:snapToGrid w:val="0"/>
        <w:spacing w:before="100" w:beforeAutospacing="1" w:after="100" w:afterAutospacing="1" w:line="360" w:lineRule="auto"/>
        <w:jc w:val="left"/>
        <w:rPr>
          <w:rFonts w:hint="eastAsia" w:ascii="宋体" w:hAnsi="宋体" w:cs="宋体"/>
          <w:bCs/>
          <w:kern w:val="0"/>
          <w:sz w:val="24"/>
        </w:rPr>
      </w:pPr>
      <w:r>
        <w:rPr>
          <w:rFonts w:hint="eastAsia" w:ascii="宋体" w:hAnsi="宋体" w:cs="宋体"/>
          <w:bCs/>
          <w:kern w:val="0"/>
          <w:sz w:val="24"/>
        </w:rPr>
        <w:t>采购需求：</w:t>
      </w:r>
    </w:p>
    <w:p w14:paraId="011258AC">
      <w:pPr>
        <w:widowControl/>
        <w:numPr>
          <w:ilvl w:val="0"/>
          <w:numId w:val="1"/>
        </w:numPr>
        <w:adjustRightInd w:val="0"/>
        <w:snapToGrid w:val="0"/>
        <w:spacing w:before="156" w:beforeLines="50" w:after="100" w:afterAutospacing="1" w:line="360" w:lineRule="auto"/>
        <w:jc w:val="left"/>
        <w:rPr>
          <w:rStyle w:val="40"/>
          <w:b w:val="0"/>
          <w:sz w:val="24"/>
        </w:rPr>
      </w:pPr>
      <w:r>
        <w:rPr>
          <w:rStyle w:val="40"/>
          <w:rFonts w:hint="eastAsia"/>
          <w:b w:val="0"/>
          <w:sz w:val="24"/>
        </w:rPr>
        <w:t>采购项目的名称、数量：</w:t>
      </w:r>
    </w:p>
    <w:tbl>
      <w:tblPr>
        <w:tblStyle w:val="37"/>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2562"/>
        <w:gridCol w:w="840"/>
        <w:gridCol w:w="1527"/>
        <w:gridCol w:w="1392"/>
        <w:gridCol w:w="1440"/>
      </w:tblGrid>
      <w:tr w14:paraId="21DB7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8" w:hRule="atLeast"/>
          <w:jc w:val="center"/>
        </w:trPr>
        <w:tc>
          <w:tcPr>
            <w:tcW w:w="776" w:type="dxa"/>
            <w:vAlign w:val="center"/>
          </w:tcPr>
          <w:p w14:paraId="37E07F4D">
            <w:pPr>
              <w:spacing w:line="360" w:lineRule="auto"/>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包号</w:t>
            </w:r>
          </w:p>
        </w:tc>
        <w:tc>
          <w:tcPr>
            <w:tcW w:w="2562" w:type="dxa"/>
            <w:vAlign w:val="center"/>
          </w:tcPr>
          <w:p w14:paraId="3A807C04">
            <w:pPr>
              <w:spacing w:line="360" w:lineRule="auto"/>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货物名称</w:t>
            </w:r>
          </w:p>
        </w:tc>
        <w:tc>
          <w:tcPr>
            <w:tcW w:w="840" w:type="dxa"/>
            <w:vAlign w:val="center"/>
          </w:tcPr>
          <w:p w14:paraId="6E228463">
            <w:pPr>
              <w:spacing w:line="360" w:lineRule="auto"/>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数量</w:t>
            </w:r>
          </w:p>
        </w:tc>
        <w:tc>
          <w:tcPr>
            <w:tcW w:w="1527" w:type="dxa"/>
            <w:vAlign w:val="center"/>
          </w:tcPr>
          <w:p w14:paraId="3D3DA920">
            <w:pPr>
              <w:spacing w:line="360" w:lineRule="auto"/>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是否允许采购进口产品</w:t>
            </w:r>
          </w:p>
        </w:tc>
        <w:tc>
          <w:tcPr>
            <w:tcW w:w="1392" w:type="dxa"/>
            <w:vAlign w:val="center"/>
          </w:tcPr>
          <w:p w14:paraId="018DFE7B">
            <w:pPr>
              <w:spacing w:line="360" w:lineRule="auto"/>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采购预算（人民币）</w:t>
            </w:r>
          </w:p>
        </w:tc>
        <w:tc>
          <w:tcPr>
            <w:tcW w:w="1440" w:type="dxa"/>
            <w:vAlign w:val="center"/>
          </w:tcPr>
          <w:p w14:paraId="3F685D98">
            <w:pPr>
              <w:spacing w:line="360" w:lineRule="auto"/>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最高限价（人民币）</w:t>
            </w:r>
          </w:p>
        </w:tc>
      </w:tr>
      <w:tr w14:paraId="38142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76" w:type="dxa"/>
            <w:vMerge w:val="restart"/>
            <w:tcBorders>
              <w:left w:val="single" w:color="auto" w:sz="4" w:space="0"/>
              <w:right w:val="single" w:color="auto" w:sz="4" w:space="0"/>
            </w:tcBorders>
            <w:vAlign w:val="center"/>
          </w:tcPr>
          <w:p w14:paraId="7A8352F1">
            <w:pPr>
              <w:spacing w:line="360" w:lineRule="auto"/>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w:t>
            </w:r>
          </w:p>
        </w:tc>
        <w:tc>
          <w:tcPr>
            <w:tcW w:w="2562" w:type="dxa"/>
            <w:tcBorders>
              <w:top w:val="single" w:color="auto" w:sz="4" w:space="0"/>
              <w:left w:val="single" w:color="auto" w:sz="4" w:space="0"/>
              <w:bottom w:val="single" w:color="auto" w:sz="4" w:space="0"/>
              <w:right w:val="single" w:color="auto" w:sz="4" w:space="0"/>
            </w:tcBorders>
            <w:vAlign w:val="center"/>
          </w:tcPr>
          <w:p w14:paraId="1B11EC07">
            <w:pPr>
              <w:spacing w:line="360" w:lineRule="auto"/>
              <w:jc w:val="center"/>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eastAsia="zh-CN"/>
              </w:rPr>
              <w:t>植物环境动态监测站</w:t>
            </w:r>
          </w:p>
        </w:tc>
        <w:tc>
          <w:tcPr>
            <w:tcW w:w="840" w:type="dxa"/>
            <w:tcBorders>
              <w:top w:val="single" w:color="auto" w:sz="4" w:space="0"/>
              <w:left w:val="single" w:color="auto" w:sz="4" w:space="0"/>
              <w:bottom w:val="single" w:color="auto" w:sz="4" w:space="0"/>
              <w:right w:val="single" w:color="auto" w:sz="4" w:space="0"/>
            </w:tcBorders>
            <w:vAlign w:val="center"/>
          </w:tcPr>
          <w:p w14:paraId="1998816B">
            <w:pPr>
              <w:spacing w:line="360" w:lineRule="auto"/>
              <w:jc w:val="center"/>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val="en-US" w:eastAsia="zh-CN"/>
              </w:rPr>
              <w:t>1</w:t>
            </w:r>
            <w:r>
              <w:rPr>
                <w:rFonts w:hint="eastAsia" w:asciiTheme="minorEastAsia" w:hAnsiTheme="minorEastAsia" w:eastAsiaTheme="minorEastAsia" w:cstheme="minorEastAsia"/>
                <w:bCs/>
                <w:sz w:val="24"/>
                <w:lang w:eastAsia="zh-CN"/>
              </w:rPr>
              <w:t>套</w:t>
            </w:r>
          </w:p>
        </w:tc>
        <w:tc>
          <w:tcPr>
            <w:tcW w:w="1527" w:type="dxa"/>
            <w:tcBorders>
              <w:top w:val="single" w:color="auto" w:sz="4" w:space="0"/>
              <w:left w:val="single" w:color="auto" w:sz="4" w:space="0"/>
              <w:bottom w:val="single" w:color="auto" w:sz="4" w:space="0"/>
              <w:right w:val="single" w:color="auto" w:sz="4" w:space="0"/>
            </w:tcBorders>
            <w:vAlign w:val="center"/>
          </w:tcPr>
          <w:p w14:paraId="0AA9942E">
            <w:pPr>
              <w:spacing w:line="360" w:lineRule="auto"/>
              <w:jc w:val="center"/>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val="en-US" w:eastAsia="zh-CN"/>
              </w:rPr>
              <w:t>否</w:t>
            </w:r>
          </w:p>
        </w:tc>
        <w:tc>
          <w:tcPr>
            <w:tcW w:w="1392" w:type="dxa"/>
            <w:tcBorders>
              <w:top w:val="single" w:color="auto" w:sz="4" w:space="0"/>
              <w:left w:val="single" w:color="auto" w:sz="4" w:space="0"/>
              <w:bottom w:val="single" w:color="auto" w:sz="4" w:space="0"/>
              <w:right w:val="single" w:color="auto" w:sz="4" w:space="0"/>
            </w:tcBorders>
            <w:vAlign w:val="center"/>
          </w:tcPr>
          <w:p w14:paraId="26A665EE">
            <w:pPr>
              <w:spacing w:line="360" w:lineRule="auto"/>
              <w:jc w:val="center"/>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eastAsia="zh-CN"/>
              </w:rPr>
              <w:t>80</w:t>
            </w:r>
            <w:r>
              <w:rPr>
                <w:rFonts w:hint="eastAsia" w:asciiTheme="minorEastAsia" w:hAnsiTheme="minorEastAsia" w:eastAsiaTheme="minorEastAsia" w:cstheme="minorEastAsia"/>
                <w:bCs/>
                <w:sz w:val="24"/>
                <w:lang w:val="en-US" w:eastAsia="zh-CN"/>
              </w:rPr>
              <w:t>万元</w:t>
            </w:r>
          </w:p>
        </w:tc>
        <w:tc>
          <w:tcPr>
            <w:tcW w:w="1440" w:type="dxa"/>
            <w:tcBorders>
              <w:top w:val="single" w:color="auto" w:sz="4" w:space="0"/>
              <w:left w:val="single" w:color="auto" w:sz="4" w:space="0"/>
              <w:bottom w:val="single" w:color="auto" w:sz="4" w:space="0"/>
              <w:right w:val="single" w:color="auto" w:sz="4" w:space="0"/>
            </w:tcBorders>
            <w:vAlign w:val="center"/>
          </w:tcPr>
          <w:p w14:paraId="58A11E4C">
            <w:pPr>
              <w:spacing w:line="360" w:lineRule="auto"/>
              <w:jc w:val="center"/>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eastAsia="zh-CN"/>
              </w:rPr>
              <w:t>80</w:t>
            </w:r>
            <w:r>
              <w:rPr>
                <w:rFonts w:hint="eastAsia" w:asciiTheme="minorEastAsia" w:hAnsiTheme="minorEastAsia" w:eastAsiaTheme="minorEastAsia" w:cstheme="minorEastAsia"/>
                <w:bCs/>
                <w:sz w:val="24"/>
                <w:lang w:val="en-US" w:eastAsia="zh-CN"/>
              </w:rPr>
              <w:t>万元</w:t>
            </w:r>
          </w:p>
        </w:tc>
      </w:tr>
      <w:tr w14:paraId="7F377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76" w:type="dxa"/>
            <w:vMerge w:val="continue"/>
            <w:tcBorders>
              <w:left w:val="single" w:color="auto" w:sz="4" w:space="0"/>
              <w:right w:val="single" w:color="auto" w:sz="4" w:space="0"/>
            </w:tcBorders>
            <w:vAlign w:val="center"/>
          </w:tcPr>
          <w:p w14:paraId="62C4DA3E">
            <w:pPr>
              <w:spacing w:line="360" w:lineRule="auto"/>
              <w:jc w:val="center"/>
              <w:rPr>
                <w:rFonts w:hint="eastAsia" w:asciiTheme="minorEastAsia" w:hAnsiTheme="minorEastAsia" w:eastAsiaTheme="minorEastAsia" w:cstheme="minorEastAsia"/>
                <w:bCs/>
                <w:sz w:val="24"/>
              </w:rPr>
            </w:pPr>
          </w:p>
        </w:tc>
        <w:tc>
          <w:tcPr>
            <w:tcW w:w="2562" w:type="dxa"/>
            <w:tcBorders>
              <w:top w:val="single" w:color="auto" w:sz="4" w:space="0"/>
              <w:left w:val="single" w:color="auto" w:sz="4" w:space="0"/>
              <w:bottom w:val="single" w:color="auto" w:sz="4" w:space="0"/>
              <w:right w:val="single" w:color="auto" w:sz="4" w:space="0"/>
            </w:tcBorders>
            <w:vAlign w:val="center"/>
          </w:tcPr>
          <w:p w14:paraId="1B77BBF8">
            <w:pPr>
              <w:spacing w:line="360" w:lineRule="auto"/>
              <w:jc w:val="center"/>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eastAsia="zh-CN"/>
              </w:rPr>
              <w:t>植物原位生长水势测量仪</w:t>
            </w:r>
          </w:p>
        </w:tc>
        <w:tc>
          <w:tcPr>
            <w:tcW w:w="840" w:type="dxa"/>
            <w:tcBorders>
              <w:top w:val="single" w:color="auto" w:sz="4" w:space="0"/>
              <w:left w:val="single" w:color="auto" w:sz="4" w:space="0"/>
              <w:bottom w:val="single" w:color="auto" w:sz="4" w:space="0"/>
              <w:right w:val="single" w:color="auto" w:sz="4" w:space="0"/>
            </w:tcBorders>
            <w:vAlign w:val="center"/>
          </w:tcPr>
          <w:p w14:paraId="073CFB0E">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val="en-US" w:eastAsia="zh-CN"/>
              </w:rPr>
              <w:t>1</w:t>
            </w:r>
            <w:r>
              <w:rPr>
                <w:rFonts w:hint="eastAsia" w:asciiTheme="minorEastAsia" w:hAnsiTheme="minorEastAsia" w:eastAsiaTheme="minorEastAsia" w:cstheme="minorEastAsia"/>
                <w:bCs/>
                <w:sz w:val="24"/>
                <w:lang w:eastAsia="zh-CN"/>
              </w:rPr>
              <w:t>套</w:t>
            </w:r>
          </w:p>
        </w:tc>
        <w:tc>
          <w:tcPr>
            <w:tcW w:w="1527" w:type="dxa"/>
            <w:tcBorders>
              <w:top w:val="single" w:color="auto" w:sz="4" w:space="0"/>
              <w:left w:val="single" w:color="auto" w:sz="4" w:space="0"/>
              <w:bottom w:val="single" w:color="auto" w:sz="4" w:space="0"/>
              <w:right w:val="single" w:color="auto" w:sz="4" w:space="0"/>
            </w:tcBorders>
            <w:vAlign w:val="center"/>
          </w:tcPr>
          <w:p w14:paraId="3C3F89A9">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val="en-US" w:eastAsia="zh-CN"/>
              </w:rPr>
              <w:t>否</w:t>
            </w:r>
          </w:p>
        </w:tc>
        <w:tc>
          <w:tcPr>
            <w:tcW w:w="1392" w:type="dxa"/>
            <w:tcBorders>
              <w:top w:val="single" w:color="auto" w:sz="4" w:space="0"/>
              <w:left w:val="single" w:color="auto" w:sz="4" w:space="0"/>
              <w:bottom w:val="single" w:color="auto" w:sz="4" w:space="0"/>
              <w:right w:val="single" w:color="auto" w:sz="4" w:space="0"/>
            </w:tcBorders>
            <w:vAlign w:val="center"/>
          </w:tcPr>
          <w:p w14:paraId="5C7D29EE">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eastAsia="zh-CN"/>
              </w:rPr>
              <w:t>47</w:t>
            </w:r>
            <w:r>
              <w:rPr>
                <w:rFonts w:hint="eastAsia" w:asciiTheme="minorEastAsia" w:hAnsiTheme="minorEastAsia" w:eastAsiaTheme="minorEastAsia" w:cstheme="minorEastAsia"/>
                <w:bCs/>
                <w:sz w:val="24"/>
                <w:lang w:val="en-US" w:eastAsia="zh-CN"/>
              </w:rPr>
              <w:t>万元</w:t>
            </w:r>
          </w:p>
        </w:tc>
        <w:tc>
          <w:tcPr>
            <w:tcW w:w="1440" w:type="dxa"/>
            <w:tcBorders>
              <w:top w:val="single" w:color="auto" w:sz="4" w:space="0"/>
              <w:left w:val="single" w:color="auto" w:sz="4" w:space="0"/>
              <w:bottom w:val="single" w:color="auto" w:sz="4" w:space="0"/>
              <w:right w:val="single" w:color="auto" w:sz="4" w:space="0"/>
            </w:tcBorders>
            <w:vAlign w:val="center"/>
          </w:tcPr>
          <w:p w14:paraId="49EC7EAF">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eastAsia="zh-CN"/>
              </w:rPr>
              <w:t>47</w:t>
            </w:r>
            <w:r>
              <w:rPr>
                <w:rFonts w:hint="eastAsia" w:asciiTheme="minorEastAsia" w:hAnsiTheme="minorEastAsia" w:eastAsiaTheme="minorEastAsia" w:cstheme="minorEastAsia"/>
                <w:bCs/>
                <w:sz w:val="24"/>
                <w:lang w:val="en-US" w:eastAsia="zh-CN"/>
              </w:rPr>
              <w:t>万元</w:t>
            </w:r>
          </w:p>
        </w:tc>
      </w:tr>
      <w:tr w14:paraId="15B98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76" w:type="dxa"/>
            <w:tcBorders>
              <w:left w:val="single" w:color="auto" w:sz="4" w:space="0"/>
              <w:right w:val="single" w:color="auto" w:sz="4" w:space="0"/>
            </w:tcBorders>
            <w:vAlign w:val="center"/>
          </w:tcPr>
          <w:p w14:paraId="1FC950FC">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val="en-US" w:eastAsia="zh-CN"/>
              </w:rPr>
              <w:t>2</w:t>
            </w:r>
          </w:p>
        </w:tc>
        <w:tc>
          <w:tcPr>
            <w:tcW w:w="2562" w:type="dxa"/>
            <w:tcBorders>
              <w:top w:val="single" w:color="auto" w:sz="4" w:space="0"/>
              <w:left w:val="single" w:color="auto" w:sz="4" w:space="0"/>
              <w:bottom w:val="single" w:color="auto" w:sz="4" w:space="0"/>
              <w:right w:val="single" w:color="auto" w:sz="4" w:space="0"/>
            </w:tcBorders>
            <w:vAlign w:val="center"/>
          </w:tcPr>
          <w:p w14:paraId="2237DE21">
            <w:pPr>
              <w:spacing w:line="360" w:lineRule="auto"/>
              <w:jc w:val="center"/>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eastAsia="zh-CN"/>
              </w:rPr>
              <w:t>超高分辨率光谱仪</w:t>
            </w:r>
          </w:p>
        </w:tc>
        <w:tc>
          <w:tcPr>
            <w:tcW w:w="840" w:type="dxa"/>
            <w:tcBorders>
              <w:top w:val="single" w:color="auto" w:sz="4" w:space="0"/>
              <w:left w:val="single" w:color="auto" w:sz="4" w:space="0"/>
              <w:bottom w:val="single" w:color="auto" w:sz="4" w:space="0"/>
              <w:right w:val="single" w:color="auto" w:sz="4" w:space="0"/>
            </w:tcBorders>
            <w:vAlign w:val="center"/>
          </w:tcPr>
          <w:p w14:paraId="456C3F06">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val="en-US" w:eastAsia="zh-CN"/>
              </w:rPr>
              <w:t>1</w:t>
            </w:r>
            <w:r>
              <w:rPr>
                <w:rFonts w:hint="eastAsia" w:asciiTheme="minorEastAsia" w:hAnsiTheme="minorEastAsia" w:eastAsiaTheme="minorEastAsia" w:cstheme="minorEastAsia"/>
                <w:bCs/>
                <w:sz w:val="24"/>
                <w:lang w:eastAsia="zh-CN"/>
              </w:rPr>
              <w:t>套</w:t>
            </w:r>
          </w:p>
        </w:tc>
        <w:tc>
          <w:tcPr>
            <w:tcW w:w="1527" w:type="dxa"/>
            <w:tcBorders>
              <w:top w:val="single" w:color="auto" w:sz="4" w:space="0"/>
              <w:left w:val="single" w:color="auto" w:sz="4" w:space="0"/>
              <w:bottom w:val="single" w:color="auto" w:sz="4" w:space="0"/>
              <w:right w:val="single" w:color="auto" w:sz="4" w:space="0"/>
            </w:tcBorders>
            <w:vAlign w:val="center"/>
          </w:tcPr>
          <w:p w14:paraId="2D942158">
            <w:pPr>
              <w:spacing w:line="360" w:lineRule="auto"/>
              <w:jc w:val="center"/>
              <w:rPr>
                <w:rFonts w:hint="default"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val="en-US" w:eastAsia="zh-CN"/>
              </w:rPr>
              <w:t>是</w:t>
            </w:r>
          </w:p>
        </w:tc>
        <w:tc>
          <w:tcPr>
            <w:tcW w:w="1392" w:type="dxa"/>
            <w:tcBorders>
              <w:top w:val="single" w:color="auto" w:sz="4" w:space="0"/>
              <w:left w:val="single" w:color="auto" w:sz="4" w:space="0"/>
              <w:bottom w:val="single" w:color="auto" w:sz="4" w:space="0"/>
              <w:right w:val="single" w:color="auto" w:sz="4" w:space="0"/>
            </w:tcBorders>
            <w:vAlign w:val="center"/>
          </w:tcPr>
          <w:p w14:paraId="3096DF8C">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eastAsia="zh-CN"/>
              </w:rPr>
              <w:t>90</w:t>
            </w:r>
            <w:r>
              <w:rPr>
                <w:rFonts w:hint="eastAsia" w:asciiTheme="minorEastAsia" w:hAnsiTheme="minorEastAsia" w:eastAsiaTheme="minorEastAsia" w:cstheme="minorEastAsia"/>
                <w:bCs/>
                <w:sz w:val="24"/>
                <w:lang w:val="en-US" w:eastAsia="zh-CN"/>
              </w:rPr>
              <w:t>万元</w:t>
            </w:r>
          </w:p>
        </w:tc>
        <w:tc>
          <w:tcPr>
            <w:tcW w:w="1440" w:type="dxa"/>
            <w:tcBorders>
              <w:top w:val="single" w:color="auto" w:sz="4" w:space="0"/>
              <w:left w:val="single" w:color="auto" w:sz="4" w:space="0"/>
              <w:bottom w:val="single" w:color="auto" w:sz="4" w:space="0"/>
              <w:right w:val="single" w:color="auto" w:sz="4" w:space="0"/>
            </w:tcBorders>
            <w:vAlign w:val="center"/>
          </w:tcPr>
          <w:p w14:paraId="4D493E96">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eastAsia="zh-CN"/>
              </w:rPr>
              <w:t>90</w:t>
            </w:r>
            <w:r>
              <w:rPr>
                <w:rFonts w:hint="eastAsia" w:asciiTheme="minorEastAsia" w:hAnsiTheme="minorEastAsia" w:eastAsiaTheme="minorEastAsia" w:cstheme="minorEastAsia"/>
                <w:bCs/>
                <w:sz w:val="24"/>
                <w:lang w:val="en-US" w:eastAsia="zh-CN"/>
              </w:rPr>
              <w:t>万元</w:t>
            </w:r>
          </w:p>
        </w:tc>
      </w:tr>
      <w:tr w14:paraId="0C913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76" w:type="dxa"/>
            <w:tcBorders>
              <w:left w:val="single" w:color="auto" w:sz="4" w:space="0"/>
              <w:right w:val="single" w:color="auto" w:sz="4" w:space="0"/>
            </w:tcBorders>
            <w:vAlign w:val="center"/>
          </w:tcPr>
          <w:p w14:paraId="319919DF">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val="en-US" w:eastAsia="zh-CN"/>
              </w:rPr>
              <w:t>3</w:t>
            </w:r>
          </w:p>
        </w:tc>
        <w:tc>
          <w:tcPr>
            <w:tcW w:w="2562" w:type="dxa"/>
            <w:tcBorders>
              <w:top w:val="single" w:color="auto" w:sz="4" w:space="0"/>
              <w:left w:val="single" w:color="auto" w:sz="4" w:space="0"/>
              <w:bottom w:val="single" w:color="auto" w:sz="4" w:space="0"/>
              <w:right w:val="single" w:color="auto" w:sz="4" w:space="0"/>
            </w:tcBorders>
            <w:vAlign w:val="center"/>
          </w:tcPr>
          <w:p w14:paraId="343D4C9D">
            <w:pPr>
              <w:spacing w:line="360" w:lineRule="auto"/>
              <w:jc w:val="center"/>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eastAsia="zh-CN"/>
              </w:rPr>
              <w:t>土壤碳通量测量系统</w:t>
            </w:r>
          </w:p>
        </w:tc>
        <w:tc>
          <w:tcPr>
            <w:tcW w:w="840" w:type="dxa"/>
            <w:tcBorders>
              <w:top w:val="single" w:color="auto" w:sz="4" w:space="0"/>
              <w:left w:val="single" w:color="auto" w:sz="4" w:space="0"/>
              <w:bottom w:val="single" w:color="auto" w:sz="4" w:space="0"/>
              <w:right w:val="single" w:color="auto" w:sz="4" w:space="0"/>
            </w:tcBorders>
            <w:vAlign w:val="center"/>
          </w:tcPr>
          <w:p w14:paraId="79EEFAB0">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val="en-US" w:eastAsia="zh-CN"/>
              </w:rPr>
              <w:t>1</w:t>
            </w:r>
            <w:r>
              <w:rPr>
                <w:rFonts w:hint="eastAsia" w:asciiTheme="minorEastAsia" w:hAnsiTheme="minorEastAsia" w:eastAsiaTheme="minorEastAsia" w:cstheme="minorEastAsia"/>
                <w:bCs/>
                <w:sz w:val="24"/>
                <w:lang w:eastAsia="zh-CN"/>
              </w:rPr>
              <w:t>套</w:t>
            </w:r>
          </w:p>
        </w:tc>
        <w:tc>
          <w:tcPr>
            <w:tcW w:w="1527" w:type="dxa"/>
            <w:tcBorders>
              <w:top w:val="single" w:color="auto" w:sz="4" w:space="0"/>
              <w:left w:val="single" w:color="auto" w:sz="4" w:space="0"/>
              <w:bottom w:val="single" w:color="auto" w:sz="4" w:space="0"/>
              <w:right w:val="single" w:color="auto" w:sz="4" w:space="0"/>
            </w:tcBorders>
            <w:vAlign w:val="center"/>
          </w:tcPr>
          <w:p w14:paraId="65D901D9">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val="en-US" w:eastAsia="zh-CN"/>
              </w:rPr>
              <w:t>是</w:t>
            </w:r>
          </w:p>
        </w:tc>
        <w:tc>
          <w:tcPr>
            <w:tcW w:w="1392" w:type="dxa"/>
            <w:tcBorders>
              <w:top w:val="single" w:color="auto" w:sz="4" w:space="0"/>
              <w:left w:val="single" w:color="auto" w:sz="4" w:space="0"/>
              <w:bottom w:val="single" w:color="auto" w:sz="4" w:space="0"/>
              <w:right w:val="single" w:color="auto" w:sz="4" w:space="0"/>
            </w:tcBorders>
            <w:vAlign w:val="center"/>
          </w:tcPr>
          <w:p w14:paraId="41D8DA68">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eastAsia="zh-CN"/>
              </w:rPr>
              <w:t>73</w:t>
            </w:r>
            <w:r>
              <w:rPr>
                <w:rFonts w:hint="eastAsia" w:asciiTheme="minorEastAsia" w:hAnsiTheme="minorEastAsia" w:eastAsiaTheme="minorEastAsia" w:cstheme="minorEastAsia"/>
                <w:bCs/>
                <w:sz w:val="24"/>
                <w:lang w:val="en-US" w:eastAsia="zh-CN"/>
              </w:rPr>
              <w:t>万元</w:t>
            </w:r>
          </w:p>
        </w:tc>
        <w:tc>
          <w:tcPr>
            <w:tcW w:w="1440" w:type="dxa"/>
            <w:tcBorders>
              <w:top w:val="single" w:color="auto" w:sz="4" w:space="0"/>
              <w:left w:val="single" w:color="auto" w:sz="4" w:space="0"/>
              <w:bottom w:val="single" w:color="auto" w:sz="4" w:space="0"/>
              <w:right w:val="single" w:color="auto" w:sz="4" w:space="0"/>
            </w:tcBorders>
            <w:vAlign w:val="center"/>
          </w:tcPr>
          <w:p w14:paraId="698C0F57">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eastAsia="zh-CN"/>
              </w:rPr>
              <w:t>73</w:t>
            </w:r>
            <w:r>
              <w:rPr>
                <w:rFonts w:hint="eastAsia" w:asciiTheme="minorEastAsia" w:hAnsiTheme="minorEastAsia" w:eastAsiaTheme="minorEastAsia" w:cstheme="minorEastAsia"/>
                <w:bCs/>
                <w:sz w:val="24"/>
                <w:lang w:val="en-US" w:eastAsia="zh-CN"/>
              </w:rPr>
              <w:t>万元</w:t>
            </w:r>
          </w:p>
        </w:tc>
      </w:tr>
      <w:tr w14:paraId="70F34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76" w:type="dxa"/>
            <w:tcBorders>
              <w:left w:val="single" w:color="auto" w:sz="4" w:space="0"/>
              <w:right w:val="single" w:color="auto" w:sz="4" w:space="0"/>
            </w:tcBorders>
            <w:vAlign w:val="center"/>
          </w:tcPr>
          <w:p w14:paraId="70502CF0">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val="en-US" w:eastAsia="zh-CN"/>
              </w:rPr>
              <w:t>4</w:t>
            </w:r>
          </w:p>
        </w:tc>
        <w:tc>
          <w:tcPr>
            <w:tcW w:w="2562" w:type="dxa"/>
            <w:tcBorders>
              <w:top w:val="single" w:color="auto" w:sz="4" w:space="0"/>
              <w:left w:val="single" w:color="auto" w:sz="4" w:space="0"/>
              <w:bottom w:val="single" w:color="auto" w:sz="4" w:space="0"/>
              <w:right w:val="single" w:color="auto" w:sz="4" w:space="0"/>
            </w:tcBorders>
            <w:vAlign w:val="center"/>
          </w:tcPr>
          <w:p w14:paraId="7FEE2D61">
            <w:pPr>
              <w:spacing w:line="360" w:lineRule="auto"/>
              <w:jc w:val="center"/>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eastAsia="zh-CN"/>
              </w:rPr>
              <w:t>多通道长期监测荧光仪</w:t>
            </w:r>
          </w:p>
        </w:tc>
        <w:tc>
          <w:tcPr>
            <w:tcW w:w="840" w:type="dxa"/>
            <w:tcBorders>
              <w:top w:val="single" w:color="auto" w:sz="4" w:space="0"/>
              <w:left w:val="single" w:color="auto" w:sz="4" w:space="0"/>
              <w:bottom w:val="single" w:color="auto" w:sz="4" w:space="0"/>
              <w:right w:val="single" w:color="auto" w:sz="4" w:space="0"/>
            </w:tcBorders>
            <w:vAlign w:val="center"/>
          </w:tcPr>
          <w:p w14:paraId="03EB0536">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val="en-US" w:eastAsia="zh-CN"/>
              </w:rPr>
              <w:t>1</w:t>
            </w:r>
            <w:r>
              <w:rPr>
                <w:rFonts w:hint="eastAsia" w:asciiTheme="minorEastAsia" w:hAnsiTheme="minorEastAsia" w:eastAsiaTheme="minorEastAsia" w:cstheme="minorEastAsia"/>
                <w:bCs/>
                <w:sz w:val="24"/>
                <w:lang w:eastAsia="zh-CN"/>
              </w:rPr>
              <w:t>套</w:t>
            </w:r>
          </w:p>
        </w:tc>
        <w:tc>
          <w:tcPr>
            <w:tcW w:w="1527" w:type="dxa"/>
            <w:tcBorders>
              <w:top w:val="single" w:color="auto" w:sz="4" w:space="0"/>
              <w:left w:val="single" w:color="auto" w:sz="4" w:space="0"/>
              <w:bottom w:val="single" w:color="auto" w:sz="4" w:space="0"/>
              <w:right w:val="single" w:color="auto" w:sz="4" w:space="0"/>
            </w:tcBorders>
            <w:vAlign w:val="center"/>
          </w:tcPr>
          <w:p w14:paraId="66FCA5AA">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val="en-US" w:eastAsia="zh-CN"/>
              </w:rPr>
              <w:t>是</w:t>
            </w:r>
          </w:p>
        </w:tc>
        <w:tc>
          <w:tcPr>
            <w:tcW w:w="1392" w:type="dxa"/>
            <w:tcBorders>
              <w:top w:val="single" w:color="auto" w:sz="4" w:space="0"/>
              <w:left w:val="single" w:color="auto" w:sz="4" w:space="0"/>
              <w:bottom w:val="single" w:color="auto" w:sz="4" w:space="0"/>
              <w:right w:val="single" w:color="auto" w:sz="4" w:space="0"/>
            </w:tcBorders>
            <w:vAlign w:val="center"/>
          </w:tcPr>
          <w:p w14:paraId="11C5B989">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eastAsia="zh-CN"/>
              </w:rPr>
              <w:t>180</w:t>
            </w:r>
            <w:r>
              <w:rPr>
                <w:rFonts w:hint="eastAsia" w:asciiTheme="minorEastAsia" w:hAnsiTheme="minorEastAsia" w:eastAsiaTheme="minorEastAsia" w:cstheme="minorEastAsia"/>
                <w:bCs/>
                <w:sz w:val="24"/>
                <w:lang w:val="en-US" w:eastAsia="zh-CN"/>
              </w:rPr>
              <w:t>万元</w:t>
            </w:r>
          </w:p>
        </w:tc>
        <w:tc>
          <w:tcPr>
            <w:tcW w:w="1440" w:type="dxa"/>
            <w:tcBorders>
              <w:top w:val="single" w:color="auto" w:sz="4" w:space="0"/>
              <w:left w:val="single" w:color="auto" w:sz="4" w:space="0"/>
              <w:bottom w:val="single" w:color="auto" w:sz="4" w:space="0"/>
              <w:right w:val="single" w:color="auto" w:sz="4" w:space="0"/>
            </w:tcBorders>
            <w:vAlign w:val="center"/>
          </w:tcPr>
          <w:p w14:paraId="62A15091">
            <w:pPr>
              <w:spacing w:line="360" w:lineRule="auto"/>
              <w:jc w:val="center"/>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eastAsia="zh-CN"/>
              </w:rPr>
              <w:t>180</w:t>
            </w:r>
            <w:r>
              <w:rPr>
                <w:rFonts w:hint="eastAsia" w:asciiTheme="minorEastAsia" w:hAnsiTheme="minorEastAsia" w:eastAsiaTheme="minorEastAsia" w:cstheme="minorEastAsia"/>
                <w:bCs/>
                <w:sz w:val="24"/>
                <w:lang w:val="en-US" w:eastAsia="zh-CN"/>
              </w:rPr>
              <w:t>万元</w:t>
            </w:r>
          </w:p>
        </w:tc>
      </w:tr>
    </w:tbl>
    <w:p w14:paraId="3DF390DE">
      <w:pPr>
        <w:spacing w:line="360" w:lineRule="auto"/>
        <w:rPr>
          <w:bCs/>
        </w:rPr>
      </w:pPr>
    </w:p>
    <w:p w14:paraId="18EA3FDC">
      <w:pPr>
        <w:widowControl/>
        <w:adjustRightInd w:val="0"/>
        <w:snapToGrid w:val="0"/>
        <w:spacing w:before="100" w:beforeAutospacing="1" w:after="100" w:afterAutospacing="1" w:line="360" w:lineRule="auto"/>
        <w:ind w:firstLine="480" w:firstLineChars="200"/>
        <w:rPr>
          <w:rFonts w:hint="eastAsia" w:ascii="宋体" w:hAnsi="宋体"/>
          <w:bCs/>
          <w:sz w:val="24"/>
        </w:rPr>
      </w:pPr>
      <w:r>
        <w:rPr>
          <w:rFonts w:hint="eastAsia" w:ascii="宋体" w:hAnsi="宋体"/>
          <w:bCs/>
          <w:sz w:val="24"/>
        </w:rPr>
        <w:t>投标人须以包为单位对包中全部内容进行投标，不得拆分，评标、授标以包为单位。</w:t>
      </w:r>
    </w:p>
    <w:p w14:paraId="6DA0875A">
      <w:pPr>
        <w:pStyle w:val="36"/>
        <w:spacing w:line="360" w:lineRule="auto"/>
        <w:ind w:left="0" w:leftChars="0" w:firstLine="480"/>
      </w:pPr>
      <w:bookmarkStart w:id="2" w:name="_Hlk141717481"/>
      <w:r>
        <w:rPr>
          <w:rFonts w:hint="eastAsia" w:ascii="宋体" w:hAnsi="宋体"/>
          <w:sz w:val="24"/>
        </w:rPr>
        <w:t>提供相同品牌核心产品且通过资格审查、符合性审查的不同供应商参加同一合同项下同一项目包投标的，按一家供应商计算。评审后得分最高的同品牌供应商获得中标人推荐资格；评审得分相同的，按投标报价排列，报价最低的供应商获得中标人推荐资格；得分与投标报价均相同的，按技术指标优劣排列，技术得分最高的供应商获得中标人推荐资格。</w:t>
      </w:r>
    </w:p>
    <w:bookmarkEnd w:id="2"/>
    <w:p w14:paraId="42757CE2">
      <w:pPr>
        <w:widowControl/>
        <w:adjustRightInd w:val="0"/>
        <w:snapToGrid w:val="0"/>
        <w:spacing w:before="100" w:beforeAutospacing="1" w:after="100" w:afterAutospacing="1" w:line="360" w:lineRule="auto"/>
        <w:jc w:val="left"/>
        <w:rPr>
          <w:rFonts w:hint="eastAsia" w:ascii="宋体" w:hAnsi="宋体" w:cs="宋体"/>
          <w:bCs/>
          <w:kern w:val="0"/>
          <w:sz w:val="24"/>
        </w:rPr>
      </w:pPr>
      <w:r>
        <w:rPr>
          <w:rFonts w:hint="eastAsia" w:ascii="宋体" w:hAnsi="宋体"/>
          <w:bCs/>
          <w:sz w:val="24"/>
        </w:rPr>
        <w:t>2、技术要求详见公告附件。</w:t>
      </w:r>
    </w:p>
    <w:p w14:paraId="3044C73D">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合同履行期限：</w:t>
      </w:r>
      <w:r>
        <w:rPr>
          <w:rFonts w:hint="eastAsia" w:ascii="宋体" w:hAnsi="宋体"/>
          <w:bCs/>
          <w:sz w:val="24"/>
          <w:u w:val="single"/>
        </w:rPr>
        <w:t xml:space="preserve">          详见项目需求             </w:t>
      </w:r>
    </w:p>
    <w:p w14:paraId="599C4088">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本项目</w:t>
      </w:r>
      <w:r>
        <w:rPr>
          <w:rFonts w:hint="eastAsia" w:ascii="宋体" w:hAnsi="宋体"/>
          <w:bCs/>
          <w:sz w:val="24"/>
          <w:u w:val="single"/>
        </w:rPr>
        <w:t xml:space="preserve"> </w:t>
      </w:r>
      <w:r>
        <w:rPr>
          <w:rFonts w:hint="eastAsia" w:ascii="宋体" w:hAnsi="宋体"/>
          <w:b/>
          <w:sz w:val="24"/>
          <w:u w:val="single"/>
        </w:rPr>
        <w:t>不接受</w:t>
      </w:r>
      <w:r>
        <w:rPr>
          <w:rFonts w:hint="eastAsia" w:ascii="宋体" w:hAnsi="宋体"/>
          <w:bCs/>
          <w:sz w:val="24"/>
          <w:u w:val="single"/>
        </w:rPr>
        <w:t xml:space="preserve"> </w:t>
      </w:r>
      <w:r>
        <w:rPr>
          <w:rFonts w:hint="eastAsia" w:ascii="宋体" w:hAnsi="宋体"/>
          <w:bCs/>
          <w:sz w:val="24"/>
        </w:rPr>
        <w:t>联合体投标。</w:t>
      </w:r>
    </w:p>
    <w:p w14:paraId="5A648549">
      <w:pPr>
        <w:pStyle w:val="8"/>
        <w:spacing w:line="360" w:lineRule="auto"/>
        <w:rPr>
          <w:rFonts w:hint="eastAsia"/>
          <w:bCs/>
        </w:rPr>
      </w:pPr>
    </w:p>
    <w:p w14:paraId="5D5A203A">
      <w:pPr>
        <w:widowControl/>
        <w:shd w:val="clear" w:color="auto" w:fill="FFFFFF"/>
        <w:spacing w:line="360" w:lineRule="auto"/>
        <w:jc w:val="left"/>
        <w:textAlignment w:val="baseline"/>
        <w:outlineLvl w:val="1"/>
        <w:rPr>
          <w:rFonts w:hint="eastAsia" w:ascii="宋体" w:hAnsi="宋体" w:cs="宋体"/>
          <w:b/>
          <w:kern w:val="0"/>
          <w:sz w:val="24"/>
        </w:rPr>
      </w:pPr>
      <w:r>
        <w:rPr>
          <w:rFonts w:ascii="宋体" w:hAnsi="宋体" w:cs="宋体"/>
          <w:b/>
          <w:kern w:val="0"/>
          <w:sz w:val="24"/>
        </w:rPr>
        <w:t>二、申请人的资格要求：</w:t>
      </w:r>
    </w:p>
    <w:p w14:paraId="659341B0">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1.满足《中华人民共和国政府采购法》第二十二条规定；</w:t>
      </w:r>
    </w:p>
    <w:p w14:paraId="5D4BD700">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2.落实政府采购政策需满足的资格要求：</w:t>
      </w:r>
    </w:p>
    <w:p w14:paraId="41840194">
      <w:pPr>
        <w:widowControl/>
        <w:adjustRightInd w:val="0"/>
        <w:snapToGrid w:val="0"/>
        <w:spacing w:before="100" w:beforeAutospacing="1" w:after="100" w:afterAutospacing="1" w:line="360" w:lineRule="auto"/>
        <w:ind w:firstLine="480" w:firstLineChars="200"/>
        <w:jc w:val="left"/>
        <w:rPr>
          <w:rFonts w:hint="eastAsia" w:ascii="宋体" w:hAnsi="宋体"/>
          <w:b w:val="0"/>
          <w:bCs/>
          <w:sz w:val="24"/>
        </w:rPr>
      </w:pPr>
      <w:r>
        <w:rPr>
          <w:rFonts w:hint="eastAsia" w:ascii="宋体" w:hAnsi="宋体"/>
          <w:b w:val="0"/>
          <w:bCs/>
          <w:sz w:val="24"/>
        </w:rPr>
        <w:t>本项目</w:t>
      </w:r>
      <w:r>
        <w:rPr>
          <w:rFonts w:hint="eastAsia" w:ascii="宋体" w:hAnsi="宋体"/>
          <w:b/>
          <w:bCs w:val="0"/>
          <w:sz w:val="24"/>
          <w:lang w:val="en-US" w:eastAsia="zh-CN"/>
        </w:rPr>
        <w:t>不</w:t>
      </w:r>
      <w:r>
        <w:rPr>
          <w:rFonts w:hint="eastAsia" w:ascii="宋体" w:hAnsi="宋体"/>
          <w:b/>
          <w:bCs w:val="0"/>
          <w:sz w:val="24"/>
        </w:rPr>
        <w:t>属于</w:t>
      </w:r>
      <w:r>
        <w:rPr>
          <w:rFonts w:hint="eastAsia" w:ascii="宋体" w:hAnsi="宋体"/>
          <w:b w:val="0"/>
          <w:bCs/>
          <w:sz w:val="24"/>
        </w:rPr>
        <w:t>专门面向中小微企业、监狱企业、残疾人福利性单位采购的项目。</w:t>
      </w:r>
    </w:p>
    <w:p w14:paraId="003D57CC">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3.本项目的特定资格要求：</w:t>
      </w:r>
    </w:p>
    <w:p w14:paraId="4C5DD618">
      <w:pPr>
        <w:widowControl/>
        <w:tabs>
          <w:tab w:val="left" w:pos="900"/>
          <w:tab w:val="left" w:pos="8640"/>
        </w:tabs>
        <w:adjustRightInd w:val="0"/>
        <w:snapToGrid w:val="0"/>
        <w:spacing w:line="360" w:lineRule="auto"/>
        <w:ind w:left="420" w:leftChars="200"/>
        <w:rPr>
          <w:rFonts w:hint="eastAsia" w:ascii="宋体" w:hAnsi="宋体" w:cs="宋体"/>
          <w:bCs/>
          <w:kern w:val="0"/>
          <w:sz w:val="24"/>
        </w:rPr>
      </w:pPr>
      <w:r>
        <w:rPr>
          <w:rFonts w:hint="eastAsia" w:ascii="宋体" w:hAnsi="宋体" w:cs="宋体"/>
          <w:bCs/>
          <w:kern w:val="0"/>
          <w:sz w:val="24"/>
        </w:rPr>
        <w:t>1）在中华人民共和国境内依法注册的，具有独立承担民事责任能力，遵守国家法律法规，具有良好信誉，具有履行合同能力和良好的履行合同的记录，具有良好资金、财务状况的企事业法人、其他组织或者自然人；</w:t>
      </w:r>
    </w:p>
    <w:p w14:paraId="46EB3E45">
      <w:pPr>
        <w:widowControl/>
        <w:tabs>
          <w:tab w:val="left" w:pos="900"/>
          <w:tab w:val="left" w:pos="8640"/>
        </w:tabs>
        <w:adjustRightInd w:val="0"/>
        <w:snapToGrid w:val="0"/>
        <w:spacing w:line="360" w:lineRule="auto"/>
        <w:ind w:left="420" w:leftChars="200"/>
        <w:rPr>
          <w:rFonts w:hint="eastAsia" w:ascii="宋体" w:hAnsi="宋体" w:cs="宋体"/>
          <w:bCs/>
          <w:kern w:val="0"/>
          <w:sz w:val="24"/>
        </w:rPr>
      </w:pPr>
      <w:r>
        <w:rPr>
          <w:rFonts w:ascii="宋体" w:hAnsi="宋体" w:cs="宋体"/>
          <w:bCs/>
          <w:kern w:val="0"/>
          <w:sz w:val="24"/>
        </w:rPr>
        <w:t>2</w:t>
      </w:r>
      <w:r>
        <w:rPr>
          <w:rFonts w:hint="eastAsia" w:ascii="宋体" w:hAnsi="宋体" w:cs="宋体"/>
          <w:bCs/>
          <w:kern w:val="0"/>
          <w:sz w:val="24"/>
        </w:rPr>
        <w:t>）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p>
    <w:p w14:paraId="49C0C657">
      <w:pPr>
        <w:widowControl/>
        <w:tabs>
          <w:tab w:val="left" w:pos="900"/>
          <w:tab w:val="left" w:pos="8640"/>
        </w:tabs>
        <w:adjustRightInd w:val="0"/>
        <w:snapToGrid w:val="0"/>
        <w:spacing w:line="360" w:lineRule="auto"/>
        <w:ind w:left="420" w:leftChars="200"/>
        <w:rPr>
          <w:rFonts w:hint="eastAsia" w:ascii="宋体" w:hAnsi="宋体" w:cs="宋体"/>
          <w:bCs/>
          <w:kern w:val="0"/>
          <w:sz w:val="24"/>
        </w:rPr>
      </w:pPr>
      <w:r>
        <w:rPr>
          <w:rFonts w:ascii="宋体" w:hAnsi="宋体" w:cs="宋体"/>
          <w:bCs/>
          <w:kern w:val="0"/>
          <w:sz w:val="24"/>
        </w:rPr>
        <w:t>3</w:t>
      </w:r>
      <w:r>
        <w:rPr>
          <w:rFonts w:hint="eastAsia" w:ascii="宋体" w:hAnsi="宋体" w:cs="宋体"/>
          <w:bCs/>
          <w:kern w:val="0"/>
          <w:sz w:val="24"/>
        </w:rPr>
        <w:t>）投标单位负责人为同一人或者存在直接控股、管理关系的不同投标人，不得参加同一合同项下的政府采购活动；</w:t>
      </w:r>
    </w:p>
    <w:p w14:paraId="0CEE7559">
      <w:pPr>
        <w:tabs>
          <w:tab w:val="left" w:pos="900"/>
          <w:tab w:val="left" w:pos="8640"/>
        </w:tabs>
        <w:adjustRightInd w:val="0"/>
        <w:snapToGrid w:val="0"/>
        <w:spacing w:line="360" w:lineRule="auto"/>
        <w:ind w:left="420" w:leftChars="200"/>
        <w:rPr>
          <w:rFonts w:hint="eastAsia" w:ascii="宋体" w:hAnsi="宋体"/>
          <w:bCs/>
          <w:sz w:val="24"/>
        </w:rPr>
      </w:pPr>
      <w:r>
        <w:rPr>
          <w:rFonts w:ascii="宋体" w:hAnsi="宋体"/>
          <w:bCs/>
          <w:sz w:val="24"/>
        </w:rPr>
        <w:t>4</w:t>
      </w:r>
      <w:r>
        <w:rPr>
          <w:rFonts w:hint="eastAsia" w:ascii="宋体" w:hAnsi="宋体"/>
          <w:bCs/>
          <w:sz w:val="24"/>
        </w:rPr>
        <w:t>）按本投标邀请的规定获取招标文件；</w:t>
      </w:r>
    </w:p>
    <w:p w14:paraId="703354DA">
      <w:pPr>
        <w:widowControl/>
        <w:tabs>
          <w:tab w:val="left" w:pos="900"/>
          <w:tab w:val="left" w:pos="8640"/>
        </w:tabs>
        <w:adjustRightInd w:val="0"/>
        <w:snapToGrid w:val="0"/>
        <w:spacing w:line="360" w:lineRule="auto"/>
        <w:ind w:left="420" w:leftChars="200"/>
        <w:rPr>
          <w:rFonts w:hint="eastAsia" w:ascii="宋体" w:hAnsi="宋体" w:cs="宋体"/>
          <w:bCs/>
          <w:kern w:val="0"/>
          <w:sz w:val="24"/>
        </w:rPr>
      </w:pPr>
      <w:r>
        <w:rPr>
          <w:rFonts w:hint="eastAsia" w:ascii="宋体" w:hAnsi="宋体" w:cs="宋体"/>
          <w:bCs/>
          <w:kern w:val="0"/>
          <w:sz w:val="24"/>
        </w:rPr>
        <w:t>5）本项目不允许分包和转包；</w:t>
      </w:r>
    </w:p>
    <w:p w14:paraId="06572177">
      <w:pPr>
        <w:widowControl/>
        <w:tabs>
          <w:tab w:val="left" w:pos="900"/>
          <w:tab w:val="left" w:pos="8640"/>
        </w:tabs>
        <w:adjustRightInd w:val="0"/>
        <w:spacing w:line="360" w:lineRule="auto"/>
        <w:ind w:firstLine="480" w:firstLineChars="200"/>
        <w:rPr>
          <w:rFonts w:hint="eastAsia" w:ascii="宋体" w:hAnsi="宋体" w:cs="宋体"/>
          <w:kern w:val="0"/>
          <w:sz w:val="24"/>
        </w:rPr>
      </w:pPr>
      <w:r>
        <w:rPr>
          <w:rFonts w:hint="eastAsia" w:ascii="宋体" w:hAnsi="宋体" w:cs="宋体"/>
          <w:kern w:val="0"/>
          <w:sz w:val="24"/>
        </w:rPr>
        <w:t>6）</w:t>
      </w:r>
      <w:r>
        <w:rPr>
          <w:rFonts w:ascii="宋体" w:hAnsi="宋体" w:cs="宋体"/>
          <w:kern w:val="0"/>
          <w:sz w:val="24"/>
        </w:rPr>
        <w:t>投标人不得为</w:t>
      </w:r>
      <w:r>
        <w:rPr>
          <w:rFonts w:hint="eastAsia" w:ascii="宋体" w:hAnsi="宋体" w:cs="宋体"/>
          <w:kern w:val="0"/>
          <w:sz w:val="24"/>
        </w:rPr>
        <w:t>列入失信被执行人、重大税收违法案件当事人名单、政府采购严重违法失信行为记录名单的供应商。</w:t>
      </w:r>
      <w:r>
        <w:rPr>
          <w:rFonts w:ascii="宋体" w:hAnsi="宋体" w:cs="宋体"/>
          <w:kern w:val="0"/>
          <w:sz w:val="24"/>
        </w:rPr>
        <w:t xml:space="preserve"> </w:t>
      </w:r>
    </w:p>
    <w:p w14:paraId="255BE1EC">
      <w:pPr>
        <w:widowControl/>
        <w:shd w:val="clear" w:color="auto" w:fill="FFFFFF"/>
        <w:spacing w:line="360" w:lineRule="auto"/>
        <w:jc w:val="left"/>
        <w:textAlignment w:val="baseline"/>
        <w:rPr>
          <w:rFonts w:hint="eastAsia" w:ascii="宋体" w:hAnsi="宋体" w:cs="宋体"/>
          <w:b/>
          <w:bCs/>
          <w:kern w:val="0"/>
          <w:sz w:val="24"/>
        </w:rPr>
      </w:pPr>
    </w:p>
    <w:p w14:paraId="46AE481E">
      <w:pPr>
        <w:widowControl/>
        <w:shd w:val="clear" w:color="auto" w:fill="FFFFFF"/>
        <w:spacing w:line="360" w:lineRule="auto"/>
        <w:jc w:val="left"/>
        <w:textAlignment w:val="baseline"/>
        <w:outlineLvl w:val="1"/>
        <w:rPr>
          <w:rFonts w:hint="eastAsia" w:ascii="宋体" w:hAnsi="宋体" w:cs="宋体"/>
          <w:b/>
          <w:bCs/>
          <w:kern w:val="0"/>
          <w:sz w:val="24"/>
        </w:rPr>
      </w:pPr>
      <w:r>
        <w:rPr>
          <w:rFonts w:hint="eastAsia" w:ascii="宋体" w:hAnsi="宋体" w:cs="宋体"/>
          <w:b/>
          <w:bCs/>
          <w:kern w:val="0"/>
          <w:sz w:val="24"/>
        </w:rPr>
        <w:t>三、获取招标文件</w:t>
      </w:r>
    </w:p>
    <w:p w14:paraId="27118084">
      <w:pPr>
        <w:widowControl/>
        <w:adjustRightInd w:val="0"/>
        <w:snapToGrid w:val="0"/>
        <w:spacing w:before="100" w:beforeAutospacing="1" w:after="100" w:afterAutospacing="1" w:line="360" w:lineRule="auto"/>
        <w:rPr>
          <w:rFonts w:hint="eastAsia" w:ascii="宋体" w:hAnsi="宋体"/>
          <w:bCs/>
          <w:sz w:val="24"/>
        </w:rPr>
      </w:pPr>
      <w:r>
        <w:rPr>
          <w:rFonts w:hint="eastAsia" w:ascii="宋体" w:hAnsi="宋体"/>
          <w:bCs/>
          <w:sz w:val="24"/>
        </w:rPr>
        <w:t>时间：2026年</w:t>
      </w:r>
      <w:r>
        <w:rPr>
          <w:rFonts w:hint="eastAsia" w:ascii="宋体" w:hAnsi="宋体"/>
          <w:bCs/>
          <w:sz w:val="24"/>
          <w:lang w:val="en-US" w:eastAsia="zh-CN"/>
        </w:rPr>
        <w:t>9</w:t>
      </w:r>
      <w:r>
        <w:rPr>
          <w:rFonts w:hint="eastAsia" w:ascii="宋体" w:hAnsi="宋体"/>
          <w:bCs/>
          <w:sz w:val="24"/>
        </w:rPr>
        <w:t>月</w:t>
      </w:r>
      <w:r>
        <w:rPr>
          <w:rFonts w:hint="eastAsia" w:ascii="宋体" w:hAnsi="宋体"/>
          <w:bCs/>
          <w:sz w:val="24"/>
          <w:lang w:val="en-US" w:eastAsia="zh-CN"/>
        </w:rPr>
        <w:t>15</w:t>
      </w:r>
      <w:r>
        <w:rPr>
          <w:rFonts w:hint="eastAsia" w:ascii="宋体" w:hAnsi="宋体"/>
          <w:bCs/>
          <w:sz w:val="24"/>
        </w:rPr>
        <w:t>日 至 2026年</w:t>
      </w:r>
      <w:r>
        <w:rPr>
          <w:rFonts w:hint="eastAsia" w:ascii="宋体" w:hAnsi="宋体"/>
          <w:bCs/>
          <w:sz w:val="24"/>
          <w:lang w:val="en-US" w:eastAsia="zh-CN"/>
        </w:rPr>
        <w:t>9</w:t>
      </w:r>
      <w:r>
        <w:rPr>
          <w:rFonts w:hint="eastAsia" w:ascii="宋体" w:hAnsi="宋体"/>
          <w:bCs/>
          <w:sz w:val="24"/>
        </w:rPr>
        <w:t>月</w:t>
      </w:r>
      <w:r>
        <w:rPr>
          <w:rFonts w:hint="eastAsia" w:ascii="宋体" w:hAnsi="宋体"/>
          <w:bCs/>
          <w:sz w:val="24"/>
          <w:lang w:val="en-US" w:eastAsia="zh-CN"/>
        </w:rPr>
        <w:t>21</w:t>
      </w:r>
      <w:r>
        <w:rPr>
          <w:rFonts w:hint="eastAsia" w:ascii="宋体" w:hAnsi="宋体"/>
          <w:bCs/>
          <w:sz w:val="24"/>
        </w:rPr>
        <w:t>日，每天上午9:00至12:00，下午14:00至17:00。(北京时间，法定节假日除外)</w:t>
      </w:r>
    </w:p>
    <w:p w14:paraId="657C04B8">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地点：</w:t>
      </w:r>
      <w:r>
        <w:rPr>
          <w:rFonts w:ascii="宋体" w:hAnsi="宋体"/>
          <w:bCs/>
          <w:sz w:val="24"/>
        </w:rPr>
        <w:t>www.oitccas.com</w:t>
      </w:r>
      <w:r>
        <w:rPr>
          <w:rFonts w:hint="eastAsia" w:ascii="宋体" w:hAnsi="宋体"/>
          <w:bCs/>
          <w:sz w:val="24"/>
        </w:rPr>
        <w:t>。</w:t>
      </w:r>
    </w:p>
    <w:p w14:paraId="61CDEC98">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方式：登录</w:t>
      </w:r>
      <w:r>
        <w:rPr>
          <w:rFonts w:ascii="宋体" w:hAnsi="宋体"/>
          <w:bCs/>
          <w:sz w:val="24"/>
        </w:rPr>
        <w:t>www.oitccas.com</w:t>
      </w:r>
      <w:r>
        <w:rPr>
          <w:rFonts w:hint="eastAsia" w:ascii="宋体" w:hAnsi="宋体"/>
          <w:bCs/>
          <w:sz w:val="24"/>
        </w:rPr>
        <w:t>注册并购买。</w:t>
      </w:r>
    </w:p>
    <w:p w14:paraId="33FA76AF">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售价：</w:t>
      </w:r>
      <w:r>
        <w:rPr>
          <w:rFonts w:hint="eastAsia" w:ascii="宋体" w:hAnsi="宋体"/>
          <w:bCs/>
          <w:sz w:val="24"/>
          <w:u w:val="single"/>
        </w:rPr>
        <w:t>¥600</w:t>
      </w:r>
      <w:r>
        <w:rPr>
          <w:rFonts w:hint="eastAsia" w:ascii="宋体" w:hAnsi="宋体"/>
          <w:bCs/>
          <w:sz w:val="24"/>
        </w:rPr>
        <w:t>元，本公告包含的招标文件售价总和</w:t>
      </w:r>
    </w:p>
    <w:p w14:paraId="2AA7EDE5">
      <w:pPr>
        <w:widowControl/>
        <w:adjustRightInd w:val="0"/>
        <w:snapToGrid w:val="0"/>
        <w:spacing w:line="360" w:lineRule="auto"/>
        <w:jc w:val="left"/>
        <w:outlineLvl w:val="1"/>
        <w:rPr>
          <w:rFonts w:hint="eastAsia" w:ascii="宋体" w:hAnsi="宋体" w:cs="宋体"/>
          <w:b/>
          <w:bCs/>
          <w:kern w:val="0"/>
          <w:sz w:val="24"/>
        </w:rPr>
      </w:pPr>
      <w:r>
        <w:rPr>
          <w:rFonts w:hint="eastAsia" w:ascii="宋体" w:hAnsi="宋体" w:cs="宋体"/>
          <w:b/>
          <w:bCs/>
          <w:kern w:val="0"/>
          <w:sz w:val="24"/>
        </w:rPr>
        <w:t>四、提交投标文件截止时间、开标时间和地点：</w:t>
      </w:r>
    </w:p>
    <w:p w14:paraId="075E2743">
      <w:pPr>
        <w:widowControl/>
        <w:adjustRightInd w:val="0"/>
        <w:snapToGrid w:val="0"/>
        <w:spacing w:before="100" w:beforeAutospacing="1" w:after="100" w:afterAutospacing="1" w:line="360" w:lineRule="auto"/>
        <w:jc w:val="left"/>
        <w:rPr>
          <w:rFonts w:hint="eastAsia" w:ascii="宋体" w:hAnsi="宋体" w:cs="宋体"/>
          <w:bCs/>
          <w:kern w:val="0"/>
          <w:sz w:val="24"/>
        </w:rPr>
      </w:pPr>
      <w:r>
        <w:rPr>
          <w:rFonts w:hint="eastAsia" w:ascii="宋体" w:hAnsi="宋体" w:cs="宋体"/>
          <w:bCs/>
          <w:kern w:val="0"/>
          <w:sz w:val="24"/>
        </w:rPr>
        <w:t>2026年</w:t>
      </w:r>
      <w:r>
        <w:rPr>
          <w:rFonts w:hint="eastAsia" w:ascii="宋体" w:hAnsi="宋体" w:cs="宋体"/>
          <w:bCs/>
          <w:kern w:val="0"/>
          <w:sz w:val="24"/>
          <w:lang w:val="en-US" w:eastAsia="zh-CN"/>
        </w:rPr>
        <w:t>10</w:t>
      </w:r>
      <w:r>
        <w:rPr>
          <w:rFonts w:hint="eastAsia" w:ascii="宋体" w:hAnsi="宋体" w:cs="宋体"/>
          <w:bCs/>
          <w:kern w:val="0"/>
          <w:sz w:val="24"/>
        </w:rPr>
        <w:t>月</w:t>
      </w:r>
      <w:r>
        <w:rPr>
          <w:rFonts w:hint="eastAsia" w:ascii="宋体" w:hAnsi="宋体" w:cs="宋体"/>
          <w:bCs/>
          <w:kern w:val="0"/>
          <w:sz w:val="24"/>
          <w:lang w:val="en-US" w:eastAsia="zh-CN"/>
        </w:rPr>
        <w:t>12</w:t>
      </w:r>
      <w:r>
        <w:rPr>
          <w:rFonts w:hint="eastAsia" w:ascii="宋体" w:hAnsi="宋体" w:cs="宋体"/>
          <w:bCs/>
          <w:kern w:val="0"/>
          <w:sz w:val="24"/>
        </w:rPr>
        <w:t>日</w:t>
      </w:r>
      <w:r>
        <w:rPr>
          <w:rFonts w:ascii="宋体" w:hAnsi="宋体" w:cs="宋体"/>
          <w:bCs/>
          <w:kern w:val="0"/>
          <w:sz w:val="24"/>
        </w:rPr>
        <w:t xml:space="preserve"> </w:t>
      </w:r>
      <w:r>
        <w:rPr>
          <w:rFonts w:hint="eastAsia" w:ascii="宋体" w:hAnsi="宋体" w:cs="宋体"/>
          <w:bCs/>
          <w:kern w:val="0"/>
          <w:sz w:val="24"/>
        </w:rPr>
        <w:t>09点</w:t>
      </w:r>
      <w:r>
        <w:rPr>
          <w:rFonts w:ascii="宋体" w:hAnsi="宋体" w:cs="宋体"/>
          <w:bCs/>
          <w:kern w:val="0"/>
          <w:sz w:val="24"/>
        </w:rPr>
        <w:t xml:space="preserve"> </w:t>
      </w:r>
      <w:r>
        <w:rPr>
          <w:rFonts w:hint="eastAsia" w:ascii="宋体" w:hAnsi="宋体" w:cs="宋体"/>
          <w:bCs/>
          <w:kern w:val="0"/>
          <w:sz w:val="24"/>
        </w:rPr>
        <w:t>30</w:t>
      </w:r>
      <w:r>
        <w:rPr>
          <w:rFonts w:ascii="宋体" w:hAnsi="宋体" w:cs="宋体"/>
          <w:bCs/>
          <w:kern w:val="0"/>
          <w:sz w:val="24"/>
        </w:rPr>
        <w:t xml:space="preserve"> </w:t>
      </w:r>
      <w:r>
        <w:rPr>
          <w:rFonts w:hint="eastAsia" w:ascii="宋体" w:hAnsi="宋体" w:cs="宋体"/>
          <w:bCs/>
          <w:kern w:val="0"/>
          <w:sz w:val="24"/>
        </w:rPr>
        <w:t>分(北京时间)</w:t>
      </w:r>
    </w:p>
    <w:p w14:paraId="4214EA3D">
      <w:pPr>
        <w:widowControl/>
        <w:adjustRightInd w:val="0"/>
        <w:snapToGrid w:val="0"/>
        <w:spacing w:line="360" w:lineRule="auto"/>
        <w:jc w:val="left"/>
        <w:rPr>
          <w:rFonts w:hint="eastAsia" w:ascii="宋体" w:hAnsi="宋体" w:cs="宋体"/>
          <w:bCs/>
          <w:kern w:val="0"/>
          <w:sz w:val="24"/>
        </w:rPr>
      </w:pPr>
      <w:r>
        <w:rPr>
          <w:rFonts w:hint="eastAsia" w:ascii="宋体" w:hAnsi="宋体" w:cs="宋体"/>
          <w:bCs/>
          <w:kern w:val="0"/>
          <w:sz w:val="24"/>
        </w:rPr>
        <w:t>地点：广州市越秀区先烈中路81号共富金农科创园76栋之二308</w:t>
      </w:r>
    </w:p>
    <w:p w14:paraId="376B0924">
      <w:pPr>
        <w:widowControl/>
        <w:adjustRightInd w:val="0"/>
        <w:snapToGrid w:val="0"/>
        <w:spacing w:line="360" w:lineRule="auto"/>
        <w:jc w:val="left"/>
        <w:outlineLvl w:val="1"/>
        <w:rPr>
          <w:rFonts w:hint="eastAsia" w:ascii="宋体" w:hAnsi="宋体" w:cs="宋体"/>
          <w:b/>
          <w:bCs/>
          <w:kern w:val="0"/>
          <w:sz w:val="24"/>
        </w:rPr>
      </w:pPr>
      <w:r>
        <w:rPr>
          <w:rFonts w:hint="eastAsia" w:ascii="宋体" w:hAnsi="宋体" w:cs="宋体"/>
          <w:b/>
          <w:bCs/>
          <w:kern w:val="0"/>
          <w:sz w:val="24"/>
        </w:rPr>
        <w:t>五、公告期限</w:t>
      </w:r>
    </w:p>
    <w:p w14:paraId="204A81E5">
      <w:pPr>
        <w:widowControl/>
        <w:adjustRightInd w:val="0"/>
        <w:snapToGrid w:val="0"/>
        <w:spacing w:before="100" w:beforeAutospacing="1" w:after="100" w:afterAutospacing="1" w:line="360" w:lineRule="auto"/>
        <w:jc w:val="left"/>
        <w:rPr>
          <w:rFonts w:hint="eastAsia" w:ascii="宋体" w:hAnsi="宋体" w:cs="宋体"/>
          <w:bCs/>
          <w:kern w:val="0"/>
          <w:sz w:val="24"/>
        </w:rPr>
      </w:pPr>
      <w:r>
        <w:rPr>
          <w:rFonts w:hint="eastAsia" w:ascii="宋体" w:hAnsi="宋体" w:cs="宋体"/>
          <w:bCs/>
          <w:kern w:val="0"/>
          <w:sz w:val="24"/>
        </w:rPr>
        <w:t>自本公告发布之日起5个工作日。</w:t>
      </w:r>
    </w:p>
    <w:p w14:paraId="65660388">
      <w:pPr>
        <w:widowControl/>
        <w:adjustRightInd w:val="0"/>
        <w:snapToGrid w:val="0"/>
        <w:spacing w:before="100" w:beforeAutospacing="1" w:after="100" w:afterAutospacing="1" w:line="360" w:lineRule="auto"/>
        <w:jc w:val="left"/>
        <w:outlineLvl w:val="1"/>
        <w:rPr>
          <w:rFonts w:hint="eastAsia" w:ascii="宋体" w:hAnsi="宋体" w:cs="宋体"/>
          <w:b/>
          <w:kern w:val="0"/>
          <w:sz w:val="24"/>
        </w:rPr>
      </w:pPr>
      <w:r>
        <w:rPr>
          <w:rFonts w:hint="eastAsia" w:ascii="宋体" w:hAnsi="宋体" w:cs="宋体"/>
          <w:b/>
          <w:bCs/>
          <w:kern w:val="0"/>
          <w:sz w:val="24"/>
        </w:rPr>
        <w:t>六、其它补充事宜</w:t>
      </w:r>
    </w:p>
    <w:p w14:paraId="15A27457">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1、投标文件递交地点：广州市越秀区先烈中路81号共富金农科创园76栋之二308</w:t>
      </w:r>
    </w:p>
    <w:p w14:paraId="1455F1B8">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2、招标文件采用网上电子版本发售和纸质招标文件同时发售方式:</w:t>
      </w:r>
    </w:p>
    <w:p w14:paraId="4026D797">
      <w:pPr>
        <w:widowControl/>
        <w:adjustRightInd w:val="0"/>
        <w:snapToGrid w:val="0"/>
        <w:spacing w:before="100" w:beforeAutospacing="1" w:after="100" w:afterAutospacing="1" w:line="360" w:lineRule="auto"/>
        <w:jc w:val="left"/>
        <w:rPr>
          <w:rFonts w:hint="eastAsia" w:ascii="宋体" w:hAnsi="宋体" w:cs="宋体"/>
          <w:bCs/>
          <w:kern w:val="0"/>
          <w:sz w:val="24"/>
        </w:rPr>
      </w:pPr>
      <w:r>
        <w:rPr>
          <w:rFonts w:hint="eastAsia" w:ascii="宋体" w:hAnsi="宋体" w:cs="宋体"/>
          <w:bCs/>
          <w:kern w:val="0"/>
          <w:sz w:val="24"/>
        </w:rPr>
        <w:t>1）登陆“东方招标”平台（https://www.oitccas.com/），点击“获取采购文件”链接图标，或直接输入访问地（https://www.oitccas.com/pages/sign_in.html?page=mine）完成投标人注册手续（免费），然后登陆系统寻找有意向参与的项目，已注册的投标人无需重新注册。招标文件售价：每包人民币600 元。如决定购买招标文件，请完成标书款缴费及标书下载手续,纸质文件可联系采购代理机构联系人通过快递或现场领取获取。电子版招标文件与纸质招标文件具有同等的法律效力。</w:t>
      </w:r>
    </w:p>
    <w:p w14:paraId="2D299B17">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2）投标人可以电汇的形式支付标书款（应以公司名义汇款至下述指定账号）。</w:t>
      </w:r>
    </w:p>
    <w:p w14:paraId="302F9607">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开户名称：东方国际招标有限责任公司</w:t>
      </w:r>
    </w:p>
    <w:p w14:paraId="2C9B47C3">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开户行：招商银行北京西三环支行</w:t>
      </w:r>
    </w:p>
    <w:p w14:paraId="5C1CC6AD">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账  号：862081657710001</w:t>
      </w:r>
    </w:p>
    <w:p w14:paraId="56FEB596">
      <w:pPr>
        <w:widowControl/>
        <w:numPr>
          <w:ilvl w:val="0"/>
          <w:numId w:val="2"/>
        </w:numPr>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投标人应在平台上填写开票信息。在投标人足额缴纳标书款后，标书款电子发票将发送至投标人在平台上登记的电子邮箱，投标人自行下载打印。</w:t>
      </w:r>
    </w:p>
    <w:p w14:paraId="04891410">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3、以</w:t>
      </w:r>
      <w:r>
        <w:rPr>
          <w:rFonts w:ascii="宋体" w:hAnsi="宋体" w:cs="宋体"/>
          <w:bCs/>
          <w:kern w:val="0"/>
          <w:sz w:val="24"/>
        </w:rPr>
        <w:t>电汇方式购买招标文件</w:t>
      </w:r>
      <w:r>
        <w:rPr>
          <w:rFonts w:hint="eastAsia" w:ascii="宋体" w:hAnsi="宋体" w:cs="宋体"/>
          <w:bCs/>
          <w:kern w:val="0"/>
          <w:sz w:val="24"/>
        </w:rPr>
        <w:t>和</w:t>
      </w:r>
      <w:r>
        <w:rPr>
          <w:rFonts w:ascii="宋体" w:hAnsi="宋体" w:cs="宋体"/>
          <w:bCs/>
          <w:kern w:val="0"/>
          <w:sz w:val="24"/>
        </w:rPr>
        <w:t>递交投标保证金</w:t>
      </w:r>
      <w:r>
        <w:rPr>
          <w:rFonts w:hint="eastAsia" w:ascii="宋体" w:hAnsi="宋体" w:cs="宋体"/>
          <w:bCs/>
          <w:kern w:val="0"/>
          <w:sz w:val="24"/>
        </w:rPr>
        <w:t>的，</w:t>
      </w:r>
      <w:r>
        <w:rPr>
          <w:rFonts w:ascii="宋体" w:hAnsi="宋体" w:cs="宋体"/>
          <w:bCs/>
          <w:kern w:val="0"/>
          <w:sz w:val="24"/>
        </w:rPr>
        <w:t>须在电汇凭据附言栏中写明招标编号</w:t>
      </w:r>
      <w:r>
        <w:rPr>
          <w:rFonts w:hint="eastAsia" w:ascii="宋体" w:hAnsi="宋体" w:cs="宋体"/>
          <w:bCs/>
          <w:kern w:val="0"/>
          <w:sz w:val="24"/>
        </w:rPr>
        <w:t>(如未标明招标编号</w:t>
      </w:r>
      <w:r>
        <w:rPr>
          <w:rFonts w:hint="eastAsia" w:ascii="宋体" w:hAnsi="宋体" w:cs="宋体"/>
          <w:bCs/>
          <w:kern w:val="0"/>
          <w:sz w:val="24"/>
          <w:lang w:eastAsia="zh-CN"/>
        </w:rPr>
        <w:t>OITC-G260392132</w:t>
      </w:r>
      <w:r>
        <w:rPr>
          <w:rFonts w:hint="eastAsia" w:ascii="宋体" w:hAnsi="宋体" w:cs="宋体"/>
          <w:bCs/>
          <w:kern w:val="0"/>
          <w:sz w:val="24"/>
        </w:rPr>
        <w:t>，有可能导致投标无效)。</w:t>
      </w:r>
    </w:p>
    <w:p w14:paraId="19D351C0">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4、采购项目需要落实的政府采购政策：</w:t>
      </w:r>
    </w:p>
    <w:p w14:paraId="5AF40578">
      <w:pPr>
        <w:widowControl/>
        <w:adjustRightInd w:val="0"/>
        <w:snapToGrid w:val="0"/>
        <w:spacing w:line="360" w:lineRule="auto"/>
        <w:textAlignment w:val="bottom"/>
        <w:rPr>
          <w:rFonts w:hint="eastAsia" w:ascii="宋体" w:hAnsi="宋体" w:cs="宋体"/>
          <w:bCs/>
          <w:kern w:val="0"/>
          <w:sz w:val="24"/>
        </w:rPr>
      </w:pPr>
      <w:r>
        <w:rPr>
          <w:rFonts w:hint="eastAsia" w:ascii="宋体" w:hAnsi="宋体" w:cs="宋体"/>
          <w:bCs/>
          <w:kern w:val="0"/>
          <w:sz w:val="24"/>
        </w:rPr>
        <w:t>(1)政府采购促进中小企业发展</w:t>
      </w:r>
    </w:p>
    <w:p w14:paraId="5E82BAD0">
      <w:pPr>
        <w:widowControl/>
        <w:adjustRightInd w:val="0"/>
        <w:snapToGrid w:val="0"/>
        <w:spacing w:line="360" w:lineRule="auto"/>
        <w:textAlignment w:val="bottom"/>
        <w:rPr>
          <w:rFonts w:hint="eastAsia" w:ascii="宋体" w:hAnsi="宋体" w:cs="宋体"/>
          <w:bCs/>
          <w:kern w:val="0"/>
          <w:sz w:val="24"/>
        </w:rPr>
      </w:pPr>
      <w:r>
        <w:rPr>
          <w:rFonts w:hint="eastAsia" w:ascii="宋体" w:hAnsi="宋体" w:cs="宋体"/>
          <w:bCs/>
          <w:kern w:val="0"/>
          <w:sz w:val="24"/>
        </w:rPr>
        <w:t>(2)政府采购支持监狱企业发展</w:t>
      </w:r>
    </w:p>
    <w:p w14:paraId="58459ED1">
      <w:pPr>
        <w:widowControl/>
        <w:adjustRightInd w:val="0"/>
        <w:snapToGrid w:val="0"/>
        <w:spacing w:line="360" w:lineRule="auto"/>
        <w:textAlignment w:val="bottom"/>
        <w:rPr>
          <w:rFonts w:hint="eastAsia" w:ascii="宋体" w:hAnsi="宋体" w:cs="宋体"/>
          <w:bCs/>
          <w:kern w:val="0"/>
          <w:sz w:val="24"/>
        </w:rPr>
      </w:pPr>
      <w:r>
        <w:rPr>
          <w:rFonts w:hint="eastAsia" w:ascii="宋体" w:hAnsi="宋体" w:cs="宋体"/>
          <w:bCs/>
          <w:kern w:val="0"/>
          <w:sz w:val="24"/>
        </w:rPr>
        <w:t>(3)政府采购促进残疾人就业</w:t>
      </w:r>
    </w:p>
    <w:p w14:paraId="01EAAF4A">
      <w:pPr>
        <w:widowControl/>
        <w:adjustRightInd w:val="0"/>
        <w:snapToGrid w:val="0"/>
        <w:spacing w:line="360" w:lineRule="auto"/>
        <w:textAlignment w:val="bottom"/>
        <w:rPr>
          <w:rFonts w:hint="eastAsia" w:ascii="宋体" w:hAnsi="宋体" w:cs="宋体"/>
          <w:bCs/>
          <w:kern w:val="0"/>
          <w:sz w:val="24"/>
        </w:rPr>
      </w:pPr>
      <w:r>
        <w:rPr>
          <w:rFonts w:hint="eastAsia" w:ascii="宋体" w:hAnsi="宋体" w:cs="宋体"/>
          <w:bCs/>
          <w:kern w:val="0"/>
          <w:sz w:val="24"/>
        </w:rPr>
        <w:t>(4)政府采购鼓励采购节能环保产品</w:t>
      </w:r>
    </w:p>
    <w:p w14:paraId="7A3F1AC5">
      <w:pPr>
        <w:widowControl/>
        <w:adjustRightInd w:val="0"/>
        <w:snapToGrid w:val="0"/>
        <w:spacing w:line="360" w:lineRule="auto"/>
        <w:textAlignment w:val="bottom"/>
        <w:rPr>
          <w:rFonts w:hint="eastAsia" w:ascii="宋体" w:hAnsi="宋体" w:cs="宋体"/>
          <w:bCs/>
          <w:kern w:val="0"/>
          <w:sz w:val="24"/>
        </w:rPr>
      </w:pPr>
      <w:r>
        <w:rPr>
          <w:rFonts w:hint="eastAsia" w:ascii="宋体" w:hAnsi="宋体" w:cs="宋体"/>
          <w:bCs/>
          <w:kern w:val="0"/>
          <w:sz w:val="24"/>
        </w:rPr>
        <w:t>(5)扶持不发达地区和少数民族地区</w:t>
      </w:r>
    </w:p>
    <w:p w14:paraId="2A17C853">
      <w:pPr>
        <w:widowControl/>
        <w:adjustRightInd w:val="0"/>
        <w:snapToGrid w:val="0"/>
        <w:spacing w:line="360" w:lineRule="auto"/>
        <w:textAlignment w:val="bottom"/>
        <w:rPr>
          <w:rFonts w:hint="eastAsia" w:ascii="宋体" w:hAnsi="宋体"/>
          <w:bCs/>
          <w:sz w:val="24"/>
        </w:rPr>
      </w:pPr>
      <w:r>
        <w:rPr>
          <w:rFonts w:hint="eastAsia" w:ascii="宋体" w:hAnsi="宋体" w:cs="宋体"/>
          <w:bCs/>
          <w:kern w:val="0"/>
          <w:sz w:val="24"/>
        </w:rPr>
        <w:t>(6)政府采购支持本国产品</w:t>
      </w:r>
    </w:p>
    <w:p w14:paraId="5239ACB0">
      <w:pPr>
        <w:widowControl/>
        <w:adjustRightInd w:val="0"/>
        <w:snapToGrid w:val="0"/>
        <w:spacing w:before="100" w:beforeAutospacing="1" w:after="100" w:afterAutospacing="1" w:line="360" w:lineRule="auto"/>
        <w:jc w:val="left"/>
        <w:outlineLvl w:val="1"/>
        <w:rPr>
          <w:rFonts w:hint="eastAsia" w:ascii="宋体" w:hAnsi="宋体" w:cs="宋体"/>
          <w:b/>
          <w:bCs/>
          <w:kern w:val="0"/>
          <w:sz w:val="24"/>
        </w:rPr>
      </w:pPr>
      <w:r>
        <w:rPr>
          <w:rFonts w:hint="eastAsia" w:ascii="宋体" w:hAnsi="宋体" w:cs="宋体"/>
          <w:b/>
          <w:bCs/>
          <w:kern w:val="0"/>
          <w:sz w:val="24"/>
        </w:rPr>
        <w:t>七、对本次招标提出询问，请按以下方式联系。</w:t>
      </w:r>
    </w:p>
    <w:p w14:paraId="09A2BB53">
      <w:pPr>
        <w:autoSpaceDE w:val="0"/>
        <w:autoSpaceDN w:val="0"/>
        <w:adjustRightInd w:val="0"/>
        <w:spacing w:line="360" w:lineRule="auto"/>
        <w:jc w:val="left"/>
        <w:rPr>
          <w:rFonts w:hint="eastAsia" w:ascii="宋体" w:hAnsi="宋体" w:cs="宋体"/>
          <w:bCs/>
          <w:kern w:val="0"/>
          <w:sz w:val="24"/>
          <w:lang w:val="zh-CN"/>
        </w:rPr>
      </w:pPr>
      <w:r>
        <w:rPr>
          <w:rFonts w:ascii="宋体" w:hAnsi="宋体" w:cs="宋体"/>
          <w:bCs/>
          <w:kern w:val="0"/>
          <w:sz w:val="24"/>
          <w:lang w:val="zh-CN"/>
        </w:rPr>
        <w:t>1、采购人</w:t>
      </w:r>
      <w:r>
        <w:rPr>
          <w:rFonts w:hint="eastAsia" w:ascii="宋体" w:hAnsi="宋体" w:cs="宋体"/>
          <w:bCs/>
          <w:kern w:val="0"/>
          <w:sz w:val="24"/>
          <w:lang w:val="zh-CN"/>
        </w:rPr>
        <w:t>（招标人）信息</w:t>
      </w:r>
      <w:r>
        <w:rPr>
          <w:rFonts w:ascii="宋体" w:hAnsi="宋体" w:cs="宋体"/>
          <w:bCs/>
          <w:kern w:val="0"/>
          <w:sz w:val="24"/>
          <w:lang w:val="zh-CN"/>
        </w:rPr>
        <w:t>：</w:t>
      </w:r>
    </w:p>
    <w:p w14:paraId="42F91B65">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名称：中国科学院华南植物园</w:t>
      </w:r>
    </w:p>
    <w:p w14:paraId="699CCD07">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地址：广州市天河区兴科路723号 </w:t>
      </w:r>
    </w:p>
    <w:p w14:paraId="6E9E7984">
      <w:pPr>
        <w:pStyle w:val="16"/>
        <w:snapToGrid w:val="0"/>
        <w:spacing w:line="360" w:lineRule="auto"/>
        <w:ind w:left="0" w:leftChars="0"/>
        <w:rPr>
          <w:rFonts w:hint="default" w:eastAsia="宋体"/>
          <w:color w:val="FF0000"/>
          <w:sz w:val="24"/>
          <w:lang w:val="en-US" w:eastAsia="zh-CN"/>
        </w:rPr>
      </w:pPr>
      <w:r>
        <w:rPr>
          <w:rFonts w:hint="eastAsia"/>
          <w:sz w:val="24"/>
        </w:rPr>
        <w:t>联系方</w:t>
      </w:r>
      <w:r>
        <w:rPr>
          <w:rFonts w:hint="eastAsia"/>
          <w:sz w:val="24"/>
          <w:szCs w:val="22"/>
        </w:rPr>
        <w:t>式</w:t>
      </w:r>
      <w:r>
        <w:rPr>
          <w:rFonts w:hint="eastAsia"/>
          <w:sz w:val="24"/>
        </w:rPr>
        <w:t>：</w:t>
      </w:r>
      <w:r>
        <w:rPr>
          <w:rFonts w:hint="eastAsia"/>
          <w:sz w:val="24"/>
          <w:lang w:val="en-US" w:eastAsia="zh-CN"/>
        </w:rPr>
        <w:t>020-37252711</w:t>
      </w:r>
    </w:p>
    <w:p w14:paraId="242C0878">
      <w:pPr>
        <w:autoSpaceDE w:val="0"/>
        <w:autoSpaceDN w:val="0"/>
        <w:adjustRightInd w:val="0"/>
        <w:spacing w:line="360" w:lineRule="auto"/>
        <w:jc w:val="left"/>
        <w:rPr>
          <w:rFonts w:hint="eastAsia" w:ascii="宋体" w:hAnsi="宋体" w:cs="宋体"/>
          <w:bCs/>
          <w:kern w:val="0"/>
          <w:sz w:val="24"/>
          <w:lang w:val="zh-CN"/>
        </w:rPr>
      </w:pPr>
      <w:r>
        <w:rPr>
          <w:rFonts w:ascii="宋体" w:hAnsi="宋体" w:cs="宋体"/>
          <w:bCs/>
          <w:kern w:val="0"/>
          <w:sz w:val="24"/>
          <w:lang w:val="zh-CN"/>
        </w:rPr>
        <w:t>2、</w:t>
      </w:r>
      <w:r>
        <w:rPr>
          <w:rFonts w:hint="eastAsia" w:ascii="宋体" w:hAnsi="宋体" w:cs="宋体"/>
          <w:bCs/>
          <w:kern w:val="0"/>
          <w:sz w:val="24"/>
          <w:lang w:val="zh-CN"/>
        </w:rPr>
        <w:t>采购代理机构（招标代理机构）信息</w:t>
      </w:r>
      <w:r>
        <w:rPr>
          <w:rFonts w:ascii="宋体" w:hAnsi="宋体" w:cs="宋体"/>
          <w:bCs/>
          <w:kern w:val="0"/>
          <w:sz w:val="24"/>
          <w:lang w:val="zh-CN"/>
        </w:rPr>
        <w:t>：</w:t>
      </w:r>
    </w:p>
    <w:p w14:paraId="484DB950">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名称：东方国际招标有限责任公司</w:t>
      </w:r>
    </w:p>
    <w:p w14:paraId="68CB041B">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地址：北京市海淀区丹棱街1号互联网金融中心20层</w:t>
      </w:r>
    </w:p>
    <w:p w14:paraId="4F697C0A">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联系人：迟兆洋、叶明、林杨婷</w:t>
      </w:r>
    </w:p>
    <w:p w14:paraId="1CC86B9E">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电话：</w:t>
      </w:r>
      <w:r>
        <w:rPr>
          <w:rFonts w:hint="eastAsia" w:ascii="宋体" w:hAnsi="宋体" w:cs="宋体"/>
          <w:bCs/>
          <w:kern w:val="0"/>
          <w:sz w:val="24"/>
        </w:rPr>
        <w:t>020-87001523</w:t>
      </w:r>
    </w:p>
    <w:p w14:paraId="4FD55A06">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传真：</w:t>
      </w:r>
      <w:r>
        <w:rPr>
          <w:rFonts w:ascii="宋体" w:hAnsi="宋体" w:cs="宋体"/>
          <w:bCs/>
          <w:kern w:val="0"/>
          <w:sz w:val="24"/>
          <w:lang w:val="zh-CN"/>
        </w:rPr>
        <w:t xml:space="preserve">010-50828550 </w:t>
      </w:r>
    </w:p>
    <w:p w14:paraId="46EB78E9">
      <w:pPr>
        <w:spacing w:line="360" w:lineRule="auto"/>
        <w:rPr>
          <w:rFonts w:hint="eastAsia" w:ascii="宋体" w:hAnsi="宋体" w:cs="宋体"/>
          <w:bCs/>
          <w:kern w:val="0"/>
          <w:sz w:val="24"/>
          <w:lang w:val="zh-CN"/>
        </w:rPr>
      </w:pPr>
      <w:r>
        <w:rPr>
          <w:rFonts w:hint="eastAsia" w:ascii="宋体" w:hAnsi="宋体" w:cs="宋体"/>
          <w:bCs/>
          <w:kern w:val="0"/>
          <w:sz w:val="24"/>
          <w:lang w:val="zh-CN"/>
        </w:rPr>
        <w:t>邮编：10008</w:t>
      </w:r>
      <w:r>
        <w:rPr>
          <w:rFonts w:ascii="宋体" w:hAnsi="宋体" w:cs="宋体"/>
          <w:bCs/>
          <w:kern w:val="0"/>
          <w:sz w:val="24"/>
          <w:lang w:val="zh-CN"/>
        </w:rPr>
        <w:t>0</w:t>
      </w:r>
    </w:p>
    <w:p w14:paraId="528A6F97">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邮箱：</w:t>
      </w:r>
      <w:r>
        <w:rPr>
          <w:rFonts w:hint="eastAsia" w:ascii="宋体" w:hAnsi="宋体" w:cs="宋体"/>
          <w:bCs/>
          <w:kern w:val="0"/>
          <w:sz w:val="24"/>
        </w:rPr>
        <w:t>ytlin</w:t>
      </w:r>
      <w:r>
        <w:rPr>
          <w:rFonts w:hint="eastAsia" w:ascii="宋体" w:hAnsi="宋体" w:cs="宋体"/>
          <w:bCs/>
          <w:kern w:val="0"/>
          <w:sz w:val="24"/>
          <w:lang w:val="zh-CN"/>
        </w:rPr>
        <w:t>@oitc.com.cn 、</w:t>
      </w:r>
      <w:r>
        <w:fldChar w:fldCharType="begin"/>
      </w:r>
      <w:r>
        <w:instrText xml:space="preserve"> HYPERLINK "mailto:jxzhang@oitc.com.cn、hzrui@oitc.com.cn、rli@oitc.com.cn" </w:instrText>
      </w:r>
      <w:r>
        <w:fldChar w:fldCharType="separate"/>
      </w:r>
      <w:r>
        <w:rPr>
          <w:rFonts w:hint="eastAsia" w:ascii="宋体" w:hAnsi="宋体" w:cs="宋体"/>
          <w:bCs/>
          <w:kern w:val="0"/>
          <w:sz w:val="24"/>
        </w:rPr>
        <w:t>cjwang</w:t>
      </w:r>
      <w:r>
        <w:rPr>
          <w:rFonts w:hint="eastAsia" w:ascii="宋体" w:hAnsi="宋体" w:cs="宋体"/>
          <w:bCs/>
          <w:kern w:val="0"/>
          <w:sz w:val="24"/>
          <w:lang w:val="zh-CN"/>
        </w:rPr>
        <w:t>@oitc.com.cn、</w:t>
      </w:r>
      <w:r>
        <w:rPr>
          <w:rFonts w:hint="eastAsia" w:ascii="宋体" w:hAnsi="宋体" w:cs="宋体"/>
          <w:bCs/>
          <w:kern w:val="0"/>
          <w:sz w:val="24"/>
        </w:rPr>
        <w:t>sli</w:t>
      </w:r>
      <w:r>
        <w:rPr>
          <w:rFonts w:hint="eastAsia" w:ascii="宋体" w:hAnsi="宋体" w:cs="宋体"/>
          <w:bCs/>
          <w:kern w:val="0"/>
          <w:sz w:val="24"/>
          <w:lang w:val="zh-CN"/>
        </w:rPr>
        <w:t>@oitc.com.cn</w:t>
      </w:r>
      <w:r>
        <w:rPr>
          <w:rFonts w:hint="eastAsia" w:ascii="宋体" w:hAnsi="宋体" w:cs="宋体"/>
          <w:bCs/>
          <w:kern w:val="0"/>
          <w:sz w:val="24"/>
          <w:lang w:val="zh-CN"/>
        </w:rPr>
        <w:fldChar w:fldCharType="end"/>
      </w:r>
    </w:p>
    <w:p w14:paraId="23E7D1BE">
      <w:pPr>
        <w:widowControl/>
        <w:adjustRightInd w:val="0"/>
        <w:snapToGrid w:val="0"/>
        <w:spacing w:line="360" w:lineRule="auto"/>
        <w:jc w:val="left"/>
        <w:rPr>
          <w:rFonts w:hint="eastAsia" w:ascii="宋体" w:hAnsi="宋体" w:cs="宋体"/>
          <w:bCs/>
          <w:kern w:val="0"/>
          <w:sz w:val="24"/>
        </w:rPr>
      </w:pPr>
    </w:p>
    <w:p w14:paraId="0F66305B">
      <w:pPr>
        <w:widowControl/>
        <w:adjustRightInd w:val="0"/>
        <w:snapToGrid w:val="0"/>
        <w:spacing w:line="360" w:lineRule="auto"/>
        <w:jc w:val="left"/>
        <w:rPr>
          <w:rFonts w:hint="eastAsia" w:ascii="宋体" w:hAnsi="宋体" w:cs="宋体"/>
          <w:bCs/>
          <w:kern w:val="0"/>
          <w:sz w:val="24"/>
        </w:rPr>
      </w:pPr>
      <w:r>
        <w:rPr>
          <w:rFonts w:hint="eastAsia" w:ascii="宋体" w:hAnsi="宋体" w:cs="宋体"/>
          <w:bCs/>
          <w:kern w:val="0"/>
          <w:sz w:val="24"/>
        </w:rPr>
        <w:t>3、项目联系方式：</w:t>
      </w:r>
    </w:p>
    <w:p w14:paraId="5E59CDBA">
      <w:pPr>
        <w:widowControl/>
        <w:adjustRightInd w:val="0"/>
        <w:snapToGrid w:val="0"/>
        <w:spacing w:line="360" w:lineRule="auto"/>
        <w:jc w:val="left"/>
        <w:rPr>
          <w:rFonts w:hint="eastAsia" w:ascii="宋体" w:hAnsi="宋体" w:cs="宋体"/>
          <w:bCs/>
          <w:kern w:val="0"/>
          <w:sz w:val="24"/>
        </w:rPr>
      </w:pPr>
      <w:r>
        <w:rPr>
          <w:rFonts w:hint="eastAsia" w:ascii="宋体" w:hAnsi="宋体" w:cs="宋体"/>
          <w:bCs/>
          <w:kern w:val="0"/>
          <w:sz w:val="24"/>
        </w:rPr>
        <w:t xml:space="preserve">项目联系人：迟兆洋、叶明、林杨婷                </w:t>
      </w:r>
    </w:p>
    <w:p w14:paraId="36363B07">
      <w:pPr>
        <w:widowControl/>
        <w:adjustRightInd w:val="0"/>
        <w:snapToGrid w:val="0"/>
        <w:spacing w:line="360" w:lineRule="auto"/>
        <w:jc w:val="left"/>
        <w:rPr>
          <w:rFonts w:hint="eastAsia" w:ascii="宋体" w:hAnsi="宋体" w:cs="宋体"/>
          <w:bCs/>
          <w:kern w:val="0"/>
          <w:sz w:val="24"/>
          <w:lang w:val="zh-CN"/>
        </w:rPr>
      </w:pPr>
      <w:r>
        <w:rPr>
          <w:rFonts w:hint="eastAsia" w:ascii="宋体" w:hAnsi="宋体" w:cs="宋体"/>
          <w:bCs/>
          <w:kern w:val="0"/>
          <w:sz w:val="24"/>
        </w:rPr>
        <w:t>电　话：020-87001523</w:t>
      </w:r>
    </w:p>
    <w:p w14:paraId="598348F1">
      <w:pPr>
        <w:pStyle w:val="8"/>
        <w:spacing w:line="360" w:lineRule="auto"/>
        <w:rPr>
          <w:rFonts w:hint="eastAsia"/>
          <w:b/>
        </w:rPr>
      </w:pPr>
      <w:r>
        <w:rPr>
          <w:b/>
          <w:lang w:val="zh-CN"/>
        </w:rPr>
        <w:br w:type="page"/>
      </w:r>
      <w:bookmarkStart w:id="3" w:name="_Hlk126854889"/>
    </w:p>
    <w:p w14:paraId="1C9237BE">
      <w:pPr>
        <w:adjustRightInd w:val="0"/>
        <w:snapToGrid w:val="0"/>
        <w:spacing w:line="360" w:lineRule="auto"/>
        <w:ind w:firstLine="2530" w:firstLineChars="700"/>
        <w:outlineLvl w:val="0"/>
        <w:rPr>
          <w:rFonts w:hint="eastAsia" w:ascii="宋体" w:hAnsi="宋体"/>
          <w:b/>
          <w:bCs/>
          <w:sz w:val="36"/>
          <w:szCs w:val="36"/>
        </w:rPr>
      </w:pPr>
      <w:r>
        <w:rPr>
          <w:rFonts w:hint="eastAsia" w:ascii="宋体" w:hAnsi="宋体"/>
          <w:b/>
          <w:bCs/>
          <w:sz w:val="36"/>
          <w:szCs w:val="36"/>
        </w:rPr>
        <w:t>第二章</w:t>
      </w:r>
      <w:r>
        <w:rPr>
          <w:rFonts w:hint="eastAsia" w:ascii="宋体" w:hAnsi="宋体"/>
          <w:b/>
          <w:bCs/>
          <w:sz w:val="36"/>
          <w:szCs w:val="36"/>
          <w:lang w:val="en-US" w:eastAsia="zh-CN"/>
        </w:rPr>
        <w:t xml:space="preserve"> </w:t>
      </w:r>
      <w:r>
        <w:rPr>
          <w:rFonts w:hint="eastAsia" w:ascii="宋体" w:hAnsi="宋体"/>
          <w:b/>
          <w:bCs/>
          <w:sz w:val="36"/>
          <w:szCs w:val="36"/>
        </w:rPr>
        <w:t>投标人须知资料表</w:t>
      </w:r>
      <w:bookmarkEnd w:id="1"/>
      <w:bookmarkEnd w:id="3"/>
    </w:p>
    <w:p w14:paraId="307146F8">
      <w:pPr>
        <w:spacing w:line="360" w:lineRule="auto"/>
        <w:rPr>
          <w:b/>
        </w:rPr>
      </w:pPr>
    </w:p>
    <w:p w14:paraId="04BC74DC">
      <w:pPr>
        <w:adjustRightInd w:val="0"/>
        <w:snapToGrid w:val="0"/>
        <w:spacing w:line="360" w:lineRule="auto"/>
        <w:rPr>
          <w:rFonts w:hint="eastAsia" w:ascii="宋体" w:hAnsi="宋体"/>
          <w:bCs/>
          <w:sz w:val="24"/>
        </w:rPr>
      </w:pPr>
      <w:r>
        <w:rPr>
          <w:rFonts w:hint="eastAsia" w:ascii="宋体" w:hAnsi="宋体"/>
          <w:bCs/>
          <w:sz w:val="24"/>
        </w:rPr>
        <w:t>本表关于招标的具体要求是对投标人须知的具体补充和修改，如有矛盾，应以本表为准。</w:t>
      </w:r>
    </w:p>
    <w:tbl>
      <w:tblPr>
        <w:tblStyle w:val="37"/>
        <w:tblW w:w="878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134"/>
        <w:gridCol w:w="7655"/>
      </w:tblGrid>
      <w:tr w14:paraId="437B65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1134" w:type="dxa"/>
            <w:tcBorders>
              <w:top w:val="single" w:color="auto" w:sz="4" w:space="0"/>
              <w:left w:val="single" w:color="auto" w:sz="4" w:space="0"/>
              <w:bottom w:val="single" w:color="auto" w:sz="4" w:space="0"/>
              <w:right w:val="single" w:color="auto" w:sz="4" w:space="0"/>
            </w:tcBorders>
            <w:vAlign w:val="center"/>
          </w:tcPr>
          <w:p w14:paraId="4CDBCA74">
            <w:pPr>
              <w:autoSpaceDE w:val="0"/>
              <w:autoSpaceDN w:val="0"/>
              <w:adjustRightInd w:val="0"/>
              <w:spacing w:line="360" w:lineRule="auto"/>
              <w:jc w:val="center"/>
              <w:rPr>
                <w:rFonts w:hint="eastAsia" w:ascii="宋体" w:hAnsi="宋体"/>
                <w:kern w:val="0"/>
                <w:sz w:val="24"/>
              </w:rPr>
            </w:pPr>
            <w:r>
              <w:rPr>
                <w:rFonts w:hint="eastAsia" w:ascii="宋体" w:hAnsi="宋体" w:cs="宋体"/>
                <w:kern w:val="0"/>
                <w:sz w:val="24"/>
                <w:lang w:val="zh-CN"/>
              </w:rPr>
              <w:t>序号</w:t>
            </w:r>
          </w:p>
        </w:tc>
        <w:tc>
          <w:tcPr>
            <w:tcW w:w="7655" w:type="dxa"/>
            <w:tcBorders>
              <w:top w:val="single" w:color="auto" w:sz="4" w:space="0"/>
              <w:left w:val="single" w:color="auto" w:sz="4" w:space="0"/>
              <w:bottom w:val="single" w:color="auto" w:sz="4" w:space="0"/>
              <w:right w:val="single" w:color="auto" w:sz="4" w:space="0"/>
            </w:tcBorders>
            <w:vAlign w:val="center"/>
          </w:tcPr>
          <w:p w14:paraId="26F29644">
            <w:pPr>
              <w:autoSpaceDE w:val="0"/>
              <w:autoSpaceDN w:val="0"/>
              <w:adjustRightInd w:val="0"/>
              <w:spacing w:line="360" w:lineRule="auto"/>
              <w:jc w:val="center"/>
              <w:rPr>
                <w:rFonts w:hint="eastAsia" w:ascii="宋体" w:hAnsi="宋体"/>
                <w:kern w:val="0"/>
                <w:sz w:val="24"/>
              </w:rPr>
            </w:pPr>
            <w:r>
              <w:rPr>
                <w:rFonts w:hint="eastAsia" w:ascii="宋体" w:hAnsi="宋体" w:cs="宋体"/>
                <w:kern w:val="0"/>
                <w:sz w:val="24"/>
                <w:lang w:val="zh-CN"/>
              </w:rPr>
              <w:t>说明与要求</w:t>
            </w:r>
          </w:p>
        </w:tc>
      </w:tr>
      <w:tr w14:paraId="12747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1134" w:type="dxa"/>
            <w:tcBorders>
              <w:top w:val="single" w:color="auto" w:sz="4" w:space="0"/>
              <w:left w:val="single" w:color="auto" w:sz="4" w:space="0"/>
              <w:bottom w:val="single" w:color="auto" w:sz="4" w:space="0"/>
              <w:right w:val="single" w:color="auto" w:sz="4" w:space="0"/>
            </w:tcBorders>
            <w:vAlign w:val="center"/>
          </w:tcPr>
          <w:p w14:paraId="6FE54B35">
            <w:pPr>
              <w:autoSpaceDE w:val="0"/>
              <w:autoSpaceDN w:val="0"/>
              <w:adjustRightInd w:val="0"/>
              <w:spacing w:line="360" w:lineRule="auto"/>
              <w:jc w:val="center"/>
              <w:rPr>
                <w:rFonts w:hint="eastAsia" w:ascii="宋体" w:hAnsi="宋体"/>
                <w:kern w:val="0"/>
                <w:sz w:val="24"/>
              </w:rPr>
            </w:pPr>
            <w:r>
              <w:rPr>
                <w:rFonts w:ascii="宋体" w:hAnsi="宋体"/>
                <w:kern w:val="0"/>
                <w:sz w:val="24"/>
              </w:rPr>
              <w:t>1</w:t>
            </w:r>
          </w:p>
        </w:tc>
        <w:tc>
          <w:tcPr>
            <w:tcW w:w="7655" w:type="dxa"/>
            <w:tcBorders>
              <w:top w:val="single" w:color="auto" w:sz="4" w:space="0"/>
              <w:left w:val="single" w:color="auto" w:sz="4" w:space="0"/>
              <w:bottom w:val="single" w:color="auto" w:sz="4" w:space="0"/>
              <w:right w:val="single" w:color="auto" w:sz="4" w:space="0"/>
            </w:tcBorders>
            <w:vAlign w:val="center"/>
          </w:tcPr>
          <w:p w14:paraId="4A83249E">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采购人：</w:t>
            </w:r>
            <w:r>
              <w:rPr>
                <w:rFonts w:hint="eastAsia" w:ascii="宋体" w:hAnsi="宋体"/>
                <w:kern w:val="0"/>
                <w:sz w:val="24"/>
                <w:lang w:val="zh-CN"/>
              </w:rPr>
              <w:t>中国科学院华南植物园</w:t>
            </w:r>
            <w:r>
              <w:rPr>
                <w:rFonts w:hint="eastAsia" w:ascii="宋体" w:hAnsi="宋体"/>
                <w:kern w:val="0"/>
                <w:sz w:val="24"/>
              </w:rPr>
              <w:t xml:space="preserve">                            </w:t>
            </w:r>
          </w:p>
          <w:p w14:paraId="24209EB0">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采购代理机构：东方国际招标有限责任公司</w:t>
            </w:r>
          </w:p>
        </w:tc>
      </w:tr>
      <w:tr w14:paraId="54B4EE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1134" w:type="dxa"/>
            <w:tcBorders>
              <w:top w:val="single" w:color="auto" w:sz="4" w:space="0"/>
              <w:left w:val="single" w:color="auto" w:sz="4" w:space="0"/>
              <w:bottom w:val="single" w:color="auto" w:sz="4" w:space="0"/>
              <w:right w:val="single" w:color="auto" w:sz="4" w:space="0"/>
            </w:tcBorders>
            <w:vAlign w:val="center"/>
          </w:tcPr>
          <w:p w14:paraId="1A347FBE">
            <w:pPr>
              <w:autoSpaceDE w:val="0"/>
              <w:autoSpaceDN w:val="0"/>
              <w:adjustRightInd w:val="0"/>
              <w:spacing w:line="360" w:lineRule="auto"/>
              <w:jc w:val="center"/>
              <w:rPr>
                <w:rFonts w:hint="eastAsia" w:ascii="宋体" w:hAnsi="宋体"/>
                <w:kern w:val="0"/>
                <w:sz w:val="24"/>
              </w:rPr>
            </w:pPr>
            <w:r>
              <w:rPr>
                <w:rFonts w:ascii="宋体" w:hAnsi="宋体"/>
                <w:kern w:val="0"/>
                <w:sz w:val="24"/>
              </w:rPr>
              <w:t>2</w:t>
            </w:r>
          </w:p>
        </w:tc>
        <w:tc>
          <w:tcPr>
            <w:tcW w:w="7655" w:type="dxa"/>
            <w:tcBorders>
              <w:top w:val="single" w:color="auto" w:sz="4" w:space="0"/>
              <w:left w:val="single" w:color="auto" w:sz="4" w:space="0"/>
              <w:bottom w:val="single" w:color="auto" w:sz="4" w:space="0"/>
              <w:right w:val="single" w:color="auto" w:sz="4" w:space="0"/>
            </w:tcBorders>
            <w:vAlign w:val="center"/>
          </w:tcPr>
          <w:p w14:paraId="6B15551E">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采购代理机构（招标代理机构）：东方国际招标有限责任公司</w:t>
            </w:r>
          </w:p>
          <w:p w14:paraId="2C6F4979">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地址：</w:t>
            </w:r>
            <w:r>
              <w:rPr>
                <w:rFonts w:hint="eastAsia" w:ascii="宋体" w:hAnsi="宋体" w:cs="宋体"/>
                <w:bCs/>
                <w:kern w:val="0"/>
                <w:sz w:val="24"/>
                <w:lang w:val="zh-CN"/>
              </w:rPr>
              <w:t>北京市海淀区丹棱街1号互联网金融中心20层</w:t>
            </w:r>
          </w:p>
          <w:p w14:paraId="44627E40">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邮编：1000</w:t>
            </w:r>
            <w:r>
              <w:rPr>
                <w:rFonts w:hint="eastAsia" w:ascii="宋体" w:hAnsi="宋体" w:cs="宋体"/>
                <w:kern w:val="0"/>
                <w:sz w:val="24"/>
              </w:rPr>
              <w:t>80</w:t>
            </w:r>
          </w:p>
          <w:p w14:paraId="1192282E">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联系人：迟兆洋、叶明、林杨婷</w:t>
            </w:r>
            <w:r>
              <w:rPr>
                <w:rFonts w:hint="eastAsia" w:ascii="宋体" w:hAnsi="宋体" w:cs="宋体"/>
                <w:kern w:val="0"/>
                <w:sz w:val="24"/>
              </w:rPr>
              <w:t xml:space="preserve">  </w:t>
            </w:r>
          </w:p>
          <w:p w14:paraId="2F1C38C4">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电话：</w:t>
            </w:r>
            <w:r>
              <w:rPr>
                <w:rFonts w:hint="eastAsia" w:ascii="宋体" w:hAnsi="宋体" w:cs="宋体"/>
                <w:bCs/>
                <w:kern w:val="0"/>
                <w:sz w:val="24"/>
              </w:rPr>
              <w:t>020-87001523</w:t>
            </w:r>
          </w:p>
          <w:p w14:paraId="68BA78B0">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传真：</w:t>
            </w:r>
            <w:r>
              <w:rPr>
                <w:rFonts w:ascii="宋体" w:hAnsi="宋体" w:cs="宋体"/>
                <w:bCs/>
                <w:kern w:val="0"/>
                <w:sz w:val="24"/>
                <w:lang w:val="zh-CN"/>
              </w:rPr>
              <w:t>010-50828550</w:t>
            </w:r>
          </w:p>
        </w:tc>
      </w:tr>
      <w:tr w14:paraId="75AEBA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134" w:type="dxa"/>
            <w:tcBorders>
              <w:top w:val="single" w:color="auto" w:sz="4" w:space="0"/>
              <w:left w:val="single" w:color="auto" w:sz="4" w:space="0"/>
              <w:bottom w:val="single" w:color="auto" w:sz="4" w:space="0"/>
              <w:right w:val="single" w:color="auto" w:sz="4" w:space="0"/>
            </w:tcBorders>
            <w:vAlign w:val="center"/>
          </w:tcPr>
          <w:p w14:paraId="3C361F0C">
            <w:pPr>
              <w:autoSpaceDE w:val="0"/>
              <w:autoSpaceDN w:val="0"/>
              <w:adjustRightInd w:val="0"/>
              <w:spacing w:line="360" w:lineRule="auto"/>
              <w:jc w:val="center"/>
              <w:rPr>
                <w:rFonts w:hint="eastAsia" w:ascii="宋体" w:hAnsi="宋体"/>
                <w:kern w:val="0"/>
                <w:sz w:val="24"/>
              </w:rPr>
            </w:pPr>
            <w:r>
              <w:rPr>
                <w:rFonts w:ascii="宋体" w:hAnsi="宋体"/>
                <w:kern w:val="0"/>
                <w:sz w:val="24"/>
              </w:rPr>
              <w:t>3</w:t>
            </w:r>
          </w:p>
        </w:tc>
        <w:tc>
          <w:tcPr>
            <w:tcW w:w="7655" w:type="dxa"/>
            <w:tcBorders>
              <w:top w:val="single" w:color="auto" w:sz="4" w:space="0"/>
              <w:left w:val="single" w:color="auto" w:sz="4" w:space="0"/>
              <w:bottom w:val="single" w:color="auto" w:sz="4" w:space="0"/>
              <w:right w:val="single" w:color="auto" w:sz="4" w:space="0"/>
            </w:tcBorders>
            <w:vAlign w:val="center"/>
          </w:tcPr>
          <w:p w14:paraId="0351D6EC">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资金来源：财政性拨款经费，已落实。</w:t>
            </w:r>
          </w:p>
        </w:tc>
      </w:tr>
      <w:tr w14:paraId="48158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1" w:hRule="atLeast"/>
        </w:trPr>
        <w:tc>
          <w:tcPr>
            <w:tcW w:w="1134" w:type="dxa"/>
            <w:tcBorders>
              <w:top w:val="single" w:color="auto" w:sz="4" w:space="0"/>
              <w:left w:val="single" w:color="auto" w:sz="4" w:space="0"/>
              <w:bottom w:val="single" w:color="auto" w:sz="4" w:space="0"/>
              <w:right w:val="single" w:color="auto" w:sz="4" w:space="0"/>
            </w:tcBorders>
            <w:vAlign w:val="center"/>
          </w:tcPr>
          <w:p w14:paraId="4B3F5F99">
            <w:pPr>
              <w:autoSpaceDE w:val="0"/>
              <w:autoSpaceDN w:val="0"/>
              <w:adjustRightInd w:val="0"/>
              <w:spacing w:line="360" w:lineRule="auto"/>
              <w:jc w:val="center"/>
              <w:rPr>
                <w:rFonts w:hint="eastAsia" w:ascii="宋体" w:hAnsi="宋体"/>
                <w:kern w:val="0"/>
                <w:sz w:val="24"/>
              </w:rPr>
            </w:pPr>
            <w:r>
              <w:rPr>
                <w:rFonts w:ascii="宋体" w:hAnsi="宋体"/>
                <w:kern w:val="0"/>
                <w:sz w:val="24"/>
              </w:rPr>
              <w:t>4</w:t>
            </w:r>
          </w:p>
        </w:tc>
        <w:tc>
          <w:tcPr>
            <w:tcW w:w="7655" w:type="dxa"/>
            <w:tcBorders>
              <w:top w:val="single" w:color="auto" w:sz="4" w:space="0"/>
              <w:left w:val="single" w:color="auto" w:sz="4" w:space="0"/>
              <w:bottom w:val="single" w:color="auto" w:sz="4" w:space="0"/>
              <w:right w:val="single" w:color="auto" w:sz="4" w:space="0"/>
            </w:tcBorders>
            <w:vAlign w:val="center"/>
          </w:tcPr>
          <w:p w14:paraId="5943471F">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项目名称：中国科学院华南植物园多通道长期监测荧光仪等5台仪器设备采购项目</w:t>
            </w:r>
          </w:p>
          <w:p w14:paraId="050C689A">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招标内容：详见招标文件项目需求</w:t>
            </w:r>
          </w:p>
        </w:tc>
      </w:tr>
      <w:tr w14:paraId="47EABD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134" w:type="dxa"/>
            <w:tcBorders>
              <w:top w:val="single" w:color="auto" w:sz="4" w:space="0"/>
              <w:left w:val="single" w:color="auto" w:sz="4" w:space="0"/>
              <w:bottom w:val="single" w:color="auto" w:sz="4" w:space="0"/>
              <w:right w:val="single" w:color="auto" w:sz="4" w:space="0"/>
            </w:tcBorders>
            <w:vAlign w:val="center"/>
          </w:tcPr>
          <w:p w14:paraId="7C8846C9">
            <w:pPr>
              <w:autoSpaceDE w:val="0"/>
              <w:autoSpaceDN w:val="0"/>
              <w:adjustRightInd w:val="0"/>
              <w:spacing w:line="360" w:lineRule="auto"/>
              <w:jc w:val="center"/>
              <w:rPr>
                <w:rFonts w:hint="eastAsia" w:ascii="宋体" w:hAnsi="宋体"/>
                <w:kern w:val="0"/>
                <w:sz w:val="24"/>
              </w:rPr>
            </w:pPr>
            <w:r>
              <w:rPr>
                <w:rFonts w:ascii="宋体" w:hAnsi="宋体"/>
                <w:kern w:val="0"/>
                <w:sz w:val="24"/>
              </w:rPr>
              <w:t>5</w:t>
            </w:r>
          </w:p>
        </w:tc>
        <w:tc>
          <w:tcPr>
            <w:tcW w:w="7655" w:type="dxa"/>
            <w:tcBorders>
              <w:top w:val="single" w:color="auto" w:sz="4" w:space="0"/>
              <w:left w:val="single" w:color="auto" w:sz="4" w:space="0"/>
              <w:bottom w:val="single" w:color="auto" w:sz="4" w:space="0"/>
              <w:right w:val="single" w:color="auto" w:sz="4" w:space="0"/>
            </w:tcBorders>
            <w:vAlign w:val="center"/>
          </w:tcPr>
          <w:p w14:paraId="131080A3">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合格的投标人资格：</w:t>
            </w:r>
          </w:p>
          <w:p w14:paraId="7B23AB2D">
            <w:pPr>
              <w:adjustRightInd w:val="0"/>
              <w:snapToGrid w:val="0"/>
              <w:spacing w:line="360" w:lineRule="auto"/>
              <w:rPr>
                <w:rFonts w:hint="eastAsia" w:ascii="宋体" w:hAnsi="宋体"/>
                <w:sz w:val="24"/>
              </w:rPr>
            </w:pPr>
            <w:r>
              <w:rPr>
                <w:rFonts w:hint="eastAsia" w:ascii="宋体" w:hAnsi="宋体"/>
                <w:sz w:val="24"/>
              </w:rPr>
              <w:t>1）符合“《中华人民共和国政府采购法》第二十二条要求”；</w:t>
            </w:r>
          </w:p>
          <w:p w14:paraId="226AE5DF">
            <w:pPr>
              <w:adjustRightInd w:val="0"/>
              <w:snapToGrid w:val="0"/>
              <w:spacing w:line="360" w:lineRule="auto"/>
              <w:rPr>
                <w:rFonts w:hint="eastAsia" w:ascii="宋体" w:hAnsi="宋体"/>
                <w:sz w:val="24"/>
              </w:rPr>
            </w:pPr>
            <w:r>
              <w:rPr>
                <w:rFonts w:hint="eastAsia" w:ascii="宋体" w:hAnsi="宋体"/>
                <w:sz w:val="24"/>
              </w:rPr>
              <w:t>2）</w:t>
            </w:r>
            <w:r>
              <w:rPr>
                <w:rFonts w:hint="eastAsia" w:ascii="宋体" w:hAnsi="宋体" w:cs="宋体"/>
                <w:sz w:val="24"/>
                <w:lang w:bidi="ar"/>
              </w:rPr>
              <w:t>在中华人民共和国境内依法注册的，具有独立承担民事责任能力，遵守国家法律法规，具有良好信誉，具有履行合同能力和良好的履行合同的记录，具有良好资金、财务状况的企事业法人、其他组织或者自然人</w:t>
            </w:r>
            <w:r>
              <w:rPr>
                <w:rFonts w:hint="eastAsia" w:ascii="宋体" w:hAnsi="宋体"/>
                <w:sz w:val="24"/>
              </w:rPr>
              <w:t>；</w:t>
            </w:r>
          </w:p>
          <w:p w14:paraId="7A014DB0">
            <w:pPr>
              <w:adjustRightInd w:val="0"/>
              <w:snapToGrid w:val="0"/>
              <w:spacing w:line="360" w:lineRule="auto"/>
              <w:rPr>
                <w:rFonts w:hint="eastAsia" w:ascii="宋体" w:hAnsi="宋体"/>
                <w:sz w:val="24"/>
              </w:rPr>
            </w:pPr>
            <w:r>
              <w:rPr>
                <w:rFonts w:hint="eastAsia" w:ascii="宋体" w:hAnsi="宋体"/>
                <w:sz w:val="24"/>
              </w:rPr>
              <w:t>3）</w:t>
            </w:r>
            <w:r>
              <w:rPr>
                <w:rFonts w:hint="eastAsia" w:ascii="宋体" w:hAnsi="宋体" w:cs="宋体"/>
                <w:bCs/>
                <w:kern w:val="0"/>
                <w:sz w:val="24"/>
              </w:rPr>
              <w:t>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r>
              <w:rPr>
                <w:rFonts w:hint="eastAsia" w:ascii="宋体" w:hAnsi="宋体"/>
                <w:sz w:val="24"/>
              </w:rPr>
              <w:t>；</w:t>
            </w:r>
          </w:p>
          <w:p w14:paraId="1F0E4330">
            <w:pPr>
              <w:adjustRightInd w:val="0"/>
              <w:snapToGrid w:val="0"/>
              <w:spacing w:line="360" w:lineRule="auto"/>
              <w:rPr>
                <w:rFonts w:hint="eastAsia" w:ascii="宋体" w:hAnsi="宋体"/>
                <w:sz w:val="24"/>
              </w:rPr>
            </w:pPr>
            <w:r>
              <w:rPr>
                <w:rFonts w:hint="eastAsia" w:ascii="宋体" w:hAnsi="宋体"/>
                <w:sz w:val="24"/>
              </w:rPr>
              <w:t>4）投标单位负责人为同一人或者存在直接控股、管理关系的不同供应商，不得参加同一合同项下的政府采购活动；</w:t>
            </w:r>
          </w:p>
          <w:p w14:paraId="013451CC">
            <w:pPr>
              <w:adjustRightInd w:val="0"/>
              <w:snapToGrid w:val="0"/>
              <w:spacing w:line="360" w:lineRule="auto"/>
              <w:rPr>
                <w:rFonts w:hint="eastAsia" w:ascii="宋体" w:hAnsi="宋体"/>
                <w:sz w:val="24"/>
              </w:rPr>
            </w:pPr>
            <w:r>
              <w:rPr>
                <w:rFonts w:hint="eastAsia" w:ascii="宋体" w:hAnsi="宋体"/>
                <w:sz w:val="24"/>
              </w:rPr>
              <w:t>5）按本投标邀请的规定获取招标文件；</w:t>
            </w:r>
          </w:p>
          <w:p w14:paraId="4F32ABEA">
            <w:pPr>
              <w:adjustRightInd w:val="0"/>
              <w:snapToGrid w:val="0"/>
              <w:spacing w:line="360" w:lineRule="auto"/>
              <w:rPr>
                <w:rFonts w:hint="eastAsia" w:ascii="宋体" w:hAnsi="宋体"/>
                <w:sz w:val="24"/>
              </w:rPr>
            </w:pPr>
            <w:r>
              <w:rPr>
                <w:rFonts w:hint="eastAsia" w:ascii="宋体" w:hAnsi="宋体"/>
                <w:sz w:val="24"/>
              </w:rPr>
              <w:t>6）本项目不接受联合体投标；</w:t>
            </w:r>
          </w:p>
          <w:p w14:paraId="3CBB3BF4">
            <w:pPr>
              <w:widowControl/>
              <w:tabs>
                <w:tab w:val="left" w:pos="900"/>
                <w:tab w:val="left" w:pos="8640"/>
              </w:tabs>
              <w:adjustRightInd w:val="0"/>
              <w:snapToGrid w:val="0"/>
              <w:spacing w:line="360" w:lineRule="auto"/>
              <w:rPr>
                <w:rFonts w:hint="eastAsia" w:ascii="宋体" w:hAnsi="宋体" w:cs="宋体"/>
                <w:bCs/>
                <w:kern w:val="0"/>
                <w:sz w:val="24"/>
              </w:rPr>
            </w:pPr>
            <w:r>
              <w:rPr>
                <w:rFonts w:hint="eastAsia" w:ascii="宋体" w:hAnsi="宋体" w:cs="宋体"/>
                <w:bCs/>
                <w:kern w:val="0"/>
                <w:sz w:val="24"/>
              </w:rPr>
              <w:t>7）本项目不允许分包和转包；</w:t>
            </w:r>
          </w:p>
          <w:p w14:paraId="65FA21AC">
            <w:pPr>
              <w:autoSpaceDE w:val="0"/>
              <w:autoSpaceDN w:val="0"/>
              <w:adjustRightInd w:val="0"/>
              <w:spacing w:line="360" w:lineRule="auto"/>
              <w:ind w:left="-109" w:leftChars="-52" w:firstLine="120" w:firstLineChars="50"/>
              <w:jc w:val="left"/>
              <w:rPr>
                <w:rFonts w:hint="eastAsia" w:ascii="宋体" w:hAnsi="宋体"/>
                <w:kern w:val="0"/>
                <w:sz w:val="24"/>
              </w:rPr>
            </w:pPr>
            <w:r>
              <w:rPr>
                <w:rFonts w:hint="eastAsia" w:ascii="宋体" w:hAnsi="宋体"/>
                <w:sz w:val="24"/>
              </w:rPr>
              <w:t>8）投标人不得为列入失信被执行人、重大税收违法案件当事人名单、政府采购严重违法失信行为记录名单的供应商。（注1）</w:t>
            </w:r>
          </w:p>
        </w:tc>
      </w:tr>
      <w:tr w14:paraId="2F741E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1134" w:type="dxa"/>
            <w:tcBorders>
              <w:top w:val="single" w:color="auto" w:sz="4" w:space="0"/>
              <w:left w:val="single" w:color="auto" w:sz="4" w:space="0"/>
              <w:bottom w:val="single" w:color="auto" w:sz="4" w:space="0"/>
              <w:right w:val="single" w:color="auto" w:sz="4" w:space="0"/>
            </w:tcBorders>
            <w:vAlign w:val="center"/>
          </w:tcPr>
          <w:p w14:paraId="1381D2B3">
            <w:pPr>
              <w:autoSpaceDE w:val="0"/>
              <w:autoSpaceDN w:val="0"/>
              <w:adjustRightInd w:val="0"/>
              <w:spacing w:line="360" w:lineRule="auto"/>
              <w:jc w:val="center"/>
              <w:rPr>
                <w:rFonts w:hint="eastAsia" w:ascii="宋体" w:hAnsi="宋体"/>
                <w:kern w:val="0"/>
                <w:sz w:val="24"/>
              </w:rPr>
            </w:pPr>
            <w:r>
              <w:rPr>
                <w:rFonts w:ascii="宋体" w:hAnsi="宋体"/>
                <w:kern w:val="0"/>
                <w:sz w:val="24"/>
              </w:rPr>
              <w:t>6</w:t>
            </w:r>
          </w:p>
        </w:tc>
        <w:tc>
          <w:tcPr>
            <w:tcW w:w="7655" w:type="dxa"/>
            <w:tcBorders>
              <w:top w:val="single" w:color="auto" w:sz="4" w:space="0"/>
              <w:left w:val="single" w:color="auto" w:sz="4" w:space="0"/>
              <w:bottom w:val="single" w:color="auto" w:sz="4" w:space="0"/>
              <w:right w:val="single" w:color="auto" w:sz="4" w:space="0"/>
            </w:tcBorders>
            <w:vAlign w:val="center"/>
          </w:tcPr>
          <w:p w14:paraId="767CDE96">
            <w:pPr>
              <w:autoSpaceDE w:val="0"/>
              <w:autoSpaceDN w:val="0"/>
              <w:adjustRightInd w:val="0"/>
              <w:spacing w:line="360" w:lineRule="auto"/>
              <w:rPr>
                <w:rFonts w:hint="eastAsia" w:ascii="宋体" w:hAnsi="宋体" w:cs="宋体"/>
                <w:kern w:val="0"/>
                <w:sz w:val="24"/>
                <w:lang w:val="zh-CN"/>
              </w:rPr>
            </w:pPr>
            <w:r>
              <w:rPr>
                <w:rFonts w:hint="eastAsia" w:ascii="宋体" w:hAnsi="宋体" w:cs="宋体"/>
                <w:kern w:val="0"/>
                <w:sz w:val="24"/>
                <w:lang w:val="zh-CN"/>
              </w:rPr>
              <w:t>投标人须以包为单位对包中全部内容进行投标，不得拆分，否则其投标将被拒绝。评标、授标以包为单位。</w:t>
            </w:r>
          </w:p>
        </w:tc>
      </w:tr>
      <w:tr w14:paraId="36F2E0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14B842C2">
            <w:pPr>
              <w:autoSpaceDE w:val="0"/>
              <w:autoSpaceDN w:val="0"/>
              <w:adjustRightInd w:val="0"/>
              <w:spacing w:line="360" w:lineRule="auto"/>
              <w:jc w:val="center"/>
              <w:rPr>
                <w:rFonts w:hint="eastAsia" w:ascii="宋体" w:hAnsi="宋体"/>
                <w:kern w:val="0"/>
                <w:sz w:val="24"/>
              </w:rPr>
            </w:pPr>
            <w:r>
              <w:rPr>
                <w:rFonts w:ascii="宋体" w:hAnsi="宋体"/>
                <w:kern w:val="0"/>
                <w:sz w:val="24"/>
              </w:rPr>
              <w:t>7</w:t>
            </w:r>
          </w:p>
        </w:tc>
        <w:tc>
          <w:tcPr>
            <w:tcW w:w="7655" w:type="dxa"/>
            <w:tcBorders>
              <w:top w:val="single" w:color="auto" w:sz="4" w:space="0"/>
              <w:left w:val="single" w:color="auto" w:sz="4" w:space="0"/>
              <w:bottom w:val="single" w:color="auto" w:sz="4" w:space="0"/>
              <w:right w:val="single" w:color="auto" w:sz="4" w:space="0"/>
            </w:tcBorders>
            <w:vAlign w:val="center"/>
          </w:tcPr>
          <w:p w14:paraId="7BE5BBFA">
            <w:pPr>
              <w:adjustRightInd w:val="0"/>
              <w:snapToGrid w:val="0"/>
              <w:spacing w:line="360" w:lineRule="auto"/>
              <w:rPr>
                <w:rFonts w:hint="eastAsia" w:ascii="宋体" w:hAnsi="宋体" w:cs="仿宋_GB2312"/>
                <w:sz w:val="24"/>
              </w:rPr>
            </w:pPr>
            <w:r>
              <w:rPr>
                <w:rFonts w:hint="eastAsia" w:ascii="宋体" w:hAnsi="宋体" w:cs="仿宋_GB2312"/>
                <w:sz w:val="24"/>
              </w:rPr>
              <w:t>现场踏勘：</w:t>
            </w:r>
          </w:p>
          <w:p w14:paraId="37696C2B">
            <w:pPr>
              <w:adjustRightInd w:val="0"/>
              <w:snapToGrid w:val="0"/>
              <w:spacing w:line="360" w:lineRule="auto"/>
              <w:rPr>
                <w:rFonts w:hint="eastAsia" w:ascii="宋体" w:hAnsi="宋体" w:cs="仿宋_GB2312"/>
                <w:sz w:val="24"/>
              </w:rPr>
            </w:pPr>
            <w:r>
              <w:rPr>
                <w:rFonts w:ascii="宋体" w:hAnsi="宋体" w:cs="仿宋_GB2312"/>
                <w:sz w:val="24"/>
              </w:rPr>
              <w:sym w:font="Wingdings 2" w:char="0052"/>
            </w:r>
            <w:r>
              <w:rPr>
                <w:rFonts w:hint="eastAsia" w:ascii="宋体" w:hAnsi="宋体" w:cs="仿宋_GB2312"/>
                <w:sz w:val="24"/>
              </w:rPr>
              <w:t>不组织</w:t>
            </w:r>
          </w:p>
          <w:p w14:paraId="62677B52">
            <w:pPr>
              <w:adjustRightInd w:val="0"/>
              <w:snapToGrid w:val="0"/>
              <w:spacing w:line="360" w:lineRule="auto"/>
              <w:rPr>
                <w:rFonts w:hint="eastAsia" w:ascii="宋体" w:hAnsi="宋体" w:cs="仿宋_GB2312"/>
                <w:b/>
                <w:bCs/>
                <w:sz w:val="24"/>
              </w:rPr>
            </w:pPr>
            <w:r>
              <w:rPr>
                <w:rFonts w:hint="eastAsia" w:ascii="宋体" w:hAnsi="宋体" w:cs="仿宋_GB2312"/>
                <w:sz w:val="24"/>
              </w:rPr>
              <w:t>□组织</w:t>
            </w:r>
          </w:p>
        </w:tc>
      </w:tr>
      <w:tr w14:paraId="22AF1A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1E9B043D">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8</w:t>
            </w:r>
          </w:p>
        </w:tc>
        <w:tc>
          <w:tcPr>
            <w:tcW w:w="7655" w:type="dxa"/>
            <w:tcBorders>
              <w:top w:val="single" w:color="auto" w:sz="4" w:space="0"/>
              <w:left w:val="single" w:color="auto" w:sz="4" w:space="0"/>
              <w:bottom w:val="single" w:color="auto" w:sz="4" w:space="0"/>
              <w:right w:val="single" w:color="auto" w:sz="4" w:space="0"/>
            </w:tcBorders>
            <w:vAlign w:val="center"/>
          </w:tcPr>
          <w:p w14:paraId="3BFE500F">
            <w:pPr>
              <w:adjustRightInd w:val="0"/>
              <w:snapToGrid w:val="0"/>
              <w:spacing w:line="360" w:lineRule="auto"/>
              <w:rPr>
                <w:rFonts w:hint="eastAsia" w:ascii="宋体" w:hAnsi="宋体" w:cs="仿宋_GB2312"/>
                <w:sz w:val="24"/>
              </w:rPr>
            </w:pPr>
            <w:r>
              <w:rPr>
                <w:rFonts w:hint="eastAsia" w:ascii="宋体" w:hAnsi="宋体" w:cs="仿宋_GB2312"/>
                <w:sz w:val="24"/>
              </w:rPr>
              <w:t>中标后分包或转包：</w:t>
            </w:r>
          </w:p>
          <w:p w14:paraId="26521642">
            <w:pPr>
              <w:adjustRightInd w:val="0"/>
              <w:snapToGrid w:val="0"/>
              <w:spacing w:line="360" w:lineRule="auto"/>
              <w:rPr>
                <w:rFonts w:hint="eastAsia" w:ascii="宋体" w:hAnsi="宋体" w:cs="仿宋_GB2312"/>
                <w:sz w:val="24"/>
              </w:rPr>
            </w:pPr>
            <w:r>
              <w:rPr>
                <w:rFonts w:ascii="宋体" w:hAnsi="宋体" w:cs="仿宋_GB2312"/>
                <w:sz w:val="24"/>
              </w:rPr>
              <w:sym w:font="Wingdings 2" w:char="0052"/>
            </w:r>
            <w:r>
              <w:rPr>
                <w:rFonts w:hint="eastAsia" w:ascii="宋体" w:hAnsi="宋体" w:cs="仿宋_GB2312"/>
                <w:sz w:val="24"/>
              </w:rPr>
              <w:t>不允许</w:t>
            </w:r>
          </w:p>
          <w:p w14:paraId="362CAE68">
            <w:pPr>
              <w:adjustRightInd w:val="0"/>
              <w:snapToGrid w:val="0"/>
              <w:spacing w:line="360" w:lineRule="auto"/>
              <w:rPr>
                <w:rFonts w:hint="eastAsia" w:ascii="宋体" w:hAnsi="宋体" w:cs="仿宋_GB2312"/>
                <w:sz w:val="24"/>
              </w:rPr>
            </w:pPr>
            <w:r>
              <w:rPr>
                <w:rFonts w:hint="eastAsia" w:ascii="宋体" w:hAnsi="宋体" w:cs="仿宋_GB2312"/>
                <w:sz w:val="24"/>
              </w:rPr>
              <w:t xml:space="preserve">□允许，分包内容要求：                 </w:t>
            </w:r>
          </w:p>
          <w:p w14:paraId="6B2B89BF">
            <w:pPr>
              <w:adjustRightInd w:val="0"/>
              <w:snapToGrid w:val="0"/>
              <w:spacing w:line="360" w:lineRule="auto"/>
              <w:rPr>
                <w:rFonts w:hint="eastAsia" w:ascii="宋体" w:hAnsi="宋体" w:cs="仿宋_GB2312"/>
                <w:sz w:val="24"/>
              </w:rPr>
            </w:pPr>
            <w:r>
              <w:rPr>
                <w:rFonts w:hint="eastAsia" w:ascii="宋体" w:hAnsi="宋体" w:cs="仿宋_GB2312"/>
                <w:sz w:val="24"/>
              </w:rPr>
              <w:t xml:space="preserve">        分包金额要求：                 </w:t>
            </w:r>
          </w:p>
          <w:p w14:paraId="0050468C">
            <w:pPr>
              <w:adjustRightInd w:val="0"/>
              <w:snapToGrid w:val="0"/>
              <w:spacing w:line="360" w:lineRule="auto"/>
              <w:rPr>
                <w:rFonts w:hint="eastAsia" w:ascii="宋体" w:hAnsi="宋体" w:cs="仿宋_GB2312"/>
                <w:sz w:val="24"/>
              </w:rPr>
            </w:pPr>
            <w:r>
              <w:rPr>
                <w:rFonts w:hint="eastAsia" w:ascii="宋体" w:hAnsi="宋体" w:cs="仿宋_GB2312"/>
                <w:sz w:val="24"/>
              </w:rPr>
              <w:t xml:space="preserve">        分包人资质要求：               </w:t>
            </w:r>
          </w:p>
        </w:tc>
      </w:tr>
      <w:tr w14:paraId="679E5B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3299E405">
            <w:pPr>
              <w:autoSpaceDE w:val="0"/>
              <w:autoSpaceDN w:val="0"/>
              <w:adjustRightInd w:val="0"/>
              <w:spacing w:line="360" w:lineRule="auto"/>
              <w:jc w:val="center"/>
              <w:rPr>
                <w:rFonts w:hint="eastAsia" w:ascii="宋体" w:hAnsi="宋体"/>
                <w:kern w:val="0"/>
                <w:sz w:val="24"/>
              </w:rPr>
            </w:pPr>
            <w:r>
              <w:rPr>
                <w:rFonts w:ascii="宋体" w:hAnsi="宋体"/>
                <w:kern w:val="0"/>
                <w:sz w:val="24"/>
              </w:rPr>
              <w:t>9</w:t>
            </w:r>
          </w:p>
        </w:tc>
        <w:tc>
          <w:tcPr>
            <w:tcW w:w="7655" w:type="dxa"/>
            <w:tcBorders>
              <w:top w:val="single" w:color="auto" w:sz="4" w:space="0"/>
              <w:left w:val="single" w:color="auto" w:sz="4" w:space="0"/>
              <w:bottom w:val="single" w:color="auto" w:sz="4" w:space="0"/>
              <w:right w:val="single" w:color="auto" w:sz="4" w:space="0"/>
            </w:tcBorders>
            <w:vAlign w:val="center"/>
          </w:tcPr>
          <w:p w14:paraId="54CD6B68">
            <w:pPr>
              <w:autoSpaceDE w:val="0"/>
              <w:autoSpaceDN w:val="0"/>
              <w:adjustRightInd w:val="0"/>
              <w:spacing w:line="360" w:lineRule="auto"/>
              <w:rPr>
                <w:rFonts w:hint="eastAsia" w:ascii="宋体" w:hAnsi="宋体" w:cs="宋体"/>
                <w:kern w:val="0"/>
                <w:sz w:val="24"/>
                <w:lang w:val="zh-CN"/>
              </w:rPr>
            </w:pPr>
            <w:r>
              <w:rPr>
                <w:rFonts w:hint="eastAsia" w:ascii="宋体" w:hAnsi="宋体" w:cs="宋体"/>
                <w:kern w:val="0"/>
                <w:sz w:val="24"/>
                <w:lang w:val="zh-CN"/>
              </w:rPr>
              <w:t>是否允许备选方案：否</w:t>
            </w:r>
          </w:p>
        </w:tc>
      </w:tr>
      <w:tr w14:paraId="05502F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412C450F">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w:t>
            </w:r>
            <w:r>
              <w:rPr>
                <w:rFonts w:ascii="宋体" w:hAnsi="宋体"/>
                <w:kern w:val="0"/>
                <w:sz w:val="24"/>
              </w:rPr>
              <w:t>10</w:t>
            </w:r>
          </w:p>
        </w:tc>
        <w:tc>
          <w:tcPr>
            <w:tcW w:w="7655" w:type="dxa"/>
            <w:tcBorders>
              <w:top w:val="single" w:color="auto" w:sz="4" w:space="0"/>
              <w:bottom w:val="single" w:color="auto" w:sz="4" w:space="0"/>
            </w:tcBorders>
            <w:vAlign w:val="center"/>
          </w:tcPr>
          <w:p w14:paraId="5A6239CC">
            <w:pPr>
              <w:pStyle w:val="14"/>
              <w:spacing w:line="360" w:lineRule="auto"/>
              <w:ind w:right="109" w:rightChars="52"/>
              <w:rPr>
                <w:rFonts w:hint="eastAsia" w:ascii="宋体" w:hAnsi="宋体" w:cs="仿宋_GB2312"/>
                <w:sz w:val="24"/>
              </w:rPr>
            </w:pPr>
            <w:r>
              <w:rPr>
                <w:rFonts w:hint="eastAsia" w:ascii="宋体" w:hAnsi="宋体"/>
                <w:sz w:val="24"/>
              </w:rPr>
              <w:t>投标货币：人民币</w:t>
            </w:r>
          </w:p>
        </w:tc>
      </w:tr>
      <w:tr w14:paraId="43039E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70460257">
            <w:pPr>
              <w:autoSpaceDE w:val="0"/>
              <w:autoSpaceDN w:val="0"/>
              <w:adjustRightInd w:val="0"/>
              <w:spacing w:line="360" w:lineRule="auto"/>
              <w:jc w:val="center"/>
              <w:rPr>
                <w:rFonts w:hint="eastAsia" w:ascii="宋体" w:hAnsi="宋体"/>
                <w:kern w:val="0"/>
                <w:sz w:val="24"/>
              </w:rPr>
            </w:pPr>
            <w:r>
              <w:rPr>
                <w:rFonts w:hint="eastAsia" w:ascii="宋体" w:hAnsi="宋体" w:cs="仿宋_GB2312"/>
                <w:sz w:val="24"/>
              </w:rPr>
              <w:t>★</w:t>
            </w:r>
            <w:r>
              <w:rPr>
                <w:rFonts w:ascii="宋体" w:hAnsi="宋体"/>
                <w:kern w:val="0"/>
                <w:sz w:val="24"/>
              </w:rPr>
              <w:t>11</w:t>
            </w:r>
          </w:p>
        </w:tc>
        <w:tc>
          <w:tcPr>
            <w:tcW w:w="7655" w:type="dxa"/>
            <w:tcBorders>
              <w:top w:val="single" w:color="auto" w:sz="4" w:space="0"/>
            </w:tcBorders>
            <w:vAlign w:val="center"/>
          </w:tcPr>
          <w:p w14:paraId="3AD31ADD">
            <w:pPr>
              <w:pStyle w:val="14"/>
              <w:spacing w:line="360" w:lineRule="auto"/>
              <w:ind w:right="109" w:rightChars="52"/>
              <w:rPr>
                <w:rFonts w:hint="default" w:ascii="宋体" w:hAnsi="宋体" w:eastAsia="宋体"/>
                <w:sz w:val="24"/>
                <w:lang w:val="en-US" w:eastAsia="zh-CN"/>
              </w:rPr>
            </w:pPr>
            <w:r>
              <w:rPr>
                <w:rFonts w:hint="eastAsia" w:ascii="宋体" w:hAnsi="宋体"/>
                <w:sz w:val="24"/>
                <w:lang w:val="en-US" w:eastAsia="zh-CN"/>
              </w:rPr>
              <w:t>第一包报价方式：</w:t>
            </w:r>
          </w:p>
          <w:p w14:paraId="4350837E">
            <w:pPr>
              <w:pStyle w:val="14"/>
              <w:spacing w:line="360" w:lineRule="auto"/>
              <w:ind w:right="109" w:rightChars="52"/>
              <w:rPr>
                <w:rFonts w:hint="eastAsia" w:ascii="宋体" w:hAnsi="宋体" w:eastAsia="宋体"/>
                <w:sz w:val="24"/>
                <w:lang w:eastAsia="zh-CN"/>
              </w:rPr>
            </w:pPr>
            <w:r>
              <w:rPr>
                <w:rFonts w:hint="eastAsia" w:ascii="宋体" w:hAnsi="宋体"/>
                <w:sz w:val="24"/>
              </w:rPr>
              <w:t>1)本项目</w:t>
            </w:r>
            <w:r>
              <w:rPr>
                <w:rFonts w:hint="eastAsia" w:ascii="宋体" w:hAnsi="宋体"/>
                <w:sz w:val="24"/>
                <w:lang w:val="en-US" w:eastAsia="zh-CN"/>
              </w:rPr>
              <w:t>第一包不</w:t>
            </w:r>
            <w:r>
              <w:rPr>
                <w:rFonts w:hint="eastAsia" w:ascii="宋体" w:hAnsi="宋体"/>
                <w:sz w:val="24"/>
              </w:rPr>
              <w:t>允许采购进口产品</w:t>
            </w:r>
            <w:r>
              <w:rPr>
                <w:rFonts w:hint="eastAsia" w:ascii="宋体" w:hAnsi="宋体"/>
                <w:sz w:val="24"/>
                <w:lang w:eastAsia="zh-CN"/>
              </w:rPr>
              <w:t>。</w:t>
            </w:r>
          </w:p>
          <w:p w14:paraId="6C6E5868">
            <w:pPr>
              <w:pStyle w:val="14"/>
              <w:spacing w:line="360" w:lineRule="auto"/>
              <w:ind w:right="109" w:rightChars="52"/>
              <w:rPr>
                <w:rFonts w:hint="default" w:ascii="宋体" w:hAnsi="宋体" w:eastAsia="宋体"/>
                <w:sz w:val="24"/>
                <w:lang w:val="en-US" w:eastAsia="zh-CN"/>
              </w:rPr>
            </w:pPr>
            <w:r>
              <w:rPr>
                <w:rFonts w:hint="eastAsia" w:ascii="宋体" w:hAnsi="宋体"/>
                <w:sz w:val="24"/>
              </w:rPr>
              <w:t>2)国产产品与服务报项目现场交货人民币价。投标价包含仪器设备的价款、包装、税费、运输、装卸、安装、调试、技术指导、培训、咨询、服务、保险、检测、验收合格交付使用之前以及技术和售后服务等其他各项有关费用。</w:t>
            </w:r>
          </w:p>
          <w:p w14:paraId="461271D1">
            <w:pPr>
              <w:pStyle w:val="14"/>
              <w:spacing w:line="360" w:lineRule="auto"/>
              <w:ind w:right="109" w:rightChars="52"/>
              <w:rPr>
                <w:rFonts w:hint="eastAsia" w:ascii="宋体" w:hAnsi="宋体"/>
                <w:sz w:val="24"/>
              </w:rPr>
            </w:pPr>
            <w:r>
              <w:rPr>
                <w:rFonts w:hint="eastAsia" w:ascii="宋体" w:hAnsi="宋体"/>
                <w:sz w:val="24"/>
              </w:rPr>
              <w:t>3)如评审委员会启动异常低价投标（响应）审查后，投标（响应）供应商不能提供书面说明、证明材料，或者提供的书面说明、证明材料不能证明其报价合理性的，评审委员会应当将其作为无效投标（响应）处理。</w:t>
            </w:r>
          </w:p>
          <w:p w14:paraId="0877EB26">
            <w:pPr>
              <w:pStyle w:val="14"/>
              <w:spacing w:line="360" w:lineRule="auto"/>
              <w:ind w:right="109" w:rightChars="52"/>
              <w:rPr>
                <w:rFonts w:hint="eastAsia" w:ascii="宋体" w:hAnsi="宋体"/>
                <w:sz w:val="24"/>
              </w:rPr>
            </w:pPr>
            <w:r>
              <w:rPr>
                <w:rFonts w:hint="eastAsia" w:ascii="宋体" w:hAnsi="宋体"/>
                <w:sz w:val="24"/>
              </w:rPr>
              <w:t>4)投标报价不得超过采购预算（如有最高限价则不得超出最高限价）。</w:t>
            </w:r>
          </w:p>
          <w:p w14:paraId="3E16EB6C">
            <w:pPr>
              <w:tabs>
                <w:tab w:val="left" w:pos="900"/>
              </w:tabs>
              <w:spacing w:line="360" w:lineRule="auto"/>
              <w:rPr>
                <w:rFonts w:hint="eastAsia" w:ascii="宋体" w:hAnsi="宋体" w:cs="仿宋_GB2312"/>
                <w:bCs/>
                <w:sz w:val="24"/>
                <w:lang w:val="en-US" w:eastAsia="zh-CN"/>
              </w:rPr>
            </w:pPr>
            <w:r>
              <w:rPr>
                <w:rFonts w:hint="eastAsia" w:ascii="宋体" w:hAnsi="宋体"/>
                <w:sz w:val="24"/>
                <w:lang w:val="en-US" w:eastAsia="zh-CN"/>
              </w:rPr>
              <w:t>第二、三、四包报价方式：</w:t>
            </w:r>
          </w:p>
          <w:p w14:paraId="5EE10CB8">
            <w:pPr>
              <w:tabs>
                <w:tab w:val="left" w:pos="900"/>
              </w:tabs>
              <w:spacing w:line="360" w:lineRule="auto"/>
              <w:rPr>
                <w:rFonts w:hint="eastAsia" w:ascii="宋体" w:hAnsi="宋体" w:cs="仿宋_GB2312"/>
                <w:sz w:val="24"/>
              </w:rPr>
            </w:pPr>
            <w:r>
              <w:rPr>
                <w:rFonts w:hint="eastAsia" w:ascii="宋体" w:hAnsi="宋体" w:cs="仿宋_GB2312"/>
                <w:bCs/>
                <w:sz w:val="24"/>
              </w:rPr>
              <w:t>1</w:t>
            </w:r>
            <w:r>
              <w:rPr>
                <w:rFonts w:hint="eastAsia" w:ascii="宋体" w:hAnsi="宋体" w:cs="仿宋_GB2312"/>
                <w:bCs/>
                <w:sz w:val="24"/>
                <w:lang w:eastAsia="zh-CN"/>
              </w:rPr>
              <w:t>）</w:t>
            </w:r>
            <w:r>
              <w:rPr>
                <w:rFonts w:hint="eastAsia" w:ascii="宋体" w:hAnsi="宋体" w:cs="仿宋_GB2312"/>
                <w:sz w:val="24"/>
              </w:rPr>
              <w:t>本项目</w:t>
            </w:r>
            <w:r>
              <w:rPr>
                <w:rFonts w:hint="eastAsia" w:ascii="宋体" w:hAnsi="宋体"/>
                <w:sz w:val="24"/>
                <w:lang w:val="en-US" w:eastAsia="zh-CN"/>
              </w:rPr>
              <w:t>第二、三、四包</w:t>
            </w:r>
            <w:r>
              <w:rPr>
                <w:rFonts w:hint="eastAsia" w:ascii="宋体" w:hAnsi="宋体" w:cs="仿宋_GB2312"/>
                <w:sz w:val="24"/>
              </w:rPr>
              <w:t>允许采购进口产品</w:t>
            </w:r>
            <w:r>
              <w:rPr>
                <w:rFonts w:hint="eastAsia" w:ascii="宋体" w:hAnsi="宋体" w:eastAsia="宋体" w:cs="仿宋_GB2312"/>
                <w:sz w:val="24"/>
              </w:rPr>
              <w:t>（进口产品是指</w:t>
            </w:r>
            <w:r>
              <w:rPr>
                <w:rFonts w:hint="eastAsia" w:ascii="宋体" w:hAnsi="宋体" w:eastAsia="宋体" w:cs="仿宋_GB2312"/>
                <w:sz w:val="24"/>
                <w:szCs w:val="24"/>
              </w:rPr>
              <w:t>通过中国海关报关验放进入中国境内且产自关境外的产品）</w:t>
            </w:r>
            <w:r>
              <w:rPr>
                <w:rFonts w:hint="eastAsia" w:ascii="宋体" w:hAnsi="宋体" w:cs="仿宋_GB2312"/>
                <w:sz w:val="24"/>
              </w:rPr>
              <w:t>，在</w:t>
            </w:r>
            <w:r>
              <w:rPr>
                <w:rFonts w:hint="eastAsia" w:ascii="宋体" w:hAnsi="宋体" w:eastAsia="宋体" w:cs="仿宋_GB2312"/>
                <w:sz w:val="24"/>
                <w:szCs w:val="24"/>
              </w:rPr>
              <w:t>中国关境外提供的</w:t>
            </w:r>
            <w:r>
              <w:rPr>
                <w:rFonts w:hint="eastAsia" w:ascii="宋体" w:hAnsi="宋体" w:cs="仿宋_GB2312"/>
                <w:sz w:val="24"/>
              </w:rPr>
              <w:t>进口产品与服务报CIP项目现场人民币价（</w:t>
            </w:r>
            <w:r>
              <w:rPr>
                <w:rFonts w:hint="eastAsia" w:ascii="宋体" w:hAnsi="宋体" w:eastAsia="宋体" w:cs="仿宋_GB2312"/>
                <w:sz w:val="24"/>
                <w:szCs w:val="24"/>
              </w:rPr>
              <w:t>不包括外贸代理费及应向中华人民共和国政府缴纳的进口环节税。</w:t>
            </w:r>
            <w:r>
              <w:rPr>
                <w:rFonts w:hint="eastAsia" w:ascii="宋体" w:hAnsi="宋体" w:eastAsia="宋体" w:cs="仿宋_GB2312"/>
                <w:sz w:val="24"/>
                <w:szCs w:val="24"/>
                <w:lang w:val="en-US" w:eastAsia="zh-CN"/>
              </w:rPr>
              <w:t>外贸代理费，清关杂费等由中标人承担。</w:t>
            </w:r>
            <w:r>
              <w:rPr>
                <w:rFonts w:hint="eastAsia" w:ascii="宋体" w:hAnsi="宋体" w:eastAsia="宋体" w:cs="仿宋_GB2312"/>
                <w:sz w:val="24"/>
                <w:szCs w:val="24"/>
              </w:rPr>
              <w:t>）</w:t>
            </w:r>
          </w:p>
          <w:p w14:paraId="30899F0C">
            <w:pPr>
              <w:tabs>
                <w:tab w:val="left" w:pos="900"/>
              </w:tabs>
              <w:spacing w:line="360" w:lineRule="auto"/>
              <w:rPr>
                <w:rFonts w:hint="eastAsia" w:ascii="宋体" w:hAnsi="宋体" w:eastAsia="宋体" w:cs="仿宋_GB2312"/>
                <w:sz w:val="24"/>
              </w:rPr>
            </w:pPr>
            <w:r>
              <w:rPr>
                <w:rFonts w:hint="eastAsia" w:ascii="宋体" w:hAnsi="宋体" w:eastAsia="宋体" w:cs="仿宋_GB2312"/>
                <w:sz w:val="24"/>
                <w:szCs w:val="24"/>
              </w:rPr>
              <w:t>2</w:t>
            </w:r>
            <w:r>
              <w:rPr>
                <w:rFonts w:hint="eastAsia" w:ascii="宋体" w:hAnsi="宋体" w:cs="仿宋_GB2312"/>
                <w:sz w:val="24"/>
                <w:szCs w:val="24"/>
                <w:lang w:eastAsia="zh-CN"/>
              </w:rPr>
              <w:t>）</w:t>
            </w:r>
            <w:r>
              <w:rPr>
                <w:rFonts w:hint="eastAsia" w:ascii="宋体" w:hAnsi="宋体" w:eastAsia="宋体" w:cs="仿宋_GB2312"/>
                <w:sz w:val="24"/>
                <w:szCs w:val="24"/>
              </w:rPr>
              <w:t>在中国关境内提供的进口产品及其有关服务的报项目现场人民币价。</w:t>
            </w:r>
            <w:r>
              <w:rPr>
                <w:rFonts w:hint="eastAsia" w:ascii="宋体" w:hAnsi="宋体" w:eastAsia="宋体" w:cs="仿宋_GB2312"/>
                <w:sz w:val="24"/>
              </w:rPr>
              <w:t>报价中需包括</w:t>
            </w:r>
            <w:r>
              <w:rPr>
                <w:rFonts w:hint="eastAsia" w:ascii="宋体" w:hAnsi="宋体" w:eastAsia="宋体" w:cs="仿宋_GB2312"/>
                <w:sz w:val="24"/>
                <w:szCs w:val="24"/>
              </w:rPr>
              <w:t>向中华人民共和国政府缴纳的进口环节税、运输费、保险费以及所有至项目现场的其他相关费用。</w:t>
            </w:r>
          </w:p>
          <w:p w14:paraId="10FA0CE7">
            <w:pPr>
              <w:tabs>
                <w:tab w:val="left" w:pos="900"/>
              </w:tabs>
              <w:spacing w:line="360" w:lineRule="auto"/>
              <w:rPr>
                <w:rFonts w:hint="eastAsia" w:ascii="宋体" w:hAnsi="宋体" w:cs="仿宋_GB2312"/>
                <w:sz w:val="24"/>
              </w:rPr>
            </w:pPr>
            <w:r>
              <w:rPr>
                <w:rFonts w:hint="eastAsia" w:ascii="宋体" w:hAnsi="宋体" w:cs="仿宋_GB2312"/>
                <w:sz w:val="24"/>
              </w:rPr>
              <w:t>3</w:t>
            </w:r>
            <w:r>
              <w:rPr>
                <w:rFonts w:hint="eastAsia" w:ascii="宋体" w:hAnsi="宋体" w:cs="仿宋_GB2312"/>
                <w:bCs/>
                <w:sz w:val="24"/>
                <w:lang w:eastAsia="zh-CN"/>
              </w:rPr>
              <w:t>）</w:t>
            </w:r>
            <w:r>
              <w:rPr>
                <w:rFonts w:hint="eastAsia" w:ascii="宋体" w:hAnsi="宋体" w:cs="仿宋_GB2312"/>
                <w:sz w:val="24"/>
              </w:rPr>
              <w:t>国产产品与服务报项目现场交货人民币价。报价中需包括制造、装配和发运货物所使用的材料、部件及货物本身已支付或将支付的产品税、销售税和其它税费。</w:t>
            </w:r>
          </w:p>
          <w:p w14:paraId="06A4F9CD">
            <w:pPr>
              <w:tabs>
                <w:tab w:val="left" w:pos="900"/>
              </w:tabs>
              <w:spacing w:line="360" w:lineRule="auto"/>
              <w:rPr>
                <w:rFonts w:hint="eastAsia" w:ascii="宋体" w:hAnsi="宋体" w:eastAsia="宋体" w:cs="仿宋_GB2312"/>
                <w:sz w:val="24"/>
              </w:rPr>
            </w:pPr>
            <w:r>
              <w:rPr>
                <w:rFonts w:hint="eastAsia" w:ascii="宋体" w:hAnsi="宋体" w:eastAsia="宋体" w:cs="仿宋_GB2312"/>
                <w:sz w:val="24"/>
                <w:szCs w:val="24"/>
              </w:rPr>
              <w:t>4</w:t>
            </w:r>
            <w:r>
              <w:rPr>
                <w:rFonts w:hint="eastAsia" w:ascii="宋体" w:hAnsi="宋体" w:cs="仿宋_GB2312"/>
                <w:bCs/>
                <w:sz w:val="24"/>
                <w:lang w:eastAsia="zh-CN"/>
              </w:rPr>
              <w:t>）</w:t>
            </w:r>
            <w:r>
              <w:rPr>
                <w:rFonts w:hint="eastAsia" w:ascii="宋体" w:hAnsi="宋体" w:eastAsia="宋体" w:cs="仿宋_GB2312"/>
                <w:sz w:val="24"/>
                <w:szCs w:val="24"/>
              </w:rPr>
              <w:t>在中国境内的海关特殊监管区域内生产或加工销往境内其他地区的产品，不视为政府采购项下的进口产品，但报价要求同1</w:t>
            </w:r>
            <w:r>
              <w:rPr>
                <w:rFonts w:hint="eastAsia" w:ascii="宋体" w:hAnsi="宋体" w:cs="仿宋_GB2312"/>
                <w:sz w:val="24"/>
                <w:szCs w:val="24"/>
                <w:lang w:eastAsia="zh-CN"/>
              </w:rPr>
              <w:t>）</w:t>
            </w:r>
            <w:r>
              <w:rPr>
                <w:rFonts w:hint="eastAsia" w:ascii="宋体" w:hAnsi="宋体" w:eastAsia="宋体" w:cs="仿宋_GB2312"/>
                <w:sz w:val="24"/>
                <w:szCs w:val="24"/>
              </w:rPr>
              <w:t>。</w:t>
            </w:r>
          </w:p>
          <w:p w14:paraId="28A6810C">
            <w:pPr>
              <w:adjustRightInd w:val="0"/>
              <w:snapToGrid w:val="0"/>
              <w:spacing w:line="360" w:lineRule="auto"/>
              <w:rPr>
                <w:rFonts w:hint="default" w:ascii="宋体" w:hAnsi="宋体" w:eastAsia="宋体" w:cs="仿宋_GB2312"/>
                <w:bCs/>
                <w:sz w:val="24"/>
                <w:lang w:val="en-US" w:eastAsia="zh-CN"/>
              </w:rPr>
            </w:pPr>
            <w:r>
              <w:rPr>
                <w:rFonts w:hint="eastAsia" w:ascii="宋体" w:hAnsi="宋体" w:cs="仿宋_GB2312"/>
                <w:bCs/>
                <w:sz w:val="24"/>
              </w:rPr>
              <w:t>5</w:t>
            </w:r>
            <w:r>
              <w:rPr>
                <w:rFonts w:hint="eastAsia" w:ascii="宋体" w:hAnsi="宋体" w:cs="仿宋_GB2312"/>
                <w:bCs/>
                <w:sz w:val="24"/>
                <w:lang w:eastAsia="zh-CN"/>
              </w:rPr>
              <w:t>）</w:t>
            </w:r>
            <w:r>
              <w:rPr>
                <w:rFonts w:hint="eastAsia" w:ascii="宋体" w:hAnsi="宋体" w:cs="仿宋_GB2312"/>
                <w:bCs/>
                <w:sz w:val="24"/>
              </w:rPr>
              <w:t>上述价格的构成须按在分项报价表中格式要求详细列出。</w:t>
            </w:r>
          </w:p>
          <w:p w14:paraId="3A3D0A55">
            <w:pPr>
              <w:tabs>
                <w:tab w:val="left" w:pos="0"/>
              </w:tabs>
              <w:autoSpaceDE w:val="0"/>
              <w:autoSpaceDN w:val="0"/>
              <w:adjustRightInd w:val="0"/>
              <w:spacing w:line="360" w:lineRule="auto"/>
              <w:rPr>
                <w:rFonts w:hint="default" w:ascii="宋体" w:hAnsi="宋体" w:eastAsia="宋体"/>
                <w:sz w:val="24"/>
                <w:lang w:val="en-US" w:eastAsia="zh-CN"/>
              </w:rPr>
            </w:pPr>
            <w:r>
              <w:rPr>
                <w:rFonts w:hint="eastAsia" w:ascii="宋体" w:hAnsi="宋体" w:cs="仿宋_GB2312"/>
                <w:bCs/>
                <w:sz w:val="24"/>
              </w:rPr>
              <w:t>6</w:t>
            </w:r>
            <w:r>
              <w:rPr>
                <w:rFonts w:hint="eastAsia" w:ascii="宋体" w:hAnsi="宋体" w:cs="仿宋_GB2312"/>
                <w:bCs/>
                <w:sz w:val="24"/>
                <w:lang w:eastAsia="zh-CN"/>
              </w:rPr>
              <w:t>）</w:t>
            </w:r>
            <w:r>
              <w:rPr>
                <w:rFonts w:hint="eastAsia" w:ascii="宋体" w:hAnsi="宋体" w:cs="仿宋_GB2312"/>
                <w:bCs/>
                <w:sz w:val="24"/>
              </w:rPr>
              <w:t>对原产于美国的产品，进口时在正常科创免税之外，中国政府加征的特殊关税由中标人承担</w:t>
            </w:r>
            <w:r>
              <w:rPr>
                <w:rFonts w:hint="eastAsia" w:ascii="宋体" w:hAnsi="宋体" w:eastAsia="宋体" w:cs="宋体"/>
                <w:color w:val="000000" w:themeColor="text1"/>
                <w:sz w:val="24"/>
                <w:szCs w:val="24"/>
                <w14:textFill>
                  <w14:solidFill>
                    <w14:schemeClr w14:val="tx1"/>
                  </w14:solidFill>
                </w14:textFill>
              </w:rPr>
              <w:t>。</w:t>
            </w:r>
          </w:p>
        </w:tc>
      </w:tr>
      <w:tr w14:paraId="663A4A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34" w:type="dxa"/>
            <w:tcBorders>
              <w:top w:val="single" w:color="auto" w:sz="4" w:space="0"/>
              <w:left w:val="single" w:color="auto" w:sz="4" w:space="0"/>
              <w:bottom w:val="single" w:color="auto" w:sz="4" w:space="0"/>
              <w:right w:val="single" w:color="auto" w:sz="4" w:space="0"/>
            </w:tcBorders>
            <w:vAlign w:val="center"/>
          </w:tcPr>
          <w:p w14:paraId="7CEE747B">
            <w:pPr>
              <w:autoSpaceDE w:val="0"/>
              <w:autoSpaceDN w:val="0"/>
              <w:adjustRightInd w:val="0"/>
              <w:spacing w:line="360" w:lineRule="auto"/>
              <w:jc w:val="center"/>
              <w:rPr>
                <w:rFonts w:hint="eastAsia" w:ascii="宋体" w:hAnsi="宋体"/>
                <w:kern w:val="0"/>
                <w:sz w:val="24"/>
              </w:rPr>
            </w:pPr>
            <w:r>
              <w:rPr>
                <w:rFonts w:ascii="宋体" w:hAnsi="宋体"/>
                <w:kern w:val="0"/>
                <w:sz w:val="24"/>
              </w:rPr>
              <w:t>12</w:t>
            </w:r>
          </w:p>
        </w:tc>
        <w:tc>
          <w:tcPr>
            <w:tcW w:w="7655" w:type="dxa"/>
            <w:tcBorders>
              <w:top w:val="single" w:color="auto" w:sz="4" w:space="0"/>
              <w:left w:val="single" w:color="auto" w:sz="4" w:space="0"/>
              <w:bottom w:val="single" w:color="auto" w:sz="4" w:space="0"/>
              <w:right w:val="single" w:color="auto" w:sz="4" w:space="0"/>
            </w:tcBorders>
            <w:vAlign w:val="center"/>
          </w:tcPr>
          <w:p w14:paraId="62F78420">
            <w:pPr>
              <w:autoSpaceDE w:val="0"/>
              <w:autoSpaceDN w:val="0"/>
              <w:adjustRightInd w:val="0"/>
              <w:spacing w:line="360" w:lineRule="auto"/>
              <w:rPr>
                <w:rFonts w:hint="eastAsia" w:ascii="宋体" w:hAnsi="宋体"/>
                <w:sz w:val="24"/>
              </w:rPr>
            </w:pPr>
            <w:r>
              <w:rPr>
                <w:rFonts w:hint="eastAsia" w:ascii="宋体" w:hAnsi="宋体" w:cs="宋体"/>
                <w:sz w:val="24"/>
                <w:lang w:val="zh-CN"/>
              </w:rPr>
              <w:t>投标保证金金额：</w:t>
            </w:r>
            <w:r>
              <w:rPr>
                <w:rFonts w:hint="eastAsia" w:ascii="宋体" w:hAnsi="宋体" w:cs="宋体"/>
                <w:b/>
                <w:bCs/>
                <w:sz w:val="24"/>
                <w:lang w:val="zh-CN"/>
              </w:rPr>
              <w:t>采购预算金额的1.5%</w:t>
            </w:r>
            <w:r>
              <w:rPr>
                <w:rFonts w:hint="eastAsia" w:ascii="宋体" w:hAnsi="宋体" w:cs="宋体"/>
                <w:sz w:val="24"/>
                <w:lang w:val="zh-CN"/>
              </w:rPr>
              <w:t>。</w:t>
            </w:r>
          </w:p>
          <w:p w14:paraId="4C9499C3">
            <w:pPr>
              <w:adjustRightInd w:val="0"/>
              <w:snapToGrid w:val="0"/>
              <w:spacing w:line="360" w:lineRule="auto"/>
              <w:ind w:left="1898" w:hanging="1898" w:hangingChars="791"/>
              <w:rPr>
                <w:rFonts w:hint="eastAsia" w:ascii="宋体" w:hAnsi="宋体"/>
                <w:sz w:val="24"/>
              </w:rPr>
            </w:pPr>
            <w:r>
              <w:rPr>
                <w:rFonts w:hint="eastAsia" w:ascii="宋体" w:hAnsi="宋体"/>
                <w:sz w:val="24"/>
              </w:rPr>
              <w:t>投标保证金形式：电汇、银行保函或其他政府采购认可的信用担保机构出具的信用投标担保函。</w:t>
            </w:r>
          </w:p>
          <w:p w14:paraId="7BDBBB62">
            <w:pPr>
              <w:spacing w:line="360" w:lineRule="auto"/>
              <w:ind w:left="32"/>
              <w:jc w:val="left"/>
              <w:rPr>
                <w:rFonts w:hint="eastAsia" w:ascii="宋体" w:hAnsi="宋体"/>
                <w:sz w:val="24"/>
              </w:rPr>
            </w:pPr>
            <w:r>
              <w:rPr>
                <w:rFonts w:hint="eastAsia" w:ascii="宋体" w:hAnsi="宋体"/>
                <w:sz w:val="24"/>
              </w:rPr>
              <w:t>(1) 采用保函形式的，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投标人应承担投标保函开具、递交、退还、通知及核印等产生的一切相关费用。</w:t>
            </w:r>
          </w:p>
          <w:p w14:paraId="37B08DDF">
            <w:pPr>
              <w:spacing w:line="360" w:lineRule="auto"/>
              <w:ind w:left="32"/>
              <w:jc w:val="left"/>
              <w:rPr>
                <w:rFonts w:hint="eastAsia" w:ascii="宋体" w:hAnsi="宋体"/>
                <w:sz w:val="24"/>
              </w:rPr>
            </w:pPr>
            <w:r>
              <w:rPr>
                <w:rFonts w:hint="eastAsia" w:ascii="宋体" w:hAnsi="宋体"/>
                <w:sz w:val="24"/>
              </w:rPr>
              <w:t>(2) 使用电汇、网银转账形式的，投标保证金必须从境内银行账户转出，且在投标截止时间前汇到招标代理机构账户，否则投标被拒绝：</w:t>
            </w:r>
          </w:p>
          <w:p w14:paraId="0B3F73D0">
            <w:pPr>
              <w:autoSpaceDE w:val="0"/>
              <w:autoSpaceDN w:val="0"/>
              <w:adjustRightInd w:val="0"/>
              <w:spacing w:line="360" w:lineRule="auto"/>
              <w:ind w:left="32"/>
              <w:jc w:val="left"/>
              <w:rPr>
                <w:rFonts w:hint="eastAsia" w:ascii="宋体" w:hAnsi="宋体"/>
                <w:bCs/>
                <w:sz w:val="24"/>
              </w:rPr>
            </w:pPr>
            <w:r>
              <w:rPr>
                <w:rFonts w:hint="eastAsia" w:ascii="宋体" w:hAnsi="宋体" w:cs="宋体"/>
                <w:bCs/>
                <w:sz w:val="24"/>
                <w:lang w:val="zh-CN"/>
              </w:rPr>
              <w:t>投标人应于投标截止期前将全额投标保证金转入下述指定账号</w:t>
            </w:r>
            <w:r>
              <w:rPr>
                <w:rFonts w:ascii="宋体" w:hAnsi="宋体"/>
                <w:bCs/>
                <w:sz w:val="24"/>
              </w:rPr>
              <w:t>,</w:t>
            </w:r>
            <w:r>
              <w:rPr>
                <w:rFonts w:hint="eastAsia" w:ascii="宋体" w:hAnsi="宋体" w:cs="宋体"/>
                <w:bCs/>
                <w:sz w:val="24"/>
                <w:lang w:val="zh-CN"/>
              </w:rPr>
              <w:t>并应将</w:t>
            </w:r>
            <w:r>
              <w:rPr>
                <w:rFonts w:ascii="宋体" w:hAnsi="宋体" w:cs="宋体"/>
                <w:bCs/>
                <w:sz w:val="24"/>
                <w:lang w:val="zh-CN"/>
              </w:rPr>
              <w:t>“</w:t>
            </w:r>
            <w:r>
              <w:rPr>
                <w:rFonts w:hint="eastAsia" w:ascii="宋体" w:hAnsi="宋体" w:cs="宋体"/>
                <w:bCs/>
                <w:sz w:val="24"/>
                <w:lang w:val="zh-CN"/>
              </w:rPr>
              <w:t>投标保证金电汇凭证/投标保证金的银行保函</w:t>
            </w:r>
            <w:r>
              <w:rPr>
                <w:rFonts w:ascii="宋体" w:hAnsi="宋体" w:cs="宋体"/>
                <w:bCs/>
                <w:sz w:val="24"/>
                <w:lang w:val="zh-CN"/>
              </w:rPr>
              <w:t>”</w:t>
            </w:r>
            <w:r>
              <w:rPr>
                <w:rFonts w:hint="eastAsia" w:ascii="宋体" w:hAnsi="宋体" w:cs="宋体"/>
                <w:bCs/>
                <w:sz w:val="24"/>
                <w:lang w:val="zh-CN"/>
              </w:rPr>
              <w:t>与“投标一览表”一起单独密封，在投标时与</w:t>
            </w:r>
            <w:r>
              <w:rPr>
                <w:rFonts w:ascii="宋体" w:hAnsi="宋体" w:cs="宋体"/>
                <w:bCs/>
                <w:sz w:val="24"/>
                <w:lang w:val="zh-CN"/>
              </w:rPr>
              <w:t>“</w:t>
            </w:r>
            <w:r>
              <w:rPr>
                <w:rFonts w:hint="eastAsia" w:ascii="宋体" w:hAnsi="宋体" w:cs="宋体"/>
                <w:bCs/>
                <w:sz w:val="24"/>
                <w:lang w:val="zh-CN"/>
              </w:rPr>
              <w:t>投标一览表</w:t>
            </w:r>
            <w:r>
              <w:rPr>
                <w:rFonts w:ascii="宋体" w:hAnsi="宋体" w:cs="宋体"/>
                <w:bCs/>
                <w:sz w:val="24"/>
                <w:lang w:val="zh-CN"/>
              </w:rPr>
              <w:t>”</w:t>
            </w:r>
            <w:r>
              <w:rPr>
                <w:rFonts w:hint="eastAsia" w:ascii="宋体" w:hAnsi="宋体" w:cs="宋体"/>
                <w:bCs/>
                <w:sz w:val="24"/>
                <w:lang w:val="zh-CN"/>
              </w:rPr>
              <w:t>同时递交。</w:t>
            </w:r>
          </w:p>
          <w:p w14:paraId="1C4AB733">
            <w:pPr>
              <w:autoSpaceDE w:val="0"/>
              <w:autoSpaceDN w:val="0"/>
              <w:adjustRightInd w:val="0"/>
              <w:spacing w:before="100" w:after="100" w:line="360" w:lineRule="auto"/>
              <w:jc w:val="left"/>
              <w:rPr>
                <w:rFonts w:hint="eastAsia" w:ascii="宋体" w:hAnsi="宋体" w:cs="宋体"/>
                <w:kern w:val="0"/>
                <w:sz w:val="24"/>
                <w:lang w:val="zh-CN"/>
              </w:rPr>
            </w:pPr>
            <w:r>
              <w:rPr>
                <w:rFonts w:hint="eastAsia" w:ascii="宋体" w:hAnsi="宋体" w:cs="宋体"/>
                <w:kern w:val="0"/>
                <w:sz w:val="24"/>
                <w:lang w:val="zh-CN"/>
              </w:rPr>
              <w:t>开户名称：东方国际招标有限责任公司</w:t>
            </w:r>
          </w:p>
          <w:p w14:paraId="7962E1B0">
            <w:pPr>
              <w:autoSpaceDE w:val="0"/>
              <w:autoSpaceDN w:val="0"/>
              <w:adjustRightInd w:val="0"/>
              <w:spacing w:before="100" w:after="100" w:line="360" w:lineRule="auto"/>
              <w:jc w:val="left"/>
              <w:rPr>
                <w:rFonts w:hint="eastAsia" w:ascii="宋体" w:hAnsi="宋体" w:cs="宋体"/>
                <w:kern w:val="0"/>
                <w:sz w:val="24"/>
                <w:lang w:val="zh-CN"/>
              </w:rPr>
            </w:pPr>
            <w:r>
              <w:rPr>
                <w:rFonts w:hint="eastAsia" w:ascii="宋体" w:hAnsi="宋体" w:cs="宋体"/>
                <w:kern w:val="0"/>
                <w:sz w:val="24"/>
                <w:lang w:val="zh-CN"/>
              </w:rPr>
              <w:t>开户行：招商银行北京西三环支行</w:t>
            </w:r>
          </w:p>
          <w:p w14:paraId="617905B0">
            <w:pPr>
              <w:autoSpaceDE w:val="0"/>
              <w:autoSpaceDN w:val="0"/>
              <w:adjustRightInd w:val="0"/>
              <w:spacing w:before="100" w:after="100" w:line="360" w:lineRule="auto"/>
              <w:jc w:val="left"/>
              <w:rPr>
                <w:rFonts w:hint="eastAsia" w:ascii="宋体" w:hAnsi="宋体" w:cs="宋体"/>
                <w:kern w:val="0"/>
                <w:sz w:val="24"/>
                <w:lang w:val="zh-CN"/>
              </w:rPr>
            </w:pPr>
            <w:r>
              <w:rPr>
                <w:rFonts w:hint="eastAsia" w:ascii="宋体" w:hAnsi="宋体" w:cs="宋体"/>
                <w:kern w:val="0"/>
                <w:sz w:val="24"/>
                <w:lang w:val="zh-CN"/>
              </w:rPr>
              <w:t>账号：862081657710001</w:t>
            </w:r>
          </w:p>
          <w:p w14:paraId="7ADC0860">
            <w:pPr>
              <w:pStyle w:val="36"/>
              <w:spacing w:line="360" w:lineRule="auto"/>
              <w:ind w:left="0" w:leftChars="0" w:firstLine="0" w:firstLineChars="0"/>
              <w:rPr>
                <w:lang w:val="zh-CN"/>
              </w:rPr>
            </w:pPr>
            <w:r>
              <w:rPr>
                <w:rFonts w:hint="eastAsia" w:ascii="宋体" w:hAnsi="宋体" w:cs="宋体"/>
                <w:kern w:val="0"/>
                <w:sz w:val="24"/>
                <w:lang w:val="zh-CN"/>
              </w:rPr>
              <w:t>注：</w:t>
            </w:r>
            <w:r>
              <w:rPr>
                <w:rFonts w:ascii="宋体" w:hAnsi="宋体" w:cs="宋体"/>
                <w:kern w:val="0"/>
                <w:sz w:val="24"/>
                <w:lang w:val="zh-CN"/>
              </w:rPr>
              <w:t>须在电汇凭据附言栏中写明招标编号</w:t>
            </w:r>
            <w:r>
              <w:rPr>
                <w:rFonts w:hint="eastAsia" w:ascii="宋体" w:hAnsi="宋体" w:cs="宋体"/>
                <w:kern w:val="0"/>
                <w:sz w:val="24"/>
                <w:lang w:val="zh-CN"/>
              </w:rPr>
              <w:t>（</w:t>
            </w:r>
            <w:r>
              <w:rPr>
                <w:rFonts w:hint="eastAsia" w:ascii="宋体" w:hAnsi="宋体" w:cs="宋体"/>
                <w:b/>
                <w:bCs/>
                <w:kern w:val="0"/>
                <w:sz w:val="24"/>
                <w:lang w:val="zh-CN"/>
              </w:rPr>
              <w:t>如未标明招标编号</w:t>
            </w:r>
            <w:r>
              <w:rPr>
                <w:rFonts w:hint="eastAsia"/>
                <w:b/>
                <w:bCs/>
                <w:kern w:val="0"/>
                <w:sz w:val="24"/>
                <w:lang w:val="zh-CN"/>
              </w:rPr>
              <w:t>OITC-G260392132</w:t>
            </w:r>
            <w:r>
              <w:rPr>
                <w:rFonts w:hint="eastAsia" w:ascii="宋体" w:hAnsi="宋体" w:cs="宋体"/>
                <w:b/>
                <w:bCs/>
                <w:kern w:val="0"/>
                <w:sz w:val="24"/>
                <w:lang w:val="zh-CN"/>
              </w:rPr>
              <w:t>，有可能导致投标无效</w:t>
            </w:r>
            <w:r>
              <w:rPr>
                <w:rFonts w:hint="eastAsia" w:ascii="宋体" w:hAnsi="宋体" w:cs="宋体"/>
                <w:kern w:val="0"/>
                <w:sz w:val="24"/>
                <w:lang w:val="zh-CN"/>
              </w:rPr>
              <w:t>）</w:t>
            </w:r>
          </w:p>
        </w:tc>
      </w:tr>
      <w:tr w14:paraId="632114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1" w:hRule="atLeast"/>
        </w:trPr>
        <w:tc>
          <w:tcPr>
            <w:tcW w:w="1134" w:type="dxa"/>
            <w:tcBorders>
              <w:top w:val="single" w:color="auto" w:sz="4" w:space="0"/>
              <w:left w:val="single" w:color="auto" w:sz="4" w:space="0"/>
              <w:bottom w:val="single" w:color="auto" w:sz="4" w:space="0"/>
              <w:right w:val="single" w:color="auto" w:sz="4" w:space="0"/>
            </w:tcBorders>
            <w:vAlign w:val="center"/>
          </w:tcPr>
          <w:p w14:paraId="6539B1C4">
            <w:pPr>
              <w:autoSpaceDE w:val="0"/>
              <w:autoSpaceDN w:val="0"/>
              <w:adjustRightInd w:val="0"/>
              <w:spacing w:line="360" w:lineRule="auto"/>
              <w:jc w:val="center"/>
              <w:rPr>
                <w:rFonts w:hint="eastAsia" w:ascii="宋体" w:hAnsi="宋体"/>
                <w:kern w:val="0"/>
                <w:sz w:val="24"/>
              </w:rPr>
            </w:pPr>
            <w:r>
              <w:rPr>
                <w:rFonts w:ascii="宋体" w:hAnsi="宋体"/>
                <w:kern w:val="0"/>
                <w:sz w:val="24"/>
              </w:rPr>
              <w:t>13</w:t>
            </w:r>
          </w:p>
        </w:tc>
        <w:tc>
          <w:tcPr>
            <w:tcW w:w="7655" w:type="dxa"/>
            <w:tcBorders>
              <w:top w:val="single" w:color="auto" w:sz="4" w:space="0"/>
              <w:left w:val="single" w:color="auto" w:sz="4" w:space="0"/>
              <w:bottom w:val="single" w:color="auto" w:sz="4" w:space="0"/>
              <w:right w:val="single" w:color="auto" w:sz="4" w:space="0"/>
            </w:tcBorders>
            <w:vAlign w:val="center"/>
          </w:tcPr>
          <w:p w14:paraId="7165A2BD">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投标有效期及投标保证金有效期：</w:t>
            </w:r>
            <w:r>
              <w:rPr>
                <w:rFonts w:hint="eastAsia" w:ascii="宋体" w:hAnsi="宋体"/>
                <w:kern w:val="0"/>
                <w:sz w:val="24"/>
              </w:rPr>
              <w:t>自提交投标文件的截止之日起算</w:t>
            </w:r>
            <w:r>
              <w:rPr>
                <w:rFonts w:ascii="宋体" w:hAnsi="宋体"/>
                <w:kern w:val="0"/>
                <w:sz w:val="24"/>
                <w:u w:val="single"/>
              </w:rPr>
              <w:t>90</w:t>
            </w:r>
            <w:r>
              <w:rPr>
                <w:rFonts w:hint="eastAsia" w:ascii="宋体" w:hAnsi="宋体"/>
                <w:kern w:val="0"/>
                <w:sz w:val="24"/>
                <w:u w:val="single"/>
              </w:rPr>
              <w:t>个</w:t>
            </w:r>
            <w:r>
              <w:rPr>
                <w:rFonts w:hint="eastAsia" w:ascii="宋体" w:hAnsi="宋体"/>
                <w:kern w:val="0"/>
                <w:sz w:val="24"/>
              </w:rPr>
              <w:t>日历天</w:t>
            </w:r>
            <w:r>
              <w:rPr>
                <w:rFonts w:hint="eastAsia" w:ascii="宋体" w:hAnsi="宋体" w:cs="宋体"/>
                <w:kern w:val="0"/>
                <w:sz w:val="24"/>
                <w:lang w:val="zh-CN"/>
              </w:rPr>
              <w:t>（不得少于90个日历天）</w:t>
            </w:r>
          </w:p>
        </w:tc>
      </w:tr>
      <w:tr w14:paraId="752EE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1134" w:type="dxa"/>
            <w:tcBorders>
              <w:top w:val="single" w:color="auto" w:sz="4" w:space="0"/>
              <w:left w:val="single" w:color="auto" w:sz="4" w:space="0"/>
              <w:bottom w:val="single" w:color="auto" w:sz="4" w:space="0"/>
              <w:right w:val="single" w:color="auto" w:sz="4" w:space="0"/>
            </w:tcBorders>
            <w:vAlign w:val="center"/>
          </w:tcPr>
          <w:p w14:paraId="070E56B7">
            <w:pPr>
              <w:autoSpaceDE w:val="0"/>
              <w:autoSpaceDN w:val="0"/>
              <w:adjustRightInd w:val="0"/>
              <w:spacing w:line="360" w:lineRule="auto"/>
              <w:jc w:val="center"/>
              <w:rPr>
                <w:rFonts w:hint="eastAsia" w:ascii="宋体" w:hAnsi="宋体"/>
                <w:kern w:val="0"/>
                <w:sz w:val="24"/>
              </w:rPr>
            </w:pPr>
            <w:r>
              <w:rPr>
                <w:rFonts w:ascii="宋体" w:hAnsi="宋体"/>
                <w:kern w:val="0"/>
                <w:sz w:val="24"/>
              </w:rPr>
              <w:t>14</w:t>
            </w:r>
          </w:p>
        </w:tc>
        <w:tc>
          <w:tcPr>
            <w:tcW w:w="7655" w:type="dxa"/>
            <w:tcBorders>
              <w:top w:val="single" w:color="auto" w:sz="4" w:space="0"/>
              <w:left w:val="single" w:color="auto" w:sz="4" w:space="0"/>
              <w:bottom w:val="single" w:color="auto" w:sz="4" w:space="0"/>
              <w:right w:val="single" w:color="auto" w:sz="4" w:space="0"/>
            </w:tcBorders>
            <w:vAlign w:val="center"/>
          </w:tcPr>
          <w:p w14:paraId="4C214F58">
            <w:pPr>
              <w:spacing w:line="360" w:lineRule="auto"/>
              <w:rPr>
                <w:rFonts w:hint="eastAsia" w:ascii="宋体" w:hAnsi="宋体"/>
                <w:sz w:val="24"/>
              </w:rPr>
            </w:pPr>
            <w:r>
              <w:rPr>
                <w:rFonts w:hint="eastAsia" w:ascii="宋体" w:hAnsi="宋体"/>
                <w:sz w:val="24"/>
              </w:rPr>
              <w:t>为了投标文件的规范和统一，投标人需按以下内容及顺序编写投标文件，实际响应中如有必要，应由投标人对以下目录未涉及的部分予以补充：</w:t>
            </w:r>
          </w:p>
          <w:p w14:paraId="34EDCAE5">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1</w:t>
            </w:r>
            <w:r>
              <w:rPr>
                <w:rFonts w:hint="eastAsia" w:ascii="宋体" w:hAnsi="宋体" w:cs="宋体"/>
                <w:b/>
                <w:bCs/>
                <w:sz w:val="24"/>
              </w:rPr>
              <w:t xml:space="preserve"> 承诺函（统一格式，投标人必须提供）</w:t>
            </w:r>
          </w:p>
          <w:p w14:paraId="218D8A8F">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2</w:t>
            </w:r>
            <w:r>
              <w:rPr>
                <w:rFonts w:hint="eastAsia" w:ascii="宋体" w:hAnsi="宋体" w:cs="宋体"/>
                <w:b/>
                <w:bCs/>
                <w:sz w:val="24"/>
              </w:rPr>
              <w:t xml:space="preserve"> 投标书（统一格式，投标人必须提供）</w:t>
            </w:r>
          </w:p>
          <w:p w14:paraId="4E0961D8">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3</w:t>
            </w:r>
            <w:r>
              <w:rPr>
                <w:rFonts w:hint="eastAsia" w:ascii="宋体" w:hAnsi="宋体" w:cs="宋体"/>
                <w:b/>
                <w:bCs/>
                <w:sz w:val="24"/>
              </w:rPr>
              <w:t xml:space="preserve"> 投标一览表（统一格式，投标人必须提供）</w:t>
            </w:r>
          </w:p>
          <w:p w14:paraId="58FB89C3">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4</w:t>
            </w:r>
            <w:r>
              <w:rPr>
                <w:rFonts w:hint="eastAsia" w:ascii="宋体" w:hAnsi="宋体" w:cs="宋体"/>
                <w:b/>
                <w:bCs/>
                <w:sz w:val="24"/>
              </w:rPr>
              <w:t xml:space="preserve"> 投标分项报价表（统一格式，投标人必须提供）</w:t>
            </w:r>
          </w:p>
          <w:p w14:paraId="44E0E611">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 xml:space="preserve">5 </w:t>
            </w:r>
            <w:r>
              <w:rPr>
                <w:rFonts w:hint="eastAsia" w:ascii="宋体" w:hAnsi="宋体" w:cs="宋体"/>
                <w:b/>
                <w:bCs/>
                <w:sz w:val="24"/>
              </w:rPr>
              <w:t>货物说明一览表（统一格式，投标人必须提供）</w:t>
            </w:r>
          </w:p>
          <w:p w14:paraId="02E6E70E">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6</w:t>
            </w:r>
            <w:r>
              <w:rPr>
                <w:rFonts w:hint="eastAsia" w:ascii="宋体" w:hAnsi="宋体" w:cs="宋体"/>
                <w:b/>
                <w:bCs/>
                <w:sz w:val="24"/>
              </w:rPr>
              <w:t xml:space="preserve"> 技术需求逐条应答表（统一格式，投标人必须提供）</w:t>
            </w:r>
          </w:p>
          <w:p w14:paraId="6F3AC57F">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7</w:t>
            </w:r>
            <w:r>
              <w:rPr>
                <w:rFonts w:hint="eastAsia" w:ascii="宋体" w:hAnsi="宋体" w:cs="宋体"/>
                <w:b/>
                <w:bCs/>
                <w:sz w:val="24"/>
              </w:rPr>
              <w:t xml:space="preserve"> 商务条款偏离表（统一格式，投标人必须提供）</w:t>
            </w:r>
          </w:p>
          <w:p w14:paraId="3CB788EF">
            <w:pPr>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8</w:t>
            </w:r>
            <w:r>
              <w:rPr>
                <w:rFonts w:hint="eastAsia" w:ascii="宋体" w:hAnsi="宋体" w:cs="宋体"/>
                <w:sz w:val="24"/>
              </w:rPr>
              <w:t xml:space="preserve"> 资格证明文件：</w:t>
            </w:r>
          </w:p>
          <w:p w14:paraId="680D03AD">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-1 法人营业执照/事业单位法人证书（复印件，加盖公章，投标人必须提供，格式自拟）</w:t>
            </w:r>
          </w:p>
          <w:p w14:paraId="5652EF4B">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-2 税务登记证书（复印件，加盖公章，多证合一的无需提供）</w:t>
            </w:r>
          </w:p>
          <w:p w14:paraId="46B2FC38">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-3 国家法律法规要求的资质证明文件（如有）</w:t>
            </w:r>
          </w:p>
          <w:p w14:paraId="5B82C05E">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8-4</w:t>
            </w:r>
            <w:r>
              <w:rPr>
                <w:rFonts w:hint="eastAsia" w:ascii="宋体" w:hAnsi="宋体" w:cs="宋体"/>
                <w:b/>
                <w:bCs/>
                <w:sz w:val="24"/>
              </w:rPr>
              <w:t>法定代表人资格证明书及法定代表人授权委托书（统一格式，投标人必须提供）</w:t>
            </w:r>
          </w:p>
          <w:p w14:paraId="421AAFB0">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w:t>
            </w:r>
            <w:r>
              <w:rPr>
                <w:rFonts w:ascii="宋体" w:hAnsi="宋体" w:cs="宋体"/>
                <w:sz w:val="24"/>
              </w:rPr>
              <w:t>5</w:t>
            </w:r>
            <w:r>
              <w:rPr>
                <w:rFonts w:hint="eastAsia" w:ascii="宋体" w:hAnsi="宋体" w:cs="宋体"/>
                <w:sz w:val="24"/>
              </w:rPr>
              <w:t xml:space="preserve"> </w:t>
            </w:r>
            <w:r>
              <w:rPr>
                <w:rFonts w:hint="eastAsia" w:ascii="宋体" w:hAnsi="宋体" w:cs="宋体"/>
                <w:sz w:val="24"/>
                <w:lang w:eastAsia="zh-CN"/>
              </w:rPr>
              <w:t>制造厂家的资格声明以及授权书</w:t>
            </w:r>
            <w:r>
              <w:rPr>
                <w:rFonts w:hint="eastAsia" w:ascii="宋体" w:hAnsi="宋体" w:cs="宋体"/>
                <w:sz w:val="24"/>
              </w:rPr>
              <w:t>（统一格式）</w:t>
            </w:r>
          </w:p>
          <w:p w14:paraId="14D2CF1A">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w:t>
            </w:r>
            <w:r>
              <w:rPr>
                <w:rFonts w:ascii="宋体" w:hAnsi="宋体" w:cs="宋体"/>
                <w:sz w:val="24"/>
              </w:rPr>
              <w:t>6</w:t>
            </w:r>
            <w:r>
              <w:rPr>
                <w:rFonts w:hint="eastAsia" w:ascii="宋体" w:hAnsi="宋体" w:cs="宋体"/>
                <w:sz w:val="24"/>
              </w:rPr>
              <w:t xml:space="preserve"> 投标人（作为制造厂家的经销代理）的资格声明（统一格式）</w:t>
            </w:r>
          </w:p>
          <w:p w14:paraId="765FDBF4">
            <w:pPr>
              <w:spacing w:line="360" w:lineRule="auto"/>
              <w:rPr>
                <w:rFonts w:hint="eastAsia" w:ascii="宋体" w:hAnsi="宋体" w:cs="宋体"/>
                <w:b/>
                <w:bCs/>
                <w:sz w:val="24"/>
              </w:rPr>
            </w:pPr>
            <w:r>
              <w:rPr>
                <w:rFonts w:hint="eastAsia" w:ascii="宋体" w:hAnsi="宋体" w:cs="宋体"/>
                <w:b/>
                <w:bCs/>
                <w:sz w:val="24"/>
              </w:rPr>
              <w:t>★8-7投标人资格声明书</w:t>
            </w:r>
          </w:p>
          <w:p w14:paraId="568612BB">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8</w:t>
            </w:r>
            <w:r>
              <w:rPr>
                <w:rFonts w:hint="eastAsia" w:ascii="宋体" w:hAnsi="宋体" w:cs="宋体"/>
                <w:b/>
                <w:bCs/>
                <w:sz w:val="24"/>
              </w:rPr>
              <w:t xml:space="preserve"> 开标日前3个月内银行出具盖章的资信证明文件或投标人</w:t>
            </w:r>
            <w:r>
              <w:rPr>
                <w:rFonts w:hint="eastAsia" w:ascii="宋体" w:hAnsi="宋体" w:cs="宋体"/>
                <w:b/>
                <w:bCs/>
                <w:sz w:val="24"/>
                <w:lang w:eastAsia="zh-CN"/>
              </w:rPr>
              <w:t>2025年度</w:t>
            </w:r>
            <w:r>
              <w:rPr>
                <w:rFonts w:hint="eastAsia" w:ascii="宋体" w:hAnsi="宋体" w:cs="宋体"/>
                <w:b/>
                <w:bCs/>
                <w:sz w:val="24"/>
              </w:rPr>
              <w:t>经会计师事务所盖章审计的财务审计报告（投标人必须提供，但由专业担保机构已出具投标担保函的除外）</w:t>
            </w:r>
          </w:p>
          <w:p w14:paraId="708969C5">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9</w:t>
            </w:r>
            <w:r>
              <w:rPr>
                <w:rFonts w:hint="eastAsia" w:ascii="宋体" w:hAnsi="宋体" w:cs="宋体"/>
                <w:b/>
                <w:bCs/>
                <w:sz w:val="24"/>
              </w:rPr>
              <w:t xml:space="preserve"> 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p w14:paraId="62ABA29A">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10</w:t>
            </w:r>
            <w:r>
              <w:rPr>
                <w:rFonts w:hint="eastAsia" w:ascii="宋体" w:hAnsi="宋体" w:cs="宋体"/>
                <w:b/>
                <w:bCs/>
                <w:sz w:val="24"/>
              </w:rPr>
              <w:t xml:space="preserve"> 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p w14:paraId="74DBBF19">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-11  招标文件要求或投标人认为必要的其它内容（如：质量认证、荣誉证书等）</w:t>
            </w:r>
          </w:p>
          <w:p w14:paraId="2D3F1ADE">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 xml:space="preserve">9 </w:t>
            </w:r>
            <w:r>
              <w:rPr>
                <w:rFonts w:hint="eastAsia" w:ascii="宋体" w:hAnsi="宋体" w:cs="宋体"/>
                <w:sz w:val="24"/>
              </w:rPr>
              <w:t>履约保证金保函（统一格式，中标后开具）（如适用）</w:t>
            </w:r>
          </w:p>
          <w:p w14:paraId="68F688FE">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 xml:space="preserve">10 </w:t>
            </w:r>
            <w:r>
              <w:rPr>
                <w:rFonts w:hint="eastAsia" w:ascii="宋体" w:hAnsi="宋体" w:cs="宋体"/>
                <w:sz w:val="24"/>
              </w:rPr>
              <w:t>投标保证金的银行保函（统一格式）</w:t>
            </w:r>
          </w:p>
          <w:p w14:paraId="54F26A03">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11</w:t>
            </w:r>
            <w:r>
              <w:rPr>
                <w:rFonts w:hint="eastAsia" w:ascii="宋体" w:hAnsi="宋体" w:cs="宋体"/>
                <w:sz w:val="24"/>
              </w:rPr>
              <w:t>中标服务费承诺书（统一格式）</w:t>
            </w:r>
          </w:p>
          <w:p w14:paraId="72D9EAF3">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 xml:space="preserve">12 </w:t>
            </w:r>
            <w:r>
              <w:rPr>
                <w:rFonts w:hint="eastAsia" w:ascii="宋体" w:hAnsi="宋体" w:cs="宋体"/>
                <w:sz w:val="24"/>
              </w:rPr>
              <w:t>货物技术说明文件（产品制造商原厂公开发布的资料参数等）</w:t>
            </w:r>
          </w:p>
          <w:p w14:paraId="2D1761C4">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13</w:t>
            </w:r>
            <w:r>
              <w:rPr>
                <w:rFonts w:hint="eastAsia" w:ascii="宋体" w:hAnsi="宋体" w:cs="宋体"/>
                <w:sz w:val="24"/>
              </w:rPr>
              <w:t>投标人针对本项目的技术支持及售后服务的内容承诺</w:t>
            </w:r>
            <w:r>
              <w:rPr>
                <w:rFonts w:ascii="宋体" w:hAnsi="宋体" w:cs="宋体"/>
                <w:sz w:val="24"/>
              </w:rPr>
              <w:t>(</w:t>
            </w:r>
            <w:r>
              <w:rPr>
                <w:rFonts w:hint="eastAsia" w:ascii="宋体" w:hAnsi="宋体" w:cs="宋体"/>
                <w:sz w:val="24"/>
              </w:rPr>
              <w:t>需同时提供国内售后服务网点分布以及售后服务人员的说明</w:t>
            </w:r>
            <w:r>
              <w:rPr>
                <w:rFonts w:ascii="宋体" w:hAnsi="宋体" w:cs="宋体"/>
                <w:sz w:val="24"/>
              </w:rPr>
              <w:t>)</w:t>
            </w:r>
          </w:p>
          <w:p w14:paraId="750E6ED9">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14</w:t>
            </w:r>
            <w:r>
              <w:rPr>
                <w:rFonts w:hint="eastAsia" w:ascii="宋体" w:hAnsi="宋体" w:cs="宋体"/>
                <w:sz w:val="24"/>
              </w:rPr>
              <w:t>对于培训、安装、调试及验收要求的响应及承诺</w:t>
            </w:r>
          </w:p>
          <w:p w14:paraId="45BF6215">
            <w:pPr>
              <w:tabs>
                <w:tab w:val="left" w:pos="6825"/>
              </w:tabs>
              <w:adjustRightInd w:val="0"/>
              <w:snapToGrid w:val="0"/>
              <w:spacing w:line="360" w:lineRule="auto"/>
              <w:rPr>
                <w:rFonts w:hint="eastAsia" w:ascii="宋体" w:hAnsi="宋体" w:cs="宋体"/>
                <w:b/>
                <w:bCs/>
                <w:sz w:val="24"/>
              </w:rPr>
            </w:pPr>
            <w:r>
              <w:rPr>
                <w:rFonts w:hint="eastAsia" w:ascii="宋体" w:hAnsi="宋体" w:cs="宋体"/>
                <w:b/>
                <w:bCs/>
                <w:sz w:val="24"/>
              </w:rPr>
              <w:t>附件1</w:t>
            </w:r>
            <w:r>
              <w:rPr>
                <w:rFonts w:ascii="宋体" w:hAnsi="宋体" w:cs="宋体"/>
                <w:b/>
                <w:bCs/>
                <w:sz w:val="24"/>
              </w:rPr>
              <w:t>5中小企业声明函</w:t>
            </w:r>
            <w:r>
              <w:rPr>
                <w:rFonts w:hint="eastAsia" w:ascii="宋体" w:hAnsi="宋体" w:cs="宋体"/>
                <w:b/>
                <w:bCs/>
                <w:sz w:val="24"/>
              </w:rPr>
              <w:t>（如为中小企业，应按</w:t>
            </w:r>
            <w:r>
              <w:rPr>
                <w:rFonts w:ascii="宋体" w:hAnsi="宋体" w:cs="宋体"/>
                <w:b/>
                <w:bCs/>
                <w:sz w:val="24"/>
              </w:rPr>
              <w:t>《</w:t>
            </w:r>
            <w:r>
              <w:rPr>
                <w:rFonts w:hint="eastAsia" w:ascii="宋体" w:hAnsi="宋体" w:cs="宋体"/>
                <w:b/>
                <w:bCs/>
                <w:sz w:val="24"/>
              </w:rPr>
              <w:t>政府采购促进中小企业发展管理办法</w:t>
            </w:r>
            <w:r>
              <w:rPr>
                <w:rFonts w:ascii="宋体" w:hAnsi="宋体" w:cs="宋体"/>
                <w:b/>
                <w:bCs/>
                <w:sz w:val="24"/>
              </w:rPr>
              <w:t>》</w:t>
            </w:r>
            <w:r>
              <w:rPr>
                <w:rFonts w:hint="eastAsia" w:ascii="宋体" w:hAnsi="宋体" w:cs="宋体"/>
                <w:b/>
                <w:bCs/>
                <w:sz w:val="24"/>
              </w:rPr>
              <w:t>的规定</w:t>
            </w:r>
            <w:r>
              <w:rPr>
                <w:rFonts w:ascii="宋体" w:hAnsi="宋体" w:cs="宋体"/>
                <w:b/>
                <w:bCs/>
                <w:sz w:val="24"/>
              </w:rPr>
              <w:t>提供</w:t>
            </w:r>
            <w:r>
              <w:rPr>
                <w:rFonts w:hint="eastAsia" w:ascii="宋体" w:hAnsi="宋体" w:cs="宋体"/>
                <w:b/>
                <w:bCs/>
                <w:sz w:val="24"/>
              </w:rPr>
              <w:t>）（统一格式）</w:t>
            </w:r>
          </w:p>
          <w:p w14:paraId="5A22A528">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6</w:t>
            </w:r>
            <w:r>
              <w:rPr>
                <w:rFonts w:hint="eastAsia" w:ascii="宋体" w:hAnsi="宋体" w:cs="宋体"/>
                <w:sz w:val="24"/>
              </w:rPr>
              <w:t xml:space="preserve"> </w:t>
            </w:r>
            <w:r>
              <w:rPr>
                <w:rFonts w:ascii="宋体" w:hAnsi="宋体" w:cs="宋体"/>
                <w:sz w:val="24"/>
              </w:rPr>
              <w:t>残疾人福利性单位声明函</w:t>
            </w:r>
            <w:r>
              <w:rPr>
                <w:rFonts w:hint="eastAsia" w:ascii="宋体" w:hAnsi="宋体" w:cs="宋体"/>
                <w:sz w:val="24"/>
              </w:rPr>
              <w:t>（如为</w:t>
            </w:r>
            <w:r>
              <w:rPr>
                <w:rFonts w:ascii="宋体" w:hAnsi="宋体" w:cs="宋体"/>
                <w:sz w:val="24"/>
              </w:rPr>
              <w:t>残疾人福利性单位</w:t>
            </w:r>
            <w:r>
              <w:rPr>
                <w:rFonts w:hint="eastAsia" w:ascii="宋体" w:hAnsi="宋体" w:cs="宋体"/>
                <w:sz w:val="24"/>
              </w:rPr>
              <w:t>，应按《财政部 民政部 中国残疾人联合会关于促进残疾人就业政府采购政策的通知》（财库〔2017〕141号）的规定提供）（统一格式）</w:t>
            </w:r>
          </w:p>
          <w:p w14:paraId="7E26CE16">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7</w:t>
            </w:r>
            <w:r>
              <w:rPr>
                <w:rFonts w:hint="eastAsia" w:ascii="宋体" w:hAnsi="宋体" w:cs="宋体"/>
                <w:sz w:val="24"/>
              </w:rPr>
              <w:t xml:space="preserve"> 政府采购投标担保函（适用于中小企业）</w:t>
            </w:r>
          </w:p>
          <w:p w14:paraId="31BD2B0A">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8</w:t>
            </w:r>
            <w:r>
              <w:rPr>
                <w:rFonts w:hint="eastAsia" w:ascii="宋体" w:hAnsi="宋体" w:cs="宋体"/>
                <w:sz w:val="24"/>
              </w:rPr>
              <w:t xml:space="preserve"> 政府采购履约担保函（适用于中小企业）</w:t>
            </w:r>
          </w:p>
          <w:p w14:paraId="4128DAA7">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9</w:t>
            </w:r>
            <w:r>
              <w:rPr>
                <w:rFonts w:hint="eastAsia" w:ascii="宋体" w:hAnsi="宋体" w:cs="宋体"/>
                <w:sz w:val="24"/>
              </w:rPr>
              <w:t xml:space="preserve"> 预付款银行保函（如适用）</w:t>
            </w:r>
          </w:p>
          <w:p w14:paraId="3AE3BBAD">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20</w:t>
            </w:r>
            <w:r>
              <w:rPr>
                <w:rFonts w:hint="eastAsia" w:ascii="宋体" w:hAnsi="宋体" w:cs="宋体"/>
                <w:sz w:val="24"/>
              </w:rPr>
              <w:t xml:space="preserve"> 节能产品、环境标志产品的证明材料（如适用）</w:t>
            </w:r>
          </w:p>
          <w:p w14:paraId="7AABAE78">
            <w:pPr>
              <w:tabs>
                <w:tab w:val="left" w:pos="6825"/>
              </w:tabs>
              <w:adjustRightInd w:val="0"/>
              <w:snapToGrid w:val="0"/>
              <w:spacing w:line="360" w:lineRule="auto"/>
              <w:rPr>
                <w:rFonts w:hint="eastAsia" w:ascii="宋体" w:hAnsi="宋体" w:cs="宋体"/>
                <w:b/>
                <w:bCs/>
                <w:sz w:val="24"/>
              </w:rPr>
            </w:pPr>
            <w:r>
              <w:rPr>
                <w:rFonts w:hint="eastAsia" w:ascii="宋体" w:hAnsi="宋体" w:cs="宋体"/>
                <w:b/>
                <w:bCs/>
                <w:sz w:val="24"/>
              </w:rPr>
              <w:t>附件21 关于符合本国产品标准的声明函等有关证明文件（如适用）</w:t>
            </w:r>
          </w:p>
          <w:p w14:paraId="0C3F5866">
            <w:pPr>
              <w:tabs>
                <w:tab w:val="left" w:pos="6825"/>
              </w:tabs>
              <w:adjustRightInd w:val="0"/>
              <w:snapToGrid w:val="0"/>
              <w:spacing w:line="360" w:lineRule="auto"/>
              <w:rPr>
                <w:rFonts w:hint="eastAsia" w:ascii="宋体" w:hAnsi="宋体" w:cs="宋体"/>
                <w:sz w:val="24"/>
                <w:lang w:val="zh-CN"/>
              </w:rPr>
            </w:pPr>
            <w:r>
              <w:rPr>
                <w:rFonts w:hint="eastAsia" w:ascii="宋体" w:hAnsi="宋体"/>
                <w:sz w:val="24"/>
              </w:rPr>
              <w:t>注：投标文件项目需求应答简单复制招标文件内容，或全部响应仅以“符合、满足”应答，未提供基本项目需求服务方案描述的，将可导致其投标响应被拒绝；投标人编制上述投标文件时，本招标文件第六章已提供格式的文件须按格式要求填写。</w:t>
            </w:r>
          </w:p>
        </w:tc>
      </w:tr>
      <w:tr w14:paraId="45FC5B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1" w:hRule="atLeast"/>
        </w:trPr>
        <w:tc>
          <w:tcPr>
            <w:tcW w:w="1134" w:type="dxa"/>
            <w:tcBorders>
              <w:top w:val="single" w:color="auto" w:sz="4" w:space="0"/>
              <w:left w:val="single" w:color="auto" w:sz="4" w:space="0"/>
              <w:bottom w:val="single" w:color="auto" w:sz="4" w:space="0"/>
              <w:right w:val="single" w:color="auto" w:sz="4" w:space="0"/>
            </w:tcBorders>
            <w:vAlign w:val="center"/>
          </w:tcPr>
          <w:p w14:paraId="245103A0">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w:t>
            </w:r>
            <w:r>
              <w:rPr>
                <w:rFonts w:ascii="宋体" w:hAnsi="宋体"/>
                <w:kern w:val="0"/>
                <w:sz w:val="24"/>
              </w:rPr>
              <w:t>15</w:t>
            </w:r>
          </w:p>
        </w:tc>
        <w:tc>
          <w:tcPr>
            <w:tcW w:w="7655" w:type="dxa"/>
            <w:tcBorders>
              <w:top w:val="single" w:color="auto" w:sz="4" w:space="0"/>
              <w:left w:val="single" w:color="auto" w:sz="4" w:space="0"/>
              <w:bottom w:val="single" w:color="auto" w:sz="4" w:space="0"/>
              <w:right w:val="single" w:color="auto" w:sz="4" w:space="0"/>
            </w:tcBorders>
            <w:vAlign w:val="center"/>
          </w:tcPr>
          <w:p w14:paraId="5304D456">
            <w:pPr>
              <w:autoSpaceDE w:val="0"/>
              <w:autoSpaceDN w:val="0"/>
              <w:adjustRightInd w:val="0"/>
              <w:spacing w:line="360" w:lineRule="auto"/>
              <w:rPr>
                <w:rFonts w:hint="eastAsia" w:ascii="宋体" w:hAnsi="宋体" w:cs="宋体"/>
                <w:b/>
                <w:bCs/>
                <w:sz w:val="24"/>
                <w:lang w:val="zh-CN"/>
              </w:rPr>
            </w:pPr>
            <w:r>
              <w:rPr>
                <w:rFonts w:hint="eastAsia" w:ascii="宋体" w:hAnsi="宋体" w:cs="宋体"/>
                <w:b/>
                <w:bCs/>
                <w:sz w:val="24"/>
                <w:lang w:val="zh-CN"/>
              </w:rPr>
              <w:t>投标文件数量：</w:t>
            </w:r>
          </w:p>
          <w:p w14:paraId="7B52BE75">
            <w:pPr>
              <w:autoSpaceDE w:val="0"/>
              <w:autoSpaceDN w:val="0"/>
              <w:adjustRightInd w:val="0"/>
              <w:spacing w:line="360" w:lineRule="auto"/>
              <w:rPr>
                <w:rFonts w:hint="eastAsia" w:ascii="宋体" w:hAnsi="宋体"/>
                <w:b/>
                <w:bCs/>
                <w:sz w:val="24"/>
              </w:rPr>
            </w:pPr>
            <w:r>
              <w:rPr>
                <w:rFonts w:hint="eastAsia" w:ascii="宋体" w:hAnsi="宋体" w:cs="宋体"/>
                <w:b/>
                <w:bCs/>
                <w:sz w:val="24"/>
                <w:lang w:val="zh-CN"/>
              </w:rPr>
              <w:t>投标文件：正本：</w:t>
            </w:r>
            <w:r>
              <w:rPr>
                <w:rFonts w:ascii="宋体" w:hAnsi="宋体" w:cs="宋体"/>
                <w:b/>
                <w:bCs/>
                <w:sz w:val="24"/>
                <w:u w:val="single"/>
                <w:lang w:val="zh-CN"/>
              </w:rPr>
              <w:t>1</w:t>
            </w:r>
            <w:r>
              <w:rPr>
                <w:rFonts w:hint="eastAsia" w:ascii="宋体" w:hAnsi="宋体" w:cs="宋体"/>
                <w:b/>
                <w:bCs/>
                <w:sz w:val="24"/>
                <w:lang w:val="zh-CN"/>
              </w:rPr>
              <w:t>份</w:t>
            </w:r>
          </w:p>
          <w:p w14:paraId="306178D4">
            <w:pPr>
              <w:autoSpaceDE w:val="0"/>
              <w:autoSpaceDN w:val="0"/>
              <w:adjustRightInd w:val="0"/>
              <w:spacing w:line="360" w:lineRule="auto"/>
              <w:ind w:firstLine="1200"/>
              <w:rPr>
                <w:rFonts w:hint="eastAsia" w:ascii="宋体" w:hAnsi="宋体" w:cs="宋体"/>
                <w:b/>
                <w:bCs/>
                <w:sz w:val="24"/>
                <w:lang w:val="zh-CN"/>
              </w:rPr>
            </w:pPr>
            <w:r>
              <w:rPr>
                <w:rFonts w:hint="eastAsia" w:ascii="宋体" w:hAnsi="宋体" w:cs="宋体"/>
                <w:b/>
                <w:bCs/>
                <w:sz w:val="24"/>
                <w:lang w:val="zh-CN"/>
              </w:rPr>
              <w:t>副本：</w:t>
            </w:r>
            <w:r>
              <w:rPr>
                <w:rFonts w:ascii="宋体" w:hAnsi="宋体" w:cs="宋体"/>
                <w:b/>
                <w:bCs/>
                <w:sz w:val="24"/>
                <w:u w:val="single"/>
              </w:rPr>
              <w:t>5</w:t>
            </w:r>
            <w:r>
              <w:rPr>
                <w:rFonts w:hint="eastAsia" w:ascii="宋体" w:hAnsi="宋体" w:cs="宋体"/>
                <w:b/>
                <w:bCs/>
                <w:sz w:val="24"/>
                <w:lang w:val="zh-CN"/>
              </w:rPr>
              <w:t>份</w:t>
            </w:r>
          </w:p>
          <w:p w14:paraId="26652D44">
            <w:pPr>
              <w:adjustRightInd w:val="0"/>
              <w:snapToGrid w:val="0"/>
              <w:spacing w:line="360" w:lineRule="auto"/>
              <w:rPr>
                <w:rFonts w:hint="eastAsia" w:ascii="宋体" w:hAnsi="宋体" w:cs="宋体"/>
                <w:b/>
                <w:bCs/>
                <w:sz w:val="24"/>
                <w:lang w:val="zh-CN"/>
              </w:rPr>
            </w:pPr>
            <w:r>
              <w:rPr>
                <w:rFonts w:hint="eastAsia" w:ascii="宋体" w:hAnsi="宋体" w:cs="宋体"/>
                <w:b/>
                <w:bCs/>
                <w:sz w:val="24"/>
                <w:lang w:val="zh-CN"/>
              </w:rPr>
              <w:t>电子版：1份。（签字盖章版的正本投标文件的扫描件，PDF格式，与盖章签字版的纸质正本内容一致；U盘或光盘）。</w:t>
            </w:r>
          </w:p>
          <w:p w14:paraId="128651CA">
            <w:pPr>
              <w:pStyle w:val="36"/>
              <w:spacing w:line="360" w:lineRule="auto"/>
              <w:ind w:left="0" w:leftChars="0" w:firstLine="0" w:firstLineChars="0"/>
              <w:rPr>
                <w:b/>
                <w:bCs/>
                <w:lang w:val="zh-CN"/>
              </w:rPr>
            </w:pPr>
            <w:r>
              <w:rPr>
                <w:rFonts w:hint="eastAsia" w:ascii="宋体" w:hAnsi="宋体" w:cs="宋体"/>
                <w:b/>
                <w:bCs/>
                <w:sz w:val="24"/>
                <w:lang w:val="zh-CN"/>
              </w:rPr>
              <w:t>所有纸质版投标文件正本和副本必须采用左侧书本方式装订，装订应牢固、不易拆散和换页，不得采用活页方式装订。</w:t>
            </w:r>
          </w:p>
        </w:tc>
      </w:tr>
      <w:tr w14:paraId="36A216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134" w:type="dxa"/>
            <w:tcBorders>
              <w:top w:val="single" w:color="auto" w:sz="4" w:space="0"/>
              <w:left w:val="single" w:color="auto" w:sz="4" w:space="0"/>
              <w:bottom w:val="single" w:color="auto" w:sz="4" w:space="0"/>
              <w:right w:val="single" w:color="auto" w:sz="4" w:space="0"/>
            </w:tcBorders>
            <w:vAlign w:val="center"/>
          </w:tcPr>
          <w:p w14:paraId="7D5B4BEC">
            <w:pPr>
              <w:autoSpaceDE w:val="0"/>
              <w:autoSpaceDN w:val="0"/>
              <w:adjustRightInd w:val="0"/>
              <w:spacing w:line="360" w:lineRule="auto"/>
              <w:jc w:val="center"/>
              <w:rPr>
                <w:rFonts w:hint="eastAsia" w:ascii="宋体" w:hAnsi="宋体"/>
                <w:kern w:val="0"/>
                <w:sz w:val="24"/>
              </w:rPr>
            </w:pPr>
            <w:r>
              <w:rPr>
                <w:rFonts w:ascii="宋体" w:hAnsi="宋体"/>
                <w:kern w:val="0"/>
                <w:sz w:val="24"/>
              </w:rPr>
              <w:t>16</w:t>
            </w:r>
          </w:p>
        </w:tc>
        <w:tc>
          <w:tcPr>
            <w:tcW w:w="7655" w:type="dxa"/>
            <w:tcBorders>
              <w:top w:val="single" w:color="auto" w:sz="4" w:space="0"/>
              <w:left w:val="single" w:color="auto" w:sz="4" w:space="0"/>
              <w:bottom w:val="single" w:color="auto" w:sz="4" w:space="0"/>
              <w:right w:val="single" w:color="auto" w:sz="4" w:space="0"/>
            </w:tcBorders>
            <w:vAlign w:val="center"/>
          </w:tcPr>
          <w:p w14:paraId="327C8543">
            <w:pPr>
              <w:tabs>
                <w:tab w:val="left" w:pos="735"/>
                <w:tab w:val="left" w:pos="1254"/>
              </w:tabs>
              <w:spacing w:line="360" w:lineRule="auto"/>
              <w:rPr>
                <w:rFonts w:hint="eastAsia" w:ascii="宋体" w:hAnsi="宋体" w:cs="宋体"/>
                <w:bCs/>
                <w:sz w:val="24"/>
              </w:rPr>
            </w:pPr>
            <w:r>
              <w:rPr>
                <w:rFonts w:hint="eastAsia" w:ascii="宋体" w:hAnsi="宋体" w:cs="宋体"/>
                <w:bCs/>
                <w:sz w:val="24"/>
              </w:rPr>
              <w:t>投标文件的密封和标记：</w:t>
            </w:r>
          </w:p>
          <w:p w14:paraId="6E111DCC">
            <w:pPr>
              <w:tabs>
                <w:tab w:val="left" w:pos="735"/>
                <w:tab w:val="left" w:pos="1254"/>
              </w:tabs>
              <w:spacing w:line="360" w:lineRule="auto"/>
              <w:rPr>
                <w:rFonts w:hint="eastAsia" w:ascii="宋体" w:hAnsi="宋体" w:cs="宋体"/>
                <w:bCs/>
                <w:sz w:val="24"/>
                <w:lang w:val="zh-CN"/>
              </w:rPr>
            </w:pPr>
            <w:r>
              <w:rPr>
                <w:rFonts w:ascii="宋体" w:hAnsi="宋体" w:cs="宋体"/>
                <w:bCs/>
                <w:sz w:val="24"/>
              </w:rPr>
              <w:t>16</w:t>
            </w:r>
            <w:r>
              <w:rPr>
                <w:rFonts w:hint="eastAsia" w:ascii="宋体" w:hAnsi="宋体" w:cs="宋体"/>
                <w:bCs/>
                <w:sz w:val="24"/>
                <w:lang w:val="zh-CN"/>
              </w:rPr>
              <w:t>.1全部投标文件须1式</w:t>
            </w:r>
            <w:r>
              <w:rPr>
                <w:rFonts w:ascii="宋体" w:hAnsi="宋体" w:cs="宋体"/>
                <w:bCs/>
                <w:sz w:val="24"/>
                <w:lang w:val="zh-CN"/>
              </w:rPr>
              <w:t>6</w:t>
            </w:r>
            <w:r>
              <w:rPr>
                <w:rFonts w:hint="eastAsia" w:ascii="宋体" w:hAnsi="宋体" w:cs="宋体"/>
                <w:bCs/>
                <w:sz w:val="24"/>
                <w:lang w:val="zh-CN"/>
              </w:rPr>
              <w:t>份，正本1份，副本</w:t>
            </w:r>
            <w:r>
              <w:rPr>
                <w:rFonts w:ascii="宋体" w:hAnsi="宋体" w:cs="宋体"/>
                <w:bCs/>
                <w:sz w:val="24"/>
                <w:lang w:val="zh-CN"/>
              </w:rPr>
              <w:t>5</w:t>
            </w:r>
            <w:r>
              <w:rPr>
                <w:rFonts w:hint="eastAsia" w:ascii="宋体" w:hAnsi="宋体" w:cs="宋体"/>
                <w:bCs/>
                <w:sz w:val="24"/>
                <w:lang w:val="zh-CN"/>
              </w:rPr>
              <w:t>份，并注明“正本”和“副本”；投标文件电子版1份（PDF版本，U盘或光盘形式，不留密码，无病毒，内容应与投标人打印产生的纸质正本投标文件内容一致，如有不同，以纸质正本投标文件为准）；唱标信封1份（内含：投标一览表、投标保证金付款凭证截图/投标保证金的银行保函）。如果正本与副本不符，应以正本为准。投标文件应由投标人的合法授权代表正式签署，任何更改（如有）应由原签署人签字。</w:t>
            </w:r>
          </w:p>
          <w:p w14:paraId="21B11FBC">
            <w:pPr>
              <w:spacing w:line="360" w:lineRule="auto"/>
              <w:rPr>
                <w:rFonts w:hint="eastAsia" w:ascii="宋体" w:hAnsi="宋体" w:cs="宋体"/>
                <w:bCs/>
                <w:sz w:val="24"/>
              </w:rPr>
            </w:pPr>
            <w:r>
              <w:rPr>
                <w:rFonts w:ascii="宋体" w:hAnsi="宋体" w:cs="宋体"/>
                <w:bCs/>
                <w:sz w:val="24"/>
              </w:rPr>
              <w:t>16</w:t>
            </w:r>
            <w:r>
              <w:rPr>
                <w:rFonts w:hint="eastAsia" w:ascii="宋体" w:hAnsi="宋体" w:cs="宋体"/>
                <w:bCs/>
                <w:sz w:val="24"/>
              </w:rPr>
              <w:t>.2</w:t>
            </w:r>
            <w:r>
              <w:rPr>
                <w:rFonts w:hint="eastAsia" w:ascii="宋体" w:hAnsi="宋体" w:cs="宋体"/>
                <w:b/>
                <w:sz w:val="24"/>
              </w:rPr>
              <w:t>所有投标文件必须封入密封的信封或包装，在封口处加盖投标人的公章或由法定代表人（或授权代表）签字或加盖法定代表人人名章。投标文件的①正本（正本里须含投标一览表）、②副本、③唱标信封（内含：投标一览表、投标保证金付款凭证截图/投标保证金的银行保函）、④电子版应分别封装。</w:t>
            </w:r>
            <w:r>
              <w:rPr>
                <w:rFonts w:hint="eastAsia" w:ascii="宋体" w:hAnsi="宋体" w:cs="宋体"/>
                <w:bCs/>
                <w:sz w:val="24"/>
              </w:rPr>
              <w:t>采购代理机构对不可抗力事件造成的投标文件的损坏、丢失不承担任何责任。</w:t>
            </w:r>
          </w:p>
          <w:p w14:paraId="231B3642">
            <w:pPr>
              <w:spacing w:line="360" w:lineRule="auto"/>
              <w:rPr>
                <w:rFonts w:hint="eastAsia" w:ascii="宋体" w:hAnsi="宋体" w:cs="宋体"/>
                <w:b/>
                <w:sz w:val="24"/>
              </w:rPr>
            </w:pPr>
            <w:r>
              <w:rPr>
                <w:rFonts w:ascii="宋体" w:hAnsi="宋体" w:cs="宋体"/>
                <w:bCs/>
                <w:sz w:val="24"/>
              </w:rPr>
              <w:t>16</w:t>
            </w:r>
            <w:r>
              <w:rPr>
                <w:rFonts w:hint="eastAsia" w:ascii="宋体" w:hAnsi="宋体" w:cs="宋体"/>
                <w:bCs/>
                <w:sz w:val="24"/>
              </w:rPr>
              <w:t>.3</w:t>
            </w:r>
            <w:r>
              <w:rPr>
                <w:rFonts w:hint="eastAsia" w:ascii="宋体" w:hAnsi="宋体" w:cs="宋体"/>
                <w:b/>
                <w:sz w:val="24"/>
              </w:rPr>
              <w:t>密封袋上应当至少载明以下信息：</w:t>
            </w:r>
          </w:p>
          <w:p w14:paraId="65FD35FA">
            <w:pPr>
              <w:spacing w:line="360" w:lineRule="auto"/>
              <w:ind w:left="723" w:hanging="723" w:hangingChars="300"/>
              <w:jc w:val="left"/>
              <w:rPr>
                <w:rFonts w:hint="eastAsia" w:ascii="宋体" w:hAnsi="宋体" w:cs="宋体"/>
                <w:b/>
                <w:sz w:val="24"/>
              </w:rPr>
            </w:pPr>
            <w:r>
              <w:rPr>
                <w:rFonts w:hint="eastAsia" w:ascii="宋体" w:hAnsi="宋体" w:cs="宋体"/>
                <w:b/>
                <w:sz w:val="24"/>
              </w:rPr>
              <w:t>项目名称、招标编号（项目编号）、正本/副本/电子版/投标一</w:t>
            </w:r>
          </w:p>
          <w:p w14:paraId="3E0C93E8">
            <w:pPr>
              <w:spacing w:line="360" w:lineRule="auto"/>
              <w:ind w:left="723" w:hanging="723" w:hangingChars="300"/>
              <w:jc w:val="left"/>
              <w:rPr>
                <w:rFonts w:hint="eastAsia" w:ascii="宋体" w:hAnsi="宋体" w:cs="宋体"/>
                <w:b/>
                <w:sz w:val="24"/>
              </w:rPr>
            </w:pPr>
            <w:r>
              <w:rPr>
                <w:rFonts w:hint="eastAsia" w:ascii="宋体" w:hAnsi="宋体" w:cs="宋体"/>
                <w:b/>
                <w:sz w:val="24"/>
              </w:rPr>
              <w:t>览表、投标人名称、投标人地址、</w:t>
            </w:r>
          </w:p>
          <w:p w14:paraId="03930E31">
            <w:pPr>
              <w:spacing w:line="360" w:lineRule="auto"/>
              <w:ind w:left="723" w:hanging="723" w:hangingChars="300"/>
              <w:jc w:val="left"/>
              <w:rPr>
                <w:rFonts w:hint="eastAsia" w:ascii="宋体" w:hAnsi="宋体" w:cs="宋体"/>
                <w:b/>
                <w:sz w:val="24"/>
              </w:rPr>
            </w:pPr>
            <w:r>
              <w:rPr>
                <w:rFonts w:hint="eastAsia" w:ascii="宋体" w:hAnsi="宋体" w:cs="宋体"/>
                <w:b/>
                <w:sz w:val="24"/>
              </w:rPr>
              <w:t xml:space="preserve">“在 </w:t>
            </w:r>
            <w:r>
              <w:rPr>
                <w:rFonts w:ascii="宋体" w:hAnsi="宋体" w:cs="宋体"/>
                <w:b/>
                <w:sz w:val="24"/>
              </w:rPr>
              <w:t xml:space="preserve"> </w:t>
            </w:r>
            <w:r>
              <w:rPr>
                <w:rFonts w:hint="eastAsia" w:ascii="宋体" w:hAnsi="宋体" w:cs="宋体"/>
                <w:b/>
                <w:sz w:val="24"/>
              </w:rPr>
              <w:t xml:space="preserve">年 </w:t>
            </w:r>
            <w:r>
              <w:rPr>
                <w:rFonts w:ascii="宋体" w:hAnsi="宋体" w:cs="宋体"/>
                <w:b/>
                <w:sz w:val="24"/>
              </w:rPr>
              <w:t xml:space="preserve"> </w:t>
            </w:r>
            <w:r>
              <w:rPr>
                <w:rFonts w:hint="eastAsia" w:ascii="宋体" w:hAnsi="宋体" w:cs="宋体"/>
                <w:b/>
                <w:sz w:val="24"/>
              </w:rPr>
              <w:t xml:space="preserve">月 </w:t>
            </w:r>
            <w:r>
              <w:rPr>
                <w:rFonts w:ascii="宋体" w:hAnsi="宋体" w:cs="宋体"/>
                <w:b/>
                <w:sz w:val="24"/>
              </w:rPr>
              <w:t xml:space="preserve"> </w:t>
            </w:r>
            <w:r>
              <w:rPr>
                <w:rFonts w:hint="eastAsia" w:ascii="宋体" w:hAnsi="宋体" w:cs="宋体"/>
                <w:b/>
                <w:sz w:val="24"/>
              </w:rPr>
              <w:t xml:space="preserve">日 </w:t>
            </w:r>
            <w:r>
              <w:rPr>
                <w:rFonts w:ascii="宋体" w:hAnsi="宋体" w:cs="宋体"/>
                <w:b/>
                <w:sz w:val="24"/>
              </w:rPr>
              <w:t xml:space="preserve"> </w:t>
            </w:r>
            <w:r>
              <w:rPr>
                <w:rFonts w:hint="eastAsia" w:ascii="宋体" w:hAnsi="宋体" w:cs="宋体"/>
                <w:b/>
                <w:sz w:val="24"/>
              </w:rPr>
              <w:t xml:space="preserve">时 </w:t>
            </w:r>
            <w:r>
              <w:rPr>
                <w:rFonts w:ascii="宋体" w:hAnsi="宋体" w:cs="宋体"/>
                <w:b/>
                <w:sz w:val="24"/>
              </w:rPr>
              <w:t xml:space="preserve"> </w:t>
            </w:r>
            <w:r>
              <w:rPr>
                <w:rFonts w:hint="eastAsia" w:ascii="宋体" w:hAnsi="宋体" w:cs="宋体"/>
                <w:b/>
                <w:sz w:val="24"/>
              </w:rPr>
              <w:t>分（开标时间）前不得开启”字样。</w:t>
            </w:r>
          </w:p>
          <w:p w14:paraId="3B941849">
            <w:pPr>
              <w:spacing w:line="360" w:lineRule="auto"/>
              <w:rPr>
                <w:rFonts w:hint="eastAsia" w:ascii="宋体" w:hAnsi="宋体" w:cs="宋体"/>
                <w:bCs/>
                <w:sz w:val="24"/>
              </w:rPr>
            </w:pPr>
            <w:r>
              <w:rPr>
                <w:rFonts w:ascii="宋体" w:hAnsi="宋体" w:cs="宋体"/>
                <w:bCs/>
                <w:sz w:val="24"/>
              </w:rPr>
              <w:t>16</w:t>
            </w:r>
            <w:r>
              <w:rPr>
                <w:rFonts w:hint="eastAsia" w:ascii="宋体" w:hAnsi="宋体" w:cs="宋体"/>
                <w:bCs/>
                <w:sz w:val="24"/>
              </w:rPr>
              <w:t>.4投标文件正本与副本应采用胶装左侧固定方式，分别装订成册并编制目录。不得采用活页夹等随时拆换的方式装订，不得有零散页。应当按照采购文件要求，在投标文件正本的规定位置加盖公章，副本可为正本的复印件。</w:t>
            </w:r>
            <w:r>
              <w:rPr>
                <w:rFonts w:hint="eastAsia" w:ascii="宋体" w:hAnsi="宋体" w:cs="宋体"/>
                <w:b/>
                <w:sz w:val="24"/>
              </w:rPr>
              <w:t>正本和副本封面应清晰标记“正本”或“副本”字样。</w:t>
            </w:r>
            <w:r>
              <w:rPr>
                <w:rFonts w:hint="eastAsia" w:ascii="宋体" w:hAnsi="宋体" w:cs="宋体"/>
                <w:bCs/>
                <w:sz w:val="24"/>
              </w:rPr>
              <w:t>投标人应当在投标文件加盖与当事人名称全称相一致的标准公章。正本和副本分别封入密封的信封或包装，加贴封条，</w:t>
            </w:r>
            <w:r>
              <w:rPr>
                <w:rFonts w:hint="eastAsia" w:ascii="宋体" w:hAnsi="宋体"/>
                <w:sz w:val="24"/>
              </w:rPr>
              <w:t>封套封口处加盖投标人单位公章，或由法定代表人（或授权代表）签字，或加盖法定代表人人名章</w:t>
            </w:r>
            <w:r>
              <w:rPr>
                <w:rFonts w:hint="eastAsia" w:ascii="宋体" w:hAnsi="宋体" w:cs="宋体"/>
                <w:bCs/>
                <w:sz w:val="24"/>
              </w:rPr>
              <w:t>。</w:t>
            </w:r>
          </w:p>
          <w:p w14:paraId="3B7481FC">
            <w:pPr>
              <w:adjustRightInd w:val="0"/>
              <w:snapToGrid w:val="0"/>
              <w:spacing w:line="360" w:lineRule="auto"/>
              <w:rPr>
                <w:rFonts w:hint="eastAsia" w:ascii="宋体" w:hAnsi="宋体" w:cs="宋体"/>
                <w:bCs/>
                <w:sz w:val="24"/>
              </w:rPr>
            </w:pPr>
            <w:r>
              <w:rPr>
                <w:rFonts w:ascii="宋体" w:hAnsi="宋体" w:cs="宋体"/>
                <w:bCs/>
                <w:sz w:val="24"/>
              </w:rPr>
              <w:t>16</w:t>
            </w:r>
            <w:r>
              <w:rPr>
                <w:rFonts w:hint="eastAsia" w:ascii="宋体" w:hAnsi="宋体" w:cs="宋体"/>
                <w:bCs/>
                <w:sz w:val="24"/>
              </w:rPr>
              <w:t>.5</w:t>
            </w:r>
            <w:r>
              <w:rPr>
                <w:rFonts w:hint="eastAsia" w:ascii="宋体" w:hAnsi="宋体" w:cs="宋体"/>
                <w:b/>
                <w:sz w:val="24"/>
              </w:rPr>
              <w:t>投标文件电子版密封方式：单独放入一个密封袋中，加贴封条，并标记“电子版”字样</w:t>
            </w:r>
            <w:r>
              <w:rPr>
                <w:rFonts w:hint="eastAsia" w:ascii="宋体" w:hAnsi="宋体" w:cs="宋体"/>
                <w:bCs/>
                <w:sz w:val="24"/>
              </w:rPr>
              <w:t>。密封袋上还应写明的内容与投标人须知资料表1</w:t>
            </w:r>
            <w:r>
              <w:rPr>
                <w:rFonts w:ascii="宋体" w:hAnsi="宋体" w:cs="宋体"/>
                <w:bCs/>
                <w:sz w:val="24"/>
              </w:rPr>
              <w:t>6</w:t>
            </w:r>
            <w:r>
              <w:rPr>
                <w:rFonts w:hint="eastAsia" w:ascii="宋体" w:hAnsi="宋体" w:cs="宋体"/>
                <w:bCs/>
                <w:sz w:val="24"/>
              </w:rPr>
              <w:t>.3条款所要求一致。</w:t>
            </w:r>
            <w:r>
              <w:rPr>
                <w:rFonts w:hint="eastAsia" w:ascii="宋体" w:hAnsi="宋体"/>
                <w:sz w:val="24"/>
              </w:rPr>
              <w:t>封套封口处加盖投标人单位公章，或由法定代表人（或授权代表）签字，或加盖法定代表人人名章</w:t>
            </w:r>
            <w:r>
              <w:rPr>
                <w:rFonts w:hint="eastAsia" w:ascii="宋体" w:hAnsi="宋体" w:cs="宋体"/>
                <w:bCs/>
                <w:sz w:val="24"/>
              </w:rPr>
              <w:t>。</w:t>
            </w:r>
          </w:p>
          <w:p w14:paraId="7FAB75BD">
            <w:pPr>
              <w:adjustRightInd w:val="0"/>
              <w:snapToGrid w:val="0"/>
              <w:spacing w:line="360" w:lineRule="auto"/>
              <w:rPr>
                <w:rFonts w:hint="eastAsia" w:ascii="宋体" w:hAnsi="宋体" w:cs="宋体"/>
                <w:bCs/>
                <w:sz w:val="24"/>
              </w:rPr>
            </w:pPr>
            <w:r>
              <w:rPr>
                <w:rFonts w:ascii="宋体" w:hAnsi="宋体" w:cs="宋体"/>
                <w:bCs/>
                <w:sz w:val="24"/>
              </w:rPr>
              <w:t>16</w:t>
            </w:r>
            <w:r>
              <w:rPr>
                <w:rFonts w:hint="eastAsia" w:ascii="宋体" w:hAnsi="宋体" w:cs="宋体"/>
                <w:bCs/>
                <w:sz w:val="24"/>
              </w:rPr>
              <w:t>.6</w:t>
            </w:r>
            <w:r>
              <w:rPr>
                <w:rFonts w:hint="eastAsia" w:ascii="宋体" w:hAnsi="宋体" w:cs="宋体"/>
                <w:b/>
                <w:sz w:val="24"/>
              </w:rPr>
              <w:t>唱标信封密封方式：投标一览表、投标保证金付款凭证截图/投标保证金的银行保函一同单独放入一个密封袋中，加贴封条，并标记“投标一览表”字样。</w:t>
            </w:r>
            <w:r>
              <w:rPr>
                <w:rFonts w:hint="eastAsia" w:ascii="宋体" w:hAnsi="宋体" w:cs="宋体"/>
                <w:bCs/>
                <w:sz w:val="24"/>
              </w:rPr>
              <w:t>密封袋上还应写明的内容与投标人须知资料表</w:t>
            </w:r>
            <w:r>
              <w:rPr>
                <w:rFonts w:ascii="宋体" w:hAnsi="宋体" w:cs="宋体"/>
                <w:bCs/>
                <w:sz w:val="24"/>
              </w:rPr>
              <w:t>16</w:t>
            </w:r>
            <w:r>
              <w:rPr>
                <w:rFonts w:hint="eastAsia" w:ascii="宋体" w:hAnsi="宋体" w:cs="宋体"/>
                <w:bCs/>
                <w:sz w:val="24"/>
              </w:rPr>
              <w:t>.3条款所要求一致。</w:t>
            </w:r>
            <w:r>
              <w:rPr>
                <w:rFonts w:hint="eastAsia" w:ascii="宋体" w:hAnsi="宋体"/>
                <w:sz w:val="24"/>
              </w:rPr>
              <w:t>封套封口处加盖投标人单位公章，或由法定代表人（或授权代表）签字，或加盖法定代表人人名章</w:t>
            </w:r>
            <w:r>
              <w:rPr>
                <w:rFonts w:hint="eastAsia" w:ascii="宋体" w:hAnsi="宋体" w:cs="宋体"/>
                <w:bCs/>
                <w:sz w:val="24"/>
              </w:rPr>
              <w:t>。</w:t>
            </w:r>
          </w:p>
          <w:p w14:paraId="6FD0C1A7">
            <w:pPr>
              <w:pStyle w:val="36"/>
              <w:spacing w:line="360" w:lineRule="auto"/>
              <w:ind w:left="0" w:leftChars="0" w:firstLine="0" w:firstLineChars="0"/>
              <w:rPr>
                <w:rFonts w:hint="eastAsia" w:asciiTheme="minorEastAsia" w:hAnsiTheme="minorEastAsia" w:eastAsiaTheme="minorEastAsia"/>
                <w:b/>
              </w:rPr>
            </w:pPr>
            <w:r>
              <w:rPr>
                <w:rFonts w:hint="eastAsia" w:cs="宋体" w:asciiTheme="minorEastAsia" w:hAnsiTheme="minorEastAsia" w:eastAsiaTheme="minorEastAsia"/>
                <w:b/>
                <w:sz w:val="24"/>
              </w:rPr>
              <w:t>★1</w:t>
            </w:r>
            <w:r>
              <w:rPr>
                <w:rFonts w:cs="宋体" w:asciiTheme="minorEastAsia" w:hAnsiTheme="minorEastAsia" w:eastAsiaTheme="minorEastAsia"/>
                <w:b/>
                <w:sz w:val="24"/>
              </w:rPr>
              <w:t>6.7</w:t>
            </w:r>
            <w:r>
              <w:rPr>
                <w:rFonts w:hint="eastAsia" w:cs="宋体" w:asciiTheme="minorEastAsia" w:hAnsiTheme="minorEastAsia" w:eastAsiaTheme="minorEastAsia"/>
                <w:b/>
                <w:sz w:val="24"/>
              </w:rPr>
              <w:t>若投标人使用其它（如带有“**专用章”等字样）的印章，则必须提供关于使用其它印章与公章同等法律效力的授权说明文件并加盖公章，否则将被视为无效响应。</w:t>
            </w:r>
          </w:p>
        </w:tc>
      </w:tr>
      <w:tr w14:paraId="34C92C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trPr>
        <w:tc>
          <w:tcPr>
            <w:tcW w:w="1134" w:type="dxa"/>
            <w:tcBorders>
              <w:top w:val="single" w:color="auto" w:sz="4" w:space="0"/>
              <w:left w:val="single" w:color="auto" w:sz="4" w:space="0"/>
              <w:bottom w:val="single" w:color="auto" w:sz="4" w:space="0"/>
              <w:right w:val="single" w:color="auto" w:sz="4" w:space="0"/>
            </w:tcBorders>
            <w:vAlign w:val="center"/>
          </w:tcPr>
          <w:p w14:paraId="03418B0B">
            <w:pPr>
              <w:autoSpaceDE w:val="0"/>
              <w:autoSpaceDN w:val="0"/>
              <w:adjustRightInd w:val="0"/>
              <w:spacing w:line="360" w:lineRule="auto"/>
              <w:ind w:firstLine="240" w:firstLineChars="100"/>
              <w:rPr>
                <w:rFonts w:hint="eastAsia" w:ascii="宋体" w:hAnsi="宋体"/>
                <w:kern w:val="0"/>
                <w:sz w:val="24"/>
              </w:rPr>
            </w:pPr>
            <w:r>
              <w:rPr>
                <w:rFonts w:ascii="宋体" w:hAnsi="宋体"/>
                <w:kern w:val="0"/>
                <w:sz w:val="24"/>
              </w:rPr>
              <w:t>17</w:t>
            </w:r>
          </w:p>
        </w:tc>
        <w:tc>
          <w:tcPr>
            <w:tcW w:w="7655" w:type="dxa"/>
            <w:tcBorders>
              <w:top w:val="single" w:color="auto" w:sz="4" w:space="0"/>
              <w:left w:val="single" w:color="auto" w:sz="4" w:space="0"/>
              <w:bottom w:val="single" w:color="auto" w:sz="4" w:space="0"/>
              <w:right w:val="single" w:color="auto" w:sz="4" w:space="0"/>
            </w:tcBorders>
            <w:vAlign w:val="center"/>
          </w:tcPr>
          <w:p w14:paraId="047FC585">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kern w:val="0"/>
                <w:sz w:val="24"/>
              </w:rPr>
              <w:t>现场递交</w:t>
            </w:r>
            <w:r>
              <w:rPr>
                <w:rFonts w:hint="eastAsia" w:ascii="宋体" w:hAnsi="宋体" w:cs="宋体"/>
                <w:kern w:val="0"/>
                <w:sz w:val="24"/>
                <w:lang w:val="zh-CN"/>
              </w:rPr>
              <w:t>投标</w:t>
            </w:r>
            <w:r>
              <w:rPr>
                <w:rFonts w:hint="eastAsia" w:ascii="宋体" w:hAnsi="宋体" w:cs="宋体"/>
                <w:kern w:val="0"/>
                <w:sz w:val="24"/>
              </w:rPr>
              <w:t>文件</w:t>
            </w:r>
            <w:r>
              <w:rPr>
                <w:rFonts w:hint="eastAsia" w:ascii="宋体" w:hAnsi="宋体" w:cs="宋体"/>
                <w:kern w:val="0"/>
                <w:sz w:val="24"/>
                <w:lang w:val="zh-CN"/>
              </w:rPr>
              <w:t>时，投标人代表（仅限法</w:t>
            </w:r>
            <w:r>
              <w:rPr>
                <w:rFonts w:hint="eastAsia" w:ascii="宋体" w:hAnsi="宋体" w:cs="宋体"/>
                <w:kern w:val="0"/>
                <w:sz w:val="24"/>
              </w:rPr>
              <w:t>定</w:t>
            </w:r>
            <w:r>
              <w:rPr>
                <w:rFonts w:hint="eastAsia" w:ascii="宋体" w:hAnsi="宋体" w:cs="宋体"/>
                <w:kern w:val="0"/>
                <w:sz w:val="24"/>
                <w:lang w:val="zh-CN"/>
              </w:rPr>
              <w:t>代表</w:t>
            </w:r>
            <w:r>
              <w:rPr>
                <w:rFonts w:hint="eastAsia" w:ascii="宋体" w:hAnsi="宋体" w:cs="宋体"/>
                <w:kern w:val="0"/>
                <w:sz w:val="24"/>
              </w:rPr>
              <w:t>人</w:t>
            </w:r>
            <w:r>
              <w:rPr>
                <w:rFonts w:hint="eastAsia" w:ascii="宋体" w:hAnsi="宋体" w:cs="宋体"/>
                <w:kern w:val="0"/>
                <w:sz w:val="24"/>
                <w:lang w:val="zh-CN"/>
              </w:rPr>
              <w:t>或</w:t>
            </w:r>
            <w:r>
              <w:rPr>
                <w:rFonts w:hint="eastAsia" w:ascii="宋体" w:hAnsi="宋体" w:cs="宋体"/>
                <w:kern w:val="0"/>
                <w:sz w:val="24"/>
              </w:rPr>
              <w:t>授权代表</w:t>
            </w:r>
            <w:r>
              <w:rPr>
                <w:rFonts w:hint="eastAsia" w:ascii="宋体" w:hAnsi="宋体" w:cs="宋体"/>
                <w:kern w:val="0"/>
                <w:sz w:val="24"/>
                <w:lang w:val="zh-CN"/>
              </w:rPr>
              <w:t>）需携带</w:t>
            </w:r>
            <w:r>
              <w:rPr>
                <w:rFonts w:hint="eastAsia" w:ascii="宋体" w:hAnsi="宋体" w:cs="宋体"/>
                <w:kern w:val="0"/>
                <w:sz w:val="24"/>
              </w:rPr>
              <w:t>法定代表人资格证明书</w:t>
            </w:r>
            <w:r>
              <w:rPr>
                <w:rFonts w:hint="eastAsia" w:ascii="宋体" w:hAnsi="宋体" w:cs="仿宋_GB2312"/>
                <w:sz w:val="24"/>
              </w:rPr>
              <w:t>（复印件）</w:t>
            </w:r>
            <w:r>
              <w:rPr>
                <w:rFonts w:hint="eastAsia" w:ascii="宋体" w:hAnsi="宋体" w:cs="宋体"/>
                <w:kern w:val="0"/>
                <w:sz w:val="24"/>
              </w:rPr>
              <w:t>/</w:t>
            </w:r>
            <w:r>
              <w:rPr>
                <w:rFonts w:hint="eastAsia" w:ascii="宋体" w:hAnsi="宋体" w:cs="仿宋_GB2312"/>
                <w:sz w:val="24"/>
              </w:rPr>
              <w:t>法定代表人授权委托书（复印件）、</w:t>
            </w:r>
            <w:r>
              <w:rPr>
                <w:rFonts w:hint="eastAsia" w:ascii="宋体" w:hAnsi="宋体" w:cs="宋体"/>
                <w:kern w:val="0"/>
                <w:sz w:val="24"/>
                <w:lang w:val="zh-CN"/>
              </w:rPr>
              <w:t>有效身份证件原件</w:t>
            </w:r>
            <w:r>
              <w:rPr>
                <w:rFonts w:hint="eastAsia" w:ascii="宋体" w:hAnsi="宋体" w:cs="宋体"/>
                <w:kern w:val="0"/>
                <w:sz w:val="24"/>
              </w:rPr>
              <w:t>或</w:t>
            </w:r>
            <w:r>
              <w:rPr>
                <w:rFonts w:hint="eastAsia" w:ascii="宋体" w:hAnsi="宋体" w:cs="宋体"/>
                <w:kern w:val="0"/>
                <w:sz w:val="24"/>
                <w:lang w:val="zh-CN"/>
              </w:rPr>
              <w:t>有效身份证件复印件（加盖公章），并于开标</w:t>
            </w:r>
            <w:r>
              <w:rPr>
                <w:rFonts w:hint="eastAsia" w:ascii="宋体" w:hAnsi="宋体" w:cs="宋体"/>
                <w:kern w:val="0"/>
                <w:sz w:val="24"/>
              </w:rPr>
              <w:t>时间</w:t>
            </w:r>
            <w:r>
              <w:rPr>
                <w:rFonts w:hint="eastAsia" w:ascii="宋体" w:hAnsi="宋体" w:cs="宋体"/>
                <w:kern w:val="0"/>
                <w:sz w:val="24"/>
                <w:lang w:val="zh-CN"/>
              </w:rPr>
              <w:t>前到达开标现场。</w:t>
            </w:r>
          </w:p>
        </w:tc>
      </w:tr>
      <w:tr w14:paraId="04206B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134" w:type="dxa"/>
            <w:tcBorders>
              <w:top w:val="single" w:color="auto" w:sz="4" w:space="0"/>
              <w:left w:val="single" w:color="auto" w:sz="4" w:space="0"/>
              <w:bottom w:val="single" w:color="auto" w:sz="4" w:space="0"/>
              <w:right w:val="single" w:color="auto" w:sz="4" w:space="0"/>
            </w:tcBorders>
            <w:vAlign w:val="center"/>
          </w:tcPr>
          <w:p w14:paraId="24B74989">
            <w:pPr>
              <w:autoSpaceDE w:val="0"/>
              <w:autoSpaceDN w:val="0"/>
              <w:adjustRightInd w:val="0"/>
              <w:spacing w:line="360" w:lineRule="auto"/>
              <w:jc w:val="center"/>
              <w:rPr>
                <w:rFonts w:hint="eastAsia" w:ascii="宋体" w:hAnsi="宋体"/>
                <w:kern w:val="0"/>
                <w:sz w:val="24"/>
              </w:rPr>
            </w:pPr>
            <w:r>
              <w:rPr>
                <w:rFonts w:ascii="宋体" w:hAnsi="宋体"/>
                <w:kern w:val="0"/>
                <w:sz w:val="24"/>
              </w:rPr>
              <w:t>18</w:t>
            </w:r>
          </w:p>
        </w:tc>
        <w:tc>
          <w:tcPr>
            <w:tcW w:w="7655" w:type="dxa"/>
            <w:tcBorders>
              <w:top w:val="single" w:color="auto" w:sz="4" w:space="0"/>
              <w:left w:val="single" w:color="auto" w:sz="4" w:space="0"/>
              <w:bottom w:val="single" w:color="auto" w:sz="4" w:space="0"/>
              <w:right w:val="single" w:color="auto" w:sz="4" w:space="0"/>
            </w:tcBorders>
            <w:vAlign w:val="center"/>
          </w:tcPr>
          <w:p w14:paraId="268CD6FD">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投标文件递交地点：</w:t>
            </w:r>
            <w:r>
              <w:rPr>
                <w:rFonts w:hint="eastAsia" w:ascii="宋体" w:hAnsi="宋体" w:cs="宋体"/>
                <w:kern w:val="0"/>
                <w:sz w:val="24"/>
              </w:rPr>
              <w:t>详见“第一章 投标邀请”</w:t>
            </w:r>
          </w:p>
        </w:tc>
      </w:tr>
      <w:tr w14:paraId="25A5EF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1134" w:type="dxa"/>
            <w:tcBorders>
              <w:top w:val="single" w:color="auto" w:sz="4" w:space="0"/>
              <w:left w:val="single" w:color="auto" w:sz="4" w:space="0"/>
              <w:bottom w:val="single" w:color="auto" w:sz="4" w:space="0"/>
              <w:right w:val="single" w:color="auto" w:sz="4" w:space="0"/>
            </w:tcBorders>
            <w:vAlign w:val="center"/>
          </w:tcPr>
          <w:p w14:paraId="6AC18B27">
            <w:pPr>
              <w:autoSpaceDE w:val="0"/>
              <w:autoSpaceDN w:val="0"/>
              <w:adjustRightInd w:val="0"/>
              <w:spacing w:line="360" w:lineRule="auto"/>
              <w:jc w:val="center"/>
              <w:rPr>
                <w:rFonts w:hint="eastAsia" w:ascii="宋体" w:hAnsi="宋体"/>
                <w:kern w:val="0"/>
                <w:sz w:val="24"/>
              </w:rPr>
            </w:pPr>
            <w:r>
              <w:rPr>
                <w:rFonts w:ascii="宋体" w:hAnsi="宋体"/>
                <w:kern w:val="0"/>
                <w:sz w:val="24"/>
              </w:rPr>
              <w:t>19</w:t>
            </w:r>
          </w:p>
        </w:tc>
        <w:tc>
          <w:tcPr>
            <w:tcW w:w="7655" w:type="dxa"/>
            <w:tcBorders>
              <w:top w:val="single" w:color="auto" w:sz="4" w:space="0"/>
              <w:left w:val="single" w:color="auto" w:sz="4" w:space="0"/>
              <w:bottom w:val="single" w:color="auto" w:sz="4" w:space="0"/>
              <w:right w:val="single" w:color="auto" w:sz="4" w:space="0"/>
            </w:tcBorders>
            <w:vAlign w:val="center"/>
          </w:tcPr>
          <w:p w14:paraId="1E044A5F">
            <w:pPr>
              <w:autoSpaceDE w:val="0"/>
              <w:autoSpaceDN w:val="0"/>
              <w:adjustRightInd w:val="0"/>
              <w:spacing w:line="360" w:lineRule="auto"/>
              <w:jc w:val="left"/>
              <w:rPr>
                <w:rFonts w:hint="eastAsia" w:ascii="宋体" w:hAnsi="宋体"/>
                <w:bCs/>
                <w:kern w:val="0"/>
                <w:sz w:val="24"/>
              </w:rPr>
            </w:pPr>
            <w:r>
              <w:rPr>
                <w:rFonts w:hint="eastAsia" w:ascii="宋体" w:hAnsi="宋体" w:cs="宋体"/>
                <w:bCs/>
                <w:kern w:val="0"/>
                <w:sz w:val="24"/>
                <w:lang w:val="zh-CN"/>
              </w:rPr>
              <w:t>投标文件递交截止时间：</w:t>
            </w:r>
            <w:r>
              <w:rPr>
                <w:rFonts w:hint="eastAsia" w:ascii="宋体" w:hAnsi="宋体" w:cs="宋体"/>
                <w:kern w:val="0"/>
                <w:sz w:val="24"/>
              </w:rPr>
              <w:t>详见“第一章 投标邀请”</w:t>
            </w:r>
          </w:p>
        </w:tc>
      </w:tr>
      <w:tr w14:paraId="24BEBD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5" w:hRule="atLeast"/>
        </w:trPr>
        <w:tc>
          <w:tcPr>
            <w:tcW w:w="1134" w:type="dxa"/>
            <w:tcBorders>
              <w:top w:val="single" w:color="auto" w:sz="4" w:space="0"/>
              <w:left w:val="single" w:color="auto" w:sz="4" w:space="0"/>
              <w:bottom w:val="single" w:color="auto" w:sz="4" w:space="0"/>
              <w:right w:val="single" w:color="auto" w:sz="4" w:space="0"/>
            </w:tcBorders>
            <w:vAlign w:val="center"/>
          </w:tcPr>
          <w:p w14:paraId="69E5157F">
            <w:pPr>
              <w:autoSpaceDE w:val="0"/>
              <w:autoSpaceDN w:val="0"/>
              <w:adjustRightInd w:val="0"/>
              <w:spacing w:line="360" w:lineRule="auto"/>
              <w:jc w:val="center"/>
              <w:rPr>
                <w:rFonts w:hint="eastAsia" w:ascii="宋体" w:hAnsi="宋体"/>
                <w:kern w:val="0"/>
                <w:sz w:val="24"/>
              </w:rPr>
            </w:pPr>
            <w:r>
              <w:rPr>
                <w:rFonts w:ascii="宋体" w:hAnsi="宋体"/>
                <w:kern w:val="0"/>
                <w:sz w:val="24"/>
              </w:rPr>
              <w:t>20</w:t>
            </w:r>
          </w:p>
        </w:tc>
        <w:tc>
          <w:tcPr>
            <w:tcW w:w="7655" w:type="dxa"/>
            <w:tcBorders>
              <w:top w:val="single" w:color="auto" w:sz="4" w:space="0"/>
              <w:left w:val="single" w:color="auto" w:sz="4" w:space="0"/>
              <w:bottom w:val="single" w:color="auto" w:sz="4" w:space="0"/>
              <w:right w:val="single" w:color="auto" w:sz="4" w:space="0"/>
            </w:tcBorders>
            <w:vAlign w:val="center"/>
          </w:tcPr>
          <w:p w14:paraId="14769855">
            <w:pPr>
              <w:autoSpaceDE w:val="0"/>
              <w:autoSpaceDN w:val="0"/>
              <w:adjustRightInd w:val="0"/>
              <w:spacing w:line="360" w:lineRule="auto"/>
              <w:rPr>
                <w:rFonts w:hint="eastAsia" w:ascii="宋体" w:hAnsi="宋体"/>
                <w:bCs/>
                <w:kern w:val="0"/>
                <w:sz w:val="24"/>
              </w:rPr>
            </w:pPr>
            <w:r>
              <w:rPr>
                <w:rFonts w:hint="eastAsia" w:ascii="宋体" w:hAnsi="宋体" w:cs="宋体"/>
                <w:bCs/>
                <w:kern w:val="0"/>
                <w:sz w:val="24"/>
                <w:lang w:val="zh-CN"/>
              </w:rPr>
              <w:t>开标时间、</w:t>
            </w:r>
            <w:r>
              <w:rPr>
                <w:rFonts w:hint="eastAsia" w:ascii="宋体" w:hAnsi="宋体" w:cs="宋体"/>
                <w:bCs/>
                <w:kern w:val="0"/>
                <w:sz w:val="24"/>
              </w:rPr>
              <w:t>地点：</w:t>
            </w:r>
            <w:r>
              <w:rPr>
                <w:rFonts w:hint="eastAsia" w:ascii="宋体" w:hAnsi="宋体" w:cs="宋体"/>
                <w:kern w:val="0"/>
                <w:sz w:val="24"/>
              </w:rPr>
              <w:t>详见“第一章 投标邀请”</w:t>
            </w:r>
          </w:p>
        </w:tc>
      </w:tr>
      <w:tr w14:paraId="71074A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1134" w:type="dxa"/>
            <w:tcBorders>
              <w:top w:val="single" w:color="auto" w:sz="4" w:space="0"/>
              <w:left w:val="single" w:color="auto" w:sz="4" w:space="0"/>
              <w:bottom w:val="single" w:color="auto" w:sz="4" w:space="0"/>
              <w:right w:val="single" w:color="auto" w:sz="4" w:space="0"/>
            </w:tcBorders>
            <w:vAlign w:val="center"/>
          </w:tcPr>
          <w:p w14:paraId="447DD800">
            <w:pPr>
              <w:autoSpaceDE w:val="0"/>
              <w:autoSpaceDN w:val="0"/>
              <w:adjustRightInd w:val="0"/>
              <w:spacing w:line="360" w:lineRule="auto"/>
              <w:jc w:val="center"/>
              <w:rPr>
                <w:rFonts w:hint="eastAsia" w:ascii="宋体" w:hAnsi="宋体"/>
                <w:kern w:val="0"/>
                <w:sz w:val="24"/>
              </w:rPr>
            </w:pPr>
            <w:r>
              <w:rPr>
                <w:rFonts w:ascii="宋体" w:hAnsi="宋体"/>
                <w:kern w:val="0"/>
                <w:sz w:val="24"/>
              </w:rPr>
              <w:t>21</w:t>
            </w:r>
          </w:p>
        </w:tc>
        <w:tc>
          <w:tcPr>
            <w:tcW w:w="7655" w:type="dxa"/>
            <w:tcBorders>
              <w:top w:val="single" w:color="auto" w:sz="4" w:space="0"/>
              <w:left w:val="single" w:color="auto" w:sz="4" w:space="0"/>
              <w:bottom w:val="single" w:color="auto" w:sz="4" w:space="0"/>
              <w:right w:val="single" w:color="auto" w:sz="4" w:space="0"/>
            </w:tcBorders>
            <w:vAlign w:val="center"/>
          </w:tcPr>
          <w:p w14:paraId="2AD46446">
            <w:pPr>
              <w:autoSpaceDE w:val="0"/>
              <w:autoSpaceDN w:val="0"/>
              <w:adjustRightInd w:val="0"/>
              <w:spacing w:line="360" w:lineRule="auto"/>
              <w:rPr>
                <w:rFonts w:hint="eastAsia" w:ascii="宋体" w:hAnsi="宋体" w:cs="宋体"/>
                <w:kern w:val="0"/>
                <w:sz w:val="24"/>
                <w:lang w:val="zh-CN"/>
              </w:rPr>
            </w:pPr>
            <w:r>
              <w:rPr>
                <w:rFonts w:hint="eastAsia" w:ascii="宋体" w:hAnsi="宋体" w:cs="宋体"/>
                <w:kern w:val="0"/>
                <w:sz w:val="24"/>
                <w:lang w:val="zh-CN"/>
              </w:rPr>
              <w:t>评标方法：综合评分法</w:t>
            </w:r>
          </w:p>
          <w:p w14:paraId="311796F7">
            <w:pPr>
              <w:autoSpaceDE w:val="0"/>
              <w:autoSpaceDN w:val="0"/>
              <w:adjustRightInd w:val="0"/>
              <w:spacing w:line="360" w:lineRule="auto"/>
              <w:rPr>
                <w:rFonts w:hint="eastAsia" w:ascii="宋体" w:hAnsi="宋体"/>
                <w:kern w:val="0"/>
                <w:sz w:val="24"/>
              </w:rPr>
            </w:pPr>
            <w:r>
              <w:rPr>
                <w:rFonts w:hint="eastAsia" w:ascii="宋体" w:hAnsi="宋体" w:cs="宋体"/>
                <w:kern w:val="0"/>
                <w:sz w:val="24"/>
                <w:lang w:val="zh-CN"/>
              </w:rPr>
              <w:t>具体评分标准详见招标文件第七章：评标文件（附：评标标准）。</w:t>
            </w:r>
          </w:p>
        </w:tc>
      </w:tr>
      <w:tr w14:paraId="3971A7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3FCCDEAE">
            <w:pPr>
              <w:autoSpaceDE w:val="0"/>
              <w:autoSpaceDN w:val="0"/>
              <w:adjustRightInd w:val="0"/>
              <w:spacing w:line="360" w:lineRule="auto"/>
              <w:jc w:val="center"/>
              <w:rPr>
                <w:rFonts w:hint="eastAsia" w:ascii="宋体" w:hAnsi="宋体"/>
                <w:kern w:val="0"/>
                <w:sz w:val="24"/>
              </w:rPr>
            </w:pPr>
            <w:r>
              <w:rPr>
                <w:rFonts w:ascii="宋体" w:hAnsi="宋体"/>
                <w:kern w:val="0"/>
                <w:sz w:val="24"/>
              </w:rPr>
              <w:t>22</w:t>
            </w:r>
          </w:p>
        </w:tc>
        <w:tc>
          <w:tcPr>
            <w:tcW w:w="7655" w:type="dxa"/>
            <w:tcBorders>
              <w:top w:val="single" w:color="auto" w:sz="4" w:space="0"/>
              <w:left w:val="single" w:color="auto" w:sz="4" w:space="0"/>
              <w:bottom w:val="single" w:color="auto" w:sz="4" w:space="0"/>
              <w:right w:val="single" w:color="auto" w:sz="4" w:space="0"/>
            </w:tcBorders>
            <w:vAlign w:val="center"/>
          </w:tcPr>
          <w:p w14:paraId="31879526">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仿宋_GB2312"/>
                <w:sz w:val="24"/>
              </w:rPr>
              <w:t>确定</w:t>
            </w:r>
            <w:r>
              <w:rPr>
                <w:rFonts w:hint="eastAsia" w:ascii="宋体" w:hAnsi="宋体"/>
                <w:sz w:val="24"/>
              </w:rPr>
              <w:t>中标候选人的原则：按综合评价得分排名确定</w:t>
            </w:r>
          </w:p>
        </w:tc>
      </w:tr>
      <w:tr w14:paraId="75E525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583E3005">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2</w:t>
            </w:r>
            <w:r>
              <w:rPr>
                <w:rFonts w:ascii="宋体" w:hAnsi="宋体"/>
                <w:kern w:val="0"/>
                <w:sz w:val="24"/>
              </w:rPr>
              <w:t>3</w:t>
            </w:r>
          </w:p>
        </w:tc>
        <w:tc>
          <w:tcPr>
            <w:tcW w:w="7655" w:type="dxa"/>
            <w:tcBorders>
              <w:top w:val="single" w:color="auto" w:sz="4" w:space="0"/>
              <w:left w:val="single" w:color="auto" w:sz="4" w:space="0"/>
              <w:bottom w:val="single" w:color="auto" w:sz="4" w:space="0"/>
              <w:right w:val="single" w:color="auto" w:sz="4" w:space="0"/>
            </w:tcBorders>
            <w:vAlign w:val="center"/>
          </w:tcPr>
          <w:p w14:paraId="64C50888">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中标人为国内合同卖方</w:t>
            </w:r>
          </w:p>
        </w:tc>
      </w:tr>
      <w:tr w14:paraId="319F0D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72E1F56B">
            <w:pPr>
              <w:autoSpaceDE w:val="0"/>
              <w:autoSpaceDN w:val="0"/>
              <w:adjustRightInd w:val="0"/>
              <w:spacing w:line="360" w:lineRule="auto"/>
              <w:jc w:val="center"/>
              <w:rPr>
                <w:rFonts w:hint="eastAsia" w:ascii="宋体" w:hAnsi="宋体"/>
                <w:kern w:val="0"/>
                <w:sz w:val="24"/>
              </w:rPr>
            </w:pPr>
            <w:r>
              <w:rPr>
                <w:rFonts w:ascii="宋体" w:hAnsi="宋体"/>
                <w:kern w:val="0"/>
                <w:sz w:val="24"/>
              </w:rPr>
              <w:t>24</w:t>
            </w:r>
          </w:p>
        </w:tc>
        <w:tc>
          <w:tcPr>
            <w:tcW w:w="7655" w:type="dxa"/>
            <w:tcBorders>
              <w:top w:val="single" w:color="auto" w:sz="4" w:space="0"/>
              <w:left w:val="single" w:color="auto" w:sz="4" w:space="0"/>
              <w:bottom w:val="single" w:color="auto" w:sz="4" w:space="0"/>
              <w:right w:val="single" w:color="auto" w:sz="4" w:space="0"/>
            </w:tcBorders>
            <w:vAlign w:val="center"/>
          </w:tcPr>
          <w:p w14:paraId="6190F8FD">
            <w:pPr>
              <w:autoSpaceDE w:val="0"/>
              <w:autoSpaceDN w:val="0"/>
              <w:adjustRightInd w:val="0"/>
              <w:spacing w:before="156" w:beforeLines="50" w:line="360" w:lineRule="auto"/>
              <w:jc w:val="left"/>
              <w:rPr>
                <w:rFonts w:hint="eastAsia" w:ascii="宋体" w:hAnsi="宋体" w:cs="宋体"/>
                <w:b/>
                <w:bCs/>
                <w:kern w:val="0"/>
                <w:sz w:val="24"/>
                <w:lang w:val="zh-CN"/>
              </w:rPr>
            </w:pPr>
            <w:r>
              <w:rPr>
                <w:rFonts w:hint="eastAsia" w:ascii="宋体" w:hAnsi="宋体" w:cs="宋体"/>
                <w:b/>
                <w:bCs/>
                <w:kern w:val="0"/>
                <w:sz w:val="24"/>
                <w:lang w:val="zh-CN"/>
              </w:rPr>
              <w:t>履约保证金：</w:t>
            </w:r>
          </w:p>
          <w:p w14:paraId="11ACEA23">
            <w:pPr>
              <w:autoSpaceDE w:val="0"/>
              <w:autoSpaceDN w:val="0"/>
              <w:adjustRightInd w:val="0"/>
              <w:spacing w:line="360" w:lineRule="auto"/>
              <w:jc w:val="left"/>
              <w:rPr>
                <w:rFonts w:hint="default" w:ascii="宋体" w:hAnsi="宋体" w:eastAsia="宋体"/>
                <w:kern w:val="0"/>
                <w:sz w:val="24"/>
                <w:lang w:val="en-US" w:eastAsia="zh-CN"/>
              </w:rPr>
            </w:pPr>
            <w:r>
              <w:rPr>
                <w:rFonts w:hint="eastAsia" w:ascii="宋体" w:hAnsi="宋体" w:cs="宋体"/>
                <w:kern w:val="0"/>
                <w:sz w:val="24"/>
                <w:lang w:val="en-US" w:eastAsia="zh-CN"/>
              </w:rPr>
              <w:t>详见付款方式</w:t>
            </w:r>
          </w:p>
        </w:tc>
      </w:tr>
      <w:tr w14:paraId="020BD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1134" w:type="dxa"/>
            <w:tcBorders>
              <w:top w:val="single" w:color="auto" w:sz="4" w:space="0"/>
              <w:left w:val="single" w:color="auto" w:sz="4" w:space="0"/>
              <w:bottom w:val="single" w:color="auto" w:sz="4" w:space="0"/>
              <w:right w:val="single" w:color="auto" w:sz="4" w:space="0"/>
            </w:tcBorders>
            <w:vAlign w:val="center"/>
          </w:tcPr>
          <w:p w14:paraId="3DD941A2">
            <w:pPr>
              <w:autoSpaceDE w:val="0"/>
              <w:autoSpaceDN w:val="0"/>
              <w:adjustRightInd w:val="0"/>
              <w:spacing w:line="360" w:lineRule="auto"/>
              <w:jc w:val="center"/>
              <w:rPr>
                <w:rFonts w:hint="eastAsia" w:ascii="宋体" w:hAnsi="宋体"/>
                <w:kern w:val="0"/>
                <w:sz w:val="24"/>
              </w:rPr>
            </w:pPr>
            <w:r>
              <w:rPr>
                <w:rFonts w:ascii="宋体" w:hAnsi="宋体"/>
                <w:kern w:val="0"/>
                <w:sz w:val="24"/>
              </w:rPr>
              <w:t>25</w:t>
            </w:r>
          </w:p>
        </w:tc>
        <w:tc>
          <w:tcPr>
            <w:tcW w:w="7655" w:type="dxa"/>
            <w:tcBorders>
              <w:top w:val="single" w:color="auto" w:sz="4" w:space="0"/>
              <w:left w:val="single" w:color="auto" w:sz="4" w:space="0"/>
              <w:bottom w:val="single" w:color="auto" w:sz="4" w:space="0"/>
              <w:right w:val="single" w:color="auto" w:sz="4" w:space="0"/>
            </w:tcBorders>
            <w:vAlign w:val="center"/>
          </w:tcPr>
          <w:p w14:paraId="52B7AD48">
            <w:pPr>
              <w:autoSpaceDE w:val="0"/>
              <w:autoSpaceDN w:val="0"/>
              <w:adjustRightInd w:val="0"/>
              <w:spacing w:before="156" w:beforeLines="50" w:line="360" w:lineRule="auto"/>
              <w:jc w:val="left"/>
              <w:rPr>
                <w:rFonts w:hint="eastAsia" w:ascii="宋体" w:hAnsi="宋体" w:cs="宋体"/>
                <w:b/>
                <w:bCs/>
                <w:kern w:val="0"/>
                <w:sz w:val="24"/>
                <w:lang w:val="zh-CN"/>
              </w:rPr>
            </w:pPr>
            <w:r>
              <w:rPr>
                <w:rFonts w:hint="eastAsia" w:ascii="宋体" w:hAnsi="宋体" w:cs="宋体"/>
                <w:b/>
                <w:bCs/>
                <w:kern w:val="0"/>
                <w:sz w:val="24"/>
                <w:lang w:val="zh-CN"/>
              </w:rPr>
              <w:t>中标服务费：</w:t>
            </w:r>
          </w:p>
          <w:p w14:paraId="6B7F7D4B">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中标人在收到中标通知书后5个工作日内，须向</w:t>
            </w:r>
            <w:r>
              <w:rPr>
                <w:rFonts w:hint="eastAsia" w:ascii="宋体" w:hAnsi="宋体" w:cs="宋体"/>
                <w:kern w:val="0"/>
                <w:sz w:val="24"/>
              </w:rPr>
              <w:t>采购</w:t>
            </w:r>
            <w:r>
              <w:rPr>
                <w:rFonts w:hint="eastAsia" w:ascii="宋体" w:hAnsi="宋体" w:cs="宋体"/>
                <w:kern w:val="0"/>
                <w:sz w:val="24"/>
                <w:lang w:val="zh-CN"/>
              </w:rPr>
              <w:t>代理机构支付中标服务费：</w:t>
            </w:r>
          </w:p>
          <w:p w14:paraId="14F693CB">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中标服务费支付给采购人的采购代理机构，即东方国际招标有限责任公司，收取标准为国家计委招标代理服务费暂行标准[2002]1980号文件中规定的货物采购收费比率，具体比率为：</w:t>
            </w:r>
          </w:p>
          <w:tbl>
            <w:tblPr>
              <w:tblStyle w:val="37"/>
              <w:tblW w:w="5475" w:type="dxa"/>
              <w:tblInd w:w="148" w:type="dxa"/>
              <w:tblBorders>
                <w:top w:val="single" w:color="auto" w:sz="4" w:space="0"/>
                <w:left w:val="single" w:color="auto" w:sz="8" w:space="0"/>
                <w:bottom w:val="single" w:color="auto" w:sz="8" w:space="0"/>
                <w:right w:val="single" w:color="auto" w:sz="8" w:space="0"/>
                <w:insideH w:val="none" w:color="auto" w:sz="0" w:space="0"/>
                <w:insideV w:val="none" w:color="auto" w:sz="0" w:space="0"/>
              </w:tblBorders>
              <w:tblLayout w:type="autofit"/>
              <w:tblCellMar>
                <w:top w:w="0" w:type="dxa"/>
                <w:left w:w="10" w:type="dxa"/>
                <w:bottom w:w="0" w:type="dxa"/>
                <w:right w:w="10" w:type="dxa"/>
              </w:tblCellMar>
            </w:tblPr>
            <w:tblGrid>
              <w:gridCol w:w="3085"/>
              <w:gridCol w:w="2390"/>
            </w:tblGrid>
            <w:tr w14:paraId="759F0332">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295" w:hRule="atLeast"/>
              </w:trPr>
              <w:tc>
                <w:tcPr>
                  <w:tcW w:w="3084" w:type="dxa"/>
                  <w:tcBorders>
                    <w:top w:val="single" w:color="auto" w:sz="4" w:space="0"/>
                    <w:left w:val="single" w:color="auto" w:sz="8" w:space="0"/>
                    <w:bottom w:val="single" w:color="auto" w:sz="8" w:space="0"/>
                    <w:right w:val="single" w:color="auto" w:sz="8" w:space="0"/>
                  </w:tcBorders>
                </w:tcPr>
                <w:p w14:paraId="36966786">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中标金额（人民币万元）</w:t>
                  </w:r>
                </w:p>
              </w:tc>
              <w:tc>
                <w:tcPr>
                  <w:tcW w:w="2390" w:type="dxa"/>
                  <w:tcBorders>
                    <w:top w:val="single" w:color="auto" w:sz="4" w:space="0"/>
                    <w:left w:val="single" w:color="auto" w:sz="8" w:space="0"/>
                    <w:bottom w:val="single" w:color="auto" w:sz="8" w:space="0"/>
                    <w:right w:val="single" w:color="auto" w:sz="8" w:space="0"/>
                  </w:tcBorders>
                </w:tcPr>
                <w:p w14:paraId="35F95751">
                  <w:pPr>
                    <w:autoSpaceDE w:val="0"/>
                    <w:autoSpaceDN w:val="0"/>
                    <w:adjustRightInd w:val="0"/>
                    <w:spacing w:line="360" w:lineRule="auto"/>
                    <w:jc w:val="center"/>
                    <w:rPr>
                      <w:rFonts w:hint="eastAsia" w:ascii="宋体" w:hAnsi="宋体"/>
                      <w:kern w:val="0"/>
                      <w:sz w:val="24"/>
                    </w:rPr>
                  </w:pPr>
                  <w:r>
                    <w:rPr>
                      <w:rFonts w:hint="eastAsia" w:ascii="宋体" w:hAnsi="宋体" w:cs="宋体"/>
                      <w:kern w:val="0"/>
                      <w:sz w:val="24"/>
                      <w:lang w:val="zh-CN"/>
                    </w:rPr>
                    <w:t>比率</w:t>
                  </w:r>
                </w:p>
              </w:tc>
            </w:tr>
            <w:tr w14:paraId="6E6B104D">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295" w:hRule="atLeast"/>
              </w:trPr>
              <w:tc>
                <w:tcPr>
                  <w:tcW w:w="3084" w:type="dxa"/>
                  <w:tcBorders>
                    <w:top w:val="single" w:color="auto" w:sz="8" w:space="0"/>
                    <w:left w:val="single" w:color="auto" w:sz="8" w:space="0"/>
                    <w:bottom w:val="single" w:color="auto" w:sz="8" w:space="0"/>
                    <w:right w:val="single" w:color="auto" w:sz="8" w:space="0"/>
                  </w:tcBorders>
                </w:tcPr>
                <w:p w14:paraId="1F859CF7">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100以下</w:t>
                  </w:r>
                </w:p>
              </w:tc>
              <w:tc>
                <w:tcPr>
                  <w:tcW w:w="2390" w:type="dxa"/>
                  <w:tcBorders>
                    <w:top w:val="single" w:color="auto" w:sz="8" w:space="0"/>
                    <w:left w:val="single" w:color="auto" w:sz="8" w:space="0"/>
                    <w:bottom w:val="single" w:color="auto" w:sz="8" w:space="0"/>
                    <w:right w:val="single" w:color="auto" w:sz="8" w:space="0"/>
                  </w:tcBorders>
                </w:tcPr>
                <w:p w14:paraId="7DC86241">
                  <w:pPr>
                    <w:autoSpaceDE w:val="0"/>
                    <w:autoSpaceDN w:val="0"/>
                    <w:adjustRightInd w:val="0"/>
                    <w:spacing w:line="360" w:lineRule="auto"/>
                    <w:jc w:val="center"/>
                    <w:rPr>
                      <w:rFonts w:hint="eastAsia" w:ascii="宋体" w:hAnsi="宋体" w:cs="宋体"/>
                      <w:kern w:val="0"/>
                      <w:sz w:val="24"/>
                      <w:lang w:val="zh-CN"/>
                    </w:rPr>
                  </w:pPr>
                  <w:r>
                    <w:rPr>
                      <w:rFonts w:ascii="宋体" w:hAnsi="宋体" w:cs="宋体"/>
                      <w:kern w:val="0"/>
                      <w:sz w:val="24"/>
                      <w:lang w:val="zh-CN"/>
                    </w:rPr>
                    <w:t>1.5%</w:t>
                  </w:r>
                </w:p>
              </w:tc>
            </w:tr>
            <w:tr w14:paraId="576A61D6">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050197EF">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100-500</w:t>
                  </w:r>
                </w:p>
              </w:tc>
              <w:tc>
                <w:tcPr>
                  <w:tcW w:w="2390" w:type="dxa"/>
                  <w:tcBorders>
                    <w:top w:val="single" w:color="auto" w:sz="8" w:space="0"/>
                    <w:left w:val="single" w:color="auto" w:sz="8" w:space="0"/>
                    <w:bottom w:val="single" w:color="auto" w:sz="8" w:space="0"/>
                    <w:right w:val="single" w:color="auto" w:sz="8" w:space="0"/>
                  </w:tcBorders>
                </w:tcPr>
                <w:p w14:paraId="25D00830">
                  <w:pPr>
                    <w:autoSpaceDE w:val="0"/>
                    <w:autoSpaceDN w:val="0"/>
                    <w:adjustRightInd w:val="0"/>
                    <w:spacing w:line="360" w:lineRule="auto"/>
                    <w:jc w:val="center"/>
                    <w:rPr>
                      <w:rFonts w:hint="eastAsia" w:ascii="宋体" w:hAnsi="宋体" w:cs="宋体"/>
                      <w:kern w:val="0"/>
                      <w:sz w:val="24"/>
                      <w:lang w:val="zh-CN"/>
                    </w:rPr>
                  </w:pPr>
                  <w:r>
                    <w:rPr>
                      <w:rFonts w:ascii="宋体" w:hAnsi="宋体"/>
                      <w:kern w:val="0"/>
                      <w:sz w:val="24"/>
                    </w:rPr>
                    <w:t>1.</w:t>
                  </w:r>
                  <w:r>
                    <w:rPr>
                      <w:rFonts w:ascii="宋体" w:hAnsi="宋体" w:cs="宋体"/>
                      <w:kern w:val="0"/>
                      <w:sz w:val="24"/>
                      <w:lang w:val="zh-CN"/>
                    </w:rPr>
                    <w:t>1%</w:t>
                  </w:r>
                </w:p>
              </w:tc>
            </w:tr>
            <w:tr w14:paraId="5E665E0B">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0B1FBD66">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500-1000</w:t>
                  </w:r>
                </w:p>
              </w:tc>
              <w:tc>
                <w:tcPr>
                  <w:tcW w:w="2390" w:type="dxa"/>
                  <w:tcBorders>
                    <w:top w:val="single" w:color="auto" w:sz="8" w:space="0"/>
                    <w:left w:val="single" w:color="auto" w:sz="8" w:space="0"/>
                    <w:bottom w:val="single" w:color="auto" w:sz="8" w:space="0"/>
                    <w:right w:val="single" w:color="auto" w:sz="8" w:space="0"/>
                  </w:tcBorders>
                </w:tcPr>
                <w:p w14:paraId="3578A080">
                  <w:pPr>
                    <w:autoSpaceDE w:val="0"/>
                    <w:autoSpaceDN w:val="0"/>
                    <w:adjustRightInd w:val="0"/>
                    <w:spacing w:line="360" w:lineRule="auto"/>
                    <w:jc w:val="center"/>
                    <w:rPr>
                      <w:rFonts w:hint="eastAsia" w:ascii="宋体" w:hAnsi="宋体" w:cs="宋体"/>
                      <w:kern w:val="0"/>
                      <w:sz w:val="24"/>
                      <w:lang w:val="zh-CN"/>
                    </w:rPr>
                  </w:pPr>
                  <w:r>
                    <w:rPr>
                      <w:rFonts w:ascii="宋体" w:hAnsi="宋体"/>
                      <w:kern w:val="0"/>
                      <w:sz w:val="24"/>
                    </w:rPr>
                    <w:t>0.</w:t>
                  </w:r>
                  <w:r>
                    <w:rPr>
                      <w:rFonts w:ascii="宋体" w:hAnsi="宋体" w:cs="宋体"/>
                      <w:kern w:val="0"/>
                      <w:sz w:val="24"/>
                      <w:lang w:val="zh-CN"/>
                    </w:rPr>
                    <w:t>8%</w:t>
                  </w:r>
                </w:p>
              </w:tc>
            </w:tr>
            <w:tr w14:paraId="2EA767E4">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4C17ED95">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1000-5000</w:t>
                  </w:r>
                </w:p>
              </w:tc>
              <w:tc>
                <w:tcPr>
                  <w:tcW w:w="2390" w:type="dxa"/>
                  <w:tcBorders>
                    <w:top w:val="single" w:color="auto" w:sz="8" w:space="0"/>
                    <w:left w:val="single" w:color="auto" w:sz="8" w:space="0"/>
                    <w:bottom w:val="single" w:color="auto" w:sz="8" w:space="0"/>
                    <w:right w:val="single" w:color="auto" w:sz="8" w:space="0"/>
                  </w:tcBorders>
                </w:tcPr>
                <w:p w14:paraId="50011470">
                  <w:pPr>
                    <w:autoSpaceDE w:val="0"/>
                    <w:autoSpaceDN w:val="0"/>
                    <w:adjustRightInd w:val="0"/>
                    <w:spacing w:line="360" w:lineRule="auto"/>
                    <w:jc w:val="center"/>
                    <w:rPr>
                      <w:rFonts w:hint="eastAsia" w:ascii="宋体" w:hAnsi="宋体" w:cs="宋体"/>
                      <w:kern w:val="0"/>
                      <w:sz w:val="24"/>
                      <w:lang w:val="zh-CN"/>
                    </w:rPr>
                  </w:pPr>
                  <w:r>
                    <w:rPr>
                      <w:rFonts w:ascii="宋体" w:hAnsi="宋体"/>
                      <w:kern w:val="0"/>
                      <w:sz w:val="24"/>
                    </w:rPr>
                    <w:t>0.</w:t>
                  </w:r>
                  <w:r>
                    <w:rPr>
                      <w:rFonts w:ascii="宋体" w:hAnsi="宋体" w:cs="宋体"/>
                      <w:kern w:val="0"/>
                      <w:sz w:val="24"/>
                      <w:lang w:val="zh-CN"/>
                    </w:rPr>
                    <w:t>5%</w:t>
                  </w:r>
                </w:p>
              </w:tc>
            </w:tr>
            <w:tr w14:paraId="0F47A1BB">
              <w:tblPrEx>
                <w:tblBorders>
                  <w:top w:val="single" w:color="auto" w:sz="4" w:space="0"/>
                  <w:left w:val="single" w:color="auto" w:sz="8" w:space="0"/>
                  <w:bottom w:val="single" w:color="auto" w:sz="8" w:space="0"/>
                  <w:right w:val="single" w:color="auto" w:sz="8" w:space="0"/>
                  <w:insideH w:val="none" w:color="auto" w:sz="0" w:space="0"/>
                  <w:insideV w:val="none" w:color="auto" w:sz="0" w:space="0"/>
                </w:tblBorders>
                <w:tblCellMar>
                  <w:top w:w="0" w:type="dxa"/>
                  <w:left w:w="10" w:type="dxa"/>
                  <w:bottom w:w="0" w:type="dxa"/>
                  <w:right w:w="10" w:type="dxa"/>
                </w:tblCellMar>
              </w:tblPrEx>
              <w:trPr>
                <w:trHeight w:val="60" w:hRule="atLeast"/>
              </w:trPr>
              <w:tc>
                <w:tcPr>
                  <w:tcW w:w="3084" w:type="dxa"/>
                  <w:tcBorders>
                    <w:top w:val="single" w:color="auto" w:sz="8" w:space="0"/>
                    <w:left w:val="single" w:color="auto" w:sz="8" w:space="0"/>
                    <w:bottom w:val="single" w:color="auto" w:sz="8" w:space="0"/>
                    <w:right w:val="single" w:color="auto" w:sz="8" w:space="0"/>
                  </w:tcBorders>
                </w:tcPr>
                <w:p w14:paraId="680D0445">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5000-10000</w:t>
                  </w:r>
                </w:p>
              </w:tc>
              <w:tc>
                <w:tcPr>
                  <w:tcW w:w="2390" w:type="dxa"/>
                  <w:tcBorders>
                    <w:top w:val="single" w:color="auto" w:sz="8" w:space="0"/>
                    <w:left w:val="single" w:color="auto" w:sz="8" w:space="0"/>
                    <w:bottom w:val="single" w:color="auto" w:sz="8" w:space="0"/>
                    <w:right w:val="single" w:color="auto" w:sz="8" w:space="0"/>
                  </w:tcBorders>
                </w:tcPr>
                <w:p w14:paraId="420E5D5F">
                  <w:pPr>
                    <w:autoSpaceDE w:val="0"/>
                    <w:autoSpaceDN w:val="0"/>
                    <w:adjustRightInd w:val="0"/>
                    <w:spacing w:line="360" w:lineRule="auto"/>
                    <w:jc w:val="center"/>
                    <w:rPr>
                      <w:rFonts w:hint="eastAsia" w:ascii="宋体" w:hAnsi="宋体"/>
                      <w:kern w:val="0"/>
                      <w:sz w:val="24"/>
                    </w:rPr>
                  </w:pPr>
                  <w:r>
                    <w:rPr>
                      <w:rFonts w:ascii="宋体" w:hAnsi="宋体"/>
                      <w:kern w:val="0"/>
                      <w:sz w:val="24"/>
                    </w:rPr>
                    <w:t>0.25%</w:t>
                  </w:r>
                </w:p>
              </w:tc>
            </w:tr>
          </w:tbl>
          <w:p w14:paraId="7A78A982">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注：中标服务费按差额定率累进法计算。</w:t>
            </w:r>
            <w:r>
              <w:rPr>
                <w:rFonts w:hint="eastAsia" w:ascii="宋体" w:hAnsi="宋体" w:cs="宋体"/>
                <w:kern w:val="0"/>
                <w:sz w:val="24"/>
              </w:rPr>
              <w:t>收费基数为中标金额。</w:t>
            </w:r>
          </w:p>
        </w:tc>
      </w:tr>
      <w:tr w14:paraId="2659D3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1BC7B80E">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2</w:t>
            </w:r>
            <w:r>
              <w:rPr>
                <w:rFonts w:ascii="宋体" w:hAnsi="宋体"/>
                <w:kern w:val="0"/>
                <w:sz w:val="24"/>
              </w:rPr>
              <w:t>6</w:t>
            </w:r>
          </w:p>
        </w:tc>
        <w:tc>
          <w:tcPr>
            <w:tcW w:w="7655" w:type="dxa"/>
            <w:tcBorders>
              <w:top w:val="single" w:color="auto" w:sz="4" w:space="0"/>
              <w:left w:val="single" w:color="auto" w:sz="4" w:space="0"/>
              <w:bottom w:val="single" w:color="auto" w:sz="4" w:space="0"/>
              <w:right w:val="single" w:color="auto" w:sz="4" w:space="0"/>
            </w:tcBorders>
            <w:vAlign w:val="center"/>
          </w:tcPr>
          <w:p w14:paraId="57ECC1DC">
            <w:pPr>
              <w:adjustRightInd w:val="0"/>
              <w:snapToGrid w:val="0"/>
              <w:spacing w:before="156" w:beforeLines="50" w:line="360" w:lineRule="auto"/>
              <w:rPr>
                <w:rFonts w:hint="eastAsia" w:ascii="宋体" w:hAnsi="宋体" w:cs="仿宋_GB2312"/>
                <w:b/>
                <w:bCs/>
                <w:sz w:val="24"/>
              </w:rPr>
            </w:pPr>
            <w:r>
              <w:rPr>
                <w:rFonts w:hint="eastAsia" w:ascii="宋体" w:hAnsi="宋体" w:cs="仿宋_GB2312"/>
                <w:b/>
                <w:bCs/>
                <w:sz w:val="24"/>
              </w:rPr>
              <w:t>投标无效的情形：</w:t>
            </w:r>
          </w:p>
          <w:p w14:paraId="30D5FE6C">
            <w:pPr>
              <w:adjustRightInd w:val="0"/>
              <w:snapToGrid w:val="0"/>
              <w:spacing w:line="360" w:lineRule="auto"/>
              <w:rPr>
                <w:rFonts w:hint="eastAsia" w:ascii="宋体" w:hAnsi="宋体" w:cs="仿宋_GB2312"/>
                <w:sz w:val="24"/>
              </w:rPr>
            </w:pPr>
            <w:r>
              <w:rPr>
                <w:rFonts w:hint="eastAsia" w:ascii="宋体" w:hAnsi="宋体" w:cs="仿宋_GB2312"/>
                <w:sz w:val="24"/>
              </w:rPr>
              <w:t>（1）投标人未提交投标保证金或形式不符或金额不足的；</w:t>
            </w:r>
          </w:p>
          <w:p w14:paraId="1C8E457C">
            <w:pPr>
              <w:adjustRightInd w:val="0"/>
              <w:snapToGrid w:val="0"/>
              <w:spacing w:line="360" w:lineRule="auto"/>
              <w:rPr>
                <w:rFonts w:hint="eastAsia" w:ascii="宋体" w:hAnsi="宋体" w:cs="仿宋_GB2312"/>
                <w:sz w:val="24"/>
              </w:rPr>
            </w:pPr>
            <w:r>
              <w:rPr>
                <w:rFonts w:hint="eastAsia" w:ascii="宋体" w:hAnsi="宋体" w:cs="仿宋_GB2312"/>
                <w:sz w:val="24"/>
              </w:rPr>
              <w:t>（2）投标有效期不足的；</w:t>
            </w:r>
          </w:p>
          <w:p w14:paraId="190C6E21">
            <w:pPr>
              <w:adjustRightInd w:val="0"/>
              <w:snapToGrid w:val="0"/>
              <w:spacing w:line="360" w:lineRule="auto"/>
              <w:rPr>
                <w:rFonts w:hint="eastAsia" w:ascii="宋体" w:hAnsi="宋体" w:cs="仿宋_GB2312"/>
                <w:sz w:val="24"/>
              </w:rPr>
            </w:pPr>
            <w:r>
              <w:rPr>
                <w:rFonts w:hint="eastAsia" w:ascii="宋体" w:hAnsi="宋体" w:cs="仿宋_GB2312"/>
                <w:sz w:val="24"/>
              </w:rPr>
              <w:t>（3）未按照招标文件规定要求密封、签署、盖章的；</w:t>
            </w:r>
          </w:p>
          <w:p w14:paraId="0CE9B7CA">
            <w:pPr>
              <w:adjustRightInd w:val="0"/>
              <w:snapToGrid w:val="0"/>
              <w:spacing w:line="360" w:lineRule="auto"/>
              <w:rPr>
                <w:rFonts w:hint="eastAsia" w:ascii="宋体" w:hAnsi="宋体" w:cs="仿宋_GB2312"/>
                <w:sz w:val="24"/>
              </w:rPr>
            </w:pPr>
            <w:r>
              <w:rPr>
                <w:rFonts w:hint="eastAsia" w:ascii="宋体" w:hAnsi="宋体" w:cs="仿宋_GB2312"/>
                <w:sz w:val="24"/>
              </w:rPr>
              <w:t>（4）未提供法定代表人授权书的；</w:t>
            </w:r>
          </w:p>
          <w:p w14:paraId="7D3C8504">
            <w:pPr>
              <w:adjustRightInd w:val="0"/>
              <w:snapToGrid w:val="0"/>
              <w:spacing w:line="360" w:lineRule="auto"/>
              <w:rPr>
                <w:rFonts w:hint="eastAsia" w:ascii="宋体" w:hAnsi="宋体" w:cs="仿宋_GB2312"/>
                <w:sz w:val="24"/>
              </w:rPr>
            </w:pPr>
            <w:r>
              <w:rPr>
                <w:rFonts w:hint="eastAsia" w:ascii="宋体" w:hAnsi="宋体" w:cs="仿宋_GB2312"/>
                <w:sz w:val="24"/>
              </w:rPr>
              <w:t>（</w:t>
            </w:r>
            <w:r>
              <w:rPr>
                <w:rFonts w:ascii="宋体" w:hAnsi="宋体" w:cs="仿宋_GB2312"/>
                <w:sz w:val="24"/>
              </w:rPr>
              <w:t>5</w:t>
            </w:r>
            <w:r>
              <w:rPr>
                <w:rFonts w:hint="eastAsia" w:ascii="宋体" w:hAnsi="宋体" w:cs="仿宋_GB2312"/>
                <w:sz w:val="24"/>
              </w:rPr>
              <w:t>）投标人被列入失信被执行人、重大税收违法案件当事人名单、政府采购严重违法失信行为记录名单的，或在过去三年中有重大的质量、信誉等问题；</w:t>
            </w:r>
          </w:p>
          <w:p w14:paraId="15C7D2FB">
            <w:pPr>
              <w:adjustRightInd w:val="0"/>
              <w:snapToGrid w:val="0"/>
              <w:spacing w:line="360" w:lineRule="auto"/>
              <w:rPr>
                <w:rFonts w:hint="eastAsia" w:ascii="宋体" w:hAnsi="宋体" w:cs="仿宋_GB2312"/>
                <w:sz w:val="24"/>
              </w:rPr>
            </w:pPr>
            <w:r>
              <w:rPr>
                <w:rFonts w:hint="eastAsia" w:ascii="宋体" w:hAnsi="宋体" w:cs="仿宋_GB2312"/>
                <w:sz w:val="24"/>
              </w:rPr>
              <w:t>（</w:t>
            </w:r>
            <w:r>
              <w:rPr>
                <w:rFonts w:ascii="宋体" w:hAnsi="宋体" w:cs="仿宋_GB2312"/>
                <w:sz w:val="24"/>
              </w:rPr>
              <w:t>6</w:t>
            </w:r>
            <w:r>
              <w:rPr>
                <w:rFonts w:hint="eastAsia" w:ascii="宋体" w:hAnsi="宋体" w:cs="仿宋_GB2312"/>
                <w:sz w:val="24"/>
              </w:rPr>
              <w:t>）投标文件中提供虚假或失实资料的；</w:t>
            </w:r>
          </w:p>
          <w:p w14:paraId="2DF5A9A5">
            <w:pPr>
              <w:adjustRightInd w:val="0"/>
              <w:snapToGrid w:val="0"/>
              <w:spacing w:line="360" w:lineRule="auto"/>
              <w:rPr>
                <w:rFonts w:hint="eastAsia" w:ascii="宋体" w:hAnsi="宋体" w:cs="仿宋_GB2312"/>
                <w:sz w:val="24"/>
              </w:rPr>
            </w:pPr>
            <w:r>
              <w:rPr>
                <w:rFonts w:hint="eastAsia" w:ascii="宋体" w:hAnsi="宋体" w:cs="仿宋_GB2312"/>
                <w:sz w:val="24"/>
              </w:rPr>
              <w:t>（</w:t>
            </w:r>
            <w:r>
              <w:rPr>
                <w:rFonts w:ascii="宋体" w:hAnsi="宋体" w:cs="仿宋_GB2312"/>
                <w:sz w:val="24"/>
              </w:rPr>
              <w:t>7</w:t>
            </w:r>
            <w:r>
              <w:rPr>
                <w:rFonts w:hint="eastAsia" w:ascii="宋体" w:hAnsi="宋体" w:cs="仿宋_GB2312"/>
                <w:sz w:val="24"/>
              </w:rPr>
              <w:t>）投标报价超过采购预算（设置最高限价的，以最高限价为准）的；</w:t>
            </w:r>
          </w:p>
          <w:p w14:paraId="4479FD34">
            <w:pPr>
              <w:adjustRightInd w:val="0"/>
              <w:snapToGrid w:val="0"/>
              <w:spacing w:line="360" w:lineRule="auto"/>
              <w:rPr>
                <w:rFonts w:hint="eastAsia" w:ascii="宋体" w:hAnsi="宋体" w:cs="仿宋_GB2312"/>
                <w:sz w:val="24"/>
              </w:rPr>
            </w:pPr>
            <w:r>
              <w:rPr>
                <w:rFonts w:hint="eastAsia" w:ascii="宋体" w:hAnsi="宋体" w:cs="仿宋_GB2312"/>
                <w:sz w:val="24"/>
              </w:rPr>
              <w:t>（</w:t>
            </w:r>
            <w:r>
              <w:rPr>
                <w:rFonts w:ascii="宋体" w:hAnsi="宋体" w:cs="仿宋_GB2312"/>
                <w:sz w:val="24"/>
              </w:rPr>
              <w:t>8</w:t>
            </w:r>
            <w:r>
              <w:rPr>
                <w:rFonts w:hint="eastAsia" w:ascii="宋体" w:hAnsi="宋体" w:cs="仿宋_GB2312"/>
                <w:sz w:val="24"/>
              </w:rPr>
              <w: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t>
            </w:r>
          </w:p>
          <w:p w14:paraId="16F37AB3">
            <w:pPr>
              <w:adjustRightInd w:val="0"/>
              <w:snapToGrid w:val="0"/>
              <w:spacing w:line="360" w:lineRule="auto"/>
              <w:rPr>
                <w:rFonts w:hint="eastAsia" w:ascii="宋体" w:hAnsi="宋体" w:cs="仿宋_GB2312"/>
                <w:sz w:val="24"/>
              </w:rPr>
            </w:pPr>
            <w:r>
              <w:rPr>
                <w:rFonts w:hint="eastAsia" w:ascii="宋体" w:hAnsi="宋体" w:cs="仿宋_GB2312"/>
                <w:sz w:val="24"/>
              </w:rPr>
              <w:t>（</w:t>
            </w:r>
            <w:r>
              <w:rPr>
                <w:rFonts w:ascii="宋体" w:hAnsi="宋体" w:cs="仿宋_GB2312"/>
                <w:sz w:val="24"/>
              </w:rPr>
              <w:t>9</w:t>
            </w:r>
            <w:r>
              <w:rPr>
                <w:rFonts w:hint="eastAsia" w:ascii="宋体" w:hAnsi="宋体" w:cs="仿宋_GB2312"/>
                <w:sz w:val="24"/>
              </w:rPr>
              <w:t>）招标文件中明确规定不接受进口产品及服务参加投标的，投标人提供进口产品及服务的；</w:t>
            </w:r>
          </w:p>
          <w:p w14:paraId="15B6F175">
            <w:pPr>
              <w:adjustRightInd w:val="0"/>
              <w:snapToGrid w:val="0"/>
              <w:spacing w:line="360" w:lineRule="auto"/>
              <w:rPr>
                <w:rFonts w:hint="eastAsia" w:ascii="宋体" w:hAnsi="宋体" w:cs="仿宋_GB2312"/>
                <w:sz w:val="24"/>
              </w:rPr>
            </w:pPr>
            <w:r>
              <w:rPr>
                <w:rFonts w:hint="eastAsia" w:ascii="宋体" w:hAnsi="宋体" w:cs="仿宋_GB2312"/>
                <w:sz w:val="24"/>
              </w:rPr>
              <w:t>（1</w:t>
            </w:r>
            <w:r>
              <w:rPr>
                <w:rFonts w:ascii="宋体" w:hAnsi="宋体" w:cs="仿宋_GB2312"/>
                <w:sz w:val="24"/>
              </w:rPr>
              <w:t>0</w:t>
            </w:r>
            <w:r>
              <w:rPr>
                <w:rFonts w:hint="eastAsia" w:ascii="宋体" w:hAnsi="宋体" w:cs="仿宋_GB2312"/>
                <w:sz w:val="24"/>
              </w:rPr>
              <w:t>）不符合法律、法规和招标文件中★号条款规定的。</w:t>
            </w:r>
          </w:p>
        </w:tc>
      </w:tr>
      <w:tr w14:paraId="1C2829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5F1284C0">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2</w:t>
            </w:r>
            <w:r>
              <w:rPr>
                <w:rFonts w:ascii="宋体" w:hAnsi="宋体"/>
                <w:kern w:val="0"/>
                <w:sz w:val="24"/>
              </w:rPr>
              <w:t>7</w:t>
            </w:r>
          </w:p>
        </w:tc>
        <w:tc>
          <w:tcPr>
            <w:tcW w:w="7655" w:type="dxa"/>
            <w:tcBorders>
              <w:top w:val="single" w:color="auto" w:sz="4" w:space="0"/>
              <w:left w:val="single" w:color="auto" w:sz="4" w:space="0"/>
              <w:bottom w:val="single" w:color="auto" w:sz="4" w:space="0"/>
              <w:right w:val="single" w:color="auto" w:sz="4" w:space="0"/>
            </w:tcBorders>
            <w:vAlign w:val="center"/>
          </w:tcPr>
          <w:p w14:paraId="647B91A4">
            <w:pPr>
              <w:adjustRightInd w:val="0"/>
              <w:snapToGrid w:val="0"/>
              <w:spacing w:line="360" w:lineRule="auto"/>
              <w:rPr>
                <w:rFonts w:hint="eastAsia" w:ascii="宋体" w:hAnsi="宋体" w:cs="宋体"/>
                <w:b/>
                <w:sz w:val="24"/>
              </w:rPr>
            </w:pPr>
            <w:r>
              <w:rPr>
                <w:rFonts w:hint="eastAsia" w:ascii="宋体" w:hAnsi="宋体" w:cs="宋体"/>
                <w:b/>
                <w:sz w:val="24"/>
              </w:rPr>
              <w:t>询问：</w:t>
            </w:r>
          </w:p>
          <w:p w14:paraId="738F1CE3">
            <w:pPr>
              <w:adjustRightInd w:val="0"/>
              <w:snapToGrid w:val="0"/>
              <w:spacing w:line="360" w:lineRule="auto"/>
              <w:rPr>
                <w:rFonts w:hint="eastAsia" w:ascii="宋体" w:hAnsi="宋体" w:cs="宋体"/>
                <w:bCs/>
                <w:sz w:val="24"/>
              </w:rPr>
            </w:pPr>
            <w:r>
              <w:rPr>
                <w:rFonts w:hint="eastAsia" w:ascii="宋体" w:hAnsi="宋体" w:cs="宋体"/>
                <w:bCs/>
                <w:sz w:val="24"/>
              </w:rPr>
              <w:t>询问送达形式：询问可以口头方式提出，也可以书面方式提出，书面方式包括但不限于传真、信函、电子邮件。</w:t>
            </w:r>
          </w:p>
          <w:p w14:paraId="54542846">
            <w:pPr>
              <w:adjustRightInd w:val="0"/>
              <w:snapToGrid w:val="0"/>
              <w:spacing w:line="360" w:lineRule="auto"/>
              <w:rPr>
                <w:rFonts w:hint="eastAsia" w:ascii="宋体" w:hAnsi="宋体" w:cs="宋体"/>
                <w:bCs/>
                <w:sz w:val="24"/>
              </w:rPr>
            </w:pPr>
            <w:r>
              <w:rPr>
                <w:rFonts w:hint="eastAsia" w:ascii="宋体" w:hAnsi="宋体" w:cs="宋体"/>
                <w:bCs/>
                <w:sz w:val="24"/>
              </w:rPr>
              <w:t>联系部门：招标部</w:t>
            </w:r>
          </w:p>
          <w:p w14:paraId="3B99F05A">
            <w:pPr>
              <w:adjustRightInd w:val="0"/>
              <w:snapToGrid w:val="0"/>
              <w:spacing w:line="360" w:lineRule="auto"/>
              <w:rPr>
                <w:rFonts w:hint="eastAsia" w:ascii="宋体" w:hAnsi="宋体" w:cs="宋体"/>
                <w:bCs/>
                <w:sz w:val="24"/>
              </w:rPr>
            </w:pPr>
            <w:r>
              <w:rPr>
                <w:rFonts w:hint="eastAsia" w:ascii="宋体" w:hAnsi="宋体" w:cs="宋体"/>
                <w:bCs/>
                <w:sz w:val="24"/>
              </w:rPr>
              <w:t>联系电话：020-87001523</w:t>
            </w:r>
          </w:p>
          <w:p w14:paraId="1BA68E41">
            <w:pPr>
              <w:adjustRightInd w:val="0"/>
              <w:snapToGrid w:val="0"/>
              <w:spacing w:line="360" w:lineRule="auto"/>
              <w:rPr>
                <w:rFonts w:hint="eastAsia" w:ascii="宋体" w:hAnsi="宋体" w:cs="宋体"/>
                <w:bCs/>
                <w:sz w:val="24"/>
              </w:rPr>
            </w:pPr>
            <w:r>
              <w:rPr>
                <w:rFonts w:hint="eastAsia" w:ascii="宋体" w:hAnsi="宋体" w:cs="宋体"/>
                <w:bCs/>
                <w:sz w:val="24"/>
              </w:rPr>
              <w:t>传真：</w:t>
            </w:r>
            <w:r>
              <w:rPr>
                <w:rFonts w:ascii="宋体" w:hAnsi="宋体" w:cs="宋体"/>
                <w:bCs/>
                <w:sz w:val="24"/>
              </w:rPr>
              <w:t>010-50828550</w:t>
            </w:r>
          </w:p>
          <w:p w14:paraId="5FAC1A1F">
            <w:pPr>
              <w:adjustRightInd w:val="0"/>
              <w:snapToGrid w:val="0"/>
              <w:spacing w:line="360" w:lineRule="auto"/>
              <w:rPr>
                <w:rFonts w:hint="eastAsia" w:ascii="宋体" w:hAnsi="宋体" w:cs="宋体"/>
                <w:bCs/>
                <w:sz w:val="24"/>
              </w:rPr>
            </w:pPr>
            <w:r>
              <w:rPr>
                <w:rFonts w:hint="eastAsia" w:ascii="宋体" w:hAnsi="宋体" w:cs="宋体"/>
                <w:bCs/>
                <w:sz w:val="24"/>
              </w:rPr>
              <w:t>电子邮箱：ytlin@oitc.com.cn、cjwang@oitc.com.cn、sli@oitc.com.cn</w:t>
            </w:r>
            <w:r>
              <w:rPr>
                <w:bCs/>
                <w:sz w:val="24"/>
              </w:rPr>
              <w:t xml:space="preserve">       </w:t>
            </w:r>
          </w:p>
          <w:p w14:paraId="6872EE2D">
            <w:pPr>
              <w:pStyle w:val="36"/>
              <w:spacing w:line="360" w:lineRule="auto"/>
              <w:ind w:left="0" w:leftChars="0" w:firstLine="0" w:firstLineChars="0"/>
              <w:rPr>
                <w:rFonts w:hint="eastAsia" w:ascii="宋体" w:hAnsi="宋体"/>
              </w:rPr>
            </w:pPr>
            <w:r>
              <w:rPr>
                <w:rFonts w:hint="eastAsia" w:ascii="宋体" w:hAnsi="宋体" w:cs="宋体" w:eastAsiaTheme="minorEastAsia"/>
                <w:bCs/>
                <w:sz w:val="24"/>
              </w:rPr>
              <w:t>通讯地址：北京市海淀区丹棱街1号互联网金融中心20层</w:t>
            </w:r>
            <w:r>
              <w:rPr>
                <w:rFonts w:ascii="宋体" w:hAnsi="宋体" w:cs="宋体" w:eastAsiaTheme="minorEastAsia"/>
                <w:bCs/>
                <w:sz w:val="24"/>
              </w:rPr>
              <w:t>。</w:t>
            </w:r>
          </w:p>
        </w:tc>
      </w:tr>
      <w:tr w14:paraId="5BCBD5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4BBFEA8D">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2</w:t>
            </w:r>
            <w:r>
              <w:rPr>
                <w:rFonts w:ascii="宋体" w:hAnsi="宋体"/>
                <w:kern w:val="0"/>
                <w:sz w:val="24"/>
              </w:rPr>
              <w:t>8</w:t>
            </w:r>
          </w:p>
        </w:tc>
        <w:tc>
          <w:tcPr>
            <w:tcW w:w="7655" w:type="dxa"/>
            <w:tcBorders>
              <w:top w:val="single" w:color="auto" w:sz="4" w:space="0"/>
              <w:left w:val="single" w:color="auto" w:sz="4" w:space="0"/>
              <w:bottom w:val="single" w:color="auto" w:sz="4" w:space="0"/>
              <w:right w:val="single" w:color="auto" w:sz="4" w:space="0"/>
            </w:tcBorders>
            <w:vAlign w:val="center"/>
          </w:tcPr>
          <w:p w14:paraId="1C960934">
            <w:pPr>
              <w:adjustRightInd w:val="0"/>
              <w:snapToGrid w:val="0"/>
              <w:spacing w:before="156" w:beforeLines="50" w:line="360" w:lineRule="auto"/>
              <w:rPr>
                <w:rFonts w:hint="eastAsia" w:ascii="宋体" w:hAnsi="宋体" w:cs="仿宋_GB2312"/>
                <w:b/>
                <w:bCs/>
                <w:sz w:val="24"/>
              </w:rPr>
            </w:pPr>
            <w:r>
              <w:rPr>
                <w:rFonts w:hint="eastAsia" w:ascii="宋体" w:hAnsi="宋体" w:cs="仿宋_GB2312"/>
                <w:b/>
                <w:bCs/>
                <w:sz w:val="24"/>
              </w:rPr>
              <w:t>招标文件的质疑：</w:t>
            </w:r>
          </w:p>
          <w:p w14:paraId="42EBCB89">
            <w:pPr>
              <w:adjustRightInd w:val="0"/>
              <w:snapToGrid w:val="0"/>
              <w:spacing w:line="360" w:lineRule="auto"/>
              <w:rPr>
                <w:rFonts w:hint="eastAsia" w:ascii="宋体" w:hAnsi="宋体" w:cs="仿宋_GB2312"/>
                <w:sz w:val="24"/>
              </w:rPr>
            </w:pPr>
            <w:r>
              <w:rPr>
                <w:rFonts w:hint="eastAsia" w:ascii="宋体" w:hAnsi="宋体" w:cs="仿宋_GB2312"/>
                <w:sz w:val="24"/>
              </w:rPr>
              <w:t>接收质疑函的方式、联系部门、联系电话和通讯地址：</w:t>
            </w:r>
          </w:p>
          <w:p w14:paraId="6AEC10B9">
            <w:pPr>
              <w:adjustRightInd w:val="0"/>
              <w:snapToGrid w:val="0"/>
              <w:spacing w:line="360" w:lineRule="auto"/>
              <w:rPr>
                <w:rFonts w:hint="eastAsia" w:ascii="宋体" w:hAnsi="宋体" w:cs="仿宋_GB2312"/>
                <w:sz w:val="24"/>
              </w:rPr>
            </w:pPr>
            <w:r>
              <w:rPr>
                <w:rFonts w:hint="eastAsia" w:ascii="宋体" w:hAnsi="宋体" w:cs="仿宋_GB2312"/>
                <w:sz w:val="24"/>
              </w:rPr>
              <w:t>接收方式：传真或电子邮件或邮寄</w:t>
            </w:r>
          </w:p>
          <w:p w14:paraId="7D4A6DC2">
            <w:pPr>
              <w:adjustRightInd w:val="0"/>
              <w:snapToGrid w:val="0"/>
              <w:spacing w:line="360" w:lineRule="auto"/>
              <w:rPr>
                <w:rFonts w:hint="eastAsia" w:ascii="宋体" w:hAnsi="宋体" w:cs="仿宋_GB2312"/>
                <w:sz w:val="24"/>
              </w:rPr>
            </w:pPr>
            <w:r>
              <w:rPr>
                <w:rFonts w:hint="eastAsia" w:ascii="宋体" w:hAnsi="宋体" w:cs="仿宋_GB2312"/>
                <w:sz w:val="24"/>
              </w:rPr>
              <w:t>联系部门：招标部</w:t>
            </w:r>
          </w:p>
          <w:p w14:paraId="2B61A2B0">
            <w:pPr>
              <w:adjustRightInd w:val="0"/>
              <w:snapToGrid w:val="0"/>
              <w:spacing w:line="360" w:lineRule="auto"/>
              <w:rPr>
                <w:rFonts w:hint="eastAsia" w:ascii="宋体" w:hAnsi="宋体" w:cs="宋体"/>
                <w:bCs/>
                <w:sz w:val="24"/>
              </w:rPr>
            </w:pPr>
            <w:r>
              <w:rPr>
                <w:rFonts w:hint="eastAsia" w:ascii="宋体" w:hAnsi="宋体" w:cs="宋体"/>
                <w:bCs/>
                <w:sz w:val="24"/>
              </w:rPr>
              <w:t>联系电话：020-87001523</w:t>
            </w:r>
          </w:p>
          <w:p w14:paraId="5BAB137A">
            <w:pPr>
              <w:adjustRightInd w:val="0"/>
              <w:snapToGrid w:val="0"/>
              <w:spacing w:line="360" w:lineRule="auto"/>
              <w:rPr>
                <w:rFonts w:hint="eastAsia" w:ascii="宋体" w:hAnsi="宋体" w:cs="宋体"/>
                <w:bCs/>
                <w:sz w:val="24"/>
              </w:rPr>
            </w:pPr>
            <w:r>
              <w:rPr>
                <w:rFonts w:hint="eastAsia" w:ascii="宋体" w:hAnsi="宋体" w:cs="宋体"/>
                <w:bCs/>
                <w:sz w:val="24"/>
              </w:rPr>
              <w:t>传真：</w:t>
            </w:r>
            <w:r>
              <w:rPr>
                <w:rFonts w:ascii="宋体" w:hAnsi="宋体" w:cs="宋体"/>
                <w:bCs/>
                <w:sz w:val="24"/>
              </w:rPr>
              <w:t>010-50828550</w:t>
            </w:r>
          </w:p>
          <w:p w14:paraId="4D170B7B">
            <w:pPr>
              <w:adjustRightInd w:val="0"/>
              <w:snapToGrid w:val="0"/>
              <w:spacing w:line="360" w:lineRule="auto"/>
              <w:rPr>
                <w:rFonts w:hint="eastAsia" w:ascii="宋体" w:hAnsi="宋体" w:cs="宋体"/>
                <w:bCs/>
                <w:sz w:val="24"/>
              </w:rPr>
            </w:pPr>
            <w:r>
              <w:rPr>
                <w:rFonts w:hint="eastAsia" w:ascii="宋体" w:hAnsi="宋体" w:cs="宋体"/>
                <w:bCs/>
                <w:sz w:val="24"/>
              </w:rPr>
              <w:t>电子邮箱：ytlin@oitc.com.cn、cjwang@oitc.com.cn、sli@oitc.com.cn</w:t>
            </w:r>
            <w:r>
              <w:rPr>
                <w:bCs/>
                <w:sz w:val="24"/>
              </w:rPr>
              <w:t xml:space="preserve">         </w:t>
            </w:r>
          </w:p>
          <w:p w14:paraId="08205790">
            <w:pPr>
              <w:autoSpaceDE w:val="0"/>
              <w:autoSpaceDN w:val="0"/>
              <w:adjustRightInd w:val="0"/>
              <w:spacing w:line="360" w:lineRule="auto"/>
              <w:jc w:val="left"/>
              <w:rPr>
                <w:rFonts w:hint="eastAsia" w:ascii="宋体" w:hAnsi="宋体"/>
                <w:kern w:val="0"/>
                <w:sz w:val="24"/>
              </w:rPr>
            </w:pPr>
            <w:r>
              <w:rPr>
                <w:rFonts w:hint="eastAsia" w:ascii="宋体" w:hAnsi="宋体" w:cs="宋体" w:eastAsiaTheme="minorEastAsia"/>
                <w:bCs/>
                <w:sz w:val="24"/>
              </w:rPr>
              <w:t>通讯地址：北京市海淀区丹棱街1号互联网金融中心20层</w:t>
            </w:r>
            <w:r>
              <w:rPr>
                <w:rFonts w:ascii="宋体" w:hAnsi="宋体" w:cs="宋体" w:eastAsiaTheme="minorEastAsia"/>
                <w:bCs/>
                <w:sz w:val="24"/>
              </w:rPr>
              <w:t>。</w:t>
            </w:r>
          </w:p>
        </w:tc>
      </w:tr>
      <w:tr w14:paraId="40548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7" w:hRule="atLeast"/>
        </w:trPr>
        <w:tc>
          <w:tcPr>
            <w:tcW w:w="1134" w:type="dxa"/>
            <w:tcBorders>
              <w:top w:val="single" w:color="auto" w:sz="4" w:space="0"/>
              <w:left w:val="single" w:color="auto" w:sz="4" w:space="0"/>
              <w:bottom w:val="single" w:color="auto" w:sz="4" w:space="0"/>
              <w:right w:val="single" w:color="auto" w:sz="4" w:space="0"/>
            </w:tcBorders>
            <w:vAlign w:val="center"/>
          </w:tcPr>
          <w:p w14:paraId="35D127B0">
            <w:pPr>
              <w:autoSpaceDE w:val="0"/>
              <w:autoSpaceDN w:val="0"/>
              <w:adjustRightInd w:val="0"/>
              <w:spacing w:line="360" w:lineRule="auto"/>
              <w:jc w:val="center"/>
              <w:rPr>
                <w:rFonts w:hint="eastAsia" w:ascii="宋体" w:hAnsi="宋体"/>
                <w:kern w:val="0"/>
                <w:sz w:val="24"/>
              </w:rPr>
            </w:pPr>
            <w:r>
              <w:rPr>
                <w:rFonts w:ascii="宋体" w:hAnsi="宋体"/>
                <w:kern w:val="0"/>
                <w:sz w:val="24"/>
              </w:rPr>
              <w:t>29</w:t>
            </w:r>
          </w:p>
        </w:tc>
        <w:tc>
          <w:tcPr>
            <w:tcW w:w="7655" w:type="dxa"/>
            <w:tcBorders>
              <w:top w:val="single" w:color="auto" w:sz="4" w:space="0"/>
              <w:left w:val="single" w:color="auto" w:sz="4" w:space="0"/>
              <w:bottom w:val="single" w:color="auto" w:sz="4" w:space="0"/>
              <w:right w:val="single" w:color="auto" w:sz="4" w:space="0"/>
            </w:tcBorders>
            <w:vAlign w:val="center"/>
          </w:tcPr>
          <w:p w14:paraId="33EC5C9C">
            <w:pPr>
              <w:autoSpaceDE w:val="0"/>
              <w:autoSpaceDN w:val="0"/>
              <w:adjustRightInd w:val="0"/>
              <w:spacing w:before="156" w:beforeLines="50" w:line="360" w:lineRule="auto"/>
              <w:jc w:val="left"/>
              <w:rPr>
                <w:rFonts w:hint="eastAsia" w:ascii="宋体" w:hAnsi="宋体"/>
                <w:b/>
                <w:bCs/>
                <w:kern w:val="0"/>
                <w:sz w:val="24"/>
              </w:rPr>
            </w:pPr>
            <w:r>
              <w:rPr>
                <w:rFonts w:hint="eastAsia" w:ascii="宋体" w:hAnsi="宋体"/>
                <w:b/>
                <w:bCs/>
                <w:kern w:val="0"/>
                <w:sz w:val="24"/>
              </w:rPr>
              <w:t>分公司投标：</w:t>
            </w:r>
          </w:p>
          <w:p w14:paraId="0DA9A611">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分公司投标的，需提供具有法人资格的总公司的营业执照副本复印件及授权书。总公司可就本项目或此类项目在一定范围或时间内出具授权书。已由总公司授权的，总公司取得的相关资质证书对分公司有效，法律法规或者行业另有规定的除外。</w:t>
            </w:r>
          </w:p>
        </w:tc>
      </w:tr>
      <w:tr w14:paraId="5757BE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8" w:hRule="atLeast"/>
        </w:trPr>
        <w:tc>
          <w:tcPr>
            <w:tcW w:w="1134" w:type="dxa"/>
            <w:tcBorders>
              <w:top w:val="single" w:color="auto" w:sz="4" w:space="0"/>
              <w:left w:val="single" w:color="auto" w:sz="4" w:space="0"/>
              <w:bottom w:val="single" w:color="auto" w:sz="4" w:space="0"/>
              <w:right w:val="single" w:color="auto" w:sz="4" w:space="0"/>
            </w:tcBorders>
            <w:vAlign w:val="center"/>
          </w:tcPr>
          <w:p w14:paraId="050D8564">
            <w:pPr>
              <w:autoSpaceDE w:val="0"/>
              <w:autoSpaceDN w:val="0"/>
              <w:adjustRightInd w:val="0"/>
              <w:spacing w:line="360" w:lineRule="auto"/>
              <w:jc w:val="center"/>
              <w:rPr>
                <w:rFonts w:hint="eastAsia" w:ascii="宋体" w:hAnsi="宋体"/>
                <w:kern w:val="0"/>
                <w:sz w:val="24"/>
              </w:rPr>
            </w:pPr>
            <w:r>
              <w:rPr>
                <w:rFonts w:ascii="宋体" w:hAnsi="宋体"/>
                <w:kern w:val="0"/>
                <w:sz w:val="24"/>
              </w:rPr>
              <w:t>30</w:t>
            </w:r>
          </w:p>
        </w:tc>
        <w:tc>
          <w:tcPr>
            <w:tcW w:w="7655" w:type="dxa"/>
            <w:tcBorders>
              <w:top w:val="single" w:color="auto" w:sz="4" w:space="0"/>
              <w:left w:val="single" w:color="auto" w:sz="4" w:space="0"/>
              <w:bottom w:val="single" w:color="auto" w:sz="4" w:space="0"/>
              <w:right w:val="single" w:color="auto" w:sz="4" w:space="0"/>
            </w:tcBorders>
            <w:vAlign w:val="center"/>
          </w:tcPr>
          <w:p w14:paraId="72C2F2F0">
            <w:pPr>
              <w:autoSpaceDE w:val="0"/>
              <w:autoSpaceDN w:val="0"/>
              <w:adjustRightInd w:val="0"/>
              <w:spacing w:line="360" w:lineRule="auto"/>
              <w:jc w:val="left"/>
              <w:rPr>
                <w:rFonts w:hint="eastAsia" w:ascii="宋体" w:hAnsi="宋体"/>
                <w:b/>
                <w:bCs/>
                <w:kern w:val="0"/>
                <w:sz w:val="24"/>
              </w:rPr>
            </w:pPr>
            <w:r>
              <w:rPr>
                <w:rFonts w:hint="eastAsia" w:ascii="宋体" w:hAnsi="宋体"/>
                <w:b/>
                <w:bCs/>
                <w:kern w:val="0"/>
                <w:sz w:val="24"/>
              </w:rPr>
              <w:t>标的所属行业：</w:t>
            </w:r>
          </w:p>
          <w:p w14:paraId="3BEEE86F">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本项目采购标的对应的中小企业划分标准所属行业：工业。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6262F2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1134" w:type="dxa"/>
            <w:tcBorders>
              <w:top w:val="single" w:color="auto" w:sz="4" w:space="0"/>
              <w:left w:val="single" w:color="auto" w:sz="4" w:space="0"/>
              <w:bottom w:val="single" w:color="auto" w:sz="4" w:space="0"/>
              <w:right w:val="single" w:color="auto" w:sz="4" w:space="0"/>
            </w:tcBorders>
            <w:vAlign w:val="center"/>
          </w:tcPr>
          <w:p w14:paraId="5C4419FB">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3</w:t>
            </w:r>
            <w:r>
              <w:rPr>
                <w:rFonts w:ascii="宋体" w:hAnsi="宋体"/>
                <w:kern w:val="0"/>
                <w:sz w:val="24"/>
              </w:rPr>
              <w:t>1</w:t>
            </w:r>
          </w:p>
        </w:tc>
        <w:tc>
          <w:tcPr>
            <w:tcW w:w="7655" w:type="dxa"/>
            <w:tcBorders>
              <w:top w:val="single" w:color="auto" w:sz="4" w:space="0"/>
              <w:left w:val="single" w:color="auto" w:sz="4" w:space="0"/>
              <w:bottom w:val="single" w:color="auto" w:sz="4" w:space="0"/>
              <w:right w:val="single" w:color="auto" w:sz="4" w:space="0"/>
            </w:tcBorders>
            <w:vAlign w:val="center"/>
          </w:tcPr>
          <w:p w14:paraId="3BA59F81">
            <w:pPr>
              <w:autoSpaceDE w:val="0"/>
              <w:autoSpaceDN w:val="0"/>
              <w:adjustRightInd w:val="0"/>
              <w:spacing w:line="360" w:lineRule="auto"/>
              <w:jc w:val="left"/>
              <w:rPr>
                <w:rFonts w:hint="eastAsia" w:ascii="宋体" w:hAnsi="宋体"/>
                <w:b/>
                <w:bCs/>
                <w:kern w:val="0"/>
                <w:sz w:val="24"/>
              </w:rPr>
            </w:pPr>
            <w:r>
              <w:rPr>
                <w:rFonts w:hint="eastAsia" w:ascii="宋体" w:hAnsi="宋体"/>
                <w:b/>
                <w:bCs/>
                <w:kern w:val="0"/>
                <w:sz w:val="24"/>
              </w:rPr>
              <w:t>废标条款：</w:t>
            </w:r>
          </w:p>
          <w:p w14:paraId="5BE4F23A">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1、符合专业条件的供应商或者对招标文件作出实质性响应的供应商不足三家的；</w:t>
            </w:r>
          </w:p>
          <w:p w14:paraId="792D7727">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2、出现影响采购公正的违法、违规行为的；</w:t>
            </w:r>
          </w:p>
          <w:p w14:paraId="60411C6F">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3、投标人的报价均超过了采购预算（设置最高限价的，以最高限价为准），采购人不能支付的；</w:t>
            </w:r>
          </w:p>
          <w:p w14:paraId="3CECC589">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4、因重大变故，采购任务取消的。</w:t>
            </w:r>
          </w:p>
        </w:tc>
      </w:tr>
      <w:tr w14:paraId="47679C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2" w:hRule="atLeast"/>
        </w:trPr>
        <w:tc>
          <w:tcPr>
            <w:tcW w:w="1134" w:type="dxa"/>
            <w:tcBorders>
              <w:top w:val="single" w:color="auto" w:sz="4" w:space="0"/>
              <w:left w:val="single" w:color="auto" w:sz="4" w:space="0"/>
              <w:bottom w:val="single" w:color="auto" w:sz="4" w:space="0"/>
              <w:right w:val="single" w:color="auto" w:sz="4" w:space="0"/>
            </w:tcBorders>
            <w:vAlign w:val="center"/>
          </w:tcPr>
          <w:p w14:paraId="40EEABAA">
            <w:pPr>
              <w:adjustRightInd w:val="0"/>
              <w:snapToGrid w:val="0"/>
              <w:spacing w:line="360" w:lineRule="auto"/>
              <w:jc w:val="center"/>
              <w:rPr>
                <w:rFonts w:hint="eastAsia" w:ascii="宋体" w:hAnsi="宋体"/>
                <w:kern w:val="0"/>
                <w:sz w:val="24"/>
              </w:rPr>
            </w:pPr>
            <w:r>
              <w:rPr>
                <w:rFonts w:hint="eastAsia" w:ascii="宋体" w:hAnsi="宋体"/>
                <w:sz w:val="24"/>
              </w:rPr>
              <w:t>本国产品标准</w:t>
            </w:r>
          </w:p>
        </w:tc>
        <w:tc>
          <w:tcPr>
            <w:tcW w:w="7655" w:type="dxa"/>
            <w:tcBorders>
              <w:top w:val="single" w:color="auto" w:sz="4" w:space="0"/>
              <w:left w:val="single" w:color="auto" w:sz="4" w:space="0"/>
              <w:bottom w:val="single" w:color="auto" w:sz="4" w:space="0"/>
              <w:right w:val="single" w:color="auto" w:sz="4" w:space="0"/>
            </w:tcBorders>
            <w:vAlign w:val="center"/>
          </w:tcPr>
          <w:p w14:paraId="5C5FE83A">
            <w:pPr>
              <w:adjustRightInd w:val="0"/>
              <w:snapToGrid w:val="0"/>
              <w:spacing w:line="360" w:lineRule="auto"/>
              <w:rPr>
                <w:rFonts w:hint="eastAsia" w:ascii="宋体" w:hAnsi="宋体"/>
                <w:kern w:val="0"/>
                <w:sz w:val="24"/>
              </w:rPr>
            </w:pPr>
            <w:r>
              <w:rPr>
                <w:rFonts w:hint="eastAsia" w:ascii="宋体" w:hAnsi="宋体"/>
                <w:sz w:val="24"/>
              </w:rPr>
              <w:t>投标人提供的本国产品应符合《国务院办公厅关于在政府采购中实施本国产品标准及相关政策的通知》（国办发〔2025〕34号）及相关配套政策规定的“本国产品”标准，并按要求提交声明函。</w:t>
            </w:r>
          </w:p>
        </w:tc>
      </w:tr>
    </w:tbl>
    <w:p w14:paraId="105683D5">
      <w:pPr>
        <w:adjustRightInd w:val="0"/>
        <w:snapToGrid w:val="0"/>
        <w:spacing w:line="360" w:lineRule="auto"/>
        <w:rPr>
          <w:rFonts w:hint="eastAsia" w:ascii="宋体" w:hAnsi="宋体"/>
          <w:b/>
          <w:sz w:val="24"/>
        </w:rPr>
      </w:pPr>
    </w:p>
    <w:p w14:paraId="09A623E9">
      <w:pPr>
        <w:adjustRightInd w:val="0"/>
        <w:snapToGrid w:val="0"/>
        <w:spacing w:before="156" w:beforeLines="50" w:after="156" w:afterLines="50" w:line="360" w:lineRule="auto"/>
        <w:rPr>
          <w:rFonts w:hint="eastAsia" w:ascii="宋体" w:hAnsi="宋体"/>
          <w:b/>
          <w:sz w:val="24"/>
        </w:rPr>
      </w:pPr>
    </w:p>
    <w:p w14:paraId="45BC47A2">
      <w:pPr>
        <w:adjustRightInd w:val="0"/>
        <w:snapToGrid w:val="0"/>
        <w:spacing w:before="156" w:beforeLines="50" w:after="156" w:afterLines="50" w:line="360" w:lineRule="auto"/>
        <w:rPr>
          <w:rFonts w:hint="eastAsia" w:ascii="宋体" w:hAnsi="宋体"/>
          <w:b/>
          <w:sz w:val="24"/>
        </w:rPr>
      </w:pPr>
      <w:r>
        <w:rPr>
          <w:rFonts w:hint="eastAsia" w:ascii="宋体" w:hAnsi="宋体"/>
          <w:b/>
          <w:sz w:val="24"/>
        </w:rPr>
        <w:t>注1：</w:t>
      </w:r>
    </w:p>
    <w:p w14:paraId="6314EF36">
      <w:pPr>
        <w:spacing w:line="360" w:lineRule="auto"/>
        <w:rPr>
          <w:rFonts w:hint="eastAsia" w:ascii="宋体" w:hAnsi="宋体"/>
          <w:bCs/>
          <w:sz w:val="24"/>
        </w:rPr>
      </w:pPr>
      <w:r>
        <w:rPr>
          <w:rFonts w:hint="eastAsia" w:ascii="宋体" w:hAnsi="宋体"/>
          <w:bCs/>
          <w:sz w:val="24"/>
        </w:rPr>
        <w:t>1)信用信息查询渠道：“信用中国”网站(www.creditchina.gov.cn)、中国政府采购网(www.ccgp.gov.cn)。</w:t>
      </w:r>
      <w:r>
        <w:rPr>
          <w:rFonts w:hint="eastAsia" w:ascii="宋体" w:hAnsi="宋体"/>
          <w:bCs/>
          <w:sz w:val="24"/>
        </w:rPr>
        <w:br w:type="textWrapping"/>
      </w:r>
      <w:r>
        <w:rPr>
          <w:rFonts w:hint="eastAsia" w:ascii="宋体" w:hAnsi="宋体"/>
          <w:bCs/>
          <w:sz w:val="24"/>
        </w:rPr>
        <w:t>2)信用信息查询截止时点：同投标截止期，即查询投标人截止到投标截止期的信用信息记录。</w:t>
      </w:r>
      <w:r>
        <w:rPr>
          <w:rFonts w:hint="eastAsia" w:ascii="宋体" w:hAnsi="宋体"/>
          <w:bCs/>
          <w:sz w:val="24"/>
        </w:rPr>
        <w:br w:type="textWrapping"/>
      </w:r>
      <w:r>
        <w:rPr>
          <w:rFonts w:hint="eastAsia" w:ascii="宋体" w:hAnsi="宋体"/>
          <w:bCs/>
          <w:sz w:val="24"/>
        </w:rPr>
        <w:t>3)信用信息查询记录和证据留存的具体方式：信用信息查询记录将以网站截图打印稿形式与其他采购文件一并保存。</w:t>
      </w:r>
      <w:r>
        <w:rPr>
          <w:rFonts w:hint="eastAsia" w:ascii="宋体" w:hAnsi="宋体"/>
          <w:bCs/>
          <w:sz w:val="24"/>
        </w:rPr>
        <w:br w:type="textWrapping"/>
      </w:r>
      <w:r>
        <w:rPr>
          <w:rFonts w:hint="eastAsia" w:ascii="宋体" w:hAnsi="宋体"/>
          <w:bCs/>
          <w:sz w:val="24"/>
        </w:rPr>
        <w:t>4)信用信息的使用规则：如投标人为“信用中国”网站(www.creditchina.gov.cn)中列入失信被执行人或重大税收违法案件当事人名单的供应商，或为中国政府采购网(www.ccgp.gov.cn)政府采购严重违法失信行为记录名单中被财政部门禁止参加政府采购活动的供应商则其投标将被拒绝。</w:t>
      </w:r>
    </w:p>
    <w:p w14:paraId="3529D0E5">
      <w:pPr>
        <w:spacing w:line="360" w:lineRule="auto"/>
        <w:jc w:val="center"/>
        <w:outlineLvl w:val="0"/>
        <w:rPr>
          <w:rFonts w:hint="eastAsia" w:ascii="宋体" w:hAnsi="宋体"/>
          <w:b/>
          <w:bCs/>
          <w:kern w:val="0"/>
          <w:sz w:val="36"/>
          <w:szCs w:val="36"/>
        </w:rPr>
      </w:pPr>
      <w:r>
        <w:br w:type="page"/>
      </w:r>
      <w:bookmarkStart w:id="4" w:name="_Hlk141717651"/>
      <w:r>
        <w:rPr>
          <w:rFonts w:hint="eastAsia" w:ascii="宋体" w:hAnsi="宋体"/>
          <w:b/>
          <w:bCs/>
          <w:kern w:val="0"/>
          <w:sz w:val="36"/>
          <w:szCs w:val="36"/>
        </w:rPr>
        <w:t>第三章 投标人须知</w:t>
      </w:r>
    </w:p>
    <w:p w14:paraId="203FB8B6">
      <w:pPr>
        <w:spacing w:line="360" w:lineRule="auto"/>
        <w:rPr>
          <w:b/>
        </w:rPr>
      </w:pPr>
    </w:p>
    <w:p w14:paraId="479DD796">
      <w:pPr>
        <w:autoSpaceDE w:val="0"/>
        <w:autoSpaceDN w:val="0"/>
        <w:adjustRightInd w:val="0"/>
        <w:spacing w:line="360" w:lineRule="auto"/>
        <w:jc w:val="center"/>
        <w:outlineLvl w:val="1"/>
        <w:rPr>
          <w:rFonts w:hint="eastAsia" w:ascii="宋体" w:hAnsi="宋体"/>
          <w:b/>
          <w:bCs/>
          <w:kern w:val="0"/>
          <w:sz w:val="24"/>
        </w:rPr>
      </w:pPr>
      <w:r>
        <w:rPr>
          <w:rFonts w:hint="eastAsia" w:ascii="宋体" w:hAnsi="宋体"/>
          <w:b/>
          <w:bCs/>
          <w:kern w:val="0"/>
          <w:sz w:val="24"/>
        </w:rPr>
        <w:t>（一）说明</w:t>
      </w:r>
    </w:p>
    <w:p w14:paraId="0D647B8C">
      <w:pPr>
        <w:spacing w:line="360" w:lineRule="auto"/>
        <w:rPr>
          <w:b/>
        </w:rPr>
      </w:pPr>
    </w:p>
    <w:p w14:paraId="62E46C78">
      <w:pPr>
        <w:autoSpaceDE w:val="0"/>
        <w:autoSpaceDN w:val="0"/>
        <w:adjustRightInd w:val="0"/>
        <w:spacing w:line="360" w:lineRule="auto"/>
        <w:jc w:val="left"/>
        <w:rPr>
          <w:rFonts w:hint="eastAsia" w:ascii="宋体" w:hAnsi="宋体"/>
          <w:b/>
          <w:bCs/>
          <w:kern w:val="0"/>
          <w:sz w:val="24"/>
        </w:rPr>
      </w:pPr>
      <w:r>
        <w:rPr>
          <w:rFonts w:hint="eastAsia" w:ascii="宋体" w:hAnsi="宋体"/>
          <w:b/>
          <w:bCs/>
          <w:kern w:val="0"/>
          <w:sz w:val="24"/>
        </w:rPr>
        <w:t>1. 采购人、采购代理机构及合格的投标人</w:t>
      </w:r>
    </w:p>
    <w:p w14:paraId="702223CA">
      <w:pPr>
        <w:autoSpaceDE w:val="0"/>
        <w:autoSpaceDN w:val="0"/>
        <w:spacing w:line="360" w:lineRule="auto"/>
        <w:ind w:left="480" w:hanging="480" w:hangingChars="200"/>
        <w:jc w:val="left"/>
        <w:rPr>
          <w:rFonts w:hint="eastAsia" w:ascii="宋体" w:hAnsi="宋体"/>
          <w:bCs/>
          <w:kern w:val="0"/>
          <w:sz w:val="24"/>
        </w:rPr>
      </w:pPr>
      <w:r>
        <w:rPr>
          <w:rFonts w:hint="eastAsia" w:ascii="宋体" w:hAnsi="宋体"/>
          <w:bCs/>
          <w:kern w:val="0"/>
          <w:sz w:val="24"/>
        </w:rPr>
        <w:t>1.1 采购人（招标人）：</w:t>
      </w:r>
      <w:r>
        <w:rPr>
          <w:rFonts w:hint="eastAsia" w:ascii="宋体" w:hAnsi="宋体" w:cs="宋体"/>
          <w:kern w:val="0"/>
          <w:sz w:val="24"/>
          <w:lang w:val="zh-CN"/>
        </w:rPr>
        <w:t>中国科学院华南植物园</w:t>
      </w:r>
    </w:p>
    <w:p w14:paraId="68C3E14F">
      <w:pPr>
        <w:autoSpaceDE w:val="0"/>
        <w:autoSpaceDN w:val="0"/>
        <w:spacing w:line="360" w:lineRule="auto"/>
        <w:ind w:left="480" w:hanging="480" w:hangingChars="200"/>
        <w:jc w:val="left"/>
        <w:rPr>
          <w:rFonts w:hint="eastAsia" w:ascii="宋体" w:hAnsi="宋体"/>
          <w:bCs/>
          <w:kern w:val="0"/>
          <w:sz w:val="24"/>
        </w:rPr>
      </w:pPr>
      <w:r>
        <w:rPr>
          <w:rFonts w:hint="eastAsia" w:ascii="宋体" w:hAnsi="宋体"/>
          <w:bCs/>
          <w:kern w:val="0"/>
          <w:sz w:val="24"/>
        </w:rPr>
        <w:t>1.2 采购代理机构（招标代理机构）：东方国际招标有限责任公司</w:t>
      </w:r>
    </w:p>
    <w:p w14:paraId="3DA78750">
      <w:pPr>
        <w:autoSpaceDE w:val="0"/>
        <w:autoSpaceDN w:val="0"/>
        <w:spacing w:line="360" w:lineRule="auto"/>
        <w:ind w:left="480" w:hanging="480" w:hangingChars="200"/>
        <w:jc w:val="left"/>
        <w:rPr>
          <w:rFonts w:hint="eastAsia" w:ascii="宋体" w:hAnsi="宋体"/>
          <w:bCs/>
          <w:kern w:val="0"/>
          <w:sz w:val="24"/>
        </w:rPr>
      </w:pPr>
      <w:r>
        <w:rPr>
          <w:rFonts w:hint="eastAsia" w:ascii="宋体" w:hAnsi="宋体"/>
          <w:bCs/>
          <w:kern w:val="0"/>
          <w:sz w:val="24"/>
        </w:rPr>
        <w:t>1.3 合格的投标人（供应商）：详见招标文件第二章“投标人须知资料表”（以下简称“资料表”）</w:t>
      </w:r>
    </w:p>
    <w:p w14:paraId="5EFEEC51">
      <w:pPr>
        <w:spacing w:line="360" w:lineRule="auto"/>
        <w:ind w:left="480" w:hanging="480" w:hangingChars="200"/>
        <w:rPr>
          <w:rFonts w:hint="eastAsia" w:ascii="宋体" w:hAnsi="宋体"/>
          <w:bCs/>
          <w:sz w:val="24"/>
        </w:rPr>
      </w:pPr>
      <w:r>
        <w:rPr>
          <w:rFonts w:hint="eastAsia" w:ascii="宋体" w:hAnsi="宋体" w:cs="仿宋_GB2312"/>
          <w:bCs/>
          <w:sz w:val="24"/>
        </w:rPr>
        <w:t>1.4</w:t>
      </w:r>
      <w:r>
        <w:rPr>
          <w:rFonts w:ascii="宋体" w:hAnsi="宋体" w:cs="仿宋_GB2312"/>
          <w:bCs/>
          <w:sz w:val="24"/>
        </w:rPr>
        <w:t xml:space="preserve"> </w:t>
      </w:r>
      <w:r>
        <w:rPr>
          <w:rFonts w:hint="eastAsia" w:ascii="宋体" w:hAnsi="宋体" w:cs="仿宋_GB2312"/>
          <w:bCs/>
          <w:sz w:val="24"/>
        </w:rPr>
        <w:t>凡受托为本次招标的进行设计、编制规范和其他文件的咨询公司，及相关联的附属机构，不得参与投标，凡未购买招标文件的供应商，不得参与投标。</w:t>
      </w:r>
    </w:p>
    <w:p w14:paraId="74BCBA9C">
      <w:pPr>
        <w:spacing w:line="360" w:lineRule="auto"/>
        <w:ind w:left="480" w:hanging="480" w:hangingChars="200"/>
        <w:rPr>
          <w:rFonts w:hint="eastAsia" w:ascii="宋体" w:hAnsi="宋体"/>
          <w:bCs/>
          <w:sz w:val="24"/>
        </w:rPr>
      </w:pPr>
      <w:r>
        <w:rPr>
          <w:rFonts w:hint="eastAsia" w:ascii="宋体" w:hAnsi="宋体" w:cs="仿宋_GB2312"/>
          <w:bCs/>
          <w:sz w:val="24"/>
        </w:rPr>
        <w:t>1.5</w:t>
      </w:r>
      <w:r>
        <w:rPr>
          <w:rFonts w:ascii="宋体" w:hAnsi="宋体" w:cs="仿宋_GB2312"/>
          <w:bCs/>
          <w:sz w:val="24"/>
        </w:rPr>
        <w:t xml:space="preserve"> </w:t>
      </w:r>
      <w:r>
        <w:rPr>
          <w:rFonts w:hint="eastAsia" w:ascii="宋体" w:hAnsi="宋体" w:cs="仿宋_GB2312"/>
          <w:bCs/>
          <w:sz w:val="24"/>
        </w:rPr>
        <w:t>投标人在投标过程中不得向采购人和采购代理机构提供、给予任何有价值的物品，一经发现，其投标人资格将被取消。</w:t>
      </w:r>
    </w:p>
    <w:p w14:paraId="074FF50D">
      <w:pPr>
        <w:spacing w:line="360" w:lineRule="auto"/>
        <w:ind w:left="480" w:hanging="480" w:hangingChars="200"/>
        <w:rPr>
          <w:rFonts w:hint="eastAsia" w:ascii="宋体" w:hAnsi="宋体" w:cs="仿宋_GB2312"/>
          <w:bCs/>
          <w:sz w:val="24"/>
        </w:rPr>
      </w:pPr>
      <w:r>
        <w:rPr>
          <w:rFonts w:hint="eastAsia" w:ascii="宋体" w:hAnsi="宋体" w:cs="仿宋_GB2312"/>
          <w:bCs/>
          <w:sz w:val="24"/>
        </w:rPr>
        <w:t>1.6</w:t>
      </w:r>
      <w:r>
        <w:rPr>
          <w:rFonts w:ascii="宋体" w:hAnsi="宋体" w:cs="仿宋_GB2312"/>
          <w:bCs/>
          <w:sz w:val="24"/>
        </w:rPr>
        <w:t xml:space="preserve"> </w:t>
      </w:r>
      <w:r>
        <w:rPr>
          <w:rFonts w:hint="eastAsia" w:ascii="宋体" w:hAnsi="宋体" w:cs="仿宋_GB2312"/>
          <w:bCs/>
          <w:sz w:val="24"/>
        </w:rPr>
        <w:t>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14:paraId="2178A94C">
      <w:pPr>
        <w:autoSpaceDE w:val="0"/>
        <w:autoSpaceDN w:val="0"/>
        <w:adjustRightInd w:val="0"/>
        <w:spacing w:before="156" w:beforeLines="50" w:line="360" w:lineRule="auto"/>
        <w:jc w:val="left"/>
        <w:rPr>
          <w:rFonts w:hint="eastAsia" w:ascii="宋体" w:hAnsi="宋体"/>
          <w:b/>
          <w:bCs/>
          <w:kern w:val="0"/>
          <w:sz w:val="24"/>
        </w:rPr>
      </w:pPr>
      <w:r>
        <w:rPr>
          <w:rFonts w:hint="eastAsia" w:ascii="宋体" w:hAnsi="宋体"/>
          <w:b/>
          <w:bCs/>
          <w:kern w:val="0"/>
          <w:sz w:val="24"/>
        </w:rPr>
        <w:t>2．资金来源</w:t>
      </w:r>
    </w:p>
    <w:p w14:paraId="2D039D94">
      <w:pPr>
        <w:autoSpaceDE w:val="0"/>
        <w:autoSpaceDN w:val="0"/>
        <w:adjustRightInd w:val="0"/>
        <w:spacing w:line="360" w:lineRule="auto"/>
        <w:ind w:left="480" w:hanging="480" w:hangingChars="200"/>
        <w:jc w:val="left"/>
        <w:rPr>
          <w:rFonts w:hint="eastAsia" w:ascii="宋体" w:hAnsi="宋体"/>
          <w:bCs/>
          <w:kern w:val="0"/>
          <w:sz w:val="24"/>
        </w:rPr>
      </w:pPr>
      <w:r>
        <w:rPr>
          <w:rFonts w:hint="eastAsia" w:ascii="宋体" w:hAnsi="宋体"/>
          <w:bCs/>
          <w:kern w:val="0"/>
          <w:sz w:val="24"/>
        </w:rPr>
        <w:t xml:space="preserve">2.1 </w:t>
      </w:r>
      <w:r>
        <w:rPr>
          <w:rFonts w:hint="eastAsia" w:ascii="宋体" w:hAnsi="宋体" w:cs="宋体"/>
          <w:kern w:val="0"/>
          <w:sz w:val="24"/>
          <w:lang w:val="zh-CN"/>
        </w:rPr>
        <w:t>财政性资金</w:t>
      </w:r>
      <w:r>
        <w:rPr>
          <w:rFonts w:hint="eastAsia" w:ascii="宋体" w:hAnsi="宋体"/>
          <w:bCs/>
          <w:kern w:val="0"/>
          <w:sz w:val="24"/>
        </w:rPr>
        <w:t>，已落实。</w:t>
      </w:r>
    </w:p>
    <w:p w14:paraId="7EC10FDA">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3．投标费用</w:t>
      </w:r>
    </w:p>
    <w:p w14:paraId="4F8A1D46">
      <w:pPr>
        <w:autoSpaceDE w:val="0"/>
        <w:autoSpaceDN w:val="0"/>
        <w:adjustRightInd w:val="0"/>
        <w:spacing w:line="360" w:lineRule="auto"/>
        <w:ind w:left="480" w:hanging="480" w:hangingChars="200"/>
        <w:jc w:val="left"/>
        <w:rPr>
          <w:rFonts w:hint="eastAsia" w:ascii="宋体" w:hAnsi="宋体"/>
          <w:bCs/>
          <w:kern w:val="0"/>
          <w:sz w:val="24"/>
        </w:rPr>
      </w:pPr>
      <w:r>
        <w:rPr>
          <w:rFonts w:hint="eastAsia" w:ascii="宋体" w:hAnsi="宋体"/>
          <w:bCs/>
          <w:kern w:val="0"/>
          <w:sz w:val="24"/>
        </w:rPr>
        <w:t>3.1 投标人应承担所有与准备和参加投标有关的费用，不论投标的结果如何，采购人和采购代理机构均无义务承担责任。</w:t>
      </w:r>
    </w:p>
    <w:p w14:paraId="0091E2AC">
      <w:pPr>
        <w:spacing w:line="360" w:lineRule="auto"/>
        <w:ind w:left="480" w:hanging="480" w:hangingChars="200"/>
        <w:rPr>
          <w:rFonts w:hint="eastAsia" w:ascii="宋体" w:hAnsi="宋体" w:cs="仿宋_GB2312"/>
          <w:bCs/>
          <w:sz w:val="24"/>
        </w:rPr>
      </w:pPr>
      <w:r>
        <w:rPr>
          <w:rFonts w:hint="eastAsia" w:ascii="宋体" w:hAnsi="宋体" w:cs="仿宋_GB2312"/>
          <w:bCs/>
          <w:sz w:val="24"/>
        </w:rPr>
        <w:t>3.2 中标人应向采购代理机构交纳中标服务费(费用详见“资料表”)。此项费用不应单独开列，但计入投标总价。</w:t>
      </w:r>
    </w:p>
    <w:p w14:paraId="77B18499">
      <w:pPr>
        <w:autoSpaceDE w:val="0"/>
        <w:autoSpaceDN w:val="0"/>
        <w:adjustRightInd w:val="0"/>
        <w:spacing w:line="360" w:lineRule="auto"/>
        <w:jc w:val="center"/>
        <w:outlineLvl w:val="1"/>
        <w:rPr>
          <w:rFonts w:hint="eastAsia" w:ascii="宋体" w:hAnsi="宋体"/>
          <w:b/>
          <w:bCs/>
          <w:kern w:val="0"/>
          <w:sz w:val="24"/>
        </w:rPr>
      </w:pPr>
      <w:r>
        <w:rPr>
          <w:rFonts w:hint="eastAsia" w:ascii="宋体" w:hAnsi="宋体"/>
          <w:b/>
          <w:bCs/>
          <w:kern w:val="0"/>
          <w:sz w:val="24"/>
        </w:rPr>
        <w:t>（二）招标文件</w:t>
      </w:r>
    </w:p>
    <w:p w14:paraId="7038D08D">
      <w:pPr>
        <w:spacing w:line="360" w:lineRule="auto"/>
        <w:rPr>
          <w:b/>
        </w:rPr>
      </w:pPr>
    </w:p>
    <w:p w14:paraId="4EA5970D">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4. </w:t>
      </w:r>
      <w:r>
        <w:rPr>
          <w:rFonts w:hint="eastAsia" w:ascii="宋体" w:hAnsi="宋体" w:cs="宋体"/>
          <w:kern w:val="0"/>
          <w:sz w:val="24"/>
          <w:lang w:val="zh-CN"/>
        </w:rPr>
        <w:t>招标文件构成</w:t>
      </w:r>
    </w:p>
    <w:p w14:paraId="41A0A1DE">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4.1 </w:t>
      </w:r>
      <w:r>
        <w:rPr>
          <w:rFonts w:hint="eastAsia" w:ascii="宋体" w:hAnsi="宋体" w:cs="宋体"/>
          <w:kern w:val="0"/>
          <w:sz w:val="24"/>
          <w:lang w:val="zh-CN"/>
        </w:rPr>
        <w:t>招标所需的有关服务的内容、详细技术需求、投标须知和合同条件等在招标文件中均有说明。</w:t>
      </w:r>
    </w:p>
    <w:p w14:paraId="4A6E9AD0">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招标文件包括：</w:t>
      </w:r>
    </w:p>
    <w:p w14:paraId="1035FD40">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 xml:space="preserve">第一章 投标邀请 </w:t>
      </w:r>
    </w:p>
    <w:p w14:paraId="02413202">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 xml:space="preserve">第二章 投标人须知资料表  </w:t>
      </w:r>
    </w:p>
    <w:p w14:paraId="1A281B38">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第三章 投标人须知</w:t>
      </w:r>
    </w:p>
    <w:p w14:paraId="0FA8F86F">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第四章 项目需求</w:t>
      </w:r>
    </w:p>
    <w:p w14:paraId="604F7092">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第五章 拟签订的合同文本（范本）</w:t>
      </w:r>
    </w:p>
    <w:p w14:paraId="629E7E5C">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 xml:space="preserve">第六章 投标文件格式  </w:t>
      </w:r>
    </w:p>
    <w:p w14:paraId="756269C8">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第七章 评标文件（附：评标标准）</w:t>
      </w:r>
    </w:p>
    <w:p w14:paraId="5B81201B">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根据招标文件规定发出的澄清、修改及补充文件（如有）</w:t>
      </w:r>
    </w:p>
    <w:p w14:paraId="03B98ECB">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4.2 </w:t>
      </w:r>
      <w:r>
        <w:rPr>
          <w:rFonts w:hint="eastAsia" w:ascii="宋体" w:hAnsi="宋体" w:cs="宋体"/>
          <w:kern w:val="0"/>
          <w:sz w:val="24"/>
          <w:lang w:val="zh-CN"/>
        </w:rPr>
        <w:t>投标人应认真阅读招标文件所有的事项、格式、条款和技术规范等。如投标人没有按照招标文件要求提交全部资料，或者投标文件没有对招标文件在各方面都做出实质性响应是投标人的风险，并可能导致其投标被拒绝。</w:t>
      </w:r>
    </w:p>
    <w:p w14:paraId="00A7B334">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5. </w:t>
      </w:r>
      <w:r>
        <w:rPr>
          <w:rFonts w:hint="eastAsia" w:ascii="宋体" w:hAnsi="宋体" w:cs="宋体"/>
          <w:b/>
          <w:bCs/>
          <w:kern w:val="0"/>
          <w:sz w:val="24"/>
          <w:lang w:val="zh-CN"/>
        </w:rPr>
        <w:t>招标文件的澄清</w:t>
      </w:r>
    </w:p>
    <w:p w14:paraId="3C9280DF">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5.1 </w:t>
      </w:r>
      <w:r>
        <w:rPr>
          <w:rFonts w:hint="eastAsia" w:ascii="宋体" w:hAnsi="宋体" w:cs="宋体"/>
          <w:kern w:val="0"/>
          <w:sz w:val="24"/>
          <w:lang w:val="zh-CN"/>
        </w:rPr>
        <w:t>任何要求对招标文件进行澄清的投标人，均应以书面形式通知采购代理机构。采购代理机构以书面形式通知所有招标文件收受人。所有接到澄清通知的投标人在收到后应立即向采购代理机构回函确认。</w:t>
      </w:r>
    </w:p>
    <w:p w14:paraId="5B66C094">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6. </w:t>
      </w:r>
      <w:r>
        <w:rPr>
          <w:rFonts w:hint="eastAsia" w:ascii="宋体" w:hAnsi="宋体" w:cs="宋体"/>
          <w:b/>
          <w:bCs/>
          <w:kern w:val="0"/>
          <w:sz w:val="24"/>
          <w:lang w:val="zh-CN"/>
        </w:rPr>
        <w:t>招标文件的修改</w:t>
      </w:r>
    </w:p>
    <w:p w14:paraId="0FF6E3B5">
      <w:pPr>
        <w:spacing w:before="120" w:line="360" w:lineRule="auto"/>
        <w:rPr>
          <w:rFonts w:hint="eastAsia" w:ascii="宋体" w:hAnsi="宋体" w:cs="仿宋_GB2312"/>
          <w:sz w:val="24"/>
        </w:rPr>
      </w:pPr>
      <w:r>
        <w:rPr>
          <w:rFonts w:hint="eastAsia" w:ascii="宋体" w:hAnsi="宋体" w:cs="仿宋_GB2312"/>
          <w:sz w:val="24"/>
        </w:rPr>
        <w:t>6.1采购人和采购代理机构可主动地或在解答投标人提出的澄清问题时对招标文件进行修改。</w:t>
      </w:r>
    </w:p>
    <w:p w14:paraId="0D8A467D">
      <w:pPr>
        <w:spacing w:before="120" w:line="360" w:lineRule="auto"/>
        <w:rPr>
          <w:rFonts w:hint="eastAsia" w:ascii="宋体" w:hAnsi="宋体" w:cs="仿宋_GB2312"/>
          <w:sz w:val="24"/>
        </w:rPr>
      </w:pPr>
      <w:r>
        <w:rPr>
          <w:rFonts w:ascii="宋体" w:hAnsi="宋体" w:cs="仿宋_GB2312"/>
          <w:sz w:val="24"/>
        </w:rPr>
        <w:t>6.2</w:t>
      </w:r>
      <w:r>
        <w:rPr>
          <w:rFonts w:hint="eastAsia" w:ascii="宋体" w:hAnsi="宋体" w:cs="仿宋_GB2312"/>
          <w:sz w:val="24"/>
        </w:rPr>
        <w:t>招标文件的修改应以书面形式通知所有获取招标文件的潜在投标人，投标人在收到上述通知后，应立即向采购代理机构回函确认。修改的内容是招标文件的组成部分，对招、投标双方具有约束力。</w:t>
      </w:r>
    </w:p>
    <w:p w14:paraId="0CBED193">
      <w:pPr>
        <w:spacing w:before="120" w:line="360" w:lineRule="auto"/>
        <w:rPr>
          <w:rFonts w:hint="eastAsia" w:ascii="宋体" w:hAnsi="宋体" w:cs="仿宋_GB2312"/>
          <w:sz w:val="24"/>
        </w:rPr>
      </w:pPr>
      <w:r>
        <w:rPr>
          <w:rFonts w:hint="eastAsia" w:ascii="宋体" w:hAnsi="宋体" w:cs="仿宋_GB2312"/>
          <w:sz w:val="24"/>
        </w:rPr>
        <w:t>6.3 招标文件修改的内容可能影响投标文件编制的，采购代理机构将在投标截止时间至少15日前，以书面形式通知所有获取招标文件的潜在投标人；不足15日的，采购代理机构将顺延提交投标文件的截止时间。</w:t>
      </w:r>
    </w:p>
    <w:p w14:paraId="0F7AB5AB">
      <w:pPr>
        <w:pStyle w:val="36"/>
        <w:spacing w:line="360" w:lineRule="auto"/>
      </w:pPr>
    </w:p>
    <w:p w14:paraId="71981C9D">
      <w:pPr>
        <w:autoSpaceDE w:val="0"/>
        <w:autoSpaceDN w:val="0"/>
        <w:adjustRightInd w:val="0"/>
        <w:spacing w:line="360" w:lineRule="auto"/>
        <w:jc w:val="center"/>
        <w:outlineLvl w:val="1"/>
        <w:rPr>
          <w:rFonts w:hint="eastAsia" w:ascii="宋体" w:hAnsi="宋体" w:cs="宋体"/>
          <w:b/>
          <w:bCs/>
          <w:kern w:val="0"/>
          <w:sz w:val="24"/>
          <w:lang w:val="zh-CN"/>
        </w:rPr>
      </w:pPr>
      <w:r>
        <w:rPr>
          <w:rFonts w:hint="eastAsia" w:ascii="宋体" w:hAnsi="宋体" w:cs="宋体"/>
          <w:b/>
          <w:bCs/>
          <w:kern w:val="0"/>
          <w:sz w:val="24"/>
          <w:lang w:val="zh-CN"/>
        </w:rPr>
        <w:t>（三）投标文件的编制</w:t>
      </w:r>
    </w:p>
    <w:p w14:paraId="738E956A">
      <w:pPr>
        <w:autoSpaceDE w:val="0"/>
        <w:autoSpaceDN w:val="0"/>
        <w:adjustRightInd w:val="0"/>
        <w:spacing w:line="360" w:lineRule="auto"/>
        <w:jc w:val="left"/>
        <w:rPr>
          <w:rFonts w:hint="eastAsia" w:ascii="宋体" w:hAnsi="宋体" w:cs="宋体"/>
          <w:b/>
          <w:bCs/>
          <w:kern w:val="0"/>
          <w:sz w:val="24"/>
          <w:lang w:val="zh-CN"/>
        </w:rPr>
      </w:pPr>
      <w:r>
        <w:rPr>
          <w:rFonts w:hint="eastAsia" w:ascii="宋体" w:hAnsi="宋体" w:cs="宋体"/>
          <w:b/>
          <w:bCs/>
          <w:kern w:val="0"/>
          <w:sz w:val="24"/>
          <w:lang w:val="zh-CN"/>
        </w:rPr>
        <w:t>7．投标范围、投标文件中计量单位的使用、投标语言</w:t>
      </w:r>
    </w:p>
    <w:p w14:paraId="4006F061">
      <w:pPr>
        <w:tabs>
          <w:tab w:val="left" w:pos="900"/>
        </w:tabs>
        <w:spacing w:before="120" w:line="360" w:lineRule="auto"/>
        <w:rPr>
          <w:rFonts w:hint="eastAsia" w:ascii="宋体" w:hAnsi="宋体"/>
          <w:sz w:val="24"/>
        </w:rPr>
      </w:pPr>
      <w:r>
        <w:rPr>
          <w:rFonts w:ascii="宋体" w:hAnsi="宋体" w:cs="仿宋_GB2312"/>
          <w:sz w:val="24"/>
        </w:rPr>
        <w:t>7.1</w:t>
      </w:r>
      <w:r>
        <w:rPr>
          <w:rFonts w:hint="eastAsia" w:ascii="宋体" w:hAnsi="宋体" w:cs="仿宋_GB2312"/>
          <w:sz w:val="24"/>
        </w:rPr>
        <w:t>投标范围详见第二章“资料表”。</w:t>
      </w:r>
    </w:p>
    <w:p w14:paraId="6540903A">
      <w:pPr>
        <w:tabs>
          <w:tab w:val="left" w:pos="900"/>
        </w:tabs>
        <w:spacing w:before="120" w:line="360" w:lineRule="auto"/>
        <w:rPr>
          <w:rFonts w:hint="eastAsia" w:ascii="宋体" w:hAnsi="宋体"/>
          <w:sz w:val="24"/>
        </w:rPr>
      </w:pPr>
      <w:r>
        <w:rPr>
          <w:rFonts w:ascii="宋体" w:hAnsi="宋体" w:cs="仿宋_GB2312"/>
          <w:sz w:val="24"/>
        </w:rPr>
        <w:t>7.2</w:t>
      </w:r>
      <w:r>
        <w:rPr>
          <w:rFonts w:hint="eastAsia" w:ascii="宋体" w:hAnsi="宋体" w:cs="仿宋_GB2312"/>
          <w:sz w:val="24"/>
        </w:rPr>
        <w:t>投标文件中所使用的计量单位，除招标文件中有特殊要求外，应采用中华人民共和国法定计量单位。</w:t>
      </w:r>
    </w:p>
    <w:p w14:paraId="78E9FCD9">
      <w:pPr>
        <w:tabs>
          <w:tab w:val="left" w:pos="900"/>
        </w:tabs>
        <w:spacing w:before="120" w:line="360" w:lineRule="auto"/>
        <w:rPr>
          <w:rFonts w:hint="eastAsia" w:ascii="宋体" w:hAnsi="宋体"/>
          <w:sz w:val="24"/>
        </w:rPr>
      </w:pPr>
      <w:r>
        <w:rPr>
          <w:rFonts w:ascii="宋体" w:hAnsi="宋体" w:cs="仿宋_GB2312"/>
          <w:sz w:val="24"/>
        </w:rPr>
        <w:t xml:space="preserve">7.3 </w:t>
      </w:r>
      <w:r>
        <w:rPr>
          <w:rFonts w:hint="eastAsia" w:ascii="宋体" w:hAnsi="宋体" w:cs="仿宋_GB2312"/>
          <w:sz w:val="24"/>
        </w:rPr>
        <w:t>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14:paraId="439613BB">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8. </w:t>
      </w:r>
      <w:r>
        <w:rPr>
          <w:rFonts w:hint="eastAsia" w:ascii="宋体" w:hAnsi="宋体" w:cs="宋体"/>
          <w:b/>
          <w:bCs/>
          <w:kern w:val="0"/>
          <w:sz w:val="24"/>
          <w:lang w:val="zh-CN"/>
        </w:rPr>
        <w:t>投标文件构成</w:t>
      </w:r>
    </w:p>
    <w:p w14:paraId="6F7FD35C">
      <w:pPr>
        <w:spacing w:before="120" w:line="360" w:lineRule="auto"/>
        <w:rPr>
          <w:rFonts w:hint="eastAsia" w:ascii="宋体" w:hAnsi="宋体" w:cs="仿宋_GB2312"/>
          <w:sz w:val="24"/>
        </w:rPr>
      </w:pPr>
      <w:bookmarkStart w:id="5" w:name="_Ref467052588"/>
      <w:r>
        <w:rPr>
          <w:rFonts w:ascii="宋体" w:hAnsi="宋体" w:cs="仿宋_GB2312"/>
          <w:sz w:val="24"/>
        </w:rPr>
        <w:t>8.1</w:t>
      </w:r>
      <w:r>
        <w:rPr>
          <w:rFonts w:hint="eastAsia" w:ascii="宋体" w:hAnsi="宋体" w:cs="仿宋_GB2312"/>
          <w:sz w:val="24"/>
        </w:rPr>
        <w:t>投标人应完整地按招标文件提供的投标文件格式编写投标文件，投标文件应包括但不仅限于以下内容</w:t>
      </w:r>
      <w:bookmarkEnd w:id="5"/>
      <w:r>
        <w:rPr>
          <w:rFonts w:hint="eastAsia" w:ascii="宋体" w:hAnsi="宋体" w:cs="仿宋_GB2312"/>
          <w:sz w:val="24"/>
        </w:rPr>
        <w:t>：详见第六章投标文件格式。</w:t>
      </w:r>
    </w:p>
    <w:p w14:paraId="15DC55E1">
      <w:pPr>
        <w:spacing w:before="120" w:line="360" w:lineRule="auto"/>
        <w:rPr>
          <w:rFonts w:hint="eastAsia" w:ascii="宋体" w:hAnsi="宋体" w:cs="仿宋_GB2312"/>
          <w:b/>
          <w:bCs/>
          <w:sz w:val="24"/>
        </w:rPr>
      </w:pPr>
      <w:r>
        <w:rPr>
          <w:rFonts w:ascii="宋体" w:hAnsi="宋体" w:cs="仿宋_GB2312"/>
          <w:b/>
          <w:bCs/>
          <w:sz w:val="24"/>
        </w:rPr>
        <w:t xml:space="preserve">9. </w:t>
      </w:r>
      <w:r>
        <w:rPr>
          <w:rFonts w:hint="eastAsia" w:ascii="宋体" w:hAnsi="宋体" w:cs="仿宋_GB2312"/>
          <w:b/>
          <w:bCs/>
          <w:sz w:val="24"/>
        </w:rPr>
        <w:t>证明服务的合格性和符合招标文件规定的文件</w:t>
      </w:r>
    </w:p>
    <w:p w14:paraId="40D74A1E">
      <w:pPr>
        <w:spacing w:before="120" w:line="360" w:lineRule="auto"/>
        <w:rPr>
          <w:rFonts w:hint="eastAsia" w:ascii="宋体" w:hAnsi="宋体" w:cs="仿宋_GB2312"/>
          <w:sz w:val="24"/>
        </w:rPr>
      </w:pPr>
      <w:r>
        <w:rPr>
          <w:rFonts w:hint="eastAsia" w:ascii="宋体" w:hAnsi="宋体" w:cs="仿宋_GB2312"/>
          <w:sz w:val="24"/>
        </w:rPr>
        <w:t>9</w:t>
      </w:r>
      <w:r>
        <w:rPr>
          <w:rFonts w:ascii="宋体" w:hAnsi="宋体" w:cs="仿宋_GB2312"/>
          <w:sz w:val="24"/>
        </w:rPr>
        <w:t xml:space="preserve">.1 </w:t>
      </w:r>
      <w:r>
        <w:rPr>
          <w:rFonts w:hint="eastAsia" w:ascii="宋体" w:hAnsi="宋体" w:cs="仿宋_GB2312"/>
          <w:sz w:val="24"/>
        </w:rPr>
        <w:t>不适用</w:t>
      </w:r>
    </w:p>
    <w:p w14:paraId="1E432F47">
      <w:pPr>
        <w:autoSpaceDE w:val="0"/>
        <w:autoSpaceDN w:val="0"/>
        <w:adjustRightInd w:val="0"/>
        <w:spacing w:before="100" w:beforeAutospacing="1" w:after="100" w:afterAutospacing="1" w:line="360" w:lineRule="auto"/>
        <w:jc w:val="left"/>
        <w:rPr>
          <w:rFonts w:hint="eastAsia" w:ascii="宋体" w:hAnsi="宋体" w:cs="宋体"/>
          <w:b/>
          <w:bCs/>
          <w:kern w:val="0"/>
          <w:sz w:val="24"/>
          <w:lang w:val="zh-CN"/>
        </w:rPr>
      </w:pPr>
      <w:r>
        <w:rPr>
          <w:rFonts w:ascii="宋体" w:hAnsi="宋体" w:cs="宋体"/>
          <w:b/>
          <w:bCs/>
          <w:kern w:val="0"/>
          <w:sz w:val="24"/>
          <w:lang w:val="zh-CN"/>
        </w:rPr>
        <w:t xml:space="preserve">10. </w:t>
      </w:r>
      <w:r>
        <w:rPr>
          <w:rFonts w:hint="eastAsia" w:ascii="宋体" w:hAnsi="宋体" w:cs="宋体"/>
          <w:b/>
          <w:bCs/>
          <w:kern w:val="0"/>
          <w:sz w:val="24"/>
          <w:lang w:val="zh-CN"/>
        </w:rPr>
        <w:t>投标报价</w:t>
      </w:r>
    </w:p>
    <w:p w14:paraId="12796A1F">
      <w:pPr>
        <w:spacing w:line="360" w:lineRule="auto"/>
        <w:rPr>
          <w:rFonts w:hint="eastAsia" w:ascii="宋体" w:hAnsi="宋体"/>
          <w:sz w:val="24"/>
        </w:rPr>
      </w:pPr>
      <w:r>
        <w:rPr>
          <w:rFonts w:ascii="宋体" w:hAnsi="宋体" w:cs="仿宋_GB2312"/>
          <w:sz w:val="24"/>
        </w:rPr>
        <w:t>10.1</w:t>
      </w:r>
      <w:r>
        <w:rPr>
          <w:rFonts w:hint="eastAsia" w:ascii="宋体" w:hAnsi="宋体" w:cs="仿宋_GB2312"/>
          <w:sz w:val="24"/>
        </w:rPr>
        <w:t>投标人的投标报价应遵守“中华人民共和国价格法”。</w:t>
      </w:r>
    </w:p>
    <w:p w14:paraId="56E8EAFF">
      <w:pPr>
        <w:spacing w:line="360" w:lineRule="auto"/>
        <w:rPr>
          <w:rFonts w:hint="eastAsia" w:ascii="宋体" w:hAnsi="宋体" w:cs="仿宋_GB2312"/>
          <w:sz w:val="24"/>
        </w:rPr>
      </w:pPr>
      <w:r>
        <w:rPr>
          <w:rFonts w:ascii="宋体" w:hAnsi="宋体" w:cs="仿宋_GB2312"/>
          <w:sz w:val="24"/>
        </w:rPr>
        <w:t xml:space="preserve">10.2 </w:t>
      </w:r>
      <w:r>
        <w:rPr>
          <w:rFonts w:hint="eastAsia" w:ascii="宋体" w:hAnsi="宋体" w:cs="仿宋_GB2312"/>
          <w:sz w:val="24"/>
        </w:rPr>
        <w:t>投标人对每项货物及服务只允许有一个报价，采购代理机构和采购人不接受有任何选择的报价，同时不接受有条件的优惠报价。</w:t>
      </w:r>
    </w:p>
    <w:p w14:paraId="408C1A45">
      <w:pPr>
        <w:spacing w:before="120" w:line="360" w:lineRule="auto"/>
        <w:rPr>
          <w:rFonts w:hint="eastAsia" w:ascii="宋体" w:hAnsi="宋体" w:cs="仿宋_GB2312"/>
          <w:sz w:val="24"/>
        </w:rPr>
      </w:pPr>
      <w:r>
        <w:rPr>
          <w:rFonts w:ascii="宋体" w:hAnsi="宋体" w:cs="仿宋_GB2312"/>
          <w:sz w:val="24"/>
        </w:rPr>
        <w:t>10.3</w:t>
      </w:r>
      <w:r>
        <w:rPr>
          <w:rFonts w:hint="eastAsia" w:ascii="宋体" w:hAnsi="宋体" w:cs="仿宋_GB2312"/>
          <w:sz w:val="24"/>
        </w:rPr>
        <w:t>投标人应在投标分项报价表上标明投标货物及服务的单价和总价，并由法定代表人或其授权代表签署。</w:t>
      </w:r>
    </w:p>
    <w:p w14:paraId="59D8968A">
      <w:pPr>
        <w:tabs>
          <w:tab w:val="left" w:pos="900"/>
        </w:tabs>
        <w:spacing w:before="120" w:line="360" w:lineRule="auto"/>
        <w:rPr>
          <w:rFonts w:hint="eastAsia" w:ascii="宋体" w:hAnsi="宋体" w:cs="仿宋_GB2312"/>
          <w:sz w:val="24"/>
        </w:rPr>
      </w:pPr>
      <w:r>
        <w:rPr>
          <w:rFonts w:ascii="宋体" w:hAnsi="宋体" w:cs="仿宋_GB2312"/>
          <w:sz w:val="24"/>
        </w:rPr>
        <w:t>10.</w:t>
      </w:r>
      <w:r>
        <w:rPr>
          <w:rFonts w:hint="eastAsia" w:ascii="宋体" w:hAnsi="宋体" w:cs="仿宋_GB2312"/>
          <w:sz w:val="24"/>
        </w:rPr>
        <w:t>4投标人所报的投标分项价格或单次费用明细价格在合同执行过程中是固定不变的，投标人不得以任何理由予以变更。</w:t>
      </w:r>
    </w:p>
    <w:p w14:paraId="6514254A">
      <w:pPr>
        <w:widowControl/>
        <w:spacing w:before="75" w:line="360" w:lineRule="auto"/>
        <w:jc w:val="left"/>
        <w:textAlignment w:val="baseline"/>
        <w:rPr>
          <w:rFonts w:hint="eastAsia" w:ascii="inherit" w:hAnsi="inherit" w:cs="宋体"/>
          <w:kern w:val="0"/>
          <w:sz w:val="24"/>
        </w:rPr>
      </w:pPr>
      <w:r>
        <w:rPr>
          <w:rFonts w:hint="eastAsia" w:ascii="宋体" w:hAnsi="宋体" w:cs="仿宋_GB2312"/>
          <w:sz w:val="24"/>
        </w:rPr>
        <w:t>10.5</w:t>
      </w:r>
      <w:r>
        <w:rPr>
          <w:rFonts w:ascii="inherit" w:hAnsi="inherit" w:cs="宋体"/>
          <w:kern w:val="0"/>
          <w:sz w:val="24"/>
        </w:rPr>
        <w:t>投标文件报价出现前后不一致的，按照下列规定修正：</w:t>
      </w:r>
    </w:p>
    <w:p w14:paraId="50E77D12">
      <w:pPr>
        <w:widowControl/>
        <w:spacing w:line="360" w:lineRule="auto"/>
        <w:ind w:firstLine="480" w:firstLineChars="200"/>
        <w:jc w:val="left"/>
        <w:textAlignment w:val="baseline"/>
        <w:rPr>
          <w:rFonts w:hint="eastAsia" w:ascii="inherit" w:hAnsi="inherit" w:cs="宋体"/>
          <w:kern w:val="0"/>
          <w:sz w:val="24"/>
        </w:rPr>
      </w:pPr>
      <w:r>
        <w:rPr>
          <w:rFonts w:ascii="inherit" w:hAnsi="inherit" w:cs="宋体"/>
          <w:kern w:val="0"/>
          <w:sz w:val="24"/>
        </w:rPr>
        <w:t>（一）投标文件中投标一览表（报价表）内容与投标文件中相应内容不一致的，以投标一览表（报价表）为准；</w:t>
      </w:r>
    </w:p>
    <w:p w14:paraId="5BB5F8AC">
      <w:pPr>
        <w:widowControl/>
        <w:spacing w:before="75" w:line="360" w:lineRule="auto"/>
        <w:ind w:firstLine="480" w:firstLineChars="200"/>
        <w:jc w:val="left"/>
        <w:textAlignment w:val="baseline"/>
        <w:rPr>
          <w:rFonts w:hint="eastAsia" w:ascii="inherit" w:hAnsi="inherit" w:cs="宋体"/>
          <w:kern w:val="0"/>
          <w:sz w:val="24"/>
        </w:rPr>
      </w:pPr>
      <w:r>
        <w:rPr>
          <w:rFonts w:ascii="inherit" w:hAnsi="inherit" w:cs="宋体"/>
          <w:kern w:val="0"/>
          <w:sz w:val="24"/>
        </w:rPr>
        <w:t>（二）大写金额和小写金额不一致的，以大写金额为准；</w:t>
      </w:r>
    </w:p>
    <w:p w14:paraId="6F11D638">
      <w:pPr>
        <w:widowControl/>
        <w:spacing w:before="75" w:line="360" w:lineRule="auto"/>
        <w:ind w:firstLine="480" w:firstLineChars="200"/>
        <w:jc w:val="left"/>
        <w:textAlignment w:val="baseline"/>
        <w:rPr>
          <w:rFonts w:hint="eastAsia" w:ascii="inherit" w:hAnsi="inherit" w:cs="宋体"/>
          <w:kern w:val="0"/>
          <w:sz w:val="24"/>
        </w:rPr>
      </w:pPr>
      <w:r>
        <w:rPr>
          <w:rFonts w:ascii="inherit" w:hAnsi="inherit" w:cs="宋体"/>
          <w:kern w:val="0"/>
          <w:sz w:val="24"/>
        </w:rPr>
        <w:t>（三）单价金额小数点或者百分比有明显错位的，以投标一览表的总价为准，并修改单价；</w:t>
      </w:r>
    </w:p>
    <w:p w14:paraId="1A54063A">
      <w:pPr>
        <w:widowControl/>
        <w:spacing w:before="75" w:after="330" w:line="360" w:lineRule="auto"/>
        <w:ind w:firstLine="480" w:firstLineChars="200"/>
        <w:jc w:val="left"/>
        <w:textAlignment w:val="baseline"/>
        <w:rPr>
          <w:rFonts w:hint="eastAsia" w:ascii="inherit" w:hAnsi="inherit" w:cs="宋体"/>
          <w:kern w:val="0"/>
          <w:sz w:val="24"/>
        </w:rPr>
      </w:pPr>
      <w:r>
        <w:rPr>
          <w:rFonts w:ascii="inherit" w:hAnsi="inherit" w:cs="宋体"/>
          <w:kern w:val="0"/>
          <w:sz w:val="24"/>
        </w:rPr>
        <w:t>（四）总价金额与按单价汇总金额不一致的，以单价金额计算结果为准。</w:t>
      </w:r>
    </w:p>
    <w:p w14:paraId="247F977E">
      <w:pPr>
        <w:tabs>
          <w:tab w:val="left" w:pos="900"/>
        </w:tabs>
        <w:spacing w:before="120" w:line="360" w:lineRule="auto"/>
        <w:ind w:firstLine="600" w:firstLineChars="250"/>
        <w:rPr>
          <w:rFonts w:hint="eastAsia" w:ascii="宋体" w:hAnsi="宋体" w:cs="仿宋_GB2312"/>
          <w:sz w:val="24"/>
        </w:rPr>
      </w:pPr>
      <w:r>
        <w:rPr>
          <w:rFonts w:ascii="inherit" w:hAnsi="inherit" w:cs="宋体"/>
          <w:kern w:val="0"/>
          <w:sz w:val="24"/>
        </w:rPr>
        <w:t>同时出现两种以上不一致的，按照前款规定的顺序修正。修正后的报价经投标人确认后产生约束力，投标人不确认的，其投标无效。</w:t>
      </w:r>
    </w:p>
    <w:p w14:paraId="4DE38DFF">
      <w:pPr>
        <w:tabs>
          <w:tab w:val="left" w:pos="900"/>
        </w:tabs>
        <w:spacing w:before="120" w:line="360" w:lineRule="auto"/>
        <w:rPr>
          <w:rFonts w:hint="eastAsia" w:ascii="宋体" w:hAnsi="宋体" w:cs="仿宋_GB2312"/>
          <w:sz w:val="24"/>
        </w:rPr>
      </w:pPr>
      <w:r>
        <w:rPr>
          <w:rFonts w:ascii="宋体" w:hAnsi="宋体" w:cs="仿宋_GB2312"/>
          <w:bCs/>
          <w:sz w:val="24"/>
        </w:rPr>
        <w:t>10.</w:t>
      </w:r>
      <w:r>
        <w:rPr>
          <w:rFonts w:hint="eastAsia" w:ascii="宋体" w:hAnsi="宋体" w:cs="仿宋_GB2312"/>
          <w:bCs/>
          <w:sz w:val="24"/>
        </w:rPr>
        <w:t>6对投标人投标服务报价的其他要求详见</w:t>
      </w:r>
      <w:r>
        <w:rPr>
          <w:rFonts w:hint="eastAsia" w:ascii="宋体" w:hAnsi="宋体" w:cs="仿宋_GB2312"/>
          <w:sz w:val="24"/>
        </w:rPr>
        <w:t>第二章“资料表”。</w:t>
      </w:r>
    </w:p>
    <w:p w14:paraId="2DCB4595">
      <w:pPr>
        <w:pStyle w:val="36"/>
        <w:spacing w:line="360" w:lineRule="auto"/>
      </w:pPr>
    </w:p>
    <w:p w14:paraId="6A3925B7">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11. </w:t>
      </w:r>
      <w:r>
        <w:rPr>
          <w:rFonts w:hint="eastAsia" w:ascii="宋体" w:hAnsi="宋体" w:cs="宋体"/>
          <w:b/>
          <w:bCs/>
          <w:kern w:val="0"/>
          <w:sz w:val="24"/>
          <w:lang w:val="zh-CN"/>
        </w:rPr>
        <w:t>投标保证金</w:t>
      </w:r>
    </w:p>
    <w:p w14:paraId="2D68CD5A">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11.1 </w:t>
      </w:r>
      <w:r>
        <w:rPr>
          <w:rFonts w:hint="eastAsia" w:ascii="宋体" w:hAnsi="宋体" w:cs="宋体"/>
          <w:kern w:val="0"/>
          <w:sz w:val="24"/>
          <w:lang w:val="zh-CN"/>
        </w:rPr>
        <w:t>投标人应提供投标保证金，并作为其有效投标的一部分（具体金额、形式详见第二章“资料表”）。</w:t>
      </w:r>
    </w:p>
    <w:p w14:paraId="289AB071">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11.2 </w:t>
      </w:r>
      <w:r>
        <w:rPr>
          <w:rFonts w:hint="eastAsia" w:ascii="宋体" w:hAnsi="宋体" w:cs="宋体"/>
          <w:kern w:val="0"/>
          <w:sz w:val="24"/>
          <w:lang w:val="zh-CN"/>
        </w:rPr>
        <w:t>投标保证金是为了保护采购人和采购代理机构免遭因投标人的行为蒙受损失而要求的。</w:t>
      </w:r>
    </w:p>
    <w:p w14:paraId="516FA21C">
      <w:pPr>
        <w:spacing w:before="120" w:line="360" w:lineRule="auto"/>
        <w:ind w:firstLine="480" w:firstLineChars="200"/>
        <w:rPr>
          <w:rFonts w:hint="eastAsia" w:ascii="宋体" w:hAnsi="宋体"/>
          <w:sz w:val="24"/>
        </w:rPr>
      </w:pPr>
      <w:r>
        <w:rPr>
          <w:rFonts w:hint="eastAsia" w:ascii="宋体" w:hAnsi="宋体" w:cs="仿宋_GB2312"/>
          <w:sz w:val="24"/>
        </w:rPr>
        <w:t>下列任何情况发生，投标保证金将不予返还：</w:t>
      </w:r>
    </w:p>
    <w:p w14:paraId="42AAFBD1">
      <w:pPr>
        <w:pStyle w:val="19"/>
        <w:tabs>
          <w:tab w:val="left" w:pos="2240"/>
        </w:tabs>
        <w:spacing w:line="360" w:lineRule="auto"/>
        <w:rPr>
          <w:rFonts w:hint="eastAsia" w:hAnsi="宋体"/>
          <w:sz w:val="24"/>
          <w:szCs w:val="24"/>
        </w:rPr>
      </w:pPr>
      <w:r>
        <w:rPr>
          <w:rFonts w:hAnsi="宋体" w:cs="仿宋_GB2312"/>
          <w:sz w:val="24"/>
          <w:szCs w:val="24"/>
        </w:rPr>
        <w:t>(1)</w:t>
      </w:r>
      <w:r>
        <w:rPr>
          <w:rFonts w:hint="eastAsia" w:hAnsi="宋体" w:cs="仿宋_GB2312"/>
          <w:sz w:val="24"/>
          <w:szCs w:val="24"/>
        </w:rPr>
        <w:t>在开标之日后到投标有效期满前，投标人撤回投标的；</w:t>
      </w:r>
    </w:p>
    <w:p w14:paraId="348B4D21">
      <w:pPr>
        <w:pStyle w:val="19"/>
        <w:tabs>
          <w:tab w:val="left" w:pos="2240"/>
        </w:tabs>
        <w:spacing w:line="360" w:lineRule="auto"/>
        <w:rPr>
          <w:rFonts w:hint="eastAsia" w:hAnsi="宋体"/>
          <w:sz w:val="24"/>
          <w:szCs w:val="24"/>
        </w:rPr>
      </w:pPr>
      <w:r>
        <w:rPr>
          <w:rFonts w:hAnsi="宋体" w:cs="仿宋_GB2312"/>
          <w:sz w:val="24"/>
          <w:szCs w:val="24"/>
        </w:rPr>
        <w:t>(2)</w:t>
      </w:r>
      <w:r>
        <w:rPr>
          <w:rFonts w:hint="eastAsia" w:hAnsi="宋体" w:cs="仿宋_GB2312"/>
          <w:sz w:val="24"/>
          <w:szCs w:val="24"/>
        </w:rPr>
        <w:t>投标人以他人名义投标、相互串通投标或者以其他方式弄虚作假的，投标人提交的投标文件中提交虚假资料或失实资料的；</w:t>
      </w:r>
    </w:p>
    <w:p w14:paraId="5F1ABA69">
      <w:pPr>
        <w:pStyle w:val="19"/>
        <w:tabs>
          <w:tab w:val="left" w:pos="2240"/>
        </w:tabs>
        <w:spacing w:line="360" w:lineRule="auto"/>
        <w:rPr>
          <w:rFonts w:hint="eastAsia" w:hAnsi="宋体"/>
          <w:sz w:val="24"/>
          <w:szCs w:val="24"/>
        </w:rPr>
      </w:pPr>
      <w:r>
        <w:rPr>
          <w:rFonts w:hAnsi="宋体" w:cs="仿宋_GB2312"/>
          <w:sz w:val="24"/>
          <w:szCs w:val="24"/>
        </w:rPr>
        <w:t>(3)</w:t>
      </w:r>
      <w:r>
        <w:rPr>
          <w:rFonts w:hint="eastAsia" w:hAnsi="宋体" w:cs="仿宋_GB2312"/>
          <w:sz w:val="24"/>
          <w:szCs w:val="24"/>
        </w:rPr>
        <w:t>中标人不按本招标文件规定与采购人签订合同的；</w:t>
      </w:r>
    </w:p>
    <w:p w14:paraId="1F6E3CAB">
      <w:pPr>
        <w:pStyle w:val="19"/>
        <w:tabs>
          <w:tab w:val="left" w:pos="2240"/>
        </w:tabs>
        <w:spacing w:line="360" w:lineRule="auto"/>
        <w:rPr>
          <w:rFonts w:hint="eastAsia" w:hAnsi="宋体"/>
          <w:sz w:val="24"/>
          <w:szCs w:val="24"/>
        </w:rPr>
      </w:pPr>
      <w:r>
        <w:rPr>
          <w:rFonts w:hAnsi="宋体" w:cs="仿宋_GB2312"/>
          <w:sz w:val="24"/>
          <w:szCs w:val="24"/>
        </w:rPr>
        <w:t>(4)</w:t>
      </w:r>
      <w:r>
        <w:rPr>
          <w:rFonts w:hint="eastAsia" w:hAnsi="宋体" w:cs="仿宋_GB2312"/>
          <w:sz w:val="24"/>
          <w:szCs w:val="24"/>
        </w:rPr>
        <w:t>中标人不按本招标文件的规定提交履约保证金的；</w:t>
      </w:r>
    </w:p>
    <w:p w14:paraId="631A1C86">
      <w:pPr>
        <w:pStyle w:val="19"/>
        <w:tabs>
          <w:tab w:val="left" w:pos="2240"/>
        </w:tabs>
        <w:spacing w:line="360" w:lineRule="auto"/>
        <w:rPr>
          <w:rFonts w:hint="eastAsia" w:hAnsi="宋体"/>
          <w:sz w:val="24"/>
          <w:szCs w:val="24"/>
        </w:rPr>
      </w:pPr>
      <w:r>
        <w:rPr>
          <w:rFonts w:hAnsi="宋体" w:cs="仿宋_GB2312"/>
          <w:sz w:val="24"/>
          <w:szCs w:val="24"/>
        </w:rPr>
        <w:t>(5)</w:t>
      </w:r>
      <w:r>
        <w:rPr>
          <w:rFonts w:hint="eastAsia" w:hAnsi="宋体" w:cs="仿宋_GB2312"/>
          <w:sz w:val="24"/>
          <w:szCs w:val="24"/>
        </w:rPr>
        <w:t>中标人不按本招标文件的规定缴纳中标服务费的。</w:t>
      </w:r>
    </w:p>
    <w:p w14:paraId="7BC5278E">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11.3 </w:t>
      </w:r>
      <w:r>
        <w:rPr>
          <w:rFonts w:hint="eastAsia" w:ascii="宋体" w:hAnsi="宋体" w:cs="宋体"/>
          <w:kern w:val="0"/>
          <w:sz w:val="24"/>
          <w:lang w:val="zh-CN"/>
        </w:rPr>
        <w:t>投标人应提交投标保证金，并作为其有效投标的一部分（具体金额、形式详见第二章“资料表”）。</w:t>
      </w:r>
    </w:p>
    <w:p w14:paraId="558B5B7C">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注：投标保证金须以公对公（非现金）电汇或银行保函方式向东方国际招标有限责任公司提交。除以上递交方式外，投标人还可以以信用投标担保函的形式交纳投标保证金，投标担保函原件作为投标文件的组成部分于投标时间截止前和投标文件分别单独密封递交。</w:t>
      </w:r>
    </w:p>
    <w:p w14:paraId="5E418946">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11.4 </w:t>
      </w:r>
      <w:r>
        <w:rPr>
          <w:rFonts w:hint="eastAsia" w:ascii="宋体" w:hAnsi="宋体" w:cs="宋体"/>
          <w:kern w:val="0"/>
          <w:sz w:val="24"/>
          <w:lang w:val="zh-CN"/>
        </w:rPr>
        <w:t>凡没有根据本招标文件规定缴纳投标保证金的投标，将被视为非实质响应性投标而予以拒绝。</w:t>
      </w:r>
    </w:p>
    <w:p w14:paraId="133C2B7B">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11.5 </w:t>
      </w:r>
      <w:r>
        <w:rPr>
          <w:rFonts w:hint="eastAsia" w:ascii="宋体" w:hAnsi="宋体" w:cs="宋体"/>
          <w:kern w:val="0"/>
          <w:sz w:val="24"/>
          <w:lang w:val="zh-CN"/>
        </w:rPr>
        <w:t>如果投标人中标，投标保证金将保持全部的约束力，直至与采购人签订合同并向采购代理机构缴交了足额中标服务费后的5个工作日内无息退还。未中标的投标人的投标保证金将于中标通知书发出之日起5个工作日内办理无息退还手续。</w:t>
      </w:r>
    </w:p>
    <w:p w14:paraId="065CDA7D">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12. </w:t>
      </w:r>
      <w:r>
        <w:rPr>
          <w:rFonts w:hint="eastAsia" w:ascii="宋体" w:hAnsi="宋体" w:cs="宋体"/>
          <w:b/>
          <w:bCs/>
          <w:kern w:val="0"/>
          <w:sz w:val="24"/>
          <w:lang w:val="zh-CN"/>
        </w:rPr>
        <w:t>投标有效期</w:t>
      </w:r>
    </w:p>
    <w:p w14:paraId="3336A7DB">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12.1</w:t>
      </w:r>
      <w:r>
        <w:rPr>
          <w:rFonts w:hint="eastAsia" w:ascii="宋体" w:hAnsi="宋体" w:cs="宋体"/>
          <w:kern w:val="0"/>
          <w:sz w:val="24"/>
          <w:lang w:val="zh-CN"/>
        </w:rPr>
        <w:t>投标应在规定的开标日后的（见第二章“资料表”）天内保持有效，投标有效期不满足要求的投标，将被视为非实质响应性投标而予以拒绝。</w:t>
      </w:r>
    </w:p>
    <w:p w14:paraId="52D24A1C">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12.2 </w:t>
      </w:r>
      <w:r>
        <w:rPr>
          <w:rFonts w:hint="eastAsia" w:ascii="宋体" w:hAnsi="宋体" w:cs="宋体"/>
          <w:kern w:val="0"/>
          <w:sz w:val="24"/>
          <w:lang w:val="zh-CN"/>
        </w:rPr>
        <w:t>采购代理机构可根据实际情况，在原投标有效期截止之前，要求投标人同意延长投标文件的有效期。接受该要求的投标人将不会被要求或允许修正其标书内容，且本须知中有关投标保证金的返还的规定将在延长了的有效期内继续有效。投标人也可以拒绝采购代理机构的这种要求，其投标保证金将不会被没收。上述要求和答复都应以书面形式提交。</w:t>
      </w:r>
    </w:p>
    <w:p w14:paraId="6871EDEF">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13. </w:t>
      </w:r>
      <w:r>
        <w:rPr>
          <w:rFonts w:hint="eastAsia" w:ascii="宋体" w:hAnsi="宋体" w:cs="宋体"/>
          <w:b/>
          <w:bCs/>
          <w:kern w:val="0"/>
          <w:sz w:val="24"/>
          <w:lang w:val="zh-CN"/>
        </w:rPr>
        <w:t>投标文件的签署及规定</w:t>
      </w:r>
    </w:p>
    <w:p w14:paraId="75C1DAE3">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1</w:t>
      </w:r>
      <w:r>
        <w:rPr>
          <w:rFonts w:ascii="宋体" w:hAnsi="宋体" w:cs="宋体"/>
          <w:kern w:val="0"/>
          <w:sz w:val="24"/>
          <w:lang w:val="zh-CN"/>
        </w:rPr>
        <w:t xml:space="preserve">3.1 </w:t>
      </w:r>
      <w:r>
        <w:rPr>
          <w:rFonts w:hint="eastAsia" w:ascii="宋体" w:hAnsi="宋体" w:cs="宋体"/>
          <w:kern w:val="0"/>
          <w:sz w:val="24"/>
          <w:lang w:val="zh-CN"/>
        </w:rPr>
        <w:t>投标人应准备投标文件正本1份、副本</w:t>
      </w:r>
      <w:r>
        <w:rPr>
          <w:rFonts w:ascii="宋体" w:hAnsi="宋体" w:cs="宋体"/>
          <w:kern w:val="0"/>
          <w:sz w:val="24"/>
          <w:lang w:val="zh-CN"/>
        </w:rPr>
        <w:t>5</w:t>
      </w:r>
      <w:r>
        <w:rPr>
          <w:rFonts w:hint="eastAsia" w:ascii="宋体" w:hAnsi="宋体" w:cs="宋体"/>
          <w:kern w:val="0"/>
          <w:sz w:val="24"/>
          <w:lang w:val="zh-CN"/>
        </w:rPr>
        <w:t>份、电子版1份(U盘或光盘形式，pdf格式，不留密码，无病毒，内容应与投标人打印产生的签字盖章版纸质投标文件正本内容一致，如有不同，以纸质投标文件为准）、唱标信封1份。每份投标文件须清楚地标明“正本”或“副本”“投标一览表”或“电子版”。若正本和副本不符，以正本为准。</w:t>
      </w:r>
    </w:p>
    <w:p w14:paraId="28F73A57">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13</w:t>
      </w:r>
      <w:r>
        <w:rPr>
          <w:rFonts w:hint="eastAsia" w:ascii="宋体" w:hAnsi="宋体" w:cs="宋体"/>
          <w:kern w:val="0"/>
          <w:sz w:val="24"/>
          <w:lang w:val="zh-CN"/>
        </w:rPr>
        <w:t>.2 投标文件需打印后胶装成不可拆解的文本。投标文件的正本需打印或用不退色墨水书写，并由投标人的法定代表人或经其正式授权的代表在投标文件上签字并加盖单位印章。授权代表须持有书面的“法定代表人授权委托书”（格式见第六章附件），并将其附在投标文件中。投标文件的副本可采用正本的复印件。</w:t>
      </w:r>
    </w:p>
    <w:p w14:paraId="2F85E975">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13.3 </w:t>
      </w:r>
      <w:r>
        <w:rPr>
          <w:rFonts w:hint="eastAsia" w:ascii="宋体" w:hAnsi="宋体" w:cs="宋体"/>
          <w:kern w:val="0"/>
          <w:sz w:val="24"/>
          <w:lang w:val="zh-CN"/>
        </w:rPr>
        <w:t>如对投标文件进行了修改，包括任何行间插字、涂改和增删，均应由投标人的法定代表人或经其正式授权的代表在修改的每一页上签字。</w:t>
      </w:r>
    </w:p>
    <w:p w14:paraId="3F59FCC7">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13.4 </w:t>
      </w:r>
      <w:r>
        <w:rPr>
          <w:rFonts w:hint="eastAsia" w:ascii="宋体" w:hAnsi="宋体" w:cs="宋体"/>
          <w:kern w:val="0"/>
          <w:sz w:val="24"/>
          <w:lang w:val="zh-CN"/>
        </w:rPr>
        <w:t>投标文件因字迹潦草或表达不清所引起的后果由投标人自负。</w:t>
      </w:r>
    </w:p>
    <w:p w14:paraId="7A433EDF">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13.5</w:t>
      </w:r>
      <w:r>
        <w:rPr>
          <w:rFonts w:hint="eastAsia" w:ascii="宋体" w:hAnsi="宋体" w:cs="宋体"/>
          <w:kern w:val="0"/>
          <w:sz w:val="24"/>
          <w:lang w:val="zh-CN"/>
        </w:rPr>
        <w:t xml:space="preserve"> 除招标文件有特殊说明,投标文件的正本须为原件。</w:t>
      </w:r>
    </w:p>
    <w:p w14:paraId="00CFF663">
      <w:pPr>
        <w:autoSpaceDE w:val="0"/>
        <w:autoSpaceDN w:val="0"/>
        <w:adjustRightInd w:val="0"/>
        <w:spacing w:line="360" w:lineRule="auto"/>
        <w:jc w:val="left"/>
        <w:rPr>
          <w:rFonts w:hint="eastAsia" w:ascii="宋体" w:hAnsi="宋体" w:cs="宋体"/>
          <w:kern w:val="0"/>
          <w:sz w:val="24"/>
          <w:lang w:val="zh-CN"/>
        </w:rPr>
      </w:pPr>
      <w:bookmarkStart w:id="6" w:name="_Hlk141717137"/>
      <w:r>
        <w:rPr>
          <w:rFonts w:hint="eastAsia" w:ascii="宋体" w:hAnsi="宋体" w:cs="宋体"/>
          <w:kern w:val="0"/>
          <w:sz w:val="24"/>
          <w:lang w:val="zh-CN"/>
        </w:rPr>
        <w:t>1</w:t>
      </w:r>
      <w:r>
        <w:rPr>
          <w:rFonts w:ascii="宋体" w:hAnsi="宋体" w:cs="宋体"/>
          <w:kern w:val="0"/>
          <w:sz w:val="24"/>
          <w:lang w:val="zh-CN"/>
        </w:rPr>
        <w:t xml:space="preserve">3.6 </w:t>
      </w:r>
      <w:r>
        <w:rPr>
          <w:rFonts w:hint="eastAsia" w:ascii="宋体" w:hAnsi="宋体" w:cs="宋体"/>
          <w:kern w:val="0"/>
          <w:sz w:val="24"/>
          <w:lang w:val="zh-CN"/>
        </w:rPr>
        <w:t>投标文件的签署及规定的其他要求详见第二章“资料表”，如有要求不一致的以第二章“资料表”为准。</w:t>
      </w:r>
    </w:p>
    <w:bookmarkEnd w:id="6"/>
    <w:p w14:paraId="452BF3BB">
      <w:pPr>
        <w:pStyle w:val="36"/>
        <w:spacing w:line="360" w:lineRule="auto"/>
        <w:ind w:firstLine="0" w:firstLineChars="0"/>
        <w:rPr>
          <w:rFonts w:hint="eastAsia" w:ascii="宋体" w:hAnsi="宋体" w:cs="宋体"/>
          <w:kern w:val="0"/>
          <w:sz w:val="24"/>
          <w:lang w:val="zh-CN"/>
        </w:rPr>
      </w:pPr>
    </w:p>
    <w:p w14:paraId="42321684">
      <w:pPr>
        <w:autoSpaceDE w:val="0"/>
        <w:autoSpaceDN w:val="0"/>
        <w:adjustRightInd w:val="0"/>
        <w:spacing w:line="360" w:lineRule="auto"/>
        <w:jc w:val="center"/>
        <w:outlineLvl w:val="1"/>
        <w:rPr>
          <w:rFonts w:hint="eastAsia" w:ascii="宋体" w:hAnsi="宋体" w:cs="宋体"/>
          <w:b/>
          <w:bCs/>
          <w:kern w:val="0"/>
          <w:sz w:val="24"/>
          <w:lang w:val="zh-CN"/>
        </w:rPr>
      </w:pPr>
      <w:r>
        <w:rPr>
          <w:rFonts w:hint="eastAsia" w:ascii="宋体" w:hAnsi="宋体" w:cs="宋体"/>
          <w:b/>
          <w:bCs/>
          <w:kern w:val="0"/>
          <w:sz w:val="24"/>
          <w:lang w:val="zh-CN"/>
        </w:rPr>
        <w:t>（四）投标文件的递交</w:t>
      </w:r>
    </w:p>
    <w:p w14:paraId="16969322">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14. </w:t>
      </w:r>
      <w:r>
        <w:rPr>
          <w:rFonts w:hint="eastAsia" w:ascii="宋体" w:hAnsi="宋体" w:cs="宋体"/>
          <w:b/>
          <w:bCs/>
          <w:kern w:val="0"/>
          <w:sz w:val="24"/>
          <w:lang w:val="zh-CN"/>
        </w:rPr>
        <w:t>投标文件的密封和标记</w:t>
      </w:r>
    </w:p>
    <w:p w14:paraId="29973647">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14.1投标时，所有投标文件必须封入密封的信封或包装，投标文件的①正本（须内含投标一览表）、②副本、③电子版、④唱标信封（内含：投标一览表、投标保证金付款凭证截图/投标保证金的银行保函）应分别封装，且在封袋正面标明“正本”“副本”“电子版”“投标一览表”字样。</w:t>
      </w:r>
    </w:p>
    <w:p w14:paraId="2909FABD">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rPr>
        <w:t>14</w:t>
      </w:r>
      <w:r>
        <w:rPr>
          <w:rFonts w:hint="eastAsia" w:ascii="宋体" w:hAnsi="宋体" w:cs="宋体"/>
          <w:kern w:val="0"/>
          <w:sz w:val="24"/>
          <w:lang w:val="zh-CN"/>
        </w:rPr>
        <w:t>.2 所有信封上均应：</w:t>
      </w:r>
    </w:p>
    <w:p w14:paraId="7EE5004B">
      <w:pPr>
        <w:autoSpaceDE w:val="0"/>
        <w:autoSpaceDN w:val="0"/>
        <w:adjustRightInd w:val="0"/>
        <w:spacing w:line="360" w:lineRule="auto"/>
        <w:ind w:firstLine="480" w:firstLineChars="200"/>
        <w:jc w:val="left"/>
        <w:rPr>
          <w:rFonts w:hint="eastAsia" w:ascii="宋体" w:hAnsi="宋体" w:cs="宋体"/>
          <w:kern w:val="0"/>
          <w:sz w:val="24"/>
          <w:lang w:val="zh-CN"/>
        </w:rPr>
      </w:pPr>
      <w:r>
        <w:rPr>
          <w:rFonts w:hint="eastAsia" w:ascii="宋体" w:hAnsi="宋体" w:cs="宋体"/>
          <w:kern w:val="0"/>
          <w:sz w:val="24"/>
          <w:lang w:val="zh-CN"/>
        </w:rPr>
        <w:t>(1) 清楚标明递交至招标公告或投标邀请书中指明的地址；</w:t>
      </w:r>
    </w:p>
    <w:p w14:paraId="32494312">
      <w:pPr>
        <w:autoSpaceDE w:val="0"/>
        <w:autoSpaceDN w:val="0"/>
        <w:adjustRightInd w:val="0"/>
        <w:spacing w:line="360" w:lineRule="auto"/>
        <w:ind w:firstLine="480" w:firstLineChars="200"/>
        <w:jc w:val="left"/>
        <w:rPr>
          <w:rFonts w:hint="eastAsia" w:ascii="宋体" w:hAnsi="宋体" w:cs="宋体"/>
          <w:kern w:val="0"/>
          <w:sz w:val="24"/>
          <w:lang w:val="zh-CN"/>
        </w:rPr>
      </w:pPr>
      <w:r>
        <w:rPr>
          <w:rFonts w:hint="eastAsia" w:ascii="宋体" w:hAnsi="宋体" w:cs="宋体"/>
          <w:kern w:val="0"/>
          <w:sz w:val="24"/>
          <w:lang w:val="zh-CN"/>
        </w:rPr>
        <w:t>(2) 注明招标公告或投标邀请书中指明的项目名称、招标编号（项目编号）、正本/副本/电子版/投标一览表、投标人名称、投标人地址、和</w:t>
      </w:r>
      <w:r>
        <w:rPr>
          <w:rFonts w:hint="eastAsia" w:ascii="宋体" w:hAnsi="宋体" w:cs="宋体"/>
          <w:kern w:val="0"/>
          <w:sz w:val="24"/>
        </w:rPr>
        <w:t>“</w:t>
      </w:r>
      <w:r>
        <w:rPr>
          <w:rFonts w:hint="eastAsia" w:ascii="宋体" w:hAnsi="宋体" w:cs="宋体"/>
          <w:kern w:val="0"/>
          <w:sz w:val="24"/>
          <w:lang w:val="zh-CN"/>
        </w:rPr>
        <w:t>在    年    月   日    时   分（开标时间）之前不得启封</w:t>
      </w:r>
      <w:r>
        <w:rPr>
          <w:rFonts w:hint="eastAsia" w:ascii="宋体" w:hAnsi="宋体" w:cs="宋体"/>
          <w:kern w:val="0"/>
          <w:sz w:val="24"/>
        </w:rPr>
        <w:t>”</w:t>
      </w:r>
      <w:r>
        <w:rPr>
          <w:rFonts w:hint="eastAsia" w:ascii="宋体" w:hAnsi="宋体" w:cs="宋体"/>
          <w:kern w:val="0"/>
          <w:sz w:val="24"/>
          <w:lang w:val="zh-CN"/>
        </w:rPr>
        <w:t xml:space="preserve">的字样； </w:t>
      </w:r>
    </w:p>
    <w:p w14:paraId="3F9ECCE6">
      <w:pPr>
        <w:autoSpaceDE w:val="0"/>
        <w:autoSpaceDN w:val="0"/>
        <w:adjustRightInd w:val="0"/>
        <w:spacing w:line="360" w:lineRule="auto"/>
        <w:ind w:firstLine="480" w:firstLineChars="200"/>
        <w:jc w:val="left"/>
        <w:rPr>
          <w:rFonts w:hint="eastAsia" w:ascii="宋体" w:hAnsi="宋体" w:cs="宋体"/>
          <w:kern w:val="0"/>
          <w:sz w:val="24"/>
          <w:lang w:val="zh-CN"/>
        </w:rPr>
      </w:pPr>
      <w:r>
        <w:rPr>
          <w:rFonts w:hint="eastAsia" w:ascii="宋体" w:hAnsi="宋体" w:cs="宋体"/>
          <w:kern w:val="0"/>
          <w:sz w:val="24"/>
          <w:lang w:val="zh-CN"/>
        </w:rPr>
        <w:t>(3) 在信封的封装处加盖投标人的公章或由法定代表人（或授权代表）签字或加盖法定代表人人名章。</w:t>
      </w:r>
    </w:p>
    <w:p w14:paraId="4A2778B5">
      <w:pPr>
        <w:pStyle w:val="36"/>
        <w:spacing w:line="360" w:lineRule="auto"/>
        <w:ind w:firstLine="0" w:firstLineChars="0"/>
        <w:rPr>
          <w:rFonts w:hint="eastAsia" w:ascii="宋体" w:hAnsi="宋体" w:eastAsiaTheme="minorEastAsia"/>
          <w:sz w:val="24"/>
        </w:rPr>
      </w:pPr>
      <w:r>
        <w:rPr>
          <w:rFonts w:ascii="宋体" w:hAnsi="宋体" w:eastAsiaTheme="minorEastAsia"/>
          <w:sz w:val="24"/>
        </w:rPr>
        <w:t>14.3</w:t>
      </w:r>
      <w:r>
        <w:rPr>
          <w:rFonts w:hint="eastAsia" w:ascii="宋体" w:hAnsi="宋体" w:eastAsiaTheme="minorEastAsia"/>
          <w:sz w:val="24"/>
        </w:rPr>
        <w:t>所有信封上均应写明投标人名称和地址，以便采购代理机构在投标截止时间以后收到的投标文件，能原封退回。</w:t>
      </w:r>
    </w:p>
    <w:p w14:paraId="674E99D5">
      <w:pPr>
        <w:autoSpaceDE w:val="0"/>
        <w:autoSpaceDN w:val="0"/>
        <w:adjustRightInd w:val="0"/>
        <w:spacing w:line="360" w:lineRule="auto"/>
        <w:jc w:val="left"/>
        <w:rPr>
          <w:rFonts w:hint="eastAsia" w:ascii="宋体" w:hAnsi="宋体" w:cs="宋体"/>
          <w:kern w:val="0"/>
          <w:sz w:val="24"/>
          <w:lang w:val="zh-CN"/>
        </w:rPr>
      </w:pPr>
      <w:r>
        <w:rPr>
          <w:rFonts w:ascii="宋体" w:hAnsi="宋体" w:eastAsiaTheme="minorEastAsia"/>
          <w:sz w:val="24"/>
        </w:rPr>
        <w:t>14.4</w:t>
      </w:r>
      <w:bookmarkStart w:id="7" w:name="_Hlk141717155"/>
      <w:r>
        <w:rPr>
          <w:rFonts w:hint="eastAsia" w:ascii="宋体" w:hAnsi="宋体" w:eastAsiaTheme="minorEastAsia"/>
          <w:sz w:val="24"/>
        </w:rPr>
        <w:t>投标文件的密封和标记的其他要求详见第二章“资料表”</w:t>
      </w:r>
      <w:r>
        <w:rPr>
          <w:rFonts w:hint="eastAsia" w:ascii="宋体" w:hAnsi="宋体" w:cs="宋体"/>
          <w:kern w:val="0"/>
          <w:sz w:val="24"/>
          <w:lang w:val="zh-CN"/>
        </w:rPr>
        <w:t>，如有要求不一致的以第二章“资料表”为准。</w:t>
      </w:r>
      <w:bookmarkEnd w:id="7"/>
    </w:p>
    <w:p w14:paraId="4D7077AA">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14.5 </w:t>
      </w:r>
      <w:r>
        <w:rPr>
          <w:rFonts w:hint="eastAsia" w:ascii="宋体" w:hAnsi="宋体" w:cs="宋体"/>
          <w:kern w:val="0"/>
          <w:sz w:val="24"/>
          <w:lang w:val="zh-CN"/>
        </w:rPr>
        <w:t>如果投标人未按招标文件要求密封及加写标记，采购代理机构对投标文件的误投或过早启封概不负责。</w:t>
      </w:r>
    </w:p>
    <w:p w14:paraId="6EAB9530">
      <w:pPr>
        <w:tabs>
          <w:tab w:val="left" w:pos="735"/>
          <w:tab w:val="left" w:pos="1254"/>
        </w:tabs>
        <w:spacing w:line="360" w:lineRule="auto"/>
        <w:rPr>
          <w:rFonts w:hint="eastAsia" w:ascii="宋体" w:hAnsi="宋体"/>
          <w:sz w:val="24"/>
        </w:rPr>
      </w:pPr>
      <w:r>
        <w:rPr>
          <w:rFonts w:ascii="宋体" w:cs="宋体"/>
          <w:kern w:val="0"/>
          <w:sz w:val="24"/>
        </w:rPr>
        <w:t>14</w:t>
      </w:r>
      <w:r>
        <w:rPr>
          <w:rFonts w:ascii="宋体" w:cs="宋体"/>
          <w:kern w:val="0"/>
          <w:sz w:val="24"/>
          <w:lang w:val="zh-CN"/>
        </w:rPr>
        <w:t>.6</w:t>
      </w:r>
      <w:r>
        <w:rPr>
          <w:rFonts w:hint="eastAsia" w:ascii="宋体" w:hAnsi="宋体"/>
          <w:sz w:val="24"/>
        </w:rPr>
        <w:t>所有投标文件应在投标截止时间前送达投标文件递交地点，交予采购代理机构专职负责人，任何迟于这个时间的投标将被拒绝。</w:t>
      </w:r>
    </w:p>
    <w:p w14:paraId="478749E0">
      <w:pPr>
        <w:tabs>
          <w:tab w:val="left" w:pos="735"/>
          <w:tab w:val="left" w:pos="1254"/>
        </w:tabs>
        <w:spacing w:line="360" w:lineRule="auto"/>
        <w:rPr>
          <w:rFonts w:hint="eastAsia" w:ascii="宋体" w:hAnsi="宋体"/>
          <w:sz w:val="24"/>
        </w:rPr>
      </w:pPr>
      <w:r>
        <w:rPr>
          <w:rFonts w:ascii="宋体" w:hAnsi="宋体"/>
          <w:sz w:val="24"/>
        </w:rPr>
        <w:t>14</w:t>
      </w:r>
      <w:r>
        <w:rPr>
          <w:rFonts w:hint="eastAsia" w:ascii="宋体" w:hAnsi="宋体"/>
          <w:sz w:val="24"/>
        </w:rPr>
        <w:t>.</w:t>
      </w:r>
      <w:r>
        <w:rPr>
          <w:rFonts w:ascii="宋体" w:hAnsi="宋体"/>
          <w:sz w:val="24"/>
        </w:rPr>
        <w:t>7</w:t>
      </w:r>
      <w:r>
        <w:rPr>
          <w:rFonts w:hint="eastAsia" w:ascii="宋体" w:hAnsi="宋体"/>
          <w:sz w:val="24"/>
        </w:rPr>
        <w:t xml:space="preserve"> 采购代理机构不接受电话、传真投标。</w:t>
      </w:r>
    </w:p>
    <w:p w14:paraId="2C29DE88">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15. </w:t>
      </w:r>
      <w:r>
        <w:rPr>
          <w:rFonts w:hint="eastAsia" w:ascii="宋体" w:hAnsi="宋体" w:cs="宋体"/>
          <w:b/>
          <w:bCs/>
          <w:kern w:val="0"/>
          <w:sz w:val="24"/>
          <w:lang w:val="zh-CN"/>
        </w:rPr>
        <w:t>投标截止日期</w:t>
      </w:r>
    </w:p>
    <w:p w14:paraId="5D4ADE2C">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15.1 </w:t>
      </w:r>
      <w:r>
        <w:rPr>
          <w:rFonts w:hint="eastAsia" w:ascii="宋体" w:hAnsi="宋体" w:cs="宋体"/>
          <w:kern w:val="0"/>
          <w:sz w:val="24"/>
          <w:lang w:val="zh-CN"/>
        </w:rPr>
        <w:t>投标人应在招标公告或投标邀请书中规定的截止日期和时间内，将投标文件递交采购代理机构，递交地点应是招标公告或投标邀请书中规定的地址。</w:t>
      </w:r>
    </w:p>
    <w:p w14:paraId="1C3A24DD">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15.2 </w:t>
      </w:r>
      <w:r>
        <w:rPr>
          <w:rFonts w:hint="eastAsia" w:ascii="宋体" w:hAnsi="宋体" w:cs="宋体"/>
          <w:kern w:val="0"/>
          <w:sz w:val="24"/>
          <w:lang w:val="zh-CN"/>
        </w:rPr>
        <w:t>采购代理机构有权按本须知的规定，通过修改招标文件延长投标截止期。在此情况下，采购代理机构和投标人受投标截止期制约的所有权利和义务均应延长至新的截止期。</w:t>
      </w:r>
    </w:p>
    <w:p w14:paraId="7DA4F4D1">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15.3 </w:t>
      </w:r>
      <w:r>
        <w:rPr>
          <w:rFonts w:hint="eastAsia" w:ascii="宋体" w:hAnsi="宋体" w:cs="宋体"/>
          <w:kern w:val="0"/>
          <w:sz w:val="24"/>
          <w:lang w:val="zh-CN"/>
        </w:rPr>
        <w:t>采购代理机构将拒绝并原封退回在本须知规定的投标截止期后收到的任何投标文件。</w:t>
      </w:r>
    </w:p>
    <w:p w14:paraId="3C510185">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16. </w:t>
      </w:r>
      <w:r>
        <w:rPr>
          <w:rFonts w:hint="eastAsia" w:ascii="宋体" w:hAnsi="宋体" w:cs="宋体"/>
          <w:b/>
          <w:bCs/>
          <w:kern w:val="0"/>
          <w:sz w:val="24"/>
          <w:lang w:val="zh-CN"/>
        </w:rPr>
        <w:t>投标文件的修改与撤回</w:t>
      </w:r>
    </w:p>
    <w:p w14:paraId="0AB40E15">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16.1 </w:t>
      </w:r>
      <w:r>
        <w:rPr>
          <w:rFonts w:hint="eastAsia" w:ascii="宋体" w:hAnsi="宋体" w:cs="宋体"/>
          <w:kern w:val="0"/>
          <w:sz w:val="24"/>
          <w:lang w:val="zh-CN"/>
        </w:rPr>
        <w:t>投标以后，如果投标人提出书面修改或撤标要求，在投标截止时间之前送达采购代理机构者，采购代理机构将予以接受。</w:t>
      </w:r>
    </w:p>
    <w:p w14:paraId="388CE909">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16.2 </w:t>
      </w:r>
      <w:r>
        <w:rPr>
          <w:rFonts w:hint="eastAsia" w:ascii="宋体" w:hAnsi="宋体" w:cs="宋体"/>
          <w:kern w:val="0"/>
          <w:sz w:val="24"/>
          <w:lang w:val="zh-CN"/>
        </w:rPr>
        <w:t>投标人对投标文件的修改或撤回通知应按本须知规定编制、密封、标记和发送。</w:t>
      </w:r>
    </w:p>
    <w:p w14:paraId="10D4DAF6">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16.3 </w:t>
      </w:r>
      <w:r>
        <w:rPr>
          <w:rFonts w:hint="eastAsia" w:ascii="宋体" w:hAnsi="宋体" w:cs="宋体"/>
          <w:kern w:val="0"/>
          <w:sz w:val="24"/>
          <w:lang w:val="zh-CN"/>
        </w:rPr>
        <w:t>在投标截止期之后，投标人不得对其投标文件做任何修改。</w:t>
      </w:r>
    </w:p>
    <w:p w14:paraId="50E0B6EE">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16.4 </w:t>
      </w:r>
      <w:r>
        <w:rPr>
          <w:rFonts w:hint="eastAsia" w:ascii="宋体" w:hAnsi="宋体" w:cs="宋体"/>
          <w:kern w:val="0"/>
          <w:sz w:val="24"/>
          <w:lang w:val="zh-CN"/>
        </w:rPr>
        <w:t>从投标截止期至投标有效期之间，投标人不得撤回其投标，否则其投标保证金将按照本须知的第11条规定不予退回。</w:t>
      </w:r>
    </w:p>
    <w:p w14:paraId="57D69EB4">
      <w:pPr>
        <w:pStyle w:val="36"/>
        <w:spacing w:line="360" w:lineRule="auto"/>
        <w:ind w:firstLine="0" w:firstLineChars="0"/>
        <w:rPr>
          <w:lang w:val="zh-CN"/>
        </w:rPr>
      </w:pPr>
    </w:p>
    <w:p w14:paraId="5F933BDA">
      <w:pPr>
        <w:autoSpaceDE w:val="0"/>
        <w:autoSpaceDN w:val="0"/>
        <w:adjustRightInd w:val="0"/>
        <w:spacing w:line="360" w:lineRule="auto"/>
        <w:jc w:val="center"/>
        <w:outlineLvl w:val="1"/>
        <w:rPr>
          <w:rFonts w:hint="eastAsia" w:ascii="宋体" w:hAnsi="宋体" w:cs="宋体"/>
          <w:b/>
          <w:bCs/>
          <w:kern w:val="0"/>
          <w:sz w:val="24"/>
          <w:lang w:val="zh-CN"/>
        </w:rPr>
      </w:pPr>
      <w:r>
        <w:rPr>
          <w:rFonts w:hint="eastAsia" w:ascii="宋体" w:hAnsi="宋体" w:cs="宋体"/>
          <w:b/>
          <w:bCs/>
          <w:kern w:val="0"/>
          <w:sz w:val="24"/>
          <w:lang w:val="zh-CN"/>
        </w:rPr>
        <w:t>（五）开标及评标</w:t>
      </w:r>
    </w:p>
    <w:p w14:paraId="2E6BF995">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17. </w:t>
      </w:r>
      <w:r>
        <w:rPr>
          <w:rFonts w:hint="eastAsia" w:ascii="宋体" w:hAnsi="宋体" w:cs="宋体"/>
          <w:b/>
          <w:bCs/>
          <w:kern w:val="0"/>
          <w:sz w:val="24"/>
          <w:lang w:val="zh-CN"/>
        </w:rPr>
        <w:t>开标</w:t>
      </w:r>
    </w:p>
    <w:p w14:paraId="7F52855E">
      <w:pPr>
        <w:spacing w:before="120" w:line="360" w:lineRule="auto"/>
        <w:rPr>
          <w:rFonts w:hint="eastAsia" w:ascii="inherit" w:hAnsi="inherit" w:cs="宋体"/>
          <w:kern w:val="0"/>
          <w:sz w:val="24"/>
        </w:rPr>
      </w:pPr>
      <w:r>
        <w:rPr>
          <w:rFonts w:ascii="宋体" w:hAnsi="宋体" w:cs="仿宋_GB2312"/>
          <w:sz w:val="24"/>
        </w:rPr>
        <w:t>17.1</w:t>
      </w:r>
      <w:r>
        <w:rPr>
          <w:rFonts w:hint="eastAsia" w:ascii="宋体" w:hAnsi="宋体" w:cs="仿宋_GB2312"/>
          <w:sz w:val="24"/>
        </w:rPr>
        <w:t>采购代理机构应当按招标公告或投标邀请书的规定，在投标截止时间的同一时间和预先确定的地点组织公开开标。投标人代表应签名报到以证明其出席。投标文件递交后，</w:t>
      </w:r>
      <w:r>
        <w:rPr>
          <w:rFonts w:ascii="inherit" w:hAnsi="inherit" w:cs="宋体"/>
          <w:kern w:val="0"/>
          <w:sz w:val="24"/>
        </w:rPr>
        <w:t>投标人未参加开标的，视同认可开标结果。</w:t>
      </w:r>
    </w:p>
    <w:p w14:paraId="1BD368DA">
      <w:pPr>
        <w:spacing w:before="120" w:line="360" w:lineRule="auto"/>
        <w:rPr>
          <w:rFonts w:hint="eastAsia" w:ascii="宋体" w:hAnsi="宋体" w:cs="仿宋_GB2312"/>
          <w:sz w:val="24"/>
        </w:rPr>
      </w:pPr>
      <w:r>
        <w:rPr>
          <w:rFonts w:hint="eastAsia" w:ascii="宋体" w:hAnsi="宋体" w:cs="仿宋_GB2312"/>
          <w:sz w:val="24"/>
        </w:rPr>
        <w:t>1</w:t>
      </w:r>
      <w:r>
        <w:rPr>
          <w:rFonts w:ascii="宋体" w:hAnsi="宋体" w:cs="仿宋_GB2312"/>
          <w:sz w:val="24"/>
        </w:rPr>
        <w:t xml:space="preserve">7.2 </w:t>
      </w:r>
      <w:r>
        <w:rPr>
          <w:rFonts w:hint="eastAsia" w:ascii="宋体" w:hAnsi="宋体" w:cs="仿宋_GB2312"/>
          <w:sz w:val="24"/>
        </w:rPr>
        <w:t>投标人不足3家的，不得开标。</w:t>
      </w:r>
    </w:p>
    <w:p w14:paraId="186A36DC">
      <w:pPr>
        <w:spacing w:before="120" w:line="360" w:lineRule="auto"/>
        <w:rPr>
          <w:rFonts w:hint="eastAsia" w:ascii="宋体" w:hAnsi="宋体"/>
          <w:sz w:val="24"/>
        </w:rPr>
      </w:pPr>
      <w:r>
        <w:rPr>
          <w:rFonts w:ascii="宋体" w:hAnsi="宋体" w:cs="仿宋_GB2312"/>
          <w:sz w:val="24"/>
        </w:rPr>
        <w:t xml:space="preserve">17.3 </w:t>
      </w:r>
      <w:r>
        <w:rPr>
          <w:rFonts w:hint="eastAsia" w:ascii="宋体" w:hAnsi="宋体" w:cs="仿宋_GB2312"/>
          <w:sz w:val="24"/>
        </w:rPr>
        <w:t>开标时，由投标人代表或公证人检查投标文件的密封情况。</w:t>
      </w:r>
    </w:p>
    <w:p w14:paraId="3DC74A39">
      <w:pPr>
        <w:spacing w:before="120" w:line="360" w:lineRule="auto"/>
        <w:rPr>
          <w:rFonts w:hint="eastAsia" w:ascii="宋体" w:hAnsi="宋体"/>
          <w:sz w:val="24"/>
        </w:rPr>
      </w:pPr>
      <w:r>
        <w:rPr>
          <w:rFonts w:ascii="宋体" w:hAnsi="宋体" w:cs="仿宋_GB2312"/>
          <w:sz w:val="24"/>
        </w:rPr>
        <w:t>17.4</w:t>
      </w:r>
      <w:r>
        <w:rPr>
          <w:rFonts w:hint="eastAsia" w:ascii="宋体" w:hAnsi="宋体" w:cs="仿宋_GB2312"/>
          <w:sz w:val="24"/>
        </w:rPr>
        <w:t>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14:paraId="21773E4E">
      <w:pPr>
        <w:spacing w:before="120" w:line="360" w:lineRule="auto"/>
        <w:rPr>
          <w:rFonts w:hint="eastAsia" w:ascii="宋体" w:hAnsi="宋体"/>
          <w:sz w:val="24"/>
        </w:rPr>
      </w:pPr>
      <w:r>
        <w:rPr>
          <w:rFonts w:ascii="宋体" w:hAnsi="宋体" w:cs="仿宋_GB2312"/>
          <w:sz w:val="24"/>
        </w:rPr>
        <w:t>17.5</w:t>
      </w:r>
      <w:r>
        <w:rPr>
          <w:rFonts w:hint="eastAsia" w:ascii="宋体" w:hAnsi="宋体" w:cs="仿宋_GB2312"/>
          <w:sz w:val="24"/>
        </w:rPr>
        <w:t>未宣读的投标价格评标时一律不予承认。</w:t>
      </w:r>
    </w:p>
    <w:p w14:paraId="769E08C1">
      <w:pPr>
        <w:spacing w:before="120" w:line="360" w:lineRule="auto"/>
        <w:rPr>
          <w:rFonts w:hint="eastAsia" w:ascii="宋体" w:hAnsi="宋体" w:cs="仿宋_GB2312"/>
          <w:sz w:val="24"/>
        </w:rPr>
      </w:pPr>
      <w:r>
        <w:rPr>
          <w:rFonts w:ascii="宋体" w:hAnsi="宋体" w:cs="仿宋_GB2312"/>
          <w:sz w:val="24"/>
        </w:rPr>
        <w:t>17.6</w:t>
      </w:r>
      <w:r>
        <w:rPr>
          <w:rFonts w:hint="eastAsia" w:ascii="宋体" w:hAnsi="宋体" w:cs="仿宋_GB2312"/>
          <w:sz w:val="24"/>
        </w:rPr>
        <w:t>采购代理机构将对唱标内容做开标记录，由投标人代表签字确认。</w:t>
      </w:r>
    </w:p>
    <w:p w14:paraId="27C2CCD3">
      <w:pPr>
        <w:spacing w:before="120" w:line="360" w:lineRule="auto"/>
        <w:rPr>
          <w:rFonts w:hint="eastAsia" w:ascii="宋体" w:hAnsi="宋体"/>
          <w:sz w:val="24"/>
        </w:rPr>
      </w:pPr>
      <w:r>
        <w:rPr>
          <w:rFonts w:hint="eastAsia" w:ascii="宋体" w:hAnsi="宋体" w:cs="宋体"/>
          <w:kern w:val="0"/>
          <w:sz w:val="24"/>
          <w:lang w:val="zh-CN"/>
        </w:rPr>
        <w:t>17.</w:t>
      </w:r>
      <w:r>
        <w:rPr>
          <w:rFonts w:ascii="宋体" w:hAnsi="宋体" w:cs="宋体"/>
          <w:kern w:val="0"/>
          <w:sz w:val="24"/>
          <w:lang w:val="zh-CN"/>
        </w:rPr>
        <w:t>7投标人代表对开标过程和开标记录有疑义，以及认为采购人、采购代理机构相关工作人员有需要回避的情形的，应当场提出询问或者回避申请。采购人、采购代理机构对投标人代表提出的询问或</w:t>
      </w:r>
      <w:r>
        <w:rPr>
          <w:rFonts w:ascii="inherit" w:hAnsi="inherit" w:cs="宋体"/>
          <w:kern w:val="0"/>
          <w:sz w:val="24"/>
        </w:rPr>
        <w:t>者回避申请</w:t>
      </w:r>
      <w:r>
        <w:rPr>
          <w:rFonts w:hint="eastAsia" w:ascii="inherit" w:hAnsi="inherit" w:cs="宋体"/>
          <w:kern w:val="0"/>
          <w:sz w:val="24"/>
        </w:rPr>
        <w:t>将</w:t>
      </w:r>
      <w:r>
        <w:rPr>
          <w:rFonts w:ascii="inherit" w:hAnsi="inherit" w:cs="宋体"/>
          <w:kern w:val="0"/>
          <w:sz w:val="24"/>
        </w:rPr>
        <w:t>及时处理。</w:t>
      </w:r>
    </w:p>
    <w:p w14:paraId="7738861A">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18. </w:t>
      </w:r>
      <w:r>
        <w:rPr>
          <w:rFonts w:hint="eastAsia" w:ascii="宋体" w:hAnsi="宋体" w:cs="宋体"/>
          <w:b/>
          <w:bCs/>
          <w:kern w:val="0"/>
          <w:sz w:val="24"/>
          <w:lang w:val="zh-CN"/>
        </w:rPr>
        <w:t>组建评标委员会</w:t>
      </w:r>
    </w:p>
    <w:p w14:paraId="4E7D9046">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本项目采用综合评分法即在最大限度地满足招标文件实质性要求前提下，根据招标文件中规定的各项因素及权重，评标委员会每位成员分别对每个通过初审的投标人进行评价、打分，具体内容详见招标文件第七章。</w:t>
      </w:r>
    </w:p>
    <w:p w14:paraId="4214BEF2">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19. </w:t>
      </w:r>
      <w:r>
        <w:rPr>
          <w:rFonts w:hint="eastAsia" w:ascii="宋体" w:hAnsi="宋体" w:cs="宋体"/>
          <w:b/>
          <w:bCs/>
          <w:kern w:val="0"/>
          <w:sz w:val="24"/>
          <w:lang w:val="zh-CN"/>
        </w:rPr>
        <w:t>投标文件的初审</w:t>
      </w:r>
    </w:p>
    <w:p w14:paraId="30EE2ADF">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19.1 </w:t>
      </w:r>
      <w:r>
        <w:rPr>
          <w:rFonts w:hint="eastAsia" w:ascii="宋体" w:hAnsi="宋体" w:cs="宋体"/>
          <w:kern w:val="0"/>
          <w:sz w:val="24"/>
          <w:lang w:val="zh-CN"/>
        </w:rPr>
        <w:t>投标文件的初审分为资格检查和符合性检查：</w:t>
      </w:r>
    </w:p>
    <w:p w14:paraId="3BEF8880">
      <w:pPr>
        <w:autoSpaceDE w:val="0"/>
        <w:autoSpaceDN w:val="0"/>
        <w:adjustRightInd w:val="0"/>
        <w:spacing w:line="360" w:lineRule="auto"/>
        <w:rPr>
          <w:rFonts w:hint="eastAsia" w:ascii="宋体" w:hAnsi="宋体"/>
          <w:kern w:val="0"/>
          <w:sz w:val="24"/>
        </w:rPr>
      </w:pPr>
      <w:r>
        <w:rPr>
          <w:rFonts w:hint="eastAsia" w:ascii="宋体" w:hAnsi="宋体" w:cs="宋体"/>
          <w:kern w:val="0"/>
          <w:sz w:val="24"/>
          <w:lang w:val="zh-CN"/>
        </w:rPr>
        <w:t>（1）开标结束后，采购人或采购代理机构依据法律法规和招标文件的规定，对投标文件中的资格证明文件等进行审查，以确定投标人是否具备投标资格。</w:t>
      </w:r>
    </w:p>
    <w:p w14:paraId="6F546805">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（2）符合性检查：评标委员会依据招标文件的规定，从投标文件的有效性、完整性和对招标文件的响应程度进行审查，以确定其是否满足招标文件的实质性要求。</w:t>
      </w:r>
    </w:p>
    <w:p w14:paraId="142779A3">
      <w:pPr>
        <w:autoSpaceDE w:val="0"/>
        <w:autoSpaceDN w:val="0"/>
        <w:adjustRightInd w:val="0"/>
        <w:spacing w:line="360" w:lineRule="auto"/>
        <w:jc w:val="left"/>
        <w:rPr>
          <w:rFonts w:hint="eastAsia" w:ascii="宋体" w:hAnsi="宋体" w:cs="宋体"/>
          <w:b/>
          <w:bCs/>
          <w:kern w:val="0"/>
          <w:sz w:val="24"/>
          <w:lang w:val="zh-CN"/>
        </w:rPr>
      </w:pPr>
      <w:bookmarkStart w:id="8" w:name="_Toc89569862"/>
      <w:bookmarkStart w:id="9" w:name="_Toc520356167"/>
      <w:r>
        <w:rPr>
          <w:rFonts w:ascii="宋体" w:hAnsi="宋体" w:cs="宋体"/>
          <w:b/>
          <w:bCs/>
          <w:kern w:val="0"/>
          <w:sz w:val="24"/>
          <w:lang w:val="zh-CN"/>
        </w:rPr>
        <w:t xml:space="preserve">20. </w:t>
      </w:r>
      <w:r>
        <w:rPr>
          <w:rFonts w:hint="eastAsia" w:ascii="宋体" w:hAnsi="宋体" w:cs="宋体"/>
          <w:b/>
          <w:bCs/>
          <w:kern w:val="0"/>
          <w:sz w:val="24"/>
          <w:lang w:val="zh-CN"/>
        </w:rPr>
        <w:t>投标文件的澄清</w:t>
      </w:r>
      <w:bookmarkEnd w:id="8"/>
    </w:p>
    <w:p w14:paraId="49721265">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20.1 </w:t>
      </w:r>
      <w:r>
        <w:rPr>
          <w:rFonts w:hint="eastAsia" w:ascii="宋体" w:hAnsi="宋体" w:cs="宋体"/>
          <w:kern w:val="0"/>
          <w:sz w:val="24"/>
          <w:lang w:val="zh-CN"/>
        </w:rPr>
        <w:t>对投标文件中含义不明确、同类问题表述不一致或者有明显文字和计算错误的内容，评标委员会可以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p>
    <w:p w14:paraId="38387EAA">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20.2 </w:t>
      </w:r>
      <w:r>
        <w:rPr>
          <w:rFonts w:hint="eastAsia" w:ascii="宋体" w:hAnsi="宋体" w:cs="宋体"/>
          <w:kern w:val="0"/>
          <w:sz w:val="24"/>
          <w:lang w:val="zh-CN"/>
        </w:rPr>
        <w:t>澄清文件将作为投标文件内容的一部分。</w:t>
      </w:r>
    </w:p>
    <w:bookmarkEnd w:id="9"/>
    <w:p w14:paraId="6A600EA8">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2</w:t>
      </w:r>
      <w:r>
        <w:rPr>
          <w:rFonts w:ascii="宋体" w:hAnsi="宋体" w:cs="宋体"/>
          <w:kern w:val="0"/>
          <w:sz w:val="24"/>
          <w:lang w:val="zh-CN"/>
        </w:rPr>
        <w:t xml:space="preserve">0.3 </w:t>
      </w:r>
      <w:r>
        <w:rPr>
          <w:rFonts w:hint="eastAsia" w:ascii="宋体" w:hAnsi="宋体" w:cs="宋体"/>
          <w:kern w:val="0"/>
          <w:sz w:val="24"/>
          <w:lang w:val="zh-CN"/>
        </w:rPr>
        <w:t>算术错误将按以下方法更正：开标时，投标文件中“投标一览表”（报价表）内容与投标文件中明细表内容不一致的，以“投标一览表” （报价表）为准；若单价计算的结果与总价不一致，以单价为准修改总价；若用文字表示的数值与数字表示的数值不一致，以文字表示的数值为准。对不同文字文本投标文件的表述发生异议的，以中文文本为准。如果投标人不接受对其错误的更改，其投标将被拒绝。</w:t>
      </w:r>
    </w:p>
    <w:p w14:paraId="021F2724">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21. </w:t>
      </w:r>
      <w:r>
        <w:rPr>
          <w:rFonts w:hint="eastAsia" w:ascii="宋体" w:hAnsi="宋体" w:cs="宋体"/>
          <w:b/>
          <w:bCs/>
          <w:kern w:val="0"/>
          <w:sz w:val="24"/>
          <w:lang w:val="zh-CN"/>
        </w:rPr>
        <w:t>投标偏离与非实质性响应</w:t>
      </w:r>
    </w:p>
    <w:p w14:paraId="002D36F8">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21.1 </w:t>
      </w:r>
      <w:r>
        <w:rPr>
          <w:rFonts w:hint="eastAsia" w:ascii="宋体" w:hAnsi="宋体" w:cs="宋体"/>
          <w:kern w:val="0"/>
          <w:sz w:val="24"/>
          <w:lang w:val="zh-CN"/>
        </w:rPr>
        <w:t>对于投标文件中不构成实质性偏差的不正规、不一致或不规则的描述，评标委员会可以接受，但这种接受不能妨碍或影响任何投标人的相对排序。</w:t>
      </w:r>
    </w:p>
    <w:p w14:paraId="61A285FC">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21.2 </w:t>
      </w:r>
      <w:r>
        <w:rPr>
          <w:rFonts w:hint="eastAsia" w:ascii="宋体" w:hAnsi="宋体" w:cs="宋体"/>
          <w:kern w:val="0"/>
          <w:sz w:val="24"/>
          <w:lang w:val="zh-CN"/>
        </w:rPr>
        <w:t>在比较与评价之前，根据本须知的规定，评标委员会要审查每份投标文件是否实质上响应了招标文件的要求。在实质上响应的投标应该是与招标文件要求的全部条款、条件和规格相符，没有重大偏离的投标。对关键条款，例如关于投标保证金、适用法律、缴税等内容的偏离、保留和反对，将被认为是实质上的偏离。评标委员会决定投标的响应性只根据投标文件本身的内容，而不寻求外部的证据。</w:t>
      </w:r>
    </w:p>
    <w:p w14:paraId="32FB06BC">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22</w:t>
      </w:r>
      <w:r>
        <w:rPr>
          <w:rFonts w:hint="eastAsia" w:ascii="宋体" w:hAnsi="宋体" w:cs="宋体"/>
          <w:b/>
          <w:bCs/>
          <w:kern w:val="0"/>
          <w:sz w:val="24"/>
          <w:lang w:val="zh-CN"/>
        </w:rPr>
        <w:t>.评标</w:t>
      </w:r>
    </w:p>
    <w:p w14:paraId="633E1CFB">
      <w:pPr>
        <w:spacing w:before="120" w:line="360" w:lineRule="auto"/>
        <w:rPr>
          <w:rFonts w:hint="eastAsia" w:ascii="宋体" w:hAnsi="宋体" w:cs="仿宋_GB2312"/>
          <w:sz w:val="24"/>
        </w:rPr>
      </w:pPr>
      <w:r>
        <w:rPr>
          <w:rFonts w:hint="eastAsia" w:ascii="宋体" w:hAnsi="宋体" w:cs="仿宋_GB2312"/>
          <w:sz w:val="24"/>
        </w:rPr>
        <w:t>本项目采用综合评分法即在最大限度地满足招标文件实质性要求前提下，根据招标文件中规定的各项因素及权重，评标委员会每位成员分别对每个通过初审的投标人进行评价、打分，具体内容详见第七章。</w:t>
      </w:r>
    </w:p>
    <w:p w14:paraId="60EABC59">
      <w:pPr>
        <w:autoSpaceDE w:val="0"/>
        <w:autoSpaceDN w:val="0"/>
        <w:adjustRightInd w:val="0"/>
        <w:spacing w:line="360" w:lineRule="auto"/>
        <w:jc w:val="left"/>
        <w:rPr>
          <w:rFonts w:hint="eastAsia" w:ascii="宋体" w:hAnsi="宋体" w:cs="宋体"/>
          <w:b/>
          <w:bCs/>
          <w:kern w:val="0"/>
          <w:sz w:val="24"/>
          <w:lang w:val="zh-CN"/>
        </w:rPr>
      </w:pPr>
      <w:r>
        <w:rPr>
          <w:rFonts w:hint="eastAsia" w:ascii="宋体" w:hAnsi="宋体" w:cs="宋体"/>
          <w:b/>
          <w:bCs/>
          <w:kern w:val="0"/>
          <w:sz w:val="24"/>
          <w:lang w:val="zh-CN"/>
        </w:rPr>
        <w:t>2</w:t>
      </w:r>
      <w:r>
        <w:rPr>
          <w:rFonts w:ascii="宋体" w:hAnsi="宋体" w:cs="宋体"/>
          <w:b/>
          <w:bCs/>
          <w:kern w:val="0"/>
          <w:sz w:val="24"/>
          <w:lang w:val="zh-CN"/>
        </w:rPr>
        <w:t>3</w:t>
      </w:r>
      <w:r>
        <w:rPr>
          <w:rFonts w:hint="eastAsia" w:ascii="宋体" w:hAnsi="宋体" w:cs="宋体"/>
          <w:b/>
          <w:bCs/>
          <w:kern w:val="0"/>
          <w:sz w:val="24"/>
          <w:lang w:val="zh-CN"/>
        </w:rPr>
        <w:t>．评标过程及保密原则</w:t>
      </w:r>
    </w:p>
    <w:p w14:paraId="28488324">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23.1 </w:t>
      </w:r>
      <w:r>
        <w:rPr>
          <w:rFonts w:hint="eastAsia" w:ascii="宋体" w:hAnsi="宋体" w:cs="宋体"/>
          <w:kern w:val="0"/>
          <w:sz w:val="24"/>
          <w:lang w:val="zh-CN"/>
        </w:rPr>
        <w:t>开标之后，直到采购人与中标人签署合同为止，本次招标各方有关人员对属于审查、澄清、评价和比较投标的有关资料以及授标意向等，均不得向投标人或其他无关的人员透露。</w:t>
      </w:r>
    </w:p>
    <w:p w14:paraId="00DBC9A2">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23.2 </w:t>
      </w:r>
      <w:r>
        <w:rPr>
          <w:rFonts w:hint="eastAsia" w:ascii="宋体" w:hAnsi="宋体" w:cs="宋体"/>
          <w:kern w:val="0"/>
          <w:sz w:val="24"/>
          <w:lang w:val="zh-CN"/>
        </w:rPr>
        <w:t>评标委员会在评审过程中发现供应商有行贿、提供虚假材料或者串通等违法行为的，将及时向财政部门报告。</w:t>
      </w:r>
    </w:p>
    <w:p w14:paraId="0AD2FF42">
      <w:pPr>
        <w:spacing w:before="120" w:line="360" w:lineRule="auto"/>
        <w:rPr>
          <w:rFonts w:hint="eastAsia" w:ascii="宋体" w:hAnsi="宋体" w:cs="仿宋_GB2312"/>
          <w:sz w:val="24"/>
        </w:rPr>
      </w:pPr>
      <w:r>
        <w:rPr>
          <w:rFonts w:ascii="宋体" w:hAnsi="宋体" w:cs="仿宋_GB2312"/>
          <w:sz w:val="24"/>
        </w:rPr>
        <w:t xml:space="preserve">23.2 </w:t>
      </w:r>
      <w:r>
        <w:rPr>
          <w:rFonts w:hint="eastAsia" w:ascii="宋体" w:hAnsi="宋体" w:cs="仿宋_GB2312"/>
          <w:sz w:val="24"/>
        </w:rPr>
        <w:t>政府采购评审专家在评审过程中受到非法干预的，将及时向财政、监察等部门举报。</w:t>
      </w:r>
    </w:p>
    <w:p w14:paraId="5B972B51">
      <w:pPr>
        <w:spacing w:before="120" w:line="360" w:lineRule="auto"/>
        <w:rPr>
          <w:rFonts w:hint="eastAsia" w:ascii="宋体" w:hAnsi="宋体" w:cs="仿宋_GB2312"/>
          <w:sz w:val="24"/>
        </w:rPr>
      </w:pPr>
    </w:p>
    <w:p w14:paraId="5165AB70">
      <w:pPr>
        <w:autoSpaceDE w:val="0"/>
        <w:autoSpaceDN w:val="0"/>
        <w:adjustRightInd w:val="0"/>
        <w:spacing w:line="360" w:lineRule="auto"/>
        <w:jc w:val="center"/>
        <w:outlineLvl w:val="1"/>
        <w:rPr>
          <w:rFonts w:hint="eastAsia" w:ascii="宋体" w:hAnsi="宋体" w:cs="宋体"/>
          <w:b/>
          <w:bCs/>
          <w:kern w:val="0"/>
          <w:sz w:val="24"/>
          <w:lang w:val="zh-CN"/>
        </w:rPr>
      </w:pPr>
      <w:bookmarkStart w:id="10" w:name="_Toc520647612"/>
      <w:bookmarkStart w:id="11" w:name="_Toc520424503"/>
      <w:bookmarkStart w:id="12" w:name="_Toc518803444"/>
      <w:bookmarkStart w:id="13" w:name="_Ref467306463"/>
      <w:bookmarkStart w:id="14" w:name="_Toc89569874"/>
      <w:r>
        <w:rPr>
          <w:rFonts w:hint="eastAsia" w:ascii="宋体" w:hAnsi="宋体" w:cs="宋体"/>
          <w:b/>
          <w:bCs/>
          <w:kern w:val="0"/>
          <w:sz w:val="24"/>
          <w:lang w:val="zh-CN"/>
        </w:rPr>
        <w:t>（六）中标服务费</w:t>
      </w:r>
      <w:bookmarkEnd w:id="10"/>
      <w:bookmarkEnd w:id="11"/>
      <w:bookmarkEnd w:id="12"/>
      <w:bookmarkEnd w:id="13"/>
      <w:bookmarkEnd w:id="14"/>
    </w:p>
    <w:p w14:paraId="446EC426">
      <w:pPr>
        <w:spacing w:before="120" w:line="360" w:lineRule="auto"/>
        <w:rPr>
          <w:rFonts w:hint="eastAsia" w:ascii="宋体" w:hAnsi="宋体"/>
          <w:sz w:val="24"/>
        </w:rPr>
      </w:pPr>
      <w:bookmarkStart w:id="15" w:name="_Ref467307288"/>
      <w:r>
        <w:rPr>
          <w:rFonts w:ascii="宋体" w:hAnsi="宋体" w:cs="仿宋_GB2312"/>
          <w:sz w:val="24"/>
        </w:rPr>
        <w:t>24.1</w:t>
      </w:r>
      <w:bookmarkEnd w:id="15"/>
      <w:r>
        <w:rPr>
          <w:rFonts w:hint="eastAsia" w:ascii="宋体" w:hAnsi="宋体" w:cs="仿宋_GB2312"/>
          <w:sz w:val="24"/>
        </w:rPr>
        <w:t>中标人须在收到中标通知书后</w:t>
      </w:r>
      <w:bookmarkStart w:id="16" w:name="_Hlk141717173"/>
      <w:r>
        <w:rPr>
          <w:rFonts w:ascii="宋体" w:hAnsi="宋体" w:cs="仿宋_GB2312"/>
          <w:sz w:val="24"/>
        </w:rPr>
        <w:t>5</w:t>
      </w:r>
      <w:r>
        <w:rPr>
          <w:rFonts w:hint="eastAsia" w:ascii="宋体" w:hAnsi="宋体" w:cs="仿宋_GB2312"/>
          <w:sz w:val="24"/>
        </w:rPr>
        <w:t>个工作日</w:t>
      </w:r>
      <w:bookmarkEnd w:id="16"/>
      <w:r>
        <w:rPr>
          <w:rFonts w:hint="eastAsia" w:ascii="宋体" w:hAnsi="宋体" w:cs="仿宋_GB2312"/>
          <w:sz w:val="24"/>
        </w:rPr>
        <w:t>内，向采购代理机构缴纳中标服务费，具体标准和计算办法见第二章“资料表”。此项费用无须单列，但计入投标总价。</w:t>
      </w:r>
    </w:p>
    <w:p w14:paraId="6867C530">
      <w:pPr>
        <w:spacing w:before="120" w:line="360" w:lineRule="auto"/>
        <w:rPr>
          <w:rFonts w:hint="eastAsia" w:ascii="宋体" w:hAnsi="宋体"/>
          <w:sz w:val="24"/>
        </w:rPr>
      </w:pPr>
      <w:r>
        <w:rPr>
          <w:rFonts w:ascii="宋体" w:hAnsi="宋体" w:cs="仿宋_GB2312"/>
          <w:sz w:val="24"/>
        </w:rPr>
        <w:t xml:space="preserve">24.2 </w:t>
      </w:r>
      <w:r>
        <w:rPr>
          <w:rFonts w:hint="eastAsia" w:ascii="宋体" w:hAnsi="宋体" w:cs="仿宋_GB2312"/>
          <w:sz w:val="24"/>
        </w:rPr>
        <w:t>中标服务费将以采购代理机构可接受的方式进行收取。中标人如未按上述规定交纳，采购代理机构将没收其投标保证金。</w:t>
      </w:r>
    </w:p>
    <w:p w14:paraId="7004A50A">
      <w:pPr>
        <w:spacing w:before="120" w:line="360" w:lineRule="auto"/>
        <w:rPr>
          <w:rFonts w:hint="eastAsia" w:ascii="宋体" w:hAnsi="宋体" w:cs="仿宋_GB2312"/>
          <w:sz w:val="24"/>
        </w:rPr>
      </w:pPr>
      <w:r>
        <w:rPr>
          <w:rFonts w:ascii="宋体" w:hAnsi="宋体" w:cs="仿宋_GB2312"/>
          <w:sz w:val="24"/>
        </w:rPr>
        <w:t xml:space="preserve">24.3 </w:t>
      </w:r>
      <w:r>
        <w:rPr>
          <w:rFonts w:hint="eastAsia" w:ascii="宋体" w:hAnsi="宋体" w:cs="仿宋_GB2312"/>
          <w:sz w:val="24"/>
        </w:rPr>
        <w:t>在投标时，投标人需提供中标服务费承诺书（承诺书格式见第六章附件1</w:t>
      </w:r>
      <w:r>
        <w:rPr>
          <w:rFonts w:ascii="宋体" w:hAnsi="宋体" w:cs="仿宋_GB2312"/>
          <w:sz w:val="24"/>
        </w:rPr>
        <w:t>4）</w:t>
      </w:r>
      <w:r>
        <w:rPr>
          <w:rFonts w:hint="eastAsia" w:ascii="宋体" w:hAnsi="宋体" w:cs="仿宋_GB2312"/>
          <w:sz w:val="24"/>
        </w:rPr>
        <w:t>。</w:t>
      </w:r>
    </w:p>
    <w:p w14:paraId="7D3C7255">
      <w:pPr>
        <w:spacing w:before="120" w:line="360" w:lineRule="auto"/>
        <w:rPr>
          <w:rFonts w:hint="eastAsia" w:ascii="宋体" w:hAnsi="宋体" w:cs="仿宋_GB2312"/>
          <w:sz w:val="24"/>
        </w:rPr>
      </w:pPr>
    </w:p>
    <w:p w14:paraId="12FB10E8">
      <w:pPr>
        <w:spacing w:before="120" w:line="360" w:lineRule="auto"/>
        <w:jc w:val="center"/>
        <w:outlineLvl w:val="1"/>
        <w:rPr>
          <w:rFonts w:hint="eastAsia" w:ascii="宋体" w:hAnsi="宋体" w:cs="仿宋_GB2312"/>
          <w:sz w:val="24"/>
        </w:rPr>
      </w:pPr>
      <w:r>
        <w:rPr>
          <w:rFonts w:hint="eastAsia" w:ascii="宋体" w:hAnsi="宋体" w:cs="宋体"/>
          <w:b/>
          <w:sz w:val="24"/>
        </w:rPr>
        <w:t>（七）关于中小企业参加投标的特殊规定</w:t>
      </w:r>
    </w:p>
    <w:p w14:paraId="44C448A8">
      <w:pPr>
        <w:spacing w:before="120" w:line="360" w:lineRule="auto"/>
        <w:rPr>
          <w:rFonts w:hint="eastAsia" w:ascii="宋体" w:hAnsi="宋体" w:cs="仿宋_GB2312"/>
          <w:b/>
          <w:bCs/>
          <w:sz w:val="24"/>
        </w:rPr>
      </w:pPr>
      <w:r>
        <w:rPr>
          <w:rFonts w:ascii="宋体" w:hAnsi="宋体" w:cs="仿宋_GB2312"/>
          <w:b/>
          <w:bCs/>
          <w:sz w:val="24"/>
        </w:rPr>
        <w:t xml:space="preserve">25. </w:t>
      </w:r>
      <w:r>
        <w:rPr>
          <w:rFonts w:hint="eastAsia" w:ascii="宋体" w:hAnsi="宋体" w:cs="仿宋_GB2312"/>
          <w:b/>
          <w:bCs/>
          <w:sz w:val="24"/>
        </w:rPr>
        <w:t>小型、微型企业价格扣除政策</w:t>
      </w:r>
      <w:r>
        <w:rPr>
          <w:rFonts w:hint="eastAsia" w:ascii="宋体" w:hAnsi="宋体" w:cs="宋体"/>
          <w:b/>
          <w:bCs/>
          <w:sz w:val="24"/>
        </w:rPr>
        <w:t>（非专门面向中小企业的项目）</w:t>
      </w:r>
    </w:p>
    <w:p w14:paraId="39242D99">
      <w:pPr>
        <w:autoSpaceDE w:val="0"/>
        <w:autoSpaceDN w:val="0"/>
        <w:adjustRightInd w:val="0"/>
        <w:spacing w:line="360" w:lineRule="auto"/>
        <w:jc w:val="left"/>
        <w:rPr>
          <w:rFonts w:hint="eastAsia" w:cs="宋体" w:asciiTheme="minorEastAsia" w:hAnsiTheme="minorEastAsia"/>
          <w:kern w:val="0"/>
          <w:sz w:val="24"/>
          <w:lang w:val="zh-CN"/>
        </w:rPr>
      </w:pPr>
      <w:r>
        <w:rPr>
          <w:rFonts w:hint="eastAsia" w:cs="宋体" w:asciiTheme="minorEastAsia" w:hAnsiTheme="minorEastAsia"/>
          <w:kern w:val="0"/>
          <w:sz w:val="24"/>
          <w:lang w:val="zh-CN"/>
        </w:rPr>
        <w:t>2</w:t>
      </w:r>
      <w:r>
        <w:rPr>
          <w:rFonts w:cs="宋体" w:asciiTheme="minorEastAsia" w:hAnsiTheme="minorEastAsia"/>
          <w:kern w:val="0"/>
          <w:sz w:val="24"/>
          <w:lang w:val="zh-CN"/>
        </w:rPr>
        <w:t xml:space="preserve">5.1 </w:t>
      </w:r>
      <w:r>
        <w:rPr>
          <w:rFonts w:hint="eastAsia" w:cs="宋体" w:asciiTheme="minorEastAsia" w:hAnsiTheme="minorEastAsia"/>
          <w:kern w:val="0"/>
          <w:sz w:val="24"/>
          <w:lang w:val="zh-CN"/>
        </w:rPr>
        <w:t>根据工业和信息化部、统计局、发展改革委、财政部四部门印发的《关于印发中小企业划型标准规定的通知》（工信部联企业﹝2011﹞300号）和财政部、工业和信息化部印发的《政府采购促进中小企业发展管理办法》（财库﹝2020﹞46号）的规定，服务全部由符合政策要求的小型、微型企业承接的，投标价格给予</w:t>
      </w:r>
      <w:r>
        <w:rPr>
          <w:rFonts w:cs="宋体" w:asciiTheme="minorEastAsia" w:hAnsiTheme="minorEastAsia"/>
          <w:kern w:val="0"/>
          <w:sz w:val="24"/>
          <w:lang w:val="zh-CN"/>
        </w:rPr>
        <w:t>10</w:t>
      </w:r>
      <w:r>
        <w:rPr>
          <w:rFonts w:hint="eastAsia" w:cs="宋体" w:asciiTheme="minorEastAsia" w:hAnsiTheme="minorEastAsia"/>
          <w:kern w:val="0"/>
          <w:sz w:val="24"/>
          <w:lang w:val="zh-CN"/>
        </w:rPr>
        <w:t>%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t>
      </w:r>
    </w:p>
    <w:p w14:paraId="3BF614E2">
      <w:pPr>
        <w:autoSpaceDE w:val="0"/>
        <w:autoSpaceDN w:val="0"/>
        <w:adjustRightInd w:val="0"/>
        <w:spacing w:line="360" w:lineRule="auto"/>
        <w:jc w:val="left"/>
        <w:rPr>
          <w:rFonts w:hint="eastAsia" w:cs="宋体" w:asciiTheme="minorEastAsia" w:hAnsiTheme="minorEastAsia"/>
          <w:kern w:val="0"/>
          <w:sz w:val="24"/>
          <w:lang w:val="zh-CN"/>
        </w:rPr>
      </w:pPr>
      <w:r>
        <w:rPr>
          <w:rFonts w:hint="eastAsia" w:cs="宋体" w:asciiTheme="minorEastAsia" w:hAnsiTheme="minorEastAsia"/>
          <w:kern w:val="0"/>
          <w:sz w:val="24"/>
          <w:lang w:val="zh-CN"/>
        </w:rPr>
        <w:t>2</w:t>
      </w:r>
      <w:r>
        <w:rPr>
          <w:rFonts w:cs="宋体" w:asciiTheme="minorEastAsia" w:hAnsiTheme="minorEastAsia"/>
          <w:kern w:val="0"/>
          <w:sz w:val="24"/>
          <w:lang w:val="zh-CN"/>
        </w:rPr>
        <w:t xml:space="preserve">5.2 </w:t>
      </w:r>
      <w:r>
        <w:rPr>
          <w:rFonts w:hint="eastAsia" w:cs="宋体" w:asciiTheme="minorEastAsia" w:hAnsiTheme="minorEastAsia"/>
          <w:kern w:val="0"/>
          <w:sz w:val="24"/>
          <w:lang w:val="zh-CN"/>
        </w:rPr>
        <w:t>小型、微型企业的协议合同金额占到联合体协议合同总金额</w:t>
      </w:r>
      <w:r>
        <w:rPr>
          <w:rFonts w:cs="宋体" w:asciiTheme="minorEastAsia" w:hAnsiTheme="minorEastAsia"/>
          <w:kern w:val="0"/>
          <w:sz w:val="24"/>
          <w:lang w:val="zh-CN"/>
        </w:rPr>
        <w:t>30%</w:t>
      </w:r>
      <w:r>
        <w:rPr>
          <w:rFonts w:hint="eastAsia" w:cs="宋体" w:asciiTheme="minorEastAsia" w:hAnsiTheme="minorEastAsia"/>
          <w:kern w:val="0"/>
          <w:sz w:val="24"/>
          <w:lang w:val="zh-CN"/>
        </w:rPr>
        <w:t>以上的，可给予联合体</w:t>
      </w:r>
      <w:r>
        <w:rPr>
          <w:rFonts w:cs="宋体" w:asciiTheme="minorEastAsia" w:hAnsiTheme="minorEastAsia"/>
          <w:kern w:val="0"/>
          <w:sz w:val="24"/>
          <w:lang w:val="zh-CN"/>
        </w:rPr>
        <w:t>4%</w:t>
      </w:r>
      <w:r>
        <w:rPr>
          <w:rFonts w:hint="eastAsia" w:cs="宋体" w:asciiTheme="minorEastAsia" w:hAnsiTheme="minorEastAsia"/>
          <w:kern w:val="0"/>
          <w:sz w:val="24"/>
          <w:lang w:val="zh-CN"/>
        </w:rPr>
        <w:t>的价格扣除。</w:t>
      </w:r>
    </w:p>
    <w:p w14:paraId="6A8BF4D2">
      <w:pPr>
        <w:autoSpaceDE w:val="0"/>
        <w:autoSpaceDN w:val="0"/>
        <w:adjustRightInd w:val="0"/>
        <w:spacing w:line="360" w:lineRule="auto"/>
        <w:jc w:val="left"/>
        <w:rPr>
          <w:rFonts w:hint="eastAsia" w:asciiTheme="minorEastAsia" w:hAnsiTheme="minorEastAsia"/>
          <w:b/>
          <w:bCs/>
          <w:kern w:val="0"/>
          <w:sz w:val="24"/>
          <w:lang w:val="zh-CN"/>
        </w:rPr>
      </w:pPr>
      <w:r>
        <w:rPr>
          <w:rFonts w:asciiTheme="minorEastAsia" w:hAnsiTheme="minorEastAsia"/>
          <w:b/>
          <w:bCs/>
          <w:kern w:val="0"/>
          <w:sz w:val="24"/>
          <w:lang w:val="zh-CN"/>
        </w:rPr>
        <w:t>26</w:t>
      </w:r>
      <w:r>
        <w:rPr>
          <w:rFonts w:hint="eastAsia" w:asciiTheme="minorEastAsia" w:hAnsiTheme="minorEastAsia"/>
          <w:b/>
          <w:bCs/>
          <w:kern w:val="0"/>
          <w:sz w:val="24"/>
          <w:lang w:val="zh-CN"/>
        </w:rPr>
        <w:t>. 政府采购信用担保</w:t>
      </w:r>
    </w:p>
    <w:p w14:paraId="163C0A83">
      <w:pPr>
        <w:autoSpaceDE w:val="0"/>
        <w:autoSpaceDN w:val="0"/>
        <w:adjustRightInd w:val="0"/>
        <w:spacing w:line="360" w:lineRule="auto"/>
        <w:jc w:val="left"/>
        <w:rPr>
          <w:rFonts w:hint="eastAsia" w:asciiTheme="minorEastAsia" w:hAnsiTheme="minorEastAsia"/>
          <w:kern w:val="0"/>
          <w:sz w:val="24"/>
          <w:lang w:val="zh-CN"/>
        </w:rPr>
      </w:pPr>
      <w:r>
        <w:rPr>
          <w:rFonts w:asciiTheme="minorEastAsia" w:hAnsiTheme="minorEastAsia"/>
          <w:kern w:val="0"/>
          <w:sz w:val="24"/>
          <w:lang w:val="zh-CN"/>
        </w:rPr>
        <w:t>26</w:t>
      </w:r>
      <w:r>
        <w:rPr>
          <w:rFonts w:hint="eastAsia" w:asciiTheme="minorEastAsia" w:hAnsiTheme="minorEastAsia"/>
          <w:kern w:val="0"/>
          <w:sz w:val="24"/>
          <w:lang w:val="zh-CN"/>
        </w:rPr>
        <w:t>.1投标人可以自愿选择是否采取投标担保函、履约担保函和融资担保的形式交纳投标保证金、履约保证金和履约融资。</w:t>
      </w:r>
    </w:p>
    <w:p w14:paraId="186BFE7C">
      <w:pPr>
        <w:autoSpaceDE w:val="0"/>
        <w:autoSpaceDN w:val="0"/>
        <w:adjustRightInd w:val="0"/>
        <w:spacing w:line="360" w:lineRule="auto"/>
        <w:jc w:val="left"/>
        <w:rPr>
          <w:rFonts w:hint="eastAsia" w:ascii="宋体" w:hAnsi="宋体" w:cs="宋体"/>
          <w:b/>
          <w:bCs/>
          <w:kern w:val="0"/>
          <w:sz w:val="24"/>
          <w:lang w:val="zh-CN"/>
        </w:rPr>
      </w:pPr>
    </w:p>
    <w:p w14:paraId="020EAC0C">
      <w:pPr>
        <w:autoSpaceDE w:val="0"/>
        <w:autoSpaceDN w:val="0"/>
        <w:adjustRightInd w:val="0"/>
        <w:spacing w:line="360" w:lineRule="auto"/>
        <w:jc w:val="center"/>
        <w:outlineLvl w:val="1"/>
        <w:rPr>
          <w:rFonts w:hint="eastAsia" w:ascii="宋体" w:hAnsi="宋体" w:cs="宋体"/>
          <w:b/>
          <w:bCs/>
          <w:kern w:val="0"/>
          <w:sz w:val="24"/>
          <w:lang w:val="zh-CN"/>
        </w:rPr>
      </w:pPr>
      <w:r>
        <w:rPr>
          <w:rFonts w:hint="eastAsia" w:ascii="宋体" w:hAnsi="宋体" w:cs="宋体"/>
          <w:b/>
          <w:bCs/>
          <w:kern w:val="0"/>
          <w:sz w:val="24"/>
          <w:lang w:val="zh-CN"/>
        </w:rPr>
        <w:t>（</w:t>
      </w:r>
      <w:r>
        <w:rPr>
          <w:rFonts w:hint="eastAsia" w:ascii="宋体" w:hAnsi="宋体" w:cs="宋体"/>
          <w:b/>
          <w:bCs/>
          <w:kern w:val="0"/>
          <w:sz w:val="24"/>
        </w:rPr>
        <w:t>八</w:t>
      </w:r>
      <w:r>
        <w:rPr>
          <w:rFonts w:hint="eastAsia" w:ascii="宋体" w:hAnsi="宋体" w:cs="宋体"/>
          <w:b/>
          <w:bCs/>
          <w:kern w:val="0"/>
          <w:sz w:val="24"/>
          <w:lang w:val="zh-CN"/>
        </w:rPr>
        <w:t>）询问和质疑</w:t>
      </w:r>
    </w:p>
    <w:p w14:paraId="07EB0967">
      <w:pPr>
        <w:spacing w:before="120" w:line="360" w:lineRule="auto"/>
        <w:rPr>
          <w:rFonts w:hint="eastAsia" w:ascii="宋体" w:hAnsi="宋体"/>
          <w:b/>
          <w:bCs/>
          <w:sz w:val="24"/>
        </w:rPr>
      </w:pPr>
      <w:r>
        <w:rPr>
          <w:rFonts w:ascii="宋体" w:hAnsi="宋体"/>
          <w:b/>
          <w:bCs/>
          <w:sz w:val="24"/>
        </w:rPr>
        <w:t>27</w:t>
      </w:r>
      <w:r>
        <w:rPr>
          <w:rFonts w:hint="eastAsia" w:ascii="宋体" w:hAnsi="宋体"/>
          <w:b/>
          <w:bCs/>
          <w:sz w:val="24"/>
        </w:rPr>
        <w:t>. 询问</w:t>
      </w:r>
    </w:p>
    <w:p w14:paraId="5ED45B02">
      <w:pPr>
        <w:spacing w:before="120" w:line="360" w:lineRule="auto"/>
        <w:rPr>
          <w:rFonts w:hint="eastAsia" w:ascii="宋体" w:hAnsi="宋体" w:cs="仿宋_GB2312"/>
          <w:sz w:val="24"/>
        </w:rPr>
      </w:pPr>
      <w:r>
        <w:rPr>
          <w:rFonts w:ascii="宋体" w:hAnsi="宋体" w:cs="仿宋_GB2312"/>
          <w:sz w:val="24"/>
        </w:rPr>
        <w:t>供应商对政府采购活动事项</w:t>
      </w:r>
      <w:r>
        <w:rPr>
          <w:rFonts w:hint="eastAsia" w:ascii="宋体" w:hAnsi="宋体" w:cs="仿宋_GB2312"/>
          <w:sz w:val="24"/>
        </w:rPr>
        <w:t>（招标文件、招标过程和中标结果）</w:t>
      </w:r>
      <w:r>
        <w:rPr>
          <w:rFonts w:ascii="宋体" w:hAnsi="宋体" w:cs="仿宋_GB2312"/>
          <w:sz w:val="24"/>
        </w:rPr>
        <w:t>有疑问的，可以向采购人</w:t>
      </w:r>
      <w:r>
        <w:rPr>
          <w:rFonts w:hint="eastAsia" w:ascii="宋体" w:hAnsi="宋体" w:cs="仿宋_GB2312"/>
          <w:sz w:val="24"/>
        </w:rPr>
        <w:t>或采购代理机构</w:t>
      </w:r>
      <w:r>
        <w:rPr>
          <w:rFonts w:ascii="宋体" w:hAnsi="宋体" w:cs="仿宋_GB2312"/>
          <w:sz w:val="24"/>
        </w:rPr>
        <w:t>提出询问，采购人</w:t>
      </w:r>
      <w:r>
        <w:rPr>
          <w:rFonts w:hint="eastAsia" w:ascii="宋体" w:hAnsi="宋体" w:cs="仿宋_GB2312"/>
          <w:sz w:val="24"/>
        </w:rPr>
        <w:t>或采购代理机构将在3个工作日内</w:t>
      </w:r>
      <w:r>
        <w:rPr>
          <w:rFonts w:ascii="宋体" w:hAnsi="宋体" w:cs="仿宋_GB2312"/>
          <w:sz w:val="24"/>
        </w:rPr>
        <w:t>作出答复，但答复的内容不得涉及商业秘密。</w:t>
      </w:r>
      <w:r>
        <w:rPr>
          <w:rFonts w:hint="eastAsia" w:ascii="宋体" w:hAnsi="宋体" w:cs="仿宋_GB2312"/>
          <w:sz w:val="24"/>
        </w:rPr>
        <w:t>询问可以口头方式提出，也可以书面方式提出，书面方式包括但不限于传真、信函、电子邮件。</w:t>
      </w:r>
    </w:p>
    <w:p w14:paraId="13B43B1B">
      <w:pPr>
        <w:spacing w:before="120" w:line="360" w:lineRule="auto"/>
        <w:rPr>
          <w:rFonts w:hint="eastAsia" w:ascii="宋体" w:hAnsi="宋体" w:cs="仿宋_GB2312"/>
          <w:b/>
          <w:bCs/>
          <w:sz w:val="24"/>
        </w:rPr>
      </w:pPr>
      <w:r>
        <w:rPr>
          <w:rFonts w:ascii="宋体" w:hAnsi="宋体" w:cs="仿宋_GB2312"/>
          <w:b/>
          <w:bCs/>
          <w:sz w:val="24"/>
        </w:rPr>
        <w:t>28</w:t>
      </w:r>
      <w:r>
        <w:rPr>
          <w:rFonts w:hint="eastAsia" w:ascii="宋体" w:hAnsi="宋体" w:cs="仿宋_GB2312"/>
          <w:b/>
          <w:bCs/>
          <w:sz w:val="24"/>
        </w:rPr>
        <w:t>. 质疑</w:t>
      </w:r>
    </w:p>
    <w:p w14:paraId="044C27C5">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.1</w:t>
      </w:r>
      <w:r>
        <w:rPr>
          <w:rFonts w:ascii="宋体" w:hAnsi="宋体" w:cs="仿宋_GB2312"/>
          <w:sz w:val="24"/>
        </w:rPr>
        <w:t>供应商认为</w:t>
      </w:r>
      <w:r>
        <w:rPr>
          <w:rFonts w:hint="eastAsia" w:ascii="宋体" w:hAnsi="宋体" w:cs="仿宋_GB2312"/>
          <w:sz w:val="24"/>
        </w:rPr>
        <w:t>招标</w:t>
      </w:r>
      <w:r>
        <w:rPr>
          <w:rFonts w:ascii="宋体" w:hAnsi="宋体" w:cs="仿宋_GB2312"/>
          <w:sz w:val="24"/>
        </w:rPr>
        <w:t>文件、</w:t>
      </w:r>
      <w:r>
        <w:rPr>
          <w:rFonts w:hint="eastAsia" w:ascii="宋体" w:hAnsi="宋体" w:cs="仿宋_GB2312"/>
          <w:sz w:val="24"/>
        </w:rPr>
        <w:t>招标</w:t>
      </w:r>
      <w:r>
        <w:rPr>
          <w:rFonts w:ascii="宋体" w:hAnsi="宋体" w:cs="仿宋_GB2312"/>
          <w:sz w:val="24"/>
        </w:rPr>
        <w:t>过程、中标结果使自己的权益受到损害的，可以在知道或者应知其权益受到损害之日起7个工作日内，以书面形式向采购人、采购代理机构提出质疑。</w:t>
      </w:r>
    </w:p>
    <w:p w14:paraId="789E6371">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.2供应商应知其权益受到损害之日，是指：</w:t>
      </w:r>
    </w:p>
    <w:p w14:paraId="6F59CCB3">
      <w:pPr>
        <w:spacing w:before="120" w:line="360" w:lineRule="auto"/>
        <w:ind w:firstLine="480" w:firstLineChars="200"/>
        <w:rPr>
          <w:rFonts w:hint="eastAsia" w:ascii="宋体" w:hAnsi="宋体" w:cs="仿宋_GB2312"/>
          <w:sz w:val="24"/>
        </w:rPr>
      </w:pPr>
      <w:r>
        <w:rPr>
          <w:rFonts w:hint="eastAsia" w:ascii="宋体" w:hAnsi="宋体" w:cs="仿宋_GB2312"/>
          <w:sz w:val="24"/>
        </w:rPr>
        <w:t>（一）对本项目招标文件提出质疑的，为按要求购买获取招标文件之日；</w:t>
      </w:r>
    </w:p>
    <w:p w14:paraId="630EE989">
      <w:pPr>
        <w:spacing w:before="120" w:line="360" w:lineRule="auto"/>
        <w:ind w:firstLine="480" w:firstLineChars="200"/>
        <w:rPr>
          <w:rFonts w:hint="eastAsia" w:ascii="宋体" w:hAnsi="宋体" w:cs="仿宋_GB2312"/>
          <w:sz w:val="24"/>
        </w:rPr>
      </w:pPr>
      <w:r>
        <w:rPr>
          <w:rFonts w:hint="eastAsia" w:ascii="宋体" w:hAnsi="宋体" w:cs="仿宋_GB2312"/>
          <w:sz w:val="24"/>
        </w:rPr>
        <w:t>（二）对招标过程提出质疑的，为各采购程序环节结束之日；</w:t>
      </w:r>
    </w:p>
    <w:p w14:paraId="4E220602">
      <w:pPr>
        <w:spacing w:before="120" w:line="360" w:lineRule="auto"/>
        <w:ind w:firstLine="480" w:firstLineChars="200"/>
        <w:rPr>
          <w:rFonts w:hint="eastAsia" w:ascii="宋体" w:hAnsi="宋体" w:cs="仿宋_GB2312"/>
          <w:sz w:val="24"/>
        </w:rPr>
      </w:pPr>
      <w:r>
        <w:rPr>
          <w:rFonts w:hint="eastAsia" w:ascii="宋体" w:hAnsi="宋体" w:cs="仿宋_GB2312"/>
          <w:sz w:val="24"/>
        </w:rPr>
        <w:t>（三）对中标结果提出质疑的，为中标结果公告期限届满之日。</w:t>
      </w:r>
    </w:p>
    <w:p w14:paraId="0A4D6162">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 xml:space="preserve">.3 </w:t>
      </w:r>
      <w:r>
        <w:rPr>
          <w:rFonts w:ascii="宋体" w:hAnsi="宋体" w:cs="仿宋_GB2312"/>
          <w:sz w:val="24"/>
        </w:rPr>
        <w:t>提出质疑的供应商</w:t>
      </w:r>
      <w:r>
        <w:rPr>
          <w:rFonts w:hint="eastAsia" w:ascii="宋体" w:hAnsi="宋体" w:cs="仿宋_GB2312"/>
          <w:sz w:val="24"/>
        </w:rPr>
        <w:t>（简称质疑供应商）</w:t>
      </w:r>
      <w:r>
        <w:rPr>
          <w:rFonts w:ascii="宋体" w:hAnsi="宋体" w:cs="仿宋_GB2312"/>
          <w:sz w:val="24"/>
        </w:rPr>
        <w:t>应当是参与所质疑项目采购活动的供应商。潜在供应商已</w:t>
      </w:r>
      <w:r>
        <w:rPr>
          <w:rFonts w:hint="eastAsia" w:ascii="宋体" w:hAnsi="宋体" w:cs="仿宋_GB2312"/>
          <w:sz w:val="24"/>
        </w:rPr>
        <w:t>按要求购买招标</w:t>
      </w:r>
      <w:r>
        <w:rPr>
          <w:rFonts w:ascii="宋体" w:hAnsi="宋体" w:cs="仿宋_GB2312"/>
          <w:sz w:val="24"/>
        </w:rPr>
        <w:t>文件的，可以</w:t>
      </w:r>
      <w:r>
        <w:rPr>
          <w:rFonts w:hint="eastAsia" w:ascii="宋体" w:hAnsi="宋体" w:cs="仿宋_GB2312"/>
          <w:sz w:val="24"/>
        </w:rPr>
        <w:t>按规定对招标</w:t>
      </w:r>
      <w:r>
        <w:rPr>
          <w:rFonts w:ascii="宋体" w:hAnsi="宋体" w:cs="仿宋_GB2312"/>
          <w:sz w:val="24"/>
        </w:rPr>
        <w:t>文件提出质疑。供应商</w:t>
      </w:r>
      <w:r>
        <w:rPr>
          <w:rFonts w:hint="eastAsia" w:ascii="宋体" w:hAnsi="宋体" w:cs="仿宋_GB2312"/>
          <w:sz w:val="24"/>
        </w:rPr>
        <w:t>应</w:t>
      </w:r>
      <w:r>
        <w:rPr>
          <w:rFonts w:ascii="宋体" w:hAnsi="宋体" w:cs="仿宋_GB2312"/>
          <w:sz w:val="24"/>
        </w:rPr>
        <w:t>在法定质疑期内一次性提出针对同一采购程序环节的质疑。</w:t>
      </w:r>
      <w:r>
        <w:rPr>
          <w:rFonts w:hint="eastAsia" w:ascii="宋体" w:hAnsi="宋体" w:cs="仿宋_GB2312"/>
          <w:sz w:val="24"/>
        </w:rPr>
        <w:t>质疑期外提出的质疑及针对同一采购程序环节非“一次性提出”的质疑，采购代理机构将不予受理。</w:t>
      </w:r>
    </w:p>
    <w:p w14:paraId="559D9A3B">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w:t>
      </w:r>
      <w:r>
        <w:rPr>
          <w:rFonts w:ascii="宋体" w:hAnsi="宋体" w:cs="仿宋_GB2312"/>
          <w:sz w:val="24"/>
        </w:rPr>
        <w:t>4供应商提出质疑应当提交质疑函和必要的证明材料。质疑函</w:t>
      </w:r>
      <w:r>
        <w:rPr>
          <w:rFonts w:hint="eastAsia" w:ascii="宋体" w:hAnsi="宋体" w:cs="仿宋_GB2312"/>
          <w:sz w:val="24"/>
        </w:rPr>
        <w:t>的必备</w:t>
      </w:r>
      <w:r>
        <w:rPr>
          <w:rFonts w:ascii="宋体" w:hAnsi="宋体" w:cs="仿宋_GB2312"/>
          <w:sz w:val="24"/>
        </w:rPr>
        <w:t>内容：</w:t>
      </w:r>
    </w:p>
    <w:p w14:paraId="1A32BB07">
      <w:pPr>
        <w:spacing w:before="120" w:line="360" w:lineRule="auto"/>
        <w:ind w:firstLine="480" w:firstLineChars="200"/>
        <w:rPr>
          <w:rFonts w:hint="eastAsia" w:ascii="宋体" w:hAnsi="宋体" w:cs="仿宋_GB2312"/>
          <w:sz w:val="24"/>
        </w:rPr>
      </w:pPr>
      <w:r>
        <w:rPr>
          <w:rFonts w:ascii="宋体" w:hAnsi="宋体" w:cs="仿宋_GB2312"/>
          <w:sz w:val="24"/>
        </w:rPr>
        <w:t>（一）供应商的姓名或者名称、地址、邮编、联系人及联系电话；</w:t>
      </w:r>
    </w:p>
    <w:p w14:paraId="273DBD1B">
      <w:pPr>
        <w:spacing w:before="120" w:line="360" w:lineRule="auto"/>
        <w:ind w:firstLine="480" w:firstLineChars="200"/>
        <w:rPr>
          <w:rFonts w:hint="eastAsia" w:ascii="宋体" w:hAnsi="宋体" w:cs="仿宋_GB2312"/>
          <w:sz w:val="24"/>
        </w:rPr>
      </w:pPr>
      <w:r>
        <w:rPr>
          <w:rFonts w:ascii="宋体" w:hAnsi="宋体" w:cs="仿宋_GB2312"/>
          <w:sz w:val="24"/>
        </w:rPr>
        <w:t>（二）质疑项目的名称、编号；</w:t>
      </w:r>
    </w:p>
    <w:p w14:paraId="068C8C2E">
      <w:pPr>
        <w:spacing w:before="120" w:line="360" w:lineRule="auto"/>
        <w:ind w:firstLine="480" w:firstLineChars="200"/>
        <w:rPr>
          <w:rFonts w:hint="eastAsia" w:ascii="宋体" w:hAnsi="宋体" w:cs="仿宋_GB2312"/>
          <w:sz w:val="24"/>
        </w:rPr>
      </w:pPr>
      <w:r>
        <w:rPr>
          <w:rFonts w:ascii="宋体" w:hAnsi="宋体" w:cs="仿宋_GB2312"/>
          <w:sz w:val="24"/>
        </w:rPr>
        <w:t>（三）具体、明确的质疑事项和与质疑事项相关的请求；</w:t>
      </w:r>
    </w:p>
    <w:p w14:paraId="58EA6C3E">
      <w:pPr>
        <w:spacing w:before="120" w:line="360" w:lineRule="auto"/>
        <w:ind w:firstLine="480" w:firstLineChars="200"/>
        <w:rPr>
          <w:rFonts w:hint="eastAsia" w:ascii="宋体" w:hAnsi="宋体" w:cs="仿宋_GB2312"/>
          <w:sz w:val="24"/>
        </w:rPr>
      </w:pPr>
      <w:r>
        <w:rPr>
          <w:rFonts w:ascii="宋体" w:hAnsi="宋体" w:cs="仿宋_GB2312"/>
          <w:sz w:val="24"/>
        </w:rPr>
        <w:t>（四）事实依据；</w:t>
      </w:r>
    </w:p>
    <w:p w14:paraId="344774D2">
      <w:pPr>
        <w:spacing w:before="120" w:line="360" w:lineRule="auto"/>
        <w:ind w:firstLine="480" w:firstLineChars="200"/>
        <w:rPr>
          <w:rFonts w:hint="eastAsia" w:ascii="宋体" w:hAnsi="宋体" w:cs="仿宋_GB2312"/>
          <w:sz w:val="24"/>
        </w:rPr>
      </w:pPr>
      <w:r>
        <w:rPr>
          <w:rFonts w:ascii="宋体" w:hAnsi="宋体" w:cs="仿宋_GB2312"/>
          <w:sz w:val="24"/>
        </w:rPr>
        <w:t>（五）必要的法律依据；</w:t>
      </w:r>
    </w:p>
    <w:p w14:paraId="34595E27">
      <w:pPr>
        <w:spacing w:before="120" w:line="360" w:lineRule="auto"/>
        <w:ind w:firstLine="480" w:firstLineChars="200"/>
        <w:rPr>
          <w:rFonts w:hint="eastAsia" w:ascii="宋体" w:hAnsi="宋体" w:cs="仿宋_GB2312"/>
          <w:sz w:val="24"/>
        </w:rPr>
      </w:pPr>
      <w:r>
        <w:rPr>
          <w:rFonts w:ascii="宋体" w:hAnsi="宋体" w:cs="仿宋_GB2312"/>
          <w:sz w:val="24"/>
        </w:rPr>
        <w:t>（六）提出质疑的日期。</w:t>
      </w:r>
    </w:p>
    <w:p w14:paraId="637DCB0B">
      <w:pPr>
        <w:spacing w:before="120" w:line="360" w:lineRule="auto"/>
        <w:ind w:firstLine="480" w:firstLineChars="200"/>
        <w:rPr>
          <w:rFonts w:hint="eastAsia" w:ascii="宋体" w:hAnsi="宋体" w:cs="仿宋_GB2312"/>
          <w:sz w:val="24"/>
        </w:rPr>
      </w:pPr>
      <w:r>
        <w:rPr>
          <w:rFonts w:ascii="宋体" w:hAnsi="宋体" w:cs="仿宋_GB2312"/>
          <w:sz w:val="24"/>
        </w:rPr>
        <w:t>供应商为自然人的，应当由本人签字；供应商为法人或者其他组织的，应当由法定代表人、主要负责人，或者其授权代表签字或者盖章，并加盖公章。</w:t>
      </w:r>
    </w:p>
    <w:p w14:paraId="6BE34CC5">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w:t>
      </w:r>
      <w:r>
        <w:rPr>
          <w:rFonts w:ascii="宋体" w:hAnsi="宋体" w:cs="仿宋_GB2312"/>
          <w:sz w:val="24"/>
        </w:rPr>
        <w:t>5</w:t>
      </w:r>
      <w:r>
        <w:rPr>
          <w:rFonts w:hint="eastAsia" w:ascii="宋体" w:hAnsi="宋体" w:cs="仿宋_GB2312"/>
          <w:sz w:val="24"/>
        </w:rPr>
        <w:t xml:space="preserve"> 采购人、采购代理机构收到的质疑函不符合本须知</w:t>
      </w:r>
      <w:r>
        <w:rPr>
          <w:rFonts w:ascii="宋体" w:hAnsi="宋体" w:cs="仿宋_GB2312"/>
          <w:sz w:val="24"/>
        </w:rPr>
        <w:t>28</w:t>
      </w:r>
      <w:r>
        <w:rPr>
          <w:rFonts w:hint="eastAsia" w:ascii="宋体" w:hAnsi="宋体" w:cs="仿宋_GB2312"/>
          <w:sz w:val="24"/>
        </w:rPr>
        <w:t>.</w:t>
      </w:r>
      <w:r>
        <w:rPr>
          <w:rFonts w:ascii="宋体" w:hAnsi="宋体" w:cs="仿宋_GB2312"/>
          <w:sz w:val="24"/>
        </w:rPr>
        <w:t>4</w:t>
      </w:r>
      <w:r>
        <w:rPr>
          <w:rFonts w:hint="eastAsia" w:ascii="宋体" w:hAnsi="宋体" w:cs="仿宋_GB2312"/>
          <w:sz w:val="24"/>
        </w:rPr>
        <w:t>条规定的，将一次性书面告知质疑供应商进行补正。质疑供应商应当在</w:t>
      </w:r>
      <w:bookmarkStart w:id="17" w:name="OLE_LINK15"/>
      <w:bookmarkStart w:id="18" w:name="OLE_LINK16"/>
      <w:r>
        <w:rPr>
          <w:rFonts w:hint="eastAsia" w:ascii="宋体" w:hAnsi="宋体" w:cs="仿宋_GB2312"/>
          <w:sz w:val="24"/>
        </w:rPr>
        <w:t>法定质疑期限内</w:t>
      </w:r>
      <w:bookmarkEnd w:id="17"/>
      <w:bookmarkEnd w:id="18"/>
      <w:r>
        <w:rPr>
          <w:rFonts w:hint="eastAsia" w:ascii="宋体" w:hAnsi="宋体" w:cs="仿宋_GB2312"/>
          <w:sz w:val="24"/>
        </w:rPr>
        <w:t>进行补正并重新提交质疑函。未按照法定质疑期限内进行补正或者补正后仍不符合规定的，质疑不予受理。</w:t>
      </w:r>
    </w:p>
    <w:p w14:paraId="0A05115D">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w:t>
      </w:r>
      <w:r>
        <w:rPr>
          <w:rFonts w:ascii="宋体" w:hAnsi="宋体" w:cs="仿宋_GB2312"/>
          <w:sz w:val="24"/>
        </w:rPr>
        <w:t>6</w:t>
      </w:r>
      <w:r>
        <w:rPr>
          <w:rFonts w:hint="eastAsia" w:ascii="宋体" w:hAnsi="宋体" w:cs="仿宋_GB2312"/>
          <w:sz w:val="24"/>
        </w:rPr>
        <w:t xml:space="preserve"> 接收质疑函的方式、联系部门、联系电话和通讯地址详见第二章“资料表”。</w:t>
      </w:r>
    </w:p>
    <w:p w14:paraId="7F77D08F">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w:t>
      </w:r>
      <w:r>
        <w:rPr>
          <w:rFonts w:ascii="宋体" w:hAnsi="宋体" w:cs="仿宋_GB2312"/>
          <w:sz w:val="24"/>
        </w:rPr>
        <w:t>7采购人</w:t>
      </w:r>
      <w:r>
        <w:rPr>
          <w:rFonts w:hint="eastAsia" w:ascii="宋体" w:hAnsi="宋体" w:cs="仿宋_GB2312"/>
          <w:sz w:val="24"/>
        </w:rPr>
        <w:t>、</w:t>
      </w:r>
      <w:r>
        <w:rPr>
          <w:rFonts w:ascii="宋体" w:hAnsi="宋体" w:cs="仿宋_GB2312"/>
          <w:sz w:val="24"/>
        </w:rPr>
        <w:t>采购代理机构在收到质疑函后7个工作日内作出答复，并以书面形式通知质疑</w:t>
      </w:r>
      <w:r>
        <w:rPr>
          <w:rFonts w:hint="eastAsia" w:ascii="宋体" w:hAnsi="宋体" w:cs="仿宋_GB2312"/>
          <w:sz w:val="24"/>
        </w:rPr>
        <w:t>供应商</w:t>
      </w:r>
      <w:r>
        <w:rPr>
          <w:rFonts w:ascii="宋体" w:hAnsi="宋体" w:cs="仿宋_GB2312"/>
          <w:sz w:val="24"/>
        </w:rPr>
        <w:t>和其他有关</w:t>
      </w:r>
      <w:r>
        <w:rPr>
          <w:rFonts w:hint="eastAsia" w:ascii="宋体" w:hAnsi="宋体" w:cs="仿宋_GB2312"/>
          <w:sz w:val="24"/>
        </w:rPr>
        <w:t>供应商，但质疑答复的内容不涉及商业秘密。</w:t>
      </w:r>
    </w:p>
    <w:p w14:paraId="3288EB7F">
      <w:pPr>
        <w:pStyle w:val="36"/>
        <w:spacing w:line="360" w:lineRule="auto"/>
        <w:ind w:firstLine="0" w:firstLineChars="0"/>
      </w:pPr>
    </w:p>
    <w:p w14:paraId="49BF3031">
      <w:pPr>
        <w:autoSpaceDE w:val="0"/>
        <w:autoSpaceDN w:val="0"/>
        <w:adjustRightInd w:val="0"/>
        <w:spacing w:line="360" w:lineRule="auto"/>
        <w:jc w:val="center"/>
        <w:outlineLvl w:val="1"/>
        <w:rPr>
          <w:rFonts w:hint="eastAsia" w:ascii="宋体" w:hAnsi="宋体" w:cs="宋体"/>
          <w:b/>
          <w:bCs/>
          <w:kern w:val="0"/>
          <w:sz w:val="24"/>
          <w:lang w:val="zh-CN"/>
        </w:rPr>
      </w:pPr>
      <w:r>
        <w:rPr>
          <w:rFonts w:hint="eastAsia" w:ascii="宋体" w:hAnsi="宋体" w:cs="宋体"/>
          <w:b/>
          <w:bCs/>
          <w:kern w:val="0"/>
          <w:sz w:val="24"/>
          <w:lang w:val="zh-CN"/>
        </w:rPr>
        <w:t>（</w:t>
      </w:r>
      <w:r>
        <w:rPr>
          <w:rFonts w:hint="eastAsia" w:ascii="宋体" w:hAnsi="宋体" w:cs="宋体"/>
          <w:b/>
          <w:bCs/>
          <w:kern w:val="0"/>
          <w:sz w:val="24"/>
        </w:rPr>
        <w:t>九</w:t>
      </w:r>
      <w:r>
        <w:rPr>
          <w:rFonts w:hint="eastAsia" w:ascii="宋体" w:hAnsi="宋体" w:cs="宋体"/>
          <w:b/>
          <w:bCs/>
          <w:kern w:val="0"/>
          <w:sz w:val="24"/>
          <w:lang w:val="zh-CN"/>
        </w:rPr>
        <w:t>）其他需注意事项</w:t>
      </w:r>
    </w:p>
    <w:p w14:paraId="46A8A576">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投标人应保证投标资料的真实性，投标人提供的所有数据和内容应当保证是真实有效的。投标人中标后，采购人有权对此进行核实，并对中标人履约能力进行考核，如有虚假情况或履约能力达不到采购人要求，采购人有权取消其中标资格或单方解除合同。</w:t>
      </w:r>
    </w:p>
    <w:bookmarkEnd w:id="4"/>
    <w:p w14:paraId="4EE07BA7">
      <w:pPr>
        <w:spacing w:line="360" w:lineRule="auto"/>
        <w:rPr>
          <w:rFonts w:hint="eastAsia" w:ascii="宋体" w:hAnsi="宋体"/>
          <w:b/>
          <w:sz w:val="24"/>
        </w:rPr>
      </w:pPr>
      <w:r>
        <w:rPr>
          <w:rFonts w:hint="eastAsia" w:ascii="宋体" w:hAnsi="宋体"/>
          <w:b/>
          <w:sz w:val="24"/>
        </w:rPr>
        <w:t xml:space="preserve"> </w:t>
      </w:r>
      <w:r>
        <w:rPr>
          <w:rFonts w:hint="eastAsia" w:ascii="宋体" w:hAnsi="宋体"/>
          <w:b/>
          <w:sz w:val="24"/>
        </w:rPr>
        <w:br w:type="page"/>
      </w:r>
    </w:p>
    <w:p w14:paraId="14F4A311">
      <w:pPr>
        <w:spacing w:line="360" w:lineRule="auto"/>
        <w:jc w:val="center"/>
        <w:outlineLvl w:val="0"/>
        <w:rPr>
          <w:b/>
        </w:rPr>
      </w:pPr>
      <w:r>
        <w:rPr>
          <w:rFonts w:hint="eastAsia" w:ascii="宋体" w:hAnsi="宋体"/>
          <w:b/>
          <w:bCs/>
          <w:kern w:val="0"/>
          <w:sz w:val="36"/>
          <w:szCs w:val="36"/>
        </w:rPr>
        <w:t xml:space="preserve">第四章 </w:t>
      </w:r>
      <w:r>
        <w:rPr>
          <w:rFonts w:ascii="宋体" w:hAnsi="宋体"/>
          <w:b/>
          <w:bCs/>
          <w:kern w:val="0"/>
          <w:sz w:val="36"/>
          <w:szCs w:val="36"/>
        </w:rPr>
        <w:t xml:space="preserve"> </w:t>
      </w:r>
      <w:r>
        <w:rPr>
          <w:rFonts w:hint="eastAsia" w:ascii="宋体" w:hAnsi="宋体"/>
          <w:b/>
          <w:bCs/>
          <w:kern w:val="0"/>
          <w:sz w:val="36"/>
          <w:szCs w:val="36"/>
        </w:rPr>
        <w:t>项目需求</w:t>
      </w:r>
    </w:p>
    <w:p w14:paraId="0C055E11">
      <w:pPr>
        <w:pStyle w:val="8"/>
        <w:spacing w:line="360" w:lineRule="auto"/>
        <w:rPr>
          <w:rFonts w:hint="eastAsia"/>
          <w:b/>
        </w:rPr>
      </w:pPr>
    </w:p>
    <w:p w14:paraId="44F65923">
      <w:pPr>
        <w:tabs>
          <w:tab w:val="left" w:pos="1560"/>
        </w:tabs>
        <w:adjustRightInd w:val="0"/>
        <w:snapToGrid w:val="0"/>
        <w:spacing w:line="360" w:lineRule="auto"/>
        <w:jc w:val="center"/>
        <w:outlineLvl w:val="1"/>
        <w:rPr>
          <w:rFonts w:hint="eastAsia" w:ascii="宋体" w:hAnsi="宋体"/>
          <w:b/>
          <w:sz w:val="32"/>
          <w:szCs w:val="32"/>
        </w:rPr>
      </w:pPr>
      <w:r>
        <w:rPr>
          <w:rFonts w:hint="eastAsia" w:ascii="宋体" w:hAnsi="宋体"/>
          <w:b/>
          <w:sz w:val="32"/>
          <w:szCs w:val="32"/>
        </w:rPr>
        <w:t>一</w:t>
      </w:r>
      <w:r>
        <w:rPr>
          <w:rFonts w:ascii="宋体" w:hAnsi="宋体"/>
          <w:b/>
          <w:sz w:val="32"/>
          <w:szCs w:val="32"/>
        </w:rPr>
        <w:t>、</w:t>
      </w:r>
      <w:r>
        <w:rPr>
          <w:rFonts w:hint="eastAsia" w:ascii="宋体" w:hAnsi="宋体"/>
          <w:b/>
          <w:sz w:val="32"/>
          <w:szCs w:val="32"/>
        </w:rPr>
        <w:t>项目需求一览表</w:t>
      </w:r>
    </w:p>
    <w:p w14:paraId="0F009442">
      <w:pPr>
        <w:adjustRightInd w:val="0"/>
        <w:snapToGrid w:val="0"/>
        <w:spacing w:line="360" w:lineRule="auto"/>
        <w:rPr>
          <w:rFonts w:hint="eastAsia" w:ascii="宋体" w:hAnsi="宋体"/>
          <w:b/>
          <w:sz w:val="30"/>
          <w:szCs w:val="30"/>
        </w:rPr>
      </w:pPr>
    </w:p>
    <w:tbl>
      <w:tblPr>
        <w:tblStyle w:val="37"/>
        <w:tblW w:w="828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1924"/>
        <w:gridCol w:w="833"/>
        <w:gridCol w:w="2227"/>
        <w:gridCol w:w="2540"/>
      </w:tblGrid>
      <w:tr w14:paraId="4C83F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vAlign w:val="center"/>
          </w:tcPr>
          <w:p w14:paraId="24445E00">
            <w:pPr>
              <w:jc w:val="center"/>
              <w:rPr>
                <w:rFonts w:ascii="宋体" w:hAnsi="Bookman Old Style"/>
                <w:sz w:val="24"/>
              </w:rPr>
            </w:pPr>
            <w:r>
              <w:rPr>
                <w:rFonts w:hint="eastAsia" w:ascii="宋体" w:hAnsi="Bookman Old Style"/>
                <w:sz w:val="24"/>
              </w:rPr>
              <w:t>包号</w:t>
            </w:r>
          </w:p>
        </w:tc>
        <w:tc>
          <w:tcPr>
            <w:tcW w:w="1924" w:type="dxa"/>
            <w:vAlign w:val="center"/>
          </w:tcPr>
          <w:p w14:paraId="6DD6FE6A">
            <w:pPr>
              <w:jc w:val="center"/>
              <w:rPr>
                <w:rFonts w:ascii="宋体" w:hAnsi="Bookman Old Style"/>
                <w:sz w:val="24"/>
              </w:rPr>
            </w:pPr>
            <w:r>
              <w:rPr>
                <w:rFonts w:hint="eastAsia" w:ascii="宋体" w:hAnsi="Bookman Old Style"/>
                <w:sz w:val="24"/>
              </w:rPr>
              <w:t>货物名称</w:t>
            </w:r>
          </w:p>
        </w:tc>
        <w:tc>
          <w:tcPr>
            <w:tcW w:w="833" w:type="dxa"/>
            <w:vAlign w:val="center"/>
          </w:tcPr>
          <w:p w14:paraId="6BEB0F3B">
            <w:pPr>
              <w:jc w:val="center"/>
              <w:rPr>
                <w:rFonts w:ascii="宋体" w:hAnsi="Bookman Old Style"/>
                <w:sz w:val="24"/>
              </w:rPr>
            </w:pPr>
            <w:r>
              <w:rPr>
                <w:rFonts w:hint="eastAsia" w:ascii="宋体" w:hAnsi="Bookman Old Style"/>
                <w:sz w:val="24"/>
              </w:rPr>
              <w:t>数量</w:t>
            </w:r>
          </w:p>
        </w:tc>
        <w:tc>
          <w:tcPr>
            <w:tcW w:w="2227" w:type="dxa"/>
            <w:vAlign w:val="center"/>
          </w:tcPr>
          <w:p w14:paraId="33B44BD6">
            <w:pPr>
              <w:jc w:val="center"/>
              <w:rPr>
                <w:rFonts w:ascii="宋体" w:hAnsi="Bookman Old Style"/>
                <w:sz w:val="24"/>
              </w:rPr>
            </w:pPr>
            <w:r>
              <w:rPr>
                <w:rFonts w:hint="eastAsia" w:ascii="宋体" w:hAnsi="Bookman Old Style"/>
                <w:sz w:val="24"/>
              </w:rPr>
              <w:t>交货期</w:t>
            </w:r>
          </w:p>
        </w:tc>
        <w:tc>
          <w:tcPr>
            <w:tcW w:w="2540" w:type="dxa"/>
            <w:vAlign w:val="center"/>
          </w:tcPr>
          <w:p w14:paraId="4E49A0B2">
            <w:pPr>
              <w:jc w:val="center"/>
              <w:rPr>
                <w:rFonts w:ascii="宋体" w:hAnsi="Bookman Old Style"/>
                <w:sz w:val="24"/>
              </w:rPr>
            </w:pPr>
            <w:r>
              <w:rPr>
                <w:rFonts w:hint="eastAsia" w:ascii="宋体" w:hAnsi="Bookman Old Style"/>
                <w:sz w:val="24"/>
              </w:rPr>
              <w:t>项目现场</w:t>
            </w:r>
          </w:p>
          <w:p w14:paraId="26CE1EE5">
            <w:pPr>
              <w:jc w:val="center"/>
              <w:rPr>
                <w:rFonts w:ascii="宋体" w:hAnsi="Bookman Old Style"/>
                <w:sz w:val="24"/>
                <w:shd w:val="pct10" w:color="auto" w:fill="FFFFFF"/>
              </w:rPr>
            </w:pPr>
            <w:r>
              <w:rPr>
                <w:rFonts w:hint="eastAsia" w:ascii="宋体" w:hAnsi="Bookman Old Style"/>
                <w:sz w:val="24"/>
              </w:rPr>
              <w:t>（交货地点）</w:t>
            </w:r>
          </w:p>
        </w:tc>
      </w:tr>
      <w:tr w14:paraId="11F04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Merge w:val="restart"/>
            <w:vAlign w:val="center"/>
          </w:tcPr>
          <w:p w14:paraId="7E6675EA">
            <w:pPr>
              <w:jc w:val="center"/>
              <w:rPr>
                <w:rFonts w:hint="eastAsia" w:ascii="宋体" w:hAnsi="宋体" w:cs="宋体"/>
                <w:sz w:val="24"/>
              </w:rPr>
            </w:pPr>
            <w:r>
              <w:rPr>
                <w:rFonts w:hint="eastAsia" w:ascii="宋体" w:hAnsi="宋体" w:cs="宋体"/>
                <w:sz w:val="24"/>
              </w:rPr>
              <w:t>1</w:t>
            </w:r>
          </w:p>
        </w:tc>
        <w:tc>
          <w:tcPr>
            <w:tcW w:w="1924" w:type="dxa"/>
            <w:vAlign w:val="center"/>
          </w:tcPr>
          <w:p w14:paraId="3BC698E1">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Times New Roman"/>
                <w:b/>
                <w:bCs/>
                <w:sz w:val="24"/>
                <w:szCs w:val="24"/>
                <w:lang w:eastAsia="zh-CN"/>
              </w:rPr>
              <w:t>植物环境动态监测站</w:t>
            </w:r>
          </w:p>
        </w:tc>
        <w:tc>
          <w:tcPr>
            <w:tcW w:w="833" w:type="dxa"/>
            <w:vAlign w:val="center"/>
          </w:tcPr>
          <w:p w14:paraId="4CE3C7C7">
            <w:pPr>
              <w:spacing w:line="360" w:lineRule="auto"/>
              <w:jc w:val="center"/>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套</w:t>
            </w:r>
          </w:p>
        </w:tc>
        <w:tc>
          <w:tcPr>
            <w:tcW w:w="2227" w:type="dxa"/>
            <w:vAlign w:val="center"/>
          </w:tcPr>
          <w:p w14:paraId="5974078A">
            <w:pPr>
              <w:spacing w:line="360" w:lineRule="auto"/>
              <w:jc w:val="center"/>
              <w:rPr>
                <w:rFonts w:hint="eastAsia" w:ascii="宋体" w:hAnsi="宋体" w:cs="宋体"/>
                <w:sz w:val="24"/>
                <w:szCs w:val="24"/>
              </w:rPr>
            </w:pPr>
            <w:r>
              <w:rPr>
                <w:rFonts w:hint="eastAsia" w:ascii="宋体" w:hAnsi="宋体" w:eastAsia="宋体" w:cs="宋体"/>
                <w:color w:val="000000" w:themeColor="text1"/>
                <w:kern w:val="0"/>
                <w:sz w:val="24"/>
                <w:szCs w:val="24"/>
                <w:lang w:val="de-DE"/>
                <w14:textFill>
                  <w14:solidFill>
                    <w14:schemeClr w14:val="tx1"/>
                  </w14:solidFill>
                </w14:textFill>
              </w:rPr>
              <w:t>合同签订后的</w:t>
            </w:r>
            <w:r>
              <w:rPr>
                <w:rFonts w:hint="eastAsia" w:ascii="宋体" w:hAnsi="宋体" w:eastAsia="宋体" w:cs="宋体"/>
                <w:color w:val="000000" w:themeColor="text1"/>
                <w:kern w:val="0"/>
                <w:sz w:val="24"/>
                <w:szCs w:val="24"/>
                <w14:textFill>
                  <w14:solidFill>
                    <w14:schemeClr w14:val="tx1"/>
                  </w14:solidFill>
                </w14:textFill>
              </w:rPr>
              <w:t>2个月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tc>
        <w:tc>
          <w:tcPr>
            <w:tcW w:w="2540" w:type="dxa"/>
            <w:vAlign w:val="center"/>
          </w:tcPr>
          <w:p w14:paraId="535228B3">
            <w:pPr>
              <w:spacing w:line="360" w:lineRule="auto"/>
              <w:jc w:val="center"/>
              <w:rPr>
                <w:rFonts w:hint="eastAsia" w:ascii="宋体" w:hAnsi="宋体" w:cs="宋体"/>
                <w:sz w:val="24"/>
                <w:szCs w:val="24"/>
              </w:rPr>
            </w:pPr>
            <w:r>
              <w:rPr>
                <w:rFonts w:ascii="宋体" w:hAnsi="Bookman Old Style"/>
                <w:sz w:val="24"/>
                <w:szCs w:val="24"/>
              </w:rPr>
              <w:t>中国科学院华南植物园</w:t>
            </w:r>
            <w:r>
              <w:rPr>
                <w:rFonts w:hint="eastAsia" w:ascii="宋体" w:hAnsi="Bookman Old Style"/>
                <w:sz w:val="24"/>
                <w:szCs w:val="24"/>
              </w:rPr>
              <w:t>指定地点</w:t>
            </w:r>
          </w:p>
        </w:tc>
      </w:tr>
      <w:tr w14:paraId="0F264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Merge w:val="continue"/>
            <w:vAlign w:val="center"/>
          </w:tcPr>
          <w:p w14:paraId="7D16B975">
            <w:pPr>
              <w:jc w:val="center"/>
              <w:rPr>
                <w:rFonts w:hint="eastAsia" w:ascii="宋体" w:hAnsi="宋体" w:cs="宋体"/>
                <w:sz w:val="24"/>
              </w:rPr>
            </w:pPr>
          </w:p>
        </w:tc>
        <w:tc>
          <w:tcPr>
            <w:tcW w:w="1924" w:type="dxa"/>
            <w:vAlign w:val="center"/>
          </w:tcPr>
          <w:p w14:paraId="3212123F">
            <w:pPr>
              <w:adjustRightInd w:val="0"/>
              <w:snapToGrid w:val="0"/>
              <w:spacing w:line="360" w:lineRule="auto"/>
              <w:jc w:val="center"/>
              <w:rPr>
                <w:rFonts w:hint="eastAsia" w:ascii="宋体" w:hAnsi="宋体" w:cs="宋体"/>
                <w:sz w:val="24"/>
                <w:szCs w:val="24"/>
                <w:lang w:eastAsia="zh-CN"/>
              </w:rPr>
            </w:pPr>
            <w:r>
              <w:rPr>
                <w:rFonts w:hint="eastAsia" w:ascii="宋体" w:hAnsi="宋体" w:eastAsia="宋体" w:cs="Times New Roman"/>
                <w:sz w:val="24"/>
                <w:szCs w:val="24"/>
                <w:lang w:eastAsia="zh-CN"/>
              </w:rPr>
              <w:t>植物原位生长水势测量仪</w:t>
            </w:r>
          </w:p>
        </w:tc>
        <w:tc>
          <w:tcPr>
            <w:tcW w:w="833" w:type="dxa"/>
            <w:vAlign w:val="center"/>
          </w:tcPr>
          <w:p w14:paraId="75AE2AB9">
            <w:pPr>
              <w:spacing w:line="36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1</w:t>
            </w:r>
            <w:r>
              <w:rPr>
                <w:rFonts w:hint="eastAsia" w:ascii="宋体" w:hAnsi="宋体" w:cs="宋体"/>
                <w:sz w:val="24"/>
                <w:szCs w:val="24"/>
              </w:rPr>
              <w:t>套</w:t>
            </w:r>
          </w:p>
        </w:tc>
        <w:tc>
          <w:tcPr>
            <w:tcW w:w="2227" w:type="dxa"/>
            <w:vAlign w:val="center"/>
          </w:tcPr>
          <w:p w14:paraId="68E4D0C4">
            <w:pPr>
              <w:spacing w:line="360" w:lineRule="auto"/>
              <w:jc w:val="center"/>
              <w:rPr>
                <w:rFonts w:hint="eastAsia" w:ascii="宋体" w:hAnsi="宋体" w:cs="宋体"/>
                <w:sz w:val="24"/>
                <w:szCs w:val="24"/>
              </w:rPr>
            </w:pPr>
            <w:r>
              <w:rPr>
                <w:rFonts w:hint="eastAsia" w:ascii="宋体" w:hAnsi="宋体" w:eastAsia="宋体" w:cs="宋体"/>
                <w:color w:val="000000" w:themeColor="text1"/>
                <w:kern w:val="0"/>
                <w:sz w:val="24"/>
                <w:szCs w:val="24"/>
                <w:lang w:val="de-DE"/>
                <w14:textFill>
                  <w14:solidFill>
                    <w14:schemeClr w14:val="tx1"/>
                  </w14:solidFill>
                </w14:textFill>
              </w:rPr>
              <w:t>合同签订后的</w:t>
            </w:r>
            <w:r>
              <w:rPr>
                <w:rFonts w:hint="eastAsia" w:ascii="宋体" w:hAnsi="宋体" w:eastAsia="宋体" w:cs="宋体"/>
                <w:color w:val="000000" w:themeColor="text1"/>
                <w:kern w:val="0"/>
                <w:sz w:val="24"/>
                <w:szCs w:val="24"/>
                <w14:textFill>
                  <w14:solidFill>
                    <w14:schemeClr w14:val="tx1"/>
                  </w14:solidFill>
                </w14:textFill>
              </w:rPr>
              <w:t>2个月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tc>
        <w:tc>
          <w:tcPr>
            <w:tcW w:w="2540" w:type="dxa"/>
            <w:vAlign w:val="center"/>
          </w:tcPr>
          <w:p w14:paraId="3154F63B">
            <w:pPr>
              <w:spacing w:line="360" w:lineRule="auto"/>
              <w:jc w:val="center"/>
              <w:rPr>
                <w:rFonts w:ascii="宋体" w:hAnsi="Bookman Old Style"/>
                <w:sz w:val="24"/>
                <w:szCs w:val="24"/>
              </w:rPr>
            </w:pPr>
            <w:r>
              <w:rPr>
                <w:rFonts w:ascii="宋体" w:hAnsi="Bookman Old Style"/>
                <w:sz w:val="24"/>
                <w:szCs w:val="24"/>
              </w:rPr>
              <w:t>中国科学院华南植物园</w:t>
            </w:r>
            <w:r>
              <w:rPr>
                <w:rFonts w:hint="eastAsia" w:ascii="宋体" w:hAnsi="Bookman Old Style"/>
                <w:sz w:val="24"/>
                <w:szCs w:val="24"/>
              </w:rPr>
              <w:t>指定地点</w:t>
            </w:r>
          </w:p>
        </w:tc>
      </w:tr>
      <w:tr w14:paraId="00733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14:paraId="5B20CF63">
            <w:pPr>
              <w:jc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1924" w:type="dxa"/>
            <w:vAlign w:val="center"/>
          </w:tcPr>
          <w:p w14:paraId="4DCB8B9E">
            <w:pPr>
              <w:adjustRightInd w:val="0"/>
              <w:snapToGrid w:val="0"/>
              <w:spacing w:line="360" w:lineRule="auto"/>
              <w:jc w:val="center"/>
              <w:rPr>
                <w:rFonts w:hint="eastAsia" w:ascii="宋体" w:hAnsi="宋体" w:cs="宋体"/>
                <w:sz w:val="24"/>
                <w:szCs w:val="24"/>
                <w:lang w:eastAsia="zh-CN"/>
              </w:rPr>
            </w:pPr>
            <w:r>
              <w:rPr>
                <w:rFonts w:hint="eastAsia" w:ascii="宋体" w:hAnsi="宋体" w:eastAsia="宋体" w:cs="Times New Roman"/>
                <w:sz w:val="24"/>
                <w:szCs w:val="24"/>
                <w:lang w:eastAsia="zh-CN"/>
              </w:rPr>
              <w:t>超高分辨率光谱仪</w:t>
            </w:r>
          </w:p>
        </w:tc>
        <w:tc>
          <w:tcPr>
            <w:tcW w:w="833" w:type="dxa"/>
            <w:vAlign w:val="center"/>
          </w:tcPr>
          <w:p w14:paraId="445EA215">
            <w:pPr>
              <w:spacing w:line="36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1</w:t>
            </w:r>
            <w:r>
              <w:rPr>
                <w:rFonts w:hint="eastAsia" w:ascii="宋体" w:hAnsi="宋体" w:cs="宋体"/>
                <w:sz w:val="24"/>
                <w:szCs w:val="24"/>
              </w:rPr>
              <w:t>套</w:t>
            </w:r>
          </w:p>
        </w:tc>
        <w:tc>
          <w:tcPr>
            <w:tcW w:w="2227" w:type="dxa"/>
            <w:vAlign w:val="center"/>
          </w:tcPr>
          <w:p w14:paraId="614C588A">
            <w:pPr>
              <w:spacing w:line="360" w:lineRule="auto"/>
              <w:jc w:val="center"/>
              <w:rPr>
                <w:rFonts w:hint="eastAsia" w:ascii="宋体" w:hAnsi="宋体" w:cs="宋体"/>
                <w:sz w:val="24"/>
                <w:szCs w:val="24"/>
              </w:rPr>
            </w:pPr>
            <w:r>
              <w:rPr>
                <w:rFonts w:hint="eastAsia" w:ascii="宋体" w:hAnsi="宋体" w:cs="宋体"/>
                <w:sz w:val="24"/>
                <w:szCs w:val="24"/>
              </w:rPr>
              <w:t>合同签订后的3个月内交货</w:t>
            </w:r>
          </w:p>
        </w:tc>
        <w:tc>
          <w:tcPr>
            <w:tcW w:w="2540" w:type="dxa"/>
            <w:vAlign w:val="center"/>
          </w:tcPr>
          <w:p w14:paraId="487F5EED">
            <w:pPr>
              <w:spacing w:line="360" w:lineRule="auto"/>
              <w:jc w:val="center"/>
              <w:rPr>
                <w:rFonts w:ascii="宋体" w:hAnsi="Bookman Old Style"/>
                <w:sz w:val="24"/>
                <w:szCs w:val="24"/>
              </w:rPr>
            </w:pPr>
            <w:r>
              <w:rPr>
                <w:rFonts w:ascii="宋体" w:hAnsi="Bookman Old Style"/>
                <w:sz w:val="24"/>
                <w:szCs w:val="24"/>
              </w:rPr>
              <w:t>中国科学院华南植物园</w:t>
            </w:r>
            <w:r>
              <w:rPr>
                <w:rFonts w:hint="eastAsia" w:ascii="宋体" w:hAnsi="Bookman Old Style"/>
                <w:sz w:val="24"/>
                <w:szCs w:val="24"/>
              </w:rPr>
              <w:t>指定地点</w:t>
            </w:r>
          </w:p>
        </w:tc>
      </w:tr>
      <w:tr w14:paraId="57B4C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14:paraId="7932A5C9">
            <w:pPr>
              <w:jc w:val="center"/>
              <w:rPr>
                <w:rFonts w:hint="eastAsia" w:ascii="宋体" w:hAnsi="宋体" w:eastAsia="宋体" w:cs="宋体"/>
                <w:sz w:val="24"/>
                <w:lang w:val="en-US" w:eastAsia="zh-CN"/>
              </w:rPr>
            </w:pPr>
            <w:r>
              <w:rPr>
                <w:rFonts w:hint="eastAsia" w:ascii="宋体" w:hAnsi="宋体" w:cs="宋体"/>
                <w:sz w:val="24"/>
                <w:lang w:val="en-US" w:eastAsia="zh-CN"/>
              </w:rPr>
              <w:t>3</w:t>
            </w:r>
          </w:p>
        </w:tc>
        <w:tc>
          <w:tcPr>
            <w:tcW w:w="1924" w:type="dxa"/>
            <w:vAlign w:val="center"/>
          </w:tcPr>
          <w:p w14:paraId="15679529">
            <w:pPr>
              <w:adjustRightInd w:val="0"/>
              <w:snapToGrid w:val="0"/>
              <w:spacing w:line="360" w:lineRule="auto"/>
              <w:jc w:val="center"/>
              <w:rPr>
                <w:rFonts w:hint="eastAsia" w:ascii="宋体" w:hAnsi="宋体" w:cs="宋体"/>
                <w:sz w:val="24"/>
                <w:szCs w:val="24"/>
                <w:lang w:eastAsia="zh-CN"/>
              </w:rPr>
            </w:pPr>
            <w:r>
              <w:rPr>
                <w:rFonts w:hint="eastAsia" w:ascii="宋体" w:hAnsi="宋体" w:eastAsia="宋体" w:cs="Times New Roman"/>
                <w:sz w:val="24"/>
                <w:szCs w:val="24"/>
                <w:lang w:eastAsia="zh-CN"/>
              </w:rPr>
              <w:t>土壤碳通量测量系统</w:t>
            </w:r>
          </w:p>
        </w:tc>
        <w:tc>
          <w:tcPr>
            <w:tcW w:w="833" w:type="dxa"/>
            <w:vAlign w:val="center"/>
          </w:tcPr>
          <w:p w14:paraId="51BB1BEC">
            <w:pPr>
              <w:spacing w:line="36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1</w:t>
            </w:r>
            <w:r>
              <w:rPr>
                <w:rFonts w:hint="eastAsia" w:ascii="宋体" w:hAnsi="宋体" w:cs="宋体"/>
                <w:sz w:val="24"/>
                <w:szCs w:val="24"/>
              </w:rPr>
              <w:t>套</w:t>
            </w:r>
          </w:p>
        </w:tc>
        <w:tc>
          <w:tcPr>
            <w:tcW w:w="2227" w:type="dxa"/>
            <w:vAlign w:val="center"/>
          </w:tcPr>
          <w:p w14:paraId="2CE2F7B4">
            <w:pPr>
              <w:spacing w:line="360" w:lineRule="auto"/>
              <w:jc w:val="center"/>
              <w:rPr>
                <w:rFonts w:hint="eastAsia" w:ascii="宋体" w:hAnsi="宋体" w:cs="宋体"/>
                <w:sz w:val="24"/>
                <w:szCs w:val="24"/>
              </w:rPr>
            </w:pPr>
            <w:r>
              <w:rPr>
                <w:rFonts w:hint="eastAsia" w:ascii="宋体" w:hAnsi="宋体" w:cs="宋体"/>
                <w:sz w:val="24"/>
                <w:szCs w:val="24"/>
              </w:rPr>
              <w:t>合同签订后的3个月内交货</w:t>
            </w:r>
          </w:p>
        </w:tc>
        <w:tc>
          <w:tcPr>
            <w:tcW w:w="2540" w:type="dxa"/>
            <w:vAlign w:val="center"/>
          </w:tcPr>
          <w:p w14:paraId="1E3FCF35">
            <w:pPr>
              <w:spacing w:line="360" w:lineRule="auto"/>
              <w:jc w:val="center"/>
              <w:rPr>
                <w:rFonts w:ascii="宋体" w:hAnsi="Bookman Old Style"/>
                <w:sz w:val="24"/>
                <w:szCs w:val="24"/>
              </w:rPr>
            </w:pPr>
            <w:r>
              <w:rPr>
                <w:rFonts w:ascii="宋体" w:hAnsi="Bookman Old Style"/>
                <w:sz w:val="24"/>
                <w:szCs w:val="24"/>
              </w:rPr>
              <w:t>中国科学院华南植物园</w:t>
            </w:r>
            <w:r>
              <w:rPr>
                <w:rFonts w:hint="eastAsia" w:ascii="宋体" w:hAnsi="Bookman Old Style"/>
                <w:sz w:val="24"/>
                <w:szCs w:val="24"/>
              </w:rPr>
              <w:t>指定地点</w:t>
            </w:r>
          </w:p>
        </w:tc>
      </w:tr>
      <w:tr w14:paraId="1F022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14:paraId="797E12FF">
            <w:pPr>
              <w:jc w:val="center"/>
              <w:rPr>
                <w:rFonts w:hint="eastAsia" w:ascii="宋体" w:hAnsi="宋体" w:eastAsia="宋体" w:cs="宋体"/>
                <w:sz w:val="24"/>
                <w:lang w:val="en-US" w:eastAsia="zh-CN"/>
              </w:rPr>
            </w:pPr>
            <w:r>
              <w:rPr>
                <w:rFonts w:hint="eastAsia" w:ascii="宋体" w:hAnsi="宋体" w:cs="宋体"/>
                <w:sz w:val="24"/>
                <w:lang w:val="en-US" w:eastAsia="zh-CN"/>
              </w:rPr>
              <w:t>4</w:t>
            </w:r>
          </w:p>
        </w:tc>
        <w:tc>
          <w:tcPr>
            <w:tcW w:w="1924" w:type="dxa"/>
            <w:vAlign w:val="center"/>
          </w:tcPr>
          <w:p w14:paraId="02AEAF93">
            <w:pPr>
              <w:adjustRightInd w:val="0"/>
              <w:snapToGrid w:val="0"/>
              <w:spacing w:line="360" w:lineRule="auto"/>
              <w:jc w:val="center"/>
              <w:rPr>
                <w:rFonts w:hint="eastAsia" w:ascii="宋体" w:hAnsi="宋体" w:cs="宋体"/>
                <w:sz w:val="24"/>
                <w:szCs w:val="24"/>
                <w:lang w:eastAsia="zh-CN"/>
              </w:rPr>
            </w:pPr>
            <w:r>
              <w:rPr>
                <w:rFonts w:hint="eastAsia" w:ascii="宋体" w:hAnsi="宋体" w:eastAsia="宋体" w:cs="Times New Roman"/>
                <w:sz w:val="24"/>
                <w:szCs w:val="24"/>
                <w:lang w:eastAsia="zh-CN"/>
              </w:rPr>
              <w:t>多通道长期监测荧光仪</w:t>
            </w:r>
          </w:p>
        </w:tc>
        <w:tc>
          <w:tcPr>
            <w:tcW w:w="833" w:type="dxa"/>
            <w:vAlign w:val="center"/>
          </w:tcPr>
          <w:p w14:paraId="67337DAA">
            <w:pPr>
              <w:spacing w:line="36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1</w:t>
            </w:r>
            <w:r>
              <w:rPr>
                <w:rFonts w:hint="eastAsia" w:ascii="宋体" w:hAnsi="宋体" w:cs="宋体"/>
                <w:sz w:val="24"/>
                <w:szCs w:val="24"/>
              </w:rPr>
              <w:t>套</w:t>
            </w:r>
          </w:p>
        </w:tc>
        <w:tc>
          <w:tcPr>
            <w:tcW w:w="2227" w:type="dxa"/>
            <w:vAlign w:val="center"/>
          </w:tcPr>
          <w:p w14:paraId="4A53ED37">
            <w:pPr>
              <w:spacing w:line="360" w:lineRule="auto"/>
              <w:jc w:val="center"/>
              <w:rPr>
                <w:rFonts w:hint="eastAsia" w:ascii="宋体" w:hAnsi="宋体" w:cs="宋体"/>
                <w:sz w:val="24"/>
                <w:szCs w:val="24"/>
              </w:rPr>
            </w:pPr>
            <w:r>
              <w:rPr>
                <w:rFonts w:hint="eastAsia" w:ascii="宋体" w:hAnsi="宋体" w:cs="宋体"/>
                <w:sz w:val="24"/>
                <w:szCs w:val="24"/>
              </w:rPr>
              <w:t>签订合同后 90 天（日历日）内</w:t>
            </w:r>
          </w:p>
        </w:tc>
        <w:tc>
          <w:tcPr>
            <w:tcW w:w="2540" w:type="dxa"/>
            <w:vAlign w:val="center"/>
          </w:tcPr>
          <w:p w14:paraId="258265D9">
            <w:pPr>
              <w:spacing w:line="360" w:lineRule="auto"/>
              <w:jc w:val="center"/>
              <w:rPr>
                <w:rFonts w:ascii="宋体" w:hAnsi="Bookman Old Style"/>
                <w:sz w:val="24"/>
                <w:szCs w:val="24"/>
              </w:rPr>
            </w:pPr>
            <w:r>
              <w:rPr>
                <w:rFonts w:ascii="宋体" w:hAnsi="Bookman Old Style"/>
                <w:sz w:val="24"/>
                <w:szCs w:val="24"/>
              </w:rPr>
              <w:t>中国科学院华南植物园</w:t>
            </w:r>
            <w:r>
              <w:rPr>
                <w:rFonts w:hint="eastAsia" w:ascii="宋体" w:hAnsi="Bookman Old Style"/>
                <w:sz w:val="24"/>
                <w:szCs w:val="24"/>
              </w:rPr>
              <w:t>指定地点</w:t>
            </w:r>
          </w:p>
        </w:tc>
      </w:tr>
    </w:tbl>
    <w:p w14:paraId="3A8142FD">
      <w:pPr>
        <w:adjustRightInd w:val="0"/>
        <w:snapToGrid w:val="0"/>
        <w:jc w:val="center"/>
        <w:rPr>
          <w:rFonts w:hint="eastAsia" w:ascii="宋体" w:hAnsi="宋体" w:cs="宋体"/>
          <w:b/>
          <w:sz w:val="30"/>
          <w:szCs w:val="30"/>
        </w:rPr>
      </w:pPr>
    </w:p>
    <w:p w14:paraId="2147FD45">
      <w:pPr>
        <w:spacing w:line="360" w:lineRule="auto"/>
        <w:rPr>
          <w:b/>
          <w:sz w:val="24"/>
        </w:rPr>
      </w:pPr>
    </w:p>
    <w:p w14:paraId="599580D2">
      <w:pPr>
        <w:spacing w:line="360" w:lineRule="auto"/>
        <w:rPr>
          <w:b/>
          <w:sz w:val="24"/>
        </w:rPr>
      </w:pPr>
      <w:r>
        <w:rPr>
          <w:rFonts w:hint="eastAsia"/>
          <w:b/>
          <w:sz w:val="24"/>
        </w:rPr>
        <w:t>注：</w:t>
      </w:r>
    </w:p>
    <w:p w14:paraId="61CBF3FD">
      <w:pPr>
        <w:widowControl/>
        <w:numPr>
          <w:ilvl w:val="0"/>
          <w:numId w:val="3"/>
        </w:numPr>
        <w:snapToGrid w:val="0"/>
        <w:spacing w:line="360" w:lineRule="auto"/>
        <w:rPr>
          <w:rFonts w:hint="eastAsia" w:ascii="Bookman Old Style" w:hAnsi="Bookman Old Style"/>
          <w:b/>
          <w:sz w:val="24"/>
        </w:rPr>
      </w:pPr>
      <w:r>
        <w:rPr>
          <w:rFonts w:hint="eastAsia"/>
          <w:b/>
          <w:sz w:val="24"/>
        </w:rPr>
        <w:t>投标人须对上述投标内容中完整的一包进行投标响应，</w:t>
      </w:r>
      <w:r>
        <w:rPr>
          <w:rFonts w:hint="eastAsia" w:ascii="Bookman Old Style" w:hAnsi="Bookman Old Style"/>
          <w:b/>
          <w:sz w:val="24"/>
        </w:rPr>
        <w:t>不完整的投标将视为非响应性投标予以拒绝。</w:t>
      </w:r>
    </w:p>
    <w:p w14:paraId="363D07EC">
      <w:pPr>
        <w:widowControl/>
        <w:numPr>
          <w:ilvl w:val="0"/>
          <w:numId w:val="3"/>
        </w:numPr>
        <w:snapToGrid w:val="0"/>
        <w:spacing w:line="360" w:lineRule="auto"/>
        <w:rPr>
          <w:rFonts w:hint="eastAsia" w:ascii="Bookman Old Style" w:hAnsi="Bookman Old Style"/>
          <w:b/>
          <w:sz w:val="24"/>
        </w:rPr>
      </w:pPr>
      <w:r>
        <w:rPr>
          <w:rFonts w:hint="eastAsia" w:ascii="Bookman Old Style" w:hAnsi="Bookman Old Style"/>
          <w:b/>
          <w:sz w:val="24"/>
          <w:lang w:val="en-US" w:eastAsia="zh-CN"/>
        </w:rPr>
        <w:t>第一包核心产品：植物环境动态监测站</w:t>
      </w:r>
    </w:p>
    <w:p w14:paraId="685C2C64">
      <w:pPr>
        <w:widowControl/>
        <w:snapToGrid w:val="0"/>
        <w:spacing w:line="360" w:lineRule="auto"/>
        <w:rPr>
          <w:b/>
        </w:rPr>
      </w:pPr>
      <w:r>
        <w:rPr>
          <w:rFonts w:hint="eastAsia"/>
          <w:b/>
          <w:sz w:val="24"/>
        </w:rPr>
        <w:br w:type="page"/>
      </w:r>
    </w:p>
    <w:p w14:paraId="331FDF5B">
      <w:pPr>
        <w:keepNext/>
        <w:keepLines/>
        <w:spacing w:before="240" w:after="120" w:line="360" w:lineRule="auto"/>
        <w:jc w:val="center"/>
        <w:outlineLvl w:val="1"/>
        <w:rPr>
          <w:b/>
          <w:bCs/>
          <w:sz w:val="32"/>
          <w:szCs w:val="32"/>
        </w:rPr>
      </w:pPr>
      <w:r>
        <w:rPr>
          <w:rFonts w:hint="eastAsia"/>
          <w:b/>
          <w:bCs/>
          <w:sz w:val="32"/>
          <w:szCs w:val="32"/>
        </w:rPr>
        <w:t>二、总则</w:t>
      </w:r>
    </w:p>
    <w:p w14:paraId="63678822">
      <w:pPr>
        <w:spacing w:before="156" w:beforeLines="50" w:after="156" w:afterLines="50" w:line="360" w:lineRule="auto"/>
        <w:ind w:left="601" w:hanging="601"/>
        <w:rPr>
          <w:rFonts w:hint="eastAsia" w:ascii="宋体" w:hAnsi="宋体"/>
          <w:b/>
          <w:sz w:val="28"/>
        </w:rPr>
      </w:pPr>
      <w:r>
        <w:rPr>
          <w:rFonts w:ascii="宋体" w:hAnsi="宋体"/>
          <w:b/>
          <w:sz w:val="28"/>
        </w:rPr>
        <w:t>1</w:t>
      </w:r>
      <w:r>
        <w:rPr>
          <w:rFonts w:hint="eastAsia" w:ascii="宋体" w:hAnsi="宋体"/>
          <w:b/>
          <w:sz w:val="28"/>
        </w:rPr>
        <w:t>、投标要求</w:t>
      </w:r>
    </w:p>
    <w:p w14:paraId="73F17521">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287F2DA0">
      <w:pPr>
        <w:spacing w:line="360" w:lineRule="auto"/>
        <w:ind w:left="554" w:hanging="554" w:hangingChars="231"/>
        <w:rPr>
          <w:rFonts w:hint="eastAsia" w:ascii="宋体" w:hAnsi="宋体"/>
          <w:sz w:val="24"/>
        </w:rPr>
      </w:pPr>
      <w:r>
        <w:rPr>
          <w:rFonts w:hint="eastAsia" w:ascii="宋体" w:hAnsi="宋体"/>
          <w:sz w:val="24"/>
        </w:rPr>
        <w:t xml:space="preserve">1.2  </w:t>
      </w:r>
      <w:r>
        <w:rPr>
          <w:rFonts w:hint="eastAsia" w:ascii="宋体" w:hAnsi="宋体"/>
          <w:b/>
          <w:bCs/>
          <w:sz w:val="24"/>
        </w:rPr>
        <w:t>投标人提供的货物应是成熟全新的产品，</w:t>
      </w:r>
      <w:r>
        <w:rPr>
          <w:rFonts w:hint="eastAsia" w:ascii="宋体" w:hAnsi="宋体"/>
          <w:sz w:val="24"/>
        </w:rPr>
        <w:t>其技术规格应符合招标文件的要求。如与招标文件的技术规格有偏差，应提供技术规格偏差的量值或说明（偏离表）。如投标人有意隐瞒对规格要求的偏差或在开标后提出新的偏差，买方有权拒绝其投标。</w:t>
      </w:r>
    </w:p>
    <w:p w14:paraId="6B3FEBC2">
      <w:pPr>
        <w:spacing w:line="360" w:lineRule="auto"/>
        <w:ind w:left="554" w:hanging="554" w:hangingChars="231"/>
        <w:rPr>
          <w:rFonts w:hint="eastAsia" w:ascii="宋体" w:hAns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357CB871">
      <w:pPr>
        <w:spacing w:before="156" w:beforeLines="50" w:after="156" w:afterLines="50" w:line="360" w:lineRule="auto"/>
        <w:ind w:left="601" w:hanging="601"/>
        <w:rPr>
          <w:rFonts w:hint="eastAsia" w:ascii="宋体" w:hAnsi="宋体"/>
          <w:b/>
          <w:sz w:val="28"/>
        </w:rPr>
      </w:pPr>
      <w:r>
        <w:rPr>
          <w:rFonts w:hint="eastAsia" w:ascii="宋体" w:hAnsi="宋体"/>
          <w:b/>
          <w:sz w:val="28"/>
        </w:rPr>
        <w:t>2、评标标准</w:t>
      </w:r>
    </w:p>
    <w:p w14:paraId="3EFDFF5A">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4E31BA3B">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14:paraId="195D587D">
      <w:pPr>
        <w:spacing w:line="360" w:lineRule="auto"/>
        <w:ind w:left="554" w:hanging="554" w:hangingChars="231"/>
        <w:rPr>
          <w:rFonts w:hint="eastAsia" w:ascii="宋体" w:hAnsi="宋体"/>
          <w:sz w:val="24"/>
        </w:rPr>
      </w:pPr>
      <w:r>
        <w:rPr>
          <w:rFonts w:hint="eastAsia" w:ascii="宋体" w:hAnsi="宋体"/>
          <w:sz w:val="24"/>
        </w:rPr>
        <w:t>2.3  为便于用户进行接收设备的准备工作，卖方应在合同生效后</w:t>
      </w:r>
      <w:r>
        <w:rPr>
          <w:rFonts w:hint="eastAsia" w:ascii="宋体" w:hAnsi="宋体"/>
          <w:b/>
          <w:sz w:val="24"/>
        </w:rPr>
        <w:t>15</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5DF7AB0B">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 关于设备的安装调试，如果有必要的安装准备条件，卖方应在合同生效后一个月内向买方提出详细的要求或计划。安装调试的费用应计入投标价中，并应单独列出，供评标使用。</w:t>
      </w:r>
    </w:p>
    <w:p w14:paraId="0ECD8A27">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0A4AF60B">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 xml:space="preserve">6  </w:t>
      </w:r>
      <w:r>
        <w:rPr>
          <w:rFonts w:hint="eastAsia"/>
          <w:sz w:val="24"/>
        </w:rPr>
        <w:t>在评标过程中，买方有权向投标人索取任何与评标有关的资料，投标人务必在接到此类要求后，在规定时间内予以答复。对于无答复的投标人，买方有权拒绝其投标。</w:t>
      </w:r>
    </w:p>
    <w:p w14:paraId="5A77009D">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14:paraId="50F2101F">
      <w:pPr>
        <w:spacing w:after="312" w:afterLines="10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除非在技术规格中另有说明，所有仪器、设备和系统都应符合下列要求： </w:t>
      </w:r>
    </w:p>
    <w:p w14:paraId="360D9FE3">
      <w:pPr>
        <w:spacing w:line="360" w:lineRule="auto"/>
        <w:ind w:left="554" w:hanging="554" w:hangingChars="231"/>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3.1  适于在气温为摄氏</w:t>
      </w:r>
      <w:r>
        <w:rPr>
          <w:rFonts w:hint="eastAsia" w:ascii="宋体" w:hAnsi="宋体" w:eastAsia="宋体" w:cs="宋体"/>
          <w:b/>
          <w:color w:val="000000" w:themeColor="text1"/>
          <w:sz w:val="24"/>
          <w14:textFill>
            <w14:solidFill>
              <w14:schemeClr w14:val="tx1"/>
            </w14:solidFill>
          </w14:textFill>
        </w:rPr>
        <w:t>-40℃～＋50℃</w:t>
      </w:r>
      <w:r>
        <w:rPr>
          <w:rFonts w:hint="eastAsia" w:ascii="宋体" w:hAnsi="宋体" w:eastAsia="宋体" w:cs="宋体"/>
          <w:color w:val="000000" w:themeColor="text1"/>
          <w:sz w:val="24"/>
          <w14:textFill>
            <w14:solidFill>
              <w14:schemeClr w14:val="tx1"/>
            </w14:solidFill>
          </w14:textFill>
        </w:rPr>
        <w:t>和相对湿度为</w:t>
      </w:r>
      <w:r>
        <w:rPr>
          <w:rFonts w:hint="eastAsia" w:ascii="宋体" w:hAnsi="宋体" w:eastAsia="宋体" w:cs="宋体"/>
          <w:b/>
          <w:color w:val="000000" w:themeColor="text1"/>
          <w:sz w:val="24"/>
          <w14:textFill>
            <w14:solidFill>
              <w14:schemeClr w14:val="tx1"/>
            </w14:solidFill>
          </w14:textFill>
        </w:rPr>
        <w:t>90％</w:t>
      </w:r>
      <w:r>
        <w:rPr>
          <w:rFonts w:hint="eastAsia" w:ascii="宋体" w:hAnsi="宋体" w:eastAsia="宋体" w:cs="宋体"/>
          <w:color w:val="000000" w:themeColor="text1"/>
          <w:sz w:val="24"/>
          <w14:textFill>
            <w14:solidFill>
              <w14:schemeClr w14:val="tx1"/>
            </w14:solidFill>
          </w14:textFill>
        </w:rPr>
        <w:t>的环境条件下运输和贮存。</w:t>
      </w:r>
    </w:p>
    <w:p w14:paraId="7547C1D5">
      <w:pPr>
        <w:spacing w:line="360" w:lineRule="auto"/>
        <w:ind w:left="554" w:hanging="554" w:hangingChars="231"/>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3.2  适于在电源</w:t>
      </w:r>
      <w:r>
        <w:rPr>
          <w:rFonts w:hint="eastAsia" w:ascii="宋体" w:hAnsi="宋体" w:eastAsia="宋体" w:cs="宋体"/>
          <w:b/>
          <w:color w:val="000000" w:themeColor="text1"/>
          <w:sz w:val="24"/>
          <w14:textFill>
            <w14:solidFill>
              <w14:schemeClr w14:val="tx1"/>
            </w14:solidFill>
          </w14:textFill>
        </w:rPr>
        <w:t>220V（</w:t>
      </w:r>
      <w:r>
        <w:rPr>
          <w:rFonts w:hint="eastAsia" w:ascii="宋体" w:hAnsi="宋体" w:eastAsia="宋体" w:cs="宋体"/>
          <w:b/>
          <w:color w:val="000000" w:themeColor="text1"/>
          <w:sz w:val="24"/>
          <w14:textFill>
            <w14:solidFill>
              <w14:schemeClr w14:val="tx1"/>
            </w14:solidFill>
          </w14:textFill>
        </w:rPr>
        <w:sym w:font="Symbol" w:char="F0B1"/>
      </w:r>
      <w:r>
        <w:rPr>
          <w:rFonts w:hint="eastAsia" w:ascii="宋体" w:hAnsi="宋体" w:eastAsia="宋体" w:cs="宋体"/>
          <w:b/>
          <w:color w:val="000000" w:themeColor="text1"/>
          <w:sz w:val="24"/>
          <w14:textFill>
            <w14:solidFill>
              <w14:schemeClr w14:val="tx1"/>
            </w14:solidFill>
          </w14:textFill>
        </w:rPr>
        <w:t>10％）/50Hz</w:t>
      </w:r>
      <w:r>
        <w:rPr>
          <w:rFonts w:hint="eastAsia" w:ascii="宋体" w:hAnsi="宋体" w:eastAsia="宋体" w:cs="宋体"/>
          <w:color w:val="000000" w:themeColor="text1"/>
          <w:sz w:val="24"/>
          <w14:textFill>
            <w14:solidFill>
              <w14:schemeClr w14:val="tx1"/>
            </w14:solidFill>
          </w14:textFill>
        </w:rPr>
        <w:t>、气温摄氏</w:t>
      </w:r>
      <w:r>
        <w:rPr>
          <w:rFonts w:hint="eastAsia" w:ascii="宋体" w:hAnsi="宋体" w:eastAsia="宋体" w:cs="宋体"/>
          <w:b/>
          <w:color w:val="000000" w:themeColor="text1"/>
          <w:sz w:val="24"/>
          <w14:textFill>
            <w14:solidFill>
              <w14:schemeClr w14:val="tx1"/>
            </w14:solidFill>
          </w14:textFill>
        </w:rPr>
        <w:t>+15℃～＋30℃</w:t>
      </w:r>
      <w:r>
        <w:rPr>
          <w:rFonts w:hint="eastAsia" w:ascii="宋体" w:hAnsi="宋体" w:eastAsia="宋体" w:cs="宋体"/>
          <w:color w:val="000000" w:themeColor="text1"/>
          <w:sz w:val="24"/>
          <w14:textFill>
            <w14:solidFill>
              <w14:schemeClr w14:val="tx1"/>
            </w14:solidFill>
          </w14:textFill>
        </w:rPr>
        <w:t>和相对湿度小于</w:t>
      </w:r>
      <w:r>
        <w:rPr>
          <w:rFonts w:hint="eastAsia" w:ascii="宋体" w:hAnsi="宋体" w:eastAsia="宋体" w:cs="宋体"/>
          <w:b/>
          <w:color w:val="000000" w:themeColor="text1"/>
          <w:sz w:val="24"/>
          <w14:textFill>
            <w14:solidFill>
              <w14:schemeClr w14:val="tx1"/>
            </w14:solidFill>
          </w14:textFill>
        </w:rPr>
        <w:t>80％</w:t>
      </w:r>
      <w:r>
        <w:rPr>
          <w:rFonts w:hint="eastAsia" w:ascii="宋体" w:hAnsi="宋体" w:eastAsia="宋体" w:cs="宋体"/>
          <w:color w:val="000000" w:themeColor="text1"/>
          <w:sz w:val="24"/>
          <w14:textFill>
            <w14:solidFill>
              <w14:schemeClr w14:val="tx1"/>
            </w14:solidFill>
          </w14:textFill>
        </w:rPr>
        <w:t>的环境条件下运行。</w:t>
      </w:r>
      <w:r>
        <w:rPr>
          <w:rFonts w:hint="eastAsia" w:ascii="宋体" w:hAnsi="宋体" w:eastAsia="宋体" w:cs="宋体"/>
          <w:b/>
          <w:color w:val="000000" w:themeColor="text1"/>
          <w:sz w:val="24"/>
          <w14:textFill>
            <w14:solidFill>
              <w14:schemeClr w14:val="tx1"/>
            </w14:solidFill>
          </w14:textFill>
        </w:rPr>
        <w:t>能够连续正常工作。</w:t>
      </w:r>
    </w:p>
    <w:p w14:paraId="59C0813E">
      <w:pPr>
        <w:spacing w:line="360" w:lineRule="auto"/>
        <w:ind w:left="554" w:hanging="554" w:hangingChars="231"/>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3.3  配置符合中国有关标准要求的插头，如果没有这样的插头，则需提供适当的转换插座。</w:t>
      </w:r>
    </w:p>
    <w:p w14:paraId="7EB4EDD9">
      <w:pPr>
        <w:spacing w:line="360" w:lineRule="auto"/>
        <w:ind w:left="554" w:hanging="554" w:hangingChars="231"/>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14:paraId="07144478">
      <w:pPr>
        <w:rPr>
          <w:rFonts w:eastAsia="黑体"/>
          <w:b/>
          <w:bCs/>
          <w:kern w:val="44"/>
          <w:sz w:val="24"/>
        </w:rPr>
      </w:pPr>
    </w:p>
    <w:p w14:paraId="34A5FDE0">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14:paraId="0D99AD16">
      <w:pPr>
        <w:spacing w:after="312" w:afterLines="100" w:line="360" w:lineRule="auto"/>
        <w:rPr>
          <w:rFonts w:hint="eastAsia" w:ascii="宋体" w:hAnsi="宋体"/>
          <w:sz w:val="24"/>
        </w:rPr>
      </w:pPr>
      <w:r>
        <w:rPr>
          <w:rFonts w:hint="eastAsia" w:ascii="宋体" w:hAnsi="宋体"/>
          <w:sz w:val="24"/>
        </w:rPr>
        <w:t>除非在技术规格中另有说明，所有设备和系统按下列要求进行验收：</w:t>
      </w:r>
    </w:p>
    <w:p w14:paraId="4FD18925">
      <w:pPr>
        <w:spacing w:line="360" w:lineRule="auto"/>
        <w:ind w:left="554" w:hanging="554" w:hangingChars="231"/>
        <w:rPr>
          <w:rFonts w:hint="eastAsia" w:ascii="宋体" w:hAnsi="宋体"/>
          <w:sz w:val="24"/>
        </w:rPr>
      </w:pPr>
      <w:r>
        <w:rPr>
          <w:rFonts w:hint="eastAsia" w:ascii="宋体" w:hAnsi="宋体"/>
          <w:sz w:val="24"/>
        </w:rPr>
        <w:t>4.1  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199A2D4F">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21B94250">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w:t>
      </w:r>
      <w:r>
        <w:rPr>
          <w:rFonts w:hint="eastAsia" w:ascii="宋体" w:hAnsi="宋体"/>
          <w:sz w:val="24"/>
        </w:rPr>
        <w:t>中标</w:t>
      </w:r>
      <w:r>
        <w:rPr>
          <w:rFonts w:ascii="宋体" w:hAnsi="宋体"/>
          <w:sz w:val="24"/>
        </w:rPr>
        <w:t>人及相关人员依国家有关标准、合同及有关附件要求进行，验收完毕由采购人及</w:t>
      </w:r>
      <w:r>
        <w:rPr>
          <w:rFonts w:hint="eastAsia" w:ascii="宋体" w:hAnsi="宋体"/>
          <w:sz w:val="24"/>
        </w:rPr>
        <w:t>中标</w:t>
      </w:r>
      <w:r>
        <w:rPr>
          <w:rFonts w:ascii="宋体" w:hAnsi="宋体"/>
          <w:sz w:val="24"/>
        </w:rPr>
        <w:t>人在验收报告上签名。</w:t>
      </w:r>
    </w:p>
    <w:p w14:paraId="59A043E1">
      <w:pPr>
        <w:spacing w:line="360" w:lineRule="auto"/>
        <w:ind w:left="410" w:hanging="410" w:hangingChars="170"/>
        <w:rPr>
          <w:rFonts w:hint="eastAsia" w:ascii="宋体" w:hAnsi="宋体"/>
          <w:b/>
          <w:sz w:val="24"/>
        </w:rPr>
      </w:pPr>
    </w:p>
    <w:p w14:paraId="2C5569C8">
      <w:pPr>
        <w:spacing w:before="156" w:beforeLines="50" w:after="156" w:afterLines="50" w:line="360" w:lineRule="auto"/>
        <w:ind w:left="601" w:hanging="601"/>
        <w:rPr>
          <w:rFonts w:hint="eastAsia" w:ascii="宋体" w:hAnsi="宋体"/>
          <w:b/>
          <w:sz w:val="28"/>
        </w:rPr>
      </w:pPr>
      <w:r>
        <w:rPr>
          <w:rFonts w:hint="eastAsia" w:ascii="宋体" w:hAnsi="宋体"/>
          <w:b/>
          <w:sz w:val="28"/>
        </w:rPr>
        <w:t>5、本技术规格书中标注“★”号的为关键技术参数，对这些关键技术参数的任何负偏离将导致废标。</w:t>
      </w:r>
    </w:p>
    <w:p w14:paraId="33CA6FEA">
      <w:pPr>
        <w:spacing w:before="156" w:beforeLines="50" w:after="156" w:afterLines="50" w:line="360" w:lineRule="auto"/>
        <w:ind w:left="601" w:hanging="601"/>
        <w:rPr>
          <w:rFonts w:hint="eastAsia" w:ascii="宋体" w:hAnsi="宋体"/>
          <w:b/>
          <w:sz w:val="28"/>
        </w:rPr>
      </w:pPr>
    </w:p>
    <w:p w14:paraId="6D549391">
      <w:pPr>
        <w:numPr>
          <w:ilvl w:val="0"/>
          <w:numId w:val="4"/>
        </w:numPr>
        <w:spacing w:before="156" w:beforeLines="50" w:after="156" w:afterLines="50" w:line="360" w:lineRule="auto"/>
        <w:ind w:left="601" w:hanging="601"/>
        <w:rPr>
          <w:rFonts w:hint="eastAsia" w:ascii="宋体" w:hAnsi="宋体"/>
          <w:b/>
          <w:sz w:val="28"/>
        </w:rPr>
      </w:pPr>
      <w:r>
        <w:rPr>
          <w:rFonts w:hint="eastAsia" w:ascii="宋体" w:hAnsi="宋体"/>
          <w:b/>
          <w:sz w:val="28"/>
        </w:rPr>
        <w:t>如在具体技术规格中有本总则不一致之处，以具体技术规格中的要求为准。</w:t>
      </w:r>
    </w:p>
    <w:p w14:paraId="729C0559">
      <w:pPr>
        <w:numPr>
          <w:ilvl w:val="0"/>
          <w:numId w:val="5"/>
        </w:numPr>
        <w:spacing w:after="156" w:afterLines="50"/>
        <w:ind w:left="601" w:hanging="601"/>
        <w:outlineLvl w:val="1"/>
        <w:rPr>
          <w:rFonts w:hint="eastAsia" w:ascii="宋体" w:hAnsi="宋体" w:cs="宋体"/>
          <w:b/>
          <w:color w:val="000000" w:themeColor="text1"/>
          <w:sz w:val="28"/>
          <w14:textFill>
            <w14:solidFill>
              <w14:schemeClr w14:val="tx1"/>
            </w14:solidFill>
          </w14:textFill>
        </w:rPr>
      </w:pPr>
      <w:r>
        <w:rPr>
          <w:rFonts w:hint="eastAsia" w:ascii="宋体" w:hAnsi="宋体" w:cs="宋体"/>
          <w:b/>
          <w:color w:val="000000" w:themeColor="text1"/>
          <w:sz w:val="28"/>
          <w14:textFill>
            <w14:solidFill>
              <w14:schemeClr w14:val="tx1"/>
            </w14:solidFill>
          </w14:textFill>
        </w:rPr>
        <w:t>具体技术规格</w:t>
      </w:r>
    </w:p>
    <w:p w14:paraId="668618C5">
      <w:pPr>
        <w:spacing w:after="156" w:afterLines="50"/>
        <w:jc w:val="center"/>
        <w:outlineLvl w:val="2"/>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cs="宋体"/>
          <w:b/>
          <w:color w:val="000000" w:themeColor="text1"/>
          <w:sz w:val="28"/>
          <w:lang w:val="en-US" w:eastAsia="zh-CN"/>
          <w14:textFill>
            <w14:solidFill>
              <w14:schemeClr w14:val="tx1"/>
            </w14:solidFill>
          </w14:textFill>
        </w:rPr>
        <w:t xml:space="preserve">第一包  </w:t>
      </w:r>
      <w:r>
        <w:rPr>
          <w:rFonts w:hint="eastAsia" w:ascii="宋体" w:hAnsi="宋体" w:cs="宋体"/>
          <w:b/>
          <w:bCs/>
          <w:color w:val="000000" w:themeColor="text1"/>
          <w:kern w:val="0"/>
          <w:sz w:val="28"/>
          <w:szCs w:val="28"/>
          <w:lang w:eastAsia="zh-CN"/>
          <w14:textFill>
            <w14:solidFill>
              <w14:schemeClr w14:val="tx1"/>
            </w14:solidFill>
          </w14:textFill>
        </w:rPr>
        <w:t>植物环境动态监测站、植物原位生长水势测量仪</w:t>
      </w:r>
    </w:p>
    <w:p w14:paraId="41713E12">
      <w:pPr>
        <w:pStyle w:val="33"/>
        <w:numPr>
          <w:ilvl w:val="0"/>
          <w:numId w:val="6"/>
        </w:numPr>
        <w:spacing w:line="360" w:lineRule="auto"/>
        <w:ind w:right="708" w:rightChars="337" w:hanging="905"/>
        <w:jc w:val="both"/>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招标项目信息</w:t>
      </w:r>
    </w:p>
    <w:tbl>
      <w:tblPr>
        <w:tblStyle w:val="3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843"/>
        <w:gridCol w:w="851"/>
        <w:gridCol w:w="992"/>
        <w:gridCol w:w="1287"/>
        <w:gridCol w:w="1238"/>
        <w:gridCol w:w="1260"/>
        <w:gridCol w:w="1260"/>
      </w:tblGrid>
      <w:tr w14:paraId="253FB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2B71E00E">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序号</w:t>
            </w:r>
          </w:p>
        </w:tc>
        <w:tc>
          <w:tcPr>
            <w:tcW w:w="1843" w:type="dxa"/>
            <w:noWrap/>
            <w:vAlign w:val="center"/>
          </w:tcPr>
          <w:p w14:paraId="4AAD35C7">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设备名称</w:t>
            </w:r>
          </w:p>
        </w:tc>
        <w:tc>
          <w:tcPr>
            <w:tcW w:w="851" w:type="dxa"/>
            <w:vAlign w:val="center"/>
          </w:tcPr>
          <w:p w14:paraId="71F4F213">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数量</w:t>
            </w:r>
          </w:p>
        </w:tc>
        <w:tc>
          <w:tcPr>
            <w:tcW w:w="992" w:type="dxa"/>
            <w:noWrap/>
            <w:vAlign w:val="center"/>
          </w:tcPr>
          <w:p w14:paraId="5CF7BA7D">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单位</w:t>
            </w:r>
          </w:p>
        </w:tc>
        <w:tc>
          <w:tcPr>
            <w:tcW w:w="1287" w:type="dxa"/>
            <w:vAlign w:val="center"/>
          </w:tcPr>
          <w:p w14:paraId="26BA235B">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是否接受进口设备参与投标</w:t>
            </w:r>
          </w:p>
        </w:tc>
        <w:tc>
          <w:tcPr>
            <w:tcW w:w="1238" w:type="dxa"/>
            <w:vAlign w:val="center"/>
          </w:tcPr>
          <w:p w14:paraId="4DEB1AA5">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预算金额</w:t>
            </w:r>
          </w:p>
          <w:p w14:paraId="4F6A1BCF">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（万元）</w:t>
            </w:r>
          </w:p>
        </w:tc>
        <w:tc>
          <w:tcPr>
            <w:tcW w:w="1260" w:type="dxa"/>
            <w:vAlign w:val="center"/>
          </w:tcPr>
          <w:p w14:paraId="34B9B54F">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最高限价（万元）</w:t>
            </w:r>
          </w:p>
        </w:tc>
        <w:tc>
          <w:tcPr>
            <w:tcW w:w="1260" w:type="dxa"/>
            <w:vAlign w:val="center"/>
          </w:tcPr>
          <w:p w14:paraId="536D5AC2">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本项目所属行业</w:t>
            </w:r>
          </w:p>
        </w:tc>
      </w:tr>
      <w:tr w14:paraId="2578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17EDD577">
            <w:pPr>
              <w:widowControl/>
              <w:snapToGrid w:val="0"/>
              <w:spacing w:before="156" w:beforeLines="50" w:line="360" w:lineRule="auto"/>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一</w:t>
            </w:r>
          </w:p>
        </w:tc>
        <w:tc>
          <w:tcPr>
            <w:tcW w:w="1843" w:type="dxa"/>
            <w:vAlign w:val="center"/>
          </w:tcPr>
          <w:p w14:paraId="1A2305A8">
            <w:pPr>
              <w:spacing w:line="360" w:lineRule="auto"/>
              <w:jc w:val="center"/>
              <w:rPr>
                <w:rFonts w:hint="eastAsia" w:eastAsia="宋体"/>
                <w:color w:val="auto"/>
                <w:kern w:val="0"/>
                <w:sz w:val="24"/>
                <w:highlight w:val="none"/>
                <w:lang w:eastAsia="zh-CN"/>
              </w:rPr>
            </w:pPr>
            <w:r>
              <w:rPr>
                <w:rFonts w:hint="eastAsia" w:ascii="宋体" w:hAnsi="宋体" w:cs="宋体"/>
                <w:b/>
                <w:bCs/>
                <w:color w:val="auto"/>
                <w:sz w:val="24"/>
                <w:szCs w:val="24"/>
                <w:highlight w:val="none"/>
                <w:lang w:eastAsia="zh-CN"/>
              </w:rPr>
              <w:t>植物环境动态监测站</w:t>
            </w:r>
          </w:p>
        </w:tc>
        <w:tc>
          <w:tcPr>
            <w:tcW w:w="851" w:type="dxa"/>
            <w:vAlign w:val="center"/>
          </w:tcPr>
          <w:p w14:paraId="55DC1E6A">
            <w:pPr>
              <w:spacing w:line="360" w:lineRule="auto"/>
              <w:jc w:val="center"/>
              <w:rPr>
                <w:rFonts w:hint="eastAsia" w:eastAsia="宋体"/>
                <w:color w:val="auto"/>
                <w:kern w:val="0"/>
                <w:sz w:val="24"/>
                <w:highlight w:val="none"/>
                <w:lang w:eastAsia="zh-CN"/>
              </w:rPr>
            </w:pPr>
            <w:r>
              <w:rPr>
                <w:rFonts w:hint="eastAsia" w:ascii="宋体" w:hAnsi="宋体" w:eastAsia="宋体" w:cs="宋体"/>
                <w:color w:val="auto"/>
                <w:sz w:val="24"/>
                <w:szCs w:val="24"/>
                <w:highlight w:val="none"/>
              </w:rPr>
              <w:t>1</w:t>
            </w:r>
          </w:p>
        </w:tc>
        <w:tc>
          <w:tcPr>
            <w:tcW w:w="992" w:type="dxa"/>
            <w:vAlign w:val="center"/>
          </w:tcPr>
          <w:p w14:paraId="7C1E6496">
            <w:pPr>
              <w:spacing w:line="360" w:lineRule="auto"/>
              <w:jc w:val="center"/>
              <w:rPr>
                <w:color w:val="auto"/>
                <w:kern w:val="0"/>
                <w:sz w:val="24"/>
                <w:highlight w:val="none"/>
              </w:rPr>
            </w:pPr>
            <w:r>
              <w:rPr>
                <w:rFonts w:hint="eastAsia" w:ascii="宋体" w:hAnsi="宋体" w:eastAsia="宋体" w:cs="宋体"/>
                <w:color w:val="auto"/>
                <w:sz w:val="24"/>
                <w:szCs w:val="24"/>
                <w:highlight w:val="none"/>
              </w:rPr>
              <w:t>套</w:t>
            </w:r>
          </w:p>
        </w:tc>
        <w:tc>
          <w:tcPr>
            <w:tcW w:w="1287" w:type="dxa"/>
            <w:vAlign w:val="center"/>
          </w:tcPr>
          <w:p w14:paraId="09D10FC5">
            <w:pPr>
              <w:spacing w:line="360" w:lineRule="auto"/>
              <w:jc w:val="center"/>
              <w:rPr>
                <w:color w:val="auto"/>
                <w:kern w:val="0"/>
                <w:sz w:val="24"/>
                <w:highlight w:val="none"/>
              </w:rPr>
            </w:pPr>
            <w:r>
              <w:rPr>
                <w:rFonts w:hint="eastAsia" w:ascii="宋体" w:hAnsi="宋体" w:eastAsia="宋体" w:cs="宋体"/>
                <w:color w:val="auto"/>
                <w:sz w:val="24"/>
                <w:szCs w:val="24"/>
                <w:highlight w:val="none"/>
              </w:rPr>
              <w:t>否</w:t>
            </w:r>
          </w:p>
        </w:tc>
        <w:tc>
          <w:tcPr>
            <w:tcW w:w="1238" w:type="dxa"/>
            <w:vAlign w:val="center"/>
          </w:tcPr>
          <w:p w14:paraId="5AE48135">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80</w:t>
            </w:r>
          </w:p>
        </w:tc>
        <w:tc>
          <w:tcPr>
            <w:tcW w:w="1260" w:type="dxa"/>
            <w:vAlign w:val="center"/>
          </w:tcPr>
          <w:p w14:paraId="7E54B9AC">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80</w:t>
            </w:r>
          </w:p>
        </w:tc>
        <w:tc>
          <w:tcPr>
            <w:tcW w:w="1260" w:type="dxa"/>
            <w:vAlign w:val="center"/>
          </w:tcPr>
          <w:p w14:paraId="1363E48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r w14:paraId="177EB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75675CE6">
            <w:pPr>
              <w:widowControl/>
              <w:snapToGrid w:val="0"/>
              <w:spacing w:before="156" w:beforeLines="50" w:line="360" w:lineRule="auto"/>
              <w:jc w:val="center"/>
              <w:rPr>
                <w:rFonts w:hint="eastAsia"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二</w:t>
            </w:r>
          </w:p>
        </w:tc>
        <w:tc>
          <w:tcPr>
            <w:tcW w:w="1843" w:type="dxa"/>
            <w:vAlign w:val="center"/>
          </w:tcPr>
          <w:p w14:paraId="7E865796">
            <w:pPr>
              <w:spacing w:line="360" w:lineRule="auto"/>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植物原位生长水势测量仪</w:t>
            </w:r>
          </w:p>
        </w:tc>
        <w:tc>
          <w:tcPr>
            <w:tcW w:w="851" w:type="dxa"/>
            <w:vAlign w:val="center"/>
          </w:tcPr>
          <w:p w14:paraId="0E1A5B6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92" w:type="dxa"/>
            <w:vAlign w:val="center"/>
          </w:tcPr>
          <w:p w14:paraId="6905325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c>
          <w:tcPr>
            <w:tcW w:w="1287" w:type="dxa"/>
            <w:vAlign w:val="center"/>
          </w:tcPr>
          <w:p w14:paraId="6973938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1238" w:type="dxa"/>
            <w:vAlign w:val="center"/>
          </w:tcPr>
          <w:p w14:paraId="1168D1C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w:t>
            </w:r>
          </w:p>
        </w:tc>
        <w:tc>
          <w:tcPr>
            <w:tcW w:w="1260" w:type="dxa"/>
            <w:vAlign w:val="center"/>
          </w:tcPr>
          <w:p w14:paraId="6F8D811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w:t>
            </w:r>
          </w:p>
        </w:tc>
        <w:tc>
          <w:tcPr>
            <w:tcW w:w="1260" w:type="dxa"/>
            <w:vAlign w:val="center"/>
          </w:tcPr>
          <w:p w14:paraId="7E1A81C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bl>
    <w:p w14:paraId="590CD0DF">
      <w:pPr>
        <w:pStyle w:val="33"/>
        <w:numPr>
          <w:ilvl w:val="0"/>
          <w:numId w:val="6"/>
        </w:numPr>
        <w:spacing w:line="360" w:lineRule="auto"/>
        <w:ind w:right="708" w:rightChars="337" w:hanging="905"/>
        <w:jc w:val="both"/>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技术部分</w:t>
      </w:r>
    </w:p>
    <w:p w14:paraId="6742AB50">
      <w:pPr>
        <w:widowControl/>
        <w:snapToGrid w:val="0"/>
        <w:spacing w:line="360" w:lineRule="auto"/>
        <w:rPr>
          <w:b/>
          <w:color w:val="000000" w:themeColor="text1"/>
          <w:sz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w:t>
      </w:r>
      <w:r>
        <w:rPr>
          <w:b/>
          <w:color w:val="000000" w:themeColor="text1"/>
          <w:sz w:val="24"/>
          <w14:textFill>
            <w14:solidFill>
              <w14:schemeClr w14:val="tx1"/>
            </w14:solidFill>
          </w14:textFill>
        </w:rPr>
        <w:t>1、配置清单及零配件（包括专用工具）：</w:t>
      </w:r>
    </w:p>
    <w:tbl>
      <w:tblPr>
        <w:tblStyle w:val="3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6450"/>
        <w:gridCol w:w="885"/>
        <w:gridCol w:w="790"/>
      </w:tblGrid>
      <w:tr w14:paraId="688F1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31294386">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序号</w:t>
            </w:r>
          </w:p>
        </w:tc>
        <w:tc>
          <w:tcPr>
            <w:tcW w:w="6450" w:type="dxa"/>
          </w:tcPr>
          <w:p w14:paraId="4FC1CBE9">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名称</w:t>
            </w:r>
          </w:p>
        </w:tc>
        <w:tc>
          <w:tcPr>
            <w:tcW w:w="885" w:type="dxa"/>
          </w:tcPr>
          <w:p w14:paraId="4B8A4D3F">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数量</w:t>
            </w:r>
          </w:p>
        </w:tc>
        <w:tc>
          <w:tcPr>
            <w:tcW w:w="790" w:type="dxa"/>
          </w:tcPr>
          <w:p w14:paraId="417EE179">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单位</w:t>
            </w:r>
          </w:p>
        </w:tc>
      </w:tr>
      <w:tr w14:paraId="7821F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71B22213">
            <w:pPr>
              <w:widowControl/>
              <w:snapToGrid w:val="0"/>
              <w:spacing w:before="156" w:beforeLines="50" w:line="360" w:lineRule="auto"/>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一</w:t>
            </w:r>
          </w:p>
        </w:tc>
        <w:tc>
          <w:tcPr>
            <w:tcW w:w="6450" w:type="dxa"/>
          </w:tcPr>
          <w:p w14:paraId="69E7F907">
            <w:pPr>
              <w:spacing w:after="160" w:line="360" w:lineRule="auto"/>
              <w:contextualSpacing/>
              <w:jc w:val="left"/>
              <w:rPr>
                <w:rFonts w:hint="eastAsia" w:ascii="宋体" w:hAnsi="宋体" w:cs="宋体"/>
                <w:b/>
                <w:bCs/>
                <w:color w:val="000000" w:themeColor="text1"/>
                <w:sz w:val="24"/>
                <w14:textFill>
                  <w14:solidFill>
                    <w14:schemeClr w14:val="tx1"/>
                  </w14:solidFill>
                </w14:textFill>
              </w:rPr>
            </w:pPr>
            <w:r>
              <w:rPr>
                <w:rFonts w:hint="eastAsia" w:ascii="宋体" w:hAnsi="宋体"/>
                <w:sz w:val="24"/>
              </w:rPr>
              <w:t>无线数据采集器3个，</w:t>
            </w:r>
            <w:r>
              <w:rPr>
                <w:rFonts w:ascii="宋体" w:hAnsi="宋体"/>
                <w:sz w:val="24"/>
              </w:rPr>
              <w:t>风速风向传感器</w:t>
            </w:r>
            <w:r>
              <w:rPr>
                <w:rFonts w:hint="eastAsia" w:ascii="宋体" w:hAnsi="宋体"/>
                <w:sz w:val="24"/>
              </w:rPr>
              <w:t>3个，空气温湿度气压传感器4个，总辐射传感器2个，光合有效辐射传感器3个，雨量传感器1个，红外叶温传感器12个，叶面湿度传感器4个，树木周长传感器8个，树木液流传感器8个，根茎传感器传感器8个，植物原位水分传感器8个，植物原位水势传感器8个，土壤三参数传感器4个，土壤温度传感器4个，土壤水势传感器4个，安装配件1套（满足20米梯度塔所有安装传感器的需要）， 100W太阳能板和100A12V蓄电池3组，野外防护机箱1批，云平台账号1个，免费使用3年。现在负责所有传感器安装调试。</w:t>
            </w:r>
          </w:p>
        </w:tc>
        <w:tc>
          <w:tcPr>
            <w:tcW w:w="885" w:type="dxa"/>
          </w:tcPr>
          <w:p w14:paraId="5AEB106A">
            <w:pPr>
              <w:widowControl/>
              <w:snapToGrid w:val="0"/>
              <w:spacing w:before="156" w:beforeLines="50" w:line="360" w:lineRule="auto"/>
              <w:jc w:val="center"/>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790" w:type="dxa"/>
          </w:tcPr>
          <w:p w14:paraId="45233677">
            <w:pPr>
              <w:widowControl/>
              <w:snapToGrid w:val="0"/>
              <w:spacing w:before="156" w:beforeLines="50" w:line="360" w:lineRule="auto"/>
              <w:jc w:val="center"/>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台</w:t>
            </w:r>
          </w:p>
        </w:tc>
      </w:tr>
      <w:tr w14:paraId="33646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6923D4D7">
            <w:pPr>
              <w:widowControl/>
              <w:snapToGrid w:val="0"/>
              <w:spacing w:before="156" w:beforeLines="50" w:line="360" w:lineRule="auto"/>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二</w:t>
            </w:r>
          </w:p>
        </w:tc>
        <w:tc>
          <w:tcPr>
            <w:tcW w:w="6450" w:type="dxa"/>
          </w:tcPr>
          <w:p w14:paraId="31AF33DD">
            <w:pPr>
              <w:spacing w:after="160" w:line="360" w:lineRule="auto"/>
              <w:contextualSpacing/>
              <w:jc w:val="left"/>
              <w:rPr>
                <w:rFonts w:hint="eastAsia" w:ascii="宋体" w:hAnsi="宋体" w:cs="宋体"/>
                <w:color w:val="000000" w:themeColor="text1"/>
                <w:kern w:val="0"/>
                <w:sz w:val="24"/>
                <w14:textFill>
                  <w14:solidFill>
                    <w14:schemeClr w14:val="tx1"/>
                  </w14:solidFill>
                </w14:textFill>
              </w:rPr>
            </w:pPr>
            <w:r>
              <w:rPr>
                <w:rFonts w:hint="eastAsia" w:ascii="宋体" w:hAnsi="宋体"/>
                <w:sz w:val="24"/>
              </w:rPr>
              <w:t>无线数据采集器1个，原位茎杆水势传感器30个，树干茎秆生长变化30个，安装配件1组（满足所有安装传感器的需要），安装支架1组，100W太阳能板和100A12V蓄电池1组，野外防护机箱1批，云平台账号1个，免费使用3年。现在安装调试。</w:t>
            </w:r>
          </w:p>
        </w:tc>
        <w:tc>
          <w:tcPr>
            <w:tcW w:w="885" w:type="dxa"/>
          </w:tcPr>
          <w:p w14:paraId="3A0466ED">
            <w:pPr>
              <w:widowControl/>
              <w:snapToGrid w:val="0"/>
              <w:spacing w:before="156" w:beforeLines="50" w:line="360" w:lineRule="auto"/>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790" w:type="dxa"/>
          </w:tcPr>
          <w:p w14:paraId="2BC4A96F">
            <w:pPr>
              <w:widowControl/>
              <w:snapToGrid w:val="0"/>
              <w:spacing w:before="156" w:beforeLines="50" w:line="360" w:lineRule="auto"/>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台</w:t>
            </w:r>
          </w:p>
        </w:tc>
      </w:tr>
    </w:tbl>
    <w:p w14:paraId="2DB64213">
      <w:pPr>
        <w:tabs>
          <w:tab w:val="left" w:pos="540"/>
        </w:tabs>
        <w:spacing w:line="360" w:lineRule="auto"/>
        <w:rPr>
          <w:rFonts w:hint="eastAsia" w:asciiTheme="minorEastAsia" w:hAnsiTheme="minorEastAsia" w:eastAsiaTheme="minorEastAsia" w:cstheme="minorEastAsia"/>
          <w:b/>
          <w:sz w:val="24"/>
        </w:rPr>
      </w:pPr>
    </w:p>
    <w:p w14:paraId="3AC91270">
      <w:pPr>
        <w:widowControl/>
        <w:snapToGrid w:val="0"/>
        <w:spacing w:before="156" w:beforeLines="50" w:after="156" w:afterLines="50"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2、技术性能指标表</w:t>
      </w:r>
    </w:p>
    <w:p w14:paraId="19B496DC">
      <w:pPr>
        <w:widowControl/>
        <w:snapToGrid w:val="0"/>
        <w:spacing w:before="156" w:beforeLines="50" w:after="156" w:afterLines="50" w:line="360" w:lineRule="auto"/>
        <w:jc w:val="center"/>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品目一 植物环境动态监测站</w:t>
      </w:r>
    </w:p>
    <w:tbl>
      <w:tblPr>
        <w:tblStyle w:val="3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6280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tcBorders>
              <w:top w:val="single" w:color="auto" w:sz="4" w:space="0"/>
              <w:left w:val="single" w:color="auto" w:sz="4" w:space="0"/>
              <w:bottom w:val="single" w:color="auto" w:sz="4" w:space="0"/>
              <w:right w:val="single" w:color="auto" w:sz="4" w:space="0"/>
            </w:tcBorders>
            <w:vAlign w:val="center"/>
          </w:tcPr>
          <w:p w14:paraId="232C59CF">
            <w:pPr>
              <w:widowControl/>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编号</w:t>
            </w:r>
          </w:p>
        </w:tc>
        <w:tc>
          <w:tcPr>
            <w:tcW w:w="1051" w:type="dxa"/>
            <w:tcBorders>
              <w:top w:val="single" w:color="auto" w:sz="4" w:space="0"/>
              <w:left w:val="single" w:color="auto" w:sz="4" w:space="0"/>
              <w:bottom w:val="single" w:color="auto" w:sz="4" w:space="0"/>
              <w:right w:val="single" w:color="auto" w:sz="4" w:space="0"/>
            </w:tcBorders>
            <w:vAlign w:val="center"/>
          </w:tcPr>
          <w:p w14:paraId="777E12FE">
            <w:pPr>
              <w:widowControl/>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招标技术指标名称</w:t>
            </w:r>
          </w:p>
        </w:tc>
        <w:tc>
          <w:tcPr>
            <w:tcW w:w="7879" w:type="dxa"/>
            <w:gridSpan w:val="2"/>
            <w:tcBorders>
              <w:top w:val="single" w:color="auto" w:sz="4" w:space="0"/>
              <w:left w:val="single" w:color="auto" w:sz="4" w:space="0"/>
              <w:bottom w:val="single" w:color="auto" w:sz="4" w:space="0"/>
              <w:right w:val="single" w:color="auto" w:sz="4" w:space="0"/>
            </w:tcBorders>
            <w:vAlign w:val="center"/>
          </w:tcPr>
          <w:p w14:paraId="3AAB8E57">
            <w:pPr>
              <w:widowControl/>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招标技术指标值</w:t>
            </w:r>
          </w:p>
        </w:tc>
      </w:tr>
      <w:tr w14:paraId="6284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tcBorders>
              <w:top w:val="single" w:color="auto" w:sz="4" w:space="0"/>
              <w:left w:val="single" w:color="auto" w:sz="4" w:space="0"/>
              <w:bottom w:val="single" w:color="auto" w:sz="4" w:space="0"/>
              <w:right w:val="single" w:color="auto" w:sz="4" w:space="0"/>
            </w:tcBorders>
            <w:vAlign w:val="center"/>
          </w:tcPr>
          <w:p w14:paraId="7216C63E">
            <w:pPr>
              <w:widowControl/>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w:t>
            </w:r>
          </w:p>
        </w:tc>
        <w:tc>
          <w:tcPr>
            <w:tcW w:w="1051" w:type="dxa"/>
            <w:tcBorders>
              <w:top w:val="single" w:color="auto" w:sz="4" w:space="0"/>
              <w:left w:val="single" w:color="auto" w:sz="4" w:space="0"/>
              <w:bottom w:val="single" w:color="auto" w:sz="4" w:space="0"/>
              <w:right w:val="single" w:color="auto" w:sz="4" w:space="0"/>
            </w:tcBorders>
            <w:vAlign w:val="center"/>
          </w:tcPr>
          <w:p w14:paraId="6EC03906">
            <w:pPr>
              <w:widowControl/>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应用范围和要求</w:t>
            </w:r>
          </w:p>
        </w:tc>
        <w:tc>
          <w:tcPr>
            <w:tcW w:w="7879" w:type="dxa"/>
            <w:gridSpan w:val="2"/>
            <w:tcBorders>
              <w:top w:val="single" w:color="auto" w:sz="4" w:space="0"/>
              <w:left w:val="single" w:color="auto" w:sz="4" w:space="0"/>
              <w:bottom w:val="single" w:color="auto" w:sz="4" w:space="0"/>
              <w:right w:val="single" w:color="auto" w:sz="4" w:space="0"/>
            </w:tcBorders>
            <w:vAlign w:val="center"/>
          </w:tcPr>
          <w:p w14:paraId="5F5888CC">
            <w:pPr>
              <w:widowControl/>
              <w:spacing w:line="360" w:lineRule="auto"/>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植物环境动态监测</w:t>
            </w:r>
            <w:r>
              <w:rPr>
                <w:rFonts w:ascii="宋体" w:hAnsi="宋体" w:cs="宋体"/>
                <w:bCs/>
                <w:color w:val="000000" w:themeColor="text1"/>
                <w:sz w:val="24"/>
                <w14:textFill>
                  <w14:solidFill>
                    <w14:schemeClr w14:val="tx1"/>
                  </w14:solidFill>
                </w14:textFill>
              </w:rPr>
              <w:t>研究在宏观上对植物群体、群落进行</w:t>
            </w:r>
            <w:r>
              <w:rPr>
                <w:rFonts w:hint="eastAsia" w:ascii="宋体" w:hAnsi="宋体" w:cs="宋体"/>
                <w:bCs/>
                <w:color w:val="000000" w:themeColor="text1"/>
                <w:sz w:val="24"/>
                <w14:textFill>
                  <w14:solidFill>
                    <w14:schemeClr w14:val="tx1"/>
                  </w14:solidFill>
                </w14:textFill>
              </w:rPr>
              <w:t>长期</w:t>
            </w:r>
            <w:r>
              <w:rPr>
                <w:rFonts w:ascii="宋体" w:hAnsi="宋体" w:cs="宋体"/>
                <w:bCs/>
                <w:color w:val="000000" w:themeColor="text1"/>
                <w:sz w:val="24"/>
                <w14:textFill>
                  <w14:solidFill>
                    <w14:schemeClr w14:val="tx1"/>
                  </w14:solidFill>
                </w14:textFill>
              </w:rPr>
              <w:t>研究。通常选定有代表意义的一株或多株植物进行实时监测，常用监测指标包括</w:t>
            </w:r>
            <w:r>
              <w:rPr>
                <w:rFonts w:hint="eastAsia" w:ascii="宋体" w:hAnsi="宋体" w:cs="宋体"/>
                <w:bCs/>
                <w:color w:val="000000" w:themeColor="text1"/>
                <w:sz w:val="24"/>
                <w14:textFill>
                  <w14:solidFill>
                    <w14:schemeClr w14:val="tx1"/>
                  </w14:solidFill>
                </w14:textFill>
              </w:rPr>
              <w:t>风速风向，空气温湿度，气压，总辐射，光合有效辐射，雨量，叶面湿度，冠层温度，树木周长生长，液流，茎秆水势，根茎生长，土壤水分温度电导率，土壤水势，叶片气孔和蒸腾参数（</w:t>
            </w:r>
            <w:r>
              <w:rPr>
                <w:rFonts w:ascii="宋体" w:hAnsi="宋体" w:cs="宋体"/>
                <w:bCs/>
                <w:color w:val="000000" w:themeColor="text1"/>
                <w:sz w:val="24"/>
                <w14:textFill>
                  <w14:solidFill>
                    <w14:schemeClr w14:val="tx1"/>
                  </w14:solidFill>
                </w14:textFill>
              </w:rPr>
              <w:t>gsw</w:t>
            </w:r>
            <w:r>
              <w:rPr>
                <w:rFonts w:hint="eastAsia" w:ascii="宋体" w:hAnsi="宋体" w:cs="宋体"/>
                <w:bCs/>
                <w:color w:val="000000" w:themeColor="text1"/>
                <w:sz w:val="24"/>
                <w14:textFill>
                  <w14:solidFill>
                    <w14:schemeClr w14:val="tx1"/>
                  </w14:solidFill>
                </w14:textFill>
              </w:rPr>
              <w:t>；</w:t>
            </w:r>
            <w:r>
              <w:rPr>
                <w:rFonts w:ascii="宋体" w:hAnsi="宋体" w:cs="宋体"/>
                <w:bCs/>
                <w:color w:val="000000" w:themeColor="text1"/>
                <w:sz w:val="24"/>
                <w14:textFill>
                  <w14:solidFill>
                    <w14:schemeClr w14:val="tx1"/>
                  </w14:solidFill>
                </w14:textFill>
              </w:rPr>
              <w:t>gbw</w:t>
            </w:r>
            <w:r>
              <w:rPr>
                <w:rFonts w:hint="eastAsia" w:ascii="宋体" w:hAnsi="宋体" w:cs="宋体"/>
                <w:bCs/>
                <w:color w:val="000000" w:themeColor="text1"/>
                <w:sz w:val="24"/>
                <w14:textFill>
                  <w14:solidFill>
                    <w14:schemeClr w14:val="tx1"/>
                  </w14:solidFill>
                </w14:textFill>
              </w:rPr>
              <w:t>；</w:t>
            </w:r>
            <w:r>
              <w:rPr>
                <w:rFonts w:ascii="宋体" w:hAnsi="宋体" w:cs="宋体"/>
                <w:bCs/>
                <w:color w:val="000000" w:themeColor="text1"/>
                <w:sz w:val="24"/>
                <w14:textFill>
                  <w14:solidFill>
                    <w14:schemeClr w14:val="tx1"/>
                  </w14:solidFill>
                </w14:textFill>
              </w:rPr>
              <w:t>gtw</w:t>
            </w:r>
            <w:r>
              <w:rPr>
                <w:rFonts w:hint="eastAsia" w:ascii="宋体" w:hAnsi="宋体" w:cs="宋体"/>
                <w:bCs/>
                <w:color w:val="000000" w:themeColor="text1"/>
                <w:sz w:val="24"/>
                <w14:textFill>
                  <w14:solidFill>
                    <w14:schemeClr w14:val="tx1"/>
                  </w14:solidFill>
                </w14:textFill>
              </w:rPr>
              <w:t>；</w:t>
            </w:r>
            <w:r>
              <w:rPr>
                <w:rFonts w:ascii="宋体" w:hAnsi="宋体" w:cs="宋体"/>
                <w:bCs/>
                <w:color w:val="000000" w:themeColor="text1"/>
                <w:sz w:val="24"/>
                <w14:textFill>
                  <w14:solidFill>
                    <w14:schemeClr w14:val="tx1"/>
                  </w14:solidFill>
                </w14:textFill>
              </w:rPr>
              <w:t>E</w:t>
            </w:r>
            <w:r>
              <w:rPr>
                <w:rFonts w:hint="eastAsia" w:ascii="宋体" w:hAnsi="宋体" w:cs="宋体"/>
                <w:bCs/>
                <w:color w:val="000000" w:themeColor="text1"/>
                <w:sz w:val="24"/>
                <w14:textFill>
                  <w14:solidFill>
                    <w14:schemeClr w14:val="tx1"/>
                  </w14:solidFill>
                </w14:textFill>
              </w:rPr>
              <w:t>；</w:t>
            </w:r>
            <w:r>
              <w:rPr>
                <w:rFonts w:ascii="宋体" w:hAnsi="宋体" w:cs="宋体"/>
                <w:bCs/>
                <w:color w:val="000000" w:themeColor="text1"/>
                <w:sz w:val="24"/>
                <w14:textFill>
                  <w14:solidFill>
                    <w14:schemeClr w14:val="tx1"/>
                  </w14:solidFill>
                </w14:textFill>
              </w:rPr>
              <w:t>VPcham</w:t>
            </w:r>
            <w:r>
              <w:rPr>
                <w:rFonts w:hint="eastAsia" w:ascii="宋体" w:hAnsi="宋体" w:cs="宋体"/>
                <w:bCs/>
                <w:color w:val="000000" w:themeColor="text1"/>
                <w:sz w:val="24"/>
                <w14:textFill>
                  <w14:solidFill>
                    <w14:schemeClr w14:val="tx1"/>
                  </w14:solidFill>
                </w14:textFill>
              </w:rPr>
              <w:t>；</w:t>
            </w:r>
            <w:r>
              <w:rPr>
                <w:rFonts w:ascii="宋体" w:hAnsi="宋体" w:cs="宋体"/>
                <w:bCs/>
                <w:color w:val="000000" w:themeColor="text1"/>
                <w:sz w:val="24"/>
                <w14:textFill>
                  <w14:solidFill>
                    <w14:schemeClr w14:val="tx1"/>
                  </w14:solidFill>
                </w14:textFill>
              </w:rPr>
              <w:t>VPref</w:t>
            </w:r>
            <w:r>
              <w:rPr>
                <w:rFonts w:hint="eastAsia" w:ascii="宋体" w:hAnsi="宋体" w:cs="宋体"/>
                <w:bCs/>
                <w:color w:val="000000" w:themeColor="text1"/>
                <w:sz w:val="24"/>
                <w14:textFill>
                  <w14:solidFill>
                    <w14:schemeClr w14:val="tx1"/>
                  </w14:solidFill>
                </w14:textFill>
              </w:rPr>
              <w:t>；</w:t>
            </w:r>
            <w:r>
              <w:rPr>
                <w:rFonts w:ascii="宋体" w:hAnsi="宋体" w:cs="宋体"/>
                <w:bCs/>
                <w:color w:val="000000" w:themeColor="text1"/>
                <w:sz w:val="24"/>
                <w14:textFill>
                  <w14:solidFill>
                    <w14:schemeClr w14:val="tx1"/>
                  </w14:solidFill>
                </w14:textFill>
              </w:rPr>
              <w:t>VPleaf</w:t>
            </w:r>
            <w:r>
              <w:rPr>
                <w:rFonts w:hint="eastAsia" w:ascii="宋体" w:hAnsi="宋体" w:cs="宋体"/>
                <w:bCs/>
                <w:color w:val="000000" w:themeColor="text1"/>
                <w:sz w:val="24"/>
                <w14:textFill>
                  <w14:solidFill>
                    <w14:schemeClr w14:val="tx1"/>
                  </w14:solidFill>
                </w14:textFill>
              </w:rPr>
              <w:t>；</w:t>
            </w:r>
            <w:r>
              <w:rPr>
                <w:rFonts w:ascii="宋体" w:hAnsi="宋体" w:cs="宋体"/>
                <w:bCs/>
                <w:color w:val="000000" w:themeColor="text1"/>
                <w:sz w:val="24"/>
                <w14:textFill>
                  <w14:solidFill>
                    <w14:schemeClr w14:val="tx1"/>
                  </w14:solidFill>
                </w14:textFill>
              </w:rPr>
              <w:t>VPDleaf</w:t>
            </w:r>
            <w:r>
              <w:rPr>
                <w:rFonts w:hint="eastAsia" w:ascii="宋体" w:hAnsi="宋体" w:cs="宋体"/>
                <w:bCs/>
                <w:color w:val="000000" w:themeColor="text1"/>
                <w:sz w:val="24"/>
                <w14:textFill>
                  <w14:solidFill>
                    <w14:schemeClr w14:val="tx1"/>
                  </w14:solidFill>
                </w14:textFill>
              </w:rPr>
              <w:t>；</w:t>
            </w:r>
            <w:r>
              <w:rPr>
                <w:rFonts w:ascii="宋体" w:hAnsi="宋体" w:cs="宋体"/>
                <w:bCs/>
                <w:color w:val="000000" w:themeColor="text1"/>
                <w:sz w:val="24"/>
                <w14:textFill>
                  <w14:solidFill>
                    <w14:schemeClr w14:val="tx1"/>
                  </w14:solidFill>
                </w14:textFill>
              </w:rPr>
              <w:t>H</w:t>
            </w:r>
            <w:r>
              <w:rPr>
                <w:rFonts w:ascii="Cambria Math" w:hAnsi="Cambria Math" w:cs="Cambria Math"/>
                <w:bCs/>
                <w:color w:val="000000" w:themeColor="text1"/>
                <w:sz w:val="24"/>
                <w14:textFill>
                  <w14:solidFill>
                    <w14:schemeClr w14:val="tx1"/>
                  </w14:solidFill>
                </w14:textFill>
              </w:rPr>
              <w:t>₂</w:t>
            </w:r>
            <w:r>
              <w:rPr>
                <w:rFonts w:ascii="宋体" w:hAnsi="宋体" w:cs="宋体"/>
                <w:bCs/>
                <w:color w:val="000000" w:themeColor="text1"/>
                <w:sz w:val="24"/>
                <w14:textFill>
                  <w14:solidFill>
                    <w14:schemeClr w14:val="tx1"/>
                  </w14:solidFill>
                </w14:textFill>
              </w:rPr>
              <w:t>Oref</w:t>
            </w:r>
            <w:r>
              <w:rPr>
                <w:rFonts w:hint="eastAsia" w:ascii="宋体" w:hAnsi="宋体" w:cs="宋体"/>
                <w:bCs/>
                <w:color w:val="000000" w:themeColor="text1"/>
                <w:sz w:val="24"/>
                <w14:textFill>
                  <w14:solidFill>
                    <w14:schemeClr w14:val="tx1"/>
                  </w14:solidFill>
                </w14:textFill>
              </w:rPr>
              <w:t>；</w:t>
            </w:r>
            <w:r>
              <w:rPr>
                <w:rFonts w:ascii="宋体" w:hAnsi="宋体" w:cs="宋体"/>
                <w:bCs/>
                <w:color w:val="000000" w:themeColor="text1"/>
                <w:sz w:val="24"/>
                <w14:textFill>
                  <w14:solidFill>
                    <w14:schemeClr w14:val="tx1"/>
                  </w14:solidFill>
                </w14:textFill>
              </w:rPr>
              <w:t>H</w:t>
            </w:r>
            <w:r>
              <w:rPr>
                <w:rFonts w:ascii="Cambria Math" w:hAnsi="Cambria Math" w:cs="Cambria Math"/>
                <w:bCs/>
                <w:color w:val="000000" w:themeColor="text1"/>
                <w:sz w:val="24"/>
                <w14:textFill>
                  <w14:solidFill>
                    <w14:schemeClr w14:val="tx1"/>
                  </w14:solidFill>
                </w14:textFill>
              </w:rPr>
              <w:t>₂</w:t>
            </w:r>
            <w:r>
              <w:rPr>
                <w:rFonts w:ascii="宋体" w:hAnsi="宋体" w:cs="宋体"/>
                <w:bCs/>
                <w:color w:val="000000" w:themeColor="text1"/>
                <w:sz w:val="24"/>
                <w14:textFill>
                  <w14:solidFill>
                    <w14:schemeClr w14:val="tx1"/>
                  </w14:solidFill>
                </w14:textFill>
              </w:rPr>
              <w:t>Osamp</w:t>
            </w:r>
            <w:r>
              <w:rPr>
                <w:rFonts w:hint="eastAsia" w:ascii="宋体" w:hAnsi="宋体" w:cs="宋体"/>
                <w:bCs/>
                <w:color w:val="000000" w:themeColor="text1"/>
                <w:sz w:val="24"/>
                <w14:textFill>
                  <w14:solidFill>
                    <w14:schemeClr w14:val="tx1"/>
                  </w14:solidFill>
                </w14:textFill>
              </w:rPr>
              <w:t>；</w:t>
            </w:r>
            <w:r>
              <w:rPr>
                <w:rFonts w:ascii="宋体" w:hAnsi="宋体" w:cs="宋体"/>
                <w:bCs/>
                <w:color w:val="000000" w:themeColor="text1"/>
                <w:sz w:val="24"/>
                <w14:textFill>
                  <w14:solidFill>
                    <w14:schemeClr w14:val="tx1"/>
                  </w14:solidFill>
                </w14:textFill>
              </w:rPr>
              <w:t>H</w:t>
            </w:r>
            <w:r>
              <w:rPr>
                <w:rFonts w:ascii="Cambria Math" w:hAnsi="Cambria Math" w:cs="Cambria Math"/>
                <w:bCs/>
                <w:color w:val="000000" w:themeColor="text1"/>
                <w:sz w:val="24"/>
                <w14:textFill>
                  <w14:solidFill>
                    <w14:schemeClr w14:val="tx1"/>
                  </w14:solidFill>
                </w14:textFill>
              </w:rPr>
              <w:t>₂</w:t>
            </w:r>
            <w:r>
              <w:rPr>
                <w:rFonts w:ascii="宋体" w:hAnsi="宋体" w:cs="宋体"/>
                <w:bCs/>
                <w:color w:val="000000" w:themeColor="text1"/>
                <w:sz w:val="24"/>
                <w14:textFill>
                  <w14:solidFill>
                    <w14:schemeClr w14:val="tx1"/>
                  </w14:solidFill>
                </w14:textFill>
              </w:rPr>
              <w:t>Oleaf</w:t>
            </w:r>
            <w:r>
              <w:rPr>
                <w:rFonts w:hint="eastAsia" w:ascii="宋体" w:hAnsi="宋体" w:cs="宋体"/>
                <w:bCs/>
                <w:color w:val="000000" w:themeColor="text1"/>
                <w:sz w:val="24"/>
                <w14:textFill>
                  <w14:solidFill>
                    <w14:schemeClr w14:val="tx1"/>
                  </w14:solidFill>
                </w14:textFill>
              </w:rPr>
              <w:t>），植物荧光（</w:t>
            </w:r>
            <w:r>
              <w:rPr>
                <w:rFonts w:ascii="宋体" w:hAnsi="宋体" w:cs="宋体"/>
                <w:bCs/>
                <w:color w:val="000000" w:themeColor="text1"/>
                <w:sz w:val="24"/>
                <w14:textFill>
                  <w14:solidFill>
                    <w14:schemeClr w14:val="tx1"/>
                  </w14:solidFill>
                </w14:textFill>
              </w:rPr>
              <w:t>Fo，Fm，Fv/Fm，Fs，Fm’，ΦPSII，ETR</w:t>
            </w:r>
            <w:r>
              <w:rPr>
                <w:rFonts w:hint="eastAsia" w:ascii="宋体" w:hAnsi="宋体" w:cs="宋体"/>
                <w:bCs/>
                <w:color w:val="000000" w:themeColor="text1"/>
                <w:sz w:val="24"/>
                <w14:textFill>
                  <w14:solidFill>
                    <w14:schemeClr w14:val="tx1"/>
                  </w14:solidFill>
                </w14:textFill>
              </w:rPr>
              <w:t>）等各类植物及生长环境相关参数。</w:t>
            </w:r>
            <w:r>
              <w:rPr>
                <w:rFonts w:hint="eastAsia" w:ascii="宋体" w:hAnsi="宋体" w:cs="宋体"/>
                <w:bCs/>
                <w:color w:val="000000" w:themeColor="text1"/>
                <w:sz w:val="24"/>
                <w:lang w:eastAsia="zh-CN"/>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此项不计为打分项</w:t>
            </w:r>
            <w:r>
              <w:rPr>
                <w:rFonts w:hint="eastAsia" w:ascii="宋体" w:hAnsi="宋体" w:cs="宋体"/>
                <w:bCs/>
                <w:color w:val="000000" w:themeColor="text1"/>
                <w:sz w:val="24"/>
                <w:lang w:eastAsia="zh-CN"/>
                <w14:textFill>
                  <w14:solidFill>
                    <w14:schemeClr w14:val="tx1"/>
                  </w14:solidFill>
                </w14:textFill>
              </w:rPr>
              <w:t>）</w:t>
            </w:r>
          </w:p>
        </w:tc>
      </w:tr>
      <w:tr w14:paraId="16AB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tcBorders>
              <w:top w:val="single" w:color="auto" w:sz="4" w:space="0"/>
              <w:left w:val="single" w:color="auto" w:sz="4" w:space="0"/>
              <w:bottom w:val="single" w:color="auto" w:sz="4" w:space="0"/>
              <w:right w:val="single" w:color="auto" w:sz="4" w:space="0"/>
            </w:tcBorders>
            <w:vAlign w:val="center"/>
          </w:tcPr>
          <w:p w14:paraId="210831CF">
            <w:pPr>
              <w:widowControl/>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2</w:t>
            </w:r>
          </w:p>
        </w:tc>
        <w:tc>
          <w:tcPr>
            <w:tcW w:w="1051" w:type="dxa"/>
            <w:tcBorders>
              <w:top w:val="single" w:color="auto" w:sz="4" w:space="0"/>
              <w:left w:val="single" w:color="auto" w:sz="4" w:space="0"/>
              <w:bottom w:val="single" w:color="auto" w:sz="4" w:space="0"/>
              <w:right w:val="single" w:color="auto" w:sz="4" w:space="0"/>
            </w:tcBorders>
            <w:vAlign w:val="center"/>
          </w:tcPr>
          <w:p w14:paraId="526B8C1E">
            <w:pPr>
              <w:widowControl/>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性能指标</w:t>
            </w:r>
          </w:p>
        </w:tc>
        <w:tc>
          <w:tcPr>
            <w:tcW w:w="7879" w:type="dxa"/>
            <w:gridSpan w:val="2"/>
            <w:tcBorders>
              <w:top w:val="single" w:color="auto" w:sz="4" w:space="0"/>
              <w:left w:val="single" w:color="auto" w:sz="4" w:space="0"/>
              <w:bottom w:val="single" w:color="auto" w:sz="4" w:space="0"/>
              <w:right w:val="single" w:color="auto" w:sz="4" w:space="0"/>
            </w:tcBorders>
            <w:vAlign w:val="center"/>
          </w:tcPr>
          <w:p w14:paraId="02EB4467">
            <w:pPr>
              <w:widowControl/>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传感器参数</w:t>
            </w:r>
          </w:p>
        </w:tc>
      </w:tr>
      <w:tr w14:paraId="024AC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57EFF16B">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B0D7CAD">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3F74B46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7130" w:type="dxa"/>
            <w:vAlign w:val="center"/>
          </w:tcPr>
          <w:p w14:paraId="7B3A2FDB">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风速风向一体式传感器，风速测量范围</w:t>
            </w:r>
            <w:r>
              <w:rPr>
                <w:rFonts w:hint="eastAsia" w:ascii="宋体" w:hAnsi="宋体" w:eastAsia="宋体"/>
                <w:sz w:val="24"/>
                <w:szCs w:val="24"/>
              </w:rPr>
              <w:tab/>
            </w:r>
            <w:r>
              <w:rPr>
                <w:rFonts w:hint="eastAsia" w:ascii="宋体" w:hAnsi="宋体" w:eastAsia="宋体"/>
                <w:sz w:val="24"/>
                <w:szCs w:val="24"/>
              </w:rPr>
              <w:t>0.5-89m/s，风速精度1m/s ，风速分辨率0.1m/s。风向测量范围0-360°，风向精度±3°，风速分辨率0.1m/s。</w:t>
            </w:r>
          </w:p>
        </w:tc>
      </w:tr>
      <w:tr w14:paraId="6616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0AB04733">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7A81F30">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77C12C9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7130" w:type="dxa"/>
            <w:vAlign w:val="center"/>
          </w:tcPr>
          <w:p w14:paraId="48D9C98F">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空气温湿度气压一体式传感器相对湿度</w:t>
            </w:r>
            <w:r>
              <w:rPr>
                <w:rFonts w:hint="eastAsia" w:ascii="宋体" w:hAnsi="宋体" w:eastAsia="宋体"/>
                <w:sz w:val="24"/>
                <w:szCs w:val="24"/>
              </w:rPr>
              <w:tab/>
            </w:r>
            <w:r>
              <w:rPr>
                <w:rFonts w:hint="eastAsia" w:ascii="宋体" w:hAnsi="宋体" w:eastAsia="宋体"/>
                <w:sz w:val="24"/>
                <w:szCs w:val="24"/>
              </w:rPr>
              <w:t>量程：0-100%、分辨率：0.01%、精度：最高±1.8%RH，温度</w:t>
            </w:r>
            <w:r>
              <w:rPr>
                <w:rFonts w:hint="eastAsia" w:ascii="宋体" w:hAnsi="宋体" w:eastAsia="宋体"/>
                <w:sz w:val="24"/>
                <w:szCs w:val="24"/>
              </w:rPr>
              <w:tab/>
            </w:r>
            <w:r>
              <w:rPr>
                <w:rFonts w:hint="eastAsia" w:ascii="宋体" w:hAnsi="宋体" w:eastAsia="宋体"/>
                <w:sz w:val="24"/>
                <w:szCs w:val="24"/>
              </w:rPr>
              <w:t>量程：-40-80℃，分辨率：0.01℃，精度：最高±0.2℃，气压</w:t>
            </w:r>
            <w:r>
              <w:rPr>
                <w:rFonts w:hint="eastAsia" w:ascii="宋体" w:hAnsi="宋体" w:eastAsia="宋体"/>
                <w:sz w:val="24"/>
                <w:szCs w:val="24"/>
              </w:rPr>
              <w:tab/>
            </w:r>
            <w:r>
              <w:rPr>
                <w:rFonts w:hint="eastAsia" w:ascii="宋体" w:hAnsi="宋体" w:eastAsia="宋体"/>
                <w:sz w:val="24"/>
                <w:szCs w:val="24"/>
              </w:rPr>
              <w:t>量程：300-1100mbar，分辨率：0.1mbar，精度：±0.15mbar（相对精度），±1mbar（绝对精度），防护等级</w:t>
            </w:r>
            <w:r>
              <w:rPr>
                <w:rFonts w:hint="eastAsia" w:ascii="宋体" w:hAnsi="宋体" w:eastAsia="宋体"/>
                <w:sz w:val="24"/>
                <w:szCs w:val="24"/>
              </w:rPr>
              <w:tab/>
            </w:r>
            <w:r>
              <w:rPr>
                <w:rFonts w:hint="eastAsia" w:ascii="宋体" w:hAnsi="宋体" w:eastAsia="宋体"/>
                <w:sz w:val="24"/>
                <w:szCs w:val="24"/>
              </w:rPr>
              <w:t>IP56，运行环境</w:t>
            </w:r>
            <w:r>
              <w:rPr>
                <w:rFonts w:hint="eastAsia" w:ascii="宋体" w:hAnsi="宋体" w:eastAsia="宋体"/>
                <w:sz w:val="24"/>
                <w:szCs w:val="24"/>
              </w:rPr>
              <w:tab/>
            </w:r>
            <w:r>
              <w:rPr>
                <w:rFonts w:hint="eastAsia" w:ascii="宋体" w:hAnsi="宋体" w:eastAsia="宋体"/>
                <w:sz w:val="24"/>
                <w:szCs w:val="24"/>
              </w:rPr>
              <w:t>-40-85℃</w:t>
            </w:r>
          </w:p>
        </w:tc>
      </w:tr>
      <w:tr w14:paraId="186F6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7F284316">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6A2AF08">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6A21B27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7130" w:type="dxa"/>
            <w:vAlign w:val="center"/>
          </w:tcPr>
          <w:p w14:paraId="29C8D3BB">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总辐射传感器 光谱范围0.28~3.0μm，测量范围</w:t>
            </w:r>
            <w:r>
              <w:rPr>
                <w:rFonts w:hint="eastAsia" w:ascii="宋体" w:hAnsi="宋体" w:eastAsia="宋体"/>
                <w:sz w:val="24"/>
                <w:szCs w:val="24"/>
              </w:rPr>
              <w:tab/>
            </w:r>
            <w:r>
              <w:rPr>
                <w:rFonts w:hint="eastAsia" w:ascii="宋体" w:hAnsi="宋体" w:eastAsia="宋体"/>
                <w:sz w:val="24"/>
                <w:szCs w:val="24"/>
              </w:rPr>
              <w:t>0~2000W/m2，信号输出0-20mV(配合变送器可输出4-20mA/1-5V/RS485)，测量精度工作表&lt;5% 标准表&lt;2%，响应时间≤30s(99%)，内阻</w:t>
            </w:r>
            <w:r>
              <w:rPr>
                <w:rFonts w:hint="eastAsia" w:ascii="宋体" w:hAnsi="宋体" w:eastAsia="宋体"/>
                <w:sz w:val="24"/>
                <w:szCs w:val="24"/>
              </w:rPr>
              <w:tab/>
            </w:r>
            <w:r>
              <w:rPr>
                <w:rFonts w:hint="eastAsia" w:ascii="宋体" w:hAnsi="宋体" w:eastAsia="宋体"/>
                <w:sz w:val="24"/>
                <w:szCs w:val="24"/>
              </w:rPr>
              <w:t>约180欧姆，稳定性±2%（一年内灵敏度变化率）</w:t>
            </w:r>
          </w:p>
        </w:tc>
      </w:tr>
      <w:tr w14:paraId="32CD1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0495E507">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57FE4E2">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167C737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7130" w:type="dxa"/>
            <w:vAlign w:val="center"/>
          </w:tcPr>
          <w:p w14:paraId="3F657883">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光合有效传感器 光谱范围400～700 nm，量程0～2500umol/m2·s，测量精度小于5%，响应时间≤3s，稳定性±2%，余弦≤±5%。</w:t>
            </w:r>
          </w:p>
        </w:tc>
      </w:tr>
      <w:tr w14:paraId="538A6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118CD02">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F7D6BCB">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799D08B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w:t>
            </w:r>
            <w:r>
              <w:rPr>
                <w:rFonts w:hint="eastAsia" w:ascii="宋体" w:hAnsi="宋体" w:eastAsia="宋体" w:cs="宋体"/>
                <w:color w:val="000000" w:themeColor="text1"/>
                <w:sz w:val="24"/>
                <w:szCs w:val="24"/>
                <w14:textFill>
                  <w14:solidFill>
                    <w14:schemeClr w14:val="tx1"/>
                  </w14:solidFill>
                </w14:textFill>
              </w:rPr>
              <w:t>5</w:t>
            </w:r>
          </w:p>
        </w:tc>
        <w:tc>
          <w:tcPr>
            <w:tcW w:w="7130" w:type="dxa"/>
            <w:vAlign w:val="center"/>
          </w:tcPr>
          <w:p w14:paraId="18641BC7">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雨量传感器雨水收集面积214 cm</w:t>
            </w:r>
            <w:r>
              <w:rPr>
                <w:rFonts w:hint="eastAsia" w:ascii="宋体" w:hAnsi="宋体" w:eastAsia="宋体"/>
                <w:sz w:val="24"/>
                <w:szCs w:val="24"/>
                <w:vertAlign w:val="superscript"/>
              </w:rPr>
              <w:t>2</w:t>
            </w:r>
            <w:r>
              <w:rPr>
                <w:rFonts w:hint="eastAsia" w:ascii="宋体" w:hAnsi="宋体" w:eastAsia="宋体"/>
                <w:sz w:val="24"/>
                <w:szCs w:val="24"/>
              </w:rPr>
              <w:t xml:space="preserve"> (0.0214 m</w:t>
            </w:r>
            <w:r>
              <w:rPr>
                <w:rFonts w:hint="eastAsia" w:ascii="宋体" w:hAnsi="宋体" w:eastAsia="宋体"/>
                <w:sz w:val="24"/>
                <w:szCs w:val="24"/>
                <w:vertAlign w:val="superscript"/>
              </w:rPr>
              <w:t>2</w:t>
            </w:r>
            <w:r>
              <w:rPr>
                <w:rFonts w:hint="eastAsia" w:ascii="宋体" w:hAnsi="宋体" w:eastAsia="宋体"/>
                <w:sz w:val="24"/>
                <w:szCs w:val="24"/>
              </w:rPr>
              <w:t>)，采用抗紫外线的ABS材料，雨量精度精度为0.2mm，降雨速率精度±5％，分辨率0.2mm。整体采用特有的飞行锥设计，减少横风对降雨量的影响，并配套9厘米不锈钢防鸟刺</w:t>
            </w:r>
            <w:r>
              <w:rPr>
                <w:rFonts w:ascii="宋体" w:hAnsi="宋体"/>
                <w:sz w:val="24"/>
              </w:rPr>
              <w:t>（需提供制造商公开发布的印刷资料（彩页或Datasheet）或检测机构出具的检测报告）</w:t>
            </w:r>
          </w:p>
        </w:tc>
      </w:tr>
      <w:tr w14:paraId="7BEA0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B93385B">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443BC9A9">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528A3BDA">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1FA8D535">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2CFDF734">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6014C53">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1AD9DC1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p>
        </w:tc>
        <w:tc>
          <w:tcPr>
            <w:tcW w:w="7130" w:type="dxa"/>
            <w:vAlign w:val="center"/>
          </w:tcPr>
          <w:p w14:paraId="32DDA404">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叶面湿度传感器量程0-100、精度</w:t>
            </w:r>
            <w:r>
              <w:rPr>
                <w:rFonts w:hint="eastAsia" w:ascii="宋体" w:hAnsi="宋体" w:eastAsia="宋体"/>
                <w:sz w:val="24"/>
                <w:szCs w:val="24"/>
              </w:rPr>
              <w:tab/>
            </w:r>
            <w:r>
              <w:rPr>
                <w:rFonts w:hint="eastAsia" w:ascii="宋体" w:hAnsi="宋体" w:eastAsia="宋体"/>
                <w:sz w:val="24"/>
                <w:szCs w:val="24"/>
              </w:rPr>
              <w:t>5%、供电电压4.5-28V、功耗SDI-12接口：传感器静态电流: &lt;10uA、测量电流:测量时50ms内电流10mA，然后返回静态休眠功耗</w:t>
            </w:r>
          </w:p>
        </w:tc>
      </w:tr>
      <w:tr w14:paraId="79EAE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40C1466">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761D8C13">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4BAE9D85">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4E76C8A4">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0A4761A0">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0D03852A">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090ADD1E">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0D185B8">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010391B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p>
        </w:tc>
        <w:tc>
          <w:tcPr>
            <w:tcW w:w="7130" w:type="dxa"/>
            <w:vAlign w:val="center"/>
          </w:tcPr>
          <w:p w14:paraId="00F9602A">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冠层温度传感器输入电压要求4.5至24V直流，校准不确定度（-30~65℃）</w:t>
            </w:r>
            <w:r>
              <w:rPr>
                <w:rFonts w:hint="eastAsia" w:ascii="宋体" w:hAnsi="宋体" w:eastAsia="宋体"/>
                <w:sz w:val="24"/>
                <w:szCs w:val="24"/>
              </w:rPr>
              <w:tab/>
            </w:r>
            <w:r>
              <w:rPr>
                <w:rFonts w:hint="eastAsia" w:ascii="宋体" w:hAnsi="宋体" w:eastAsia="宋体"/>
                <w:sz w:val="24"/>
                <w:szCs w:val="24"/>
              </w:rPr>
              <w:t>0.2℃，当目标和检测器温度在20℃以内时。测量重复性小于0.05℃，稳定性（长期飘移）当锗过滤器保持在清洁状态时，每年的斜率变化小于2%。光谱范围8至14μm； 视场22°半角，SDI-12输出</w:t>
            </w:r>
          </w:p>
        </w:tc>
      </w:tr>
      <w:tr w14:paraId="44185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D6458CC">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2810E733">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418A756E">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46EA5AC4">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18F43826">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p w14:paraId="5CD5027F">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2CDB4D9">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589FEC8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p>
        </w:tc>
        <w:tc>
          <w:tcPr>
            <w:tcW w:w="7130" w:type="dxa"/>
            <w:vAlign w:val="center"/>
          </w:tcPr>
          <w:p w14:paraId="0A42EA04">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树木周长生长测量传感器 适用于树杆直径&gt; 5 cm，传感器测量范围</w:t>
            </w:r>
            <w:r>
              <w:rPr>
                <w:rFonts w:hint="eastAsia" w:ascii="宋体" w:hAnsi="宋体" w:eastAsia="宋体"/>
                <w:sz w:val="24"/>
                <w:szCs w:val="24"/>
              </w:rPr>
              <w:tab/>
            </w:r>
            <w:r>
              <w:rPr>
                <w:rFonts w:hint="eastAsia" w:ascii="宋体" w:hAnsi="宋体" w:eastAsia="宋体"/>
                <w:sz w:val="24"/>
                <w:szCs w:val="24"/>
              </w:rPr>
              <w:t>25.4mm，精确度测量值的最大±1.97%（稳定偏移），分辨率 0.03μm，线性系数&lt;0.7%，传感器的温度系数</w:t>
            </w:r>
            <w:r>
              <w:rPr>
                <w:rFonts w:hint="eastAsia" w:ascii="宋体" w:hAnsi="宋体" w:eastAsia="宋体"/>
                <w:sz w:val="24"/>
                <w:szCs w:val="24"/>
              </w:rPr>
              <w:tab/>
            </w:r>
            <w:r>
              <w:rPr>
                <w:rFonts w:hint="eastAsia" w:ascii="宋体" w:hAnsi="宋体" w:eastAsia="宋体"/>
                <w:sz w:val="24"/>
                <w:szCs w:val="24"/>
              </w:rPr>
              <w:t>&lt;0.2 µm/°C，钢丝绳的温度系数&lt;1.4 ×10-6/K。传感器重量（仅传感器）37g</w:t>
            </w:r>
          </w:p>
        </w:tc>
      </w:tr>
      <w:tr w14:paraId="2A929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8EC0273">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126F994">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1F4169B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w:t>
            </w:r>
          </w:p>
        </w:tc>
        <w:tc>
          <w:tcPr>
            <w:tcW w:w="7130" w:type="dxa"/>
            <w:vAlign w:val="center"/>
          </w:tcPr>
          <w:p w14:paraId="2B81B892">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树木液流传感器适用树木直径&gt;5cm，传感器数量2，传感器尺寸</w:t>
            </w:r>
            <w:r>
              <w:rPr>
                <w:rFonts w:hint="eastAsia" w:ascii="宋体" w:hAnsi="宋体" w:eastAsia="宋体"/>
                <w:sz w:val="24"/>
                <w:szCs w:val="24"/>
              </w:rPr>
              <w:tab/>
            </w:r>
            <w:r>
              <w:rPr>
                <w:rFonts w:hint="eastAsia" w:ascii="宋体" w:hAnsi="宋体" w:eastAsia="宋体"/>
                <w:sz w:val="24"/>
                <w:szCs w:val="24"/>
              </w:rPr>
              <w:t>针直径：1.5mm；针长  33mm,加热丝长度20mm. 模拟电压信号（-100μV - +800μV）。</w:t>
            </w:r>
          </w:p>
        </w:tc>
      </w:tr>
      <w:tr w14:paraId="02B41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376F05E">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4F003AB">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26C96F7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w:t>
            </w:r>
          </w:p>
        </w:tc>
        <w:tc>
          <w:tcPr>
            <w:tcW w:w="7130" w:type="dxa"/>
            <w:vAlign w:val="center"/>
          </w:tcPr>
          <w:p w14:paraId="18C618DA">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植物原位水势传感器采用压力法原理，测量水势范围0到-35Bar；分辨率：0.1Bar；准确性：读数的±5%，孔膜直径2nm，响应时间1min；&lt;5cm^2，功耗，电源输入：3.6 V至16 V，电流消耗：0.65mA（睡眠），12mA（测量），测量持续时间：200 mS（典型）。</w:t>
            </w:r>
          </w:p>
        </w:tc>
      </w:tr>
      <w:tr w14:paraId="35693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9E5E85F">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41049BF">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0FE9F7E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w:t>
            </w:r>
            <w:r>
              <w:rPr>
                <w:rFonts w:hint="eastAsia" w:ascii="宋体" w:hAnsi="宋体" w:eastAsia="宋体" w:cs="宋体"/>
                <w:color w:val="000000" w:themeColor="text1"/>
                <w:sz w:val="24"/>
                <w:szCs w:val="24"/>
                <w14:textFill>
                  <w14:solidFill>
                    <w14:schemeClr w14:val="tx1"/>
                  </w14:solidFill>
                </w14:textFill>
              </w:rPr>
              <w:t>11</w:t>
            </w:r>
          </w:p>
        </w:tc>
        <w:tc>
          <w:tcPr>
            <w:tcW w:w="7130" w:type="dxa"/>
            <w:vAlign w:val="center"/>
          </w:tcPr>
          <w:p w14:paraId="1DD9539C">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根茎生长测量传感器 适用植物直径</w:t>
            </w:r>
            <w:r>
              <w:rPr>
                <w:rFonts w:hint="eastAsia" w:ascii="宋体" w:hAnsi="宋体" w:eastAsia="宋体"/>
                <w:sz w:val="24"/>
                <w:szCs w:val="24"/>
              </w:rPr>
              <w:tab/>
            </w:r>
            <w:r>
              <w:rPr>
                <w:rFonts w:hint="eastAsia" w:ascii="宋体" w:hAnsi="宋体" w:eastAsia="宋体"/>
                <w:sz w:val="24"/>
                <w:szCs w:val="24"/>
              </w:rPr>
              <w:t>0-2cm,测量范围11mm,分辨率0.01 μm,传感器的温度系数&lt;0.2 µm/℃,线性系数&lt;1%,工作条件温度范围 -25℃-70℃, 湿度范围 0-100％,适用于极端环境（水下、积雪以下、高腐蚀性物质——如盐水、灰烬、腐蚀性农用化学品）,重量(仅限传感器,无电缆)30g.</w:t>
            </w:r>
            <w:r>
              <w:rPr>
                <w:rFonts w:hint="eastAsia"/>
                <w:sz w:val="24"/>
                <w:szCs w:val="24"/>
              </w:rPr>
              <w:t xml:space="preserve"> </w:t>
            </w:r>
            <w:r>
              <w:rPr>
                <w:rFonts w:ascii="宋体" w:hAnsi="宋体" w:eastAsia="宋体"/>
                <w:sz w:val="24"/>
                <w:szCs w:val="24"/>
              </w:rPr>
              <w:t>（需提供制造商公开发布的印刷资料（彩页或Datasheet）或检测机构出具的检测报告）</w:t>
            </w:r>
          </w:p>
        </w:tc>
      </w:tr>
      <w:tr w14:paraId="78CF4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04280BB">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25152F7">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04E876B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w:t>
            </w:r>
            <w:r>
              <w:rPr>
                <w:rFonts w:hint="eastAsia" w:ascii="宋体" w:hAnsi="宋体" w:eastAsia="宋体" w:cs="宋体"/>
                <w:color w:val="000000" w:themeColor="text1"/>
                <w:sz w:val="24"/>
                <w:szCs w:val="24"/>
                <w14:textFill>
                  <w14:solidFill>
                    <w14:schemeClr w14:val="tx1"/>
                  </w14:solidFill>
                </w14:textFill>
              </w:rPr>
              <w:t>12</w:t>
            </w:r>
          </w:p>
        </w:tc>
        <w:tc>
          <w:tcPr>
            <w:tcW w:w="7130" w:type="dxa"/>
            <w:vAlign w:val="center"/>
          </w:tcPr>
          <w:p w14:paraId="651F3208">
            <w:pPr>
              <w:spacing w:line="360"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sz w:val="24"/>
                <w:szCs w:val="24"/>
              </w:rPr>
              <w:t>植物原位水分传感器</w:t>
            </w:r>
            <w:r>
              <w:rPr>
                <w:rFonts w:hint="eastAsia" w:ascii="宋体" w:hAnsi="宋体" w:eastAsia="宋体"/>
                <w:sz w:val="24"/>
                <w:szCs w:val="24"/>
              </w:rPr>
              <w:t xml:space="preserve">，不锈钢探针长度为53mm,不锈钢探针数量为3根，需要安装入树体内部，水分测量范围100%,测量精度为2%,静态休眠功耗0.03mA @12V DC直流，动态测量功耗，当接收到测量指令时起的150ms内电流10mA， 然后返回静态休眠功耗。提供植物树干水分传感器针对不同树木品目的标定方法。 </w:t>
            </w:r>
            <w:r>
              <w:rPr>
                <w:rFonts w:ascii="宋体" w:hAnsi="宋体" w:eastAsia="宋体"/>
                <w:sz w:val="24"/>
                <w:szCs w:val="24"/>
              </w:rPr>
              <w:t>（需提供制造商公开发布的印刷资料（彩页或Datasheet）或检测机构出具的检测报告）</w:t>
            </w:r>
          </w:p>
        </w:tc>
      </w:tr>
      <w:tr w14:paraId="2DF6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03F5061">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7FB8043">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0674812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w:t>
            </w:r>
          </w:p>
        </w:tc>
        <w:tc>
          <w:tcPr>
            <w:tcW w:w="7130" w:type="dxa"/>
            <w:vAlign w:val="center"/>
          </w:tcPr>
          <w:p w14:paraId="3E8C787C">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土壤水分温度电导率传感器测量原理TDR,体积含水量测量范围：0% ~ 100%、体积含水量精度：±2% FS，相对介电常数测量范围：1 ~ 100、相对介电常数精度：±2，土壤体积电导率测量范围：0 ~ 3000 µS/cm、土壤温度测量范围：-40~55℃、相对介电常数精度：±2，孔隙水电导率（EC）测量范围：0 ~ 55000 µS/cm。 体积电导率精度(0 ~ 1000 uS/cm)：±25us/cm,能耗空闲电流（传感器供电但不测量，20 ℃）&lt;10 uA,空闲电流（-35 至 +50 ℃）&lt;50 uA,传感器读取时间0.3 s (典型值),传感器读取电流（电源电压 = 12V）118 mA (典型值）,传感器读取电流（电源电压 = 7V）150 mA（典型值）,传感器通讯电流</w:t>
            </w:r>
            <w:r>
              <w:rPr>
                <w:rFonts w:hint="eastAsia" w:ascii="宋体" w:hAnsi="宋体" w:eastAsia="宋体"/>
                <w:sz w:val="24"/>
                <w:szCs w:val="24"/>
              </w:rPr>
              <w:tab/>
            </w:r>
            <w:r>
              <w:rPr>
                <w:rFonts w:hint="eastAsia" w:ascii="宋体" w:hAnsi="宋体" w:eastAsia="宋体"/>
                <w:sz w:val="24"/>
                <w:szCs w:val="24"/>
              </w:rPr>
              <w:t>6 mA（典型值）</w:t>
            </w:r>
          </w:p>
        </w:tc>
      </w:tr>
      <w:tr w14:paraId="48825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E03967D">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AB11ABF">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175BC31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w:t>
            </w:r>
          </w:p>
        </w:tc>
        <w:tc>
          <w:tcPr>
            <w:tcW w:w="7130" w:type="dxa"/>
            <w:vAlign w:val="center"/>
          </w:tcPr>
          <w:p w14:paraId="36572710">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土壤温度传感器温度范围-40- +80℃、精度</w:t>
            </w:r>
            <w:r>
              <w:rPr>
                <w:rFonts w:hint="eastAsia" w:ascii="宋体" w:hAnsi="宋体" w:eastAsia="宋体"/>
                <w:sz w:val="24"/>
                <w:szCs w:val="24"/>
              </w:rPr>
              <w:tab/>
            </w:r>
            <w:r>
              <w:rPr>
                <w:rFonts w:hint="eastAsia" w:ascii="宋体" w:hAnsi="宋体" w:eastAsia="宋体"/>
                <w:sz w:val="24"/>
                <w:szCs w:val="24"/>
              </w:rPr>
              <w:t>在0~70℃内,分辨率:0.01℃,精度:+/-0.2℃ 在-40~80℃内,分辨率:0.01℃,精度:+/-0.3℃</w:t>
            </w:r>
            <w:r>
              <w:rPr>
                <w:rFonts w:hint="eastAsia" w:ascii="宋体" w:hAnsi="宋体" w:eastAsia="宋体"/>
                <w:sz w:val="24"/>
                <w:szCs w:val="24"/>
              </w:rPr>
              <w:tab/>
            </w:r>
            <w:r>
              <w:rPr>
                <w:rFonts w:hint="eastAsia" w:ascii="宋体" w:hAnsi="宋体" w:eastAsia="宋体"/>
                <w:sz w:val="24"/>
                <w:szCs w:val="24"/>
              </w:rPr>
              <w:t>、功耗SDI-12接口：传感器静态电流:&lt;10uA、防护等级IP68</w:t>
            </w:r>
          </w:p>
        </w:tc>
      </w:tr>
      <w:tr w14:paraId="138E3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B787764">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789172A">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014A65F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15</w:t>
            </w:r>
          </w:p>
        </w:tc>
        <w:tc>
          <w:tcPr>
            <w:tcW w:w="7130" w:type="dxa"/>
            <w:vAlign w:val="center"/>
          </w:tcPr>
          <w:p w14:paraId="1E35DDE4">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土壤水势温度传感器、信号输出类型SDI-12 、供电电压3.6-15V DC直流、土壤水势量程：-9到-2000kPa(1.96-4.31pF) 、分辨率：0.1 kPa、精度：-9到-100 kPa之间为：±(读数的10%+2 kPa)、运行环境-40-60℃</w:t>
            </w:r>
          </w:p>
        </w:tc>
      </w:tr>
      <w:tr w14:paraId="5650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7ECB8540">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0C3DDF6">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879" w:type="dxa"/>
            <w:gridSpan w:val="2"/>
            <w:vAlign w:val="center"/>
          </w:tcPr>
          <w:p w14:paraId="55270DFE">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无线数据采集器参数</w:t>
            </w:r>
          </w:p>
        </w:tc>
      </w:tr>
      <w:tr w14:paraId="7B431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vAlign w:val="center"/>
          </w:tcPr>
          <w:p w14:paraId="6FC1F35E">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EA249F1">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32FB98D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7130" w:type="dxa"/>
            <w:vAlign w:val="center"/>
          </w:tcPr>
          <w:p w14:paraId="792428EE">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主机功能集成了太阳能充电控制器、宽温电池、移动传输、GPS 等组件的低成本、低功耗、多功能数据采集器，可以实现对模拟、开关、频率、SDI-12、RS485 等接口传感器的测量和MODBUS RTU模块的数据读取，并具有大容量数据存储和远程发送功能，可以满足气象、环境、水土、环保等多个学科的科研数据监测需求。</w:t>
            </w:r>
          </w:p>
        </w:tc>
      </w:tr>
      <w:tr w14:paraId="50DBA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583E40A5">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742D893">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0A7B690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7130" w:type="dxa"/>
            <w:vAlign w:val="center"/>
          </w:tcPr>
          <w:p w14:paraId="3B79F5E8">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植物气孔测量时间 ≤5~15秒，测量孔：≤0.75cm直径，流速：低≥75μmol/s，中≥115μmol/s，高≥150μmol/s，相对湿度传感器准确度：≤±2%，进气流速测量：≤读值的±1%@75~150μmol/s，出气流速测量：≤全量程的±5%，上限150μmol/s</w:t>
            </w:r>
            <w:r>
              <w:rPr>
                <w:rFonts w:ascii="宋体" w:hAnsi="宋体" w:eastAsia="宋体"/>
                <w:sz w:val="24"/>
                <w:szCs w:val="24"/>
              </w:rPr>
              <w:t>（需提供制造商公开发布的印刷资料（彩页或Datasheet）或检测机构出具的检测报告）</w:t>
            </w:r>
          </w:p>
        </w:tc>
      </w:tr>
      <w:tr w14:paraId="31842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64E8499">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D419F2C">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398440A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7130" w:type="dxa"/>
            <w:vAlign w:val="center"/>
          </w:tcPr>
          <w:p w14:paraId="21B17FE5">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植物荧光测量时间≤1s，测量光峰值波长：625nm，峰值光强：0~10000μmol/m2/s，峰值光强：0~10000μmol/m2/s.</w:t>
            </w:r>
          </w:p>
        </w:tc>
      </w:tr>
      <w:tr w14:paraId="66425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6099BC2">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9A94043">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5D131B9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w:t>
            </w:r>
            <w:r>
              <w:rPr>
                <w:rFonts w:hint="eastAsia" w:ascii="宋体" w:hAnsi="宋体" w:eastAsia="宋体" w:cs="宋体"/>
                <w:color w:val="000000" w:themeColor="text1"/>
                <w:sz w:val="24"/>
                <w:szCs w:val="24"/>
                <w14:textFill>
                  <w14:solidFill>
                    <w14:schemeClr w14:val="tx1"/>
                  </w14:solidFill>
                </w14:textFill>
              </w:rPr>
              <w:t>4</w:t>
            </w:r>
          </w:p>
        </w:tc>
        <w:tc>
          <w:tcPr>
            <w:tcW w:w="7130" w:type="dxa"/>
            <w:vAlign w:val="center"/>
          </w:tcPr>
          <w:p w14:paraId="41153941">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模拟输入支持60个单端输入，可单独配置，用于电压测量，4个脉冲计数，1个频率，3个电压激励终端，12个开关12V，8个SDI-12输入，4个RS485/ RS232输入</w:t>
            </w:r>
            <w:r>
              <w:rPr>
                <w:rFonts w:ascii="宋体" w:hAnsi="宋体" w:eastAsia="宋体"/>
                <w:sz w:val="24"/>
                <w:szCs w:val="24"/>
              </w:rPr>
              <w:t>（需提供制造商公开发布的印刷资料（彩页或Datasheet）或检测机构出具的检测报告）</w:t>
            </w:r>
          </w:p>
        </w:tc>
      </w:tr>
      <w:tr w14:paraId="21A1A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vAlign w:val="center"/>
          </w:tcPr>
          <w:p w14:paraId="1A72D92F">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3029AD1">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55FA2D5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w:t>
            </w:r>
            <w:r>
              <w:rPr>
                <w:rFonts w:hint="eastAsia" w:ascii="宋体" w:hAnsi="宋体" w:eastAsia="宋体" w:cs="宋体"/>
                <w:color w:val="000000" w:themeColor="text1"/>
                <w:sz w:val="24"/>
                <w:szCs w:val="24"/>
                <w14:textFill>
                  <w14:solidFill>
                    <w14:schemeClr w14:val="tx1"/>
                  </w14:solidFill>
                </w14:textFill>
              </w:rPr>
              <w:t>5</w:t>
            </w:r>
          </w:p>
        </w:tc>
        <w:tc>
          <w:tcPr>
            <w:tcW w:w="7130" w:type="dxa"/>
            <w:vAlign w:val="center"/>
          </w:tcPr>
          <w:p w14:paraId="79AA9EF9">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模拟电压精确度模拟电压精确度19位分辨率，量程为 5000mV，输入阻抗为50KΩ，量程包括±5000mV/±500mV/±50mV/±5mV, ±5mV量程时电压分辨率为0.5uV,最大误差±1.5uV。测量通道采用光电隔离设计，隔离电压1KV，共模电压高达60V时不损失测量精度，测量时自动校零，温度漂移不大于25ppm，具有优异的长期稳定性。</w:t>
            </w:r>
            <w:r>
              <w:rPr>
                <w:rFonts w:ascii="宋体" w:hAnsi="宋体" w:eastAsia="宋体"/>
                <w:sz w:val="24"/>
                <w:szCs w:val="24"/>
              </w:rPr>
              <w:t>（需提供制造商公开发布的印刷资料（彩页或Datasheet）或检测机构出具的检测报告）</w:t>
            </w:r>
          </w:p>
        </w:tc>
      </w:tr>
      <w:tr w14:paraId="60017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1DE1AAE">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0B25456">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645A39E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p>
        </w:tc>
        <w:tc>
          <w:tcPr>
            <w:tcW w:w="7130" w:type="dxa"/>
            <w:vAlign w:val="center"/>
          </w:tcPr>
          <w:p w14:paraId="746BA0B7">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供电17-24V，充电电流不低于2A，内部锂电池 16Ah/12.8V磷酸铁锂电池，电力消耗   休眠：0.24mA，空闲：4.6mA，测量：12mA(不含传感器)，网络发送：平均40mA</w:t>
            </w:r>
          </w:p>
        </w:tc>
      </w:tr>
      <w:tr w14:paraId="37ACF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279D59F">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705004B">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65E8F45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p>
        </w:tc>
        <w:tc>
          <w:tcPr>
            <w:tcW w:w="7130" w:type="dxa"/>
            <w:vAlign w:val="center"/>
          </w:tcPr>
          <w:p w14:paraId="34F1B4AC">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内部存储32M，可以存储64384条数据，1小时存储一条数据能存储7.3年</w:t>
            </w:r>
          </w:p>
        </w:tc>
      </w:tr>
      <w:tr w14:paraId="2C37E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29480F3">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623A673">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70B537C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p>
        </w:tc>
        <w:tc>
          <w:tcPr>
            <w:tcW w:w="7130" w:type="dxa"/>
            <w:vAlign w:val="center"/>
          </w:tcPr>
          <w:p w14:paraId="7329F8BA">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移动传输支持，内置SIM卡，支持LTE CAT1</w:t>
            </w:r>
          </w:p>
        </w:tc>
      </w:tr>
      <w:tr w14:paraId="25CD1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7D35393">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13A1BF4">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2D4F025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w:t>
            </w:r>
          </w:p>
        </w:tc>
        <w:tc>
          <w:tcPr>
            <w:tcW w:w="7130" w:type="dxa"/>
            <w:vAlign w:val="center"/>
          </w:tcPr>
          <w:p w14:paraId="4B19548A">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充电内置 MPPT 功能的太阳能充电控制电路，内置高精度GPS，工作温度-20℃ 到+70℃，低温可扩展至-40℃</w:t>
            </w:r>
          </w:p>
        </w:tc>
      </w:tr>
      <w:tr w14:paraId="143D3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85519F4">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3D177B1">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15E970C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w:t>
            </w:r>
          </w:p>
        </w:tc>
        <w:tc>
          <w:tcPr>
            <w:tcW w:w="7130" w:type="dxa"/>
            <w:vAlign w:val="center"/>
          </w:tcPr>
          <w:p w14:paraId="37996ED2">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内置传感器</w:t>
            </w:r>
            <w:r>
              <w:rPr>
                <w:rFonts w:hint="eastAsia" w:ascii="宋体" w:hAnsi="宋体" w:eastAsia="宋体"/>
                <w:sz w:val="24"/>
                <w:szCs w:val="24"/>
              </w:rPr>
              <w:tab/>
            </w:r>
            <w:r>
              <w:rPr>
                <w:rFonts w:hint="eastAsia" w:ascii="宋体" w:hAnsi="宋体" w:eastAsia="宋体"/>
                <w:sz w:val="24"/>
                <w:szCs w:val="24"/>
              </w:rPr>
              <w:t>内置高精度大气压力传感器，内置主板温度监测，尺寸350mm×250mm×120mm，重量</w:t>
            </w:r>
            <w:r>
              <w:rPr>
                <w:rFonts w:hint="eastAsia" w:ascii="宋体" w:hAnsi="宋体" w:eastAsia="宋体"/>
                <w:sz w:val="24"/>
                <w:szCs w:val="24"/>
              </w:rPr>
              <w:tab/>
            </w:r>
            <w:r>
              <w:rPr>
                <w:rFonts w:hint="eastAsia" w:ascii="宋体" w:hAnsi="宋体" w:eastAsia="宋体"/>
                <w:sz w:val="24"/>
                <w:szCs w:val="24"/>
              </w:rPr>
              <w:t>4.5kg，防护等级</w:t>
            </w:r>
            <w:r>
              <w:rPr>
                <w:rFonts w:hint="eastAsia" w:ascii="宋体" w:hAnsi="宋体" w:eastAsia="宋体"/>
                <w:sz w:val="24"/>
                <w:szCs w:val="24"/>
              </w:rPr>
              <w:tab/>
            </w:r>
            <w:r>
              <w:rPr>
                <w:rFonts w:hint="eastAsia" w:ascii="宋体" w:hAnsi="宋体" w:eastAsia="宋体"/>
                <w:sz w:val="24"/>
                <w:szCs w:val="24"/>
              </w:rPr>
              <w:t>IP65</w:t>
            </w:r>
          </w:p>
        </w:tc>
      </w:tr>
      <w:tr w14:paraId="69615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C3060BE">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6FC1F9B">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01555B3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w:t>
            </w:r>
          </w:p>
        </w:tc>
        <w:tc>
          <w:tcPr>
            <w:tcW w:w="7130" w:type="dxa"/>
            <w:vAlign w:val="center"/>
          </w:tcPr>
          <w:p w14:paraId="4298577E">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云平台功能可以远程查看、下载数据，展示设备所在地理位置、 运行状态、 及设备采集数据记录总数，出具相关数据曲线图；</w:t>
            </w:r>
          </w:p>
        </w:tc>
      </w:tr>
      <w:tr w14:paraId="5E42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75CC113">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C67B5E5">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01B9CA5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w:t>
            </w:r>
            <w:r>
              <w:rPr>
                <w:rFonts w:hint="eastAsia" w:ascii="宋体" w:hAnsi="宋体" w:eastAsia="宋体" w:cs="宋体"/>
                <w:color w:val="000000" w:themeColor="text1"/>
                <w:sz w:val="24"/>
                <w:szCs w:val="24"/>
                <w14:textFill>
                  <w14:solidFill>
                    <w14:schemeClr w14:val="tx1"/>
                  </w14:solidFill>
                </w14:textFill>
              </w:rPr>
              <w:t>12</w:t>
            </w:r>
          </w:p>
        </w:tc>
        <w:tc>
          <w:tcPr>
            <w:tcW w:w="7130" w:type="dxa"/>
            <w:vAlign w:val="center"/>
          </w:tcPr>
          <w:p w14:paraId="4F933AC6">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 xml:space="preserve">架构云平台采用B/S架构，基于纯HTML5技术，可以在平板电脑、iPhone及安卓手机平板在内的多种移动设备上应用，所有程序均在沙箱中运行，彻底保障程序安全。软件开发具有前瞻性，可以在多年后依然处于技术的前沿，客户端分级密码设置,确保系统安全以及数据安全； </w:t>
            </w:r>
            <w:r>
              <w:rPr>
                <w:rFonts w:ascii="宋体" w:hAnsi="宋体" w:eastAsia="宋体"/>
                <w:sz w:val="24"/>
                <w:szCs w:val="24"/>
              </w:rPr>
              <w:t>（需提供制造商公开发布的印刷资料（彩页或Datasheet）或检测机构出具的检测报告）</w:t>
            </w:r>
          </w:p>
        </w:tc>
      </w:tr>
      <w:tr w14:paraId="40471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75895C1">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C75F8DB">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54D8F16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w:t>
            </w:r>
          </w:p>
        </w:tc>
        <w:tc>
          <w:tcPr>
            <w:tcW w:w="7130" w:type="dxa"/>
            <w:vAlign w:val="center"/>
          </w:tcPr>
          <w:p w14:paraId="21B1E266">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异常状态云平台有设备是否在线与设备异常状态提示，数据扩展云平台支持对接客户已有平台，可将数据转移到客户已有平台</w:t>
            </w:r>
          </w:p>
        </w:tc>
      </w:tr>
    </w:tbl>
    <w:p w14:paraId="318EF463">
      <w:pPr>
        <w:widowControl/>
        <w:snapToGrid w:val="0"/>
        <w:spacing w:before="156" w:beforeLines="50" w:after="156" w:afterLines="50" w:line="360" w:lineRule="auto"/>
        <w:jc w:val="center"/>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品目二 植物原位生长水势测量仪</w:t>
      </w:r>
    </w:p>
    <w:p w14:paraId="10CE1BA5"/>
    <w:tbl>
      <w:tblPr>
        <w:tblStyle w:val="3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3A459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4ED520E9">
            <w:pPr>
              <w:widowControl/>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编号</w:t>
            </w:r>
          </w:p>
        </w:tc>
        <w:tc>
          <w:tcPr>
            <w:tcW w:w="1051" w:type="dxa"/>
            <w:vAlign w:val="center"/>
          </w:tcPr>
          <w:p w14:paraId="615C7CC2">
            <w:pPr>
              <w:widowControl/>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招标技术指标名称</w:t>
            </w:r>
          </w:p>
        </w:tc>
        <w:tc>
          <w:tcPr>
            <w:tcW w:w="7879" w:type="dxa"/>
            <w:gridSpan w:val="2"/>
            <w:vAlign w:val="center"/>
          </w:tcPr>
          <w:p w14:paraId="342B10D1">
            <w:pPr>
              <w:widowControl/>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招标技术指标值</w:t>
            </w:r>
          </w:p>
        </w:tc>
      </w:tr>
      <w:tr w14:paraId="735D8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1A40CF7D">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051" w:type="dxa"/>
            <w:vAlign w:val="center"/>
          </w:tcPr>
          <w:p w14:paraId="4364B97D">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应用范围和要求</w:t>
            </w:r>
          </w:p>
        </w:tc>
        <w:tc>
          <w:tcPr>
            <w:tcW w:w="7879" w:type="dxa"/>
            <w:gridSpan w:val="2"/>
            <w:vAlign w:val="center"/>
          </w:tcPr>
          <w:p w14:paraId="0A2CCA67">
            <w:pPr>
              <w:spacing w:line="360" w:lineRule="auto"/>
              <w:ind w:left="105" w:leftChars="50"/>
              <w:rPr>
                <w:rFonts w:hint="eastAsia" w:ascii="宋体" w:hAnsi="宋体" w:eastAsia="宋体"/>
                <w:sz w:val="24"/>
                <w:szCs w:val="24"/>
                <w:lang w:eastAsia="zh-CN"/>
              </w:rPr>
            </w:pPr>
            <w:r>
              <w:rPr>
                <w:rFonts w:ascii="宋体" w:hAnsi="宋体" w:eastAsia="宋体"/>
                <w:sz w:val="24"/>
                <w:szCs w:val="24"/>
              </w:rPr>
              <w:t>原位茎杆水势测量仪是通过测量植物内部的水张力来直接测量树木水分状况的指标。传统上，它被用作与其他水势状况指标进行比较的参考。由于测量是直接在载水组织内部进行的，因此读数准确可靠。这种微张力计的测量范围高达100bar，通过使用纳米多孔硅片实现测量。硅片的膜孔直径约为2nm，数据非常精准可靠。数据可以通过网络进行数据传输，实时更新数据图表变化，为植物水势和农田灌溉提供科学的数据建议。</w:t>
            </w:r>
            <w:r>
              <w:rPr>
                <w:rFonts w:hint="eastAsia" w:ascii="宋体" w:hAnsi="宋体" w:eastAsia="宋体"/>
                <w:sz w:val="24"/>
                <w:szCs w:val="24"/>
                <w:lang w:eastAsia="zh-CN"/>
              </w:rPr>
              <w:t>（</w:t>
            </w:r>
            <w:r>
              <w:rPr>
                <w:rFonts w:hint="eastAsia" w:ascii="宋体" w:hAnsi="宋体" w:eastAsia="宋体"/>
                <w:sz w:val="24"/>
                <w:szCs w:val="24"/>
                <w:lang w:val="en-US" w:eastAsia="zh-CN"/>
              </w:rPr>
              <w:t>此处不计为打分项</w:t>
            </w:r>
            <w:r>
              <w:rPr>
                <w:rFonts w:hint="eastAsia" w:ascii="宋体" w:hAnsi="宋体" w:eastAsia="宋体"/>
                <w:sz w:val="24"/>
                <w:szCs w:val="24"/>
                <w:lang w:eastAsia="zh-CN"/>
              </w:rPr>
              <w:t>）</w:t>
            </w:r>
          </w:p>
        </w:tc>
      </w:tr>
      <w:tr w14:paraId="63ED2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669D6CE7">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051" w:type="dxa"/>
            <w:vMerge w:val="restart"/>
            <w:vAlign w:val="center"/>
          </w:tcPr>
          <w:p w14:paraId="4067CF55">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性能指标</w:t>
            </w:r>
          </w:p>
        </w:tc>
        <w:tc>
          <w:tcPr>
            <w:tcW w:w="7879" w:type="dxa"/>
            <w:gridSpan w:val="2"/>
            <w:vAlign w:val="center"/>
          </w:tcPr>
          <w:p w14:paraId="6989BB8E">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传感器参数</w:t>
            </w:r>
          </w:p>
        </w:tc>
      </w:tr>
      <w:tr w14:paraId="7C791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1B3C9903">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EC6B5DE">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283C052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w:t>
            </w:r>
            <w:r>
              <w:rPr>
                <w:rFonts w:hint="eastAsia" w:ascii="宋体" w:hAnsi="宋体" w:eastAsia="宋体" w:cs="宋体"/>
                <w:color w:val="000000" w:themeColor="text1"/>
                <w:sz w:val="24"/>
                <w:szCs w:val="24"/>
                <w14:textFill>
                  <w14:solidFill>
                    <w14:schemeClr w14:val="tx1"/>
                  </w14:solidFill>
                </w14:textFill>
              </w:rPr>
              <w:t>1</w:t>
            </w:r>
          </w:p>
        </w:tc>
        <w:tc>
          <w:tcPr>
            <w:tcW w:w="7130" w:type="dxa"/>
            <w:vAlign w:val="center"/>
          </w:tcPr>
          <w:p w14:paraId="219F6F2F">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植物原位水势传感器采用压力法原理，测量水势范围0到-35Bar；分辨率：0.1Bar；准确性：读数的±5%，孔膜直径2nm，响应时间1min；&lt;5cm^2，功耗，电源输入：3.6 V至16 V，电流消耗：0.65mA（睡眠），12mA（测量），测量持续时间：200 mS（典型）。</w:t>
            </w:r>
            <w:r>
              <w:rPr>
                <w:rFonts w:hint="eastAsia" w:ascii="宋体" w:hAnsi="宋体"/>
                <w:sz w:val="24"/>
              </w:rPr>
              <w:t>提供最近2年2种不同树木的生长季的测量曲线对比数据图。</w:t>
            </w:r>
          </w:p>
        </w:tc>
      </w:tr>
      <w:tr w14:paraId="5993C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4D77AAD0">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2E0D9D7">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0711AC4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w:t>
            </w:r>
            <w:r>
              <w:rPr>
                <w:rFonts w:hint="eastAsia" w:ascii="宋体" w:hAnsi="宋体" w:eastAsia="宋体" w:cs="宋体"/>
                <w:color w:val="000000" w:themeColor="text1"/>
                <w:sz w:val="24"/>
                <w:szCs w:val="24"/>
                <w14:textFill>
                  <w14:solidFill>
                    <w14:schemeClr w14:val="tx1"/>
                  </w14:solidFill>
                </w14:textFill>
              </w:rPr>
              <w:t>2</w:t>
            </w:r>
          </w:p>
        </w:tc>
        <w:tc>
          <w:tcPr>
            <w:tcW w:w="7130" w:type="dxa"/>
            <w:vAlign w:val="center"/>
          </w:tcPr>
          <w:p w14:paraId="4C0AE8DA">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树干茎秆生长变化传感器适合8厘米以上树木，量程65mm生长量、误差1%量程、分辨率小于1μm、钢带强度15~20N。测量间隔5分钟~4小时，</w:t>
            </w:r>
            <w:r>
              <w:rPr>
                <w:rFonts w:ascii="宋体" w:hAnsi="宋体" w:eastAsia="宋体"/>
                <w:sz w:val="24"/>
                <w:szCs w:val="24"/>
              </w:rPr>
              <w:t>（需提供制造商公开发布的印刷资料（彩页或Datasheet）或检测机构出具的检测报告）</w:t>
            </w:r>
          </w:p>
        </w:tc>
      </w:tr>
      <w:tr w14:paraId="21D40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14729BD9">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BD19998">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02FE13D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7130" w:type="dxa"/>
            <w:vAlign w:val="center"/>
          </w:tcPr>
          <w:p w14:paraId="684B0A39">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传感器工作条件 温度：-40~60℃；湿度：0~100%，内部温度精度±3℃，数据容量100000个数据（存储容量，测量间隔1小时，约6年），电池寿命，可以用约5年，远程通信包括4G数据记录器、蜂窝数据和可视化平台。</w:t>
            </w:r>
          </w:p>
        </w:tc>
      </w:tr>
      <w:tr w14:paraId="1311F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1D3C43DA">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C03B48C">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879" w:type="dxa"/>
            <w:gridSpan w:val="2"/>
            <w:vAlign w:val="center"/>
          </w:tcPr>
          <w:p w14:paraId="25323B19">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无线数据采集器参数</w:t>
            </w:r>
          </w:p>
        </w:tc>
      </w:tr>
      <w:tr w14:paraId="17630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vAlign w:val="center"/>
          </w:tcPr>
          <w:p w14:paraId="337974EB">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5873595">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3F1F89A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7130" w:type="dxa"/>
            <w:vAlign w:val="center"/>
          </w:tcPr>
          <w:p w14:paraId="37F043BA">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主机功能集成了太阳能充电控制器、宽温电池、移动传输、GPS 等组件的低成本、低功耗、多功能数据采集器，可以实现对模拟、开关、频率、SDI-12、RS485 等接口传感器的测量和MODBUS RTU模块的数据读取，并具有大容量数据存储和远程发送功能，可以满足气象、环境、水土、环保等多个学科的科研数据监测需求。</w:t>
            </w:r>
          </w:p>
        </w:tc>
      </w:tr>
      <w:tr w14:paraId="508F4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4D03AEA1">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14F2E88">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75B8DB4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2</w:t>
            </w:r>
          </w:p>
        </w:tc>
        <w:tc>
          <w:tcPr>
            <w:tcW w:w="7130" w:type="dxa"/>
            <w:vAlign w:val="center"/>
          </w:tcPr>
          <w:p w14:paraId="4FC19573">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模拟输入支持60个单端输入，可单独配置，用于电压测量，4个脉冲计数，1个频率，3个电压激励终端，12个开关12V，8个SDI-12输入，4个RS485/ RS232输入</w:t>
            </w:r>
            <w:r>
              <w:rPr>
                <w:rFonts w:ascii="宋体" w:hAnsi="宋体" w:eastAsia="宋体"/>
                <w:sz w:val="24"/>
                <w:szCs w:val="24"/>
              </w:rPr>
              <w:t>（需提供制造商公开发布的印刷资料（彩页或Datasheet）或检测机构出具的检测报告）</w:t>
            </w:r>
          </w:p>
        </w:tc>
      </w:tr>
      <w:tr w14:paraId="2A83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3DB3E4B">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CF186E8">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48D14CF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w:t>
            </w:r>
            <w:r>
              <w:rPr>
                <w:rFonts w:hint="eastAsia" w:ascii="宋体" w:hAnsi="宋体" w:eastAsia="宋体" w:cs="宋体"/>
                <w:color w:val="000000" w:themeColor="text1"/>
                <w:sz w:val="24"/>
                <w:szCs w:val="24"/>
                <w14:textFill>
                  <w14:solidFill>
                    <w14:schemeClr w14:val="tx1"/>
                  </w14:solidFill>
                </w14:textFill>
              </w:rPr>
              <w:t>3</w:t>
            </w:r>
          </w:p>
        </w:tc>
        <w:tc>
          <w:tcPr>
            <w:tcW w:w="7130" w:type="dxa"/>
            <w:vAlign w:val="center"/>
          </w:tcPr>
          <w:p w14:paraId="2081B183">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模拟电压精确度模拟电压精确度19位分辨率，量程为 5000mV，输入阻抗为50KΩ，量程包括±5000mV/±500mV/±50mV/±5mV, ±5mV量程时电压分辨率为0.5uV,最大误差±1.5uV。测量通道采用光电隔离设计，隔离电压1KV，共模电压高达60V时不损失测量精度，测量时自动校零，温度漂移不大于25ppm，具有优异的长期稳定性。</w:t>
            </w:r>
            <w:r>
              <w:rPr>
                <w:rFonts w:ascii="宋体" w:hAnsi="宋体" w:eastAsia="宋体"/>
                <w:sz w:val="24"/>
                <w:szCs w:val="24"/>
              </w:rPr>
              <w:t>（需提供制造商公开发布的印刷资料（彩页或Datasheet）或检测机构出具的检测报告）</w:t>
            </w:r>
          </w:p>
        </w:tc>
      </w:tr>
      <w:tr w14:paraId="29C56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B906270">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D1D2E12">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337D11A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7130" w:type="dxa"/>
            <w:vAlign w:val="center"/>
          </w:tcPr>
          <w:p w14:paraId="601BE8F8">
            <w:pPr>
              <w:spacing w:after="160" w:line="36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供电17-24V，充电电流不低于2A，内部锂电池 16Ah/12.8V磷酸铁锂电池，电力消耗   休眠：0.24mA，空闲：4.6mA，测量：12mA(不含传感器)，网络发送：平均40mA</w:t>
            </w:r>
          </w:p>
        </w:tc>
      </w:tr>
      <w:tr w14:paraId="5E657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vAlign w:val="center"/>
          </w:tcPr>
          <w:p w14:paraId="15AAABB3">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F89B10B">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7059C39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7130" w:type="dxa"/>
            <w:vAlign w:val="center"/>
          </w:tcPr>
          <w:p w14:paraId="3EB26F52">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内部存储32M，可以存储64384条数据，1小时存储一条数据能存储7.3年</w:t>
            </w:r>
          </w:p>
        </w:tc>
      </w:tr>
      <w:tr w14:paraId="1EA89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6AFC2B5">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FCD92EA">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1C89E9E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p>
        </w:tc>
        <w:tc>
          <w:tcPr>
            <w:tcW w:w="7130" w:type="dxa"/>
            <w:vAlign w:val="center"/>
          </w:tcPr>
          <w:p w14:paraId="71DF4D62">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移动传输支持，内置SIM卡，支持LTE CAT1</w:t>
            </w:r>
          </w:p>
        </w:tc>
      </w:tr>
      <w:tr w14:paraId="29007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57DCE4F">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6608EDC">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41553F7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p>
        </w:tc>
        <w:tc>
          <w:tcPr>
            <w:tcW w:w="7130" w:type="dxa"/>
            <w:vAlign w:val="center"/>
          </w:tcPr>
          <w:p w14:paraId="7E6FFB16">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充电内置 MPPT 功能的太阳能充电控制电路，内置高精度GPS，工作温度-20℃ 到+70℃，低温可扩展至-40℃</w:t>
            </w:r>
          </w:p>
        </w:tc>
      </w:tr>
      <w:tr w14:paraId="75264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1410D66">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7ABBD40">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628806C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p>
        </w:tc>
        <w:tc>
          <w:tcPr>
            <w:tcW w:w="7130" w:type="dxa"/>
            <w:vAlign w:val="center"/>
          </w:tcPr>
          <w:p w14:paraId="17781765">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内置传感器</w:t>
            </w:r>
            <w:r>
              <w:rPr>
                <w:rFonts w:hint="eastAsia" w:ascii="宋体" w:hAnsi="宋体" w:eastAsia="宋体"/>
                <w:sz w:val="24"/>
                <w:szCs w:val="24"/>
              </w:rPr>
              <w:tab/>
            </w:r>
            <w:r>
              <w:rPr>
                <w:rFonts w:hint="eastAsia" w:ascii="宋体" w:hAnsi="宋体" w:eastAsia="宋体"/>
                <w:sz w:val="24"/>
                <w:szCs w:val="24"/>
              </w:rPr>
              <w:t>内置高精度大气压力传感器，内置主板温度监测，尺寸350mm×250mm×120mm，重量</w:t>
            </w:r>
            <w:r>
              <w:rPr>
                <w:rFonts w:hint="eastAsia" w:ascii="宋体" w:hAnsi="宋体" w:eastAsia="宋体"/>
                <w:sz w:val="24"/>
                <w:szCs w:val="24"/>
              </w:rPr>
              <w:tab/>
            </w:r>
            <w:r>
              <w:rPr>
                <w:rFonts w:hint="eastAsia" w:ascii="宋体" w:hAnsi="宋体" w:eastAsia="宋体"/>
                <w:sz w:val="24"/>
                <w:szCs w:val="24"/>
              </w:rPr>
              <w:t>4.5kg，防护等级</w:t>
            </w:r>
            <w:r>
              <w:rPr>
                <w:rFonts w:hint="eastAsia" w:ascii="宋体" w:hAnsi="宋体" w:eastAsia="宋体"/>
                <w:sz w:val="24"/>
                <w:szCs w:val="24"/>
              </w:rPr>
              <w:tab/>
            </w:r>
            <w:r>
              <w:rPr>
                <w:rFonts w:hint="eastAsia" w:ascii="宋体" w:hAnsi="宋体" w:eastAsia="宋体"/>
                <w:sz w:val="24"/>
                <w:szCs w:val="24"/>
              </w:rPr>
              <w:t>IP65</w:t>
            </w:r>
          </w:p>
        </w:tc>
      </w:tr>
      <w:tr w14:paraId="0A73C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943E1BC">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C37CF6D">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241D522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w:t>
            </w:r>
          </w:p>
        </w:tc>
        <w:tc>
          <w:tcPr>
            <w:tcW w:w="7130" w:type="dxa"/>
            <w:vAlign w:val="center"/>
          </w:tcPr>
          <w:p w14:paraId="13E6706D">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云平台功能可以远程查看、下载数据，展示设备所在地理位置、 运行状态、 及设备采集数据记录总数，出具相关数据曲线图；</w:t>
            </w:r>
          </w:p>
        </w:tc>
      </w:tr>
      <w:tr w14:paraId="69703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647ABCA">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6962D10">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5A4B9FFE">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19" w:name="OLE_LINK6"/>
            <w:r>
              <w:rPr>
                <w:rFonts w:hint="eastAsia" w:ascii="宋体" w:hAnsi="宋体" w:eastAsia="宋体" w:cs="宋体"/>
                <w:color w:val="000000" w:themeColor="text1"/>
                <w:sz w:val="24"/>
                <w:szCs w:val="24"/>
                <w14:textFill>
                  <w14:solidFill>
                    <w14:schemeClr w14:val="tx1"/>
                  </w14:solidFill>
                </w14:textFill>
              </w:rPr>
              <w:t>▲</w:t>
            </w:r>
            <w:bookmarkEnd w:id="19"/>
            <w:r>
              <w:rPr>
                <w:rFonts w:hint="eastAsia" w:ascii="宋体" w:hAnsi="宋体" w:eastAsia="宋体" w:cs="宋体"/>
                <w:color w:val="000000" w:themeColor="text1"/>
                <w:sz w:val="24"/>
                <w:szCs w:val="24"/>
                <w14:textFill>
                  <w14:solidFill>
                    <w14:schemeClr w14:val="tx1"/>
                  </w14:solidFill>
                </w14:textFill>
              </w:rPr>
              <w:t>10</w:t>
            </w:r>
          </w:p>
        </w:tc>
        <w:tc>
          <w:tcPr>
            <w:tcW w:w="7130" w:type="dxa"/>
            <w:vAlign w:val="center"/>
          </w:tcPr>
          <w:p w14:paraId="2245C3AB">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架构云平台采用B/S架构，基于纯HTML5技术，可以在平板电脑、iPhone及安卓手机平板在内的多种移动设备上应用，所有程序均在沙箱中运行，彻底保障程序安全。软件开发具有前瞻性，可以在多年后依然处于技术的前沿，客户端分级密码设置,确保系统安全以及数据安全；并提供</w:t>
            </w:r>
            <w:r>
              <w:rPr>
                <w:rFonts w:ascii="宋体" w:hAnsi="宋体" w:eastAsia="宋体"/>
                <w:sz w:val="24"/>
                <w:szCs w:val="24"/>
              </w:rPr>
              <w:t>植物原位生长水势测量仪</w:t>
            </w:r>
            <w:r>
              <w:rPr>
                <w:rFonts w:hint="eastAsia" w:ascii="宋体" w:hAnsi="宋体" w:eastAsia="宋体"/>
                <w:sz w:val="24"/>
                <w:szCs w:val="24"/>
              </w:rPr>
              <w:t>云平台测量的任意一个月的完整数据截图。</w:t>
            </w:r>
          </w:p>
        </w:tc>
      </w:tr>
      <w:tr w14:paraId="64BF6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1C562BC">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5C699233">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591A887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w:t>
            </w:r>
          </w:p>
        </w:tc>
        <w:tc>
          <w:tcPr>
            <w:tcW w:w="7130" w:type="dxa"/>
            <w:vAlign w:val="center"/>
          </w:tcPr>
          <w:p w14:paraId="69F12FB0">
            <w:pPr>
              <w:spacing w:after="160" w:line="360" w:lineRule="auto"/>
              <w:contextualSpacing/>
              <w:jc w:val="left"/>
              <w:rPr>
                <w:rFonts w:hint="eastAsia" w:ascii="宋体" w:hAnsi="宋体" w:eastAsia="宋体"/>
                <w:sz w:val="24"/>
                <w:szCs w:val="24"/>
              </w:rPr>
            </w:pPr>
            <w:r>
              <w:rPr>
                <w:rFonts w:hint="eastAsia" w:ascii="宋体" w:hAnsi="宋体" w:eastAsia="宋体"/>
                <w:sz w:val="24"/>
                <w:szCs w:val="24"/>
              </w:rPr>
              <w:t>异常状态云平台有设备是否在线与设备异常状态提示</w:t>
            </w:r>
          </w:p>
        </w:tc>
      </w:tr>
      <w:tr w14:paraId="61420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F01A5A4">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1D3C4CD0">
            <w:pPr>
              <w:widowControl/>
              <w:spacing w:line="360" w:lineRule="auto"/>
              <w:ind w:firstLine="120" w:firstLineChars="50"/>
              <w:rPr>
                <w:rFonts w:hint="eastAsia" w:ascii="宋体" w:hAnsi="宋体" w:eastAsia="宋体" w:cs="宋体"/>
                <w:color w:val="000000" w:themeColor="text1"/>
                <w:sz w:val="24"/>
                <w:szCs w:val="24"/>
                <w14:textFill>
                  <w14:solidFill>
                    <w14:schemeClr w14:val="tx1"/>
                  </w14:solidFill>
                </w14:textFill>
              </w:rPr>
            </w:pPr>
          </w:p>
        </w:tc>
        <w:tc>
          <w:tcPr>
            <w:tcW w:w="749" w:type="dxa"/>
            <w:vAlign w:val="center"/>
          </w:tcPr>
          <w:p w14:paraId="2D5B7EF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w:t>
            </w:r>
          </w:p>
        </w:tc>
        <w:tc>
          <w:tcPr>
            <w:tcW w:w="7130" w:type="dxa"/>
            <w:vAlign w:val="center"/>
          </w:tcPr>
          <w:p w14:paraId="2A217995">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数据扩展云平台支持对接客户已有平台，可将数据转移到客户已有平台</w:t>
            </w:r>
          </w:p>
        </w:tc>
      </w:tr>
    </w:tbl>
    <w:p w14:paraId="0735C276">
      <w:pPr>
        <w:pStyle w:val="36"/>
        <w:ind w:firstLine="0" w:firstLineChars="0"/>
        <w:rPr>
          <w:rFonts w:hint="default" w:eastAsia="宋体"/>
          <w:sz w:val="24"/>
          <w:szCs w:val="24"/>
          <w:lang w:val="en-US" w:eastAsia="zh-CN"/>
        </w:rPr>
      </w:pPr>
      <w:r>
        <w:rPr>
          <w:rFonts w:hint="eastAsia"/>
          <w:sz w:val="24"/>
          <w:szCs w:val="24"/>
          <w:lang w:val="en-US" w:eastAsia="zh-CN"/>
        </w:rPr>
        <w:t>三、商务部分</w:t>
      </w:r>
    </w:p>
    <w:p w14:paraId="2570870D">
      <w:pPr>
        <w:numPr>
          <w:ilvl w:val="0"/>
          <w:numId w:val="7"/>
        </w:numPr>
        <w:autoSpaceDE w:val="0"/>
        <w:autoSpaceDN w:val="0"/>
        <w:adjustRightInd w:val="0"/>
        <w:spacing w:line="360" w:lineRule="auto"/>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★交货地点：</w:t>
      </w:r>
      <w:r>
        <w:rPr>
          <w:rFonts w:ascii="宋体" w:hAnsi="宋体" w:eastAsia="宋体" w:cs="仿宋"/>
          <w:sz w:val="24"/>
          <w:szCs w:val="24"/>
          <w:lang w:val="en"/>
        </w:rPr>
        <w:t>广州市天河区兴科路723号中国科学院华南植物园</w:t>
      </w:r>
      <w:r>
        <w:rPr>
          <w:rFonts w:hint="eastAsia" w:ascii="宋体" w:hAnsi="宋体" w:eastAsia="宋体" w:cs="宋体"/>
          <w:color w:val="000000" w:themeColor="text1"/>
          <w:kern w:val="0"/>
          <w:sz w:val="24"/>
          <w:szCs w:val="24"/>
          <w:lang w:val="zh-CN"/>
          <w14:textFill>
            <w14:solidFill>
              <w14:schemeClr w14:val="tx1"/>
            </w14:solidFill>
          </w14:textFill>
        </w:rPr>
        <w:t>指定地点</w:t>
      </w:r>
    </w:p>
    <w:p w14:paraId="68F9CC65">
      <w:pPr>
        <w:numPr>
          <w:ilvl w:val="0"/>
          <w:numId w:val="7"/>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★交货期：</w:t>
      </w:r>
      <w:r>
        <w:rPr>
          <w:rFonts w:hint="eastAsia" w:ascii="宋体" w:hAnsi="宋体" w:eastAsia="宋体" w:cs="宋体"/>
          <w:color w:val="000000" w:themeColor="text1"/>
          <w:kern w:val="0"/>
          <w:sz w:val="24"/>
          <w:szCs w:val="24"/>
          <w:lang w:val="de-DE"/>
          <w14:textFill>
            <w14:solidFill>
              <w14:schemeClr w14:val="tx1"/>
            </w14:solidFill>
          </w14:textFill>
        </w:rPr>
        <w:t>合同签订后的</w:t>
      </w:r>
      <w:r>
        <w:rPr>
          <w:rFonts w:hint="eastAsia" w:ascii="宋体" w:hAnsi="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14:textFill>
            <w14:solidFill>
              <w14:schemeClr w14:val="tx1"/>
            </w14:solidFill>
          </w14:textFill>
        </w:rPr>
        <w:t>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p w14:paraId="52233441">
      <w:pPr>
        <w:numPr>
          <w:ilvl w:val="0"/>
          <w:numId w:val="7"/>
        </w:numPr>
        <w:tabs>
          <w:tab w:val="left" w:pos="420"/>
        </w:tabs>
        <w:autoSpaceDE w:val="0"/>
        <w:autoSpaceDN w:val="0"/>
        <w:adjustRightInd w:val="0"/>
        <w:spacing w:line="360" w:lineRule="auto"/>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★报价方式及要求：</w:t>
      </w:r>
    </w:p>
    <w:p w14:paraId="2B987B3B">
      <w:pPr>
        <w:numPr>
          <w:ilvl w:val="0"/>
          <w:numId w:val="8"/>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w:t>
      </w:r>
      <w:r>
        <w:rPr>
          <w:rFonts w:hint="eastAsia" w:ascii="宋体" w:hAnsi="宋体" w:cs="宋体"/>
          <w:color w:val="000000" w:themeColor="text1"/>
          <w:sz w:val="24"/>
          <w:szCs w:val="24"/>
          <w:highlight w:val="none"/>
          <w:lang w:val="en-US" w:eastAsia="zh-CN"/>
          <w14:textFill>
            <w14:solidFill>
              <w14:schemeClr w14:val="tx1"/>
            </w14:solidFill>
          </w14:textFill>
        </w:rPr>
        <w:t>第一包</w:t>
      </w:r>
      <w:r>
        <w:rPr>
          <w:rFonts w:hint="eastAsia" w:ascii="宋体" w:hAnsi="宋体" w:eastAsia="宋体" w:cs="宋体"/>
          <w:color w:val="000000" w:themeColor="text1"/>
          <w:sz w:val="24"/>
          <w:szCs w:val="24"/>
          <w:highlight w:val="none"/>
          <w14:textFill>
            <w14:solidFill>
              <w14:schemeClr w14:val="tx1"/>
            </w14:solidFill>
          </w14:textFill>
        </w:rPr>
        <w:t>不允许采购进口产品</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3BC4334">
      <w:pPr>
        <w:numPr>
          <w:ilvl w:val="0"/>
          <w:numId w:val="8"/>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cs="仿宋_GB2312"/>
          <w:sz w:val="24"/>
          <w:highlight w:val="none"/>
        </w:rPr>
        <w:t>国产产品与服务报项目现场交货人民币价。</w:t>
      </w:r>
      <w:r>
        <w:rPr>
          <w:rFonts w:hint="eastAsia" w:ascii="宋体" w:hAnsi="宋体" w:eastAsia="宋体" w:cs="宋体"/>
          <w:color w:val="000000" w:themeColor="text1"/>
          <w:sz w:val="24"/>
          <w:szCs w:val="24"/>
          <w:highlight w:val="none"/>
          <w:lang w:val="zh-CN"/>
          <w14:textFill>
            <w14:solidFill>
              <w14:schemeClr w14:val="tx1"/>
            </w14:solidFill>
          </w14:textFill>
        </w:rPr>
        <w:t>投标价包含仪器设备的价款、包装、税费、运输、装卸、安装、调试、技术指导、培训、咨询</w:t>
      </w:r>
      <w:r>
        <w:rPr>
          <w:rFonts w:hint="eastAsia" w:ascii="宋体" w:hAnsi="宋体" w:eastAsia="宋体" w:cs="宋体"/>
          <w:color w:val="000000" w:themeColor="text1"/>
          <w:sz w:val="24"/>
          <w:szCs w:val="24"/>
          <w:lang w:val="zh-CN"/>
          <w14:textFill>
            <w14:solidFill>
              <w14:schemeClr w14:val="tx1"/>
            </w14:solidFill>
          </w14:textFill>
        </w:rPr>
        <w:t>、服务、保险、检测、验收合格交付使用之前以及技术和售后服务等其他各项有关费用。</w:t>
      </w:r>
    </w:p>
    <w:p w14:paraId="386AE148">
      <w:pPr>
        <w:numPr>
          <w:ilvl w:val="0"/>
          <w:numId w:val="8"/>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77515441">
      <w:pPr>
        <w:numPr>
          <w:ilvl w:val="0"/>
          <w:numId w:val="8"/>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投标报价不得超过采购预算（如有最高限价则不得超出最高限价）。</w:t>
      </w:r>
    </w:p>
    <w:p w14:paraId="37D4A6AD">
      <w:pPr>
        <w:numPr>
          <w:ilvl w:val="0"/>
          <w:numId w:val="7"/>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★付款方式：</w:t>
      </w:r>
    </w:p>
    <w:p w14:paraId="67D5AD38">
      <w:pPr>
        <w:pStyle w:val="8"/>
        <w:spacing w:line="360" w:lineRule="auto"/>
        <w:ind w:firstLine="480" w:firstLineChars="200"/>
        <w:rPr>
          <w:rFonts w:hint="eastAsia" w:cs="宋体"/>
          <w:highlight w:val="none"/>
        </w:rPr>
      </w:pPr>
      <w:r>
        <w:rPr>
          <w:rFonts w:cs="宋体"/>
          <w:highlight w:val="none"/>
        </w:rPr>
        <w:t>本合同签订之日起 30 个工作日内，卖方应向买方提交金额为合同总价 100% 的预付款保函。该保函应由在中国境内依法设立的商业银行、政策性银行或经国家金融监管部门批准的保险机构出具，性质为不可撤销、不可转让、见索即付的独立保函。买方收到符合前款要求的保函原件（或经核验的电子保函）并确认无误后 10 个工作日内，向卖方支付合同总价 100% 的合同款。保函有效期自保函出具之日起，至以下两个日期中较晚者之日第30日止：1）设备到货、安装调试完成，且上级主管部门组织的正式技术验收合格之日；2）本合同约定的履约保证金生效之日</w:t>
      </w:r>
      <w:r>
        <w:rPr>
          <w:rFonts w:hint="eastAsia" w:cs="宋体"/>
          <w:highlight w:val="none"/>
        </w:rPr>
        <w:t>。</w:t>
      </w:r>
    </w:p>
    <w:p w14:paraId="2ADA6C4A">
      <w:pPr>
        <w:pStyle w:val="8"/>
        <w:spacing w:line="360" w:lineRule="auto"/>
        <w:ind w:firstLine="480" w:firstLineChars="200"/>
        <w:rPr>
          <w:rFonts w:hint="eastAsia" w:cs="宋体"/>
          <w:highlight w:val="none"/>
        </w:rPr>
      </w:pPr>
      <w:r>
        <w:rPr>
          <w:rFonts w:hint="eastAsia" w:cs="宋体"/>
          <w:highlight w:val="none"/>
        </w:rPr>
        <w:t>履约保证金：</w:t>
      </w:r>
      <w:r>
        <w:rPr>
          <w:rFonts w:cs="宋体"/>
          <w:highlight w:val="none"/>
        </w:rPr>
        <w:t>卖方需在完成技术验收后30</w:t>
      </w:r>
      <w:r>
        <w:rPr>
          <w:rFonts w:hint="eastAsia" w:cs="宋体"/>
          <w:highlight w:val="none"/>
        </w:rPr>
        <w:t>日</w:t>
      </w:r>
      <w:r>
        <w:rPr>
          <w:rFonts w:cs="宋体"/>
          <w:highlight w:val="none"/>
        </w:rPr>
        <w:t>内按照合同总价的</w:t>
      </w:r>
      <w:r>
        <w:rPr>
          <w:rFonts w:hint="eastAsia" w:cs="宋体"/>
          <w:highlight w:val="none"/>
        </w:rPr>
        <w:t>3</w:t>
      </w:r>
      <w:r>
        <w:rPr>
          <w:rFonts w:cs="宋体"/>
          <w:highlight w:val="none"/>
        </w:rPr>
        <w:t>%向买方缴纳履约保证金，履约保证金在本合同质保期届满之日起三十日内且不存在质量问题和</w:t>
      </w:r>
      <w:r>
        <w:rPr>
          <w:rFonts w:hint="eastAsia" w:cs="宋体"/>
          <w:highlight w:val="none"/>
        </w:rPr>
        <w:t>卖方</w:t>
      </w:r>
      <w:r>
        <w:rPr>
          <w:rFonts w:cs="宋体"/>
          <w:highlight w:val="none"/>
        </w:rPr>
        <w:t>无违约的情况下，无息退还给卖方；卖方提交的设备若出现质量问题或存在违约行为的情况下，买方有权没收卖方的上述履约保证金，卖方不得有任何异议。</w:t>
      </w:r>
    </w:p>
    <w:p w14:paraId="4E4AF6C3">
      <w:pPr>
        <w:numPr>
          <w:ilvl w:val="0"/>
          <w:numId w:val="7"/>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14:paraId="2CE9684A">
      <w:pPr>
        <w:widowControl/>
        <w:numPr>
          <w:ilvl w:val="0"/>
          <w:numId w:val="9"/>
        </w:numPr>
        <w:tabs>
          <w:tab w:val="left" w:pos="420"/>
          <w:tab w:val="clear" w:pos="1500"/>
        </w:tabs>
        <w:spacing w:before="156" w:beforeLines="50" w:line="360" w:lineRule="auto"/>
        <w:ind w:left="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投标人需为本项目配备足够的售后服务力量，具有国内本地化的服务团队。</w:t>
      </w:r>
    </w:p>
    <w:p w14:paraId="1152A35F">
      <w:pPr>
        <w:widowControl/>
        <w:numPr>
          <w:ilvl w:val="0"/>
          <w:numId w:val="9"/>
        </w:numPr>
        <w:tabs>
          <w:tab w:val="left" w:pos="420"/>
          <w:tab w:val="clear" w:pos="1500"/>
        </w:tabs>
        <w:spacing w:before="156" w:beforeLines="50" w:line="360" w:lineRule="auto"/>
        <w:ind w:left="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投标人售后服务响应时间：电话响应时间要求8小时内，到场响应时间要求2个工作日内（指从接到报障至到达故障现场的时间）。</w:t>
      </w:r>
    </w:p>
    <w:p w14:paraId="2A5227BD">
      <w:pPr>
        <w:widowControl/>
        <w:numPr>
          <w:ilvl w:val="0"/>
          <w:numId w:val="9"/>
        </w:numPr>
        <w:tabs>
          <w:tab w:val="left" w:pos="420"/>
          <w:tab w:val="clear" w:pos="1500"/>
        </w:tabs>
        <w:spacing w:before="156" w:beforeLines="50" w:line="360" w:lineRule="auto"/>
        <w:ind w:left="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投标人免费提供技术支持热线电话，满足24小时热线服务。</w:t>
      </w:r>
    </w:p>
    <w:p w14:paraId="2CCB484A">
      <w:pPr>
        <w:widowControl/>
        <w:numPr>
          <w:ilvl w:val="0"/>
          <w:numId w:val="9"/>
        </w:numPr>
        <w:tabs>
          <w:tab w:val="left" w:pos="420"/>
          <w:tab w:val="clear" w:pos="1500"/>
        </w:tabs>
        <w:spacing w:before="156" w:beforeLines="50" w:line="360" w:lineRule="auto"/>
        <w:ind w:left="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投标人免费提供email技术支持，并且在24小时内回复。</w:t>
      </w:r>
    </w:p>
    <w:p w14:paraId="0DA1156E">
      <w:pPr>
        <w:widowControl/>
        <w:numPr>
          <w:ilvl w:val="0"/>
          <w:numId w:val="9"/>
        </w:numPr>
        <w:tabs>
          <w:tab w:val="left" w:pos="420"/>
          <w:tab w:val="clear" w:pos="1500"/>
        </w:tabs>
        <w:spacing w:before="156" w:beforeLines="50" w:line="360" w:lineRule="auto"/>
        <w:ind w:left="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投标人提供仪器设备的免费保修期一年（保修期内免费维修并更换除消耗品以外的零部件，维修人员的路费、食宿等自理）。</w:t>
      </w:r>
    </w:p>
    <w:p w14:paraId="77BFC891">
      <w:pPr>
        <w:widowControl/>
        <w:numPr>
          <w:ilvl w:val="0"/>
          <w:numId w:val="9"/>
        </w:numPr>
        <w:tabs>
          <w:tab w:val="left" w:pos="420"/>
          <w:tab w:val="clear" w:pos="1500"/>
        </w:tabs>
        <w:spacing w:before="156" w:beforeLines="50" w:line="360" w:lineRule="auto"/>
        <w:ind w:left="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投标人提供该设备的技术使用说明书及外购配件仪器说明书，并指导在使用该设备时的操作注意事项等。</w:t>
      </w:r>
    </w:p>
    <w:p w14:paraId="137E57F1">
      <w:pPr>
        <w:widowControl/>
        <w:numPr>
          <w:ilvl w:val="0"/>
          <w:numId w:val="9"/>
        </w:numPr>
        <w:tabs>
          <w:tab w:val="left" w:pos="420"/>
          <w:tab w:val="clear" w:pos="1500"/>
        </w:tabs>
        <w:spacing w:before="156" w:beforeLines="50" w:line="360" w:lineRule="auto"/>
        <w:ind w:left="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投标人提供配套软件三年内免费升级服务。</w:t>
      </w:r>
    </w:p>
    <w:p w14:paraId="7100765D">
      <w:pPr>
        <w:widowControl/>
        <w:numPr>
          <w:ilvl w:val="0"/>
          <w:numId w:val="9"/>
        </w:numPr>
        <w:tabs>
          <w:tab w:val="left" w:pos="420"/>
          <w:tab w:val="clear" w:pos="1500"/>
        </w:tabs>
        <w:spacing w:before="156" w:beforeLines="50" w:line="360" w:lineRule="auto"/>
        <w:ind w:left="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投标人提供设备二次搬运（含保险）服务。</w:t>
      </w:r>
    </w:p>
    <w:p w14:paraId="69829E58">
      <w:pPr>
        <w:pStyle w:val="36"/>
        <w:spacing w:line="360" w:lineRule="auto"/>
        <w:ind w:firstLine="480"/>
        <w:rPr>
          <w:rFonts w:hint="default" w:cs="宋体"/>
          <w:color w:val="000000" w:themeColor="text1"/>
          <w:sz w:val="24"/>
          <w:szCs w:val="24"/>
          <w:lang w:val="zh-CN"/>
          <w14:textFill>
            <w14:solidFill>
              <w14:schemeClr w14:val="tx1"/>
            </w14:solidFill>
          </w14:textFill>
        </w:rPr>
      </w:pPr>
    </w:p>
    <w:p w14:paraId="220F2B9E">
      <w:pPr>
        <w:widowControl/>
        <w:numPr>
          <w:ilvl w:val="0"/>
          <w:numId w:val="7"/>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p>
    <w:p w14:paraId="3B74F54D">
      <w:pPr>
        <w:widowControl/>
        <w:numPr>
          <w:ilvl w:val="0"/>
          <w:numId w:val="10"/>
        </w:numPr>
        <w:tabs>
          <w:tab w:val="clear" w:pos="1500"/>
        </w:tabs>
        <w:spacing w:before="156" w:beforeLines="50" w:line="360" w:lineRule="auto"/>
        <w:ind w:left="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14:paraId="4C376A55">
      <w:pPr>
        <w:widowControl/>
        <w:numPr>
          <w:ilvl w:val="0"/>
          <w:numId w:val="10"/>
        </w:numPr>
        <w:tabs>
          <w:tab w:val="clear" w:pos="1500"/>
        </w:tabs>
        <w:spacing w:before="156" w:beforeLines="50" w:line="360" w:lineRule="auto"/>
        <w:ind w:left="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04F72C94">
      <w:pPr>
        <w:widowControl/>
        <w:numPr>
          <w:ilvl w:val="0"/>
          <w:numId w:val="10"/>
        </w:numPr>
        <w:tabs>
          <w:tab w:val="clear" w:pos="1500"/>
        </w:tabs>
        <w:spacing w:before="156" w:beforeLines="50" w:line="360" w:lineRule="auto"/>
        <w:ind w:left="42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至少一次厂家工程师到采购人现场免费培训；培训至采购人可以熟练操作为止。</w:t>
      </w:r>
    </w:p>
    <w:p w14:paraId="1975DA3F">
      <w:pPr>
        <w:numPr>
          <w:ilvl w:val="0"/>
          <w:numId w:val="7"/>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14:paraId="765C7079">
      <w:pPr>
        <w:autoSpaceDE w:val="0"/>
        <w:autoSpaceDN w:val="0"/>
        <w:adjustRightInd w:val="0"/>
        <w:spacing w:line="360" w:lineRule="auto"/>
        <w:ind w:firstLine="480" w:firstLineChars="200"/>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63F77CED">
      <w:pPr>
        <w:numPr>
          <w:ilvl w:val="0"/>
          <w:numId w:val="7"/>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2DD69918">
      <w:pPr>
        <w:pStyle w:val="36"/>
        <w:numPr>
          <w:ilvl w:val="0"/>
          <w:numId w:val="11"/>
        </w:numPr>
        <w:spacing w:line="360" w:lineRule="auto"/>
        <w:ind w:firstLineChars="0"/>
        <w:rPr>
          <w:rFonts w:cs="宋体"/>
          <w:bCs/>
          <w:color w:val="000000" w:themeColor="text1"/>
          <w:kern w:val="0"/>
          <w:sz w:val="24"/>
          <w:szCs w:val="24"/>
          <w:lang w:val="zh-CN"/>
          <w14:textFill>
            <w14:solidFill>
              <w14:schemeClr w14:val="tx1"/>
            </w14:solidFill>
          </w14:textFill>
        </w:rPr>
      </w:pPr>
      <w:r>
        <w:rPr>
          <w:rFonts w:cs="宋体"/>
          <w:bCs/>
          <w:color w:val="000000" w:themeColor="text1"/>
          <w:kern w:val="0"/>
          <w:sz w:val="24"/>
          <w:szCs w:val="24"/>
          <w14:textFill>
            <w14:solidFill>
              <w14:schemeClr w14:val="tx1"/>
            </w14:solidFill>
          </w14:textFill>
        </w:rPr>
        <w:t>合同签订后15天内，中标人应</w:t>
      </w:r>
      <w:r>
        <w:rPr>
          <w:rFonts w:cs="宋体"/>
          <w:bCs/>
          <w:color w:val="000000" w:themeColor="text1"/>
          <w:kern w:val="0"/>
          <w:sz w:val="24"/>
          <w:szCs w:val="24"/>
          <w:lang w:val="zh-CN"/>
          <w14:textFill>
            <w14:solidFill>
              <w14:schemeClr w14:val="tx1"/>
            </w14:solidFill>
          </w14:textFill>
        </w:rPr>
        <w:t>提供</w:t>
      </w:r>
      <w:r>
        <w:rPr>
          <w:rFonts w:cs="宋体"/>
          <w:color w:val="000000" w:themeColor="text1"/>
          <w:sz w:val="24"/>
          <w:szCs w:val="24"/>
          <w14:textFill>
            <w14:solidFill>
              <w14:schemeClr w14:val="tx1"/>
            </w14:solidFill>
          </w14:textFill>
        </w:rPr>
        <w:t>仪器安装前对实验室的具体安装</w:t>
      </w:r>
      <w:r>
        <w:rPr>
          <w:rFonts w:cs="宋体"/>
          <w:bCs/>
          <w:color w:val="000000" w:themeColor="text1"/>
          <w:kern w:val="0"/>
          <w:sz w:val="24"/>
          <w:szCs w:val="24"/>
          <w:lang w:val="zh-CN"/>
          <w14:textFill>
            <w14:solidFill>
              <w14:schemeClr w14:val="tx1"/>
            </w14:solidFill>
          </w14:textFill>
        </w:rPr>
        <w:t>条件</w:t>
      </w:r>
      <w:r>
        <w:rPr>
          <w:rFonts w:cs="宋体"/>
          <w:color w:val="000000" w:themeColor="text1"/>
          <w:sz w:val="24"/>
          <w:szCs w:val="24"/>
          <w14:textFill>
            <w14:solidFill>
              <w14:schemeClr w14:val="tx1"/>
            </w14:solidFill>
          </w14:textFill>
        </w:rPr>
        <w:t>要求</w:t>
      </w:r>
      <w:r>
        <w:rPr>
          <w:rFonts w:cs="宋体"/>
          <w:bCs/>
          <w:color w:val="000000" w:themeColor="text1"/>
          <w:kern w:val="0"/>
          <w:sz w:val="24"/>
          <w:szCs w:val="24"/>
          <w:lang w:val="zh-CN"/>
          <w14:textFill>
            <w14:solidFill>
              <w14:schemeClr w14:val="tx1"/>
            </w14:solidFill>
          </w14:textFill>
        </w:rPr>
        <w:t>，</w:t>
      </w:r>
      <w:r>
        <w:rPr>
          <w:rFonts w:cs="宋体"/>
          <w:color w:val="000000" w:themeColor="text1"/>
          <w:sz w:val="24"/>
          <w:szCs w:val="24"/>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40902185">
      <w:pPr>
        <w:pStyle w:val="36"/>
        <w:numPr>
          <w:ilvl w:val="0"/>
          <w:numId w:val="11"/>
        </w:numPr>
        <w:spacing w:line="360" w:lineRule="auto"/>
        <w:ind w:firstLineChars="0"/>
        <w:rPr>
          <w:rFonts w:cs="宋体"/>
          <w:bCs/>
          <w:color w:val="000000" w:themeColor="text1"/>
          <w:kern w:val="0"/>
          <w:sz w:val="24"/>
          <w:szCs w:val="24"/>
          <w:lang w:val="zh-CN"/>
          <w14:textFill>
            <w14:solidFill>
              <w14:schemeClr w14:val="tx1"/>
            </w14:solidFill>
          </w14:textFill>
        </w:rPr>
      </w:pPr>
      <w:r>
        <w:rPr>
          <w:rFonts w:cs="宋体"/>
          <w:bCs/>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322BF1CA">
      <w:pPr>
        <w:pStyle w:val="36"/>
        <w:numPr>
          <w:ilvl w:val="0"/>
          <w:numId w:val="11"/>
        </w:numPr>
        <w:spacing w:line="360" w:lineRule="auto"/>
        <w:ind w:firstLineChars="0"/>
        <w:rPr>
          <w:rFonts w:cs="宋体"/>
          <w:bCs/>
          <w:color w:val="000000" w:themeColor="text1"/>
          <w:kern w:val="0"/>
          <w:sz w:val="24"/>
          <w:szCs w:val="24"/>
          <w:lang w:val="zh-CN"/>
          <w14:textFill>
            <w14:solidFill>
              <w14:schemeClr w14:val="tx1"/>
            </w14:solidFill>
          </w14:textFill>
        </w:rPr>
      </w:pPr>
      <w:r>
        <w:rPr>
          <w:rFonts w:cs="宋体"/>
          <w:bCs/>
          <w:color w:val="000000" w:themeColor="text1"/>
          <w:kern w:val="0"/>
          <w:sz w:val="24"/>
          <w:szCs w:val="24"/>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00F83145">
      <w:pPr>
        <w:pStyle w:val="36"/>
        <w:numPr>
          <w:ilvl w:val="0"/>
          <w:numId w:val="11"/>
        </w:numPr>
        <w:spacing w:line="360" w:lineRule="auto"/>
        <w:ind w:firstLineChars="0"/>
        <w:rPr>
          <w:rFonts w:cs="宋体"/>
          <w:color w:val="000000" w:themeColor="text1"/>
          <w:sz w:val="24"/>
          <w:szCs w:val="24"/>
          <w:lang w:val="zh-CN"/>
          <w14:textFill>
            <w14:solidFill>
              <w14:schemeClr w14:val="tx1"/>
            </w14:solidFill>
          </w14:textFill>
        </w:rPr>
      </w:pPr>
      <w:r>
        <w:rPr>
          <w:rFonts w:cs="宋体"/>
          <w:bCs/>
          <w:color w:val="000000" w:themeColor="text1"/>
          <w:kern w:val="0"/>
          <w:sz w:val="24"/>
          <w:szCs w:val="24"/>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226E7092">
      <w:pPr>
        <w:numPr>
          <w:ilvl w:val="0"/>
          <w:numId w:val="7"/>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6742EAAB">
      <w:pPr>
        <w:numPr>
          <w:ilvl w:val="0"/>
          <w:numId w:val="12"/>
        </w:numPr>
        <w:tabs>
          <w:tab w:val="left" w:pos="426"/>
          <w:tab w:val="left" w:pos="851"/>
        </w:tabs>
        <w:autoSpaceDE w:val="0"/>
        <w:autoSpaceDN w:val="0"/>
        <w:adjustRightInd w:val="0"/>
        <w:spacing w:line="360"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w:t>
      </w:r>
    </w:p>
    <w:p w14:paraId="310E20FC">
      <w:pPr>
        <w:numPr>
          <w:ilvl w:val="0"/>
          <w:numId w:val="12"/>
        </w:numPr>
        <w:tabs>
          <w:tab w:val="left" w:pos="426"/>
          <w:tab w:val="left" w:pos="851"/>
        </w:tabs>
        <w:autoSpaceDE w:val="0"/>
        <w:autoSpaceDN w:val="0"/>
        <w:adjustRightInd w:val="0"/>
        <w:spacing w:line="360"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40FB067F"/>
    <w:p w14:paraId="1598E9A0">
      <w:pPr>
        <w:pStyle w:val="36"/>
        <w:rPr>
          <w:rFonts w:hint="default"/>
        </w:rPr>
        <w:sectPr>
          <w:footerReference r:id="rId6" w:type="first"/>
          <w:footerReference r:id="rId5" w:type="default"/>
          <w:pgSz w:w="11906" w:h="16838"/>
          <w:pgMar w:top="1418" w:right="1418" w:bottom="1418" w:left="1418" w:header="851" w:footer="992" w:gutter="0"/>
          <w:pgNumType w:fmt="decimal" w:start="1"/>
          <w:cols w:space="720" w:num="1"/>
          <w:titlePg/>
          <w:docGrid w:type="lines" w:linePitch="312" w:charSpace="0"/>
        </w:sectPr>
      </w:pPr>
    </w:p>
    <w:p w14:paraId="5AEFF369">
      <w:pPr>
        <w:spacing w:after="156" w:afterLines="50"/>
        <w:jc w:val="center"/>
        <w:outlineLvl w:val="2"/>
        <w:rPr>
          <w:rFonts w:hint="default" w:ascii="宋体" w:hAnsi="宋体" w:eastAsia="宋体" w:cs="宋体"/>
          <w:b/>
          <w:color w:val="000000" w:themeColor="text1"/>
          <w:sz w:val="28"/>
          <w:lang w:val="en-US" w:eastAsia="zh-CN"/>
          <w14:textFill>
            <w14:solidFill>
              <w14:schemeClr w14:val="tx1"/>
            </w14:solidFill>
          </w14:textFill>
        </w:rPr>
      </w:pPr>
      <w:r>
        <w:rPr>
          <w:rFonts w:hint="eastAsia" w:ascii="宋体" w:hAnsi="宋体" w:eastAsia="宋体" w:cs="宋体"/>
          <w:b/>
          <w:color w:val="000000" w:themeColor="text1"/>
          <w:sz w:val="28"/>
          <w:lang w:val="en-US" w:eastAsia="zh-CN"/>
          <w14:textFill>
            <w14:solidFill>
              <w14:schemeClr w14:val="tx1"/>
            </w14:solidFill>
          </w14:textFill>
        </w:rPr>
        <w:t xml:space="preserve">第二包  </w:t>
      </w:r>
      <w:r>
        <w:rPr>
          <w:rFonts w:hint="default" w:ascii="宋体" w:hAnsi="宋体" w:eastAsia="宋体" w:cs="宋体"/>
          <w:b/>
          <w:color w:val="000000" w:themeColor="text1"/>
          <w:sz w:val="28"/>
          <w:lang w:val="en-US" w:eastAsia="zh-CN"/>
          <w14:textFill>
            <w14:solidFill>
              <w14:schemeClr w14:val="tx1"/>
            </w14:solidFill>
          </w14:textFill>
        </w:rPr>
        <w:t>超高分辨率光谱仪</w:t>
      </w:r>
    </w:p>
    <w:p w14:paraId="001A9D78">
      <w:pPr>
        <w:pStyle w:val="33"/>
        <w:numPr>
          <w:ilvl w:val="0"/>
          <w:numId w:val="13"/>
        </w:numPr>
        <w:spacing w:line="360" w:lineRule="auto"/>
        <w:ind w:right="708" w:rightChars="337" w:hanging="905"/>
        <w:jc w:val="both"/>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招标项目信息</w:t>
      </w:r>
    </w:p>
    <w:tbl>
      <w:tblPr>
        <w:tblStyle w:val="3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843"/>
        <w:gridCol w:w="851"/>
        <w:gridCol w:w="992"/>
        <w:gridCol w:w="1287"/>
        <w:gridCol w:w="1238"/>
        <w:gridCol w:w="1260"/>
        <w:gridCol w:w="1260"/>
      </w:tblGrid>
      <w:tr w14:paraId="672FA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04A7FD6C">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序号</w:t>
            </w:r>
          </w:p>
        </w:tc>
        <w:tc>
          <w:tcPr>
            <w:tcW w:w="1843" w:type="dxa"/>
            <w:noWrap/>
            <w:vAlign w:val="center"/>
          </w:tcPr>
          <w:p w14:paraId="79C3FDCB">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设备名称</w:t>
            </w:r>
          </w:p>
        </w:tc>
        <w:tc>
          <w:tcPr>
            <w:tcW w:w="851" w:type="dxa"/>
            <w:vAlign w:val="center"/>
          </w:tcPr>
          <w:p w14:paraId="46DFB2F9">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数量</w:t>
            </w:r>
          </w:p>
        </w:tc>
        <w:tc>
          <w:tcPr>
            <w:tcW w:w="992" w:type="dxa"/>
            <w:noWrap/>
            <w:vAlign w:val="center"/>
          </w:tcPr>
          <w:p w14:paraId="7CB40892">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单位</w:t>
            </w:r>
          </w:p>
        </w:tc>
        <w:tc>
          <w:tcPr>
            <w:tcW w:w="1287" w:type="dxa"/>
            <w:vAlign w:val="center"/>
          </w:tcPr>
          <w:p w14:paraId="0ACD45E4">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是否接受进口设备参与投标</w:t>
            </w:r>
          </w:p>
        </w:tc>
        <w:tc>
          <w:tcPr>
            <w:tcW w:w="1238" w:type="dxa"/>
            <w:vAlign w:val="center"/>
          </w:tcPr>
          <w:p w14:paraId="59C8174E">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预算金额</w:t>
            </w:r>
          </w:p>
          <w:p w14:paraId="10282E04">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（万元）</w:t>
            </w:r>
          </w:p>
        </w:tc>
        <w:tc>
          <w:tcPr>
            <w:tcW w:w="1260" w:type="dxa"/>
            <w:vAlign w:val="center"/>
          </w:tcPr>
          <w:p w14:paraId="665BE5D8">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最高限价（万元）</w:t>
            </w:r>
          </w:p>
        </w:tc>
        <w:tc>
          <w:tcPr>
            <w:tcW w:w="1260" w:type="dxa"/>
            <w:vAlign w:val="center"/>
          </w:tcPr>
          <w:p w14:paraId="55644309">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本项目所属行业</w:t>
            </w:r>
          </w:p>
        </w:tc>
      </w:tr>
      <w:tr w14:paraId="6CE0B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4D73B0DD">
            <w:pPr>
              <w:widowControl/>
              <w:snapToGrid w:val="0"/>
              <w:spacing w:before="156" w:beforeLines="50" w:line="360" w:lineRule="auto"/>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一</w:t>
            </w:r>
          </w:p>
        </w:tc>
        <w:tc>
          <w:tcPr>
            <w:tcW w:w="1843" w:type="dxa"/>
            <w:vAlign w:val="center"/>
          </w:tcPr>
          <w:p w14:paraId="1F7D5AA7">
            <w:pPr>
              <w:spacing w:line="360" w:lineRule="auto"/>
              <w:jc w:val="center"/>
              <w:rPr>
                <w:rFonts w:hint="eastAsia" w:eastAsia="宋体"/>
                <w:color w:val="auto"/>
                <w:kern w:val="0"/>
                <w:sz w:val="24"/>
                <w:highlight w:val="none"/>
                <w:lang w:eastAsia="zh-CN"/>
              </w:rPr>
            </w:pPr>
            <w:r>
              <w:rPr>
                <w:rFonts w:hint="eastAsia" w:eastAsia="宋体"/>
                <w:color w:val="auto"/>
                <w:kern w:val="0"/>
                <w:sz w:val="24"/>
                <w:highlight w:val="none"/>
                <w:lang w:eastAsia="zh-CN"/>
              </w:rPr>
              <w:t>超高分辨率光谱仪</w:t>
            </w:r>
          </w:p>
        </w:tc>
        <w:tc>
          <w:tcPr>
            <w:tcW w:w="851" w:type="dxa"/>
            <w:vAlign w:val="center"/>
          </w:tcPr>
          <w:p w14:paraId="61C573E0">
            <w:pPr>
              <w:spacing w:line="360" w:lineRule="auto"/>
              <w:jc w:val="center"/>
              <w:rPr>
                <w:rFonts w:hint="eastAsia" w:eastAsia="宋体"/>
                <w:color w:val="auto"/>
                <w:kern w:val="0"/>
                <w:sz w:val="24"/>
                <w:highlight w:val="none"/>
                <w:lang w:eastAsia="zh-CN"/>
              </w:rPr>
            </w:pPr>
            <w:r>
              <w:rPr>
                <w:rFonts w:hint="eastAsia" w:ascii="宋体" w:hAnsi="宋体" w:eastAsia="宋体" w:cs="宋体"/>
                <w:color w:val="auto"/>
                <w:sz w:val="24"/>
                <w:szCs w:val="24"/>
                <w:highlight w:val="none"/>
              </w:rPr>
              <w:t>1</w:t>
            </w:r>
          </w:p>
        </w:tc>
        <w:tc>
          <w:tcPr>
            <w:tcW w:w="992" w:type="dxa"/>
            <w:vAlign w:val="center"/>
          </w:tcPr>
          <w:p w14:paraId="368B34FB">
            <w:pPr>
              <w:spacing w:line="360" w:lineRule="auto"/>
              <w:jc w:val="center"/>
              <w:rPr>
                <w:color w:val="auto"/>
                <w:kern w:val="0"/>
                <w:sz w:val="24"/>
                <w:highlight w:val="none"/>
              </w:rPr>
            </w:pPr>
            <w:r>
              <w:rPr>
                <w:rFonts w:hint="eastAsia" w:ascii="宋体" w:hAnsi="宋体" w:eastAsia="宋体" w:cs="宋体"/>
                <w:color w:val="auto"/>
                <w:sz w:val="24"/>
                <w:szCs w:val="24"/>
                <w:highlight w:val="none"/>
              </w:rPr>
              <w:t>套</w:t>
            </w:r>
          </w:p>
        </w:tc>
        <w:tc>
          <w:tcPr>
            <w:tcW w:w="1287" w:type="dxa"/>
            <w:vAlign w:val="center"/>
          </w:tcPr>
          <w:p w14:paraId="6B0ED835">
            <w:pPr>
              <w:spacing w:line="360" w:lineRule="auto"/>
              <w:jc w:val="center"/>
              <w:rPr>
                <w:rFonts w:hint="eastAsia" w:eastAsia="宋体"/>
                <w:color w:val="auto"/>
                <w:kern w:val="0"/>
                <w:sz w:val="24"/>
                <w:highlight w:val="none"/>
                <w:lang w:eastAsia="zh-CN"/>
              </w:rPr>
            </w:pPr>
            <w:r>
              <w:rPr>
                <w:rFonts w:hint="eastAsia" w:ascii="宋体" w:hAnsi="宋体" w:eastAsia="宋体" w:cs="宋体"/>
                <w:color w:val="auto"/>
                <w:sz w:val="24"/>
                <w:szCs w:val="24"/>
                <w:highlight w:val="none"/>
                <w:lang w:val="en-US" w:eastAsia="zh-CN"/>
              </w:rPr>
              <w:t>是</w:t>
            </w:r>
          </w:p>
        </w:tc>
        <w:tc>
          <w:tcPr>
            <w:tcW w:w="1238" w:type="dxa"/>
            <w:vAlign w:val="center"/>
          </w:tcPr>
          <w:p w14:paraId="7EA2691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90</w:t>
            </w:r>
          </w:p>
        </w:tc>
        <w:tc>
          <w:tcPr>
            <w:tcW w:w="1260" w:type="dxa"/>
            <w:vAlign w:val="center"/>
          </w:tcPr>
          <w:p w14:paraId="23B69FF6">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90</w:t>
            </w:r>
          </w:p>
        </w:tc>
        <w:tc>
          <w:tcPr>
            <w:tcW w:w="1260" w:type="dxa"/>
            <w:vAlign w:val="center"/>
          </w:tcPr>
          <w:p w14:paraId="3989745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bl>
    <w:p w14:paraId="1360EE46">
      <w:pPr>
        <w:pStyle w:val="33"/>
        <w:numPr>
          <w:ilvl w:val="0"/>
          <w:numId w:val="13"/>
        </w:numPr>
        <w:spacing w:line="360" w:lineRule="auto"/>
        <w:ind w:right="708" w:rightChars="337" w:hanging="905"/>
        <w:jc w:val="both"/>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技术部分</w:t>
      </w:r>
    </w:p>
    <w:p w14:paraId="428E1D07">
      <w:pPr>
        <w:widowControl/>
        <w:snapToGrid w:val="0"/>
        <w:spacing w:line="360" w:lineRule="auto"/>
        <w:rPr>
          <w:b/>
          <w:color w:val="000000" w:themeColor="text1"/>
          <w:sz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w:t>
      </w:r>
      <w:r>
        <w:rPr>
          <w:b/>
          <w:color w:val="000000" w:themeColor="text1"/>
          <w:sz w:val="24"/>
          <w14:textFill>
            <w14:solidFill>
              <w14:schemeClr w14:val="tx1"/>
            </w14:solidFill>
          </w14:textFill>
        </w:rPr>
        <w:t>1、配置清单及零配件（包括专用工具）：</w:t>
      </w:r>
    </w:p>
    <w:tbl>
      <w:tblPr>
        <w:tblStyle w:val="3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5865"/>
        <w:gridCol w:w="1035"/>
        <w:gridCol w:w="1225"/>
      </w:tblGrid>
      <w:tr w14:paraId="13746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5E480ECC">
            <w:pPr>
              <w:widowControl/>
              <w:snapToGrid w:val="0"/>
              <w:spacing w:before="156"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5865" w:type="dxa"/>
          </w:tcPr>
          <w:p w14:paraId="1F0C8D30">
            <w:pPr>
              <w:widowControl/>
              <w:snapToGrid w:val="0"/>
              <w:spacing w:before="156"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名称</w:t>
            </w:r>
          </w:p>
        </w:tc>
        <w:tc>
          <w:tcPr>
            <w:tcW w:w="1035" w:type="dxa"/>
          </w:tcPr>
          <w:p w14:paraId="3F6ADC06">
            <w:pPr>
              <w:widowControl/>
              <w:snapToGrid w:val="0"/>
              <w:spacing w:before="156"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数量</w:t>
            </w:r>
          </w:p>
        </w:tc>
        <w:tc>
          <w:tcPr>
            <w:tcW w:w="1225" w:type="dxa"/>
          </w:tcPr>
          <w:p w14:paraId="614FBA50">
            <w:pPr>
              <w:widowControl/>
              <w:snapToGrid w:val="0"/>
              <w:spacing w:before="156"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单位</w:t>
            </w:r>
          </w:p>
        </w:tc>
      </w:tr>
      <w:tr w14:paraId="462B9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072" w:type="dxa"/>
          </w:tcPr>
          <w:p w14:paraId="0C280B6F">
            <w:pPr>
              <w:widowControl/>
              <w:snapToGrid w:val="0"/>
              <w:spacing w:before="156" w:beforeLines="50"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w:t>
            </w:r>
          </w:p>
        </w:tc>
        <w:tc>
          <w:tcPr>
            <w:tcW w:w="5865" w:type="dxa"/>
          </w:tcPr>
          <w:p w14:paraId="442CB25F">
            <w:pPr>
              <w:spacing w:after="160" w:line="360" w:lineRule="auto"/>
              <w:contextualSpacing/>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高分辨率地物光谱仪主机</w:t>
            </w:r>
          </w:p>
        </w:tc>
        <w:tc>
          <w:tcPr>
            <w:tcW w:w="1035" w:type="dxa"/>
          </w:tcPr>
          <w:p w14:paraId="77C2C382">
            <w:pPr>
              <w:widowControl/>
              <w:snapToGrid w:val="0"/>
              <w:spacing w:before="156" w:beforeLines="50"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225" w:type="dxa"/>
          </w:tcPr>
          <w:p w14:paraId="384CBE51">
            <w:pPr>
              <w:widowControl/>
              <w:snapToGrid w:val="0"/>
              <w:spacing w:before="156" w:beforeLines="50"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台</w:t>
            </w:r>
          </w:p>
        </w:tc>
      </w:tr>
      <w:tr w14:paraId="3C30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5964EDE8">
            <w:pPr>
              <w:widowControl/>
              <w:snapToGrid w:val="0"/>
              <w:spacing w:before="156" w:beforeLines="50" w:line="360" w:lineRule="auto"/>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w:t>
            </w:r>
          </w:p>
        </w:tc>
        <w:tc>
          <w:tcPr>
            <w:tcW w:w="5865" w:type="dxa"/>
          </w:tcPr>
          <w:p w14:paraId="465AAC9C">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1.5m光纤</w:t>
            </w:r>
          </w:p>
        </w:tc>
        <w:tc>
          <w:tcPr>
            <w:tcW w:w="1035" w:type="dxa"/>
          </w:tcPr>
          <w:p w14:paraId="266D43D7">
            <w:pPr>
              <w:widowControl/>
              <w:snapToGrid w:val="0"/>
              <w:spacing w:before="156" w:beforeLines="50" w:line="360" w:lineRule="auto"/>
              <w:jc w:val="center"/>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1</w:t>
            </w:r>
          </w:p>
        </w:tc>
        <w:tc>
          <w:tcPr>
            <w:tcW w:w="1225" w:type="dxa"/>
          </w:tcPr>
          <w:p w14:paraId="08B8A391">
            <w:pPr>
              <w:widowControl/>
              <w:snapToGrid w:val="0"/>
              <w:spacing w:before="156" w:beforeLines="50" w:line="360" w:lineRule="auto"/>
              <w:jc w:val="center"/>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根</w:t>
            </w:r>
          </w:p>
        </w:tc>
      </w:tr>
      <w:tr w14:paraId="2F487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3C573599">
            <w:pPr>
              <w:widowControl/>
              <w:snapToGrid w:val="0"/>
              <w:spacing w:before="156" w:beforeLines="50" w:line="360" w:lineRule="auto"/>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w:t>
            </w:r>
          </w:p>
        </w:tc>
        <w:tc>
          <w:tcPr>
            <w:tcW w:w="5865" w:type="dxa"/>
          </w:tcPr>
          <w:p w14:paraId="6A2E4DF6">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手枪式手柄</w:t>
            </w:r>
          </w:p>
        </w:tc>
        <w:tc>
          <w:tcPr>
            <w:tcW w:w="1035" w:type="dxa"/>
          </w:tcPr>
          <w:p w14:paraId="0F22528D">
            <w:pPr>
              <w:widowControl/>
              <w:snapToGrid w:val="0"/>
              <w:spacing w:before="156" w:beforeLines="50" w:line="360" w:lineRule="auto"/>
              <w:jc w:val="center"/>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1</w:t>
            </w:r>
          </w:p>
        </w:tc>
        <w:tc>
          <w:tcPr>
            <w:tcW w:w="1225" w:type="dxa"/>
          </w:tcPr>
          <w:p w14:paraId="0383BF4F">
            <w:pPr>
              <w:widowControl/>
              <w:snapToGrid w:val="0"/>
              <w:spacing w:before="156" w:beforeLines="50" w:line="360" w:lineRule="auto"/>
              <w:jc w:val="center"/>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个</w:t>
            </w:r>
          </w:p>
        </w:tc>
      </w:tr>
      <w:tr w14:paraId="1EC6F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17D81455">
            <w:pPr>
              <w:widowControl/>
              <w:snapToGrid w:val="0"/>
              <w:spacing w:before="156" w:beforeLines="50" w:line="360" w:lineRule="auto"/>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w:t>
            </w:r>
          </w:p>
        </w:tc>
        <w:tc>
          <w:tcPr>
            <w:tcW w:w="5865" w:type="dxa"/>
          </w:tcPr>
          <w:p w14:paraId="09F58A29">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充电电池</w:t>
            </w:r>
          </w:p>
        </w:tc>
        <w:tc>
          <w:tcPr>
            <w:tcW w:w="1035" w:type="dxa"/>
          </w:tcPr>
          <w:p w14:paraId="32470B22">
            <w:pPr>
              <w:widowControl/>
              <w:snapToGrid w:val="0"/>
              <w:spacing w:before="156" w:beforeLines="50" w:line="360" w:lineRule="auto"/>
              <w:jc w:val="center"/>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2</w:t>
            </w:r>
          </w:p>
        </w:tc>
        <w:tc>
          <w:tcPr>
            <w:tcW w:w="1225" w:type="dxa"/>
          </w:tcPr>
          <w:p w14:paraId="26CAE7DE">
            <w:pPr>
              <w:widowControl/>
              <w:snapToGrid w:val="0"/>
              <w:spacing w:before="156" w:beforeLines="50" w:line="360" w:lineRule="auto"/>
              <w:jc w:val="center"/>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块</w:t>
            </w:r>
          </w:p>
        </w:tc>
      </w:tr>
      <w:tr w14:paraId="4804D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2D119FB5">
            <w:pPr>
              <w:widowControl/>
              <w:snapToGrid w:val="0"/>
              <w:spacing w:before="156" w:beforeLines="50" w:line="360" w:lineRule="auto"/>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4</w:t>
            </w:r>
          </w:p>
        </w:tc>
        <w:tc>
          <w:tcPr>
            <w:tcW w:w="5865" w:type="dxa"/>
          </w:tcPr>
          <w:p w14:paraId="4CB5AA99">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反射率校准板</w:t>
            </w:r>
          </w:p>
        </w:tc>
        <w:tc>
          <w:tcPr>
            <w:tcW w:w="1035" w:type="dxa"/>
          </w:tcPr>
          <w:p w14:paraId="1FE56BAD">
            <w:pPr>
              <w:widowControl/>
              <w:snapToGrid w:val="0"/>
              <w:spacing w:before="156" w:beforeLines="50" w:line="360" w:lineRule="auto"/>
              <w:jc w:val="center"/>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2</w:t>
            </w:r>
          </w:p>
        </w:tc>
        <w:tc>
          <w:tcPr>
            <w:tcW w:w="1225" w:type="dxa"/>
          </w:tcPr>
          <w:p w14:paraId="19A3782C">
            <w:pPr>
              <w:widowControl/>
              <w:snapToGrid w:val="0"/>
              <w:spacing w:before="156" w:beforeLines="50" w:line="360" w:lineRule="auto"/>
              <w:jc w:val="center"/>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块</w:t>
            </w:r>
          </w:p>
        </w:tc>
      </w:tr>
      <w:tr w14:paraId="7560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5E6CC484">
            <w:pPr>
              <w:widowControl/>
              <w:snapToGrid w:val="0"/>
              <w:spacing w:before="156" w:beforeLines="50" w:line="360" w:lineRule="auto"/>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w:t>
            </w:r>
          </w:p>
        </w:tc>
        <w:tc>
          <w:tcPr>
            <w:tcW w:w="5865" w:type="dxa"/>
          </w:tcPr>
          <w:p w14:paraId="1E7439B4">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多功能手柄</w:t>
            </w:r>
          </w:p>
        </w:tc>
        <w:tc>
          <w:tcPr>
            <w:tcW w:w="1035" w:type="dxa"/>
          </w:tcPr>
          <w:p w14:paraId="58ED19C1">
            <w:pPr>
              <w:widowControl/>
              <w:snapToGrid w:val="0"/>
              <w:spacing w:before="156" w:beforeLines="50" w:line="360" w:lineRule="auto"/>
              <w:jc w:val="center"/>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1</w:t>
            </w:r>
          </w:p>
        </w:tc>
        <w:tc>
          <w:tcPr>
            <w:tcW w:w="1225" w:type="dxa"/>
          </w:tcPr>
          <w:p w14:paraId="3A3DAF07">
            <w:pPr>
              <w:widowControl/>
              <w:snapToGrid w:val="0"/>
              <w:spacing w:before="156" w:beforeLines="50" w:line="360" w:lineRule="auto"/>
              <w:jc w:val="center"/>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个</w:t>
            </w:r>
          </w:p>
        </w:tc>
      </w:tr>
      <w:tr w14:paraId="23F91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438529F6">
            <w:pPr>
              <w:widowControl/>
              <w:snapToGrid w:val="0"/>
              <w:spacing w:before="156" w:beforeLines="50" w:line="360" w:lineRule="auto"/>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6</w:t>
            </w:r>
          </w:p>
        </w:tc>
        <w:tc>
          <w:tcPr>
            <w:tcW w:w="5865" w:type="dxa"/>
          </w:tcPr>
          <w:p w14:paraId="4BE5D855">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接触式探头（含叶片夹持器）</w:t>
            </w:r>
          </w:p>
        </w:tc>
        <w:tc>
          <w:tcPr>
            <w:tcW w:w="1035" w:type="dxa"/>
          </w:tcPr>
          <w:p w14:paraId="6A57A47B">
            <w:pPr>
              <w:widowControl/>
              <w:snapToGrid w:val="0"/>
              <w:spacing w:before="156" w:beforeLines="50" w:line="360" w:lineRule="auto"/>
              <w:jc w:val="center"/>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1</w:t>
            </w:r>
          </w:p>
        </w:tc>
        <w:tc>
          <w:tcPr>
            <w:tcW w:w="1225" w:type="dxa"/>
          </w:tcPr>
          <w:p w14:paraId="1E5ED32F">
            <w:pPr>
              <w:widowControl/>
              <w:snapToGrid w:val="0"/>
              <w:spacing w:before="156" w:beforeLines="50" w:line="360" w:lineRule="auto"/>
              <w:jc w:val="center"/>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个</w:t>
            </w:r>
          </w:p>
        </w:tc>
      </w:tr>
      <w:tr w14:paraId="1B084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25E91153">
            <w:pPr>
              <w:widowControl/>
              <w:snapToGrid w:val="0"/>
              <w:spacing w:before="156" w:beforeLines="50" w:line="360" w:lineRule="auto"/>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7</w:t>
            </w:r>
          </w:p>
        </w:tc>
        <w:tc>
          <w:tcPr>
            <w:tcW w:w="5865" w:type="dxa"/>
          </w:tcPr>
          <w:p w14:paraId="1026603E">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1°视场角镜头</w:t>
            </w:r>
          </w:p>
        </w:tc>
        <w:tc>
          <w:tcPr>
            <w:tcW w:w="1035" w:type="dxa"/>
          </w:tcPr>
          <w:p w14:paraId="1DF22DD9">
            <w:pPr>
              <w:widowControl/>
              <w:snapToGrid w:val="0"/>
              <w:spacing w:before="156" w:beforeLines="50" w:line="360" w:lineRule="auto"/>
              <w:jc w:val="center"/>
              <w:rPr>
                <w:rFonts w:hint="default"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2</w:t>
            </w:r>
          </w:p>
        </w:tc>
        <w:tc>
          <w:tcPr>
            <w:tcW w:w="1225" w:type="dxa"/>
          </w:tcPr>
          <w:p w14:paraId="29424EA5">
            <w:pPr>
              <w:widowControl/>
              <w:snapToGrid w:val="0"/>
              <w:spacing w:before="156" w:beforeLines="50" w:line="360" w:lineRule="auto"/>
              <w:jc w:val="center"/>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个</w:t>
            </w:r>
          </w:p>
        </w:tc>
      </w:tr>
      <w:tr w14:paraId="58C15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14EE2107">
            <w:pPr>
              <w:widowControl/>
              <w:snapToGrid w:val="0"/>
              <w:spacing w:before="156" w:beforeLines="50" w:line="360" w:lineRule="auto"/>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8</w:t>
            </w:r>
          </w:p>
        </w:tc>
        <w:tc>
          <w:tcPr>
            <w:tcW w:w="5865" w:type="dxa"/>
          </w:tcPr>
          <w:p w14:paraId="5CE6B86E">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数据获取软件</w:t>
            </w:r>
          </w:p>
        </w:tc>
        <w:tc>
          <w:tcPr>
            <w:tcW w:w="1035" w:type="dxa"/>
          </w:tcPr>
          <w:p w14:paraId="002BFEF6">
            <w:pPr>
              <w:widowControl/>
              <w:snapToGrid w:val="0"/>
              <w:spacing w:before="156" w:beforeLines="50" w:line="360" w:lineRule="auto"/>
              <w:jc w:val="center"/>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1</w:t>
            </w:r>
          </w:p>
        </w:tc>
        <w:tc>
          <w:tcPr>
            <w:tcW w:w="1225" w:type="dxa"/>
          </w:tcPr>
          <w:p w14:paraId="0BACA3B1">
            <w:pPr>
              <w:widowControl/>
              <w:snapToGrid w:val="0"/>
              <w:spacing w:before="156" w:beforeLines="50" w:line="360" w:lineRule="auto"/>
              <w:jc w:val="center"/>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套</w:t>
            </w:r>
          </w:p>
        </w:tc>
      </w:tr>
    </w:tbl>
    <w:p w14:paraId="7FBB707E">
      <w:pPr>
        <w:tabs>
          <w:tab w:val="left" w:pos="540"/>
        </w:tabs>
        <w:spacing w:line="360" w:lineRule="auto"/>
        <w:rPr>
          <w:rFonts w:hint="eastAsia" w:asciiTheme="minorEastAsia" w:hAnsiTheme="minorEastAsia" w:eastAsiaTheme="minorEastAsia" w:cstheme="minorEastAsia"/>
          <w:b/>
          <w:sz w:val="24"/>
        </w:rPr>
      </w:pPr>
    </w:p>
    <w:p w14:paraId="0AB422C9">
      <w:pPr>
        <w:widowControl/>
        <w:snapToGrid w:val="0"/>
        <w:spacing w:before="156" w:beforeLines="50" w:after="156" w:afterLines="50"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2、技术性能指标表</w:t>
      </w:r>
    </w:p>
    <w:tbl>
      <w:tblPr>
        <w:tblStyle w:val="3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10BE2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tcBorders>
              <w:top w:val="single" w:color="auto" w:sz="4" w:space="0"/>
              <w:left w:val="single" w:color="auto" w:sz="4" w:space="0"/>
              <w:bottom w:val="single" w:color="auto" w:sz="4" w:space="0"/>
              <w:right w:val="single" w:color="auto" w:sz="4" w:space="0"/>
            </w:tcBorders>
            <w:vAlign w:val="center"/>
          </w:tcPr>
          <w:p w14:paraId="3DC2D26B">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编号</w:t>
            </w:r>
          </w:p>
        </w:tc>
        <w:tc>
          <w:tcPr>
            <w:tcW w:w="1051" w:type="dxa"/>
            <w:tcBorders>
              <w:top w:val="single" w:color="auto" w:sz="4" w:space="0"/>
              <w:left w:val="single" w:color="auto" w:sz="4" w:space="0"/>
              <w:bottom w:val="single" w:color="auto" w:sz="4" w:space="0"/>
              <w:right w:val="single" w:color="auto" w:sz="4" w:space="0"/>
            </w:tcBorders>
            <w:vAlign w:val="center"/>
          </w:tcPr>
          <w:p w14:paraId="2961D534">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招标技术指标名称</w:t>
            </w:r>
          </w:p>
        </w:tc>
        <w:tc>
          <w:tcPr>
            <w:tcW w:w="7879" w:type="dxa"/>
            <w:gridSpan w:val="2"/>
            <w:tcBorders>
              <w:top w:val="single" w:color="auto" w:sz="4" w:space="0"/>
              <w:left w:val="single" w:color="auto" w:sz="4" w:space="0"/>
              <w:bottom w:val="single" w:color="auto" w:sz="4" w:space="0"/>
              <w:right w:val="single" w:color="auto" w:sz="4" w:space="0"/>
            </w:tcBorders>
            <w:vAlign w:val="center"/>
          </w:tcPr>
          <w:p w14:paraId="15C9147D">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招标技术指标值</w:t>
            </w:r>
          </w:p>
        </w:tc>
      </w:tr>
      <w:tr w14:paraId="0E2D5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tcBorders>
              <w:top w:val="single" w:color="auto" w:sz="4" w:space="0"/>
              <w:left w:val="single" w:color="auto" w:sz="4" w:space="0"/>
              <w:bottom w:val="single" w:color="auto" w:sz="4" w:space="0"/>
              <w:right w:val="single" w:color="auto" w:sz="4" w:space="0"/>
            </w:tcBorders>
            <w:vAlign w:val="center"/>
          </w:tcPr>
          <w:p w14:paraId="1619DFF6">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1</w:t>
            </w:r>
          </w:p>
        </w:tc>
        <w:tc>
          <w:tcPr>
            <w:tcW w:w="1051" w:type="dxa"/>
            <w:tcBorders>
              <w:top w:val="single" w:color="auto" w:sz="4" w:space="0"/>
              <w:left w:val="single" w:color="auto" w:sz="4" w:space="0"/>
              <w:bottom w:val="single" w:color="auto" w:sz="4" w:space="0"/>
              <w:right w:val="single" w:color="auto" w:sz="4" w:space="0"/>
            </w:tcBorders>
            <w:vAlign w:val="center"/>
          </w:tcPr>
          <w:p w14:paraId="38CD5254">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应用范围和要求</w:t>
            </w:r>
          </w:p>
        </w:tc>
        <w:tc>
          <w:tcPr>
            <w:tcW w:w="7879" w:type="dxa"/>
            <w:gridSpan w:val="2"/>
            <w:tcBorders>
              <w:top w:val="single" w:color="auto" w:sz="4" w:space="0"/>
              <w:left w:val="single" w:color="auto" w:sz="4" w:space="0"/>
              <w:bottom w:val="single" w:color="auto" w:sz="4" w:space="0"/>
              <w:right w:val="single" w:color="auto" w:sz="4" w:space="0"/>
            </w:tcBorders>
            <w:vAlign w:val="center"/>
          </w:tcPr>
          <w:p w14:paraId="1D45430E">
            <w:pPr>
              <w:widowControl/>
              <w:spacing w:line="360" w:lineRule="auto"/>
              <w:jc w:val="left"/>
              <w:rPr>
                <w:rFonts w:hint="eastAsia" w:ascii="宋体" w:hAnsi="宋体" w:eastAsia="宋体" w:cs="宋体"/>
                <w:bCs/>
                <w:color w:val="000000" w:themeColor="text1"/>
                <w:sz w:val="24"/>
                <w:szCs w:val="24"/>
                <w:u w:val="none"/>
                <w:lang w:eastAsia="zh-CN"/>
                <w14:textFill>
                  <w14:solidFill>
                    <w14:schemeClr w14:val="tx1"/>
                  </w14:solidFill>
                </w14:textFill>
              </w:rPr>
            </w:pPr>
            <w:r>
              <w:rPr>
                <w:rFonts w:hint="eastAsia" w:ascii="宋体" w:hAnsi="宋体" w:eastAsia="宋体" w:cs="宋体"/>
                <w:bCs/>
                <w:color w:val="000000" w:themeColor="text1"/>
                <w:sz w:val="24"/>
                <w:szCs w:val="24"/>
                <w:u w:val="none"/>
                <w14:textFill>
                  <w14:solidFill>
                    <w14:schemeClr w14:val="tx1"/>
                  </w14:solidFill>
                </w14:textFill>
              </w:rPr>
              <w:t>拟购置一台高分辨率地物光谱仪，全波段光谱采集技术，配备视场角探头及野外便携配件，可实现野外复杂环境下植物、土壤、水体等样本的快速、精准光谱测量。光谱范围 350–2500nm，配备多功能手柄，适配植物生理生态监测、植被胁迫诊断、土壤理化性质分析等多领域科研需求。</w:t>
            </w:r>
            <w:r>
              <w:rPr>
                <w:rFonts w:hint="eastAsia" w:ascii="宋体" w:hAnsi="宋体" w:eastAsia="宋体" w:cs="宋体"/>
                <w:bCs/>
                <w:color w:val="000000" w:themeColor="text1"/>
                <w:sz w:val="24"/>
                <w:szCs w:val="24"/>
                <w:u w:val="none"/>
                <w:lang w:eastAsia="zh-CN"/>
                <w14:textFill>
                  <w14:solidFill>
                    <w14:schemeClr w14:val="tx1"/>
                  </w14:solidFill>
                </w14:textFill>
              </w:rPr>
              <w:t>（</w:t>
            </w:r>
            <w:r>
              <w:rPr>
                <w:rFonts w:hint="eastAsia" w:ascii="宋体" w:hAnsi="宋体" w:eastAsia="宋体" w:cs="宋体"/>
                <w:bCs/>
                <w:color w:val="000000" w:themeColor="text1"/>
                <w:sz w:val="24"/>
                <w:szCs w:val="24"/>
                <w:u w:val="none"/>
                <w:lang w:val="en-US" w:eastAsia="zh-CN"/>
                <w14:textFill>
                  <w14:solidFill>
                    <w14:schemeClr w14:val="tx1"/>
                  </w14:solidFill>
                </w14:textFill>
              </w:rPr>
              <w:t>本项不计为打分项</w:t>
            </w:r>
            <w:r>
              <w:rPr>
                <w:rFonts w:hint="eastAsia" w:ascii="宋体" w:hAnsi="宋体" w:eastAsia="宋体" w:cs="宋体"/>
                <w:bCs/>
                <w:color w:val="000000" w:themeColor="text1"/>
                <w:sz w:val="24"/>
                <w:szCs w:val="24"/>
                <w:u w:val="none"/>
                <w:lang w:eastAsia="zh-CN"/>
                <w14:textFill>
                  <w14:solidFill>
                    <w14:schemeClr w14:val="tx1"/>
                  </w14:solidFill>
                </w14:textFill>
              </w:rPr>
              <w:t>）</w:t>
            </w:r>
          </w:p>
        </w:tc>
      </w:tr>
      <w:tr w14:paraId="4B945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41212C09">
            <w:pPr>
              <w:widowControl/>
              <w:spacing w:line="360" w:lineRule="auto"/>
              <w:jc w:val="center"/>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2</w:t>
            </w:r>
          </w:p>
        </w:tc>
        <w:tc>
          <w:tcPr>
            <w:tcW w:w="1051" w:type="dxa"/>
            <w:vMerge w:val="restart"/>
            <w:vAlign w:val="center"/>
          </w:tcPr>
          <w:p w14:paraId="05C293C3">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性能指标</w:t>
            </w:r>
          </w:p>
        </w:tc>
        <w:tc>
          <w:tcPr>
            <w:tcW w:w="7879" w:type="dxa"/>
            <w:gridSpan w:val="2"/>
            <w:vAlign w:val="center"/>
          </w:tcPr>
          <w:p w14:paraId="7C3C724E">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高分辨率地物光谱仪主机：</w:t>
            </w:r>
          </w:p>
        </w:tc>
      </w:tr>
      <w:tr w14:paraId="751ED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0AAA47C1">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3DA57740">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72B061C5">
            <w:pPr>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1</w:t>
            </w:r>
          </w:p>
        </w:tc>
        <w:tc>
          <w:tcPr>
            <w:tcW w:w="7130" w:type="dxa"/>
            <w:vAlign w:val="center"/>
          </w:tcPr>
          <w:p w14:paraId="6E049736">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光谱通道：2151</w:t>
            </w:r>
          </w:p>
        </w:tc>
      </w:tr>
      <w:tr w14:paraId="46BF5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47DDA07D">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6C0B0F81">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0A59E56E">
            <w:pPr>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2</w:t>
            </w:r>
          </w:p>
        </w:tc>
        <w:tc>
          <w:tcPr>
            <w:tcW w:w="7130" w:type="dxa"/>
            <w:vAlign w:val="center"/>
          </w:tcPr>
          <w:p w14:paraId="63BAF48B">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波长重复精度：0.1nm</w:t>
            </w:r>
          </w:p>
        </w:tc>
      </w:tr>
      <w:tr w14:paraId="6B79B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6AE9F69B">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267D971A">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1B3942D">
            <w:pPr>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3</w:t>
            </w:r>
          </w:p>
        </w:tc>
        <w:tc>
          <w:tcPr>
            <w:tcW w:w="7130" w:type="dxa"/>
            <w:vAlign w:val="center"/>
          </w:tcPr>
          <w:p w14:paraId="01943AA1">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波长精度：±0.5带宽</w:t>
            </w:r>
          </w:p>
        </w:tc>
      </w:tr>
      <w:tr w14:paraId="07CBE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5B22D53F">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0A2664DE">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325F2D67">
            <w:pPr>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4</w:t>
            </w:r>
          </w:p>
        </w:tc>
        <w:tc>
          <w:tcPr>
            <w:tcW w:w="7130" w:type="dxa"/>
            <w:vAlign w:val="center"/>
          </w:tcPr>
          <w:p w14:paraId="5A48B069">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尺寸：≤35 × 25 × 9.5cm</w:t>
            </w:r>
          </w:p>
        </w:tc>
      </w:tr>
      <w:tr w14:paraId="4CAB0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F49F03B">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2E8AC1A3">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7074C4E8">
            <w:pPr>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5</w:t>
            </w:r>
          </w:p>
        </w:tc>
        <w:tc>
          <w:tcPr>
            <w:tcW w:w="7130" w:type="dxa"/>
            <w:vAlign w:val="center"/>
          </w:tcPr>
          <w:p w14:paraId="23107F21">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通讯方式：USB,蓝牙</w:t>
            </w:r>
          </w:p>
        </w:tc>
      </w:tr>
      <w:tr w14:paraId="5D35F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9EB062B">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57494088">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675E219C">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7CAA9429">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61CB3D96">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41FC55C8">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4D03EF65">
            <w:pPr>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6</w:t>
            </w:r>
          </w:p>
        </w:tc>
        <w:tc>
          <w:tcPr>
            <w:tcW w:w="7130" w:type="dxa"/>
            <w:vAlign w:val="center"/>
          </w:tcPr>
          <w:p w14:paraId="19C5524E">
            <w:pP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设备无需背包，可斜挎使用(需提供使用照片)</w:t>
            </w:r>
          </w:p>
        </w:tc>
      </w:tr>
      <w:tr w14:paraId="6EF79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94D8CA4">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022AE165">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5B363720">
            <w:pPr>
              <w:spacing w:line="360" w:lineRule="auto"/>
              <w:jc w:val="center"/>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7</w:t>
            </w:r>
          </w:p>
        </w:tc>
        <w:tc>
          <w:tcPr>
            <w:tcW w:w="7130" w:type="dxa"/>
            <w:vAlign w:val="center"/>
          </w:tcPr>
          <w:p w14:paraId="56E0E62F">
            <w:pPr>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分辨率：＜2.9nm@350-1000nm，＜6nm@1500nm，＜6nm@ 2100nm；</w:t>
            </w:r>
          </w:p>
        </w:tc>
      </w:tr>
      <w:tr w14:paraId="1AABD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0007959">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5B6E6760">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7DE4D951">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8</w:t>
            </w:r>
          </w:p>
        </w:tc>
        <w:tc>
          <w:tcPr>
            <w:tcW w:w="7130" w:type="dxa"/>
            <w:vAlign w:val="center"/>
          </w:tcPr>
          <w:p w14:paraId="0BF6852F">
            <w:pPr>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等效辐射噪声：</w:t>
            </w:r>
          </w:p>
          <w:p w14:paraId="36849E7D">
            <w:pPr>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＜0.4×10-9@400nm，</w:t>
            </w:r>
          </w:p>
          <w:p w14:paraId="7F22D10D">
            <w:pPr>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＜0.2×10-9@1500nm，</w:t>
            </w:r>
          </w:p>
          <w:p w14:paraId="0C996658">
            <w:pPr>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＜2.6×10-9@2100nm；</w:t>
            </w:r>
          </w:p>
        </w:tc>
      </w:tr>
      <w:tr w14:paraId="7C983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04B3D15">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2A9D9A51">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116F9ABB">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9</w:t>
            </w:r>
          </w:p>
        </w:tc>
        <w:tc>
          <w:tcPr>
            <w:tcW w:w="7130" w:type="dxa"/>
            <w:vAlign w:val="center"/>
          </w:tcPr>
          <w:p w14:paraId="4DA47926">
            <w:pPr>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探测器：1024单元紫外增强型硅线阵(350-1000nm)，增强型512单元线阵列TE制冷InGaAs(SWIR1)，增强型512单元线阵列TE制冷InGaAs(SWIR2)</w:t>
            </w:r>
          </w:p>
        </w:tc>
      </w:tr>
      <w:tr w14:paraId="2C94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D7C9406">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07F58969">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39BC814F">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10</w:t>
            </w:r>
          </w:p>
        </w:tc>
        <w:tc>
          <w:tcPr>
            <w:tcW w:w="7130" w:type="dxa"/>
            <w:vAlign w:val="center"/>
          </w:tcPr>
          <w:p w14:paraId="1C40007D">
            <w:pPr>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光纤：≥1.5m，直通光纤末尾无分光耦合结构，与主机固定使用存放；国内可更换并进行标定</w:t>
            </w:r>
          </w:p>
        </w:tc>
      </w:tr>
      <w:tr w14:paraId="7F06C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2B2B836">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2897CF14">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5F3D48B">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11</w:t>
            </w:r>
          </w:p>
        </w:tc>
        <w:tc>
          <w:tcPr>
            <w:tcW w:w="7130" w:type="dxa"/>
            <w:vAlign w:val="center"/>
          </w:tcPr>
          <w:p w14:paraId="6884B9FC">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重量（不含电池）：≤4.7公斤；</w:t>
            </w:r>
          </w:p>
        </w:tc>
      </w:tr>
      <w:tr w14:paraId="28835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E6B15A3">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00F9C9B3">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15F3625">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12</w:t>
            </w:r>
          </w:p>
        </w:tc>
        <w:tc>
          <w:tcPr>
            <w:tcW w:w="7130" w:type="dxa"/>
            <w:vAlign w:val="center"/>
          </w:tcPr>
          <w:p w14:paraId="6E59E2BF">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波长范围：350-2500nm；</w:t>
            </w:r>
          </w:p>
        </w:tc>
      </w:tr>
      <w:tr w14:paraId="530F0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CAE0366">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532D0CED">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6C65438">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13</w:t>
            </w:r>
          </w:p>
        </w:tc>
        <w:tc>
          <w:tcPr>
            <w:tcW w:w="7130" w:type="dxa"/>
            <w:vAlign w:val="center"/>
          </w:tcPr>
          <w:p w14:paraId="320E8A98">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分光方式 ：固定全息光栅，内部无任何可移动部件。</w:t>
            </w:r>
          </w:p>
        </w:tc>
      </w:tr>
      <w:tr w14:paraId="2F30C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1BB3D18">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7129A07E">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879" w:type="dxa"/>
            <w:gridSpan w:val="2"/>
            <w:vAlign w:val="center"/>
          </w:tcPr>
          <w:p w14:paraId="7B092092">
            <w:pPr>
              <w:spacing w:line="360" w:lineRule="auto"/>
              <w:ind w:left="0" w:leftChars="0" w:firstLine="0" w:firstLineChars="0"/>
              <w:jc w:val="left"/>
              <w:rPr>
                <w:rFonts w:hint="eastAsia" w:ascii="宋体" w:hAnsi="宋体" w:eastAsia="宋体" w:cs="宋体"/>
                <w:b w:val="0"/>
                <w:i w:val="0"/>
                <w:sz w:val="24"/>
                <w:szCs w:val="24"/>
                <w:u w:val="none"/>
                <w:shd w:val="clear" w:color="auto" w:fill="FFFFFF"/>
              </w:rPr>
            </w:pPr>
            <w:r>
              <w:rPr>
                <w:rFonts w:hint="eastAsia" w:ascii="宋体" w:hAnsi="宋体" w:eastAsia="宋体" w:cs="宋体"/>
                <w:b w:val="0"/>
                <w:i w:val="0"/>
                <w:sz w:val="24"/>
                <w:szCs w:val="24"/>
                <w:u w:val="none"/>
                <w:shd w:val="clear" w:color="auto" w:fill="FFFFFF"/>
              </w:rPr>
              <w:t>采集软件：</w:t>
            </w:r>
          </w:p>
        </w:tc>
      </w:tr>
      <w:tr w14:paraId="2AAB9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8CBA272">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6E2E1DD4">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0BE8D870">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1D0C9BE2">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34550289">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5DBB70F2">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00C29EA6">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6123DC17">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3136FA2C">
            <w:pPr>
              <w:spacing w:line="360" w:lineRule="auto"/>
              <w:jc w:val="center"/>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1</w:t>
            </w:r>
          </w:p>
        </w:tc>
        <w:tc>
          <w:tcPr>
            <w:tcW w:w="7130" w:type="dxa"/>
            <w:vAlign w:val="center"/>
          </w:tcPr>
          <w:p w14:paraId="2061848B">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数据获取：数据无需转换处理即可用第三方分析软件Excel、ENVI等进行数据分析处理，可直接用记事本打开；</w:t>
            </w:r>
          </w:p>
        </w:tc>
      </w:tr>
      <w:tr w14:paraId="381CE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82A23BF">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6BB74A99">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241925B8">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09791283">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34C87A0A">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57181510">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2FBDF64E">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8E0DDD9">
            <w:pPr>
              <w:spacing w:line="360" w:lineRule="auto"/>
              <w:jc w:val="center"/>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2</w:t>
            </w:r>
          </w:p>
        </w:tc>
        <w:tc>
          <w:tcPr>
            <w:tcW w:w="7130" w:type="dxa"/>
            <w:vAlign w:val="center"/>
          </w:tcPr>
          <w:p w14:paraId="5EC4BAE4">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自带USGS数据库和至少15个植被指数计算公式；</w:t>
            </w:r>
          </w:p>
        </w:tc>
      </w:tr>
      <w:tr w14:paraId="6F77D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12426F9">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514384FD">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18381DD5">
            <w:pPr>
              <w:spacing w:line="360" w:lineRule="auto"/>
              <w:jc w:val="center"/>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3</w:t>
            </w:r>
          </w:p>
        </w:tc>
        <w:tc>
          <w:tcPr>
            <w:tcW w:w="7130" w:type="dxa"/>
            <w:vAlign w:val="center"/>
          </w:tcPr>
          <w:p w14:paraId="0DB0D17D">
            <w:pPr>
              <w:spacing w:after="160" w:line="360" w:lineRule="auto"/>
              <w:contextualSpacing/>
              <w:jc w:val="left"/>
              <w:rPr>
                <w:rFonts w:hint="eastAsia" w:ascii="宋体" w:hAnsi="宋体" w:eastAsia="宋体" w:cs="宋体"/>
                <w:sz w:val="24"/>
                <w:szCs w:val="24"/>
                <w:u w:val="none"/>
              </w:rPr>
            </w:pPr>
            <w:r>
              <w:rPr>
                <w:rFonts w:hint="eastAsia" w:ascii="宋体" w:hAnsi="宋体" w:eastAsia="宋体" w:cs="宋体"/>
                <w:sz w:val="24"/>
                <w:szCs w:val="24"/>
                <w:u w:val="none"/>
                <w:shd w:val="clear" w:color="auto" w:fill="FFFFFF"/>
              </w:rPr>
              <w:t>配备多功能手柄专用软件，可显示GPS坐标、手柄角度信息、距离信息、太阳高度角等信息，标注光纤视场；(需提供软件照片或截图)</w:t>
            </w:r>
          </w:p>
        </w:tc>
      </w:tr>
      <w:tr w14:paraId="66F7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06AEA7B">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7B52A07C">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6D6146DC">
            <w:pPr>
              <w:spacing w:line="360" w:lineRule="auto"/>
              <w:jc w:val="center"/>
              <w:rPr>
                <w:rFonts w:hint="default"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sz w:val="24"/>
                <w:szCs w:val="24"/>
                <w:u w:val="none"/>
                <w:shd w:val="clear" w:color="auto" w:fill="FFFFFF"/>
              </w:rPr>
              <w:t>▲</w:t>
            </w:r>
            <w:r>
              <w:rPr>
                <w:rFonts w:hint="eastAsia" w:ascii="宋体" w:hAnsi="宋体" w:eastAsia="宋体" w:cs="宋体"/>
                <w:color w:val="000000" w:themeColor="text1"/>
                <w:sz w:val="24"/>
                <w:szCs w:val="24"/>
                <w:u w:val="none"/>
                <w:lang w:val="en-US" w:eastAsia="zh-CN"/>
                <w14:textFill>
                  <w14:solidFill>
                    <w14:schemeClr w14:val="tx1"/>
                  </w14:solidFill>
                </w14:textFill>
              </w:rPr>
              <w:t>4</w:t>
            </w:r>
          </w:p>
        </w:tc>
        <w:tc>
          <w:tcPr>
            <w:tcW w:w="7130" w:type="dxa"/>
            <w:vAlign w:val="center"/>
          </w:tcPr>
          <w:p w14:paraId="18B00B30">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自动化：软件无需单击优化按钮进行积分时间的优化，每次采集白板时自动优化积分时间。无需单独采集暗电流，每次采集时自动采集暗电流并扣减；每次采集完毕后，自动存储，无需手动存储</w:t>
            </w:r>
          </w:p>
        </w:tc>
      </w:tr>
      <w:tr w14:paraId="3B442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CFC415F">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4B7D2717">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879" w:type="dxa"/>
            <w:gridSpan w:val="2"/>
            <w:vAlign w:val="center"/>
          </w:tcPr>
          <w:p w14:paraId="23B22EB9">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多功能手柄：</w:t>
            </w:r>
          </w:p>
        </w:tc>
      </w:tr>
      <w:tr w14:paraId="72CAF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914C066">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5D206051">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55873CF">
            <w:pPr>
              <w:spacing w:line="360" w:lineRule="auto"/>
              <w:jc w:val="center"/>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1</w:t>
            </w:r>
          </w:p>
        </w:tc>
        <w:tc>
          <w:tcPr>
            <w:tcW w:w="7130" w:type="dxa"/>
            <w:vAlign w:val="center"/>
          </w:tcPr>
          <w:p w14:paraId="781C8684">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内置倾角计及激光测距，可记录采集角度与距离；</w:t>
            </w:r>
          </w:p>
        </w:tc>
      </w:tr>
      <w:tr w14:paraId="2EB8C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2EEE89E">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3C782AD1">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3AC1DA0A">
            <w:pPr>
              <w:spacing w:line="360" w:lineRule="auto"/>
              <w:jc w:val="center"/>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2</w:t>
            </w:r>
          </w:p>
        </w:tc>
        <w:tc>
          <w:tcPr>
            <w:tcW w:w="7130" w:type="dxa"/>
            <w:vAlign w:val="center"/>
          </w:tcPr>
          <w:p w14:paraId="2D89CC07">
            <w:pPr>
              <w:spacing w:after="160" w:line="360" w:lineRule="auto"/>
              <w:contextualSpacing/>
              <w:jc w:val="left"/>
              <w:rPr>
                <w:rFonts w:hint="eastAsia" w:ascii="宋体" w:hAnsi="宋体" w:eastAsia="宋体" w:cs="宋体"/>
                <w:sz w:val="24"/>
                <w:szCs w:val="24"/>
                <w:u w:val="none"/>
              </w:rPr>
            </w:pPr>
            <w:r>
              <w:rPr>
                <w:rFonts w:hint="eastAsia" w:ascii="宋体" w:hAnsi="宋体" w:eastAsia="宋体" w:cs="宋体"/>
                <w:sz w:val="24"/>
                <w:szCs w:val="24"/>
                <w:u w:val="none"/>
                <w:shd w:val="clear" w:color="auto" w:fill="FFFFFF"/>
              </w:rPr>
              <w:t>磁吸式连接操作终端，单手即可采集数据；</w:t>
            </w:r>
          </w:p>
        </w:tc>
      </w:tr>
      <w:tr w14:paraId="0A6F0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B799CFB">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228E1CAC">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F041B1B">
            <w:pPr>
              <w:spacing w:line="360" w:lineRule="auto"/>
              <w:jc w:val="center"/>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3</w:t>
            </w:r>
          </w:p>
        </w:tc>
        <w:tc>
          <w:tcPr>
            <w:tcW w:w="7130" w:type="dxa"/>
            <w:vAlign w:val="center"/>
          </w:tcPr>
          <w:p w14:paraId="01E8929E">
            <w:pP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内置摄像头和激光探头，摄像头可在专用软件确定光纤采集区域，采集光谱时同时保存采集区域图像；激光辅助指示光纤采集区域；</w:t>
            </w:r>
          </w:p>
        </w:tc>
      </w:tr>
      <w:tr w14:paraId="043B1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77C5B83">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1D89EDCA">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879" w:type="dxa"/>
            <w:gridSpan w:val="2"/>
            <w:vAlign w:val="center"/>
          </w:tcPr>
          <w:p w14:paraId="0157269B">
            <w:pPr>
              <w:spacing w:line="360" w:lineRule="auto"/>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其他：</w:t>
            </w:r>
          </w:p>
        </w:tc>
      </w:tr>
      <w:tr w14:paraId="6F8F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364A78A">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173E3AEC">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3459BE0">
            <w:pPr>
              <w:spacing w:line="360" w:lineRule="auto"/>
              <w:jc w:val="center"/>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7130" w:type="dxa"/>
            <w:vAlign w:val="center"/>
          </w:tcPr>
          <w:p w14:paraId="045074C6">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ascii="宋体" w:hAnsi="宋体" w:cs="宋体"/>
                <w:color w:val="000000" w:themeColor="text1"/>
                <w:sz w:val="24"/>
                <w14:textFill>
                  <w14:solidFill>
                    <w14:schemeClr w14:val="tx1"/>
                  </w14:solidFill>
                </w14:textFill>
              </w:rPr>
              <w:t>需要提供原厂在国内设有服务中心（具有波长标定、辐射亮度标定等功能）的证明文件</w:t>
            </w:r>
          </w:p>
        </w:tc>
      </w:tr>
    </w:tbl>
    <w:p w14:paraId="7D944F06">
      <w:pPr>
        <w:pStyle w:val="36"/>
        <w:ind w:firstLine="0" w:firstLineChars="0"/>
        <w:rPr>
          <w:rFonts w:hint="default" w:eastAsia="宋体"/>
          <w:sz w:val="24"/>
          <w:szCs w:val="24"/>
          <w:lang w:val="en-US" w:eastAsia="zh-CN"/>
        </w:rPr>
      </w:pPr>
      <w:r>
        <w:rPr>
          <w:rFonts w:hint="eastAsia"/>
          <w:sz w:val="24"/>
          <w:szCs w:val="24"/>
          <w:lang w:val="en-US" w:eastAsia="zh-CN"/>
        </w:rPr>
        <w:t>三、商务部分</w:t>
      </w:r>
    </w:p>
    <w:p w14:paraId="420BB314">
      <w:pPr>
        <w:numPr>
          <w:ilvl w:val="0"/>
          <w:numId w:val="14"/>
        </w:numPr>
        <w:autoSpaceDE w:val="0"/>
        <w:autoSpaceDN w:val="0"/>
        <w:adjustRightInd w:val="0"/>
        <w:spacing w:line="360" w:lineRule="auto"/>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★交货地点：</w:t>
      </w:r>
      <w:r>
        <w:rPr>
          <w:rFonts w:ascii="宋体" w:hAnsi="宋体" w:eastAsia="宋体" w:cs="仿宋"/>
          <w:sz w:val="24"/>
          <w:szCs w:val="24"/>
          <w:lang w:val="en"/>
        </w:rPr>
        <w:t>广州市天河区兴科路723号中国科学院华南植物园</w:t>
      </w:r>
      <w:r>
        <w:rPr>
          <w:rFonts w:hint="eastAsia" w:ascii="宋体" w:hAnsi="宋体" w:eastAsia="宋体" w:cs="宋体"/>
          <w:color w:val="000000" w:themeColor="text1"/>
          <w:kern w:val="0"/>
          <w:sz w:val="24"/>
          <w:szCs w:val="24"/>
          <w:lang w:val="zh-CN"/>
          <w14:textFill>
            <w14:solidFill>
              <w14:schemeClr w14:val="tx1"/>
            </w14:solidFill>
          </w14:textFill>
        </w:rPr>
        <w:t>指定地点</w:t>
      </w:r>
    </w:p>
    <w:p w14:paraId="515DE0D2">
      <w:pPr>
        <w:numPr>
          <w:ilvl w:val="0"/>
          <w:numId w:val="14"/>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★交货期：</w:t>
      </w:r>
      <w:r>
        <w:rPr>
          <w:rFonts w:hint="eastAsia" w:ascii="宋体" w:hAnsi="宋体" w:eastAsia="宋体" w:cs="宋体"/>
          <w:color w:val="000000" w:themeColor="text1"/>
          <w:kern w:val="0"/>
          <w:sz w:val="24"/>
          <w:szCs w:val="24"/>
          <w:lang w:val="de-DE"/>
          <w14:textFill>
            <w14:solidFill>
              <w14:schemeClr w14:val="tx1"/>
            </w14:solidFill>
          </w14:textFill>
        </w:rPr>
        <w:t>合同签订后的</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eastAsia="宋体" w:cs="宋体"/>
          <w:color w:val="000000" w:themeColor="text1"/>
          <w:kern w:val="0"/>
          <w:sz w:val="24"/>
          <w:szCs w:val="24"/>
          <w14:textFill>
            <w14:solidFill>
              <w14:schemeClr w14:val="tx1"/>
            </w14:solidFill>
          </w14:textFill>
        </w:rPr>
        <w:t>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p w14:paraId="4EF23B84">
      <w:pPr>
        <w:numPr>
          <w:ilvl w:val="0"/>
          <w:numId w:val="14"/>
        </w:numPr>
        <w:tabs>
          <w:tab w:val="left" w:pos="420"/>
        </w:tabs>
        <w:autoSpaceDE w:val="0"/>
        <w:autoSpaceDN w:val="0"/>
        <w:adjustRightInd w:val="0"/>
        <w:spacing w:line="360" w:lineRule="auto"/>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★报价方式及要求：</w:t>
      </w:r>
    </w:p>
    <w:p w14:paraId="33BAF1B9">
      <w:pPr>
        <w:tabs>
          <w:tab w:val="left" w:pos="900"/>
        </w:tabs>
        <w:spacing w:line="360" w:lineRule="auto"/>
        <w:rPr>
          <w:rFonts w:hint="eastAsia" w:ascii="宋体" w:hAnsi="宋体" w:cs="仿宋_GB2312"/>
          <w:sz w:val="24"/>
          <w:highlight w:val="none"/>
        </w:rPr>
      </w:pPr>
      <w:r>
        <w:rPr>
          <w:rFonts w:hint="eastAsia" w:ascii="宋体" w:hAnsi="宋体" w:cs="仿宋_GB2312"/>
          <w:bCs/>
          <w:sz w:val="24"/>
          <w:highlight w:val="none"/>
        </w:rPr>
        <w:t>3.1</w:t>
      </w:r>
      <w:r>
        <w:rPr>
          <w:rFonts w:hint="eastAsia" w:ascii="宋体" w:hAnsi="宋体" w:cs="仿宋_GB2312"/>
          <w:sz w:val="24"/>
          <w:highlight w:val="none"/>
        </w:rPr>
        <w:t>本项目</w:t>
      </w:r>
      <w:r>
        <w:rPr>
          <w:rFonts w:hint="eastAsia" w:ascii="宋体" w:hAnsi="宋体" w:cs="仿宋_GB2312"/>
          <w:sz w:val="24"/>
          <w:highlight w:val="none"/>
          <w:lang w:val="en-US" w:eastAsia="zh-CN"/>
        </w:rPr>
        <w:t>第二包</w:t>
      </w:r>
      <w:r>
        <w:rPr>
          <w:rFonts w:hint="eastAsia" w:ascii="宋体" w:hAnsi="宋体" w:cs="仿宋_GB2312"/>
          <w:sz w:val="24"/>
          <w:highlight w:val="none"/>
        </w:rPr>
        <w:t>允许采购进口产品</w:t>
      </w:r>
      <w:r>
        <w:rPr>
          <w:rFonts w:hint="eastAsia" w:ascii="宋体" w:hAnsi="宋体" w:eastAsia="宋体" w:cs="仿宋_GB2312"/>
          <w:sz w:val="24"/>
          <w:highlight w:val="none"/>
        </w:rPr>
        <w:t>（进口产品是指</w:t>
      </w:r>
      <w:r>
        <w:rPr>
          <w:rFonts w:hint="eastAsia" w:ascii="宋体" w:hAnsi="宋体" w:eastAsia="宋体" w:cs="仿宋_GB2312"/>
          <w:sz w:val="24"/>
          <w:szCs w:val="24"/>
          <w:highlight w:val="none"/>
        </w:rPr>
        <w:t>通过中国海关报关验放进入中国境内且产自关境外的产品）</w:t>
      </w:r>
      <w:r>
        <w:rPr>
          <w:rFonts w:hint="eastAsia" w:ascii="宋体" w:hAnsi="宋体" w:cs="仿宋_GB2312"/>
          <w:sz w:val="24"/>
          <w:highlight w:val="none"/>
        </w:rPr>
        <w:t>，在</w:t>
      </w:r>
      <w:r>
        <w:rPr>
          <w:rFonts w:hint="eastAsia" w:ascii="宋体" w:hAnsi="宋体" w:eastAsia="宋体" w:cs="仿宋_GB2312"/>
          <w:sz w:val="24"/>
          <w:szCs w:val="24"/>
          <w:highlight w:val="none"/>
        </w:rPr>
        <w:t>中国关境外提供的</w:t>
      </w:r>
      <w:r>
        <w:rPr>
          <w:rFonts w:hint="eastAsia" w:ascii="宋体" w:hAnsi="宋体" w:cs="仿宋_GB2312"/>
          <w:sz w:val="24"/>
          <w:highlight w:val="none"/>
        </w:rPr>
        <w:t>进口产品与服务报CI</w:t>
      </w:r>
      <w:r>
        <w:rPr>
          <w:rFonts w:hint="eastAsia" w:ascii="宋体" w:hAnsi="宋体" w:cs="仿宋_GB2312"/>
          <w:color w:val="auto"/>
          <w:sz w:val="24"/>
          <w:highlight w:val="none"/>
        </w:rPr>
        <w:t>P项目现场</w:t>
      </w:r>
      <w:r>
        <w:rPr>
          <w:rFonts w:hint="eastAsia" w:ascii="宋体" w:hAnsi="宋体" w:cs="仿宋_GB2312"/>
          <w:sz w:val="24"/>
          <w:highlight w:val="none"/>
        </w:rPr>
        <w:t>人民币价（</w:t>
      </w:r>
      <w:r>
        <w:rPr>
          <w:rFonts w:hint="eastAsia" w:ascii="宋体" w:hAnsi="宋体" w:eastAsia="宋体" w:cs="仿宋_GB2312"/>
          <w:sz w:val="24"/>
          <w:szCs w:val="24"/>
          <w:highlight w:val="none"/>
        </w:rPr>
        <w:t>不包括外贸代理费及应向中华人民共和国政府缴纳的进口环节税</w:t>
      </w:r>
      <w:r>
        <w:rPr>
          <w:rFonts w:hint="eastAsia" w:ascii="宋体" w:hAnsi="宋体" w:eastAsia="宋体" w:cs="仿宋_GB2312"/>
          <w:sz w:val="24"/>
          <w:szCs w:val="24"/>
          <w:highlight w:val="none"/>
          <w:lang w:eastAsia="zh-CN"/>
        </w:rPr>
        <w:t>，</w:t>
      </w:r>
      <w:r>
        <w:rPr>
          <w:rFonts w:hint="eastAsia" w:ascii="宋体" w:hAnsi="宋体" w:eastAsia="宋体" w:cs="仿宋_GB2312"/>
          <w:sz w:val="24"/>
          <w:szCs w:val="24"/>
          <w:highlight w:val="none"/>
          <w:lang w:val="en-US" w:eastAsia="zh-CN"/>
        </w:rPr>
        <w:t>外贸代理费以及清关杂费等由中标人承担</w:t>
      </w:r>
      <w:r>
        <w:rPr>
          <w:rFonts w:hint="eastAsia" w:ascii="宋体" w:hAnsi="宋体" w:eastAsia="宋体" w:cs="仿宋_GB2312"/>
          <w:sz w:val="24"/>
          <w:szCs w:val="24"/>
          <w:highlight w:val="none"/>
        </w:rPr>
        <w:t>）</w:t>
      </w:r>
    </w:p>
    <w:p w14:paraId="20D26390">
      <w:pPr>
        <w:tabs>
          <w:tab w:val="left" w:pos="900"/>
        </w:tabs>
        <w:spacing w:line="360" w:lineRule="auto"/>
        <w:rPr>
          <w:rFonts w:hint="eastAsia" w:ascii="宋体" w:hAnsi="宋体" w:eastAsia="宋体" w:cs="仿宋_GB2312"/>
          <w:sz w:val="24"/>
          <w:highlight w:val="none"/>
        </w:rPr>
      </w:pPr>
      <w:r>
        <w:rPr>
          <w:rFonts w:hint="eastAsia" w:ascii="宋体" w:hAnsi="宋体" w:eastAsia="宋体" w:cs="仿宋_GB2312"/>
          <w:sz w:val="24"/>
          <w:szCs w:val="24"/>
          <w:highlight w:val="none"/>
        </w:rPr>
        <w:t>3.2在中国关境内提供的进口产品及其有关服务的报项目现场人民币价。</w:t>
      </w:r>
      <w:r>
        <w:rPr>
          <w:rFonts w:hint="eastAsia" w:ascii="宋体" w:hAnsi="宋体" w:eastAsia="宋体" w:cs="仿宋_GB2312"/>
          <w:sz w:val="24"/>
          <w:highlight w:val="none"/>
        </w:rPr>
        <w:t>报价中需包括</w:t>
      </w:r>
      <w:r>
        <w:rPr>
          <w:rFonts w:hint="eastAsia" w:ascii="宋体" w:hAnsi="宋体" w:eastAsia="宋体" w:cs="仿宋_GB2312"/>
          <w:sz w:val="24"/>
          <w:szCs w:val="24"/>
          <w:highlight w:val="none"/>
        </w:rPr>
        <w:t>向中华人民共和国政府缴纳的进口环节税、运输费、保险费以及所有至项目现场的其他相关费用。</w:t>
      </w:r>
    </w:p>
    <w:p w14:paraId="70D67820">
      <w:pPr>
        <w:tabs>
          <w:tab w:val="left" w:pos="900"/>
        </w:tabs>
        <w:spacing w:line="360" w:lineRule="auto"/>
        <w:rPr>
          <w:rFonts w:hint="eastAsia" w:ascii="宋体" w:hAnsi="宋体" w:cs="仿宋_GB2312"/>
          <w:sz w:val="24"/>
          <w:highlight w:val="none"/>
        </w:rPr>
      </w:pPr>
      <w:r>
        <w:rPr>
          <w:rFonts w:hint="eastAsia" w:ascii="宋体" w:hAnsi="宋体" w:cs="仿宋_GB2312"/>
          <w:sz w:val="24"/>
          <w:highlight w:val="none"/>
        </w:rPr>
        <w:t>3.3 国产产品与服务报项目现场交货人民币价。报价中需包括制造、装配和发运货物所使用的材料、部件及货物本身已支付或将支付的产品税、销售税和其它税费。</w:t>
      </w:r>
    </w:p>
    <w:p w14:paraId="39D295B7">
      <w:pPr>
        <w:tabs>
          <w:tab w:val="left" w:pos="900"/>
        </w:tabs>
        <w:spacing w:line="360" w:lineRule="auto"/>
        <w:rPr>
          <w:rFonts w:hint="eastAsia" w:ascii="宋体" w:hAnsi="宋体" w:eastAsia="宋体" w:cs="仿宋_GB2312"/>
          <w:sz w:val="24"/>
          <w:highlight w:val="none"/>
        </w:rPr>
      </w:pPr>
      <w:r>
        <w:rPr>
          <w:rFonts w:hint="eastAsia" w:ascii="宋体" w:hAnsi="宋体" w:eastAsia="宋体" w:cs="仿宋_GB2312"/>
          <w:sz w:val="24"/>
          <w:szCs w:val="24"/>
          <w:highlight w:val="none"/>
        </w:rPr>
        <w:t>3.4 在中国境内的海关特殊监管区域内生产或加工销往境内其他地区的产品，不视为政府采购项下的进口产品，但报价要求同</w:t>
      </w:r>
      <w:r>
        <w:rPr>
          <w:rFonts w:hint="eastAsia" w:ascii="宋体" w:hAnsi="宋体" w:eastAsia="宋体" w:cs="仿宋_GB2312"/>
          <w:sz w:val="24"/>
          <w:szCs w:val="24"/>
          <w:highlight w:val="none"/>
          <w:lang w:val="en-US" w:eastAsia="zh-CN"/>
        </w:rPr>
        <w:t>3.</w:t>
      </w:r>
      <w:r>
        <w:rPr>
          <w:rFonts w:hint="eastAsia" w:ascii="宋体" w:hAnsi="宋体" w:eastAsia="宋体" w:cs="仿宋_GB2312"/>
          <w:sz w:val="24"/>
          <w:szCs w:val="24"/>
          <w:highlight w:val="none"/>
        </w:rPr>
        <w:t>1。</w:t>
      </w:r>
    </w:p>
    <w:p w14:paraId="7C058941">
      <w:pPr>
        <w:adjustRightInd w:val="0"/>
        <w:snapToGrid w:val="0"/>
        <w:spacing w:line="360" w:lineRule="auto"/>
        <w:rPr>
          <w:rFonts w:hint="eastAsia" w:ascii="宋体" w:hAnsi="宋体" w:cs="仿宋_GB2312"/>
          <w:bCs/>
          <w:sz w:val="24"/>
          <w:highlight w:val="none"/>
        </w:rPr>
      </w:pPr>
      <w:r>
        <w:rPr>
          <w:rFonts w:hint="eastAsia" w:ascii="宋体" w:hAnsi="宋体" w:cs="仿宋_GB2312"/>
          <w:bCs/>
          <w:sz w:val="24"/>
          <w:highlight w:val="none"/>
        </w:rPr>
        <w:t>3.5上述价格的构成须按在分项报价表中格式要求详细列出。</w:t>
      </w:r>
    </w:p>
    <w:p w14:paraId="6E144C04">
      <w:pPr>
        <w:tabs>
          <w:tab w:val="left" w:pos="0"/>
        </w:tabs>
        <w:autoSpaceDE w:val="0"/>
        <w:autoSpaceDN w:val="0"/>
        <w:adjustRightInd w:val="0"/>
        <w:spacing w:line="360" w:lineRule="auto"/>
        <w:rPr>
          <w:rFonts w:hint="eastAsia"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cs="仿宋_GB2312"/>
          <w:bCs/>
          <w:sz w:val="24"/>
          <w:highlight w:val="none"/>
        </w:rPr>
        <w:t>3.6 对原产于美国的产品，进口时在正常科创免税之外，中国政府加征的特殊关税由中标人承担。</w:t>
      </w:r>
    </w:p>
    <w:p w14:paraId="384B8A47">
      <w:pPr>
        <w:numPr>
          <w:ilvl w:val="0"/>
          <w:numId w:val="14"/>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b/>
          <w:bCs/>
          <w:color w:val="000000" w:themeColor="text1"/>
          <w:kern w:val="0"/>
          <w:sz w:val="24"/>
          <w:szCs w:val="24"/>
          <w:lang w:val="en-US" w:eastAsia="zh-CN"/>
          <w14:textFill>
            <w14:solidFill>
              <w14:schemeClr w14:val="tx1"/>
            </w14:solidFill>
          </w14:textFill>
        </w:rPr>
        <w:t>关于厂家授权：</w:t>
      </w:r>
    </w:p>
    <w:p w14:paraId="2774DFC0">
      <w:pPr>
        <w:numPr>
          <w:ilvl w:val="0"/>
          <w:numId w:val="0"/>
        </w:numPr>
        <w:tabs>
          <w:tab w:val="left" w:pos="0"/>
        </w:tabs>
        <w:autoSpaceDE w:val="0"/>
        <w:autoSpaceDN w:val="0"/>
        <w:adjustRightInd w:val="0"/>
        <w:spacing w:line="360" w:lineRule="auto"/>
        <w:ind w:leftChars="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若所投产品为进口，则投标人需提供由设备制造商或其授权的合法代理商（包括但不限于中国总代理、区域代理等）签署的合法有效的授权文件扫描件。</w:t>
      </w:r>
    </w:p>
    <w:p w14:paraId="2A879E59">
      <w:pPr>
        <w:numPr>
          <w:ilvl w:val="0"/>
          <w:numId w:val="0"/>
        </w:numPr>
        <w:tabs>
          <w:tab w:val="left" w:pos="0"/>
        </w:tabs>
        <w:autoSpaceDE w:val="0"/>
        <w:autoSpaceDN w:val="0"/>
        <w:adjustRightInd w:val="0"/>
        <w:spacing w:line="360" w:lineRule="auto"/>
        <w:ind w:leftChars="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（1）若是设备制造商直接授权给投标人的，投标人需提供由设备制造商直接授权的授权证明扫描件；若投标人提供的证明材料无法体现授权书是制造商出具的，将作投标无效处理。</w:t>
      </w:r>
    </w:p>
    <w:p w14:paraId="006A7C9F">
      <w:pPr>
        <w:numPr>
          <w:ilvl w:val="0"/>
          <w:numId w:val="0"/>
        </w:numPr>
        <w:tabs>
          <w:tab w:val="left" w:pos="0"/>
        </w:tabs>
        <w:autoSpaceDE w:val="0"/>
        <w:autoSpaceDN w:val="0"/>
        <w:adjustRightInd w:val="0"/>
        <w:spacing w:line="360" w:lineRule="auto"/>
        <w:ind w:leftChars="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2）若是设备制造商的合法代理商（如中国总代理、区域代理等）授权给投标人的，投标人需提供设备制造商直接授权给该代理商的授权证明，以及该代理商授权给投标人的授权证明扫描件。若投标人提供的证明材料无法体现完整的授权链条或无法确认该代理商具备合法授权资格，将作投标无效处理。</w:t>
      </w:r>
    </w:p>
    <w:p w14:paraId="587E6FC7">
      <w:pPr>
        <w:numPr>
          <w:ilvl w:val="0"/>
          <w:numId w:val="0"/>
        </w:numPr>
        <w:tabs>
          <w:tab w:val="left" w:pos="0"/>
        </w:tabs>
        <w:autoSpaceDE w:val="0"/>
        <w:autoSpaceDN w:val="0"/>
        <w:adjustRightInd w:val="0"/>
        <w:spacing w:line="360" w:lineRule="auto"/>
        <w:ind w:leftChars="0"/>
        <w:rPr>
          <w:rFonts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若所投产品为国产产品，则无需提供上述证明文件。</w:t>
      </w:r>
    </w:p>
    <w:p w14:paraId="20CC163C">
      <w:pPr>
        <w:numPr>
          <w:ilvl w:val="0"/>
          <w:numId w:val="14"/>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★付款方式：</w:t>
      </w:r>
    </w:p>
    <w:p w14:paraId="196471C5">
      <w:pPr>
        <w:pStyle w:val="8"/>
        <w:spacing w:line="360" w:lineRule="auto"/>
        <w:rPr>
          <w:rFonts w:hint="eastAsia" w:cs="宋体"/>
          <w:b/>
          <w:bCs/>
          <w:color w:val="FF0000"/>
        </w:rPr>
      </w:pPr>
      <w:r>
        <w:rPr>
          <w:rFonts w:hint="eastAsia" w:cs="宋体"/>
          <w:b/>
          <w:bCs/>
          <w:color w:val="FF0000"/>
        </w:rPr>
        <w:t>国产产品：</w:t>
      </w:r>
    </w:p>
    <w:p w14:paraId="64AD6329">
      <w:pPr>
        <w:pStyle w:val="8"/>
        <w:spacing w:line="360" w:lineRule="auto"/>
        <w:rPr>
          <w:rFonts w:cs="宋体"/>
        </w:rPr>
      </w:pPr>
      <w:r>
        <w:rPr>
          <w:rFonts w:cs="宋体"/>
        </w:rPr>
        <w:t>本合同签订之日起 30 个工作日内，卖方应向买方提交金额为合同总价 100% 的预付款保函。该保函应由在中国境内依法设立的商业银行、政策性银行或经国家金融监管部门批准的保险机构出具，性质为不可撤销、不可转让、见索即付的独立保函。买方收到符合前款要求的保函原件（或经核验的电子保函）并确认无误后 10 个工作日内，向卖方支付合同总价 100% 的合同款。保函有效期自保函出具之日起，至以下两个日期中较晚者之日第30日止：1）设备到货、安装调试完成，且上级主管部门组织的正式技术验收合格之日；2）本合同约定的履约保证金生效之日。</w:t>
      </w:r>
    </w:p>
    <w:p w14:paraId="3DB0036E">
      <w:pPr>
        <w:pStyle w:val="8"/>
        <w:spacing w:line="360" w:lineRule="auto"/>
        <w:rPr>
          <w:rFonts w:hint="eastAsia" w:cs="宋体"/>
        </w:rPr>
      </w:pPr>
      <w:r>
        <w:rPr>
          <w:rFonts w:hint="eastAsia" w:cs="宋体"/>
        </w:rPr>
        <w:t>履约保证金：</w:t>
      </w:r>
      <w:r>
        <w:rPr>
          <w:rFonts w:cs="宋体"/>
        </w:rPr>
        <w:t>卖方需在完成技术验收后30</w:t>
      </w:r>
      <w:r>
        <w:rPr>
          <w:rFonts w:hint="eastAsia" w:cs="宋体"/>
        </w:rPr>
        <w:t>日</w:t>
      </w:r>
      <w:r>
        <w:rPr>
          <w:rFonts w:cs="宋体"/>
        </w:rPr>
        <w:t>内按照合同总价的</w:t>
      </w:r>
      <w:r>
        <w:rPr>
          <w:rFonts w:hint="eastAsia" w:cs="宋体"/>
        </w:rPr>
        <w:t>3</w:t>
      </w:r>
      <w:r>
        <w:rPr>
          <w:rFonts w:cs="宋体"/>
        </w:rPr>
        <w:t>%向买方缴纳履约保证金，履约保证金在本合同质保期届满之日起三十日内且不存在质量问题和</w:t>
      </w:r>
      <w:r>
        <w:rPr>
          <w:rFonts w:hint="eastAsia" w:cs="宋体"/>
        </w:rPr>
        <w:t>卖方</w:t>
      </w:r>
      <w:r>
        <w:rPr>
          <w:rFonts w:cs="宋体"/>
        </w:rPr>
        <w:t>无违约的情况下，无息退还给卖方；卖方提交的设备若出现质量问题或存在违约行为的情况下，买方有权没收卖方的上述履约保证金，卖方不得有任何异议。</w:t>
      </w:r>
    </w:p>
    <w:p w14:paraId="5191BB78">
      <w:pPr>
        <w:pStyle w:val="8"/>
        <w:spacing w:line="360" w:lineRule="auto"/>
        <w:rPr>
          <w:rFonts w:hint="eastAsia" w:cs="宋体"/>
          <w:b/>
          <w:bCs/>
          <w:color w:val="FF0000"/>
        </w:rPr>
      </w:pPr>
      <w:r>
        <w:rPr>
          <w:rFonts w:hint="eastAsia" w:cs="宋体"/>
          <w:b/>
          <w:bCs/>
          <w:color w:val="FF0000"/>
        </w:rPr>
        <w:t>进口产品：</w:t>
      </w:r>
    </w:p>
    <w:p w14:paraId="27415E11">
      <w:pPr>
        <w:pStyle w:val="8"/>
        <w:spacing w:line="360" w:lineRule="auto"/>
        <w:rPr>
          <w:rFonts w:hint="eastAsia" w:cs="宋体"/>
        </w:rPr>
      </w:pPr>
      <w:r>
        <w:rPr>
          <w:rFonts w:hint="eastAsia" w:cs="宋体"/>
        </w:rPr>
        <w:t>对于进口产品，采用即期不可撤销信用证等国际贸易支付条件支付：</w:t>
      </w:r>
    </w:p>
    <w:p w14:paraId="3CBB3099">
      <w:pPr>
        <w:pStyle w:val="8"/>
        <w:spacing w:line="360" w:lineRule="auto"/>
        <w:rPr>
          <w:rFonts w:hint="eastAsia" w:cs="宋体"/>
        </w:rPr>
      </w:pPr>
      <w:r>
        <w:rPr>
          <w:rFonts w:hint="eastAsia" w:cs="宋体"/>
        </w:rPr>
        <w:t xml:space="preserve">      90%凭合同要求（完成出广州海关手续）单据支付；</w:t>
      </w:r>
    </w:p>
    <w:p w14:paraId="61E64E4F">
      <w:pPr>
        <w:pStyle w:val="8"/>
        <w:spacing w:line="360" w:lineRule="auto"/>
        <w:rPr>
          <w:rFonts w:hint="eastAsia" w:cs="宋体"/>
        </w:rPr>
      </w:pPr>
      <w:r>
        <w:rPr>
          <w:rFonts w:hint="eastAsia" w:cs="宋体"/>
        </w:rPr>
        <w:t xml:space="preserve">      10%凭采购人签字的验收报告支付。</w:t>
      </w:r>
    </w:p>
    <w:p w14:paraId="6C417EA4">
      <w:pPr>
        <w:pStyle w:val="8"/>
        <w:spacing w:line="360" w:lineRule="auto"/>
        <w:rPr>
          <w:rFonts w:cs="宋体"/>
        </w:rPr>
      </w:pPr>
      <w:r>
        <w:rPr>
          <w:rFonts w:hint="eastAsia" w:cs="宋体"/>
        </w:rPr>
        <w:t>履约保证金：卖方需自合同签订之日起30日内按照合同总价的5%向买方缴纳履约保证金，履约保证金在本合同质保期届满之日起三十日内且不存在质量问题和卖方无违约的情况下，无息退还给卖方；卖方提交的设备若出现质量问题或存在违约行为的情况下，买方有权没收卖方的上述履约保证金，卖方不得有任何异议。</w:t>
      </w:r>
    </w:p>
    <w:p w14:paraId="3D0BF2AF">
      <w:pPr>
        <w:pStyle w:val="8"/>
        <w:spacing w:line="360" w:lineRule="auto"/>
        <w:rPr>
          <w:rFonts w:hint="eastAsia" w:cs="宋体"/>
        </w:rPr>
      </w:pPr>
    </w:p>
    <w:p w14:paraId="4DD64FD6">
      <w:pPr>
        <w:numPr>
          <w:ilvl w:val="0"/>
          <w:numId w:val="14"/>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售后服务要求：</w:t>
      </w:r>
    </w:p>
    <w:p w14:paraId="4D2899D0">
      <w:pPr>
        <w:numPr>
          <w:ilvl w:val="0"/>
          <w:numId w:val="0"/>
        </w:num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eastAsia="宋体" w:cs="宋体"/>
          <w:kern w:val="2"/>
          <w:sz w:val="24"/>
          <w:szCs w:val="24"/>
          <w:lang w:val="en-US" w:eastAsia="zh-CN" w:bidi="ar-SA"/>
        </w:rPr>
        <w:t>售后服务期限：为设备提供终身售后服务，整机免费质保1年，保质期外仅收取零部件更换费用。</w:t>
      </w:r>
    </w:p>
    <w:p w14:paraId="6B396614">
      <w:pPr>
        <w:numPr>
          <w:ilvl w:val="0"/>
          <w:numId w:val="0"/>
        </w:num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售后服务范围：包含技术咨询、设备安装调试、现场故障检修、操作人员培训、质保期内故障零部件维修更换；质保期满后持续提供配件供应与有偿维修服务。不含人为损坏维修、耗材更换以及额外改造施工。</w:t>
      </w:r>
    </w:p>
    <w:p w14:paraId="59A3DA79">
      <w:pPr>
        <w:numPr>
          <w:ilvl w:val="0"/>
          <w:numId w:val="0"/>
        </w:num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售后服务响应时间及要求：电话响应时间要求8小时内，到场响应时间要求2个工作日内（指从接到报障至到达故障现场的时间）。中标人免费提供技术支持热线电话，满足24小时热线服务。中标人免费提供email技术支持，并且在24小时内回复。</w:t>
      </w:r>
    </w:p>
    <w:p w14:paraId="7BF2301A">
      <w:pPr>
        <w:numPr>
          <w:ilvl w:val="0"/>
          <w:numId w:val="0"/>
        </w:numPr>
        <w:adjustRightInd w:val="0"/>
        <w:snapToGrid w:val="0"/>
        <w:spacing w:line="360" w:lineRule="auto"/>
        <w:rPr>
          <w:rFonts w:hint="default"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4）退换货要求：验收阶段，若经双方核实属于中标人责任，出现质量缺陷、交付规格与合同不符、配件缺失等情形，采购人可提出换货申请，无法完成换货的，再协商办理退货，相关物流费用由中标人承担。采购人退回货物时，应保证商品、原包装、配套配件、相关票据保持完好。因采购人人为损坏、正常使用损耗、耗材自然消耗等非中标人原因造成故障，不予退换；若协商退货，退款事宜由双方另行沟通确定。</w:t>
      </w:r>
    </w:p>
    <w:p w14:paraId="42CF867F">
      <w:pPr>
        <w:numPr>
          <w:ilvl w:val="0"/>
          <w:numId w:val="14"/>
        </w:numPr>
        <w:tabs>
          <w:tab w:val="left" w:pos="420"/>
        </w:tabs>
        <w:autoSpaceDE w:val="0"/>
        <w:autoSpaceDN w:val="0"/>
        <w:adjustRightInd w:val="0"/>
        <w:spacing w:line="360" w:lineRule="auto"/>
        <w:rPr>
          <w:rFonts w:hint="eastAsia"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保险：</w:t>
      </w:r>
    </w:p>
    <w:p w14:paraId="66A5304C">
      <w:pPr>
        <w:numPr>
          <w:ilvl w:val="0"/>
          <w:numId w:val="0"/>
        </w:numPr>
        <w:tabs>
          <w:tab w:val="left" w:pos="420"/>
        </w:tabs>
        <w:autoSpaceDE w:val="0"/>
        <w:autoSpaceDN w:val="0"/>
        <w:adjustRightInd w:val="0"/>
        <w:spacing w:line="360" w:lineRule="auto"/>
        <w:ind w:leftChars="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1）人员保险：无</w:t>
      </w:r>
    </w:p>
    <w:p w14:paraId="0865758A">
      <w:pPr>
        <w:numPr>
          <w:ilvl w:val="0"/>
          <w:numId w:val="0"/>
        </w:numPr>
        <w:tabs>
          <w:tab w:val="left" w:pos="420"/>
        </w:tabs>
        <w:autoSpaceDE w:val="0"/>
        <w:autoSpaceDN w:val="0"/>
        <w:adjustRightInd w:val="0"/>
        <w:spacing w:line="360" w:lineRule="auto"/>
        <w:ind w:leftChars="0"/>
        <w:rPr>
          <w:rFonts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kern w:val="0"/>
          <w:sz w:val="24"/>
          <w:szCs w:val="24"/>
          <w:lang w:val="zh-CN"/>
          <w14:textFill>
            <w14:solidFill>
              <w14:schemeClr w14:val="tx1"/>
            </w14:solidFill>
          </w14:textFill>
        </w:rPr>
        <w:t>运输保险：中标人须为本合同项下全部设备投保，覆盖全程运输。运输途中货物丢失、损坏、短少、受潮、污染，由中标人立即报案、定损、理赔。</w:t>
      </w:r>
    </w:p>
    <w:p w14:paraId="3A00067F">
      <w:pPr>
        <w:numPr>
          <w:ilvl w:val="0"/>
          <w:numId w:val="14"/>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包装和运输</w:t>
      </w:r>
    </w:p>
    <w:p w14:paraId="2C288017">
      <w:pPr>
        <w:numPr>
          <w:ilvl w:val="0"/>
          <w:numId w:val="0"/>
        </w:numPr>
        <w:tabs>
          <w:tab w:val="left" w:pos="420"/>
        </w:tabs>
        <w:autoSpaceDE w:val="0"/>
        <w:autoSpaceDN w:val="0"/>
        <w:adjustRightInd w:val="0"/>
        <w:spacing w:line="360" w:lineRule="auto"/>
        <w:ind w:leftChars="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1）包装要求：设备的包装由中标人负责，应使用崭新坚固的包装（标准包装），适合于空运、或陆运等长途运输方式；适合气候变化；中标人应对任何由于不当包装或防护措施不利而导致的商品损坏、损失、费用增长等后果负责。</w:t>
      </w:r>
    </w:p>
    <w:p w14:paraId="6BAEB3F5">
      <w:pPr>
        <w:numPr>
          <w:ilvl w:val="0"/>
          <w:numId w:val="0"/>
        </w:numPr>
        <w:tabs>
          <w:tab w:val="left" w:pos="420"/>
        </w:tabs>
        <w:autoSpaceDE w:val="0"/>
        <w:autoSpaceDN w:val="0"/>
        <w:adjustRightInd w:val="0"/>
        <w:spacing w:line="360" w:lineRule="auto"/>
        <w:ind w:leftChars="0"/>
        <w:rPr>
          <w:rFonts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kern w:val="0"/>
          <w:sz w:val="24"/>
          <w:szCs w:val="24"/>
          <w:lang w:val="zh-CN"/>
          <w14:textFill>
            <w14:solidFill>
              <w14:schemeClr w14:val="tx1"/>
            </w14:solidFill>
          </w14:textFill>
        </w:rPr>
        <w:t>）运输要求：设备的运输、卸货相关全部工作及费用由中标人负责，运输过程严禁野蛮装卸、倒置、雨淋暴晒。合理规划运输路线，预估运输时长，提前与采购人沟通预计到货时间；运输途中如遇路况异常、延误等情况，第一时间通知采购人。运输途中发生损坏、丢失、延误产生的一切损失由中标人自行承担。</w:t>
      </w:r>
    </w:p>
    <w:p w14:paraId="326BB041">
      <w:pPr>
        <w:numPr>
          <w:ilvl w:val="0"/>
          <w:numId w:val="14"/>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交付标准和方法</w:t>
      </w:r>
    </w:p>
    <w:p w14:paraId="4E4C1BC9">
      <w:pPr>
        <w:numPr>
          <w:ilvl w:val="0"/>
          <w:numId w:val="15"/>
        </w:numPr>
        <w:autoSpaceDE w:val="0"/>
        <w:autoSpaceDN w:val="0"/>
        <w:adjustRightInd w:val="0"/>
        <w:spacing w:line="360" w:lineRule="auto"/>
        <w:ind w:firstLine="480" w:firstLineChars="200"/>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交付标准：交付设备为全新正品，质量可靠、外观完好、功能完整，配套资料、配件齐全，安装调试合格，完全满足项目科研监测使用要求 ；</w:t>
      </w:r>
    </w:p>
    <w:p w14:paraId="1682C38A">
      <w:pPr>
        <w:numPr>
          <w:ilvl w:val="0"/>
          <w:numId w:val="15"/>
        </w:numPr>
        <w:autoSpaceDE w:val="0"/>
        <w:autoSpaceDN w:val="0"/>
        <w:adjustRightInd w:val="0"/>
        <w:spacing w:line="360" w:lineRule="auto"/>
        <w:ind w:firstLine="480" w:firstLineChars="200"/>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交付方式（方法）：采用送货上门、现场落地交付方式，供方负责设备专业包装、防震防护、全程运输、在采购人指定地点完成交付。</w:t>
      </w:r>
    </w:p>
    <w:p w14:paraId="1A881F15">
      <w:pPr>
        <w:numPr>
          <w:ilvl w:val="0"/>
          <w:numId w:val="14"/>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安装调试要求</w:t>
      </w:r>
    </w:p>
    <w:p w14:paraId="7E7BB9CB">
      <w:pPr>
        <w:numPr>
          <w:ilvl w:val="0"/>
          <w:numId w:val="0"/>
        </w:numPr>
        <w:tabs>
          <w:tab w:val="left" w:pos="420"/>
        </w:tabs>
        <w:autoSpaceDE w:val="0"/>
        <w:autoSpaceDN w:val="0"/>
        <w:adjustRightInd w:val="0"/>
        <w:spacing w:line="360" w:lineRule="auto"/>
        <w:ind w:leftChars="0" w:firstLine="480" w:firstLineChars="200"/>
        <w:rPr>
          <w:rFonts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中标人负责货物的现场安装和调试。中标人将产品运输并卸至采购人指定地点，派出工程师上门安装调试，直至系统能正常使用。如发现缺少、损坏部件，中标人须及时补交给采购人，如因此造成拖延，采购人有权按延期交货索赔。</w:t>
      </w:r>
    </w:p>
    <w:p w14:paraId="60902A49">
      <w:pPr>
        <w:numPr>
          <w:ilvl w:val="0"/>
          <w:numId w:val="14"/>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验收标准和方法</w:t>
      </w:r>
    </w:p>
    <w:p w14:paraId="2C98AD36">
      <w:pPr>
        <w:pStyle w:val="36"/>
        <w:numPr>
          <w:ilvl w:val="0"/>
          <w:numId w:val="0"/>
        </w:numPr>
        <w:spacing w:line="360" w:lineRule="auto"/>
        <w:ind w:leftChars="200"/>
        <w:rPr>
          <w:rFonts w:hint="eastAsia" w:cs="宋体"/>
          <w:bCs/>
          <w:color w:val="000000" w:themeColor="text1"/>
          <w:kern w:val="0"/>
          <w:sz w:val="24"/>
          <w:szCs w:val="24"/>
          <w:lang w:val="zh-CN"/>
          <w14:textFill>
            <w14:solidFill>
              <w14:schemeClr w14:val="tx1"/>
            </w14:solidFill>
          </w14:textFill>
        </w:rPr>
      </w:pPr>
      <w:r>
        <w:rPr>
          <w:rFonts w:hint="eastAsia" w:cs="宋体"/>
          <w:bCs/>
          <w:color w:val="000000" w:themeColor="text1"/>
          <w:kern w:val="0"/>
          <w:sz w:val="24"/>
          <w:szCs w:val="24"/>
          <w:lang w:val="zh-CN"/>
          <w14:textFill>
            <w14:solidFill>
              <w14:schemeClr w14:val="tx1"/>
            </w14:solidFill>
          </w14:textFill>
        </w:rPr>
        <w:t>1）验收标准：验收标准以中标人提供的投标文件中所列的指标为准；</w:t>
      </w:r>
    </w:p>
    <w:p w14:paraId="065B7B20">
      <w:pPr>
        <w:pStyle w:val="36"/>
        <w:numPr>
          <w:ilvl w:val="0"/>
          <w:numId w:val="0"/>
        </w:numPr>
        <w:spacing w:line="360" w:lineRule="auto"/>
        <w:ind w:leftChars="200"/>
        <w:rPr>
          <w:rFonts w:hint="eastAsia" w:cs="宋体"/>
          <w:bCs/>
          <w:color w:val="000000" w:themeColor="text1"/>
          <w:kern w:val="0"/>
          <w:sz w:val="24"/>
          <w:szCs w:val="24"/>
          <w:lang w:val="zh-CN"/>
          <w14:textFill>
            <w14:solidFill>
              <w14:schemeClr w14:val="tx1"/>
            </w14:solidFill>
          </w14:textFill>
        </w:rPr>
      </w:pPr>
      <w:r>
        <w:rPr>
          <w:rFonts w:hint="eastAsia" w:cs="宋体"/>
          <w:bCs/>
          <w:color w:val="000000" w:themeColor="text1"/>
          <w:kern w:val="0"/>
          <w:sz w:val="24"/>
          <w:szCs w:val="24"/>
          <w:lang w:val="zh-CN"/>
          <w14:textFill>
            <w14:solidFill>
              <w14:schemeClr w14:val="tx1"/>
            </w14:solidFill>
          </w14:textFill>
        </w:rPr>
        <w:t>2）验收方法：仪器设备运抵安装现场后，采购人将与中标人共同开箱验收, 如中标人届时不派人来, 则验收结果应以采购人的验收报告为最终验收结果。验收时发现短缺、破损, 采购人有权要求中标人负责更换；验收由采购人、中标人及相关人员依合同及有关附件要求进行，验收完毕由采购人及中标人在验收报告上签名；</w:t>
      </w:r>
    </w:p>
    <w:p w14:paraId="681A3188">
      <w:pPr>
        <w:pStyle w:val="36"/>
        <w:numPr>
          <w:ilvl w:val="0"/>
          <w:numId w:val="0"/>
        </w:numPr>
        <w:spacing w:line="360" w:lineRule="auto"/>
        <w:ind w:leftChars="200"/>
        <w:rPr>
          <w:rFonts w:cs="宋体"/>
          <w:color w:val="000000" w:themeColor="text1"/>
          <w:sz w:val="24"/>
          <w:szCs w:val="24"/>
          <w:lang w:val="zh-CN"/>
          <w14:textFill>
            <w14:solidFill>
              <w14:schemeClr w14:val="tx1"/>
            </w14:solidFill>
          </w14:textFill>
        </w:rPr>
      </w:pPr>
      <w:r>
        <w:rPr>
          <w:rFonts w:hint="eastAsia" w:cs="宋体"/>
          <w:bCs/>
          <w:color w:val="000000" w:themeColor="text1"/>
          <w:kern w:val="0"/>
          <w:sz w:val="24"/>
          <w:szCs w:val="24"/>
          <w:lang w:val="en-US" w:eastAsia="zh-CN"/>
          <w14:textFill>
            <w14:solidFill>
              <w14:schemeClr w14:val="tx1"/>
            </w14:solidFill>
          </w14:textFill>
        </w:rPr>
        <w:t>3）</w:t>
      </w:r>
      <w:r>
        <w:rPr>
          <w:rFonts w:hint="eastAsia" w:cs="宋体"/>
          <w:bCs/>
          <w:color w:val="000000" w:themeColor="text1"/>
          <w:kern w:val="0"/>
          <w:sz w:val="24"/>
          <w:szCs w:val="24"/>
          <w:lang w:val="zh-CN"/>
          <w14:textFill>
            <w14:solidFill>
              <w14:schemeClr w14:val="tx1"/>
            </w14:solidFill>
          </w14:textFill>
        </w:rPr>
        <w:t>验收时间：到货后20天内</w:t>
      </w:r>
      <w:r>
        <w:rPr>
          <w:rFonts w:cs="宋体"/>
          <w:bCs/>
          <w:color w:val="000000" w:themeColor="text1"/>
          <w:kern w:val="0"/>
          <w:sz w:val="24"/>
          <w:szCs w:val="24"/>
          <w:lang w:val="zh-CN"/>
          <w14:textFill>
            <w14:solidFill>
              <w14:schemeClr w14:val="tx1"/>
            </w14:solidFill>
          </w14:textFill>
        </w:rPr>
        <w:t xml:space="preserve">。  </w:t>
      </w:r>
    </w:p>
    <w:p w14:paraId="2529ED65">
      <w:pPr>
        <w:numPr>
          <w:ilvl w:val="0"/>
          <w:numId w:val="14"/>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715898E3">
      <w:pPr>
        <w:numPr>
          <w:ilvl w:val="0"/>
          <w:numId w:val="16"/>
        </w:numPr>
        <w:tabs>
          <w:tab w:val="left" w:pos="426"/>
          <w:tab w:val="left" w:pos="851"/>
        </w:tabs>
        <w:autoSpaceDE w:val="0"/>
        <w:autoSpaceDN w:val="0"/>
        <w:adjustRightInd w:val="0"/>
        <w:spacing w:line="360"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投标人提供完好、全新的原包装产品（包括零配件），随机技术资料齐全。产品符合国家质量检测标准，必须具有生产日期、厂名、厂址、产品合格证等。进口产品须提供海关进货单（复印件备查）。</w:t>
      </w:r>
    </w:p>
    <w:p w14:paraId="46C44BA7">
      <w:pPr>
        <w:numPr>
          <w:ilvl w:val="0"/>
          <w:numId w:val="16"/>
        </w:numPr>
        <w:tabs>
          <w:tab w:val="left" w:pos="426"/>
          <w:tab w:val="left" w:pos="851"/>
        </w:tabs>
        <w:autoSpaceDE w:val="0"/>
        <w:autoSpaceDN w:val="0"/>
        <w:adjustRightInd w:val="0"/>
        <w:spacing w:line="360" w:lineRule="auto"/>
        <w:jc w:val="left"/>
        <w:rPr>
          <w:rFonts w:hint="default" w:ascii="宋体" w:hAnsi="宋体" w:eastAsia="宋体" w:cs="宋体"/>
          <w:b/>
          <w:color w:val="000000" w:themeColor="text1"/>
          <w:sz w:val="28"/>
          <w:lang w:val="en-US" w:eastAsia="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03DC3220">
      <w:pPr>
        <w:numPr>
          <w:ilvl w:val="0"/>
          <w:numId w:val="14"/>
        </w:numPr>
        <w:tabs>
          <w:tab w:val="left" w:pos="420"/>
        </w:tabs>
        <w:autoSpaceDE w:val="0"/>
        <w:autoSpaceDN w:val="0"/>
        <w:adjustRightInd w:val="0"/>
        <w:spacing w:line="360" w:lineRule="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其他服务要求</w:t>
      </w:r>
    </w:p>
    <w:p w14:paraId="09AF97B5">
      <w:pPr>
        <w:widowControl w:val="0"/>
        <w:numPr>
          <w:ilvl w:val="0"/>
          <w:numId w:val="0"/>
        </w:numPr>
        <w:tabs>
          <w:tab w:val="left" w:pos="420"/>
        </w:tabs>
        <w:autoSpaceDE w:val="0"/>
        <w:autoSpaceDN w:val="0"/>
        <w:adjustRightInd w:val="0"/>
        <w:spacing w:line="360" w:lineRule="auto"/>
        <w:jc w:val="both"/>
        <w:rPr>
          <w:rFonts w:hint="default" w:ascii="宋体" w:hAnsi="宋体" w:eastAsia="宋体" w:cs="宋体"/>
          <w:b w:val="0"/>
          <w:bCs w:val="0"/>
          <w:color w:val="000000" w:themeColor="text1"/>
          <w:kern w:val="0"/>
          <w:sz w:val="24"/>
          <w:szCs w:val="24"/>
          <w:lang w:val="en-US" w:eastAsia="zh-CN"/>
          <w14:textFill>
            <w14:solidFill>
              <w14:schemeClr w14:val="tx1"/>
            </w14:solidFill>
          </w14:textFill>
        </w:rPr>
      </w:pPr>
      <w:r>
        <w:rPr>
          <w:rFonts w:hint="default" w:ascii="宋体" w:hAnsi="宋体" w:eastAsia="宋体" w:cs="宋体"/>
          <w:b w:val="0"/>
          <w:bCs w:val="0"/>
          <w:color w:val="000000" w:themeColor="text1"/>
          <w:kern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w:t>
      </w:r>
      <w:r>
        <w:rPr>
          <w:rFonts w:hint="default" w:ascii="宋体" w:hAnsi="宋体" w:eastAsia="宋体" w:cs="宋体"/>
          <w:b w:val="0"/>
          <w:bCs w:val="0"/>
          <w:color w:val="000000" w:themeColor="text1"/>
          <w:kern w:val="0"/>
          <w:sz w:val="24"/>
          <w:szCs w:val="24"/>
          <w:lang w:val="en-US" w:eastAsia="zh-CN"/>
          <w14:textFill>
            <w14:solidFill>
              <w14:schemeClr w14:val="tx1"/>
            </w14:solidFill>
          </w14:textFill>
        </w:rPr>
        <w:t>人员团队要求（项目负责人、技术负责人、售后服务人员等）：供应商须配备稳定、专业的项目实施团队，包含项目负责人、技术负责人及专职售后服务人员。团队人员具备同类设备实施、调试及售后经验，分工明确、在岗稳定，可全程保障项目交付、安装调试及后期维保工作。</w:t>
      </w:r>
    </w:p>
    <w:p w14:paraId="6922CC12">
      <w:pPr>
        <w:widowControl w:val="0"/>
        <w:numPr>
          <w:ilvl w:val="0"/>
          <w:numId w:val="0"/>
        </w:numPr>
        <w:tabs>
          <w:tab w:val="left" w:pos="420"/>
        </w:tabs>
        <w:autoSpaceDE w:val="0"/>
        <w:autoSpaceDN w:val="0"/>
        <w:adjustRightInd w:val="0"/>
        <w:spacing w:line="360" w:lineRule="auto"/>
        <w:jc w:val="both"/>
        <w:rPr>
          <w:rFonts w:hint="default" w:ascii="宋体" w:hAnsi="宋体" w:eastAsia="宋体" w:cs="宋体"/>
          <w:b w:val="0"/>
          <w:bCs w:val="0"/>
          <w:color w:val="000000" w:themeColor="text1"/>
          <w:kern w:val="0"/>
          <w:sz w:val="24"/>
          <w:szCs w:val="24"/>
          <w:lang w:val="en-US" w:eastAsia="zh-CN"/>
          <w14:textFill>
            <w14:solidFill>
              <w14:schemeClr w14:val="tx1"/>
            </w14:solidFill>
          </w14:textFill>
        </w:rPr>
      </w:pPr>
      <w:r>
        <w:rPr>
          <w:rFonts w:hint="default" w:ascii="宋体" w:hAnsi="宋体" w:eastAsia="宋体" w:cs="宋体"/>
          <w:b w:val="0"/>
          <w:bCs w:val="0"/>
          <w:color w:val="000000" w:themeColor="text1"/>
          <w:kern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w:t>
      </w:r>
      <w:r>
        <w:rPr>
          <w:rFonts w:hint="default" w:ascii="宋体" w:hAnsi="宋体" w:eastAsia="宋体" w:cs="宋体"/>
          <w:b w:val="0"/>
          <w:bCs w:val="0"/>
          <w:color w:val="000000" w:themeColor="text1"/>
          <w:kern w:val="0"/>
          <w:sz w:val="24"/>
          <w:szCs w:val="24"/>
          <w:lang w:val="en-US" w:eastAsia="zh-CN"/>
          <w14:textFill>
            <w14:solidFill>
              <w14:schemeClr w14:val="tx1"/>
            </w14:solidFill>
          </w14:textFill>
        </w:rPr>
        <w:t>人员培训要求（供应商对采购人设备使用部门进行设备操作培训等）；为保证投标人所提供的仪器设备安全、可靠运行，便于采购人的运行维护，必须对采购人培训合格的维护和管理人员。投标人负责对采购人提供至少一次现场技术培训，以便工作人员在培训后能熟练地掌握系统的维护工作，并能及时排除大部分的系统障碍。至少一次厂家工程师到采购人现场免费培训；培训至采购人可以熟练操作为止。</w:t>
      </w:r>
    </w:p>
    <w:p w14:paraId="577F948F">
      <w:pPr>
        <w:widowControl w:val="0"/>
        <w:numPr>
          <w:ilvl w:val="0"/>
          <w:numId w:val="0"/>
        </w:numPr>
        <w:tabs>
          <w:tab w:val="left" w:pos="420"/>
        </w:tabs>
        <w:autoSpaceDE w:val="0"/>
        <w:autoSpaceDN w:val="0"/>
        <w:adjustRightInd w:val="0"/>
        <w:spacing w:line="360" w:lineRule="auto"/>
        <w:jc w:val="both"/>
        <w:rPr>
          <w:rFonts w:hint="default" w:ascii="宋体" w:hAnsi="宋体" w:eastAsia="宋体" w:cs="宋体"/>
          <w:b w:val="0"/>
          <w:bCs w:val="0"/>
          <w:color w:val="000000" w:themeColor="text1"/>
          <w:kern w:val="0"/>
          <w:sz w:val="24"/>
          <w:szCs w:val="24"/>
          <w:lang w:val="en-US" w:eastAsia="zh-CN"/>
          <w14:textFill>
            <w14:solidFill>
              <w14:schemeClr w14:val="tx1"/>
            </w14:solidFill>
          </w14:textFill>
        </w:rPr>
      </w:pPr>
      <w:r>
        <w:rPr>
          <w:rFonts w:hint="default" w:ascii="宋体" w:hAnsi="宋体" w:eastAsia="宋体" w:cs="宋体"/>
          <w:b w:val="0"/>
          <w:bCs w:val="0"/>
          <w:color w:val="000000" w:themeColor="text1"/>
          <w:kern w:val="0"/>
          <w:sz w:val="24"/>
          <w:szCs w:val="24"/>
          <w:lang w:val="en-US" w:eastAsia="zh-CN"/>
          <w14:textFill>
            <w14:solidFill>
              <w14:schemeClr w14:val="tx1"/>
            </w14:solidFill>
          </w14:textFill>
        </w:rPr>
        <w:t>3</w:t>
      </w: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w:t>
      </w:r>
      <w:r>
        <w:rPr>
          <w:rFonts w:hint="default" w:ascii="宋体" w:hAnsi="宋体" w:eastAsia="宋体" w:cs="宋体"/>
          <w:b w:val="0"/>
          <w:bCs w:val="0"/>
          <w:color w:val="000000" w:themeColor="text1"/>
          <w:kern w:val="0"/>
          <w:sz w:val="24"/>
          <w:szCs w:val="24"/>
          <w:lang w:val="en-US" w:eastAsia="zh-CN"/>
          <w14:textFill>
            <w14:solidFill>
              <w14:schemeClr w14:val="tx1"/>
            </w14:solidFill>
          </w14:textFill>
        </w:rPr>
        <w:t>服务要求：中标人提供完善的全程技术服务及质保售后服务，质保期内提供免费维修、技术咨询、远程指导、现场维保服务，及时响应设备故障及技术问题。质保期满后持续提供终身成本价维修、配件供应与技术支持，保障设备长期稳定运行。</w:t>
      </w:r>
    </w:p>
    <w:p w14:paraId="1486C3DA">
      <w:pPr>
        <w:widowControl w:val="0"/>
        <w:numPr>
          <w:ilvl w:val="0"/>
          <w:numId w:val="0"/>
        </w:numPr>
        <w:tabs>
          <w:tab w:val="left" w:pos="420"/>
        </w:tabs>
        <w:autoSpaceDE w:val="0"/>
        <w:autoSpaceDN w:val="0"/>
        <w:adjustRightInd w:val="0"/>
        <w:spacing w:line="360" w:lineRule="auto"/>
        <w:jc w:val="both"/>
        <w:rPr>
          <w:rFonts w:hint="default" w:ascii="宋体" w:hAnsi="宋体" w:eastAsia="宋体" w:cs="宋体"/>
          <w:b w:val="0"/>
          <w:bCs w:val="0"/>
          <w:color w:val="000000" w:themeColor="text1"/>
          <w:kern w:val="0"/>
          <w:sz w:val="24"/>
          <w:szCs w:val="24"/>
          <w:lang w:val="en-US" w:eastAsia="zh-CN"/>
          <w14:textFill>
            <w14:solidFill>
              <w14:schemeClr w14:val="tx1"/>
            </w14:solidFill>
          </w14:textFill>
        </w:rPr>
        <w:sectPr>
          <w:pgSz w:w="11906" w:h="16838"/>
          <w:pgMar w:top="1418" w:right="1418" w:bottom="1418" w:left="1418" w:header="851" w:footer="992" w:gutter="0"/>
          <w:pgNumType w:fmt="decimal"/>
          <w:cols w:space="720" w:num="1"/>
          <w:titlePg/>
          <w:docGrid w:type="lines" w:linePitch="312" w:charSpace="0"/>
        </w:sectPr>
      </w:pPr>
      <w:r>
        <w:rPr>
          <w:rFonts w:hint="default" w:ascii="宋体" w:hAnsi="宋体" w:eastAsia="宋体" w:cs="宋体"/>
          <w:b w:val="0"/>
          <w:bCs w:val="0"/>
          <w:color w:val="000000" w:themeColor="text1"/>
          <w:kern w:val="0"/>
          <w:sz w:val="24"/>
          <w:szCs w:val="24"/>
          <w:lang w:val="en-US" w:eastAsia="zh-CN"/>
          <w14:textFill>
            <w14:solidFill>
              <w14:schemeClr w14:val="tx1"/>
            </w14:solidFill>
          </w14:textFill>
        </w:rPr>
        <w:t>保密要求：供应商对项目实施过程中接触到的采购方科研数据、场地信息、项目资料等涉密内容承担永久保密责任，严禁私自外泄、传播或用于其他用途，未经采购方许可不得对外披露相关信息。</w:t>
      </w:r>
    </w:p>
    <w:p w14:paraId="2C473425">
      <w:pPr>
        <w:pStyle w:val="36"/>
        <w:rPr>
          <w:rFonts w:hint="default"/>
        </w:rPr>
      </w:pPr>
    </w:p>
    <w:p w14:paraId="70AFD23F">
      <w:pPr>
        <w:spacing w:after="156" w:afterLines="50"/>
        <w:jc w:val="center"/>
        <w:outlineLvl w:val="2"/>
        <w:rPr>
          <w:rFonts w:hint="default" w:ascii="宋体" w:hAnsi="宋体" w:eastAsia="宋体" w:cs="宋体"/>
          <w:b/>
          <w:color w:val="000000" w:themeColor="text1"/>
          <w:sz w:val="28"/>
          <w:lang w:val="en-US" w:eastAsia="zh-CN"/>
          <w14:textFill>
            <w14:solidFill>
              <w14:schemeClr w14:val="tx1"/>
            </w14:solidFill>
          </w14:textFill>
        </w:rPr>
      </w:pPr>
      <w:r>
        <w:rPr>
          <w:rFonts w:hint="eastAsia" w:ascii="宋体" w:hAnsi="宋体" w:eastAsia="宋体" w:cs="宋体"/>
          <w:b/>
          <w:color w:val="000000" w:themeColor="text1"/>
          <w:sz w:val="28"/>
          <w:lang w:val="en-US" w:eastAsia="zh-CN"/>
          <w14:textFill>
            <w14:solidFill>
              <w14:schemeClr w14:val="tx1"/>
            </w14:solidFill>
          </w14:textFill>
        </w:rPr>
        <w:t xml:space="preserve">第三包  土壤碳通量测量系统 </w:t>
      </w:r>
    </w:p>
    <w:p w14:paraId="61367FF9">
      <w:pPr>
        <w:pStyle w:val="33"/>
        <w:numPr>
          <w:ilvl w:val="0"/>
          <w:numId w:val="17"/>
        </w:numPr>
        <w:spacing w:line="360" w:lineRule="auto"/>
        <w:ind w:right="708" w:rightChars="337" w:hanging="905"/>
        <w:jc w:val="both"/>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招标项目信息</w:t>
      </w:r>
    </w:p>
    <w:tbl>
      <w:tblPr>
        <w:tblStyle w:val="3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843"/>
        <w:gridCol w:w="851"/>
        <w:gridCol w:w="992"/>
        <w:gridCol w:w="1287"/>
        <w:gridCol w:w="1238"/>
        <w:gridCol w:w="1260"/>
        <w:gridCol w:w="1260"/>
      </w:tblGrid>
      <w:tr w14:paraId="4D79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5D03426E">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序号</w:t>
            </w:r>
          </w:p>
        </w:tc>
        <w:tc>
          <w:tcPr>
            <w:tcW w:w="1843" w:type="dxa"/>
            <w:noWrap/>
            <w:vAlign w:val="center"/>
          </w:tcPr>
          <w:p w14:paraId="163A782A">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设备名称</w:t>
            </w:r>
          </w:p>
        </w:tc>
        <w:tc>
          <w:tcPr>
            <w:tcW w:w="851" w:type="dxa"/>
            <w:vAlign w:val="center"/>
          </w:tcPr>
          <w:p w14:paraId="64DCBE76">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数量</w:t>
            </w:r>
          </w:p>
        </w:tc>
        <w:tc>
          <w:tcPr>
            <w:tcW w:w="992" w:type="dxa"/>
            <w:noWrap/>
            <w:vAlign w:val="center"/>
          </w:tcPr>
          <w:p w14:paraId="3B4EED56">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单位</w:t>
            </w:r>
          </w:p>
        </w:tc>
        <w:tc>
          <w:tcPr>
            <w:tcW w:w="1287" w:type="dxa"/>
            <w:vAlign w:val="center"/>
          </w:tcPr>
          <w:p w14:paraId="648F2495">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是否接受进口设备参与投标</w:t>
            </w:r>
          </w:p>
        </w:tc>
        <w:tc>
          <w:tcPr>
            <w:tcW w:w="1238" w:type="dxa"/>
            <w:vAlign w:val="center"/>
          </w:tcPr>
          <w:p w14:paraId="0DF80BAD">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预算金额</w:t>
            </w:r>
          </w:p>
          <w:p w14:paraId="40A89A9D">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（万元）</w:t>
            </w:r>
          </w:p>
        </w:tc>
        <w:tc>
          <w:tcPr>
            <w:tcW w:w="1260" w:type="dxa"/>
            <w:vAlign w:val="center"/>
          </w:tcPr>
          <w:p w14:paraId="249D170F">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最高限价（万元）</w:t>
            </w:r>
          </w:p>
        </w:tc>
        <w:tc>
          <w:tcPr>
            <w:tcW w:w="1260" w:type="dxa"/>
            <w:vAlign w:val="center"/>
          </w:tcPr>
          <w:p w14:paraId="6E061BEF">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本项目所属行业</w:t>
            </w:r>
          </w:p>
        </w:tc>
      </w:tr>
      <w:tr w14:paraId="2B6A6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55414977">
            <w:pPr>
              <w:widowControl/>
              <w:snapToGrid w:val="0"/>
              <w:spacing w:before="156" w:beforeLines="50" w:line="360" w:lineRule="auto"/>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一</w:t>
            </w:r>
          </w:p>
        </w:tc>
        <w:tc>
          <w:tcPr>
            <w:tcW w:w="1843" w:type="dxa"/>
            <w:vAlign w:val="center"/>
          </w:tcPr>
          <w:p w14:paraId="51C0D641">
            <w:pPr>
              <w:spacing w:line="360" w:lineRule="auto"/>
              <w:jc w:val="center"/>
              <w:rPr>
                <w:rFonts w:hint="eastAsia" w:eastAsia="宋体"/>
                <w:color w:val="auto"/>
                <w:kern w:val="0"/>
                <w:sz w:val="24"/>
                <w:highlight w:val="none"/>
                <w:lang w:eastAsia="zh-CN"/>
              </w:rPr>
            </w:pPr>
            <w:r>
              <w:rPr>
                <w:rFonts w:hint="eastAsia" w:eastAsia="宋体"/>
                <w:color w:val="auto"/>
                <w:kern w:val="0"/>
                <w:sz w:val="24"/>
                <w:highlight w:val="none"/>
                <w:lang w:eastAsia="zh-CN"/>
              </w:rPr>
              <w:t xml:space="preserve">土壤碳通量测量系统 </w:t>
            </w:r>
          </w:p>
        </w:tc>
        <w:tc>
          <w:tcPr>
            <w:tcW w:w="851" w:type="dxa"/>
            <w:vAlign w:val="center"/>
          </w:tcPr>
          <w:p w14:paraId="7E01A6AD">
            <w:pPr>
              <w:spacing w:line="360" w:lineRule="auto"/>
              <w:jc w:val="center"/>
              <w:rPr>
                <w:rFonts w:hint="eastAsia" w:eastAsia="宋体"/>
                <w:color w:val="auto"/>
                <w:kern w:val="0"/>
                <w:sz w:val="24"/>
                <w:highlight w:val="none"/>
                <w:lang w:eastAsia="zh-CN"/>
              </w:rPr>
            </w:pPr>
            <w:r>
              <w:rPr>
                <w:rFonts w:hint="eastAsia" w:ascii="宋体" w:hAnsi="宋体" w:eastAsia="宋体" w:cs="宋体"/>
                <w:color w:val="auto"/>
                <w:sz w:val="24"/>
                <w:szCs w:val="24"/>
                <w:highlight w:val="none"/>
              </w:rPr>
              <w:t>1</w:t>
            </w:r>
          </w:p>
        </w:tc>
        <w:tc>
          <w:tcPr>
            <w:tcW w:w="992" w:type="dxa"/>
            <w:vAlign w:val="center"/>
          </w:tcPr>
          <w:p w14:paraId="0A231CE2">
            <w:pPr>
              <w:spacing w:line="360" w:lineRule="auto"/>
              <w:jc w:val="center"/>
              <w:rPr>
                <w:color w:val="auto"/>
                <w:kern w:val="0"/>
                <w:sz w:val="24"/>
                <w:highlight w:val="none"/>
              </w:rPr>
            </w:pPr>
            <w:r>
              <w:rPr>
                <w:rFonts w:hint="eastAsia" w:ascii="宋体" w:hAnsi="宋体" w:eastAsia="宋体" w:cs="宋体"/>
                <w:color w:val="auto"/>
                <w:sz w:val="24"/>
                <w:szCs w:val="24"/>
                <w:highlight w:val="none"/>
              </w:rPr>
              <w:t>套</w:t>
            </w:r>
          </w:p>
        </w:tc>
        <w:tc>
          <w:tcPr>
            <w:tcW w:w="1287" w:type="dxa"/>
            <w:vAlign w:val="center"/>
          </w:tcPr>
          <w:p w14:paraId="502D9917">
            <w:pPr>
              <w:spacing w:line="360" w:lineRule="auto"/>
              <w:jc w:val="center"/>
              <w:rPr>
                <w:rFonts w:hint="eastAsia" w:eastAsia="宋体"/>
                <w:color w:val="auto"/>
                <w:kern w:val="0"/>
                <w:sz w:val="24"/>
                <w:highlight w:val="none"/>
                <w:lang w:eastAsia="zh-CN"/>
              </w:rPr>
            </w:pPr>
            <w:r>
              <w:rPr>
                <w:rFonts w:hint="eastAsia" w:ascii="宋体" w:hAnsi="宋体" w:eastAsia="宋体" w:cs="宋体"/>
                <w:color w:val="auto"/>
                <w:sz w:val="24"/>
                <w:szCs w:val="24"/>
                <w:highlight w:val="none"/>
                <w:lang w:val="en-US" w:eastAsia="zh-CN"/>
              </w:rPr>
              <w:t>是</w:t>
            </w:r>
          </w:p>
        </w:tc>
        <w:tc>
          <w:tcPr>
            <w:tcW w:w="1238" w:type="dxa"/>
            <w:vAlign w:val="center"/>
          </w:tcPr>
          <w:p w14:paraId="435360E0">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w:t>
            </w:r>
          </w:p>
        </w:tc>
        <w:tc>
          <w:tcPr>
            <w:tcW w:w="1260" w:type="dxa"/>
            <w:vAlign w:val="center"/>
          </w:tcPr>
          <w:p w14:paraId="32EF4B9B">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w:t>
            </w:r>
          </w:p>
        </w:tc>
        <w:tc>
          <w:tcPr>
            <w:tcW w:w="1260" w:type="dxa"/>
            <w:vAlign w:val="center"/>
          </w:tcPr>
          <w:p w14:paraId="160A42C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bl>
    <w:p w14:paraId="6FDCFE7B">
      <w:pPr>
        <w:pStyle w:val="33"/>
        <w:numPr>
          <w:ilvl w:val="0"/>
          <w:numId w:val="17"/>
        </w:numPr>
        <w:spacing w:line="360" w:lineRule="auto"/>
        <w:ind w:right="708" w:rightChars="337" w:hanging="905"/>
        <w:jc w:val="both"/>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技术部分</w:t>
      </w:r>
    </w:p>
    <w:p w14:paraId="7588560E">
      <w:pPr>
        <w:widowControl/>
        <w:snapToGrid w:val="0"/>
        <w:spacing w:line="360" w:lineRule="auto"/>
        <w:rPr>
          <w:b/>
          <w:color w:val="000000" w:themeColor="text1"/>
          <w:sz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w:t>
      </w:r>
      <w:r>
        <w:rPr>
          <w:b/>
          <w:color w:val="000000" w:themeColor="text1"/>
          <w:sz w:val="24"/>
          <w14:textFill>
            <w14:solidFill>
              <w14:schemeClr w14:val="tx1"/>
            </w14:solidFill>
          </w14:textFill>
        </w:rPr>
        <w:t>1、配置清单及零配件（包括专用工具）：</w:t>
      </w:r>
    </w:p>
    <w:tbl>
      <w:tblPr>
        <w:tblStyle w:val="3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5865"/>
        <w:gridCol w:w="1035"/>
        <w:gridCol w:w="1225"/>
      </w:tblGrid>
      <w:tr w14:paraId="7486E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5CC52B42">
            <w:pPr>
              <w:widowControl/>
              <w:snapToGrid w:val="0"/>
              <w:spacing w:before="156"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5865" w:type="dxa"/>
          </w:tcPr>
          <w:p w14:paraId="310D03C6">
            <w:pPr>
              <w:widowControl/>
              <w:snapToGrid w:val="0"/>
              <w:spacing w:before="156"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名称</w:t>
            </w:r>
          </w:p>
        </w:tc>
        <w:tc>
          <w:tcPr>
            <w:tcW w:w="1035" w:type="dxa"/>
          </w:tcPr>
          <w:p w14:paraId="2D9EA0DF">
            <w:pPr>
              <w:widowControl/>
              <w:snapToGrid w:val="0"/>
              <w:spacing w:before="156"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数量</w:t>
            </w:r>
          </w:p>
        </w:tc>
        <w:tc>
          <w:tcPr>
            <w:tcW w:w="1225" w:type="dxa"/>
          </w:tcPr>
          <w:p w14:paraId="677C8FE8">
            <w:pPr>
              <w:widowControl/>
              <w:snapToGrid w:val="0"/>
              <w:spacing w:before="156"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单位</w:t>
            </w:r>
          </w:p>
        </w:tc>
      </w:tr>
      <w:tr w14:paraId="366B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072" w:type="dxa"/>
          </w:tcPr>
          <w:p w14:paraId="22535A93">
            <w:pPr>
              <w:widowControl/>
              <w:snapToGrid w:val="0"/>
              <w:spacing w:before="156" w:beforeLines="50"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w:t>
            </w:r>
          </w:p>
        </w:tc>
        <w:tc>
          <w:tcPr>
            <w:tcW w:w="5865" w:type="dxa"/>
            <w:vAlign w:val="top"/>
          </w:tcPr>
          <w:p w14:paraId="15E54252">
            <w:pPr>
              <w:spacing w:after="160" w:line="360" w:lineRule="auto"/>
              <w:contextualSpacing/>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CH</w:t>
            </w:r>
            <w:r>
              <w:rPr>
                <w:rFonts w:hint="eastAsia" w:ascii="宋体" w:hAnsi="宋体" w:cs="宋体"/>
                <w:b/>
                <w:bCs/>
                <w:color w:val="000000" w:themeColor="text1"/>
                <w:sz w:val="24"/>
                <w:vertAlign w:val="subscript"/>
                <w14:textFill>
                  <w14:solidFill>
                    <w14:schemeClr w14:val="tx1"/>
                  </w14:solidFill>
                </w14:textFill>
              </w:rPr>
              <w:t>4</w:t>
            </w:r>
            <w:r>
              <w:rPr>
                <w:rFonts w:hint="eastAsia" w:ascii="宋体" w:hAnsi="宋体" w:cs="宋体"/>
                <w:b/>
                <w:bCs/>
                <w:color w:val="000000" w:themeColor="text1"/>
                <w:sz w:val="24"/>
                <w14:textFill>
                  <w14:solidFill>
                    <w14:schemeClr w14:val="tx1"/>
                  </w14:solidFill>
                </w14:textFill>
              </w:rPr>
              <w:t>/CO</w:t>
            </w:r>
            <w:r>
              <w:rPr>
                <w:rFonts w:hint="eastAsia" w:ascii="宋体" w:hAnsi="宋体" w:cs="宋体"/>
                <w:b/>
                <w:bCs/>
                <w:color w:val="000000" w:themeColor="text1"/>
                <w:sz w:val="24"/>
                <w:vertAlign w:val="subscript"/>
                <w14:textFill>
                  <w14:solidFill>
                    <w14:schemeClr w14:val="tx1"/>
                  </w14:solidFill>
                </w14:textFill>
              </w:rPr>
              <w:t>2</w:t>
            </w:r>
            <w:r>
              <w:rPr>
                <w:rFonts w:hint="eastAsia" w:ascii="宋体" w:hAnsi="宋体" w:cs="宋体"/>
                <w:b/>
                <w:bCs/>
                <w:color w:val="000000" w:themeColor="text1"/>
                <w:sz w:val="24"/>
                <w14:textFill>
                  <w14:solidFill>
                    <w14:schemeClr w14:val="tx1"/>
                  </w14:solidFill>
                </w14:textFill>
              </w:rPr>
              <w:t>/H</w:t>
            </w:r>
            <w:r>
              <w:rPr>
                <w:rFonts w:hint="eastAsia" w:ascii="宋体" w:hAnsi="宋体" w:cs="宋体"/>
                <w:b/>
                <w:bCs/>
                <w:color w:val="000000" w:themeColor="text1"/>
                <w:sz w:val="24"/>
                <w:vertAlign w:val="subscript"/>
                <w14:textFill>
                  <w14:solidFill>
                    <w14:schemeClr w14:val="tx1"/>
                  </w14:solidFill>
                </w14:textFill>
              </w:rPr>
              <w:t>2</w:t>
            </w:r>
            <w:r>
              <w:rPr>
                <w:rFonts w:hint="eastAsia" w:ascii="宋体" w:hAnsi="宋体" w:cs="宋体"/>
                <w:b/>
                <w:bCs/>
                <w:color w:val="000000" w:themeColor="text1"/>
                <w:sz w:val="24"/>
                <w14:textFill>
                  <w14:solidFill>
                    <w14:schemeClr w14:val="tx1"/>
                  </w14:solidFill>
                </w14:textFill>
              </w:rPr>
              <w:t>O气体分析器</w:t>
            </w:r>
          </w:p>
        </w:tc>
        <w:tc>
          <w:tcPr>
            <w:tcW w:w="1035" w:type="dxa"/>
            <w:vAlign w:val="top"/>
          </w:tcPr>
          <w:p w14:paraId="1CB30A5C">
            <w:pPr>
              <w:widowControl/>
              <w:snapToGrid w:val="0"/>
              <w:spacing w:before="156" w:beforeLines="50"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1</w:t>
            </w:r>
          </w:p>
        </w:tc>
        <w:tc>
          <w:tcPr>
            <w:tcW w:w="1225" w:type="dxa"/>
            <w:vAlign w:val="top"/>
          </w:tcPr>
          <w:p w14:paraId="4D0CAB74">
            <w:pPr>
              <w:widowControl/>
              <w:snapToGrid w:val="0"/>
              <w:spacing w:before="156" w:beforeLines="50"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个</w:t>
            </w:r>
          </w:p>
        </w:tc>
      </w:tr>
      <w:tr w14:paraId="04367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1CF07B23">
            <w:pPr>
              <w:widowControl/>
              <w:snapToGrid w:val="0"/>
              <w:spacing w:before="156" w:beforeLines="50" w:line="360" w:lineRule="auto"/>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w:t>
            </w:r>
          </w:p>
        </w:tc>
        <w:tc>
          <w:tcPr>
            <w:tcW w:w="5865" w:type="dxa"/>
            <w:vAlign w:val="top"/>
          </w:tcPr>
          <w:p w14:paraId="4241F88B">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便携式智能测量室</w:t>
            </w:r>
          </w:p>
        </w:tc>
        <w:tc>
          <w:tcPr>
            <w:tcW w:w="1035" w:type="dxa"/>
            <w:vAlign w:val="top"/>
          </w:tcPr>
          <w:p w14:paraId="2C821D2A">
            <w:pPr>
              <w:widowControl/>
              <w:snapToGrid w:val="0"/>
              <w:spacing w:before="156" w:beforeLines="50" w:line="360" w:lineRule="auto"/>
              <w:jc w:val="center"/>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cs="宋体"/>
                <w:bCs/>
                <w:color w:val="000000" w:themeColor="text1"/>
                <w:kern w:val="0"/>
                <w:sz w:val="24"/>
                <w:lang w:val="en-US" w:eastAsia="zh-CN"/>
                <w14:textFill>
                  <w14:solidFill>
                    <w14:schemeClr w14:val="tx1"/>
                  </w14:solidFill>
                </w14:textFill>
              </w:rPr>
              <w:t>1</w:t>
            </w:r>
          </w:p>
        </w:tc>
        <w:tc>
          <w:tcPr>
            <w:tcW w:w="1225" w:type="dxa"/>
            <w:vAlign w:val="top"/>
          </w:tcPr>
          <w:p w14:paraId="329A1BB9">
            <w:pPr>
              <w:widowControl/>
              <w:snapToGrid w:val="0"/>
              <w:spacing w:before="156" w:beforeLines="50" w:line="360" w:lineRule="auto"/>
              <w:jc w:val="center"/>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lang w:val="en-US" w:eastAsia="zh-CN"/>
                <w14:textFill>
                  <w14:solidFill>
                    <w14:schemeClr w14:val="tx1"/>
                  </w14:solidFill>
                </w14:textFill>
              </w:rPr>
              <w:t>个</w:t>
            </w:r>
          </w:p>
        </w:tc>
      </w:tr>
      <w:tr w14:paraId="7F45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3B4C89E3">
            <w:pPr>
              <w:widowControl/>
              <w:snapToGrid w:val="0"/>
              <w:spacing w:before="156" w:beforeLines="50" w:line="360" w:lineRule="auto"/>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w:t>
            </w:r>
          </w:p>
        </w:tc>
        <w:tc>
          <w:tcPr>
            <w:tcW w:w="5865" w:type="dxa"/>
            <w:vAlign w:val="top"/>
          </w:tcPr>
          <w:p w14:paraId="6A6E2B15">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土壤水分温度传感器</w:t>
            </w:r>
          </w:p>
        </w:tc>
        <w:tc>
          <w:tcPr>
            <w:tcW w:w="1035" w:type="dxa"/>
            <w:vAlign w:val="top"/>
          </w:tcPr>
          <w:p w14:paraId="64D38DEC">
            <w:pPr>
              <w:widowControl/>
              <w:snapToGrid w:val="0"/>
              <w:spacing w:before="156" w:beforeLines="50" w:line="360" w:lineRule="auto"/>
              <w:jc w:val="center"/>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cs="宋体"/>
                <w:bCs/>
                <w:color w:val="000000" w:themeColor="text1"/>
                <w:kern w:val="0"/>
                <w:sz w:val="24"/>
                <w:lang w:val="en-US" w:eastAsia="zh-CN"/>
                <w14:textFill>
                  <w14:solidFill>
                    <w14:schemeClr w14:val="tx1"/>
                  </w14:solidFill>
                </w14:textFill>
              </w:rPr>
              <w:t>1</w:t>
            </w:r>
          </w:p>
        </w:tc>
        <w:tc>
          <w:tcPr>
            <w:tcW w:w="1225" w:type="dxa"/>
            <w:vAlign w:val="top"/>
          </w:tcPr>
          <w:p w14:paraId="60D2A1EB">
            <w:pPr>
              <w:widowControl/>
              <w:snapToGrid w:val="0"/>
              <w:spacing w:before="156" w:beforeLines="50" w:line="360" w:lineRule="auto"/>
              <w:jc w:val="center"/>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lang w:val="en-US" w:eastAsia="zh-CN"/>
                <w14:textFill>
                  <w14:solidFill>
                    <w14:schemeClr w14:val="tx1"/>
                  </w14:solidFill>
                </w14:textFill>
              </w:rPr>
              <w:t>个</w:t>
            </w:r>
          </w:p>
        </w:tc>
      </w:tr>
      <w:tr w14:paraId="19335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7831BC66">
            <w:pPr>
              <w:widowControl/>
              <w:snapToGrid w:val="0"/>
              <w:spacing w:before="156" w:beforeLines="50" w:line="360" w:lineRule="auto"/>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w:t>
            </w:r>
          </w:p>
        </w:tc>
        <w:tc>
          <w:tcPr>
            <w:tcW w:w="5865" w:type="dxa"/>
            <w:vAlign w:val="top"/>
          </w:tcPr>
          <w:p w14:paraId="42920DC4">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充电锂电池</w:t>
            </w:r>
          </w:p>
        </w:tc>
        <w:tc>
          <w:tcPr>
            <w:tcW w:w="1035" w:type="dxa"/>
            <w:vAlign w:val="top"/>
          </w:tcPr>
          <w:p w14:paraId="10387256">
            <w:pPr>
              <w:widowControl/>
              <w:snapToGrid w:val="0"/>
              <w:spacing w:before="156" w:beforeLines="50" w:line="360" w:lineRule="auto"/>
              <w:jc w:val="center"/>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cs="宋体"/>
                <w:bCs/>
                <w:color w:val="000000" w:themeColor="text1"/>
                <w:kern w:val="0"/>
                <w:sz w:val="24"/>
                <w:lang w:val="en-US" w:eastAsia="zh-CN"/>
                <w14:textFill>
                  <w14:solidFill>
                    <w14:schemeClr w14:val="tx1"/>
                  </w14:solidFill>
                </w14:textFill>
              </w:rPr>
              <w:t>4</w:t>
            </w:r>
          </w:p>
        </w:tc>
        <w:tc>
          <w:tcPr>
            <w:tcW w:w="1225" w:type="dxa"/>
            <w:vAlign w:val="top"/>
          </w:tcPr>
          <w:p w14:paraId="0ED824FB">
            <w:pPr>
              <w:widowControl/>
              <w:snapToGrid w:val="0"/>
              <w:spacing w:before="156" w:beforeLines="50" w:line="360" w:lineRule="auto"/>
              <w:jc w:val="center"/>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lang w:val="en-US" w:eastAsia="zh-CN"/>
                <w14:textFill>
                  <w14:solidFill>
                    <w14:schemeClr w14:val="tx1"/>
                  </w14:solidFill>
                </w14:textFill>
              </w:rPr>
              <w:t>个</w:t>
            </w:r>
          </w:p>
        </w:tc>
      </w:tr>
      <w:tr w14:paraId="3E6CB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40880A12">
            <w:pPr>
              <w:widowControl/>
              <w:snapToGrid w:val="0"/>
              <w:spacing w:before="156" w:beforeLines="50" w:line="360" w:lineRule="auto"/>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4</w:t>
            </w:r>
          </w:p>
        </w:tc>
        <w:tc>
          <w:tcPr>
            <w:tcW w:w="5865" w:type="dxa"/>
            <w:vAlign w:val="top"/>
          </w:tcPr>
          <w:p w14:paraId="77E48554">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充电器</w:t>
            </w:r>
          </w:p>
        </w:tc>
        <w:tc>
          <w:tcPr>
            <w:tcW w:w="1035" w:type="dxa"/>
            <w:vAlign w:val="top"/>
          </w:tcPr>
          <w:p w14:paraId="7CC429D4">
            <w:pPr>
              <w:widowControl/>
              <w:snapToGrid w:val="0"/>
              <w:spacing w:before="156" w:beforeLines="50" w:line="360" w:lineRule="auto"/>
              <w:jc w:val="center"/>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cs="宋体"/>
                <w:bCs/>
                <w:color w:val="000000" w:themeColor="text1"/>
                <w:kern w:val="0"/>
                <w:sz w:val="24"/>
                <w:lang w:val="en-US" w:eastAsia="zh-CN"/>
                <w14:textFill>
                  <w14:solidFill>
                    <w14:schemeClr w14:val="tx1"/>
                  </w14:solidFill>
                </w14:textFill>
              </w:rPr>
              <w:t>1</w:t>
            </w:r>
          </w:p>
        </w:tc>
        <w:tc>
          <w:tcPr>
            <w:tcW w:w="1225" w:type="dxa"/>
            <w:vAlign w:val="top"/>
          </w:tcPr>
          <w:p w14:paraId="55B28D80">
            <w:pPr>
              <w:widowControl/>
              <w:snapToGrid w:val="0"/>
              <w:spacing w:before="156" w:beforeLines="50" w:line="360" w:lineRule="auto"/>
              <w:jc w:val="center"/>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lang w:val="en-US" w:eastAsia="zh-CN"/>
                <w14:textFill>
                  <w14:solidFill>
                    <w14:schemeClr w14:val="tx1"/>
                  </w14:solidFill>
                </w14:textFill>
              </w:rPr>
              <w:t>套</w:t>
            </w:r>
          </w:p>
        </w:tc>
      </w:tr>
    </w:tbl>
    <w:p w14:paraId="4DED2191">
      <w:pPr>
        <w:tabs>
          <w:tab w:val="left" w:pos="540"/>
        </w:tabs>
        <w:spacing w:line="360" w:lineRule="auto"/>
        <w:rPr>
          <w:rFonts w:hint="eastAsia" w:asciiTheme="minorEastAsia" w:hAnsiTheme="minorEastAsia" w:eastAsiaTheme="minorEastAsia" w:cstheme="minorEastAsia"/>
          <w:b/>
          <w:sz w:val="24"/>
        </w:rPr>
      </w:pPr>
    </w:p>
    <w:p w14:paraId="4BEF41B6">
      <w:pPr>
        <w:widowControl/>
        <w:snapToGrid w:val="0"/>
        <w:spacing w:before="156" w:beforeLines="50" w:after="156" w:afterLines="50" w:line="360" w:lineRule="auto"/>
        <w:rPr>
          <w:rFonts w:hint="eastAsia" w:ascii="宋体" w:hAnsi="宋体" w:eastAsia="宋体" w:cs="宋体"/>
          <w:b/>
          <w:bCs/>
          <w:color w:val="000000" w:themeColor="text1"/>
          <w:sz w:val="24"/>
          <w:szCs w:val="24"/>
          <w:u w:val="none"/>
          <w14:textFill>
            <w14:solidFill>
              <w14:schemeClr w14:val="tx1"/>
            </w14:solidFill>
          </w14:textFill>
        </w:rPr>
      </w:pPr>
      <w:r>
        <w:rPr>
          <w:rFonts w:hint="eastAsia" w:ascii="宋体" w:hAnsi="宋体" w:eastAsia="宋体" w:cs="宋体"/>
          <w:b/>
          <w:bCs/>
          <w:color w:val="000000" w:themeColor="text1"/>
          <w:sz w:val="24"/>
          <w:szCs w:val="24"/>
          <w:u w:val="none"/>
          <w14:textFill>
            <w14:solidFill>
              <w14:schemeClr w14:val="tx1"/>
            </w14:solidFill>
          </w14:textFill>
        </w:rPr>
        <w:t>2、技术性能指标表</w:t>
      </w:r>
    </w:p>
    <w:tbl>
      <w:tblPr>
        <w:tblStyle w:val="3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15ADD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tcBorders>
              <w:top w:val="single" w:color="auto" w:sz="4" w:space="0"/>
              <w:left w:val="single" w:color="auto" w:sz="4" w:space="0"/>
              <w:bottom w:val="single" w:color="auto" w:sz="4" w:space="0"/>
              <w:right w:val="single" w:color="auto" w:sz="4" w:space="0"/>
            </w:tcBorders>
            <w:vAlign w:val="center"/>
          </w:tcPr>
          <w:p w14:paraId="18E0527E">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编号</w:t>
            </w:r>
          </w:p>
        </w:tc>
        <w:tc>
          <w:tcPr>
            <w:tcW w:w="1051" w:type="dxa"/>
            <w:tcBorders>
              <w:top w:val="single" w:color="auto" w:sz="4" w:space="0"/>
              <w:left w:val="single" w:color="auto" w:sz="4" w:space="0"/>
              <w:bottom w:val="single" w:color="auto" w:sz="4" w:space="0"/>
              <w:right w:val="single" w:color="auto" w:sz="4" w:space="0"/>
            </w:tcBorders>
            <w:vAlign w:val="center"/>
          </w:tcPr>
          <w:p w14:paraId="27E1F998">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招标技术指标名称</w:t>
            </w:r>
          </w:p>
        </w:tc>
        <w:tc>
          <w:tcPr>
            <w:tcW w:w="7879" w:type="dxa"/>
            <w:gridSpan w:val="2"/>
            <w:tcBorders>
              <w:top w:val="single" w:color="auto" w:sz="4" w:space="0"/>
              <w:left w:val="single" w:color="auto" w:sz="4" w:space="0"/>
              <w:bottom w:val="single" w:color="auto" w:sz="4" w:space="0"/>
              <w:right w:val="single" w:color="auto" w:sz="4" w:space="0"/>
            </w:tcBorders>
            <w:vAlign w:val="center"/>
          </w:tcPr>
          <w:p w14:paraId="039A1F97">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招标技术指标值</w:t>
            </w:r>
          </w:p>
        </w:tc>
      </w:tr>
      <w:tr w14:paraId="60BC0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tcBorders>
              <w:top w:val="single" w:color="auto" w:sz="4" w:space="0"/>
              <w:left w:val="single" w:color="auto" w:sz="4" w:space="0"/>
              <w:bottom w:val="single" w:color="auto" w:sz="4" w:space="0"/>
              <w:right w:val="single" w:color="auto" w:sz="4" w:space="0"/>
            </w:tcBorders>
            <w:vAlign w:val="center"/>
          </w:tcPr>
          <w:p w14:paraId="1F3BC376">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1</w:t>
            </w:r>
          </w:p>
        </w:tc>
        <w:tc>
          <w:tcPr>
            <w:tcW w:w="1051" w:type="dxa"/>
            <w:tcBorders>
              <w:top w:val="single" w:color="auto" w:sz="4" w:space="0"/>
              <w:left w:val="single" w:color="auto" w:sz="4" w:space="0"/>
              <w:bottom w:val="single" w:color="auto" w:sz="4" w:space="0"/>
              <w:right w:val="single" w:color="auto" w:sz="4" w:space="0"/>
            </w:tcBorders>
            <w:vAlign w:val="center"/>
          </w:tcPr>
          <w:p w14:paraId="7BF379FF">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应用范围和要求</w:t>
            </w:r>
          </w:p>
        </w:tc>
        <w:tc>
          <w:tcPr>
            <w:tcW w:w="7879" w:type="dxa"/>
            <w:gridSpan w:val="2"/>
            <w:tcBorders>
              <w:top w:val="single" w:color="auto" w:sz="4" w:space="0"/>
              <w:left w:val="single" w:color="auto" w:sz="4" w:space="0"/>
              <w:bottom w:val="single" w:color="auto" w:sz="4" w:space="0"/>
              <w:right w:val="single" w:color="auto" w:sz="4" w:space="0"/>
            </w:tcBorders>
            <w:vAlign w:val="center"/>
          </w:tcPr>
          <w:p w14:paraId="397B0EB5">
            <w:pPr>
              <w:widowControl/>
              <w:spacing w:line="360" w:lineRule="auto"/>
              <w:jc w:val="left"/>
              <w:rPr>
                <w:rFonts w:hint="eastAsia" w:ascii="宋体" w:hAnsi="宋体" w:eastAsia="宋体" w:cs="宋体"/>
                <w:bCs/>
                <w:color w:val="000000" w:themeColor="text1"/>
                <w:sz w:val="24"/>
                <w:szCs w:val="24"/>
                <w:u w:val="none"/>
                <w:lang w:eastAsia="zh-CN"/>
                <w14:textFill>
                  <w14:solidFill>
                    <w14:schemeClr w14:val="tx1"/>
                  </w14:solidFill>
                </w14:textFill>
              </w:rPr>
            </w:pPr>
            <w:r>
              <w:rPr>
                <w:rFonts w:hint="eastAsia" w:ascii="宋体" w:hAnsi="宋体" w:eastAsia="宋体" w:cs="宋体"/>
                <w:bCs/>
                <w:color w:val="000000" w:themeColor="text1"/>
                <w:sz w:val="24"/>
                <w:szCs w:val="24"/>
                <w:u w:val="none"/>
                <w14:textFill>
                  <w14:solidFill>
                    <w14:schemeClr w14:val="tx1"/>
                  </w14:solidFill>
                </w14:textFill>
              </w:rPr>
              <w:t>土壤碳通量测量系统通过原位、高精度野外监测，实时获取土壤呼吸释放 CO₂、CH</w:t>
            </w:r>
            <w:r>
              <w:rPr>
                <w:rFonts w:hint="eastAsia" w:ascii="宋体" w:hAnsi="宋体" w:eastAsia="宋体" w:cs="宋体"/>
                <w:bCs/>
                <w:color w:val="000000" w:themeColor="text1"/>
                <w:sz w:val="24"/>
                <w:szCs w:val="24"/>
                <w:u w:val="none"/>
                <w:vertAlign w:val="subscript"/>
                <w14:textFill>
                  <w14:solidFill>
                    <w14:schemeClr w14:val="tx1"/>
                  </w14:solidFill>
                </w14:textFill>
              </w:rPr>
              <w:t>4</w:t>
            </w:r>
            <w:r>
              <w:rPr>
                <w:rFonts w:hint="eastAsia" w:ascii="宋体" w:hAnsi="宋体" w:eastAsia="宋体" w:cs="宋体"/>
                <w:bCs/>
                <w:color w:val="000000" w:themeColor="text1"/>
                <w:sz w:val="24"/>
                <w:szCs w:val="24"/>
                <w:u w:val="none"/>
                <w14:textFill>
                  <w14:solidFill>
                    <w14:schemeClr w14:val="tx1"/>
                  </w14:solidFill>
                </w14:textFill>
              </w:rPr>
              <w:t>通量数据，量化不同土地类型土壤碳排放速率，测量区域土壤碳排放量与碳释放动态规律，为陆地生态系统碳循环研究、碳源碳汇潜力评估提供可靠实测数据支撑。</w:t>
            </w:r>
            <w:r>
              <w:rPr>
                <w:rFonts w:hint="eastAsia" w:ascii="宋体" w:hAnsi="宋体" w:eastAsia="宋体" w:cs="宋体"/>
                <w:bCs/>
                <w:color w:val="000000" w:themeColor="text1"/>
                <w:sz w:val="24"/>
                <w:szCs w:val="24"/>
                <w:u w:val="none"/>
                <w:lang w:eastAsia="zh-CN"/>
                <w14:textFill>
                  <w14:solidFill>
                    <w14:schemeClr w14:val="tx1"/>
                  </w14:solidFill>
                </w14:textFill>
              </w:rPr>
              <w:t>（</w:t>
            </w:r>
            <w:r>
              <w:rPr>
                <w:rFonts w:hint="eastAsia" w:ascii="宋体" w:hAnsi="宋体" w:eastAsia="宋体" w:cs="宋体"/>
                <w:bCs/>
                <w:color w:val="000000" w:themeColor="text1"/>
                <w:sz w:val="24"/>
                <w:szCs w:val="24"/>
                <w:u w:val="none"/>
                <w:lang w:val="en-US" w:eastAsia="zh-CN"/>
                <w14:textFill>
                  <w14:solidFill>
                    <w14:schemeClr w14:val="tx1"/>
                  </w14:solidFill>
                </w14:textFill>
              </w:rPr>
              <w:t>本项不计为打分项</w:t>
            </w:r>
            <w:r>
              <w:rPr>
                <w:rFonts w:hint="eastAsia" w:ascii="宋体" w:hAnsi="宋体" w:eastAsia="宋体" w:cs="宋体"/>
                <w:bCs/>
                <w:color w:val="000000" w:themeColor="text1"/>
                <w:sz w:val="24"/>
                <w:szCs w:val="24"/>
                <w:u w:val="none"/>
                <w:lang w:eastAsia="zh-CN"/>
                <w14:textFill>
                  <w14:solidFill>
                    <w14:schemeClr w14:val="tx1"/>
                  </w14:solidFill>
                </w14:textFill>
              </w:rPr>
              <w:t>）</w:t>
            </w:r>
          </w:p>
        </w:tc>
      </w:tr>
      <w:tr w14:paraId="4BBD7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76D177DA">
            <w:pPr>
              <w:widowControl/>
              <w:spacing w:line="360" w:lineRule="auto"/>
              <w:jc w:val="center"/>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2</w:t>
            </w:r>
          </w:p>
          <w:p w14:paraId="2ADB8003">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287AF1D6">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5091B8A6">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66A30F51">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15A264B2">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restart"/>
            <w:vAlign w:val="center"/>
          </w:tcPr>
          <w:p w14:paraId="7EBF5D95">
            <w:pPr>
              <w:widowControl/>
              <w:spacing w:line="360" w:lineRule="auto"/>
              <w:ind w:firstLine="120" w:firstLineChars="50"/>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性能指标</w:t>
            </w:r>
          </w:p>
        </w:tc>
        <w:tc>
          <w:tcPr>
            <w:tcW w:w="749" w:type="dxa"/>
            <w:vAlign w:val="center"/>
          </w:tcPr>
          <w:p w14:paraId="39A96D9C">
            <w:pPr>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1</w:t>
            </w:r>
          </w:p>
        </w:tc>
        <w:tc>
          <w:tcPr>
            <w:tcW w:w="7130" w:type="dxa"/>
            <w:vAlign w:val="center"/>
          </w:tcPr>
          <w:p w14:paraId="04587D13">
            <w:pPr>
              <w:adjustRightInd w:val="0"/>
              <w:snapToGrid w:val="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CO</w:t>
            </w:r>
            <w:r>
              <w:rPr>
                <w:rFonts w:hint="eastAsia" w:ascii="宋体" w:hAnsi="宋体" w:eastAsia="宋体" w:cs="宋体"/>
                <w:sz w:val="24"/>
                <w:szCs w:val="24"/>
                <w:u w:val="none"/>
                <w:shd w:val="clear" w:color="auto" w:fill="FFFFFF"/>
                <w:vertAlign w:val="subscript"/>
              </w:rPr>
              <w:t>2</w:t>
            </w:r>
            <w:r>
              <w:rPr>
                <w:rFonts w:hint="eastAsia" w:ascii="宋体" w:hAnsi="宋体" w:eastAsia="宋体" w:cs="宋体"/>
                <w:sz w:val="24"/>
                <w:szCs w:val="24"/>
                <w:u w:val="none"/>
                <w:shd w:val="clear" w:color="auto" w:fill="FFFFFF"/>
              </w:rPr>
              <w:t>测量范围：≥0~10000ppm；</w:t>
            </w:r>
          </w:p>
        </w:tc>
      </w:tr>
      <w:tr w14:paraId="334E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44462E20">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232B5211">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5A585181">
            <w:pPr>
              <w:spacing w:line="360" w:lineRule="auto"/>
              <w:jc w:val="center"/>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2</w:t>
            </w:r>
          </w:p>
        </w:tc>
        <w:tc>
          <w:tcPr>
            <w:tcW w:w="7130" w:type="dxa"/>
            <w:vAlign w:val="center"/>
          </w:tcPr>
          <w:p w14:paraId="4C3F679B">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CO</w:t>
            </w:r>
            <w:r>
              <w:rPr>
                <w:rFonts w:hint="eastAsia" w:ascii="宋体" w:hAnsi="宋体" w:eastAsia="宋体" w:cs="宋体"/>
                <w:color w:val="000000" w:themeColor="text1"/>
                <w:sz w:val="24"/>
                <w:szCs w:val="24"/>
                <w:u w:val="none"/>
                <w:vertAlign w:val="subscript"/>
                <w14:textFill>
                  <w14:solidFill>
                    <w14:schemeClr w14:val="tx1"/>
                  </w14:solidFill>
                </w14:textFill>
              </w:rPr>
              <w:t>2</w:t>
            </w:r>
            <w:r>
              <w:rPr>
                <w:rFonts w:hint="eastAsia" w:ascii="宋体" w:hAnsi="宋体" w:eastAsia="宋体" w:cs="宋体"/>
                <w:color w:val="000000" w:themeColor="text1"/>
                <w:sz w:val="24"/>
                <w:szCs w:val="24"/>
                <w:u w:val="none"/>
                <w14:textFill>
                  <w14:solidFill>
                    <w14:schemeClr w14:val="tx1"/>
                  </w14:solidFill>
                </w14:textFill>
              </w:rPr>
              <w:t>精确度：</w:t>
            </w:r>
          </w:p>
          <w:p w14:paraId="1CE8E01D">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≤1.5 ppm @400 ppm，5秒信号平均；</w:t>
            </w:r>
          </w:p>
          <w:p w14:paraId="01156E70">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≤3.5 ppm @400 ppm，1秒信号平均；</w:t>
            </w:r>
          </w:p>
        </w:tc>
      </w:tr>
      <w:tr w14:paraId="60B28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0340469E">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752EE444">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9503E41">
            <w:pPr>
              <w:spacing w:line="360" w:lineRule="auto"/>
              <w:jc w:val="center"/>
              <w:rPr>
                <w:rFonts w:hint="default"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3</w:t>
            </w:r>
          </w:p>
        </w:tc>
        <w:tc>
          <w:tcPr>
            <w:tcW w:w="7130" w:type="dxa"/>
            <w:vAlign w:val="center"/>
          </w:tcPr>
          <w:p w14:paraId="646FB9D3">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流速：≤250sccm；</w:t>
            </w:r>
          </w:p>
        </w:tc>
      </w:tr>
      <w:tr w14:paraId="6366B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0C0CF348">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3A1C0474">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023C074">
            <w:pPr>
              <w:spacing w:line="360" w:lineRule="auto"/>
              <w:jc w:val="center"/>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4</w:t>
            </w:r>
          </w:p>
        </w:tc>
        <w:tc>
          <w:tcPr>
            <w:tcW w:w="7130" w:type="dxa"/>
            <w:vAlign w:val="center"/>
          </w:tcPr>
          <w:p w14:paraId="756F7FA9">
            <w:pPr>
              <w:adjustRightInd w:val="0"/>
              <w:snapToGrid w:val="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数据传输：满足以太网和Wi-Fi；</w:t>
            </w:r>
          </w:p>
        </w:tc>
      </w:tr>
      <w:tr w14:paraId="1E1FA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26708C3">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7DAF854B">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4CB3EB15">
            <w:pPr>
              <w:spacing w:line="360" w:lineRule="auto"/>
              <w:jc w:val="center"/>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5</w:t>
            </w:r>
          </w:p>
        </w:tc>
        <w:tc>
          <w:tcPr>
            <w:tcW w:w="7130" w:type="dxa"/>
            <w:vAlign w:val="center"/>
          </w:tcPr>
          <w:p w14:paraId="0A7AEB93">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便携式呼吸测量室：</w:t>
            </w:r>
          </w:p>
          <w:p w14:paraId="59BA3E6F">
            <w:pPr>
              <w:adjustRightInd w:val="0"/>
              <w:snapToGrid w:val="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系统体积：≥4000cm</w:t>
            </w:r>
            <w:r>
              <w:rPr>
                <w:rFonts w:hint="eastAsia" w:ascii="宋体" w:hAnsi="宋体" w:eastAsia="宋体" w:cs="宋体"/>
                <w:sz w:val="24"/>
                <w:szCs w:val="24"/>
                <w:u w:val="none"/>
                <w:shd w:val="clear" w:color="auto" w:fill="FFFFFF"/>
                <w:vertAlign w:val="superscript"/>
              </w:rPr>
              <w:t>3</w:t>
            </w:r>
            <w:r>
              <w:rPr>
                <w:rFonts w:hint="eastAsia" w:ascii="宋体" w:hAnsi="宋体" w:eastAsia="宋体" w:cs="宋体"/>
                <w:sz w:val="24"/>
                <w:szCs w:val="24"/>
                <w:u w:val="none"/>
                <w:shd w:val="clear" w:color="auto" w:fill="FFFFFF"/>
              </w:rPr>
              <w:t>；</w:t>
            </w:r>
          </w:p>
        </w:tc>
      </w:tr>
      <w:tr w14:paraId="2C091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05B8962">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1E0A74CE">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6F4B8737">
            <w:pPr>
              <w:spacing w:line="360" w:lineRule="auto"/>
              <w:jc w:val="center"/>
              <w:rPr>
                <w:rFonts w:hint="default"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6</w:t>
            </w:r>
          </w:p>
        </w:tc>
        <w:tc>
          <w:tcPr>
            <w:tcW w:w="7130" w:type="dxa"/>
            <w:vAlign w:val="center"/>
          </w:tcPr>
          <w:p w14:paraId="3D3D0F67">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便携式呼吸测量室：</w:t>
            </w:r>
          </w:p>
          <w:p w14:paraId="46F30BBD">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土壤面积：≥300 cm</w:t>
            </w:r>
            <w:r>
              <w:rPr>
                <w:rFonts w:hint="eastAsia" w:ascii="宋体" w:hAnsi="宋体" w:eastAsia="宋体" w:cs="宋体"/>
                <w:sz w:val="24"/>
                <w:szCs w:val="24"/>
                <w:u w:val="none"/>
                <w:shd w:val="clear" w:color="auto" w:fill="FFFFFF"/>
                <w:vertAlign w:val="superscript"/>
              </w:rPr>
              <w:t>2</w:t>
            </w:r>
            <w:r>
              <w:rPr>
                <w:rFonts w:hint="eastAsia" w:ascii="宋体" w:hAnsi="宋体" w:eastAsia="宋体" w:cs="宋体"/>
                <w:sz w:val="24"/>
                <w:szCs w:val="24"/>
                <w:u w:val="none"/>
                <w:shd w:val="clear" w:color="auto" w:fill="FFFFFF"/>
              </w:rPr>
              <w:t>；</w:t>
            </w:r>
          </w:p>
        </w:tc>
      </w:tr>
      <w:tr w14:paraId="7D6F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18DA4BC">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1DC8DEA6">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1765AE28">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7</w:t>
            </w:r>
          </w:p>
        </w:tc>
        <w:tc>
          <w:tcPr>
            <w:tcW w:w="7130" w:type="dxa"/>
            <w:vAlign w:val="center"/>
          </w:tcPr>
          <w:p w14:paraId="5FDD726E">
            <w:pPr>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空气温度传感器：测量范围：≥-20~70℃，准确度：≤±0.5℃@ 0~70℃；</w:t>
            </w:r>
          </w:p>
        </w:tc>
      </w:tr>
      <w:tr w14:paraId="2D870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FDFB65F">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419F35CB">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3A6409F7">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8</w:t>
            </w:r>
          </w:p>
        </w:tc>
        <w:tc>
          <w:tcPr>
            <w:tcW w:w="7130" w:type="dxa"/>
            <w:vAlign w:val="center"/>
          </w:tcPr>
          <w:p w14:paraId="3A29F444">
            <w:pPr>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压力传感器：</w:t>
            </w:r>
          </w:p>
          <w:p w14:paraId="5AEFDBAB">
            <w:pPr>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测量范围：≥50~110 Kpa，准确度：≤±0.4kPa；</w:t>
            </w:r>
          </w:p>
        </w:tc>
      </w:tr>
      <w:tr w14:paraId="53F33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9BC7E18">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65E02403">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1F9E6A5D">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9</w:t>
            </w:r>
          </w:p>
        </w:tc>
        <w:tc>
          <w:tcPr>
            <w:tcW w:w="7130" w:type="dxa"/>
            <w:vAlign w:val="center"/>
          </w:tcPr>
          <w:p w14:paraId="3F0184C7">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压力传感器：</w:t>
            </w:r>
          </w:p>
          <w:p w14:paraId="64F9BD75">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工作温度：≥-20~50℃；</w:t>
            </w:r>
          </w:p>
        </w:tc>
      </w:tr>
      <w:tr w14:paraId="46D3C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FEB9977">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571485E4">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D8A0032">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10</w:t>
            </w:r>
          </w:p>
        </w:tc>
        <w:tc>
          <w:tcPr>
            <w:tcW w:w="7130" w:type="dxa"/>
            <w:vAlign w:val="center"/>
          </w:tcPr>
          <w:p w14:paraId="6DCE0EEA">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压力传感器：</w:t>
            </w:r>
          </w:p>
          <w:p w14:paraId="13181DEB">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内存：≥8GB内存；</w:t>
            </w:r>
          </w:p>
        </w:tc>
      </w:tr>
      <w:tr w14:paraId="72F39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34A3C7D">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1F48C911">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1BCAE747">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11</w:t>
            </w:r>
          </w:p>
        </w:tc>
        <w:tc>
          <w:tcPr>
            <w:tcW w:w="7130" w:type="dxa"/>
            <w:vAlign w:val="center"/>
          </w:tcPr>
          <w:p w14:paraId="3D07C73E">
            <w:pPr>
              <w:spacing w:after="160" w:line="360" w:lineRule="auto"/>
              <w:contextualSpacing/>
              <w:jc w:val="left"/>
              <w:rPr>
                <w:rFonts w:hint="eastAsia" w:ascii="宋体" w:hAnsi="宋体" w:eastAsia="宋体" w:cs="宋体"/>
                <w:sz w:val="24"/>
                <w:szCs w:val="24"/>
                <w:u w:val="none"/>
                <w:shd w:val="clear" w:color="auto" w:fill="FFFFFF"/>
                <w:lang w:eastAsia="zh-CN"/>
              </w:rPr>
            </w:pPr>
            <w:r>
              <w:rPr>
                <w:rFonts w:hint="eastAsia" w:ascii="宋体" w:hAnsi="宋体" w:eastAsia="宋体" w:cs="宋体"/>
                <w:sz w:val="24"/>
                <w:szCs w:val="24"/>
                <w:u w:val="none"/>
                <w:shd w:val="clear" w:color="auto" w:fill="FFFFFF"/>
              </w:rPr>
              <w:t>CH</w:t>
            </w:r>
            <w:r>
              <w:rPr>
                <w:rFonts w:hint="eastAsia" w:ascii="宋体" w:hAnsi="宋体" w:eastAsia="宋体" w:cs="宋体"/>
                <w:sz w:val="24"/>
                <w:szCs w:val="24"/>
                <w:u w:val="none"/>
                <w:shd w:val="clear" w:color="auto" w:fill="FFFFFF"/>
                <w:vertAlign w:val="subscript"/>
              </w:rPr>
              <w:t>4</w:t>
            </w:r>
            <w:r>
              <w:rPr>
                <w:rFonts w:hint="eastAsia" w:ascii="宋体" w:hAnsi="宋体" w:eastAsia="宋体" w:cs="宋体"/>
                <w:sz w:val="24"/>
                <w:szCs w:val="24"/>
                <w:u w:val="none"/>
                <w:shd w:val="clear" w:color="auto" w:fill="FFFFFF"/>
              </w:rPr>
              <w:t>精确度</w:t>
            </w:r>
            <w:r>
              <w:rPr>
                <w:rFonts w:hint="eastAsia" w:ascii="宋体" w:hAnsi="宋体" w:eastAsia="宋体" w:cs="宋体"/>
                <w:sz w:val="24"/>
                <w:szCs w:val="24"/>
                <w:u w:val="none"/>
                <w:shd w:val="clear" w:color="auto" w:fill="FFFFFF"/>
                <w:lang w:eastAsia="zh-CN"/>
              </w:rPr>
              <w:t>：</w:t>
            </w:r>
          </w:p>
          <w:p w14:paraId="7510D655">
            <w:pPr>
              <w:spacing w:after="160" w:line="360" w:lineRule="auto"/>
              <w:contextualSpacing/>
              <w:jc w:val="left"/>
              <w:rPr>
                <w:rFonts w:hint="eastAsia" w:ascii="宋体" w:hAnsi="宋体" w:eastAsia="宋体" w:cs="宋体"/>
                <w:sz w:val="24"/>
                <w:szCs w:val="24"/>
                <w:u w:val="none"/>
                <w:shd w:val="clear" w:color="auto" w:fill="FFFFFF"/>
                <w:lang w:eastAsia="zh-CN"/>
              </w:rPr>
            </w:pPr>
            <w:r>
              <w:rPr>
                <w:rFonts w:hint="eastAsia" w:ascii="宋体" w:hAnsi="宋体" w:eastAsia="宋体" w:cs="宋体"/>
                <w:sz w:val="24"/>
                <w:szCs w:val="24"/>
                <w:u w:val="none"/>
                <w:shd w:val="clear" w:color="auto" w:fill="FFFFFF"/>
                <w:lang w:eastAsia="zh-CN"/>
              </w:rPr>
              <w:t>≤0.25ppb@ 2ppm，5秒信号平均；</w:t>
            </w:r>
          </w:p>
          <w:p w14:paraId="5ED99FE5">
            <w:pPr>
              <w:spacing w:after="160" w:line="360" w:lineRule="auto"/>
              <w:contextualSpacing/>
              <w:jc w:val="left"/>
              <w:rPr>
                <w:rFonts w:hint="eastAsia" w:ascii="宋体" w:hAnsi="宋体" w:eastAsia="宋体" w:cs="宋体"/>
                <w:sz w:val="24"/>
                <w:szCs w:val="24"/>
                <w:u w:val="none"/>
                <w:shd w:val="clear" w:color="auto" w:fill="FFFFFF"/>
                <w:lang w:eastAsia="zh-CN"/>
              </w:rPr>
            </w:pPr>
            <w:r>
              <w:rPr>
                <w:rFonts w:hint="eastAsia" w:ascii="宋体" w:hAnsi="宋体" w:eastAsia="宋体" w:cs="宋体"/>
                <w:sz w:val="24"/>
                <w:szCs w:val="24"/>
                <w:u w:val="none"/>
                <w:shd w:val="clear" w:color="auto" w:fill="FFFFFF"/>
                <w:lang w:eastAsia="zh-CN"/>
              </w:rPr>
              <w:t>≤0.60ppb@ 2ppm，1秒信号平均，</w:t>
            </w:r>
          </w:p>
          <w:p w14:paraId="545EE911">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lang w:eastAsia="zh-CN"/>
              </w:rPr>
              <w:t>最大漂移：每24小时&lt; 1 ppb；</w:t>
            </w:r>
          </w:p>
        </w:tc>
      </w:tr>
      <w:tr w14:paraId="7EB16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CE814C9">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5479C1EA">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729E0749">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12</w:t>
            </w:r>
          </w:p>
        </w:tc>
        <w:tc>
          <w:tcPr>
            <w:tcW w:w="7130" w:type="dxa"/>
            <w:vAlign w:val="center"/>
          </w:tcPr>
          <w:p w14:paraId="016D4CAC">
            <w:pPr>
              <w:spacing w:after="160" w:line="360" w:lineRule="auto"/>
              <w:contextualSpacing/>
              <w:jc w:val="left"/>
              <w:rPr>
                <w:rFonts w:hint="eastAsia" w:ascii="宋体" w:hAnsi="宋体" w:eastAsia="宋体" w:cs="宋体"/>
                <w:sz w:val="24"/>
                <w:szCs w:val="24"/>
                <w:u w:val="none"/>
                <w:shd w:val="clear" w:color="auto" w:fill="FFFFFF"/>
                <w:lang w:eastAsia="zh-CN"/>
              </w:rPr>
            </w:pPr>
            <w:r>
              <w:rPr>
                <w:rFonts w:hint="eastAsia" w:ascii="宋体" w:hAnsi="宋体" w:eastAsia="宋体" w:cs="宋体"/>
                <w:sz w:val="24"/>
                <w:szCs w:val="24"/>
                <w:u w:val="none"/>
                <w:shd w:val="clear" w:color="auto" w:fill="FFFFFF"/>
                <w:lang w:eastAsia="zh-CN"/>
              </w:rPr>
              <w:t>CH</w:t>
            </w:r>
            <w:r>
              <w:rPr>
                <w:rFonts w:hint="eastAsia" w:ascii="宋体" w:hAnsi="宋体" w:eastAsia="宋体" w:cs="宋体"/>
                <w:sz w:val="24"/>
                <w:szCs w:val="24"/>
                <w:u w:val="none"/>
                <w:shd w:val="clear" w:color="auto" w:fill="FFFFFF"/>
                <w:vertAlign w:val="subscript"/>
                <w:lang w:eastAsia="zh-CN"/>
              </w:rPr>
              <w:t>4</w:t>
            </w:r>
            <w:r>
              <w:rPr>
                <w:rFonts w:hint="eastAsia" w:ascii="宋体" w:hAnsi="宋体" w:eastAsia="宋体" w:cs="宋体"/>
                <w:sz w:val="24"/>
                <w:szCs w:val="24"/>
                <w:u w:val="none"/>
                <w:shd w:val="clear" w:color="auto" w:fill="FFFFFF"/>
                <w:lang w:eastAsia="zh-CN"/>
              </w:rPr>
              <w:t>响应时间（T</w:t>
            </w:r>
            <w:r>
              <w:rPr>
                <w:rFonts w:hint="eastAsia" w:ascii="宋体" w:hAnsi="宋体" w:eastAsia="宋体" w:cs="宋体"/>
                <w:sz w:val="24"/>
                <w:szCs w:val="24"/>
                <w:u w:val="none"/>
                <w:shd w:val="clear" w:color="auto" w:fill="FFFFFF"/>
                <w:vertAlign w:val="subscript"/>
                <w:lang w:eastAsia="zh-CN"/>
              </w:rPr>
              <w:t>10</w:t>
            </w:r>
            <w:r>
              <w:rPr>
                <w:rFonts w:hint="eastAsia" w:ascii="宋体" w:hAnsi="宋体" w:eastAsia="宋体" w:cs="宋体"/>
                <w:sz w:val="24"/>
                <w:szCs w:val="24"/>
                <w:u w:val="none"/>
                <w:shd w:val="clear" w:color="auto" w:fill="FFFFFF"/>
                <w:lang w:eastAsia="zh-CN"/>
              </w:rPr>
              <w:t>-T</w:t>
            </w:r>
            <w:r>
              <w:rPr>
                <w:rFonts w:hint="eastAsia" w:ascii="宋体" w:hAnsi="宋体" w:eastAsia="宋体" w:cs="宋体"/>
                <w:sz w:val="24"/>
                <w:szCs w:val="24"/>
                <w:u w:val="none"/>
                <w:shd w:val="clear" w:color="auto" w:fill="FFFFFF"/>
                <w:vertAlign w:val="subscript"/>
                <w:lang w:eastAsia="zh-CN"/>
              </w:rPr>
              <w:t>90</w:t>
            </w:r>
            <w:r>
              <w:rPr>
                <w:rFonts w:hint="eastAsia" w:ascii="宋体" w:hAnsi="宋体" w:eastAsia="宋体" w:cs="宋体"/>
                <w:sz w:val="24"/>
                <w:szCs w:val="24"/>
                <w:u w:val="none"/>
                <w:shd w:val="clear" w:color="auto" w:fill="FFFFFF"/>
                <w:lang w:eastAsia="zh-CN"/>
              </w:rPr>
              <w:t>）：CH</w:t>
            </w:r>
            <w:r>
              <w:rPr>
                <w:rFonts w:hint="eastAsia" w:ascii="宋体" w:hAnsi="宋体" w:eastAsia="宋体" w:cs="宋体"/>
                <w:sz w:val="24"/>
                <w:szCs w:val="24"/>
                <w:u w:val="none"/>
                <w:shd w:val="clear" w:color="auto" w:fill="FFFFFF"/>
                <w:vertAlign w:val="subscript"/>
                <w:lang w:eastAsia="zh-CN"/>
              </w:rPr>
              <w:t>4</w:t>
            </w:r>
            <w:r>
              <w:rPr>
                <w:rFonts w:hint="eastAsia" w:ascii="宋体" w:hAnsi="宋体" w:eastAsia="宋体" w:cs="宋体"/>
                <w:sz w:val="24"/>
                <w:szCs w:val="24"/>
                <w:u w:val="none"/>
                <w:shd w:val="clear" w:color="auto" w:fill="FFFFFF"/>
                <w:lang w:eastAsia="zh-CN"/>
              </w:rPr>
              <w:t>浓度从0上升到2 ppm仪器响应时间≤2s；</w:t>
            </w:r>
          </w:p>
        </w:tc>
      </w:tr>
      <w:tr w14:paraId="2DB5C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4463F04">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6AAE6667">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4EB6118C">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13</w:t>
            </w:r>
          </w:p>
        </w:tc>
        <w:tc>
          <w:tcPr>
            <w:tcW w:w="7130" w:type="dxa"/>
            <w:vAlign w:val="center"/>
          </w:tcPr>
          <w:p w14:paraId="03957447">
            <w:pPr>
              <w:spacing w:after="160" w:line="360" w:lineRule="auto"/>
              <w:contextualSpacing/>
              <w:jc w:val="left"/>
              <w:rPr>
                <w:rFonts w:hint="eastAsia" w:ascii="宋体" w:hAnsi="宋体" w:eastAsia="宋体" w:cs="宋体"/>
                <w:sz w:val="24"/>
                <w:szCs w:val="24"/>
                <w:u w:val="none"/>
                <w:shd w:val="clear" w:color="auto" w:fill="FFFFFF"/>
                <w:lang w:eastAsia="zh-CN"/>
              </w:rPr>
            </w:pPr>
            <w:r>
              <w:rPr>
                <w:rFonts w:hint="eastAsia" w:ascii="宋体" w:hAnsi="宋体" w:eastAsia="宋体" w:cs="宋体"/>
                <w:sz w:val="24"/>
                <w:szCs w:val="24"/>
                <w:u w:val="none"/>
                <w:shd w:val="clear" w:color="auto" w:fill="FFFFFF"/>
              </w:rPr>
              <w:t>H</w:t>
            </w:r>
            <w:r>
              <w:rPr>
                <w:rFonts w:hint="eastAsia" w:ascii="宋体" w:hAnsi="宋体" w:eastAsia="宋体" w:cs="宋体"/>
                <w:sz w:val="24"/>
                <w:szCs w:val="24"/>
                <w:u w:val="none"/>
                <w:shd w:val="clear" w:color="auto" w:fill="FFFFFF"/>
                <w:vertAlign w:val="subscript"/>
              </w:rPr>
              <w:t>2</w:t>
            </w:r>
            <w:r>
              <w:rPr>
                <w:rFonts w:hint="eastAsia" w:ascii="宋体" w:hAnsi="宋体" w:eastAsia="宋体" w:cs="宋体"/>
                <w:sz w:val="24"/>
                <w:szCs w:val="24"/>
                <w:u w:val="none"/>
                <w:shd w:val="clear" w:color="auto" w:fill="FFFFFF"/>
              </w:rPr>
              <w:t>O测量范围：≥0~60000 ppm；</w:t>
            </w:r>
          </w:p>
        </w:tc>
      </w:tr>
      <w:tr w14:paraId="3A216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9B1D60B">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19F79DDE">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566CE190">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14</w:t>
            </w:r>
          </w:p>
        </w:tc>
        <w:tc>
          <w:tcPr>
            <w:tcW w:w="7130" w:type="dxa"/>
            <w:vAlign w:val="center"/>
          </w:tcPr>
          <w:p w14:paraId="5DC47E61">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H</w:t>
            </w:r>
            <w:r>
              <w:rPr>
                <w:rFonts w:hint="eastAsia" w:ascii="宋体" w:hAnsi="宋体" w:eastAsia="宋体" w:cs="宋体"/>
                <w:sz w:val="24"/>
                <w:szCs w:val="24"/>
                <w:u w:val="none"/>
                <w:shd w:val="clear" w:color="auto" w:fill="FFFFFF"/>
                <w:vertAlign w:val="subscript"/>
              </w:rPr>
              <w:t>2</w:t>
            </w:r>
            <w:r>
              <w:rPr>
                <w:rFonts w:hint="eastAsia" w:ascii="宋体" w:hAnsi="宋体" w:eastAsia="宋体" w:cs="宋体"/>
                <w:sz w:val="24"/>
                <w:szCs w:val="24"/>
                <w:u w:val="none"/>
                <w:shd w:val="clear" w:color="auto" w:fill="FFFFFF"/>
              </w:rPr>
              <w:t>O精确度：</w:t>
            </w:r>
          </w:p>
          <w:p w14:paraId="22121B19">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≤20 ppm @10000 ppm，5秒信号平均；</w:t>
            </w:r>
          </w:p>
          <w:p w14:paraId="03A26898">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≤45 ppm @10000 ppm，1秒信号平均；</w:t>
            </w:r>
          </w:p>
        </w:tc>
      </w:tr>
      <w:tr w14:paraId="6BF7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945F116">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29F12E1F">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08EF1302">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15</w:t>
            </w:r>
          </w:p>
        </w:tc>
        <w:tc>
          <w:tcPr>
            <w:tcW w:w="7130" w:type="dxa"/>
            <w:vAlign w:val="center"/>
          </w:tcPr>
          <w:p w14:paraId="7204A7D1">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功耗（稳定状态）：≤22W；</w:t>
            </w:r>
          </w:p>
        </w:tc>
      </w:tr>
      <w:tr w14:paraId="6AD66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B77224B">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449E7940">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5FBC714F">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16</w:t>
            </w:r>
          </w:p>
        </w:tc>
        <w:tc>
          <w:tcPr>
            <w:tcW w:w="7130" w:type="dxa"/>
            <w:vAlign w:val="center"/>
          </w:tcPr>
          <w:p w14:paraId="646C6038">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工作温度：≥-25~45℃；</w:t>
            </w:r>
          </w:p>
        </w:tc>
      </w:tr>
      <w:tr w14:paraId="158F5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224F5B9">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0666E995">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5D6EDD01">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17</w:t>
            </w:r>
          </w:p>
        </w:tc>
        <w:tc>
          <w:tcPr>
            <w:tcW w:w="7130" w:type="dxa"/>
            <w:vAlign w:val="center"/>
          </w:tcPr>
          <w:p w14:paraId="43A2417B">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工作压力：≥70~110kPa；</w:t>
            </w:r>
          </w:p>
        </w:tc>
      </w:tr>
      <w:tr w14:paraId="1DDA7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1372516">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21A5EA9B">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53C5EBA9">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18</w:t>
            </w:r>
          </w:p>
        </w:tc>
        <w:tc>
          <w:tcPr>
            <w:tcW w:w="7130" w:type="dxa"/>
            <w:vAlign w:val="center"/>
          </w:tcPr>
          <w:p w14:paraId="2258D2E9">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显示屏：机身自带显示器，实时显示浓度测量结果及状态更新信息；</w:t>
            </w:r>
          </w:p>
        </w:tc>
      </w:tr>
      <w:tr w14:paraId="1659E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6496780">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6EBED316">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0B468AB6">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19</w:t>
            </w:r>
          </w:p>
        </w:tc>
        <w:tc>
          <w:tcPr>
            <w:tcW w:w="7130" w:type="dxa"/>
            <w:vAlign w:val="center"/>
          </w:tcPr>
          <w:p w14:paraId="099AF7D2">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GPS：准确度≤2.5 m CEP；</w:t>
            </w:r>
          </w:p>
        </w:tc>
      </w:tr>
      <w:tr w14:paraId="101D1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D129241">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22EBF085">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100EDB0">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20</w:t>
            </w:r>
          </w:p>
        </w:tc>
        <w:tc>
          <w:tcPr>
            <w:tcW w:w="7130" w:type="dxa"/>
            <w:vAlign w:val="center"/>
          </w:tcPr>
          <w:p w14:paraId="20E4BC5D">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内置土壤温室气体通量计算模块，可直接输出温室气体通量结果。</w:t>
            </w:r>
          </w:p>
        </w:tc>
      </w:tr>
      <w:tr w14:paraId="67952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7CF41FF">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5A469EE0">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6B700502">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21</w:t>
            </w:r>
          </w:p>
        </w:tc>
        <w:tc>
          <w:tcPr>
            <w:tcW w:w="7130" w:type="dxa"/>
            <w:vAlign w:val="center"/>
          </w:tcPr>
          <w:p w14:paraId="0AA20F27">
            <w:pPr>
              <w:numPr>
                <w:ilvl w:val="0"/>
                <w:numId w:val="0"/>
              </w:num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CH</w:t>
            </w:r>
            <w:r>
              <w:rPr>
                <w:rFonts w:hint="eastAsia" w:ascii="宋体" w:hAnsi="宋体" w:eastAsia="宋体" w:cs="宋体"/>
                <w:sz w:val="24"/>
                <w:szCs w:val="24"/>
                <w:u w:val="none"/>
                <w:shd w:val="clear" w:color="auto" w:fill="FFFFFF"/>
                <w:vertAlign w:val="subscript"/>
              </w:rPr>
              <w:t>4</w:t>
            </w:r>
            <w:r>
              <w:rPr>
                <w:rFonts w:hint="eastAsia" w:ascii="宋体" w:hAnsi="宋体" w:eastAsia="宋体" w:cs="宋体"/>
                <w:sz w:val="24"/>
                <w:szCs w:val="24"/>
                <w:u w:val="none"/>
                <w:shd w:val="clear" w:color="auto" w:fill="FFFFFF"/>
              </w:rPr>
              <w:t>测量范围：≥0~100ppm；</w:t>
            </w:r>
          </w:p>
        </w:tc>
      </w:tr>
      <w:tr w14:paraId="34472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07E3275">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0DF52263">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4240F102">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22</w:t>
            </w:r>
          </w:p>
        </w:tc>
        <w:tc>
          <w:tcPr>
            <w:tcW w:w="7130" w:type="dxa"/>
            <w:vAlign w:val="center"/>
          </w:tcPr>
          <w:p w14:paraId="7A1966CE">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采样频率：≥1次/秒；</w:t>
            </w:r>
          </w:p>
        </w:tc>
      </w:tr>
    </w:tbl>
    <w:p w14:paraId="60443FDA">
      <w:pPr>
        <w:pStyle w:val="36"/>
        <w:ind w:firstLine="0" w:firstLineChars="0"/>
        <w:rPr>
          <w:rFonts w:hint="default" w:eastAsia="宋体"/>
          <w:sz w:val="24"/>
          <w:szCs w:val="24"/>
          <w:lang w:val="en-US" w:eastAsia="zh-CN"/>
        </w:rPr>
      </w:pPr>
      <w:r>
        <w:rPr>
          <w:rFonts w:hint="eastAsia"/>
          <w:sz w:val="24"/>
          <w:szCs w:val="24"/>
          <w:lang w:val="en-US" w:eastAsia="zh-CN"/>
        </w:rPr>
        <w:t>三、商务部分</w:t>
      </w:r>
    </w:p>
    <w:p w14:paraId="136BC46D">
      <w:pPr>
        <w:numPr>
          <w:ilvl w:val="0"/>
          <w:numId w:val="18"/>
        </w:numPr>
        <w:autoSpaceDE w:val="0"/>
        <w:autoSpaceDN w:val="0"/>
        <w:adjustRightInd w:val="0"/>
        <w:spacing w:line="360" w:lineRule="auto"/>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★交货地点：</w:t>
      </w:r>
      <w:r>
        <w:rPr>
          <w:rFonts w:ascii="宋体" w:hAnsi="宋体" w:eastAsia="宋体" w:cs="仿宋"/>
          <w:sz w:val="24"/>
          <w:szCs w:val="24"/>
          <w:lang w:val="en"/>
        </w:rPr>
        <w:t>广州市天河区兴科路723号中国科学院华南植物园</w:t>
      </w:r>
      <w:r>
        <w:rPr>
          <w:rFonts w:hint="eastAsia" w:ascii="宋体" w:hAnsi="宋体" w:eastAsia="宋体" w:cs="宋体"/>
          <w:color w:val="000000" w:themeColor="text1"/>
          <w:kern w:val="0"/>
          <w:sz w:val="24"/>
          <w:szCs w:val="24"/>
          <w:lang w:val="zh-CN"/>
          <w14:textFill>
            <w14:solidFill>
              <w14:schemeClr w14:val="tx1"/>
            </w14:solidFill>
          </w14:textFill>
        </w:rPr>
        <w:t>指定地点</w:t>
      </w:r>
    </w:p>
    <w:p w14:paraId="44F54800">
      <w:pPr>
        <w:numPr>
          <w:ilvl w:val="0"/>
          <w:numId w:val="18"/>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★交货期：</w:t>
      </w:r>
      <w:r>
        <w:rPr>
          <w:rFonts w:hint="eastAsia" w:ascii="宋体" w:hAnsi="宋体" w:eastAsia="宋体" w:cs="宋体"/>
          <w:color w:val="000000" w:themeColor="text1"/>
          <w:kern w:val="0"/>
          <w:sz w:val="24"/>
          <w:szCs w:val="24"/>
          <w:lang w:val="de-DE"/>
          <w14:textFill>
            <w14:solidFill>
              <w14:schemeClr w14:val="tx1"/>
            </w14:solidFill>
          </w14:textFill>
        </w:rPr>
        <w:t>合同签订后的</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eastAsia="宋体" w:cs="宋体"/>
          <w:color w:val="000000" w:themeColor="text1"/>
          <w:kern w:val="0"/>
          <w:sz w:val="24"/>
          <w:szCs w:val="24"/>
          <w14:textFill>
            <w14:solidFill>
              <w14:schemeClr w14:val="tx1"/>
            </w14:solidFill>
          </w14:textFill>
        </w:rPr>
        <w:t>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p w14:paraId="592C3428">
      <w:pPr>
        <w:numPr>
          <w:ilvl w:val="0"/>
          <w:numId w:val="18"/>
        </w:numPr>
        <w:tabs>
          <w:tab w:val="left" w:pos="420"/>
        </w:tabs>
        <w:autoSpaceDE w:val="0"/>
        <w:autoSpaceDN w:val="0"/>
        <w:adjustRightInd w:val="0"/>
        <w:spacing w:line="360" w:lineRule="auto"/>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★报价方式及要求：</w:t>
      </w:r>
    </w:p>
    <w:p w14:paraId="64F07AC7">
      <w:pPr>
        <w:tabs>
          <w:tab w:val="left" w:pos="900"/>
        </w:tabs>
        <w:spacing w:line="360" w:lineRule="auto"/>
        <w:rPr>
          <w:rFonts w:hint="eastAsia" w:ascii="宋体" w:hAnsi="宋体" w:cs="仿宋_GB2312"/>
          <w:sz w:val="24"/>
          <w:highlight w:val="none"/>
        </w:rPr>
      </w:pPr>
      <w:r>
        <w:rPr>
          <w:rFonts w:hint="eastAsia" w:ascii="宋体" w:hAnsi="宋体" w:cs="仿宋_GB2312"/>
          <w:bCs/>
          <w:sz w:val="24"/>
          <w:highlight w:val="none"/>
        </w:rPr>
        <w:t>3.1</w:t>
      </w:r>
      <w:r>
        <w:rPr>
          <w:rFonts w:hint="eastAsia" w:ascii="宋体" w:hAnsi="宋体" w:cs="仿宋_GB2312"/>
          <w:sz w:val="24"/>
          <w:highlight w:val="none"/>
        </w:rPr>
        <w:t>本项目</w:t>
      </w:r>
      <w:r>
        <w:rPr>
          <w:rFonts w:hint="eastAsia" w:ascii="宋体" w:hAnsi="宋体" w:cs="仿宋_GB2312"/>
          <w:sz w:val="24"/>
          <w:highlight w:val="none"/>
          <w:lang w:val="en-US" w:eastAsia="zh-CN"/>
        </w:rPr>
        <w:t>第三包</w:t>
      </w:r>
      <w:r>
        <w:rPr>
          <w:rFonts w:hint="eastAsia" w:ascii="宋体" w:hAnsi="宋体" w:cs="仿宋_GB2312"/>
          <w:sz w:val="24"/>
          <w:highlight w:val="none"/>
        </w:rPr>
        <w:t>允许采购进口产品</w:t>
      </w:r>
      <w:r>
        <w:rPr>
          <w:rFonts w:hint="eastAsia" w:ascii="宋体" w:hAnsi="宋体" w:eastAsia="宋体" w:cs="仿宋_GB2312"/>
          <w:sz w:val="24"/>
          <w:highlight w:val="none"/>
        </w:rPr>
        <w:t>（进口产品是指</w:t>
      </w:r>
      <w:r>
        <w:rPr>
          <w:rFonts w:hint="eastAsia" w:ascii="宋体" w:hAnsi="宋体" w:eastAsia="宋体" w:cs="仿宋_GB2312"/>
          <w:sz w:val="24"/>
          <w:szCs w:val="24"/>
          <w:highlight w:val="none"/>
        </w:rPr>
        <w:t>通过中国海关报关验放进入中国境内且产自关境外的产品）</w:t>
      </w:r>
      <w:r>
        <w:rPr>
          <w:rFonts w:hint="eastAsia" w:ascii="宋体" w:hAnsi="宋体" w:cs="仿宋_GB2312"/>
          <w:sz w:val="24"/>
          <w:highlight w:val="none"/>
        </w:rPr>
        <w:t>，在</w:t>
      </w:r>
      <w:r>
        <w:rPr>
          <w:rFonts w:hint="eastAsia" w:ascii="宋体" w:hAnsi="宋体" w:eastAsia="宋体" w:cs="仿宋_GB2312"/>
          <w:sz w:val="24"/>
          <w:szCs w:val="24"/>
          <w:highlight w:val="none"/>
        </w:rPr>
        <w:t>中国关境外提供的</w:t>
      </w:r>
      <w:r>
        <w:rPr>
          <w:rFonts w:hint="eastAsia" w:ascii="宋体" w:hAnsi="宋体" w:cs="仿宋_GB2312"/>
          <w:sz w:val="24"/>
          <w:highlight w:val="none"/>
        </w:rPr>
        <w:t>进口产品与服务报CI</w:t>
      </w:r>
      <w:r>
        <w:rPr>
          <w:rFonts w:hint="eastAsia" w:ascii="宋体" w:hAnsi="宋体" w:cs="仿宋_GB2312"/>
          <w:color w:val="auto"/>
          <w:sz w:val="24"/>
          <w:highlight w:val="none"/>
        </w:rPr>
        <w:t>P项目现场</w:t>
      </w:r>
      <w:r>
        <w:rPr>
          <w:rFonts w:hint="eastAsia" w:ascii="宋体" w:hAnsi="宋体" w:cs="仿宋_GB2312"/>
          <w:sz w:val="24"/>
          <w:highlight w:val="none"/>
        </w:rPr>
        <w:t>人民币价（</w:t>
      </w:r>
      <w:r>
        <w:rPr>
          <w:rFonts w:hint="eastAsia" w:ascii="宋体" w:hAnsi="宋体" w:eastAsia="宋体" w:cs="仿宋_GB2312"/>
          <w:sz w:val="24"/>
          <w:szCs w:val="24"/>
          <w:highlight w:val="none"/>
        </w:rPr>
        <w:t>不包括外贸代理费及应向中华人民共和国政府缴纳的进口环节税</w:t>
      </w:r>
      <w:r>
        <w:rPr>
          <w:rFonts w:hint="eastAsia" w:ascii="宋体" w:hAnsi="宋体" w:eastAsia="宋体" w:cs="仿宋_GB2312"/>
          <w:sz w:val="24"/>
          <w:szCs w:val="24"/>
          <w:highlight w:val="none"/>
          <w:lang w:eastAsia="zh-CN"/>
        </w:rPr>
        <w:t>，</w:t>
      </w:r>
      <w:r>
        <w:rPr>
          <w:rFonts w:hint="eastAsia" w:ascii="宋体" w:hAnsi="宋体" w:eastAsia="宋体" w:cs="仿宋_GB2312"/>
          <w:sz w:val="24"/>
          <w:szCs w:val="24"/>
          <w:highlight w:val="none"/>
          <w:lang w:val="en-US" w:eastAsia="zh-CN"/>
        </w:rPr>
        <w:t>外贸代理费以及清关杂费等由中标人承担</w:t>
      </w:r>
      <w:r>
        <w:rPr>
          <w:rFonts w:hint="eastAsia" w:ascii="宋体" w:hAnsi="宋体" w:eastAsia="宋体" w:cs="仿宋_GB2312"/>
          <w:sz w:val="24"/>
          <w:szCs w:val="24"/>
          <w:highlight w:val="none"/>
        </w:rPr>
        <w:t>）</w:t>
      </w:r>
    </w:p>
    <w:p w14:paraId="3E8B1F85">
      <w:pPr>
        <w:tabs>
          <w:tab w:val="left" w:pos="900"/>
        </w:tabs>
        <w:spacing w:line="360" w:lineRule="auto"/>
        <w:rPr>
          <w:rFonts w:hint="eastAsia" w:ascii="宋体" w:hAnsi="宋体" w:eastAsia="宋体" w:cs="仿宋_GB2312"/>
          <w:sz w:val="24"/>
          <w:highlight w:val="none"/>
        </w:rPr>
      </w:pPr>
      <w:r>
        <w:rPr>
          <w:rFonts w:hint="eastAsia" w:ascii="宋体" w:hAnsi="宋体" w:eastAsia="宋体" w:cs="仿宋_GB2312"/>
          <w:sz w:val="24"/>
          <w:szCs w:val="24"/>
          <w:highlight w:val="none"/>
        </w:rPr>
        <w:t>3.2在中国关境内提供的进口产品及其有关服务的报项目现场人民币价。</w:t>
      </w:r>
      <w:r>
        <w:rPr>
          <w:rFonts w:hint="eastAsia" w:ascii="宋体" w:hAnsi="宋体" w:eastAsia="宋体" w:cs="仿宋_GB2312"/>
          <w:sz w:val="24"/>
          <w:highlight w:val="none"/>
        </w:rPr>
        <w:t>报价中需包括</w:t>
      </w:r>
      <w:r>
        <w:rPr>
          <w:rFonts w:hint="eastAsia" w:ascii="宋体" w:hAnsi="宋体" w:eastAsia="宋体" w:cs="仿宋_GB2312"/>
          <w:sz w:val="24"/>
          <w:szCs w:val="24"/>
          <w:highlight w:val="none"/>
        </w:rPr>
        <w:t>向中华人民共和国政府缴纳的进口环节税、运输费、保险费以及所有至项目现场的其他相关费用。</w:t>
      </w:r>
    </w:p>
    <w:p w14:paraId="38124496">
      <w:pPr>
        <w:tabs>
          <w:tab w:val="left" w:pos="900"/>
        </w:tabs>
        <w:spacing w:line="360" w:lineRule="auto"/>
        <w:rPr>
          <w:rFonts w:hint="eastAsia" w:ascii="宋体" w:hAnsi="宋体" w:cs="仿宋_GB2312"/>
          <w:sz w:val="24"/>
          <w:highlight w:val="none"/>
        </w:rPr>
      </w:pPr>
      <w:r>
        <w:rPr>
          <w:rFonts w:hint="eastAsia" w:ascii="宋体" w:hAnsi="宋体" w:cs="仿宋_GB2312"/>
          <w:sz w:val="24"/>
          <w:highlight w:val="none"/>
        </w:rPr>
        <w:t>3.3 国产产品与服务报项目现场交货人民币价。报价中需包括制造、装配和发运货物所使用的材料、部件及货物本身已支付或将支付的产品税、销售税和其它税费。</w:t>
      </w:r>
    </w:p>
    <w:p w14:paraId="223233E9">
      <w:pPr>
        <w:tabs>
          <w:tab w:val="left" w:pos="900"/>
        </w:tabs>
        <w:spacing w:line="360" w:lineRule="auto"/>
        <w:rPr>
          <w:rFonts w:hint="eastAsia" w:ascii="宋体" w:hAnsi="宋体" w:eastAsia="宋体" w:cs="仿宋_GB2312"/>
          <w:sz w:val="24"/>
          <w:highlight w:val="none"/>
        </w:rPr>
      </w:pPr>
      <w:r>
        <w:rPr>
          <w:rFonts w:hint="eastAsia" w:ascii="宋体" w:hAnsi="宋体" w:eastAsia="宋体" w:cs="仿宋_GB2312"/>
          <w:sz w:val="24"/>
          <w:szCs w:val="24"/>
          <w:highlight w:val="none"/>
        </w:rPr>
        <w:t>3.4 在中国境内的海关特殊监管区域内生产或加工销往境内其他地区的产品，不视为政府采购项下的进口产品，但报价要求同</w:t>
      </w:r>
      <w:r>
        <w:rPr>
          <w:rFonts w:hint="eastAsia" w:ascii="宋体" w:hAnsi="宋体" w:eastAsia="宋体" w:cs="仿宋_GB2312"/>
          <w:sz w:val="24"/>
          <w:szCs w:val="24"/>
          <w:highlight w:val="none"/>
          <w:lang w:val="en-US" w:eastAsia="zh-CN"/>
        </w:rPr>
        <w:t>3.</w:t>
      </w:r>
      <w:r>
        <w:rPr>
          <w:rFonts w:hint="eastAsia" w:ascii="宋体" w:hAnsi="宋体" w:eastAsia="宋体" w:cs="仿宋_GB2312"/>
          <w:sz w:val="24"/>
          <w:szCs w:val="24"/>
          <w:highlight w:val="none"/>
        </w:rPr>
        <w:t>1。</w:t>
      </w:r>
    </w:p>
    <w:p w14:paraId="37453051">
      <w:pPr>
        <w:adjustRightInd w:val="0"/>
        <w:snapToGrid w:val="0"/>
        <w:spacing w:line="360" w:lineRule="auto"/>
        <w:rPr>
          <w:rFonts w:hint="eastAsia" w:ascii="宋体" w:hAnsi="宋体" w:cs="仿宋_GB2312"/>
          <w:bCs/>
          <w:sz w:val="24"/>
          <w:highlight w:val="none"/>
        </w:rPr>
      </w:pPr>
      <w:r>
        <w:rPr>
          <w:rFonts w:hint="eastAsia" w:ascii="宋体" w:hAnsi="宋体" w:cs="仿宋_GB2312"/>
          <w:bCs/>
          <w:sz w:val="24"/>
          <w:highlight w:val="none"/>
        </w:rPr>
        <w:t>3.5上述价格的构成须按在分项报价表中格式要求详细列出。</w:t>
      </w:r>
    </w:p>
    <w:p w14:paraId="2E79CC12">
      <w:pPr>
        <w:tabs>
          <w:tab w:val="left" w:pos="0"/>
        </w:tabs>
        <w:autoSpaceDE w:val="0"/>
        <w:autoSpaceDN w:val="0"/>
        <w:adjustRightInd w:val="0"/>
        <w:spacing w:line="360" w:lineRule="auto"/>
        <w:rPr>
          <w:rFonts w:hint="eastAsia"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cs="仿宋_GB2312"/>
          <w:bCs/>
          <w:sz w:val="24"/>
          <w:highlight w:val="none"/>
        </w:rPr>
        <w:t>3.6 对原产于美国的产品，进口时在正常科创免税之外，中国政府加征的特殊关税由中标人承担。</w:t>
      </w:r>
    </w:p>
    <w:p w14:paraId="35546F79">
      <w:pPr>
        <w:numPr>
          <w:ilvl w:val="0"/>
          <w:numId w:val="18"/>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b/>
          <w:bCs/>
          <w:color w:val="000000" w:themeColor="text1"/>
          <w:kern w:val="0"/>
          <w:sz w:val="24"/>
          <w:szCs w:val="24"/>
          <w:lang w:val="en-US" w:eastAsia="zh-CN"/>
          <w14:textFill>
            <w14:solidFill>
              <w14:schemeClr w14:val="tx1"/>
            </w14:solidFill>
          </w14:textFill>
        </w:rPr>
        <w:t>关于厂家授权：</w:t>
      </w:r>
    </w:p>
    <w:p w14:paraId="33052880">
      <w:pPr>
        <w:numPr>
          <w:ilvl w:val="0"/>
          <w:numId w:val="0"/>
        </w:numPr>
        <w:tabs>
          <w:tab w:val="left" w:pos="0"/>
        </w:tabs>
        <w:autoSpaceDE w:val="0"/>
        <w:autoSpaceDN w:val="0"/>
        <w:adjustRightInd w:val="0"/>
        <w:spacing w:line="360" w:lineRule="auto"/>
        <w:ind w:leftChars="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若所投产品为进口，则投标人需提供由设备制造商或其授权的合法代理商（包括但不限于中国总代理、区域代理等）签署的合法有效的授权文件扫描件。</w:t>
      </w:r>
    </w:p>
    <w:p w14:paraId="7864CCA6">
      <w:pPr>
        <w:numPr>
          <w:ilvl w:val="0"/>
          <w:numId w:val="0"/>
        </w:numPr>
        <w:tabs>
          <w:tab w:val="left" w:pos="0"/>
        </w:tabs>
        <w:autoSpaceDE w:val="0"/>
        <w:autoSpaceDN w:val="0"/>
        <w:adjustRightInd w:val="0"/>
        <w:spacing w:line="360" w:lineRule="auto"/>
        <w:ind w:leftChars="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（1）若是设备制造商直接授权给投标人的，投标人需提供由设备制造商直接授权的授权证明扫描件；若投标人提供的证明材料无法体现授权书是制造商出具的，将作投标无效处理。</w:t>
      </w:r>
    </w:p>
    <w:p w14:paraId="65713C7D">
      <w:pPr>
        <w:numPr>
          <w:ilvl w:val="0"/>
          <w:numId w:val="0"/>
        </w:numPr>
        <w:tabs>
          <w:tab w:val="left" w:pos="0"/>
        </w:tabs>
        <w:autoSpaceDE w:val="0"/>
        <w:autoSpaceDN w:val="0"/>
        <w:adjustRightInd w:val="0"/>
        <w:spacing w:line="360" w:lineRule="auto"/>
        <w:ind w:leftChars="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2）若是设备制造商的合法代理商（如中国总代理、区域代理等）授权给投标人的，投标人需提供设备制造商直接授权给该代理商的授权证明，以及该代理商授权给投标人的授权证明扫描件。若投标人提供的证明材料无法体现完整的授权链条或无法确认该代理商具备合法授权资格，将作投标无效处理。</w:t>
      </w:r>
    </w:p>
    <w:p w14:paraId="17A73899">
      <w:pPr>
        <w:numPr>
          <w:ilvl w:val="0"/>
          <w:numId w:val="0"/>
        </w:numPr>
        <w:tabs>
          <w:tab w:val="left" w:pos="0"/>
        </w:tabs>
        <w:autoSpaceDE w:val="0"/>
        <w:autoSpaceDN w:val="0"/>
        <w:adjustRightInd w:val="0"/>
        <w:spacing w:line="360" w:lineRule="auto"/>
        <w:ind w:leftChars="0"/>
        <w:rPr>
          <w:rFonts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若所投产品为国产产品，则无需提供上述证明文件。</w:t>
      </w:r>
    </w:p>
    <w:p w14:paraId="6810B00E">
      <w:pPr>
        <w:numPr>
          <w:ilvl w:val="0"/>
          <w:numId w:val="18"/>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★付款方式：</w:t>
      </w:r>
    </w:p>
    <w:p w14:paraId="25B503B1">
      <w:pPr>
        <w:pStyle w:val="8"/>
        <w:spacing w:line="360" w:lineRule="auto"/>
        <w:rPr>
          <w:rFonts w:cs="宋体"/>
          <w:b/>
          <w:bCs/>
          <w:color w:val="FF0000"/>
        </w:rPr>
      </w:pPr>
      <w:r>
        <w:rPr>
          <w:rFonts w:hint="eastAsia" w:cs="宋体"/>
          <w:b/>
          <w:bCs/>
          <w:color w:val="FF0000"/>
        </w:rPr>
        <w:t>国产产品：</w:t>
      </w:r>
    </w:p>
    <w:p w14:paraId="2C5B5E44">
      <w:pPr>
        <w:pStyle w:val="8"/>
        <w:spacing w:line="360" w:lineRule="auto"/>
        <w:ind w:firstLine="480" w:firstLineChars="200"/>
        <w:rPr>
          <w:rFonts w:cs="宋体"/>
        </w:rPr>
      </w:pPr>
      <w:r>
        <w:rPr>
          <w:rFonts w:cs="宋体"/>
        </w:rPr>
        <w:t>本合同签订之日起 30 个工作日内，卖方应向买方提交金额为合同总价 100% 的预付款保函。该保函应由在中国境内依法设立的商业银行、政策性银行或经国家金融监管部门批准的保险机构出具，性质为不可撤销、不可转让、见索即付的独立保函。买方收到符合前款要求的保函原件（或经核验的电子保函）并确认无误后 10 个工作日内，向卖方支付合同总价 100% 的合同款。保函有效期自保函出具之日起，至以下两个日期中较晚者之日第30日止：1）设备到货、安装调试完成，且上级主管部门组织的正式技术验收合格之日；2）本合同约定的履约保证金生效之日</w:t>
      </w:r>
      <w:r>
        <w:rPr>
          <w:rFonts w:hint="eastAsia" w:cs="宋体"/>
        </w:rPr>
        <w:t>。</w:t>
      </w:r>
    </w:p>
    <w:p w14:paraId="483C1CB0">
      <w:pPr>
        <w:pStyle w:val="8"/>
        <w:spacing w:line="360" w:lineRule="auto"/>
        <w:ind w:firstLine="480" w:firstLineChars="200"/>
        <w:rPr>
          <w:rFonts w:cs="宋体"/>
        </w:rPr>
      </w:pPr>
      <w:r>
        <w:rPr>
          <w:rFonts w:hint="eastAsia" w:cs="宋体"/>
        </w:rPr>
        <w:t>履约保证金：</w:t>
      </w:r>
      <w:r>
        <w:rPr>
          <w:rFonts w:cs="宋体"/>
        </w:rPr>
        <w:t>卖方需在完成技术验收后30</w:t>
      </w:r>
      <w:r>
        <w:rPr>
          <w:rFonts w:hint="eastAsia" w:cs="宋体"/>
        </w:rPr>
        <w:t>日</w:t>
      </w:r>
      <w:r>
        <w:rPr>
          <w:rFonts w:cs="宋体"/>
        </w:rPr>
        <w:t>内按照合同总价的</w:t>
      </w:r>
      <w:r>
        <w:rPr>
          <w:rFonts w:hint="eastAsia" w:cs="宋体"/>
        </w:rPr>
        <w:t>3</w:t>
      </w:r>
      <w:r>
        <w:rPr>
          <w:rFonts w:cs="宋体"/>
        </w:rPr>
        <w:t>%向买方缴纳履约保证金，履约保证金在本合同质保期届满之日起三十日内且不存在质量问题和</w:t>
      </w:r>
      <w:r>
        <w:rPr>
          <w:rFonts w:hint="eastAsia" w:cs="宋体"/>
        </w:rPr>
        <w:t>卖方</w:t>
      </w:r>
      <w:r>
        <w:rPr>
          <w:rFonts w:cs="宋体"/>
        </w:rPr>
        <w:t>无违约的情况下，无息退还给卖方；卖方提交的设备若出现质量问题或存在违约行为的情况下，买方有权没收卖方的上述履约保证金，卖方不得有任何异议。</w:t>
      </w:r>
    </w:p>
    <w:p w14:paraId="45255870">
      <w:pPr>
        <w:pStyle w:val="8"/>
        <w:spacing w:line="360" w:lineRule="auto"/>
        <w:rPr>
          <w:rFonts w:cs="宋体"/>
          <w:b/>
          <w:bCs/>
          <w:color w:val="FF0000"/>
        </w:rPr>
      </w:pPr>
      <w:r>
        <w:rPr>
          <w:rFonts w:hint="eastAsia" w:cs="宋体"/>
          <w:b/>
          <w:bCs/>
          <w:color w:val="FF0000"/>
        </w:rPr>
        <w:t>进口产品：</w:t>
      </w:r>
    </w:p>
    <w:p w14:paraId="44BEABFC">
      <w:pPr>
        <w:pStyle w:val="8"/>
        <w:spacing w:line="360" w:lineRule="auto"/>
        <w:rPr>
          <w:rFonts w:cs="宋体"/>
        </w:rPr>
      </w:pPr>
      <w:r>
        <w:rPr>
          <w:rFonts w:hint="eastAsia" w:cs="宋体"/>
        </w:rPr>
        <w:t>对于进口产品，采用即期不可撤销信用证等国际贸易支付条件支付：</w:t>
      </w:r>
    </w:p>
    <w:p w14:paraId="61D8C095">
      <w:pPr>
        <w:pStyle w:val="8"/>
        <w:spacing w:line="360" w:lineRule="auto"/>
        <w:rPr>
          <w:rFonts w:cs="宋体"/>
        </w:rPr>
      </w:pPr>
      <w:r>
        <w:rPr>
          <w:rFonts w:hint="eastAsia" w:cs="宋体"/>
        </w:rPr>
        <w:t xml:space="preserve">      90%凭合同要求（完成出广州海关手续）单据支付；</w:t>
      </w:r>
    </w:p>
    <w:p w14:paraId="5360EC65">
      <w:pPr>
        <w:pStyle w:val="8"/>
        <w:spacing w:line="360" w:lineRule="auto"/>
        <w:rPr>
          <w:rFonts w:cs="宋体"/>
        </w:rPr>
      </w:pPr>
      <w:r>
        <w:rPr>
          <w:rFonts w:hint="eastAsia" w:cs="宋体"/>
        </w:rPr>
        <w:t xml:space="preserve">      10%凭采购人签字的验收报告支付。</w:t>
      </w:r>
    </w:p>
    <w:p w14:paraId="4859B77B">
      <w:pPr>
        <w:pStyle w:val="8"/>
        <w:spacing w:line="360" w:lineRule="auto"/>
        <w:rPr>
          <w:rFonts w:cs="宋体"/>
        </w:rPr>
      </w:pPr>
      <w:r>
        <w:rPr>
          <w:rFonts w:hint="eastAsia" w:cs="宋体"/>
        </w:rPr>
        <w:t>履约保证金：卖方需自合同签订之日起30日内按照合同总价的5%向买方缴纳履约保证金，履约保证金在本合同质保期届满之日起三十日内且不存在质量问题和卖方无违约的情况下，无息退还给卖方；卖方提交的设备若出现质量问题或存在违约行为的情况下，买方有权没收卖方的上述履约保证金，卖方不得有任何异议。</w:t>
      </w:r>
    </w:p>
    <w:p w14:paraId="2CAEF653">
      <w:pPr>
        <w:pStyle w:val="8"/>
        <w:spacing w:line="360" w:lineRule="auto"/>
        <w:rPr>
          <w:rFonts w:hint="eastAsia" w:cs="宋体"/>
        </w:rPr>
      </w:pPr>
    </w:p>
    <w:p w14:paraId="4CF3399B">
      <w:pPr>
        <w:numPr>
          <w:ilvl w:val="0"/>
          <w:numId w:val="18"/>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售后服务要求：</w:t>
      </w:r>
    </w:p>
    <w:p w14:paraId="046F47DC">
      <w:pPr>
        <w:numPr>
          <w:ilvl w:val="0"/>
          <w:numId w:val="0"/>
        </w:num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投标人需为本项目配备足够的售后服务力量，具有国内本地化的服务团队。</w:t>
      </w:r>
    </w:p>
    <w:p w14:paraId="395F6579">
      <w:pPr>
        <w:numPr>
          <w:ilvl w:val="0"/>
          <w:numId w:val="0"/>
        </w:num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投标人售后服务响应时间：电话响应时间要求8小时内，到场响应时间要求2个工作日内（指从接到报障至到达故障现场的时间）。</w:t>
      </w:r>
    </w:p>
    <w:p w14:paraId="0CE17EAD">
      <w:pPr>
        <w:numPr>
          <w:ilvl w:val="0"/>
          <w:numId w:val="0"/>
        </w:num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投标人免费提供技术支持热线电话，满足工作时间热线服务。</w:t>
      </w:r>
    </w:p>
    <w:p w14:paraId="210A6C0C">
      <w:pPr>
        <w:numPr>
          <w:ilvl w:val="0"/>
          <w:numId w:val="0"/>
        </w:num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投标人免费提供email技术支持，并且在24小时内回复。</w:t>
      </w:r>
    </w:p>
    <w:p w14:paraId="5352B420">
      <w:pPr>
        <w:numPr>
          <w:ilvl w:val="0"/>
          <w:numId w:val="0"/>
        </w:num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w:t>
      </w:r>
      <w:r>
        <w:rPr>
          <w:rFonts w:hint="eastAsia" w:ascii="宋体" w:hAnsi="宋体" w:eastAsia="宋体" w:cs="宋体"/>
          <w:kern w:val="2"/>
          <w:sz w:val="24"/>
          <w:szCs w:val="24"/>
          <w:lang w:val="en-US" w:eastAsia="zh-CN" w:bidi="ar-SA"/>
        </w:rPr>
        <w:tab/>
      </w: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kern w:val="2"/>
          <w:sz w:val="24"/>
          <w:szCs w:val="24"/>
          <w:lang w:val="en-US" w:eastAsia="zh-CN" w:bidi="ar-SA"/>
        </w:rPr>
        <w:t>投标人提供仪器设备的免费保修期一年（保修期内免费维修并更换除消耗品以外的零部件，维修人员的路费、食宿等自理）。</w:t>
      </w:r>
    </w:p>
    <w:p w14:paraId="7E32B808">
      <w:pPr>
        <w:numPr>
          <w:ilvl w:val="0"/>
          <w:numId w:val="0"/>
        </w:num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投标人提供该设备的技术使用说明书及外购配件仪器说明书，并指导在使用该设备时的操作注意事项等。</w:t>
      </w:r>
    </w:p>
    <w:p w14:paraId="3678D6FA">
      <w:pPr>
        <w:numPr>
          <w:ilvl w:val="0"/>
          <w:numId w:val="0"/>
        </w:numPr>
        <w:adjustRightInd w:val="0"/>
        <w:snapToGrid w:val="0"/>
        <w:spacing w:line="360" w:lineRule="auto"/>
        <w:rPr>
          <w:rFonts w:hint="default"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7)</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投标人提供配套软件三年内免费升级服务。</w:t>
      </w:r>
    </w:p>
    <w:p w14:paraId="19FFA3A3">
      <w:pPr>
        <w:numPr>
          <w:ilvl w:val="0"/>
          <w:numId w:val="18"/>
        </w:numPr>
        <w:tabs>
          <w:tab w:val="left" w:pos="420"/>
        </w:tabs>
        <w:autoSpaceDE w:val="0"/>
        <w:autoSpaceDN w:val="0"/>
        <w:adjustRightInd w:val="0"/>
        <w:spacing w:line="360" w:lineRule="auto"/>
        <w:rPr>
          <w:rFonts w:hint="eastAsia"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保险：</w:t>
      </w:r>
    </w:p>
    <w:p w14:paraId="2046B8B2">
      <w:pPr>
        <w:numPr>
          <w:ilvl w:val="0"/>
          <w:numId w:val="0"/>
        </w:numPr>
        <w:tabs>
          <w:tab w:val="left" w:pos="420"/>
        </w:tabs>
        <w:autoSpaceDE w:val="0"/>
        <w:autoSpaceDN w:val="0"/>
        <w:adjustRightInd w:val="0"/>
        <w:spacing w:line="360" w:lineRule="auto"/>
        <w:ind w:leftChars="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1）人员保险：无</w:t>
      </w:r>
    </w:p>
    <w:p w14:paraId="0DFB4E93">
      <w:pPr>
        <w:numPr>
          <w:ilvl w:val="0"/>
          <w:numId w:val="0"/>
        </w:numPr>
        <w:tabs>
          <w:tab w:val="left" w:pos="420"/>
        </w:tabs>
        <w:autoSpaceDE w:val="0"/>
        <w:autoSpaceDN w:val="0"/>
        <w:adjustRightInd w:val="0"/>
        <w:spacing w:line="360" w:lineRule="auto"/>
        <w:ind w:leftChars="0"/>
        <w:rPr>
          <w:rFonts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kern w:val="0"/>
          <w:sz w:val="24"/>
          <w:szCs w:val="24"/>
          <w:lang w:val="zh-CN"/>
          <w14:textFill>
            <w14:solidFill>
              <w14:schemeClr w14:val="tx1"/>
            </w14:solidFill>
          </w14:textFill>
        </w:rPr>
        <w:t>运输保险：投标人需提供运输保险服务相关费用。</w:t>
      </w:r>
    </w:p>
    <w:p w14:paraId="6DFA2ECE">
      <w:pPr>
        <w:numPr>
          <w:ilvl w:val="0"/>
          <w:numId w:val="18"/>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包装和运输</w:t>
      </w:r>
    </w:p>
    <w:p w14:paraId="04F3A7B2">
      <w:pPr>
        <w:numPr>
          <w:ilvl w:val="0"/>
          <w:numId w:val="0"/>
        </w:numPr>
        <w:tabs>
          <w:tab w:val="left" w:pos="420"/>
        </w:tabs>
        <w:autoSpaceDE w:val="0"/>
        <w:autoSpaceDN w:val="0"/>
        <w:adjustRightInd w:val="0"/>
        <w:spacing w:line="360" w:lineRule="auto"/>
        <w:ind w:leftChars="0" w:firstLine="480" w:firstLineChars="200"/>
        <w:rPr>
          <w:rFonts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1784C618">
      <w:pPr>
        <w:numPr>
          <w:ilvl w:val="0"/>
          <w:numId w:val="18"/>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交付标准和方法</w:t>
      </w:r>
    </w:p>
    <w:p w14:paraId="5621943C">
      <w:pPr>
        <w:numPr>
          <w:ilvl w:val="0"/>
          <w:numId w:val="19"/>
        </w:numPr>
        <w:autoSpaceDE w:val="0"/>
        <w:autoSpaceDN w:val="0"/>
        <w:adjustRightInd w:val="0"/>
        <w:spacing w:line="360" w:lineRule="auto"/>
        <w:ind w:firstLine="480" w:firstLineChars="200"/>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交付标准：交付货物配置与合同清单一致；</w:t>
      </w:r>
    </w:p>
    <w:p w14:paraId="3D6664FB">
      <w:pPr>
        <w:numPr>
          <w:ilvl w:val="0"/>
          <w:numId w:val="19"/>
        </w:numPr>
        <w:autoSpaceDE w:val="0"/>
        <w:autoSpaceDN w:val="0"/>
        <w:adjustRightInd w:val="0"/>
        <w:spacing w:line="360" w:lineRule="auto"/>
        <w:ind w:firstLine="480" w:firstLineChars="200"/>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交付方式（方法）：采用送货上门、现场落地交付方式，供方负责设备专业包装、防震防护、全程运输、在采购人指定地点完成交付。</w:t>
      </w:r>
    </w:p>
    <w:p w14:paraId="78E62EF1">
      <w:pPr>
        <w:numPr>
          <w:ilvl w:val="0"/>
          <w:numId w:val="18"/>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安装调试要求</w:t>
      </w:r>
    </w:p>
    <w:p w14:paraId="0894E8E8">
      <w:pPr>
        <w:numPr>
          <w:ilvl w:val="0"/>
          <w:numId w:val="0"/>
        </w:numPr>
        <w:tabs>
          <w:tab w:val="left" w:pos="420"/>
        </w:tabs>
        <w:autoSpaceDE w:val="0"/>
        <w:autoSpaceDN w:val="0"/>
        <w:adjustRightInd w:val="0"/>
        <w:spacing w:line="360" w:lineRule="auto"/>
        <w:ind w:leftChars="0" w:firstLine="480" w:firstLineChars="20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1)</w:t>
      </w:r>
      <w:r>
        <w:rPr>
          <w:rFonts w:hint="eastAsia" w:ascii="宋体" w:hAnsi="宋体" w:eastAsia="宋体" w:cs="宋体"/>
          <w:b w:val="0"/>
          <w:bCs w:val="0"/>
          <w:color w:val="000000" w:themeColor="text1"/>
          <w:kern w:val="0"/>
          <w:sz w:val="24"/>
          <w:szCs w:val="24"/>
          <w:lang w:val="zh-CN"/>
          <w14:textFill>
            <w14:solidFill>
              <w14:schemeClr w14:val="tx1"/>
            </w14:solidFill>
          </w14:textFill>
        </w:rPr>
        <w:tab/>
      </w:r>
      <w:r>
        <w:rPr>
          <w:rFonts w:hint="eastAsia" w:ascii="宋体" w:hAnsi="宋体" w:eastAsia="宋体" w:cs="宋体"/>
          <w:b w:val="0"/>
          <w:bCs w:val="0"/>
          <w:color w:val="000000" w:themeColor="text1"/>
          <w:kern w:val="0"/>
          <w:sz w:val="24"/>
          <w:szCs w:val="24"/>
          <w:lang w:val="zh-CN"/>
          <w14:textFill>
            <w14:solidFill>
              <w14:schemeClr w14:val="tx1"/>
            </w14:solidFill>
          </w14:textFill>
        </w:rPr>
        <w:t>合同签订后15天内，中标人应提供仪器安装前对实验室的具体安装条件要求，除了在技术规格中提出的要求外，在合同生效后60天之内，为使用户作好准备工作，卖方应给最终用户发送一套所供产品的全套技术资料，其中包括操作手册（或应用指南）等，另一套完整技术资料应随货物包装发运，这些费用应已包括在该品目的基本报价中。</w:t>
      </w:r>
    </w:p>
    <w:p w14:paraId="02C3C639">
      <w:pPr>
        <w:numPr>
          <w:ilvl w:val="0"/>
          <w:numId w:val="0"/>
        </w:numPr>
        <w:tabs>
          <w:tab w:val="left" w:pos="420"/>
        </w:tabs>
        <w:autoSpaceDE w:val="0"/>
        <w:autoSpaceDN w:val="0"/>
        <w:adjustRightInd w:val="0"/>
        <w:spacing w:line="360" w:lineRule="auto"/>
        <w:ind w:leftChars="0" w:firstLine="480" w:firstLineChars="20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2)</w:t>
      </w:r>
      <w:r>
        <w:rPr>
          <w:rFonts w:hint="eastAsia" w:ascii="宋体" w:hAnsi="宋体" w:eastAsia="宋体" w:cs="宋体"/>
          <w:b w:val="0"/>
          <w:bCs w:val="0"/>
          <w:color w:val="000000" w:themeColor="text1"/>
          <w:kern w:val="0"/>
          <w:sz w:val="24"/>
          <w:szCs w:val="24"/>
          <w:lang w:val="zh-CN"/>
          <w14:textFill>
            <w14:solidFill>
              <w14:schemeClr w14:val="tx1"/>
            </w14:solidFill>
          </w14:textFill>
        </w:rPr>
        <w:tab/>
      </w:r>
      <w:r>
        <w:rPr>
          <w:rFonts w:hint="eastAsia" w:ascii="宋体" w:hAnsi="宋体" w:eastAsia="宋体" w:cs="宋体"/>
          <w:b w:val="0"/>
          <w:bCs w:val="0"/>
          <w:color w:val="000000" w:themeColor="text1"/>
          <w:kern w:val="0"/>
          <w:sz w:val="24"/>
          <w:szCs w:val="24"/>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456A3711">
      <w:pPr>
        <w:numPr>
          <w:ilvl w:val="0"/>
          <w:numId w:val="0"/>
        </w:numPr>
        <w:tabs>
          <w:tab w:val="left" w:pos="420"/>
        </w:tabs>
        <w:autoSpaceDE w:val="0"/>
        <w:autoSpaceDN w:val="0"/>
        <w:adjustRightInd w:val="0"/>
        <w:spacing w:line="360" w:lineRule="auto"/>
        <w:ind w:leftChars="0" w:firstLine="480" w:firstLineChars="200"/>
        <w:rPr>
          <w:rFonts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3)</w:t>
      </w:r>
      <w:r>
        <w:rPr>
          <w:rFonts w:hint="eastAsia" w:ascii="宋体" w:hAnsi="宋体" w:eastAsia="宋体" w:cs="宋体"/>
          <w:b w:val="0"/>
          <w:bCs w:val="0"/>
          <w:color w:val="000000" w:themeColor="text1"/>
          <w:kern w:val="0"/>
          <w:sz w:val="24"/>
          <w:szCs w:val="24"/>
          <w:lang w:val="zh-CN"/>
          <w14:textFill>
            <w14:solidFill>
              <w14:schemeClr w14:val="tx1"/>
            </w14:solidFill>
          </w14:textFill>
        </w:rPr>
        <w:tab/>
      </w:r>
      <w:r>
        <w:rPr>
          <w:rFonts w:hint="eastAsia" w:ascii="宋体" w:hAnsi="宋体" w:eastAsia="宋体" w:cs="宋体"/>
          <w:b w:val="0"/>
          <w:bCs w:val="0"/>
          <w:color w:val="000000" w:themeColor="text1"/>
          <w:kern w:val="0"/>
          <w:sz w:val="24"/>
          <w:szCs w:val="24"/>
          <w:lang w:val="zh-CN"/>
          <w14:textFill>
            <w14:solidFill>
              <w14:schemeClr w14:val="tx1"/>
            </w14:solidFill>
          </w14:textFill>
        </w:rPr>
        <w:t>中标人应提出仪器设备测试的内容、项目、指标和方法,中标人有责任对采购人的技术人员提出的问题作出解答。测试应进行详细记录, 仪器设备测试结束后, 由中标人技术人员签字后交给采购人验收。</w:t>
      </w:r>
    </w:p>
    <w:p w14:paraId="6FC74BBD">
      <w:pPr>
        <w:numPr>
          <w:ilvl w:val="0"/>
          <w:numId w:val="18"/>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验收标准和方法</w:t>
      </w:r>
    </w:p>
    <w:p w14:paraId="02BD5E49">
      <w:pPr>
        <w:pStyle w:val="36"/>
        <w:numPr>
          <w:ilvl w:val="0"/>
          <w:numId w:val="0"/>
        </w:numPr>
        <w:spacing w:line="360" w:lineRule="auto"/>
        <w:ind w:leftChars="200"/>
        <w:rPr>
          <w:rFonts w:hint="eastAsia" w:cs="宋体"/>
          <w:bCs/>
          <w:color w:val="000000" w:themeColor="text1"/>
          <w:kern w:val="0"/>
          <w:sz w:val="24"/>
          <w:szCs w:val="24"/>
          <w:lang w:val="zh-CN"/>
          <w14:textFill>
            <w14:solidFill>
              <w14:schemeClr w14:val="tx1"/>
            </w14:solidFill>
          </w14:textFill>
        </w:rPr>
      </w:pPr>
      <w:r>
        <w:rPr>
          <w:rFonts w:hint="eastAsia" w:cs="宋体"/>
          <w:bCs/>
          <w:color w:val="000000" w:themeColor="text1"/>
          <w:kern w:val="0"/>
          <w:sz w:val="24"/>
          <w:szCs w:val="24"/>
          <w:lang w:val="zh-CN"/>
          <w14:textFill>
            <w14:solidFill>
              <w14:schemeClr w14:val="tx1"/>
            </w14:solidFill>
          </w14:textFill>
        </w:rPr>
        <w:t xml:space="preserve">1）验收标准：除非在技术规格中另有说明，所有仪器、设备和系统按下列要求进行验收： </w:t>
      </w:r>
    </w:p>
    <w:p w14:paraId="50D963FF">
      <w:pPr>
        <w:pStyle w:val="36"/>
        <w:numPr>
          <w:ilvl w:val="0"/>
          <w:numId w:val="0"/>
        </w:numPr>
        <w:spacing w:line="360" w:lineRule="auto"/>
        <w:ind w:leftChars="200"/>
        <w:rPr>
          <w:rFonts w:hint="eastAsia" w:cs="宋体"/>
          <w:bCs/>
          <w:color w:val="000000" w:themeColor="text1"/>
          <w:kern w:val="0"/>
          <w:sz w:val="24"/>
          <w:szCs w:val="24"/>
          <w:lang w:val="zh-CN"/>
          <w14:textFill>
            <w14:solidFill>
              <w14:schemeClr w14:val="tx1"/>
            </w14:solidFill>
          </w14:textFill>
        </w:rPr>
      </w:pPr>
      <w:r>
        <w:rPr>
          <w:rFonts w:hint="eastAsia" w:cs="宋体"/>
          <w:bCs/>
          <w:color w:val="000000" w:themeColor="text1"/>
          <w:kern w:val="0"/>
          <w:sz w:val="24"/>
          <w:szCs w:val="24"/>
          <w:lang w:val="zh-CN"/>
          <w14:textFill>
            <w14:solidFill>
              <w14:schemeClr w14:val="tx1"/>
            </w14:solidFill>
          </w14:textFill>
        </w:rPr>
        <w:t>（1）仪器设备运抵安装现场后，买方将与卖方共同开箱验收, 如卖方届时不派人来, 则验收结果应以买方的验收报告为最终验收结果。验收时发现短缺、破损, 买方有权要求卖方负责更换。</w:t>
      </w:r>
    </w:p>
    <w:p w14:paraId="62BCF7D6">
      <w:pPr>
        <w:pStyle w:val="36"/>
        <w:numPr>
          <w:ilvl w:val="0"/>
          <w:numId w:val="0"/>
        </w:numPr>
        <w:spacing w:line="360" w:lineRule="auto"/>
        <w:ind w:leftChars="200"/>
        <w:rPr>
          <w:rFonts w:hint="eastAsia" w:cs="宋体"/>
          <w:bCs/>
          <w:color w:val="000000" w:themeColor="text1"/>
          <w:kern w:val="0"/>
          <w:sz w:val="24"/>
          <w:szCs w:val="24"/>
          <w:lang w:val="zh-CN"/>
          <w14:textFill>
            <w14:solidFill>
              <w14:schemeClr w14:val="tx1"/>
            </w14:solidFill>
          </w14:textFill>
        </w:rPr>
      </w:pPr>
      <w:r>
        <w:rPr>
          <w:rFonts w:hint="eastAsia" w:cs="宋体"/>
          <w:bCs/>
          <w:color w:val="000000" w:themeColor="text1"/>
          <w:kern w:val="0"/>
          <w:sz w:val="24"/>
          <w:szCs w:val="24"/>
          <w:lang w:val="zh-CN"/>
          <w14:textFill>
            <w14:solidFill>
              <w14:schemeClr w14:val="tx1"/>
            </w14:solidFill>
          </w14:textFill>
        </w:rPr>
        <w:t>（2）验收标准以中标人提供的投标文件中所列的指标为准（该指标应不低于招标文件所要求的指标）。任何虚假指标响应一经发现即作废标，卖方必须承担由此给买方带来的一切经济损失和其它相关责任。</w:t>
      </w:r>
    </w:p>
    <w:p w14:paraId="020A5DE7">
      <w:pPr>
        <w:pStyle w:val="36"/>
        <w:numPr>
          <w:ilvl w:val="0"/>
          <w:numId w:val="0"/>
        </w:numPr>
        <w:spacing w:line="360" w:lineRule="auto"/>
        <w:ind w:leftChars="200"/>
        <w:rPr>
          <w:rFonts w:hint="eastAsia" w:cs="宋体"/>
          <w:bCs/>
          <w:color w:val="000000" w:themeColor="text1"/>
          <w:kern w:val="0"/>
          <w:sz w:val="24"/>
          <w:szCs w:val="24"/>
          <w:lang w:val="zh-CN"/>
          <w14:textFill>
            <w14:solidFill>
              <w14:schemeClr w14:val="tx1"/>
            </w14:solidFill>
          </w14:textFill>
        </w:rPr>
      </w:pPr>
      <w:r>
        <w:rPr>
          <w:rFonts w:hint="eastAsia" w:cs="宋体"/>
          <w:bCs/>
          <w:color w:val="000000" w:themeColor="text1"/>
          <w:kern w:val="0"/>
          <w:sz w:val="24"/>
          <w:szCs w:val="24"/>
          <w:lang w:val="zh-CN"/>
          <w14:textFill>
            <w14:solidFill>
              <w14:schemeClr w14:val="tx1"/>
            </w14:solidFill>
          </w14:textFill>
        </w:rPr>
        <w:t>（3）验收由采购人、中标人及相关人员依国家有关标准、合同及有关附件要求进行，验收完毕由采购人及中标人在验收报告上签名。</w:t>
      </w:r>
    </w:p>
    <w:p w14:paraId="736252E1">
      <w:pPr>
        <w:pStyle w:val="36"/>
        <w:numPr>
          <w:ilvl w:val="0"/>
          <w:numId w:val="0"/>
        </w:numPr>
        <w:spacing w:line="360" w:lineRule="auto"/>
        <w:ind w:leftChars="200"/>
        <w:rPr>
          <w:rFonts w:hint="eastAsia" w:cs="宋体"/>
          <w:bCs/>
          <w:color w:val="000000" w:themeColor="text1"/>
          <w:kern w:val="0"/>
          <w:sz w:val="24"/>
          <w:szCs w:val="24"/>
          <w:lang w:val="zh-CN"/>
          <w14:textFill>
            <w14:solidFill>
              <w14:schemeClr w14:val="tx1"/>
            </w14:solidFill>
          </w14:textFill>
        </w:rPr>
      </w:pPr>
      <w:r>
        <w:rPr>
          <w:rFonts w:hint="eastAsia" w:cs="宋体"/>
          <w:bCs/>
          <w:color w:val="000000" w:themeColor="text1"/>
          <w:kern w:val="0"/>
          <w:sz w:val="24"/>
          <w:szCs w:val="24"/>
          <w:lang w:val="en-US" w:eastAsia="zh-CN"/>
          <w14:textFill>
            <w14:solidFill>
              <w14:schemeClr w14:val="tx1"/>
            </w14:solidFill>
          </w14:textFill>
        </w:rPr>
        <w:t>2）</w:t>
      </w:r>
      <w:r>
        <w:rPr>
          <w:rFonts w:hint="eastAsia" w:cs="宋体"/>
          <w:bCs/>
          <w:color w:val="000000" w:themeColor="text1"/>
          <w:kern w:val="0"/>
          <w:sz w:val="24"/>
          <w:szCs w:val="24"/>
          <w:lang w:val="zh-CN"/>
          <w14:textFill>
            <w14:solidFill>
              <w14:schemeClr w14:val="tx1"/>
            </w14:solidFill>
          </w14:textFill>
        </w:rPr>
        <w:t>验收方法：采购方与供货方双方在场测试仪器性能 ；</w:t>
      </w:r>
    </w:p>
    <w:p w14:paraId="7D25819C">
      <w:pPr>
        <w:pStyle w:val="36"/>
        <w:numPr>
          <w:ilvl w:val="0"/>
          <w:numId w:val="0"/>
        </w:numPr>
        <w:spacing w:line="360" w:lineRule="auto"/>
        <w:ind w:leftChars="200"/>
        <w:rPr>
          <w:rFonts w:cs="宋体"/>
          <w:color w:val="000000" w:themeColor="text1"/>
          <w:sz w:val="24"/>
          <w:szCs w:val="24"/>
          <w:lang w:val="zh-CN"/>
          <w14:textFill>
            <w14:solidFill>
              <w14:schemeClr w14:val="tx1"/>
            </w14:solidFill>
          </w14:textFill>
        </w:rPr>
      </w:pPr>
      <w:r>
        <w:rPr>
          <w:rFonts w:hint="eastAsia" w:cs="宋体"/>
          <w:bCs/>
          <w:color w:val="000000" w:themeColor="text1"/>
          <w:kern w:val="0"/>
          <w:sz w:val="24"/>
          <w:szCs w:val="24"/>
          <w:lang w:val="en-US" w:eastAsia="zh-CN"/>
          <w14:textFill>
            <w14:solidFill>
              <w14:schemeClr w14:val="tx1"/>
            </w14:solidFill>
          </w14:textFill>
        </w:rPr>
        <w:t>3）</w:t>
      </w:r>
      <w:r>
        <w:rPr>
          <w:rFonts w:hint="eastAsia" w:cs="宋体"/>
          <w:bCs/>
          <w:color w:val="000000" w:themeColor="text1"/>
          <w:kern w:val="0"/>
          <w:sz w:val="24"/>
          <w:szCs w:val="24"/>
          <w:lang w:val="zh-CN"/>
          <w14:textFill>
            <w14:solidFill>
              <w14:schemeClr w14:val="tx1"/>
            </w14:solidFill>
          </w14:textFill>
        </w:rPr>
        <w:t>验收时间：到货后1个月内</w:t>
      </w:r>
      <w:r>
        <w:rPr>
          <w:rFonts w:cs="宋体"/>
          <w:bCs/>
          <w:color w:val="000000" w:themeColor="text1"/>
          <w:kern w:val="0"/>
          <w:sz w:val="24"/>
          <w:szCs w:val="24"/>
          <w:lang w:val="zh-CN"/>
          <w14:textFill>
            <w14:solidFill>
              <w14:schemeClr w14:val="tx1"/>
            </w14:solidFill>
          </w14:textFill>
        </w:rPr>
        <w:t xml:space="preserve">。  </w:t>
      </w:r>
    </w:p>
    <w:p w14:paraId="09B4117D">
      <w:pPr>
        <w:numPr>
          <w:ilvl w:val="0"/>
          <w:numId w:val="18"/>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500813C2">
      <w:pPr>
        <w:numPr>
          <w:ilvl w:val="0"/>
          <w:numId w:val="20"/>
        </w:numPr>
        <w:tabs>
          <w:tab w:val="left" w:pos="426"/>
          <w:tab w:val="left" w:pos="851"/>
        </w:tabs>
        <w:autoSpaceDE w:val="0"/>
        <w:autoSpaceDN w:val="0"/>
        <w:adjustRightInd w:val="0"/>
        <w:spacing w:line="360"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投标人提供完好、全新的原包装产品（包括零配件），随机技术资料齐全。产品符合国家质量检测标准，必须具有生产日期、厂名、厂址、产品合格证等。进口产品须提供海关进货单（复印件备查）。</w:t>
      </w:r>
    </w:p>
    <w:p w14:paraId="396ED02F">
      <w:pPr>
        <w:numPr>
          <w:ilvl w:val="0"/>
          <w:numId w:val="20"/>
        </w:numPr>
        <w:tabs>
          <w:tab w:val="left" w:pos="426"/>
          <w:tab w:val="left" w:pos="851"/>
        </w:tabs>
        <w:autoSpaceDE w:val="0"/>
        <w:autoSpaceDN w:val="0"/>
        <w:adjustRightInd w:val="0"/>
        <w:spacing w:line="360" w:lineRule="auto"/>
        <w:jc w:val="left"/>
        <w:rPr>
          <w:rFonts w:hint="default" w:ascii="宋体" w:hAnsi="宋体" w:eastAsia="宋体" w:cs="宋体"/>
          <w:b/>
          <w:color w:val="000000" w:themeColor="text1"/>
          <w:sz w:val="28"/>
          <w:lang w:val="en-US" w:eastAsia="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46DB9CC5">
      <w:pPr>
        <w:numPr>
          <w:ilvl w:val="0"/>
          <w:numId w:val="18"/>
        </w:numPr>
        <w:tabs>
          <w:tab w:val="left" w:pos="420"/>
        </w:tabs>
        <w:autoSpaceDE w:val="0"/>
        <w:autoSpaceDN w:val="0"/>
        <w:adjustRightInd w:val="0"/>
        <w:spacing w:line="360" w:lineRule="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其他服务要求</w:t>
      </w:r>
    </w:p>
    <w:p w14:paraId="748B901A">
      <w:pPr>
        <w:spacing w:line="360" w:lineRule="auto"/>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pPr>
      <w: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t>1、人员团队要求（项目负责人、技术负责人、售后服务人员等）：</w:t>
      </w:r>
    </w:p>
    <w:p w14:paraId="09C2FBF4">
      <w:pPr>
        <w:spacing w:line="360" w:lineRule="auto"/>
        <w:ind w:firstLine="480" w:firstLineChars="200"/>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pPr>
      <w: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t>供应商应组建一支专业能力强、人员稳定的项目实施团队，由项目负责人、技术负责人及专职售后服务人员组成。团队成员须具备同类设备实施、调试及售后服务的实际经验，职责分工清晰，并在项目实施期间保持稳定在岗，全面保障项目交付、安装调试及后期维保工作的顺利完成。</w:t>
      </w:r>
    </w:p>
    <w:p w14:paraId="01911E1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kern w:val="0"/>
          <w:sz w:val="24"/>
          <w:lang w:val="zh-CN"/>
          <w14:textFill>
            <w14:solidFill>
              <w14:schemeClr w14:val="tx1"/>
            </w14:solidFill>
          </w14:textFill>
        </w:rPr>
      </w:pPr>
      <w: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t>2、</w:t>
      </w:r>
      <w:r>
        <w:rPr>
          <w:rFonts w:hint="default" w:ascii="Times New Roman" w:hAnsi="Times New Roman" w:eastAsia="宋体" w:cs="Times New Roman"/>
          <w:color w:val="000000" w:themeColor="text1"/>
          <w:kern w:val="0"/>
          <w:sz w:val="24"/>
          <w:lang w:val="zh-CN"/>
          <w14:textFill>
            <w14:solidFill>
              <w14:schemeClr w14:val="tx1"/>
            </w14:solidFill>
          </w14:textFill>
        </w:rPr>
        <w:t>人员培训要求（供应商对采购人设备使用部门进行设备操作培训等）；</w:t>
      </w:r>
    </w:p>
    <w:p w14:paraId="373C6CB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kern w:val="0"/>
          <w:sz w:val="24"/>
          <w:lang w:val="zh-CN"/>
          <w14:textFill>
            <w14:solidFill>
              <w14:schemeClr w14:val="tx1"/>
            </w14:solidFill>
          </w14:textFill>
        </w:rPr>
      </w:pPr>
      <w:r>
        <w:rPr>
          <w:rFonts w:hint="default" w:ascii="Times New Roman" w:hAnsi="Times New Roman" w:eastAsia="宋体" w:cs="Times New Roman"/>
          <w:color w:val="000000" w:themeColor="text1"/>
          <w:kern w:val="0"/>
          <w:sz w:val="24"/>
          <w:lang w:val="zh-CN"/>
          <w14:textFill>
            <w14:solidFill>
              <w14:schemeClr w14:val="tx1"/>
            </w14:solidFill>
          </w14:textFill>
        </w:rPr>
        <w:t>（1）为保证投标人所提供的仪器设备安全、可靠运行，便于采购人的运行维护，必须对采购人培训合格的维护和管理人员。</w:t>
      </w:r>
    </w:p>
    <w:p w14:paraId="242374D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kern w:val="0"/>
          <w:sz w:val="24"/>
          <w:lang w:val="zh-CN"/>
          <w14:textFill>
            <w14:solidFill>
              <w14:schemeClr w14:val="tx1"/>
            </w14:solidFill>
          </w14:textFill>
        </w:rPr>
      </w:pPr>
      <w:r>
        <w:rPr>
          <w:rFonts w:hint="default" w:ascii="Times New Roman" w:hAnsi="Times New Roman" w:eastAsia="宋体" w:cs="Times New Roman"/>
          <w:color w:val="000000" w:themeColor="text1"/>
          <w:kern w:val="0"/>
          <w:sz w:val="24"/>
          <w:lang w:val="zh-CN"/>
          <w14:textFill>
            <w14:solidFill>
              <w14:schemeClr w14:val="tx1"/>
            </w14:solidFill>
          </w14:textFill>
        </w:rPr>
        <w:t>（2）投标人负责对采购人提供至少一次现场技术培训，以便工作人员在培训后能熟练地掌握系统的维护工作，并能及时排除大部分的系统障碍。</w:t>
      </w:r>
    </w:p>
    <w:p w14:paraId="7F45F83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kern w:val="0"/>
          <w:sz w:val="24"/>
          <w:lang w:val="zh-CN"/>
          <w14:textFill>
            <w14:solidFill>
              <w14:schemeClr w14:val="tx1"/>
            </w14:solidFill>
          </w14:textFill>
        </w:rPr>
      </w:pPr>
      <w:r>
        <w:rPr>
          <w:rFonts w:hint="default" w:ascii="Times New Roman" w:hAnsi="Times New Roman" w:eastAsia="宋体" w:cs="Times New Roman"/>
          <w:color w:val="000000" w:themeColor="text1"/>
          <w:kern w:val="0"/>
          <w:sz w:val="24"/>
          <w:lang w:val="zh-CN"/>
          <w14:textFill>
            <w14:solidFill>
              <w14:schemeClr w14:val="tx1"/>
            </w14:solidFill>
          </w14:textFill>
        </w:rPr>
        <w:t>（3）至少一次厂家工程师到采购人现场免费培训；培训至采购人可以熟练操作为止。</w:t>
      </w:r>
    </w:p>
    <w:p w14:paraId="210AE8FA">
      <w:pPr>
        <w:numPr>
          <w:ilvl w:val="0"/>
          <w:numId w:val="0"/>
        </w:numPr>
        <w:tabs>
          <w:tab w:val="left" w:pos="426"/>
          <w:tab w:val="left" w:pos="851"/>
        </w:tabs>
        <w:autoSpaceDE w:val="0"/>
        <w:autoSpaceDN w:val="0"/>
        <w:adjustRightInd w:val="0"/>
        <w:spacing w:line="360" w:lineRule="auto"/>
        <w:ind w:leftChars="0"/>
        <w:jc w:val="left"/>
        <w:rPr>
          <w:rFonts w:hint="default" w:ascii="Times New Roman" w:hAnsi="Times New Roman" w:eastAsia="宋体" w:cs="Times New Roman"/>
          <w:color w:val="000000" w:themeColor="text1"/>
          <w:kern w:val="0"/>
          <w:sz w:val="24"/>
          <w:lang w:val="zh-CN"/>
          <w14:textFill>
            <w14:solidFill>
              <w14:schemeClr w14:val="tx1"/>
            </w14:solidFill>
          </w14:textFill>
        </w:rPr>
      </w:pPr>
      <w:r>
        <w:rPr>
          <w:rFonts w:hint="default" w:ascii="Times New Roman" w:hAnsi="Times New Roman" w:eastAsia="宋体" w:cs="Times New Roman"/>
          <w:color w:val="000000" w:themeColor="text1"/>
          <w:kern w:val="0"/>
          <w:sz w:val="24"/>
          <w:lang w:val="zh-CN"/>
          <w14:textFill>
            <w14:solidFill>
              <w14:schemeClr w14:val="tx1"/>
            </w14:solidFill>
          </w14:textFill>
        </w:rPr>
        <w:t>3、服务要求：中标人须提供全周期的技术服务与完善的质保售后支持。质保期内，免费提供设备维修、技术咨询、远程指导和现场维保服务，并对设备故障及技术问题做到及时响应。质保期结束后，仍须继续提供终身成本价维修、配件供应及技术支持，确保设备长期稳定运行。</w:t>
      </w:r>
    </w:p>
    <w:p w14:paraId="20B1BC21">
      <w:pPr>
        <w:numPr>
          <w:ilvl w:val="0"/>
          <w:numId w:val="0"/>
        </w:numPr>
        <w:tabs>
          <w:tab w:val="left" w:pos="426"/>
          <w:tab w:val="left" w:pos="851"/>
        </w:tabs>
        <w:autoSpaceDE w:val="0"/>
        <w:autoSpaceDN w:val="0"/>
        <w:adjustRightInd w:val="0"/>
        <w:spacing w:line="360" w:lineRule="auto"/>
        <w:ind w:leftChars="0"/>
        <w:jc w:val="left"/>
        <w:rPr>
          <w:rFonts w:hint="default" w:ascii="Times New Roman" w:hAnsi="Times New Roman" w:eastAsia="宋体" w:cs="Times New Roman"/>
          <w:color w:val="000000" w:themeColor="text1"/>
          <w:kern w:val="0"/>
          <w:sz w:val="24"/>
          <w:lang w:val="zh-CN"/>
          <w14:textFill>
            <w14:solidFill>
              <w14:schemeClr w14:val="tx1"/>
            </w14:solidFill>
          </w14:textFill>
        </w:rPr>
      </w:pPr>
      <w:r>
        <w:rPr>
          <w:rFonts w:hint="default" w:ascii="Times New Roman" w:hAnsi="Times New Roman" w:eastAsia="宋体" w:cs="Times New Roman"/>
          <w:color w:val="000000" w:themeColor="text1"/>
          <w:kern w:val="0"/>
          <w:sz w:val="24"/>
          <w:lang w:val="zh-CN"/>
          <w14:textFill>
            <w14:solidFill>
              <w14:schemeClr w14:val="tx1"/>
            </w14:solidFill>
          </w14:textFill>
        </w:rPr>
        <w:t>4、保密要求：供应商须对项目实施过程中接触到的采购方全部涉密内容承担永久保密责任，涉密内容包括但不限于科研数据、场地信息、项目资料等。严禁擅自外泄、传播或挪作他用；未经采购方明确许可，不得对外披露任何相关信息。</w:t>
      </w:r>
    </w:p>
    <w:p w14:paraId="621125BE">
      <w:pPr>
        <w:spacing w:line="360" w:lineRule="auto"/>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pPr>
    </w:p>
    <w:p w14:paraId="3990D55A">
      <w:pP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sectPr>
          <w:pgSz w:w="11906" w:h="16838"/>
          <w:pgMar w:top="1418" w:right="1418" w:bottom="1418" w:left="1418" w:header="851" w:footer="992" w:gutter="0"/>
          <w:pgNumType w:fmt="decimal"/>
          <w:cols w:space="720" w:num="1"/>
          <w:titlePg/>
          <w:docGrid w:type="lines" w:linePitch="312" w:charSpace="0"/>
        </w:sectPr>
      </w:pPr>
      <w: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br w:type="page"/>
      </w:r>
    </w:p>
    <w:p w14:paraId="16B71B6F">
      <w:pPr>
        <w:spacing w:after="156" w:afterLines="50"/>
        <w:jc w:val="center"/>
        <w:outlineLvl w:val="2"/>
        <w:rPr>
          <w:rFonts w:hint="default" w:ascii="宋体" w:hAnsi="宋体" w:eastAsia="宋体" w:cs="宋体"/>
          <w:b/>
          <w:color w:val="000000" w:themeColor="text1"/>
          <w:sz w:val="28"/>
          <w:lang w:val="en-US" w:eastAsia="zh-CN"/>
          <w14:textFill>
            <w14:solidFill>
              <w14:schemeClr w14:val="tx1"/>
            </w14:solidFill>
          </w14:textFill>
        </w:rPr>
      </w:pPr>
      <w:r>
        <w:rPr>
          <w:rFonts w:hint="eastAsia" w:ascii="宋体" w:hAnsi="宋体" w:eastAsia="宋体" w:cs="宋体"/>
          <w:b/>
          <w:color w:val="000000" w:themeColor="text1"/>
          <w:sz w:val="28"/>
          <w:lang w:val="en-US" w:eastAsia="zh-CN"/>
          <w14:textFill>
            <w14:solidFill>
              <w14:schemeClr w14:val="tx1"/>
            </w14:solidFill>
          </w14:textFill>
        </w:rPr>
        <w:t xml:space="preserve">第四包  多通道长期监测荧光仪 </w:t>
      </w:r>
    </w:p>
    <w:p w14:paraId="5687BF06">
      <w:pPr>
        <w:pStyle w:val="33"/>
        <w:numPr>
          <w:ilvl w:val="0"/>
          <w:numId w:val="21"/>
        </w:numPr>
        <w:spacing w:line="360" w:lineRule="auto"/>
        <w:ind w:right="708" w:rightChars="337" w:hanging="905"/>
        <w:jc w:val="both"/>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招标项目信息</w:t>
      </w:r>
    </w:p>
    <w:tbl>
      <w:tblPr>
        <w:tblStyle w:val="3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843"/>
        <w:gridCol w:w="851"/>
        <w:gridCol w:w="992"/>
        <w:gridCol w:w="1287"/>
        <w:gridCol w:w="1238"/>
        <w:gridCol w:w="1260"/>
        <w:gridCol w:w="1260"/>
      </w:tblGrid>
      <w:tr w14:paraId="7BC8A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21E4A599">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序号</w:t>
            </w:r>
          </w:p>
        </w:tc>
        <w:tc>
          <w:tcPr>
            <w:tcW w:w="1843" w:type="dxa"/>
            <w:noWrap/>
            <w:vAlign w:val="center"/>
          </w:tcPr>
          <w:p w14:paraId="48B507A3">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设备名称</w:t>
            </w:r>
          </w:p>
        </w:tc>
        <w:tc>
          <w:tcPr>
            <w:tcW w:w="851" w:type="dxa"/>
            <w:vAlign w:val="center"/>
          </w:tcPr>
          <w:p w14:paraId="33A72D17">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数量</w:t>
            </w:r>
          </w:p>
        </w:tc>
        <w:tc>
          <w:tcPr>
            <w:tcW w:w="992" w:type="dxa"/>
            <w:noWrap/>
            <w:vAlign w:val="center"/>
          </w:tcPr>
          <w:p w14:paraId="6CD33A12">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单位</w:t>
            </w:r>
          </w:p>
        </w:tc>
        <w:tc>
          <w:tcPr>
            <w:tcW w:w="1287" w:type="dxa"/>
            <w:vAlign w:val="center"/>
          </w:tcPr>
          <w:p w14:paraId="1ADF7D03">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是否接受进口设备参与投标</w:t>
            </w:r>
          </w:p>
        </w:tc>
        <w:tc>
          <w:tcPr>
            <w:tcW w:w="1238" w:type="dxa"/>
            <w:vAlign w:val="center"/>
          </w:tcPr>
          <w:p w14:paraId="22BB525D">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预算金额</w:t>
            </w:r>
          </w:p>
          <w:p w14:paraId="4F15F779">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（万元）</w:t>
            </w:r>
          </w:p>
        </w:tc>
        <w:tc>
          <w:tcPr>
            <w:tcW w:w="1260" w:type="dxa"/>
            <w:vAlign w:val="center"/>
          </w:tcPr>
          <w:p w14:paraId="105C6E6A">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最高限价（万元）</w:t>
            </w:r>
          </w:p>
        </w:tc>
        <w:tc>
          <w:tcPr>
            <w:tcW w:w="1260" w:type="dxa"/>
            <w:vAlign w:val="center"/>
          </w:tcPr>
          <w:p w14:paraId="484D4F0B">
            <w:pPr>
              <w:widowControl/>
              <w:snapToGrid w:val="0"/>
              <w:spacing w:before="156" w:beforeLines="50" w:line="360" w:lineRule="auto"/>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本项目所属行业</w:t>
            </w:r>
          </w:p>
        </w:tc>
      </w:tr>
      <w:tr w14:paraId="267F9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01E286CC">
            <w:pPr>
              <w:widowControl/>
              <w:snapToGrid w:val="0"/>
              <w:spacing w:before="156" w:beforeLines="50" w:line="360" w:lineRule="auto"/>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一</w:t>
            </w:r>
          </w:p>
        </w:tc>
        <w:tc>
          <w:tcPr>
            <w:tcW w:w="1843" w:type="dxa"/>
            <w:vAlign w:val="center"/>
          </w:tcPr>
          <w:p w14:paraId="320D5BDC">
            <w:pPr>
              <w:spacing w:line="360" w:lineRule="auto"/>
              <w:jc w:val="center"/>
              <w:rPr>
                <w:rFonts w:hint="eastAsia" w:eastAsia="宋体"/>
                <w:color w:val="auto"/>
                <w:kern w:val="0"/>
                <w:sz w:val="24"/>
                <w:highlight w:val="none"/>
                <w:lang w:eastAsia="zh-CN"/>
              </w:rPr>
            </w:pPr>
            <w:r>
              <w:rPr>
                <w:rFonts w:hint="eastAsia" w:eastAsia="宋体"/>
                <w:color w:val="auto"/>
                <w:kern w:val="0"/>
                <w:sz w:val="24"/>
                <w:highlight w:val="none"/>
                <w:lang w:eastAsia="zh-CN"/>
              </w:rPr>
              <w:t>多通道长期监测荧光仪</w:t>
            </w:r>
          </w:p>
        </w:tc>
        <w:tc>
          <w:tcPr>
            <w:tcW w:w="851" w:type="dxa"/>
            <w:vAlign w:val="center"/>
          </w:tcPr>
          <w:p w14:paraId="753D0E9B">
            <w:pPr>
              <w:spacing w:line="360" w:lineRule="auto"/>
              <w:jc w:val="center"/>
              <w:rPr>
                <w:rFonts w:hint="eastAsia" w:eastAsia="宋体"/>
                <w:color w:val="auto"/>
                <w:kern w:val="0"/>
                <w:sz w:val="24"/>
                <w:highlight w:val="none"/>
                <w:lang w:eastAsia="zh-CN"/>
              </w:rPr>
            </w:pPr>
            <w:r>
              <w:rPr>
                <w:rFonts w:hint="eastAsia" w:ascii="宋体" w:hAnsi="宋体" w:eastAsia="宋体" w:cs="宋体"/>
                <w:color w:val="auto"/>
                <w:sz w:val="24"/>
                <w:szCs w:val="24"/>
                <w:highlight w:val="none"/>
              </w:rPr>
              <w:t>1</w:t>
            </w:r>
          </w:p>
        </w:tc>
        <w:tc>
          <w:tcPr>
            <w:tcW w:w="992" w:type="dxa"/>
            <w:vAlign w:val="center"/>
          </w:tcPr>
          <w:p w14:paraId="2814EE2B">
            <w:pPr>
              <w:spacing w:line="360" w:lineRule="auto"/>
              <w:jc w:val="center"/>
              <w:rPr>
                <w:color w:val="auto"/>
                <w:kern w:val="0"/>
                <w:sz w:val="24"/>
                <w:highlight w:val="none"/>
              </w:rPr>
            </w:pPr>
            <w:r>
              <w:rPr>
                <w:rFonts w:hint="eastAsia" w:ascii="宋体" w:hAnsi="宋体" w:eastAsia="宋体" w:cs="宋体"/>
                <w:color w:val="auto"/>
                <w:sz w:val="24"/>
                <w:szCs w:val="24"/>
                <w:highlight w:val="none"/>
              </w:rPr>
              <w:t>套</w:t>
            </w:r>
          </w:p>
        </w:tc>
        <w:tc>
          <w:tcPr>
            <w:tcW w:w="1287" w:type="dxa"/>
            <w:vAlign w:val="center"/>
          </w:tcPr>
          <w:p w14:paraId="05340C31">
            <w:pPr>
              <w:spacing w:line="360" w:lineRule="auto"/>
              <w:jc w:val="center"/>
              <w:rPr>
                <w:rFonts w:hint="eastAsia" w:eastAsia="宋体"/>
                <w:color w:val="auto"/>
                <w:kern w:val="0"/>
                <w:sz w:val="24"/>
                <w:highlight w:val="none"/>
                <w:lang w:eastAsia="zh-CN"/>
              </w:rPr>
            </w:pPr>
            <w:r>
              <w:rPr>
                <w:rFonts w:hint="eastAsia" w:ascii="宋体" w:hAnsi="宋体" w:eastAsia="宋体" w:cs="宋体"/>
                <w:color w:val="auto"/>
                <w:sz w:val="24"/>
                <w:szCs w:val="24"/>
                <w:highlight w:val="none"/>
                <w:lang w:val="en-US" w:eastAsia="zh-CN"/>
              </w:rPr>
              <w:t>是</w:t>
            </w:r>
          </w:p>
        </w:tc>
        <w:tc>
          <w:tcPr>
            <w:tcW w:w="1238" w:type="dxa"/>
            <w:vAlign w:val="center"/>
          </w:tcPr>
          <w:p w14:paraId="4C5F62BB">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180</w:t>
            </w:r>
          </w:p>
        </w:tc>
        <w:tc>
          <w:tcPr>
            <w:tcW w:w="1260" w:type="dxa"/>
            <w:vAlign w:val="center"/>
          </w:tcPr>
          <w:p w14:paraId="47ED8E91">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180</w:t>
            </w:r>
          </w:p>
        </w:tc>
        <w:tc>
          <w:tcPr>
            <w:tcW w:w="1260" w:type="dxa"/>
            <w:vAlign w:val="center"/>
          </w:tcPr>
          <w:p w14:paraId="217A65F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bl>
    <w:p w14:paraId="2092E82F">
      <w:pPr>
        <w:pStyle w:val="33"/>
        <w:numPr>
          <w:ilvl w:val="0"/>
          <w:numId w:val="21"/>
        </w:numPr>
        <w:spacing w:line="360" w:lineRule="auto"/>
        <w:ind w:right="708" w:rightChars="337" w:hanging="905"/>
        <w:jc w:val="both"/>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技术部分</w:t>
      </w:r>
    </w:p>
    <w:p w14:paraId="07C774E2">
      <w:pPr>
        <w:widowControl/>
        <w:snapToGrid w:val="0"/>
        <w:spacing w:line="360" w:lineRule="auto"/>
        <w:rPr>
          <w:b/>
          <w:color w:val="000000" w:themeColor="text1"/>
          <w:sz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w:t>
      </w:r>
      <w:r>
        <w:rPr>
          <w:b/>
          <w:color w:val="000000" w:themeColor="text1"/>
          <w:sz w:val="24"/>
          <w14:textFill>
            <w14:solidFill>
              <w14:schemeClr w14:val="tx1"/>
            </w14:solidFill>
          </w14:textFill>
        </w:rPr>
        <w:t>1、配置清单及零配件（包括专用工具）：</w:t>
      </w:r>
    </w:p>
    <w:tbl>
      <w:tblPr>
        <w:tblStyle w:val="3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5865"/>
        <w:gridCol w:w="1035"/>
        <w:gridCol w:w="1225"/>
      </w:tblGrid>
      <w:tr w14:paraId="54F50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2ED43006">
            <w:pPr>
              <w:widowControl/>
              <w:snapToGrid w:val="0"/>
              <w:spacing w:before="156"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5865" w:type="dxa"/>
          </w:tcPr>
          <w:p w14:paraId="2913B849">
            <w:pPr>
              <w:widowControl/>
              <w:snapToGrid w:val="0"/>
              <w:spacing w:before="156"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名称</w:t>
            </w:r>
          </w:p>
        </w:tc>
        <w:tc>
          <w:tcPr>
            <w:tcW w:w="1035" w:type="dxa"/>
          </w:tcPr>
          <w:p w14:paraId="5C2A2D64">
            <w:pPr>
              <w:widowControl/>
              <w:snapToGrid w:val="0"/>
              <w:spacing w:before="156"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数量</w:t>
            </w:r>
          </w:p>
        </w:tc>
        <w:tc>
          <w:tcPr>
            <w:tcW w:w="1225" w:type="dxa"/>
          </w:tcPr>
          <w:p w14:paraId="49C889F1">
            <w:pPr>
              <w:widowControl/>
              <w:snapToGrid w:val="0"/>
              <w:spacing w:before="156" w:beforeLines="50"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单位</w:t>
            </w:r>
          </w:p>
        </w:tc>
      </w:tr>
      <w:tr w14:paraId="68271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6D85294D">
            <w:pPr>
              <w:widowControl/>
              <w:snapToGrid w:val="0"/>
              <w:spacing w:before="156" w:beforeLines="50" w:line="360" w:lineRule="auto"/>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w:t>
            </w:r>
          </w:p>
        </w:tc>
        <w:tc>
          <w:tcPr>
            <w:tcW w:w="5865" w:type="dxa"/>
          </w:tcPr>
          <w:p w14:paraId="57BC0521">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野外数据采集器</w:t>
            </w:r>
          </w:p>
        </w:tc>
        <w:tc>
          <w:tcPr>
            <w:tcW w:w="1035" w:type="dxa"/>
          </w:tcPr>
          <w:p w14:paraId="073A2394">
            <w:pPr>
              <w:widowControl/>
              <w:snapToGrid w:val="0"/>
              <w:spacing w:before="156" w:beforeLines="50" w:line="360" w:lineRule="auto"/>
              <w:jc w:val="center"/>
              <w:rPr>
                <w:rFonts w:hint="default"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1</w:t>
            </w:r>
          </w:p>
        </w:tc>
        <w:tc>
          <w:tcPr>
            <w:tcW w:w="1225" w:type="dxa"/>
          </w:tcPr>
          <w:p w14:paraId="5130650F">
            <w:pPr>
              <w:widowControl/>
              <w:snapToGrid w:val="0"/>
              <w:spacing w:before="156" w:beforeLines="50" w:line="360" w:lineRule="auto"/>
              <w:jc w:val="center"/>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14:textFill>
                  <w14:solidFill>
                    <w14:schemeClr w14:val="tx1"/>
                  </w14:solidFill>
                </w14:textFill>
              </w:rPr>
              <w:t>个</w:t>
            </w:r>
          </w:p>
        </w:tc>
      </w:tr>
      <w:tr w14:paraId="0C229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7FBCA0AB">
            <w:pPr>
              <w:spacing w:after="160" w:line="360" w:lineRule="auto"/>
              <w:contextualSpacing/>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w:t>
            </w:r>
          </w:p>
        </w:tc>
        <w:tc>
          <w:tcPr>
            <w:tcW w:w="5865" w:type="dxa"/>
          </w:tcPr>
          <w:p w14:paraId="27462F71">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叶绿素荧光测量探头</w:t>
            </w:r>
          </w:p>
        </w:tc>
        <w:tc>
          <w:tcPr>
            <w:tcW w:w="1035" w:type="dxa"/>
          </w:tcPr>
          <w:p w14:paraId="7EE314B5">
            <w:pPr>
              <w:spacing w:after="160" w:line="360" w:lineRule="auto"/>
              <w:contextualSpacing/>
              <w:jc w:val="center"/>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16</w:t>
            </w:r>
          </w:p>
        </w:tc>
        <w:tc>
          <w:tcPr>
            <w:tcW w:w="1225" w:type="dxa"/>
          </w:tcPr>
          <w:p w14:paraId="71C874A6">
            <w:pPr>
              <w:spacing w:after="160" w:line="360" w:lineRule="auto"/>
              <w:contextualSpacing/>
              <w:jc w:val="center"/>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个</w:t>
            </w:r>
          </w:p>
        </w:tc>
      </w:tr>
      <w:tr w14:paraId="3574A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63191E38">
            <w:pPr>
              <w:spacing w:after="160" w:line="360" w:lineRule="auto"/>
              <w:contextualSpacing/>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w:t>
            </w:r>
          </w:p>
        </w:tc>
        <w:tc>
          <w:tcPr>
            <w:tcW w:w="5865" w:type="dxa"/>
          </w:tcPr>
          <w:p w14:paraId="2804456C">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4路分线器 </w:t>
            </w:r>
          </w:p>
        </w:tc>
        <w:tc>
          <w:tcPr>
            <w:tcW w:w="1035" w:type="dxa"/>
          </w:tcPr>
          <w:p w14:paraId="0364E3FA">
            <w:pPr>
              <w:spacing w:after="160" w:line="360" w:lineRule="auto"/>
              <w:contextualSpacing/>
              <w:jc w:val="center"/>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4</w:t>
            </w:r>
          </w:p>
        </w:tc>
        <w:tc>
          <w:tcPr>
            <w:tcW w:w="1225" w:type="dxa"/>
          </w:tcPr>
          <w:p w14:paraId="29CB3A72">
            <w:pPr>
              <w:spacing w:after="160" w:line="360" w:lineRule="auto"/>
              <w:contextualSpacing/>
              <w:jc w:val="center"/>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个</w:t>
            </w:r>
          </w:p>
        </w:tc>
      </w:tr>
      <w:tr w14:paraId="24A3A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3465A942">
            <w:pPr>
              <w:spacing w:after="160" w:line="360" w:lineRule="auto"/>
              <w:contextualSpacing/>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4</w:t>
            </w:r>
          </w:p>
        </w:tc>
        <w:tc>
          <w:tcPr>
            <w:tcW w:w="5865" w:type="dxa"/>
          </w:tcPr>
          <w:p w14:paraId="63108782">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调制解调器</w:t>
            </w:r>
          </w:p>
        </w:tc>
        <w:tc>
          <w:tcPr>
            <w:tcW w:w="1035" w:type="dxa"/>
          </w:tcPr>
          <w:p w14:paraId="4B920634">
            <w:pPr>
              <w:spacing w:after="160" w:line="360" w:lineRule="auto"/>
              <w:contextualSpacing/>
              <w:jc w:val="center"/>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w:t>
            </w:r>
          </w:p>
        </w:tc>
        <w:tc>
          <w:tcPr>
            <w:tcW w:w="1225" w:type="dxa"/>
          </w:tcPr>
          <w:p w14:paraId="19D5BB3B">
            <w:pPr>
              <w:spacing w:after="160" w:line="360" w:lineRule="auto"/>
              <w:contextualSpacing/>
              <w:jc w:val="center"/>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个</w:t>
            </w:r>
          </w:p>
        </w:tc>
      </w:tr>
      <w:tr w14:paraId="23136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6A0B96C2">
            <w:pPr>
              <w:spacing w:after="160" w:line="360" w:lineRule="auto"/>
              <w:contextualSpacing/>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w:t>
            </w:r>
          </w:p>
        </w:tc>
        <w:tc>
          <w:tcPr>
            <w:tcW w:w="5865" w:type="dxa"/>
          </w:tcPr>
          <w:p w14:paraId="09318A02">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光量子计</w:t>
            </w:r>
          </w:p>
        </w:tc>
        <w:tc>
          <w:tcPr>
            <w:tcW w:w="1035" w:type="dxa"/>
          </w:tcPr>
          <w:p w14:paraId="538222AA">
            <w:pPr>
              <w:spacing w:after="160" w:line="360" w:lineRule="auto"/>
              <w:contextualSpacing/>
              <w:jc w:val="center"/>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16</w:t>
            </w:r>
          </w:p>
        </w:tc>
        <w:tc>
          <w:tcPr>
            <w:tcW w:w="1225" w:type="dxa"/>
          </w:tcPr>
          <w:p w14:paraId="7F7E7C39">
            <w:pPr>
              <w:spacing w:after="160" w:line="360" w:lineRule="auto"/>
              <w:contextualSpacing/>
              <w:jc w:val="center"/>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个</w:t>
            </w:r>
          </w:p>
        </w:tc>
      </w:tr>
      <w:tr w14:paraId="531DD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072" w:type="dxa"/>
          </w:tcPr>
          <w:p w14:paraId="214DD76F">
            <w:pPr>
              <w:spacing w:after="160" w:line="360" w:lineRule="auto"/>
              <w:contextualSpacing/>
              <w:jc w:val="cente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6</w:t>
            </w:r>
          </w:p>
        </w:tc>
        <w:tc>
          <w:tcPr>
            <w:tcW w:w="5865" w:type="dxa"/>
          </w:tcPr>
          <w:p w14:paraId="5909B6C1">
            <w:pPr>
              <w:spacing w:after="160" w:line="360" w:lineRule="auto"/>
              <w:contextualSpacing/>
              <w:jc w:val="left"/>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太阳能板</w:t>
            </w:r>
          </w:p>
        </w:tc>
        <w:tc>
          <w:tcPr>
            <w:tcW w:w="1035" w:type="dxa"/>
          </w:tcPr>
          <w:p w14:paraId="0B6258D3">
            <w:pPr>
              <w:spacing w:after="160" w:line="360" w:lineRule="auto"/>
              <w:contextualSpacing/>
              <w:jc w:val="center"/>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w:t>
            </w:r>
          </w:p>
        </w:tc>
        <w:tc>
          <w:tcPr>
            <w:tcW w:w="1225" w:type="dxa"/>
          </w:tcPr>
          <w:p w14:paraId="56777FEA">
            <w:pPr>
              <w:spacing w:after="160" w:line="360" w:lineRule="auto"/>
              <w:contextualSpacing/>
              <w:jc w:val="center"/>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个</w:t>
            </w:r>
          </w:p>
        </w:tc>
      </w:tr>
    </w:tbl>
    <w:p w14:paraId="6EFF3C53">
      <w:pPr>
        <w:tabs>
          <w:tab w:val="left" w:pos="540"/>
        </w:tabs>
        <w:spacing w:line="360" w:lineRule="auto"/>
        <w:rPr>
          <w:rFonts w:hint="eastAsia" w:asciiTheme="minorEastAsia" w:hAnsiTheme="minorEastAsia" w:eastAsiaTheme="minorEastAsia" w:cstheme="minorEastAsia"/>
          <w:b/>
          <w:sz w:val="24"/>
        </w:rPr>
      </w:pPr>
    </w:p>
    <w:p w14:paraId="4574E624">
      <w:pPr>
        <w:widowControl/>
        <w:snapToGrid w:val="0"/>
        <w:spacing w:before="156" w:beforeLines="50" w:after="156" w:afterLines="50" w:line="360" w:lineRule="auto"/>
        <w:rPr>
          <w:rFonts w:hint="eastAsia" w:ascii="宋体" w:hAnsi="宋体" w:eastAsia="宋体" w:cs="宋体"/>
          <w:b/>
          <w:bCs/>
          <w:color w:val="000000" w:themeColor="text1"/>
          <w:sz w:val="24"/>
          <w:szCs w:val="24"/>
          <w:u w:val="none"/>
          <w14:textFill>
            <w14:solidFill>
              <w14:schemeClr w14:val="tx1"/>
            </w14:solidFill>
          </w14:textFill>
        </w:rPr>
      </w:pPr>
      <w:r>
        <w:rPr>
          <w:rFonts w:hint="eastAsia" w:ascii="宋体" w:hAnsi="宋体" w:eastAsia="宋体" w:cs="宋体"/>
          <w:b/>
          <w:bCs/>
          <w:color w:val="000000" w:themeColor="text1"/>
          <w:sz w:val="24"/>
          <w:szCs w:val="24"/>
          <w:u w:val="none"/>
          <w14:textFill>
            <w14:solidFill>
              <w14:schemeClr w14:val="tx1"/>
            </w14:solidFill>
          </w14:textFill>
        </w:rPr>
        <w:t>2、技术性能指标表</w:t>
      </w:r>
    </w:p>
    <w:tbl>
      <w:tblPr>
        <w:tblStyle w:val="3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36523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tcBorders>
              <w:top w:val="single" w:color="auto" w:sz="4" w:space="0"/>
              <w:left w:val="single" w:color="auto" w:sz="4" w:space="0"/>
              <w:bottom w:val="single" w:color="auto" w:sz="4" w:space="0"/>
              <w:right w:val="single" w:color="auto" w:sz="4" w:space="0"/>
            </w:tcBorders>
            <w:vAlign w:val="center"/>
          </w:tcPr>
          <w:p w14:paraId="15819527">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编号</w:t>
            </w:r>
          </w:p>
        </w:tc>
        <w:tc>
          <w:tcPr>
            <w:tcW w:w="1051" w:type="dxa"/>
            <w:tcBorders>
              <w:top w:val="single" w:color="auto" w:sz="4" w:space="0"/>
              <w:left w:val="single" w:color="auto" w:sz="4" w:space="0"/>
              <w:bottom w:val="single" w:color="auto" w:sz="4" w:space="0"/>
              <w:right w:val="single" w:color="auto" w:sz="4" w:space="0"/>
            </w:tcBorders>
            <w:vAlign w:val="center"/>
          </w:tcPr>
          <w:p w14:paraId="494961C1">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招标技术指标名称</w:t>
            </w:r>
          </w:p>
        </w:tc>
        <w:tc>
          <w:tcPr>
            <w:tcW w:w="7879" w:type="dxa"/>
            <w:gridSpan w:val="2"/>
            <w:tcBorders>
              <w:top w:val="single" w:color="auto" w:sz="4" w:space="0"/>
              <w:left w:val="single" w:color="auto" w:sz="4" w:space="0"/>
              <w:bottom w:val="single" w:color="auto" w:sz="4" w:space="0"/>
              <w:right w:val="single" w:color="auto" w:sz="4" w:space="0"/>
            </w:tcBorders>
            <w:vAlign w:val="center"/>
          </w:tcPr>
          <w:p w14:paraId="4F3405AE">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招标技术指标值</w:t>
            </w:r>
          </w:p>
        </w:tc>
      </w:tr>
      <w:tr w14:paraId="5A72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tcBorders>
              <w:top w:val="single" w:color="auto" w:sz="4" w:space="0"/>
              <w:left w:val="single" w:color="auto" w:sz="4" w:space="0"/>
              <w:bottom w:val="single" w:color="auto" w:sz="4" w:space="0"/>
              <w:right w:val="single" w:color="auto" w:sz="4" w:space="0"/>
            </w:tcBorders>
            <w:vAlign w:val="center"/>
          </w:tcPr>
          <w:p w14:paraId="31C02808">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1</w:t>
            </w:r>
          </w:p>
        </w:tc>
        <w:tc>
          <w:tcPr>
            <w:tcW w:w="1051" w:type="dxa"/>
            <w:tcBorders>
              <w:top w:val="single" w:color="auto" w:sz="4" w:space="0"/>
              <w:left w:val="single" w:color="auto" w:sz="4" w:space="0"/>
              <w:bottom w:val="single" w:color="auto" w:sz="4" w:space="0"/>
              <w:right w:val="single" w:color="auto" w:sz="4" w:space="0"/>
            </w:tcBorders>
            <w:vAlign w:val="center"/>
          </w:tcPr>
          <w:p w14:paraId="553CA9A0">
            <w:pPr>
              <w:widowControl/>
              <w:spacing w:line="360" w:lineRule="auto"/>
              <w:jc w:val="center"/>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应用范围和要求</w:t>
            </w:r>
          </w:p>
        </w:tc>
        <w:tc>
          <w:tcPr>
            <w:tcW w:w="7879" w:type="dxa"/>
            <w:gridSpan w:val="2"/>
            <w:tcBorders>
              <w:top w:val="single" w:color="auto" w:sz="4" w:space="0"/>
              <w:left w:val="single" w:color="auto" w:sz="4" w:space="0"/>
              <w:bottom w:val="single" w:color="auto" w:sz="4" w:space="0"/>
              <w:right w:val="single" w:color="auto" w:sz="4" w:space="0"/>
            </w:tcBorders>
            <w:vAlign w:val="center"/>
          </w:tcPr>
          <w:p w14:paraId="029FAB94">
            <w:pPr>
              <w:widowControl/>
              <w:spacing w:line="360" w:lineRule="auto"/>
              <w:jc w:val="left"/>
              <w:rPr>
                <w:rFonts w:hint="eastAsia" w:ascii="宋体" w:hAnsi="宋体" w:eastAsia="宋体" w:cs="宋体"/>
                <w:bCs/>
                <w:color w:val="000000" w:themeColor="text1"/>
                <w:sz w:val="24"/>
                <w:szCs w:val="24"/>
                <w:u w:val="none"/>
                <w:lang w:eastAsia="zh-CN"/>
                <w14:textFill>
                  <w14:solidFill>
                    <w14:schemeClr w14:val="tx1"/>
                  </w14:solidFill>
                </w14:textFill>
              </w:rPr>
            </w:pPr>
            <w:r>
              <w:rPr>
                <w:rFonts w:hint="eastAsia" w:ascii="宋体" w:hAnsi="宋体" w:eastAsia="宋体" w:cs="宋体"/>
                <w:bCs/>
                <w:color w:val="000000" w:themeColor="text1"/>
                <w:sz w:val="24"/>
                <w:szCs w:val="24"/>
                <w:u w:val="none"/>
                <w:lang w:eastAsia="zh-CN"/>
                <w14:textFill>
                  <w14:solidFill>
                    <w14:schemeClr w14:val="tx1"/>
                  </w14:solidFill>
                </w14:textFill>
              </w:rPr>
              <w:t>▲功能及用途：多通道长期监测荧光仪系统包括多个轻型叶绿素荧光探头，可供实验现场多位点同时使用。多位点，程序化监测植物光合作用，特别适用于研究植物对自然环境变化和受控条件下的响应研究。根据采样间隔设置，续航可达数周和数月的时间。系统可以测量植物叶片，但其紧凑型设计的测量头，也可适用于测量小型样品。</w:t>
            </w:r>
          </w:p>
        </w:tc>
      </w:tr>
      <w:tr w14:paraId="3EFEB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10E2293F">
            <w:pPr>
              <w:widowControl/>
              <w:spacing w:line="360" w:lineRule="auto"/>
              <w:jc w:val="center"/>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2</w:t>
            </w:r>
          </w:p>
          <w:p w14:paraId="2048714B">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5249ECDD">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67E997F9">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5623AC56">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p w14:paraId="7392BE21">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restart"/>
            <w:vAlign w:val="center"/>
          </w:tcPr>
          <w:p w14:paraId="379DE513">
            <w:pPr>
              <w:widowControl/>
              <w:spacing w:line="360" w:lineRule="auto"/>
              <w:ind w:firstLine="120" w:firstLineChars="50"/>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性能指标</w:t>
            </w:r>
          </w:p>
        </w:tc>
        <w:tc>
          <w:tcPr>
            <w:tcW w:w="7879" w:type="dxa"/>
            <w:gridSpan w:val="2"/>
            <w:vAlign w:val="center"/>
          </w:tcPr>
          <w:p w14:paraId="4340CFBB">
            <w:pPr>
              <w:adjustRightInd w:val="0"/>
              <w:snapToGrid w:val="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野外数据采集器</w:t>
            </w:r>
          </w:p>
        </w:tc>
      </w:tr>
      <w:tr w14:paraId="5A709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321FFD98">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60469E0A">
            <w:pPr>
              <w:widowControl/>
              <w:spacing w:line="360" w:lineRule="auto"/>
              <w:ind w:firstLine="120" w:firstLineChars="50"/>
              <w:rPr>
                <w:rFonts w:hint="eastAsia" w:ascii="宋体" w:hAnsi="宋体" w:eastAsia="宋体" w:cs="宋体"/>
                <w:color w:val="000000" w:themeColor="text1"/>
                <w:sz w:val="24"/>
                <w:szCs w:val="24"/>
                <w:u w:val="none"/>
                <w:lang w:val="en-US" w:eastAsia="zh-CN"/>
                <w14:textFill>
                  <w14:solidFill>
                    <w14:schemeClr w14:val="tx1"/>
                  </w14:solidFill>
                </w14:textFill>
              </w:rPr>
            </w:pPr>
          </w:p>
        </w:tc>
        <w:tc>
          <w:tcPr>
            <w:tcW w:w="749" w:type="dxa"/>
            <w:vAlign w:val="center"/>
          </w:tcPr>
          <w:p w14:paraId="26DB9568">
            <w:pPr>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1</w:t>
            </w:r>
          </w:p>
        </w:tc>
        <w:tc>
          <w:tcPr>
            <w:tcW w:w="7130" w:type="dxa"/>
            <w:vAlign w:val="center"/>
          </w:tcPr>
          <w:p w14:paraId="52DFC9AA">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外壳及面板：聚氯乙烯（PVC）外壳和聚甲醛（POM）面板</w:t>
            </w:r>
          </w:p>
        </w:tc>
      </w:tr>
      <w:tr w14:paraId="42019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75607DE8">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618B4816">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E949F1D">
            <w:pPr>
              <w:spacing w:line="360" w:lineRule="auto"/>
              <w:jc w:val="center"/>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2</w:t>
            </w:r>
          </w:p>
        </w:tc>
        <w:tc>
          <w:tcPr>
            <w:tcW w:w="7130" w:type="dxa"/>
            <w:vAlign w:val="center"/>
          </w:tcPr>
          <w:p w14:paraId="1EAA4B06">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数据存储：内部8M闪存，可扩展外部512M MicroSD存储卡</w:t>
            </w:r>
          </w:p>
        </w:tc>
      </w:tr>
      <w:tr w14:paraId="588CD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48A18B0E">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05628EFF">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009483D8">
            <w:pPr>
              <w:spacing w:line="360" w:lineRule="auto"/>
              <w:jc w:val="center"/>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3</w:t>
            </w:r>
          </w:p>
        </w:tc>
        <w:tc>
          <w:tcPr>
            <w:tcW w:w="7130" w:type="dxa"/>
            <w:vAlign w:val="center"/>
          </w:tcPr>
          <w:p w14:paraId="0ADD81F7">
            <w:pPr>
              <w:spacing w:after="160" w:line="360" w:lineRule="auto"/>
              <w:contextualSpacing/>
              <w:jc w:val="left"/>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功耗：待机模式5mW，测量模式取决于连接测量头数量</w:t>
            </w:r>
          </w:p>
        </w:tc>
      </w:tr>
      <w:tr w14:paraId="2BEFF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2C084944">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36FCC98F">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1F061D0C">
            <w:pPr>
              <w:spacing w:line="360" w:lineRule="auto"/>
              <w:jc w:val="center"/>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4</w:t>
            </w:r>
          </w:p>
        </w:tc>
        <w:tc>
          <w:tcPr>
            <w:tcW w:w="7130" w:type="dxa"/>
            <w:vAlign w:val="center"/>
          </w:tcPr>
          <w:p w14:paraId="4DF28E4A">
            <w:pPr>
              <w:adjustRightInd w:val="0"/>
              <w:snapToGrid w:val="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工作环境：-30-60℃</w:t>
            </w:r>
          </w:p>
        </w:tc>
      </w:tr>
      <w:tr w14:paraId="3FA47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74EC7F8">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01C6D405">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5870F152">
            <w:pPr>
              <w:spacing w:line="360" w:lineRule="auto"/>
              <w:jc w:val="center"/>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5</w:t>
            </w:r>
          </w:p>
        </w:tc>
        <w:tc>
          <w:tcPr>
            <w:tcW w:w="7130" w:type="dxa"/>
            <w:vAlign w:val="center"/>
          </w:tcPr>
          <w:p w14:paraId="14BAAB6D">
            <w:pPr>
              <w:adjustRightInd w:val="0"/>
              <w:snapToGrid w:val="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z w:val="24"/>
                <w:szCs w:val="24"/>
                <w:u w:val="none"/>
                <w:shd w:val="clear" w:color="auto" w:fill="FFFFFF"/>
              </w:rPr>
              <w:t>重量：不超过6kg</w:t>
            </w:r>
          </w:p>
        </w:tc>
      </w:tr>
      <w:tr w14:paraId="029F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4B81F14">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721C78D7">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2F5B8327">
            <w:pPr>
              <w:spacing w:line="360" w:lineRule="auto"/>
              <w:jc w:val="center"/>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sz w:val="24"/>
                <w:szCs w:val="24"/>
                <w:u w:val="none"/>
                <w:shd w:val="clear" w:color="auto" w:fill="FFFFFF"/>
              </w:rPr>
              <w:t>▲</w:t>
            </w:r>
            <w:r>
              <w:rPr>
                <w:rFonts w:hint="eastAsia" w:ascii="宋体" w:hAnsi="宋体" w:eastAsia="宋体" w:cs="宋体"/>
                <w:color w:val="000000" w:themeColor="text1"/>
                <w:sz w:val="24"/>
                <w:szCs w:val="24"/>
                <w:u w:val="none"/>
                <w:lang w:val="en-US" w:eastAsia="zh-CN"/>
                <w14:textFill>
                  <w14:solidFill>
                    <w14:schemeClr w14:val="tx1"/>
                  </w14:solidFill>
                </w14:textFill>
              </w:rPr>
              <w:t>6</w:t>
            </w:r>
          </w:p>
        </w:tc>
        <w:tc>
          <w:tcPr>
            <w:tcW w:w="7130" w:type="dxa"/>
            <w:vAlign w:val="center"/>
          </w:tcPr>
          <w:p w14:paraId="612A459C">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分线器：每个分线器最多可连接4个测量头</w:t>
            </w:r>
          </w:p>
        </w:tc>
      </w:tr>
      <w:tr w14:paraId="114DD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B470B7E">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3E09699A">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879" w:type="dxa"/>
            <w:gridSpan w:val="2"/>
            <w:vAlign w:val="center"/>
          </w:tcPr>
          <w:p w14:paraId="2096E731">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测量探头：</w:t>
            </w:r>
          </w:p>
        </w:tc>
      </w:tr>
      <w:tr w14:paraId="25A64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3D12B22">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3FBD0B4F">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745E7676">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1</w:t>
            </w:r>
          </w:p>
        </w:tc>
        <w:tc>
          <w:tcPr>
            <w:tcW w:w="7130" w:type="dxa"/>
            <w:vAlign w:val="center"/>
          </w:tcPr>
          <w:p w14:paraId="3C9A78A0">
            <w:pPr>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测量光：蓝色LED，470 nm，半波宽22nm，12级可调，低频5-25Hz可调，高频100Hz。样品水平测量光光强：5-25Hz，0.15-1.5μmol·m⁻²·s⁻¹，25-100Hz，1.5-22.5μmol·m⁻²·s⁻¹</w:t>
            </w:r>
          </w:p>
        </w:tc>
      </w:tr>
      <w:tr w14:paraId="28A05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34B0672">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7BA49E43">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1BF43DAB">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2</w:t>
            </w:r>
          </w:p>
        </w:tc>
        <w:tc>
          <w:tcPr>
            <w:tcW w:w="7130" w:type="dxa"/>
            <w:vAlign w:val="center"/>
          </w:tcPr>
          <w:p w14:paraId="5D2843EC">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光化光：蓝色LED，470 nm，12级可调。叶夹处的最大连续光强不小于3000μmol·m⁻²·s⁻¹。</w:t>
            </w:r>
          </w:p>
        </w:tc>
      </w:tr>
      <w:tr w14:paraId="61C67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3CE50AE">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47830605">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7AF536B8">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3</w:t>
            </w:r>
          </w:p>
        </w:tc>
        <w:tc>
          <w:tcPr>
            <w:tcW w:w="7130" w:type="dxa"/>
            <w:vAlign w:val="center"/>
          </w:tcPr>
          <w:p w14:paraId="2575A5BD">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饱和脉冲：蓝色LED，470 nm。叶夹处最大饱和闪光强度不小于 8000μmol·m⁻²·s⁻¹。</w:t>
            </w:r>
          </w:p>
        </w:tc>
      </w:tr>
      <w:tr w14:paraId="4973B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6AB1537">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3BDA6EB3">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681BD0C7">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4</w:t>
            </w:r>
          </w:p>
        </w:tc>
        <w:tc>
          <w:tcPr>
            <w:tcW w:w="7130" w:type="dxa"/>
            <w:vAlign w:val="center"/>
          </w:tcPr>
          <w:p w14:paraId="7B832115">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荧光信号检测：带长通滤光片的PIN-光电二极管，带选择性锁相放大器。</w:t>
            </w:r>
          </w:p>
        </w:tc>
      </w:tr>
      <w:tr w14:paraId="60BDF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5D8A3C1">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4B301D11">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726EFBDD">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5</w:t>
            </w:r>
          </w:p>
        </w:tc>
        <w:tc>
          <w:tcPr>
            <w:tcW w:w="7130" w:type="dxa"/>
            <w:vAlign w:val="center"/>
          </w:tcPr>
          <w:p w14:paraId="17071298">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测量参数：Ft, Fo, Fm, F, Fo', Fm', Fv/Fm, Y(II), qL, qP, qN, NPQ, Y(NPQ), Y(NO), ETR α, Ik, ETRmax,光强，温度，湿度。</w:t>
            </w:r>
          </w:p>
        </w:tc>
      </w:tr>
      <w:tr w14:paraId="3119B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BC37F2A">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3B3B6A4E">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62DAEDCA">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6</w:t>
            </w:r>
          </w:p>
        </w:tc>
        <w:tc>
          <w:tcPr>
            <w:tcW w:w="7130" w:type="dxa"/>
            <w:vAlign w:val="center"/>
          </w:tcPr>
          <w:p w14:paraId="3A1371C4">
            <w:pPr>
              <w:spacing w:after="160" w:line="360" w:lineRule="auto"/>
              <w:contextualSpacing/>
              <w:jc w:val="left"/>
              <w:rPr>
                <w:rFonts w:hint="eastAsia" w:ascii="宋体" w:hAnsi="宋体" w:eastAsia="宋体" w:cs="宋体"/>
                <w:sz w:val="24"/>
                <w:szCs w:val="24"/>
                <w:u w:val="none"/>
                <w:shd w:val="clear" w:color="auto" w:fill="FFFFFF"/>
                <w:lang w:eastAsia="zh-CN"/>
              </w:rPr>
            </w:pPr>
            <w:r>
              <w:rPr>
                <w:rFonts w:hint="eastAsia" w:ascii="宋体" w:hAnsi="宋体" w:eastAsia="宋体" w:cs="宋体"/>
                <w:sz w:val="24"/>
                <w:szCs w:val="24"/>
                <w:u w:val="none"/>
                <w:shd w:val="clear" w:color="auto" w:fill="FFFFFF"/>
              </w:rPr>
              <w:t>诱导曲线测量功能：手动或自动，自动模式下有Act.+Yield，诱导曲线，诱导曲线+暗弛豫三种运行模式。手动和自动模式下均可随时更改诱导曲线的光化光强度，饱和脉冲强度，测量过程中能自动分析和记录所有荧光参数的变化趋势。</w:t>
            </w:r>
          </w:p>
        </w:tc>
      </w:tr>
      <w:tr w14:paraId="6B2E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FC0C1C3">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41904EA4">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72F67A07">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color w:val="000000" w:themeColor="text1"/>
                <w:kern w:val="0"/>
                <w:sz w:val="24"/>
                <w:szCs w:val="24"/>
                <w:u w:val="none"/>
                <w:lang w:val="zh-CN"/>
                <w14:textFill>
                  <w14:solidFill>
                    <w14:schemeClr w14:val="tx1"/>
                  </w14:solidFill>
                </w14:textFill>
              </w:rPr>
              <w:t>★</w:t>
            </w:r>
            <w:r>
              <w:rPr>
                <w:rFonts w:hint="eastAsia" w:ascii="宋体" w:hAnsi="宋体" w:eastAsia="宋体" w:cs="宋体"/>
                <w:sz w:val="24"/>
                <w:szCs w:val="24"/>
                <w:u w:val="none"/>
                <w:shd w:val="clear" w:color="auto" w:fill="FFFFFF"/>
                <w:lang w:val="en-US" w:eastAsia="zh-CN"/>
              </w:rPr>
              <w:t>7</w:t>
            </w:r>
          </w:p>
        </w:tc>
        <w:tc>
          <w:tcPr>
            <w:tcW w:w="7130" w:type="dxa"/>
            <w:vAlign w:val="center"/>
          </w:tcPr>
          <w:p w14:paraId="75B33CBE">
            <w:pPr>
              <w:spacing w:after="160" w:line="360" w:lineRule="auto"/>
              <w:contextualSpacing/>
              <w:jc w:val="left"/>
              <w:rPr>
                <w:rFonts w:hint="eastAsia" w:ascii="宋体" w:hAnsi="宋体" w:eastAsia="宋体" w:cs="宋体"/>
                <w:sz w:val="24"/>
                <w:szCs w:val="24"/>
                <w:u w:val="none"/>
                <w:shd w:val="clear" w:color="auto" w:fill="FFFFFF"/>
                <w:lang w:eastAsia="zh-CN"/>
              </w:rPr>
            </w:pPr>
            <w:r>
              <w:rPr>
                <w:rFonts w:hint="eastAsia" w:ascii="宋体" w:hAnsi="宋体" w:eastAsia="宋体" w:cs="宋体"/>
                <w:sz w:val="24"/>
                <w:szCs w:val="24"/>
                <w:u w:val="none"/>
                <w:shd w:val="clear" w:color="auto" w:fill="FFFFFF"/>
              </w:rPr>
              <w:t>光曲线测量功能：光梯度个数不少于12个，自带拟合方程，可对光曲线进行不少于两种模式的拟合，拟合得到α、ETRmax、Ik等参数。</w:t>
            </w:r>
          </w:p>
        </w:tc>
      </w:tr>
      <w:tr w14:paraId="63AD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FD1B098">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11D50B41">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7EE7C699">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8</w:t>
            </w:r>
          </w:p>
        </w:tc>
        <w:tc>
          <w:tcPr>
            <w:tcW w:w="7130" w:type="dxa"/>
            <w:vAlign w:val="center"/>
          </w:tcPr>
          <w:p w14:paraId="0B50CE51">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时钟重复功能：间隔可以在10s-60min内设置，重复指令：SAT.Pulse、Act.+Yield、诱导曲线、诱导曲线+暗弛豫、光曲线、光曲线+暗弛豫等6种测量程序。</w:t>
            </w:r>
          </w:p>
        </w:tc>
      </w:tr>
      <w:tr w14:paraId="328F4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3BACFF34">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336D5B79">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0294D07A">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rPr>
              <w:t>▲</w:t>
            </w:r>
            <w:r>
              <w:rPr>
                <w:rFonts w:hint="eastAsia" w:ascii="宋体" w:hAnsi="宋体" w:eastAsia="宋体" w:cs="宋体"/>
                <w:sz w:val="24"/>
                <w:szCs w:val="24"/>
                <w:u w:val="none"/>
                <w:shd w:val="clear" w:color="auto" w:fill="FFFFFF"/>
                <w:lang w:val="en-US" w:eastAsia="zh-CN"/>
              </w:rPr>
              <w:t>9</w:t>
            </w:r>
          </w:p>
        </w:tc>
        <w:tc>
          <w:tcPr>
            <w:tcW w:w="7130" w:type="dxa"/>
            <w:vAlign w:val="center"/>
          </w:tcPr>
          <w:p w14:paraId="3E2D9618">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自定义程序定制功能：模块化命令，可以完成非标准化的自定义实验流程，如光周期震荡实验，状态转换实验，晚上测Fo和Fm，白天测Y(II)的实验。可录制手动操作流程后自动重复已完成的手动测量。</w:t>
            </w:r>
          </w:p>
        </w:tc>
      </w:tr>
      <w:tr w14:paraId="01AE3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5B7CF10">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334C33E1">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32CB0D1B">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10</w:t>
            </w:r>
          </w:p>
        </w:tc>
        <w:tc>
          <w:tcPr>
            <w:tcW w:w="7130" w:type="dxa"/>
            <w:vAlign w:val="center"/>
          </w:tcPr>
          <w:p w14:paraId="7C6808A5">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窗口浮动功能：图表窗口，诱导曲线窗口，光曲线窗口可浮动显示。</w:t>
            </w:r>
          </w:p>
        </w:tc>
      </w:tr>
      <w:tr w14:paraId="2E61F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581EEA2">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02A5A148">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60D89403">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11</w:t>
            </w:r>
          </w:p>
        </w:tc>
        <w:tc>
          <w:tcPr>
            <w:tcW w:w="7130" w:type="dxa"/>
            <w:vAlign w:val="center"/>
          </w:tcPr>
          <w:p w14:paraId="5CCE7F8A">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数据显示与标记：可以连续显示数据采集过程及完整的动力学曲线过程；可以显示所有荧光参数随曲线进程的动态变化；可以对每一条测量数据进行标记，用于样品间区分，标记信息随数据集同步保存.</w:t>
            </w:r>
          </w:p>
        </w:tc>
      </w:tr>
      <w:tr w14:paraId="34064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49CEB0C">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31830744">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6F9F1418">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12</w:t>
            </w:r>
          </w:p>
        </w:tc>
        <w:tc>
          <w:tcPr>
            <w:tcW w:w="7130" w:type="dxa"/>
            <w:vAlign w:val="center"/>
          </w:tcPr>
          <w:p w14:paraId="5C772A5D">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数据保存功能：一键保存曲线，数值数据，手动和自动模式下的动力学曲线轨迹，荧光参数均可导出csv，可保存测量设置。</w:t>
            </w:r>
          </w:p>
        </w:tc>
      </w:tr>
      <w:tr w14:paraId="5867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DE1ED31">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28AD4AD0">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78629632">
            <w:pPr>
              <w:spacing w:line="360" w:lineRule="auto"/>
              <w:jc w:val="center"/>
              <w:rPr>
                <w:rFonts w:hint="eastAsia"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13</w:t>
            </w:r>
          </w:p>
        </w:tc>
        <w:tc>
          <w:tcPr>
            <w:tcW w:w="7130" w:type="dxa"/>
            <w:vAlign w:val="center"/>
          </w:tcPr>
          <w:p w14:paraId="3709A530">
            <w:p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PAR传感器：检测范围0-7000μmol·m⁻²·s⁻¹ ±30°余弦校正，检测精度1μmol·m⁻²·s⁻¹</w:t>
            </w:r>
          </w:p>
        </w:tc>
      </w:tr>
      <w:tr w14:paraId="3C798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D1264F0">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5E35592F">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736D0158">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sz w:val="24"/>
                <w:szCs w:val="24"/>
                <w:u w:val="none"/>
                <w:shd w:val="clear" w:color="auto" w:fill="FFFFFF"/>
                <w:lang w:val="en-US" w:eastAsia="zh-CN"/>
              </w:rPr>
              <w:t>14</w:t>
            </w:r>
          </w:p>
        </w:tc>
        <w:tc>
          <w:tcPr>
            <w:tcW w:w="7130" w:type="dxa"/>
            <w:vAlign w:val="center"/>
          </w:tcPr>
          <w:p w14:paraId="256305A9">
            <w:pPr>
              <w:spacing w:after="160" w:line="360" w:lineRule="auto"/>
              <w:contextualSpacing/>
              <w:jc w:val="left"/>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温度传感器：检测范围-20-60℃</w:t>
            </w:r>
          </w:p>
        </w:tc>
      </w:tr>
      <w:tr w14:paraId="2F244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6C3D042">
            <w:pPr>
              <w:widowControl/>
              <w:spacing w:line="360" w:lineRule="auto"/>
              <w:jc w:val="center"/>
              <w:rPr>
                <w:rFonts w:hint="eastAsia" w:ascii="宋体" w:hAnsi="宋体" w:eastAsia="宋体" w:cs="宋体"/>
                <w:color w:val="000000" w:themeColor="text1"/>
                <w:sz w:val="24"/>
                <w:szCs w:val="24"/>
                <w:u w:val="none"/>
                <w14:textFill>
                  <w14:solidFill>
                    <w14:schemeClr w14:val="tx1"/>
                  </w14:solidFill>
                </w14:textFill>
              </w:rPr>
            </w:pPr>
          </w:p>
        </w:tc>
        <w:tc>
          <w:tcPr>
            <w:tcW w:w="1051" w:type="dxa"/>
            <w:vMerge w:val="continue"/>
            <w:vAlign w:val="center"/>
          </w:tcPr>
          <w:p w14:paraId="17AD4FBD">
            <w:pPr>
              <w:widowControl/>
              <w:spacing w:line="360" w:lineRule="auto"/>
              <w:ind w:firstLine="120" w:firstLineChars="50"/>
              <w:rPr>
                <w:rFonts w:hint="eastAsia" w:ascii="宋体" w:hAnsi="宋体" w:eastAsia="宋体" w:cs="宋体"/>
                <w:color w:val="000000" w:themeColor="text1"/>
                <w:sz w:val="24"/>
                <w:szCs w:val="24"/>
                <w:u w:val="none"/>
                <w14:textFill>
                  <w14:solidFill>
                    <w14:schemeClr w14:val="tx1"/>
                  </w14:solidFill>
                </w14:textFill>
              </w:rPr>
            </w:pPr>
          </w:p>
        </w:tc>
        <w:tc>
          <w:tcPr>
            <w:tcW w:w="749" w:type="dxa"/>
            <w:vAlign w:val="center"/>
          </w:tcPr>
          <w:p w14:paraId="67706783">
            <w:pPr>
              <w:spacing w:line="360" w:lineRule="auto"/>
              <w:jc w:val="center"/>
              <w:rPr>
                <w:rFonts w:hint="default" w:ascii="宋体" w:hAnsi="宋体" w:eastAsia="宋体" w:cs="宋体"/>
                <w:sz w:val="24"/>
                <w:szCs w:val="24"/>
                <w:u w:val="none"/>
                <w:shd w:val="clear" w:color="auto" w:fill="FFFFFF"/>
                <w:lang w:val="en-US" w:eastAsia="zh-CN"/>
              </w:rPr>
            </w:pPr>
            <w:r>
              <w:rPr>
                <w:rFonts w:hint="eastAsia" w:ascii="宋体" w:hAnsi="宋体" w:eastAsia="宋体" w:cs="宋体"/>
                <w:color w:val="000000" w:themeColor="text1"/>
                <w:kern w:val="0"/>
                <w:sz w:val="24"/>
                <w:szCs w:val="24"/>
                <w:u w:val="none"/>
                <w:lang w:val="en-US" w:eastAsia="zh-CN"/>
                <w14:textFill>
                  <w14:solidFill>
                    <w14:schemeClr w14:val="tx1"/>
                  </w14:solidFill>
                </w14:textFill>
              </w:rPr>
              <w:t>15</w:t>
            </w:r>
          </w:p>
        </w:tc>
        <w:tc>
          <w:tcPr>
            <w:tcW w:w="7130" w:type="dxa"/>
            <w:vAlign w:val="center"/>
          </w:tcPr>
          <w:p w14:paraId="7C2D0F5E">
            <w:pPr>
              <w:numPr>
                <w:ilvl w:val="0"/>
                <w:numId w:val="0"/>
              </w:numPr>
              <w:adjustRightInd w:val="0"/>
              <w:snapToGrid w:val="0"/>
              <w:spacing w:line="360" w:lineRule="auto"/>
              <w:rPr>
                <w:rFonts w:hint="eastAsia" w:ascii="宋体" w:hAnsi="宋体" w:eastAsia="宋体" w:cs="宋体"/>
                <w:sz w:val="24"/>
                <w:szCs w:val="24"/>
                <w:u w:val="none"/>
                <w:shd w:val="clear" w:color="auto" w:fill="FFFFFF"/>
              </w:rPr>
            </w:pPr>
            <w:r>
              <w:rPr>
                <w:rFonts w:hint="eastAsia" w:ascii="宋体" w:hAnsi="宋体" w:eastAsia="宋体" w:cs="宋体"/>
                <w:sz w:val="24"/>
                <w:szCs w:val="24"/>
                <w:u w:val="none"/>
                <w:shd w:val="clear" w:color="auto" w:fill="FFFFFF"/>
              </w:rPr>
              <w:t>湿度传感器：检测范围0-100% RH</w:t>
            </w:r>
          </w:p>
        </w:tc>
      </w:tr>
    </w:tbl>
    <w:p w14:paraId="1CB9C0D6">
      <w:pPr>
        <w:pStyle w:val="36"/>
        <w:ind w:firstLine="0" w:firstLineChars="0"/>
        <w:rPr>
          <w:rFonts w:hint="default" w:eastAsia="宋体"/>
          <w:sz w:val="24"/>
          <w:szCs w:val="24"/>
          <w:lang w:val="en-US" w:eastAsia="zh-CN"/>
        </w:rPr>
      </w:pPr>
      <w:r>
        <w:rPr>
          <w:rFonts w:hint="eastAsia"/>
          <w:sz w:val="24"/>
          <w:szCs w:val="24"/>
          <w:lang w:val="en-US" w:eastAsia="zh-CN"/>
        </w:rPr>
        <w:t>三、商务部分</w:t>
      </w:r>
    </w:p>
    <w:p w14:paraId="35488108">
      <w:pPr>
        <w:numPr>
          <w:ilvl w:val="0"/>
          <w:numId w:val="22"/>
        </w:numPr>
        <w:autoSpaceDE w:val="0"/>
        <w:autoSpaceDN w:val="0"/>
        <w:adjustRightInd w:val="0"/>
        <w:spacing w:line="360" w:lineRule="auto"/>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★交货地点：</w:t>
      </w:r>
      <w:r>
        <w:rPr>
          <w:rFonts w:ascii="宋体" w:hAnsi="宋体" w:eastAsia="宋体" w:cs="仿宋"/>
          <w:sz w:val="24"/>
          <w:szCs w:val="24"/>
          <w:lang w:val="en"/>
        </w:rPr>
        <w:t>广州市天河区兴科路723号中国科学院华南植物园</w:t>
      </w:r>
      <w:r>
        <w:rPr>
          <w:rFonts w:hint="eastAsia" w:ascii="宋体" w:hAnsi="宋体" w:eastAsia="宋体" w:cs="宋体"/>
          <w:color w:val="000000" w:themeColor="text1"/>
          <w:kern w:val="0"/>
          <w:sz w:val="24"/>
          <w:szCs w:val="24"/>
          <w:lang w:val="zh-CN"/>
          <w14:textFill>
            <w14:solidFill>
              <w14:schemeClr w14:val="tx1"/>
            </w14:solidFill>
          </w14:textFill>
        </w:rPr>
        <w:t>指定地点</w:t>
      </w:r>
    </w:p>
    <w:p w14:paraId="51C131B1">
      <w:pPr>
        <w:numPr>
          <w:ilvl w:val="0"/>
          <w:numId w:val="2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★交货期：</w:t>
      </w:r>
      <w:r>
        <w:rPr>
          <w:rFonts w:hint="eastAsia" w:ascii="宋体" w:hAnsi="宋体" w:eastAsia="宋体" w:cs="宋体"/>
          <w:b w:val="0"/>
          <w:bCs w:val="0"/>
          <w:color w:val="000000" w:themeColor="text1"/>
          <w:kern w:val="0"/>
          <w:sz w:val="24"/>
          <w:szCs w:val="24"/>
          <w:lang w:val="zh-CN"/>
          <w14:textFill>
            <w14:solidFill>
              <w14:schemeClr w14:val="tx1"/>
            </w14:solidFill>
          </w14:textFill>
        </w:rPr>
        <w:t>签订合同后 90 天（日历日）内交货。</w:t>
      </w:r>
    </w:p>
    <w:p w14:paraId="032DEEDD">
      <w:pPr>
        <w:numPr>
          <w:ilvl w:val="0"/>
          <w:numId w:val="22"/>
        </w:numPr>
        <w:tabs>
          <w:tab w:val="left" w:pos="420"/>
        </w:tabs>
        <w:autoSpaceDE w:val="0"/>
        <w:autoSpaceDN w:val="0"/>
        <w:adjustRightInd w:val="0"/>
        <w:spacing w:line="360" w:lineRule="auto"/>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★报价方式及要求：</w:t>
      </w:r>
    </w:p>
    <w:p w14:paraId="3D2D2CFF">
      <w:pPr>
        <w:tabs>
          <w:tab w:val="left" w:pos="900"/>
        </w:tabs>
        <w:spacing w:line="360" w:lineRule="auto"/>
        <w:rPr>
          <w:rFonts w:hint="eastAsia" w:ascii="宋体" w:hAnsi="宋体" w:cs="仿宋_GB2312"/>
          <w:sz w:val="24"/>
          <w:highlight w:val="none"/>
        </w:rPr>
      </w:pPr>
      <w:r>
        <w:rPr>
          <w:rFonts w:hint="eastAsia" w:ascii="宋体" w:hAnsi="宋体" w:cs="仿宋_GB2312"/>
          <w:bCs/>
          <w:sz w:val="24"/>
          <w:highlight w:val="none"/>
        </w:rPr>
        <w:t>3.1</w:t>
      </w:r>
      <w:r>
        <w:rPr>
          <w:rFonts w:hint="eastAsia" w:ascii="宋体" w:hAnsi="宋体" w:cs="仿宋_GB2312"/>
          <w:sz w:val="24"/>
          <w:highlight w:val="none"/>
        </w:rPr>
        <w:t>本项目</w:t>
      </w:r>
      <w:r>
        <w:rPr>
          <w:rFonts w:hint="eastAsia" w:ascii="宋体" w:hAnsi="宋体" w:cs="仿宋_GB2312"/>
          <w:sz w:val="24"/>
          <w:highlight w:val="none"/>
          <w:lang w:val="en-US" w:eastAsia="zh-CN"/>
        </w:rPr>
        <w:t>第三包</w:t>
      </w:r>
      <w:r>
        <w:rPr>
          <w:rFonts w:hint="eastAsia" w:ascii="宋体" w:hAnsi="宋体" w:cs="仿宋_GB2312"/>
          <w:sz w:val="24"/>
          <w:highlight w:val="none"/>
        </w:rPr>
        <w:t>允许采购进口产品</w:t>
      </w:r>
      <w:r>
        <w:rPr>
          <w:rFonts w:hint="eastAsia" w:ascii="宋体" w:hAnsi="宋体" w:eastAsia="宋体" w:cs="仿宋_GB2312"/>
          <w:sz w:val="24"/>
          <w:highlight w:val="none"/>
        </w:rPr>
        <w:t>（进口产品是指</w:t>
      </w:r>
      <w:r>
        <w:rPr>
          <w:rFonts w:hint="eastAsia" w:ascii="宋体" w:hAnsi="宋体" w:eastAsia="宋体" w:cs="仿宋_GB2312"/>
          <w:sz w:val="24"/>
          <w:szCs w:val="24"/>
          <w:highlight w:val="none"/>
        </w:rPr>
        <w:t>通过中国海关报关验放进入中国境内且产自关境外的产品）</w:t>
      </w:r>
      <w:r>
        <w:rPr>
          <w:rFonts w:hint="eastAsia" w:ascii="宋体" w:hAnsi="宋体" w:cs="仿宋_GB2312"/>
          <w:sz w:val="24"/>
          <w:highlight w:val="none"/>
        </w:rPr>
        <w:t>，在</w:t>
      </w:r>
      <w:r>
        <w:rPr>
          <w:rFonts w:hint="eastAsia" w:ascii="宋体" w:hAnsi="宋体" w:eastAsia="宋体" w:cs="仿宋_GB2312"/>
          <w:sz w:val="24"/>
          <w:szCs w:val="24"/>
          <w:highlight w:val="none"/>
        </w:rPr>
        <w:t>中国关境外提供的</w:t>
      </w:r>
      <w:r>
        <w:rPr>
          <w:rFonts w:hint="eastAsia" w:ascii="宋体" w:hAnsi="宋体" w:cs="仿宋_GB2312"/>
          <w:sz w:val="24"/>
          <w:highlight w:val="none"/>
        </w:rPr>
        <w:t>进口产品与服务报CI</w:t>
      </w:r>
      <w:r>
        <w:rPr>
          <w:rFonts w:hint="eastAsia" w:ascii="宋体" w:hAnsi="宋体" w:cs="仿宋_GB2312"/>
          <w:color w:val="auto"/>
          <w:sz w:val="24"/>
          <w:highlight w:val="none"/>
        </w:rPr>
        <w:t>P项目现场</w:t>
      </w:r>
      <w:r>
        <w:rPr>
          <w:rFonts w:hint="eastAsia" w:ascii="宋体" w:hAnsi="宋体" w:cs="仿宋_GB2312"/>
          <w:sz w:val="24"/>
          <w:highlight w:val="none"/>
        </w:rPr>
        <w:t>人民币价（</w:t>
      </w:r>
      <w:r>
        <w:rPr>
          <w:rFonts w:hint="eastAsia" w:ascii="宋体" w:hAnsi="宋体" w:eastAsia="宋体" w:cs="仿宋_GB2312"/>
          <w:sz w:val="24"/>
          <w:szCs w:val="24"/>
          <w:highlight w:val="none"/>
        </w:rPr>
        <w:t>不包括外贸代理费及应向中华人民共和国政府缴纳的进口环节税</w:t>
      </w:r>
      <w:r>
        <w:rPr>
          <w:rFonts w:hint="eastAsia" w:ascii="宋体" w:hAnsi="宋体" w:eastAsia="宋体" w:cs="仿宋_GB2312"/>
          <w:sz w:val="24"/>
          <w:szCs w:val="24"/>
          <w:highlight w:val="none"/>
          <w:lang w:eastAsia="zh-CN"/>
        </w:rPr>
        <w:t>，</w:t>
      </w:r>
      <w:r>
        <w:rPr>
          <w:rFonts w:hint="eastAsia" w:ascii="宋体" w:hAnsi="宋体" w:eastAsia="宋体" w:cs="仿宋_GB2312"/>
          <w:sz w:val="24"/>
          <w:szCs w:val="24"/>
          <w:highlight w:val="none"/>
          <w:lang w:val="en-US" w:eastAsia="zh-CN"/>
        </w:rPr>
        <w:t>外贸代理费以及清关杂费等由中标人承担</w:t>
      </w:r>
      <w:r>
        <w:rPr>
          <w:rFonts w:hint="eastAsia" w:ascii="宋体" w:hAnsi="宋体" w:eastAsia="宋体" w:cs="仿宋_GB2312"/>
          <w:sz w:val="24"/>
          <w:szCs w:val="24"/>
          <w:highlight w:val="none"/>
        </w:rPr>
        <w:t>）</w:t>
      </w:r>
    </w:p>
    <w:p w14:paraId="6E5A0BCF">
      <w:pPr>
        <w:tabs>
          <w:tab w:val="left" w:pos="900"/>
        </w:tabs>
        <w:spacing w:line="360" w:lineRule="auto"/>
        <w:rPr>
          <w:rFonts w:hint="eastAsia" w:ascii="宋体" w:hAnsi="宋体" w:eastAsia="宋体" w:cs="仿宋_GB2312"/>
          <w:sz w:val="24"/>
          <w:highlight w:val="none"/>
        </w:rPr>
      </w:pPr>
      <w:r>
        <w:rPr>
          <w:rFonts w:hint="eastAsia" w:ascii="宋体" w:hAnsi="宋体" w:eastAsia="宋体" w:cs="仿宋_GB2312"/>
          <w:sz w:val="24"/>
          <w:szCs w:val="24"/>
          <w:highlight w:val="none"/>
        </w:rPr>
        <w:t>3.2在中国关境内提供的进口产品及其有关服务的报项目现场人民币价。</w:t>
      </w:r>
      <w:r>
        <w:rPr>
          <w:rFonts w:hint="eastAsia" w:ascii="宋体" w:hAnsi="宋体" w:eastAsia="宋体" w:cs="仿宋_GB2312"/>
          <w:sz w:val="24"/>
          <w:highlight w:val="none"/>
        </w:rPr>
        <w:t>报价中需包括</w:t>
      </w:r>
      <w:r>
        <w:rPr>
          <w:rFonts w:hint="eastAsia" w:ascii="宋体" w:hAnsi="宋体" w:eastAsia="宋体" w:cs="仿宋_GB2312"/>
          <w:sz w:val="24"/>
          <w:szCs w:val="24"/>
          <w:highlight w:val="none"/>
        </w:rPr>
        <w:t>向中华人民共和国政府缴纳的进口环节税、运输费、保险费以及所有至项目现场的其他相关费用。</w:t>
      </w:r>
    </w:p>
    <w:p w14:paraId="103E7478">
      <w:pPr>
        <w:tabs>
          <w:tab w:val="left" w:pos="900"/>
        </w:tabs>
        <w:spacing w:line="360" w:lineRule="auto"/>
        <w:rPr>
          <w:rFonts w:hint="eastAsia" w:ascii="宋体" w:hAnsi="宋体" w:cs="仿宋_GB2312"/>
          <w:sz w:val="24"/>
          <w:highlight w:val="none"/>
        </w:rPr>
      </w:pPr>
      <w:r>
        <w:rPr>
          <w:rFonts w:hint="eastAsia" w:ascii="宋体" w:hAnsi="宋体" w:cs="仿宋_GB2312"/>
          <w:sz w:val="24"/>
          <w:highlight w:val="none"/>
        </w:rPr>
        <w:t>3.3 国产产品与服务报项目现场交货人民币价。报价中需包括制造、装配和发运货物所使用的材料、部件及货物本身已支付或将支付的产品税、销售税和其它税费。</w:t>
      </w:r>
    </w:p>
    <w:p w14:paraId="3884D09D">
      <w:pPr>
        <w:tabs>
          <w:tab w:val="left" w:pos="900"/>
        </w:tabs>
        <w:spacing w:line="360" w:lineRule="auto"/>
        <w:rPr>
          <w:rFonts w:hint="eastAsia" w:ascii="宋体" w:hAnsi="宋体" w:eastAsia="宋体" w:cs="仿宋_GB2312"/>
          <w:sz w:val="24"/>
          <w:highlight w:val="none"/>
        </w:rPr>
      </w:pPr>
      <w:r>
        <w:rPr>
          <w:rFonts w:hint="eastAsia" w:ascii="宋体" w:hAnsi="宋体" w:eastAsia="宋体" w:cs="仿宋_GB2312"/>
          <w:sz w:val="24"/>
          <w:szCs w:val="24"/>
          <w:highlight w:val="none"/>
        </w:rPr>
        <w:t>3.4 在中国境内的海关特殊监管区域内生产或加工销往境内其他地区的产品，不视为政府采购项下的进口产品，但报价要求同</w:t>
      </w:r>
      <w:r>
        <w:rPr>
          <w:rFonts w:hint="eastAsia" w:ascii="宋体" w:hAnsi="宋体" w:eastAsia="宋体" w:cs="仿宋_GB2312"/>
          <w:sz w:val="24"/>
          <w:szCs w:val="24"/>
          <w:highlight w:val="none"/>
          <w:lang w:val="en-US" w:eastAsia="zh-CN"/>
        </w:rPr>
        <w:t>3.</w:t>
      </w:r>
      <w:r>
        <w:rPr>
          <w:rFonts w:hint="eastAsia" w:ascii="宋体" w:hAnsi="宋体" w:eastAsia="宋体" w:cs="仿宋_GB2312"/>
          <w:sz w:val="24"/>
          <w:szCs w:val="24"/>
          <w:highlight w:val="none"/>
        </w:rPr>
        <w:t>1。</w:t>
      </w:r>
    </w:p>
    <w:p w14:paraId="0B352AAF">
      <w:pPr>
        <w:adjustRightInd w:val="0"/>
        <w:snapToGrid w:val="0"/>
        <w:spacing w:line="360" w:lineRule="auto"/>
        <w:rPr>
          <w:rFonts w:hint="eastAsia" w:ascii="宋体" w:hAnsi="宋体" w:cs="仿宋_GB2312"/>
          <w:bCs/>
          <w:sz w:val="24"/>
          <w:highlight w:val="none"/>
        </w:rPr>
      </w:pPr>
      <w:r>
        <w:rPr>
          <w:rFonts w:hint="eastAsia" w:ascii="宋体" w:hAnsi="宋体" w:cs="仿宋_GB2312"/>
          <w:bCs/>
          <w:sz w:val="24"/>
          <w:highlight w:val="none"/>
        </w:rPr>
        <w:t>3.5上述价格的构成须按在分项报价表中格式要求详细列出。</w:t>
      </w:r>
    </w:p>
    <w:p w14:paraId="37C6E5AE">
      <w:pPr>
        <w:tabs>
          <w:tab w:val="left" w:pos="0"/>
        </w:tabs>
        <w:autoSpaceDE w:val="0"/>
        <w:autoSpaceDN w:val="0"/>
        <w:adjustRightInd w:val="0"/>
        <w:spacing w:line="360" w:lineRule="auto"/>
        <w:rPr>
          <w:rFonts w:hint="eastAsia"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cs="仿宋_GB2312"/>
          <w:bCs/>
          <w:sz w:val="24"/>
          <w:highlight w:val="none"/>
        </w:rPr>
        <w:t>3.6 对原产于美国的产品，进口时在正常科创免税之外，中国政府加征的特殊关税由中标人承担。</w:t>
      </w:r>
    </w:p>
    <w:p w14:paraId="21302457">
      <w:pPr>
        <w:numPr>
          <w:ilvl w:val="0"/>
          <w:numId w:val="22"/>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b/>
          <w:bCs/>
          <w:color w:val="000000" w:themeColor="text1"/>
          <w:kern w:val="0"/>
          <w:sz w:val="24"/>
          <w:szCs w:val="24"/>
          <w:lang w:val="en-US" w:eastAsia="zh-CN"/>
          <w14:textFill>
            <w14:solidFill>
              <w14:schemeClr w14:val="tx1"/>
            </w14:solidFill>
          </w14:textFill>
        </w:rPr>
        <w:t>关于厂家授权：</w:t>
      </w:r>
    </w:p>
    <w:p w14:paraId="38BE366C">
      <w:pPr>
        <w:numPr>
          <w:ilvl w:val="0"/>
          <w:numId w:val="0"/>
        </w:numPr>
        <w:tabs>
          <w:tab w:val="left" w:pos="0"/>
        </w:tabs>
        <w:autoSpaceDE w:val="0"/>
        <w:autoSpaceDN w:val="0"/>
        <w:adjustRightInd w:val="0"/>
        <w:spacing w:line="360" w:lineRule="auto"/>
        <w:ind w:leftChars="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若所投产品为进口，则投标人需提供由设备制造商或其授权的合法代理商（包括但不限于中国总代理、区域代理等）签署的合法有效的授权文件扫描件。</w:t>
      </w:r>
    </w:p>
    <w:p w14:paraId="2E0F3A6F">
      <w:pPr>
        <w:numPr>
          <w:ilvl w:val="0"/>
          <w:numId w:val="0"/>
        </w:numPr>
        <w:tabs>
          <w:tab w:val="left" w:pos="0"/>
        </w:tabs>
        <w:autoSpaceDE w:val="0"/>
        <w:autoSpaceDN w:val="0"/>
        <w:adjustRightInd w:val="0"/>
        <w:spacing w:line="360" w:lineRule="auto"/>
        <w:ind w:leftChars="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（1）若是设备制造商直接授权给投标人的，投标人需提供由设备制造商直接授权的授权证明扫描件；若投标人提供的证明材料无法体现授权书是制造商出具的，将作投标无效处理。</w:t>
      </w:r>
    </w:p>
    <w:p w14:paraId="18F240FF">
      <w:pPr>
        <w:numPr>
          <w:ilvl w:val="0"/>
          <w:numId w:val="0"/>
        </w:numPr>
        <w:tabs>
          <w:tab w:val="left" w:pos="0"/>
        </w:tabs>
        <w:autoSpaceDE w:val="0"/>
        <w:autoSpaceDN w:val="0"/>
        <w:adjustRightInd w:val="0"/>
        <w:spacing w:line="360" w:lineRule="auto"/>
        <w:ind w:leftChars="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2）若是设备制造商的合法代理商（如中国总代理、区域代理等）授权给投标人的，投标人需提供设备制造商直接授权给该代理商的授权证明，以及该代理商授权给投标人的授权证明扫描件。若投标人提供的证明材料无法体现完整的授权链条或无法确认该代理商具备合法授权资格，将作投标无效处理。</w:t>
      </w:r>
    </w:p>
    <w:p w14:paraId="27FB28AD">
      <w:pPr>
        <w:numPr>
          <w:ilvl w:val="0"/>
          <w:numId w:val="0"/>
        </w:numPr>
        <w:tabs>
          <w:tab w:val="left" w:pos="0"/>
        </w:tabs>
        <w:autoSpaceDE w:val="0"/>
        <w:autoSpaceDN w:val="0"/>
        <w:adjustRightInd w:val="0"/>
        <w:spacing w:line="360" w:lineRule="auto"/>
        <w:ind w:leftChars="0"/>
        <w:rPr>
          <w:rFonts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若所投产品为国产产品，则无需提供上述证明文件。</w:t>
      </w:r>
    </w:p>
    <w:p w14:paraId="6736BDEE">
      <w:pPr>
        <w:numPr>
          <w:ilvl w:val="0"/>
          <w:numId w:val="22"/>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★付款方式：</w:t>
      </w:r>
    </w:p>
    <w:p w14:paraId="0DD6E38C">
      <w:pPr>
        <w:pStyle w:val="8"/>
        <w:spacing w:line="360" w:lineRule="auto"/>
        <w:rPr>
          <w:rFonts w:hint="eastAsia" w:cs="宋体"/>
          <w:b/>
          <w:bCs/>
          <w:color w:val="FF0000"/>
        </w:rPr>
      </w:pPr>
      <w:r>
        <w:rPr>
          <w:rFonts w:hint="eastAsia" w:cs="宋体"/>
          <w:b/>
          <w:bCs/>
          <w:color w:val="FF0000"/>
        </w:rPr>
        <w:t>国产产品：</w:t>
      </w:r>
    </w:p>
    <w:p w14:paraId="15C3488E">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宋体"/>
          <w:lang w:eastAsia="zh-CN"/>
        </w:rPr>
      </w:pPr>
      <w:r>
        <w:rPr>
          <w:rFonts w:cs="宋体"/>
        </w:rPr>
        <w:t>本合同签订之日起 30 个工作日内，卖方应向买方提交金额为合同总价 100% 的预付款保函。该保函应由在中国境内依法设立的商业银行、政策性银行或经国家金融监管部门批准的保险机构出具，性质为不可撤销、不可转让、见索即付的独立保函。买方收到符合前款要求的保函原件（或经核验的电子保函）并确认无误后 10 个工作日内，向卖方支付合同总价 100% 的合同款。保函有效期自保函出具之日起，至以下两个日期中较晚者之日第30日止：1）设备到货、安装调试完成，且上级主管部门组织的正式技术验收合格之日；2）本合同约定的履约保证金生效之日</w:t>
      </w:r>
      <w:r>
        <w:rPr>
          <w:rFonts w:hint="eastAsia" w:cs="宋体"/>
          <w:lang w:eastAsia="zh-CN"/>
        </w:rPr>
        <w:t>。</w:t>
      </w:r>
    </w:p>
    <w:p w14:paraId="4EA1090A">
      <w:pPr>
        <w:pStyle w:val="8"/>
        <w:spacing w:line="360" w:lineRule="auto"/>
        <w:rPr>
          <w:rFonts w:cs="宋体"/>
        </w:rPr>
      </w:pPr>
      <w:r>
        <w:rPr>
          <w:rFonts w:hint="eastAsia" w:cs="宋体"/>
        </w:rPr>
        <w:t>履约保证金：</w:t>
      </w:r>
      <w:r>
        <w:rPr>
          <w:rFonts w:cs="宋体"/>
        </w:rPr>
        <w:t>卖方需在完成技术验收后30</w:t>
      </w:r>
      <w:r>
        <w:rPr>
          <w:rFonts w:hint="eastAsia" w:cs="宋体"/>
        </w:rPr>
        <w:t>日</w:t>
      </w:r>
      <w:r>
        <w:rPr>
          <w:rFonts w:cs="宋体"/>
        </w:rPr>
        <w:t>内按照合同总价的</w:t>
      </w:r>
      <w:r>
        <w:rPr>
          <w:rFonts w:hint="eastAsia" w:cs="宋体"/>
        </w:rPr>
        <w:t>3</w:t>
      </w:r>
      <w:r>
        <w:rPr>
          <w:rFonts w:cs="宋体"/>
        </w:rPr>
        <w:t>%向买方缴纳履约保证金，履约保证金在本合同质保期届满之日起三十日内且不存在质量问题和</w:t>
      </w:r>
      <w:r>
        <w:rPr>
          <w:rFonts w:hint="eastAsia" w:cs="宋体"/>
        </w:rPr>
        <w:t>卖方</w:t>
      </w:r>
      <w:r>
        <w:rPr>
          <w:rFonts w:cs="宋体"/>
        </w:rPr>
        <w:t>无违约的情况下，无息退还给卖方；卖方提交的设备若出现质量问题或存在违约行为的情况下，买方有权没收卖方的上述履约保证金，卖方不得有任何异议。</w:t>
      </w:r>
    </w:p>
    <w:p w14:paraId="0AB212AE">
      <w:pPr>
        <w:pStyle w:val="8"/>
        <w:spacing w:line="360" w:lineRule="auto"/>
        <w:rPr>
          <w:rFonts w:hint="eastAsia" w:cs="宋体"/>
          <w:b/>
          <w:bCs/>
          <w:color w:val="FF0000"/>
        </w:rPr>
      </w:pPr>
      <w:r>
        <w:rPr>
          <w:rFonts w:hint="eastAsia" w:cs="宋体"/>
          <w:b/>
          <w:bCs/>
          <w:color w:val="FF0000"/>
        </w:rPr>
        <w:t>进口产品：</w:t>
      </w:r>
    </w:p>
    <w:p w14:paraId="5E6F5D11">
      <w:pPr>
        <w:pStyle w:val="8"/>
        <w:spacing w:line="360" w:lineRule="auto"/>
        <w:rPr>
          <w:rFonts w:hint="eastAsia" w:cs="宋体"/>
        </w:rPr>
      </w:pPr>
      <w:r>
        <w:rPr>
          <w:rFonts w:hint="eastAsia" w:cs="宋体"/>
        </w:rPr>
        <w:t>对于进口产品，采用即期不可撤销信用证等国际贸易支付条件支付：</w:t>
      </w:r>
    </w:p>
    <w:p w14:paraId="6D31B1B7">
      <w:pPr>
        <w:pStyle w:val="8"/>
        <w:spacing w:line="360" w:lineRule="auto"/>
        <w:rPr>
          <w:rFonts w:hint="eastAsia" w:cs="宋体"/>
        </w:rPr>
      </w:pPr>
      <w:r>
        <w:rPr>
          <w:rFonts w:hint="eastAsia" w:cs="宋体"/>
        </w:rPr>
        <w:t xml:space="preserve">      90%凭合同要求（完成出广州海关手续）单据支付；</w:t>
      </w:r>
    </w:p>
    <w:p w14:paraId="65799376">
      <w:pPr>
        <w:pStyle w:val="8"/>
        <w:spacing w:line="360" w:lineRule="auto"/>
        <w:rPr>
          <w:rFonts w:hint="eastAsia" w:cs="宋体"/>
        </w:rPr>
      </w:pPr>
      <w:r>
        <w:rPr>
          <w:rFonts w:hint="eastAsia" w:cs="宋体"/>
        </w:rPr>
        <w:t xml:space="preserve">      10%凭采购人签字的验收报告支付。</w:t>
      </w:r>
    </w:p>
    <w:p w14:paraId="03C3DA07">
      <w:pPr>
        <w:pStyle w:val="8"/>
        <w:spacing w:line="360" w:lineRule="auto"/>
        <w:rPr>
          <w:rFonts w:hint="eastAsia" w:cs="宋体"/>
        </w:rPr>
      </w:pPr>
      <w:r>
        <w:rPr>
          <w:rFonts w:hint="eastAsia" w:cs="宋体"/>
        </w:rPr>
        <w:t>履约保证金：卖方需自合同签订之日起30日内按照合同总价的5%向买方缴纳履约保证金，履约保证金在本合同质保期届满之日起三十日内且不存在质量问题和卖方无违约的情况下，无息退还给卖方；卖方提交的设备若出现质量问题或存在违约行为的情况下，买方有权没收卖方的上述履约保证金，卖方不得有任何异议。</w:t>
      </w:r>
    </w:p>
    <w:p w14:paraId="339906DF">
      <w:pPr>
        <w:pStyle w:val="8"/>
        <w:spacing w:line="360" w:lineRule="auto"/>
        <w:rPr>
          <w:rFonts w:hint="eastAsia" w:cs="宋体"/>
        </w:rPr>
      </w:pPr>
    </w:p>
    <w:p w14:paraId="5B4E2729">
      <w:pPr>
        <w:numPr>
          <w:ilvl w:val="0"/>
          <w:numId w:val="22"/>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售后服务要求：</w:t>
      </w:r>
    </w:p>
    <w:p w14:paraId="742E6E97">
      <w:pPr>
        <w:numPr>
          <w:ilvl w:val="0"/>
          <w:numId w:val="0"/>
        </w:num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r>
        <w:rPr>
          <w:rFonts w:hint="eastAsia" w:ascii="宋体" w:hAnsi="宋体" w:eastAsia="宋体" w:cs="宋体"/>
          <w:b/>
          <w:bCs/>
          <w:color w:val="000000" w:themeColor="text1"/>
          <w:kern w:val="0"/>
          <w:sz w:val="24"/>
          <w:szCs w:val="24"/>
          <w:lang w:val="zh-CN"/>
          <w14:textFill>
            <w14:solidFill>
              <w14:schemeClr w14:val="tx1"/>
            </w14:solidFill>
          </w14:textFill>
        </w:rPr>
        <w:t>★</w:t>
      </w:r>
      <w:r>
        <w:rPr>
          <w:rFonts w:hint="eastAsia" w:ascii="宋体" w:hAnsi="宋体" w:eastAsia="宋体" w:cs="宋体"/>
          <w:kern w:val="2"/>
          <w:sz w:val="24"/>
          <w:szCs w:val="24"/>
          <w:lang w:val="en-US" w:eastAsia="zh-CN" w:bidi="ar-SA"/>
        </w:rPr>
        <w:t>售后服务期限：产品质保期2年</w:t>
      </w:r>
    </w:p>
    <w:p w14:paraId="79BB0BDC">
      <w:pPr>
        <w:numPr>
          <w:ilvl w:val="0"/>
          <w:numId w:val="0"/>
        </w:num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2）售后服务范围：保修期内免费维修并更换除消耗品以外的零部件，维修人员的路费、食宿等自理。</w:t>
      </w:r>
    </w:p>
    <w:p w14:paraId="180EE931">
      <w:pPr>
        <w:numPr>
          <w:ilvl w:val="0"/>
          <w:numId w:val="0"/>
        </w:num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保修范围：供应商无偿提供该货物的技术培训和技术支持。维修使用的备品备件及易损件应为原厂配件，未经采购人同意不得使用非原厂配件，质保期内维修使用的备品备件及易损件的费用，由成交供应商承担。质保期内出现大的设备质量问题故障，免费更换，保证整体使用正常运转。</w:t>
      </w:r>
    </w:p>
    <w:p w14:paraId="5440C06D">
      <w:pPr>
        <w:numPr>
          <w:ilvl w:val="0"/>
          <w:numId w:val="0"/>
        </w:numPr>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4）售后服务响应时间及要求：中标人在接报后1小时内响应，4小时内到达现场，48小时内处理完毕。</w:t>
      </w:r>
    </w:p>
    <w:p w14:paraId="0BB072D4">
      <w:pPr>
        <w:numPr>
          <w:ilvl w:val="0"/>
          <w:numId w:val="0"/>
        </w:numPr>
        <w:adjustRightInd w:val="0"/>
        <w:snapToGrid w:val="0"/>
        <w:spacing w:line="360" w:lineRule="auto"/>
        <w:rPr>
          <w:rFonts w:hint="default"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5）退换货要求：根据买方检验结果，如果卖方所供货物的数量、质量或规格与合同不符，或证实货物是有缺陷的，包括潜在缺陷或使用不符合要求的材料等，有权进行退换货处理。</w:t>
      </w:r>
    </w:p>
    <w:p w14:paraId="2E95455C">
      <w:pPr>
        <w:numPr>
          <w:ilvl w:val="0"/>
          <w:numId w:val="22"/>
        </w:numPr>
        <w:tabs>
          <w:tab w:val="left" w:pos="420"/>
        </w:tabs>
        <w:autoSpaceDE w:val="0"/>
        <w:autoSpaceDN w:val="0"/>
        <w:adjustRightInd w:val="0"/>
        <w:spacing w:line="360" w:lineRule="auto"/>
        <w:rPr>
          <w:rFonts w:hint="eastAsia"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保险：</w:t>
      </w:r>
    </w:p>
    <w:p w14:paraId="39706056">
      <w:pPr>
        <w:numPr>
          <w:ilvl w:val="0"/>
          <w:numId w:val="0"/>
        </w:numPr>
        <w:tabs>
          <w:tab w:val="left" w:pos="420"/>
        </w:tabs>
        <w:autoSpaceDE w:val="0"/>
        <w:autoSpaceDN w:val="0"/>
        <w:adjustRightInd w:val="0"/>
        <w:spacing w:line="360" w:lineRule="auto"/>
        <w:ind w:leftChars="0"/>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1）人员保险：在项目现场进行技术服务的人员进行必要的保险</w:t>
      </w:r>
    </w:p>
    <w:p w14:paraId="67867DCC">
      <w:pPr>
        <w:numPr>
          <w:ilvl w:val="0"/>
          <w:numId w:val="0"/>
        </w:numPr>
        <w:tabs>
          <w:tab w:val="left" w:pos="420"/>
        </w:tabs>
        <w:autoSpaceDE w:val="0"/>
        <w:autoSpaceDN w:val="0"/>
        <w:adjustRightInd w:val="0"/>
        <w:spacing w:line="360" w:lineRule="auto"/>
        <w:ind w:leftChars="0"/>
        <w:rPr>
          <w:rFonts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kern w:val="0"/>
          <w:sz w:val="24"/>
          <w:szCs w:val="24"/>
          <w:lang w:val="zh-CN"/>
          <w14:textFill>
            <w14:solidFill>
              <w14:schemeClr w14:val="tx1"/>
            </w14:solidFill>
          </w14:textFill>
        </w:rPr>
        <w:t>运输保险：卖方对本合同下提供的货物应对其在制造、购置、运输、存放及交货过程中的丢失或损坏进行全面保险。</w:t>
      </w:r>
    </w:p>
    <w:p w14:paraId="7F059D95">
      <w:pPr>
        <w:numPr>
          <w:ilvl w:val="0"/>
          <w:numId w:val="2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包装和运输</w:t>
      </w:r>
    </w:p>
    <w:p w14:paraId="5DE049C9">
      <w:pPr>
        <w:numPr>
          <w:ilvl w:val="0"/>
          <w:numId w:val="0"/>
        </w:numPr>
        <w:tabs>
          <w:tab w:val="left" w:pos="420"/>
        </w:tabs>
        <w:autoSpaceDE w:val="0"/>
        <w:autoSpaceDN w:val="0"/>
        <w:adjustRightInd w:val="0"/>
        <w:spacing w:line="360" w:lineRule="auto"/>
        <w:rPr>
          <w:rFonts w:hint="eastAsia"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eastAsia="zh-CN" w:bidi="ar-SA"/>
          <w14:textFill>
            <w14:solidFill>
              <w14:schemeClr w14:val="tx1"/>
            </w14:solidFill>
          </w14:textFill>
        </w:rPr>
        <w:t>1）</w:t>
      </w:r>
      <w:r>
        <w:rPr>
          <w:rFonts w:hint="eastAsia" w:ascii="宋体" w:hAnsi="宋体" w:eastAsia="宋体" w:cs="宋体"/>
          <w:b w:val="0"/>
          <w:bCs w:val="0"/>
          <w:color w:val="000000" w:themeColor="text1"/>
          <w:kern w:val="0"/>
          <w:sz w:val="24"/>
          <w:szCs w:val="24"/>
          <w:lang w:val="zh-CN"/>
          <w14:textFill>
            <w14:solidFill>
              <w14:schemeClr w14:val="tx1"/>
            </w14:solidFill>
          </w14:textFill>
        </w:rPr>
        <w:t>包装要求：原厂包装，能够防止货物在转运中损坏或变质。</w:t>
      </w:r>
    </w:p>
    <w:p w14:paraId="4220B639">
      <w:pPr>
        <w:numPr>
          <w:ilvl w:val="0"/>
          <w:numId w:val="0"/>
        </w:numPr>
        <w:tabs>
          <w:tab w:val="left" w:pos="420"/>
        </w:tabs>
        <w:autoSpaceDE w:val="0"/>
        <w:autoSpaceDN w:val="0"/>
        <w:adjustRightInd w:val="0"/>
        <w:spacing w:line="360" w:lineRule="auto"/>
        <w:rPr>
          <w:rFonts w:ascii="宋体" w:hAnsi="宋体" w:eastAsia="宋体" w:cs="宋体"/>
          <w:b w:val="0"/>
          <w:bCs w:val="0"/>
          <w:color w:val="000000" w:themeColor="text1"/>
          <w:kern w:val="0"/>
          <w:sz w:val="24"/>
          <w:szCs w:val="24"/>
          <w:lang w:val="zh-CN"/>
          <w14:textFill>
            <w14:solidFill>
              <w14:schemeClr w14:val="tx1"/>
            </w14:solidFill>
          </w14:textFill>
        </w:rPr>
      </w:pPr>
      <w:r>
        <w:rPr>
          <w:rFonts w:ascii="宋体" w:hAnsi="宋体" w:eastAsia="宋体" w:cs="宋体"/>
          <w:b w:val="0"/>
          <w:bCs w:val="0"/>
          <w:color w:val="000000" w:themeColor="text1"/>
          <w:kern w:val="0"/>
          <w:sz w:val="24"/>
          <w:szCs w:val="24"/>
          <w:lang w:val="zh-CN" w:eastAsia="zh-CN" w:bidi="ar-SA"/>
          <w14:textFill>
            <w14:solidFill>
              <w14:schemeClr w14:val="tx1"/>
            </w14:solidFill>
          </w14:textFill>
        </w:rPr>
        <w:t>2</w:t>
      </w:r>
      <w:r>
        <w:rPr>
          <w:rFonts w:hint="eastAsia" w:ascii="宋体" w:hAnsi="宋体" w:eastAsia="宋体" w:cs="宋体"/>
          <w:b w:val="0"/>
          <w:bCs w:val="0"/>
          <w:color w:val="000000" w:themeColor="text1"/>
          <w:kern w:val="0"/>
          <w:sz w:val="24"/>
          <w:szCs w:val="24"/>
          <w:lang w:val="zh-CN" w:eastAsia="zh-CN" w:bidi="ar-SA"/>
          <w14:textFill>
            <w14:solidFill>
              <w14:schemeClr w14:val="tx1"/>
            </w14:solidFill>
          </w14:textFill>
        </w:rPr>
        <w:t>）</w:t>
      </w:r>
      <w:r>
        <w:rPr>
          <w:rFonts w:hint="eastAsia" w:ascii="宋体" w:hAnsi="宋体" w:eastAsia="宋体" w:cs="宋体"/>
          <w:b w:val="0"/>
          <w:bCs w:val="0"/>
          <w:color w:val="000000" w:themeColor="text1"/>
          <w:kern w:val="0"/>
          <w:sz w:val="24"/>
          <w:szCs w:val="24"/>
          <w:lang w:val="zh-CN"/>
          <w14:textFill>
            <w14:solidFill>
              <w14:schemeClr w14:val="tx1"/>
            </w14:solidFill>
          </w14:textFill>
        </w:rPr>
        <w:t>运输要求：卖方应将货物运至买方项目现场，负责办理货物运至买方指定目的地，包括合同规定的保险和储存在内的一切事项，有关费用（包括清关、提货、支付海关监管费、内陆运输、保险等）应包括在合同价中。</w:t>
      </w:r>
    </w:p>
    <w:p w14:paraId="0EA6AEA9">
      <w:pPr>
        <w:numPr>
          <w:ilvl w:val="0"/>
          <w:numId w:val="2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交付标准和方法</w:t>
      </w:r>
    </w:p>
    <w:p w14:paraId="5DAD05FA">
      <w:pPr>
        <w:numPr>
          <w:ilvl w:val="0"/>
          <w:numId w:val="23"/>
        </w:numPr>
        <w:autoSpaceDE w:val="0"/>
        <w:autoSpaceDN w:val="0"/>
        <w:adjustRightInd w:val="0"/>
        <w:spacing w:line="360" w:lineRule="auto"/>
        <w:ind w:left="-480" w:leftChars="0" w:firstLine="480" w:firstLineChars="0"/>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交付标准：符合合同附件技术要求所述的标准；</w:t>
      </w:r>
    </w:p>
    <w:p w14:paraId="45D89DEA">
      <w:pPr>
        <w:numPr>
          <w:ilvl w:val="0"/>
          <w:numId w:val="23"/>
        </w:numPr>
        <w:autoSpaceDE w:val="0"/>
        <w:autoSpaceDN w:val="0"/>
        <w:adjustRightInd w:val="0"/>
        <w:spacing w:line="360" w:lineRule="auto"/>
        <w:ind w:left="-480" w:leftChars="0" w:firstLine="480" w:firstLineChars="0"/>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交付方式（方法）：货物在规定的交付期限内由卖方送达买方指定的地点，卖方同时需通知买方货物已送达。</w:t>
      </w:r>
    </w:p>
    <w:p w14:paraId="23624BA4">
      <w:pPr>
        <w:numPr>
          <w:ilvl w:val="0"/>
          <w:numId w:val="2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安装调试要求</w:t>
      </w:r>
    </w:p>
    <w:p w14:paraId="7965053E">
      <w:pPr>
        <w:numPr>
          <w:ilvl w:val="0"/>
          <w:numId w:val="0"/>
        </w:numPr>
        <w:tabs>
          <w:tab w:val="left" w:pos="420"/>
        </w:tabs>
        <w:autoSpaceDE w:val="0"/>
        <w:autoSpaceDN w:val="0"/>
        <w:adjustRightInd w:val="0"/>
        <w:spacing w:line="360" w:lineRule="auto"/>
        <w:ind w:leftChars="0" w:firstLine="480" w:firstLineChars="200"/>
        <w:rPr>
          <w:rFonts w:ascii="宋体" w:hAnsi="宋体" w:eastAsia="宋体" w:cs="宋体"/>
          <w:b w:val="0"/>
          <w:bCs w:val="0"/>
          <w:color w:val="000000" w:themeColor="text1"/>
          <w:kern w:val="0"/>
          <w:sz w:val="24"/>
          <w:szCs w:val="24"/>
          <w:lang w:val="zh-CN"/>
          <w14:textFill>
            <w14:solidFill>
              <w14:schemeClr w14:val="tx1"/>
            </w14:solidFill>
          </w14:textFill>
        </w:rPr>
      </w:pPr>
      <w:r>
        <w:rPr>
          <w:rFonts w:hint="eastAsia" w:ascii="宋体" w:hAnsi="宋体" w:eastAsia="宋体" w:cs="宋体"/>
          <w:b w:val="0"/>
          <w:bCs w:val="0"/>
          <w:color w:val="000000" w:themeColor="text1"/>
          <w:kern w:val="0"/>
          <w:sz w:val="24"/>
          <w:szCs w:val="24"/>
          <w:lang w:val="zh-CN"/>
          <w14:textFill>
            <w14:solidFill>
              <w14:schemeClr w14:val="tx1"/>
            </w14:solidFill>
          </w14:textFill>
        </w:rPr>
        <w:t>卖方应委派技术人员进行现场安装、调试，并提供货物安装调试的一切技术支持。安装调试的具体时间由买方提前3天通知中标人。</w:t>
      </w:r>
    </w:p>
    <w:p w14:paraId="173230C4">
      <w:pPr>
        <w:numPr>
          <w:ilvl w:val="0"/>
          <w:numId w:val="2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验收标准和方法</w:t>
      </w:r>
    </w:p>
    <w:p w14:paraId="5FA39B02">
      <w:pPr>
        <w:pStyle w:val="36"/>
        <w:numPr>
          <w:ilvl w:val="0"/>
          <w:numId w:val="0"/>
        </w:numPr>
        <w:spacing w:line="360" w:lineRule="auto"/>
        <w:rPr>
          <w:rFonts w:hint="eastAsia"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1）验收标准：验收标准以中标人提供的投标文件中所列的指标为准；</w:t>
      </w:r>
    </w:p>
    <w:p w14:paraId="7EAC79B1">
      <w:pPr>
        <w:pStyle w:val="36"/>
        <w:numPr>
          <w:ilvl w:val="0"/>
          <w:numId w:val="0"/>
        </w:numPr>
        <w:spacing w:line="360" w:lineRule="auto"/>
        <w:rPr>
          <w:rFonts w:hint="eastAsia"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2）验收方法：买方将与卖方共同开箱验收, 如卖方届时不派人来, 则验收结果应以买方的验收报告为最终验收结果；</w:t>
      </w:r>
    </w:p>
    <w:p w14:paraId="313841BE">
      <w:pPr>
        <w:pStyle w:val="36"/>
        <w:numPr>
          <w:ilvl w:val="0"/>
          <w:numId w:val="0"/>
        </w:numPr>
        <w:spacing w:line="360" w:lineRule="auto"/>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en-US" w:eastAsia="zh-CN"/>
          <w14:textFill>
            <w14:solidFill>
              <w14:schemeClr w14:val="tx1"/>
            </w14:solidFill>
          </w14:textFill>
        </w:rPr>
        <w:t>3）</w:t>
      </w:r>
      <w:r>
        <w:rPr>
          <w:rFonts w:hint="eastAsia" w:ascii="宋体" w:hAnsi="宋体" w:eastAsia="宋体" w:cs="宋体"/>
          <w:bCs/>
          <w:color w:val="000000" w:themeColor="text1"/>
          <w:kern w:val="0"/>
          <w:sz w:val="24"/>
          <w:szCs w:val="24"/>
          <w:lang w:val="zh-CN"/>
          <w14:textFill>
            <w14:solidFill>
              <w14:schemeClr w14:val="tx1"/>
            </w14:solidFill>
          </w14:textFill>
        </w:rPr>
        <w:t xml:space="preserve">验收时间： 货物安装培训完成后7个工作日内。  </w:t>
      </w:r>
    </w:p>
    <w:p w14:paraId="1FAAF2AD">
      <w:pPr>
        <w:numPr>
          <w:ilvl w:val="0"/>
          <w:numId w:val="22"/>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16FD2904">
      <w:pPr>
        <w:numPr>
          <w:ilvl w:val="0"/>
          <w:numId w:val="24"/>
        </w:numPr>
        <w:tabs>
          <w:tab w:val="left" w:pos="426"/>
          <w:tab w:val="left" w:pos="851"/>
        </w:tabs>
        <w:autoSpaceDE w:val="0"/>
        <w:autoSpaceDN w:val="0"/>
        <w:adjustRightInd w:val="0"/>
        <w:spacing w:line="360" w:lineRule="auto"/>
        <w:jc w:val="left"/>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投标人提供完好、全新的原包装产品（包括零配件），随机技术资料齐全。产品符合国家质量检测标准，必须具有生产日期、厂名、厂址、产品合格证等。进口产品须提供海关进货单（复印件备查）。</w:t>
      </w:r>
    </w:p>
    <w:p w14:paraId="417ADF0C">
      <w:pPr>
        <w:numPr>
          <w:ilvl w:val="0"/>
          <w:numId w:val="24"/>
        </w:numPr>
        <w:tabs>
          <w:tab w:val="left" w:pos="426"/>
          <w:tab w:val="left" w:pos="851"/>
        </w:tabs>
        <w:autoSpaceDE w:val="0"/>
        <w:autoSpaceDN w:val="0"/>
        <w:adjustRightInd w:val="0"/>
        <w:spacing w:line="360" w:lineRule="auto"/>
        <w:jc w:val="left"/>
        <w:rPr>
          <w:rFonts w:hint="default" w:ascii="宋体" w:hAnsi="宋体" w:eastAsia="宋体" w:cs="宋体"/>
          <w:b/>
          <w:color w:val="000000" w:themeColor="text1"/>
          <w:sz w:val="28"/>
          <w:lang w:val="en-US" w:eastAsia="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07B5966D">
      <w:pPr>
        <w:numPr>
          <w:ilvl w:val="0"/>
          <w:numId w:val="22"/>
        </w:numPr>
        <w:tabs>
          <w:tab w:val="left" w:pos="420"/>
        </w:tabs>
        <w:autoSpaceDE w:val="0"/>
        <w:autoSpaceDN w:val="0"/>
        <w:adjustRightInd w:val="0"/>
        <w:spacing w:line="360" w:lineRule="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其他服务要求</w:t>
      </w:r>
    </w:p>
    <w:p w14:paraId="1B315B25">
      <w:pPr>
        <w:spacing w:line="360" w:lineRule="auto"/>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pPr>
      <w: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t>1）人员团队要求（项目负责人、技术负责人、售后服务人员等）：不少于2人</w:t>
      </w:r>
    </w:p>
    <w:p w14:paraId="1CDFA1E4">
      <w:pPr>
        <w:spacing w:line="360" w:lineRule="auto"/>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pPr>
      <w: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t>2）人员培训要求（供应商对采购人设备使用部门进行设备操作培训等）；</w:t>
      </w:r>
    </w:p>
    <w:p w14:paraId="2CA6F6C7">
      <w:pPr>
        <w:spacing w:line="360" w:lineRule="auto"/>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pPr>
      <w: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t>卖方须根据合同规定完成安装调试及现场培训和合同规定提供现场技术服务，其后进行集中培训。</w:t>
      </w:r>
    </w:p>
    <w:p w14:paraId="63F29DA6">
      <w:pPr>
        <w:spacing w:line="360" w:lineRule="auto"/>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pPr>
      <w: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t>3）服务要求：</w:t>
      </w:r>
    </w:p>
    <w:p w14:paraId="36A2E31F">
      <w:pPr>
        <w:spacing w:line="360" w:lineRule="auto"/>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pPr>
      <w: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t>培训涉及货物的基本原理、操作使用和保养维修等有关内容的培训。培训教员的培训费、旅费、食宿费等费用和培训场地费及培训资料费均应由卖方支付。</w:t>
      </w:r>
    </w:p>
    <w:p w14:paraId="44701443">
      <w:pPr>
        <w:spacing w:line="360" w:lineRule="auto"/>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pPr>
      <w:r>
        <w:rPr>
          <w:rFonts w:hint="eastAsia" w:asciiTheme="minorEastAsia" w:hAnsiTheme="minorEastAsia" w:eastAsiaTheme="minorEastAsia" w:cstheme="minorEastAsia"/>
          <w:color w:val="000000" w:themeColor="text1"/>
          <w:kern w:val="0"/>
          <w:sz w:val="24"/>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t>保密要求：无</w:t>
      </w:r>
      <w: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br w:type="page"/>
      </w:r>
    </w:p>
    <w:p w14:paraId="0B559726">
      <w:pP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sectPr>
          <w:pgSz w:w="11906" w:h="16838"/>
          <w:pgMar w:top="1418" w:right="1418" w:bottom="1418" w:left="1418" w:header="851" w:footer="992" w:gutter="0"/>
          <w:pgNumType w:fmt="decimal"/>
          <w:cols w:space="720" w:num="1"/>
          <w:titlePg/>
          <w:docGrid w:type="lines" w:linePitch="312" w:charSpace="0"/>
        </w:sectPr>
      </w:pPr>
    </w:p>
    <w:p w14:paraId="3FD71250">
      <w:pPr>
        <w:rPr>
          <w:rFonts w:hint="eastAsia" w:asciiTheme="minorEastAsia" w:hAnsiTheme="minorEastAsia" w:eastAsiaTheme="minorEastAsia" w:cstheme="minorEastAsia"/>
          <w:color w:val="000000" w:themeColor="text1"/>
          <w:kern w:val="0"/>
          <w:sz w:val="24"/>
          <w:lang w:val="zh-CN"/>
          <w14:textFill>
            <w14:solidFill>
              <w14:schemeClr w14:val="tx1"/>
            </w14:solidFill>
          </w14:textFill>
        </w:rPr>
      </w:pPr>
    </w:p>
    <w:p w14:paraId="69AF263A">
      <w:pPr>
        <w:rPr>
          <w:rFonts w:hint="eastAsia" w:ascii="宋体" w:hAnsi="宋体"/>
          <w:b/>
          <w:bCs/>
          <w:kern w:val="0"/>
          <w:sz w:val="36"/>
          <w:szCs w:val="36"/>
        </w:rPr>
      </w:pPr>
    </w:p>
    <w:p w14:paraId="59096CDF">
      <w:pPr>
        <w:spacing w:line="360" w:lineRule="auto"/>
        <w:ind w:firstLine="1807" w:firstLineChars="500"/>
        <w:outlineLvl w:val="0"/>
        <w:rPr>
          <w:rFonts w:hint="eastAsia" w:ascii="宋体" w:hAnsi="宋体"/>
          <w:b/>
          <w:bCs/>
          <w:kern w:val="0"/>
          <w:sz w:val="36"/>
          <w:szCs w:val="36"/>
        </w:rPr>
      </w:pPr>
      <w:r>
        <w:rPr>
          <w:rFonts w:hint="eastAsia" w:ascii="宋体" w:hAnsi="宋体"/>
          <w:b/>
          <w:bCs/>
          <w:kern w:val="0"/>
          <w:sz w:val="36"/>
          <w:szCs w:val="36"/>
        </w:rPr>
        <w:t>第五章 拟签订的合同文本（范本）</w:t>
      </w:r>
    </w:p>
    <w:p w14:paraId="59A291EF">
      <w:pPr>
        <w:pStyle w:val="8"/>
        <w:spacing w:line="360" w:lineRule="auto"/>
        <w:rPr>
          <w:rFonts w:hint="eastAsia"/>
          <w:b/>
        </w:rPr>
      </w:pPr>
    </w:p>
    <w:p w14:paraId="4CC55F61">
      <w:pPr>
        <w:spacing w:line="360" w:lineRule="auto"/>
        <w:ind w:left="420" w:firstLine="480" w:firstLineChars="200"/>
        <w:rPr>
          <w:rFonts w:ascii="宋体"/>
          <w:bCs/>
          <w:sz w:val="24"/>
        </w:rPr>
      </w:pPr>
      <w:r>
        <w:rPr>
          <w:rFonts w:hint="eastAsia" w:ascii="宋体"/>
          <w:bCs/>
          <w:sz w:val="24"/>
        </w:rPr>
        <w:t>（本合同条款仅供参考，最终以甲方提供的样本并经甲乙双方协商一致的合同为准。）</w:t>
      </w:r>
    </w:p>
    <w:p w14:paraId="4AE8F91C">
      <w:pPr>
        <w:pStyle w:val="8"/>
        <w:spacing w:line="360" w:lineRule="auto"/>
        <w:rPr>
          <w:rFonts w:hint="eastAsia"/>
          <w:bCs/>
        </w:rPr>
      </w:pPr>
    </w:p>
    <w:p w14:paraId="66A97E16">
      <w:pPr>
        <w:snapToGrid w:val="0"/>
        <w:spacing w:line="360" w:lineRule="auto"/>
        <w:rPr>
          <w:bCs/>
        </w:rPr>
      </w:pPr>
      <w:r>
        <w:rPr>
          <w:rFonts w:hint="eastAsia" w:ascii="宋体" w:hAnsi="宋体"/>
          <w:bCs/>
          <w:sz w:val="24"/>
        </w:rPr>
        <w:t>甲方：（采购人）</w:t>
      </w:r>
    </w:p>
    <w:p w14:paraId="0F5706CF">
      <w:pPr>
        <w:snapToGrid w:val="0"/>
        <w:spacing w:line="360" w:lineRule="auto"/>
        <w:rPr>
          <w:bCs/>
        </w:rPr>
      </w:pPr>
      <w:r>
        <w:rPr>
          <w:rFonts w:hint="eastAsia" w:ascii="宋体" w:hAnsi="宋体"/>
          <w:bCs/>
          <w:sz w:val="24"/>
        </w:rPr>
        <w:t>乙方：（中标人）</w:t>
      </w:r>
    </w:p>
    <w:p w14:paraId="18ACED7F">
      <w:pPr>
        <w:snapToGrid w:val="0"/>
        <w:spacing w:line="360" w:lineRule="auto"/>
        <w:rPr>
          <w:rFonts w:hint="eastAsia" w:ascii="宋体" w:hAnsi="宋体"/>
          <w:bCs/>
          <w:sz w:val="24"/>
        </w:rPr>
      </w:pPr>
    </w:p>
    <w:p w14:paraId="3D1FE0C0">
      <w:pPr>
        <w:snapToGrid w:val="0"/>
        <w:spacing w:line="360" w:lineRule="auto"/>
        <w:ind w:firstLine="473"/>
        <w:rPr>
          <w:bCs/>
        </w:rPr>
      </w:pPr>
      <w:r>
        <w:rPr>
          <w:rFonts w:hint="eastAsia" w:ascii="宋体" w:hAnsi="宋体"/>
          <w:bCs/>
        </w:rPr>
        <w:t>甲、乙双方根据20</w:t>
      </w:r>
      <w:r>
        <w:rPr>
          <w:rFonts w:hint="eastAsia" w:ascii="宋体" w:hAnsi="宋体"/>
          <w:bCs/>
          <w:u w:val="single"/>
        </w:rPr>
        <w:t xml:space="preserve">  </w:t>
      </w:r>
      <w:r>
        <w:rPr>
          <w:rFonts w:hint="eastAsia" w:ascii="宋体" w:hAnsi="宋体"/>
          <w:bCs/>
        </w:rPr>
        <w:t>年</w:t>
      </w:r>
      <w:r>
        <w:rPr>
          <w:rFonts w:hint="eastAsia" w:ascii="宋体" w:hAnsi="宋体"/>
          <w:bCs/>
          <w:u w:val="single"/>
        </w:rPr>
        <w:t xml:space="preserve">   </w:t>
      </w:r>
      <w:r>
        <w:rPr>
          <w:rFonts w:hint="eastAsia" w:ascii="宋体" w:hAnsi="宋体"/>
          <w:bCs/>
        </w:rPr>
        <w:t>月</w:t>
      </w:r>
      <w:r>
        <w:rPr>
          <w:rFonts w:hint="eastAsia" w:ascii="宋体" w:hAnsi="宋体"/>
          <w:bCs/>
          <w:u w:val="single"/>
        </w:rPr>
        <w:t xml:space="preserve">   </w:t>
      </w:r>
      <w:r>
        <w:rPr>
          <w:rFonts w:hint="eastAsia" w:ascii="宋体" w:hAnsi="宋体"/>
          <w:bCs/>
        </w:rPr>
        <w:t>日东方国际招标有限责任公司对甲方的“</w:t>
      </w:r>
      <w:r>
        <w:rPr>
          <w:rFonts w:hint="eastAsia" w:ascii="宋体" w:hAnsi="宋体"/>
          <w:bCs/>
          <w:u w:val="single"/>
        </w:rPr>
        <w:t xml:space="preserve"> </w:t>
      </w:r>
      <w:r>
        <w:rPr>
          <w:rFonts w:ascii="宋体" w:hAnsi="宋体"/>
          <w:bCs/>
          <w:u w:val="single"/>
        </w:rPr>
        <w:t xml:space="preserve">                </w:t>
      </w:r>
      <w:r>
        <w:rPr>
          <w:rFonts w:hint="eastAsia" w:ascii="宋体" w:hAnsi="宋体"/>
          <w:bCs/>
        </w:rPr>
        <w:t>采购项目（项目编号：</w:t>
      </w:r>
      <w:r>
        <w:rPr>
          <w:rFonts w:ascii="宋体" w:hAnsi="宋体"/>
          <w:bCs/>
        </w:rPr>
        <w:t xml:space="preserve"> </w:t>
      </w:r>
      <w:r>
        <w:rPr>
          <w:rFonts w:ascii="宋体" w:hAnsi="宋体"/>
          <w:bCs/>
          <w:u w:val="single"/>
        </w:rPr>
        <w:t xml:space="preserve">         </w:t>
      </w:r>
      <w:r>
        <w:rPr>
          <w:rFonts w:hint="eastAsia" w:ascii="宋体" w:hAnsi="宋体"/>
          <w:bCs/>
        </w:rPr>
        <w:t>）”</w:t>
      </w:r>
      <w:r>
        <w:rPr>
          <w:rFonts w:hint="eastAsia"/>
          <w:bCs/>
        </w:rPr>
        <w:t xml:space="preserve"> </w:t>
      </w:r>
      <w:r>
        <w:rPr>
          <w:rFonts w:hint="eastAsia" w:ascii="宋体" w:hAnsi="宋体"/>
          <w:bCs/>
        </w:rPr>
        <w:t>第</w:t>
      </w:r>
      <w:r>
        <w:rPr>
          <w:rFonts w:ascii="宋体" w:hAnsi="宋体"/>
          <w:bCs/>
          <w:u w:val="single"/>
        </w:rPr>
        <w:t xml:space="preserve">     </w:t>
      </w:r>
      <w:r>
        <w:rPr>
          <w:rFonts w:hint="eastAsia" w:ascii="宋体" w:hAnsi="宋体"/>
          <w:bCs/>
        </w:rPr>
        <w:t>包</w:t>
      </w:r>
      <w:r>
        <w:rPr>
          <w:rFonts w:ascii="宋体" w:hAnsi="宋体"/>
          <w:bCs/>
          <w:u w:val="single"/>
        </w:rPr>
        <w:t xml:space="preserve">           </w:t>
      </w:r>
      <w:r>
        <w:rPr>
          <w:rFonts w:hint="eastAsia" w:ascii="宋体" w:hAnsi="宋体"/>
          <w:bCs/>
        </w:rPr>
        <w:t>进行公开招标的采购结果和招标文件的要求，经双方协商一致，达成此合同：</w:t>
      </w:r>
    </w:p>
    <w:p w14:paraId="0AFE07C3">
      <w:pPr>
        <w:snapToGrid w:val="0"/>
        <w:spacing w:line="360" w:lineRule="auto"/>
        <w:ind w:firstLine="422"/>
        <w:rPr>
          <w:rFonts w:hint="eastAsia" w:ascii="宋体" w:hAnsi="宋体"/>
          <w:bCs/>
        </w:rPr>
      </w:pPr>
      <w:r>
        <w:rPr>
          <w:rFonts w:hint="eastAsia" w:ascii="宋体" w:hAnsi="宋体"/>
          <w:bCs/>
        </w:rPr>
        <w:t>一、甲方采购货物的名称及规格型号、数量、价格等：</w:t>
      </w:r>
    </w:p>
    <w:tbl>
      <w:tblPr>
        <w:tblStyle w:val="37"/>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1290"/>
        <w:gridCol w:w="1514"/>
        <w:gridCol w:w="1185"/>
        <w:gridCol w:w="735"/>
        <w:gridCol w:w="810"/>
        <w:gridCol w:w="1380"/>
        <w:gridCol w:w="1589"/>
      </w:tblGrid>
      <w:tr w14:paraId="08C61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4E7C676E">
            <w:pPr>
              <w:snapToGrid w:val="0"/>
              <w:spacing w:line="360" w:lineRule="auto"/>
              <w:ind w:firstLine="210" w:firstLineChars="100"/>
              <w:jc w:val="center"/>
              <w:rPr>
                <w:rFonts w:hint="eastAsia" w:ascii="宋体" w:hAnsi="宋体"/>
                <w:bCs/>
              </w:rPr>
            </w:pPr>
            <w:r>
              <w:rPr>
                <w:rFonts w:hint="eastAsia" w:ascii="宋体" w:hAnsi="宋体"/>
                <w:bCs/>
              </w:rPr>
              <w:t>名称</w:t>
            </w:r>
          </w:p>
        </w:tc>
        <w:tc>
          <w:tcPr>
            <w:tcW w:w="1290" w:type="dxa"/>
            <w:tcBorders>
              <w:top w:val="single" w:color="auto" w:sz="4" w:space="0"/>
              <w:left w:val="single" w:color="auto" w:sz="4" w:space="0"/>
              <w:bottom w:val="single" w:color="auto" w:sz="4" w:space="0"/>
              <w:right w:val="single" w:color="auto" w:sz="4" w:space="0"/>
            </w:tcBorders>
            <w:vAlign w:val="center"/>
          </w:tcPr>
          <w:p w14:paraId="1598CB85">
            <w:pPr>
              <w:snapToGrid w:val="0"/>
              <w:spacing w:line="360" w:lineRule="auto"/>
              <w:ind w:firstLine="210" w:firstLineChars="100"/>
              <w:jc w:val="center"/>
              <w:rPr>
                <w:rFonts w:hint="eastAsia" w:ascii="宋体" w:hAnsi="宋体"/>
                <w:bCs/>
              </w:rPr>
            </w:pPr>
            <w:r>
              <w:rPr>
                <w:rFonts w:hint="eastAsia" w:ascii="宋体" w:hAnsi="宋体"/>
                <w:bCs/>
              </w:rPr>
              <w:t>型号规格</w:t>
            </w:r>
          </w:p>
        </w:tc>
        <w:tc>
          <w:tcPr>
            <w:tcW w:w="1515" w:type="dxa"/>
            <w:tcBorders>
              <w:top w:val="single" w:color="auto" w:sz="4" w:space="0"/>
              <w:left w:val="single" w:color="auto" w:sz="4" w:space="0"/>
              <w:bottom w:val="single" w:color="auto" w:sz="4" w:space="0"/>
              <w:right w:val="single" w:color="auto" w:sz="4" w:space="0"/>
            </w:tcBorders>
            <w:vAlign w:val="center"/>
          </w:tcPr>
          <w:p w14:paraId="21C457A7">
            <w:pPr>
              <w:snapToGrid w:val="0"/>
              <w:spacing w:line="360" w:lineRule="auto"/>
              <w:jc w:val="center"/>
              <w:rPr>
                <w:rFonts w:hint="eastAsia" w:ascii="宋体" w:hAnsi="宋体"/>
                <w:bCs/>
              </w:rPr>
            </w:pPr>
            <w:r>
              <w:rPr>
                <w:rFonts w:hint="eastAsia" w:ascii="宋体" w:hAnsi="宋体"/>
                <w:bCs/>
              </w:rPr>
              <w:t>配置清单及技术参数</w:t>
            </w:r>
          </w:p>
        </w:tc>
        <w:tc>
          <w:tcPr>
            <w:tcW w:w="1185" w:type="dxa"/>
            <w:tcBorders>
              <w:top w:val="single" w:color="auto" w:sz="4" w:space="0"/>
              <w:left w:val="single" w:color="auto" w:sz="4" w:space="0"/>
              <w:bottom w:val="single" w:color="auto" w:sz="4" w:space="0"/>
              <w:right w:val="single" w:color="auto" w:sz="4" w:space="0"/>
            </w:tcBorders>
            <w:vAlign w:val="center"/>
          </w:tcPr>
          <w:p w14:paraId="04636D33">
            <w:pPr>
              <w:snapToGrid w:val="0"/>
              <w:spacing w:line="360" w:lineRule="auto"/>
              <w:jc w:val="center"/>
              <w:rPr>
                <w:rFonts w:hint="eastAsia" w:ascii="宋体" w:hAnsi="宋体"/>
                <w:bCs/>
              </w:rPr>
            </w:pPr>
            <w:r>
              <w:rPr>
                <w:rFonts w:hint="eastAsia" w:ascii="宋体" w:hAnsi="宋体"/>
                <w:bCs/>
              </w:rPr>
              <w:t>厂家/产地</w:t>
            </w:r>
          </w:p>
        </w:tc>
        <w:tc>
          <w:tcPr>
            <w:tcW w:w="735" w:type="dxa"/>
            <w:tcBorders>
              <w:top w:val="single" w:color="auto" w:sz="4" w:space="0"/>
              <w:left w:val="single" w:color="auto" w:sz="4" w:space="0"/>
              <w:bottom w:val="single" w:color="auto" w:sz="4" w:space="0"/>
              <w:right w:val="single" w:color="auto" w:sz="4" w:space="0"/>
            </w:tcBorders>
            <w:vAlign w:val="center"/>
          </w:tcPr>
          <w:p w14:paraId="7560F499">
            <w:pPr>
              <w:snapToGrid w:val="0"/>
              <w:spacing w:line="360" w:lineRule="auto"/>
              <w:jc w:val="center"/>
              <w:rPr>
                <w:rFonts w:hint="eastAsia" w:ascii="宋体" w:hAnsi="宋体"/>
                <w:bCs/>
              </w:rPr>
            </w:pPr>
            <w:r>
              <w:rPr>
                <w:rFonts w:hint="eastAsia" w:ascii="宋体" w:hAnsi="宋体"/>
                <w:bCs/>
              </w:rPr>
              <w:t>数量</w:t>
            </w:r>
          </w:p>
        </w:tc>
        <w:tc>
          <w:tcPr>
            <w:tcW w:w="810" w:type="dxa"/>
            <w:tcBorders>
              <w:top w:val="single" w:color="auto" w:sz="4" w:space="0"/>
              <w:left w:val="single" w:color="auto" w:sz="4" w:space="0"/>
              <w:bottom w:val="single" w:color="auto" w:sz="4" w:space="0"/>
              <w:right w:val="single" w:color="auto" w:sz="4" w:space="0"/>
            </w:tcBorders>
            <w:vAlign w:val="center"/>
          </w:tcPr>
          <w:p w14:paraId="23947ED4">
            <w:pPr>
              <w:snapToGrid w:val="0"/>
              <w:spacing w:line="360" w:lineRule="auto"/>
              <w:jc w:val="center"/>
              <w:rPr>
                <w:rFonts w:hint="eastAsia" w:ascii="宋体" w:hAnsi="宋体"/>
                <w:bCs/>
              </w:rPr>
            </w:pPr>
            <w:r>
              <w:rPr>
                <w:rFonts w:hint="eastAsia" w:ascii="宋体" w:hAnsi="宋体"/>
                <w:bCs/>
              </w:rPr>
              <w:t>单位</w:t>
            </w:r>
          </w:p>
        </w:tc>
        <w:tc>
          <w:tcPr>
            <w:tcW w:w="1380" w:type="dxa"/>
            <w:tcBorders>
              <w:top w:val="single" w:color="auto" w:sz="4" w:space="0"/>
              <w:left w:val="single" w:color="auto" w:sz="4" w:space="0"/>
              <w:bottom w:val="single" w:color="auto" w:sz="4" w:space="0"/>
              <w:right w:val="single" w:color="auto" w:sz="4" w:space="0"/>
            </w:tcBorders>
            <w:vAlign w:val="center"/>
          </w:tcPr>
          <w:p w14:paraId="12D25E90">
            <w:pPr>
              <w:snapToGrid w:val="0"/>
              <w:spacing w:line="360" w:lineRule="auto"/>
              <w:jc w:val="center"/>
              <w:rPr>
                <w:rFonts w:hint="eastAsia" w:ascii="宋体" w:hAnsi="宋体"/>
                <w:bCs/>
              </w:rPr>
            </w:pPr>
            <w:r>
              <w:rPr>
                <w:rFonts w:hint="eastAsia" w:ascii="宋体" w:hAnsi="宋体"/>
                <w:bCs/>
              </w:rPr>
              <w:t>单价</w:t>
            </w:r>
          </w:p>
          <w:p w14:paraId="2B828218">
            <w:pPr>
              <w:snapToGrid w:val="0"/>
              <w:spacing w:line="360" w:lineRule="auto"/>
              <w:jc w:val="center"/>
              <w:rPr>
                <w:rFonts w:hint="eastAsia" w:ascii="宋体" w:hAnsi="宋体"/>
                <w:bCs/>
              </w:rPr>
            </w:pPr>
            <w:r>
              <w:rPr>
                <w:rFonts w:hint="eastAsia" w:ascii="宋体" w:hAnsi="宋体"/>
                <w:bCs/>
              </w:rPr>
              <w:t>（人民币）</w:t>
            </w:r>
          </w:p>
        </w:tc>
        <w:tc>
          <w:tcPr>
            <w:tcW w:w="1590" w:type="dxa"/>
            <w:tcBorders>
              <w:top w:val="single" w:color="auto" w:sz="4" w:space="0"/>
              <w:left w:val="single" w:color="auto" w:sz="4" w:space="0"/>
              <w:bottom w:val="single" w:color="auto" w:sz="4" w:space="0"/>
              <w:right w:val="single" w:color="auto" w:sz="4" w:space="0"/>
            </w:tcBorders>
            <w:vAlign w:val="center"/>
          </w:tcPr>
          <w:p w14:paraId="48C5AD02">
            <w:pPr>
              <w:snapToGrid w:val="0"/>
              <w:spacing w:line="360" w:lineRule="auto"/>
              <w:ind w:firstLine="420"/>
              <w:jc w:val="center"/>
              <w:rPr>
                <w:rFonts w:hint="eastAsia" w:ascii="宋体" w:hAnsi="宋体"/>
                <w:bCs/>
              </w:rPr>
            </w:pPr>
            <w:r>
              <w:rPr>
                <w:rFonts w:hint="eastAsia" w:ascii="宋体" w:hAnsi="宋体"/>
                <w:bCs/>
              </w:rPr>
              <w:t>总价</w:t>
            </w:r>
          </w:p>
          <w:p w14:paraId="628AFAD8">
            <w:pPr>
              <w:snapToGrid w:val="0"/>
              <w:spacing w:line="360" w:lineRule="auto"/>
              <w:ind w:firstLine="420"/>
              <w:jc w:val="center"/>
              <w:rPr>
                <w:rFonts w:hint="eastAsia" w:ascii="宋体" w:hAnsi="宋体"/>
                <w:bCs/>
              </w:rPr>
            </w:pPr>
            <w:r>
              <w:rPr>
                <w:rFonts w:hint="eastAsia" w:ascii="宋体" w:hAnsi="宋体"/>
                <w:bCs/>
              </w:rPr>
              <w:t>（人民币）</w:t>
            </w:r>
          </w:p>
        </w:tc>
      </w:tr>
      <w:tr w14:paraId="1380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jc w:val="center"/>
        </w:trPr>
        <w:tc>
          <w:tcPr>
            <w:tcW w:w="1008" w:type="dxa"/>
            <w:tcBorders>
              <w:top w:val="single" w:color="auto" w:sz="4" w:space="0"/>
              <w:left w:val="single" w:color="auto" w:sz="4" w:space="0"/>
              <w:bottom w:val="single" w:color="auto" w:sz="4" w:space="0"/>
              <w:right w:val="single" w:color="auto" w:sz="4" w:space="0"/>
            </w:tcBorders>
          </w:tcPr>
          <w:p w14:paraId="3280339C">
            <w:pPr>
              <w:snapToGrid w:val="0"/>
              <w:spacing w:line="360" w:lineRule="auto"/>
              <w:ind w:firstLine="420"/>
              <w:jc w:val="left"/>
              <w:rPr>
                <w:rFonts w:hint="eastAsia" w:ascii="宋体" w:hAnsi="宋体"/>
                <w:bCs/>
              </w:rPr>
            </w:pPr>
          </w:p>
        </w:tc>
        <w:tc>
          <w:tcPr>
            <w:tcW w:w="1290" w:type="dxa"/>
            <w:tcBorders>
              <w:top w:val="single" w:color="auto" w:sz="4" w:space="0"/>
              <w:left w:val="single" w:color="auto" w:sz="4" w:space="0"/>
              <w:bottom w:val="single" w:color="auto" w:sz="4" w:space="0"/>
              <w:right w:val="single" w:color="auto" w:sz="4" w:space="0"/>
            </w:tcBorders>
          </w:tcPr>
          <w:p w14:paraId="7B48C4A8">
            <w:pPr>
              <w:snapToGrid w:val="0"/>
              <w:spacing w:line="360" w:lineRule="auto"/>
              <w:ind w:firstLine="420"/>
              <w:jc w:val="left"/>
              <w:rPr>
                <w:rFonts w:hint="eastAsia" w:ascii="宋体" w:hAnsi="宋体"/>
                <w:bCs/>
              </w:rPr>
            </w:pPr>
          </w:p>
        </w:tc>
        <w:tc>
          <w:tcPr>
            <w:tcW w:w="1515" w:type="dxa"/>
            <w:tcBorders>
              <w:top w:val="single" w:color="auto" w:sz="4" w:space="0"/>
              <w:left w:val="single" w:color="auto" w:sz="4" w:space="0"/>
              <w:bottom w:val="single" w:color="auto" w:sz="4" w:space="0"/>
              <w:right w:val="single" w:color="auto" w:sz="4" w:space="0"/>
            </w:tcBorders>
          </w:tcPr>
          <w:p w14:paraId="31AD4AD5">
            <w:pPr>
              <w:snapToGrid w:val="0"/>
              <w:spacing w:line="360" w:lineRule="auto"/>
              <w:ind w:firstLine="420"/>
              <w:jc w:val="left"/>
              <w:rPr>
                <w:rFonts w:hint="eastAsia" w:ascii="宋体" w:hAnsi="宋体"/>
                <w:bCs/>
              </w:rPr>
            </w:pPr>
          </w:p>
        </w:tc>
        <w:tc>
          <w:tcPr>
            <w:tcW w:w="1185" w:type="dxa"/>
            <w:tcBorders>
              <w:top w:val="single" w:color="auto" w:sz="4" w:space="0"/>
              <w:left w:val="single" w:color="auto" w:sz="4" w:space="0"/>
              <w:bottom w:val="single" w:color="auto" w:sz="4" w:space="0"/>
              <w:right w:val="single" w:color="auto" w:sz="4" w:space="0"/>
            </w:tcBorders>
          </w:tcPr>
          <w:p w14:paraId="601C9323">
            <w:pPr>
              <w:snapToGrid w:val="0"/>
              <w:spacing w:line="360" w:lineRule="auto"/>
              <w:ind w:firstLine="420"/>
              <w:jc w:val="left"/>
              <w:rPr>
                <w:rFonts w:hint="eastAsia" w:ascii="宋体" w:hAnsi="宋体"/>
                <w:bCs/>
              </w:rPr>
            </w:pPr>
          </w:p>
        </w:tc>
        <w:tc>
          <w:tcPr>
            <w:tcW w:w="735" w:type="dxa"/>
            <w:tcBorders>
              <w:top w:val="single" w:color="auto" w:sz="4" w:space="0"/>
              <w:left w:val="single" w:color="auto" w:sz="4" w:space="0"/>
              <w:bottom w:val="single" w:color="auto" w:sz="4" w:space="0"/>
              <w:right w:val="single" w:color="auto" w:sz="4" w:space="0"/>
            </w:tcBorders>
          </w:tcPr>
          <w:p w14:paraId="434583AD">
            <w:pPr>
              <w:snapToGrid w:val="0"/>
              <w:spacing w:line="360" w:lineRule="auto"/>
              <w:ind w:firstLine="420"/>
              <w:jc w:val="left"/>
              <w:rPr>
                <w:rFonts w:hint="eastAsia" w:ascii="宋体" w:hAnsi="宋体"/>
                <w:bCs/>
              </w:rPr>
            </w:pPr>
          </w:p>
        </w:tc>
        <w:tc>
          <w:tcPr>
            <w:tcW w:w="810" w:type="dxa"/>
            <w:tcBorders>
              <w:top w:val="single" w:color="auto" w:sz="4" w:space="0"/>
              <w:left w:val="single" w:color="auto" w:sz="4" w:space="0"/>
              <w:bottom w:val="single" w:color="auto" w:sz="4" w:space="0"/>
              <w:right w:val="single" w:color="auto" w:sz="4" w:space="0"/>
            </w:tcBorders>
          </w:tcPr>
          <w:p w14:paraId="5CD95525">
            <w:pPr>
              <w:snapToGrid w:val="0"/>
              <w:spacing w:line="360" w:lineRule="auto"/>
              <w:ind w:firstLine="420"/>
              <w:jc w:val="left"/>
              <w:rPr>
                <w:rFonts w:hint="eastAsia" w:ascii="宋体" w:hAnsi="宋体"/>
                <w:bCs/>
              </w:rPr>
            </w:pPr>
          </w:p>
        </w:tc>
        <w:tc>
          <w:tcPr>
            <w:tcW w:w="1380" w:type="dxa"/>
            <w:tcBorders>
              <w:top w:val="single" w:color="auto" w:sz="4" w:space="0"/>
              <w:left w:val="single" w:color="auto" w:sz="4" w:space="0"/>
              <w:bottom w:val="single" w:color="auto" w:sz="4" w:space="0"/>
              <w:right w:val="single" w:color="auto" w:sz="4" w:space="0"/>
            </w:tcBorders>
          </w:tcPr>
          <w:p w14:paraId="18A4495B">
            <w:pPr>
              <w:snapToGrid w:val="0"/>
              <w:spacing w:line="360" w:lineRule="auto"/>
              <w:ind w:firstLine="420"/>
              <w:rPr>
                <w:rFonts w:hint="eastAsia" w:ascii="宋体" w:hAnsi="宋体"/>
                <w:bCs/>
              </w:rPr>
            </w:pPr>
          </w:p>
          <w:p w14:paraId="719EE486">
            <w:pPr>
              <w:snapToGrid w:val="0"/>
              <w:spacing w:line="360" w:lineRule="auto"/>
              <w:ind w:firstLine="420"/>
              <w:rPr>
                <w:rFonts w:hint="eastAsia" w:ascii="宋体" w:hAnsi="宋体"/>
                <w:bCs/>
              </w:rPr>
            </w:pPr>
          </w:p>
          <w:p w14:paraId="77B1D8EB">
            <w:pPr>
              <w:snapToGrid w:val="0"/>
              <w:spacing w:line="360" w:lineRule="auto"/>
              <w:ind w:firstLine="420"/>
              <w:jc w:val="left"/>
              <w:rPr>
                <w:rFonts w:hint="eastAsia" w:ascii="宋体" w:hAnsi="宋体"/>
                <w:bCs/>
              </w:rPr>
            </w:pPr>
          </w:p>
        </w:tc>
        <w:tc>
          <w:tcPr>
            <w:tcW w:w="1590" w:type="dxa"/>
            <w:tcBorders>
              <w:top w:val="single" w:color="auto" w:sz="4" w:space="0"/>
              <w:left w:val="single" w:color="auto" w:sz="4" w:space="0"/>
              <w:bottom w:val="single" w:color="auto" w:sz="4" w:space="0"/>
              <w:right w:val="single" w:color="auto" w:sz="4" w:space="0"/>
            </w:tcBorders>
            <w:vAlign w:val="center"/>
          </w:tcPr>
          <w:p w14:paraId="7CDBB377">
            <w:pPr>
              <w:snapToGrid w:val="0"/>
              <w:spacing w:line="360" w:lineRule="auto"/>
              <w:ind w:firstLine="420"/>
              <w:jc w:val="left"/>
              <w:rPr>
                <w:rFonts w:hint="eastAsia" w:ascii="宋体" w:hAnsi="宋体"/>
                <w:bCs/>
              </w:rPr>
            </w:pPr>
          </w:p>
        </w:tc>
      </w:tr>
      <w:tr w14:paraId="1B95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9513" w:type="dxa"/>
            <w:gridSpan w:val="8"/>
            <w:tcBorders>
              <w:top w:val="single" w:color="auto" w:sz="4" w:space="0"/>
              <w:left w:val="single" w:color="auto" w:sz="4" w:space="0"/>
              <w:bottom w:val="single" w:color="auto" w:sz="4" w:space="0"/>
              <w:right w:val="single" w:color="auto" w:sz="4" w:space="0"/>
            </w:tcBorders>
          </w:tcPr>
          <w:p w14:paraId="52EE508D">
            <w:pPr>
              <w:snapToGrid w:val="0"/>
              <w:spacing w:line="360" w:lineRule="auto"/>
              <w:rPr>
                <w:rFonts w:hint="eastAsia" w:ascii="宋体" w:hAnsi="宋体"/>
                <w:bCs/>
              </w:rPr>
            </w:pPr>
            <w:r>
              <w:rPr>
                <w:rFonts w:hint="eastAsia" w:ascii="宋体" w:hAnsi="宋体"/>
                <w:bCs/>
              </w:rPr>
              <w:t>备注：</w:t>
            </w:r>
            <w:r>
              <w:rPr>
                <w:rFonts w:ascii="宋体" w:hAnsi="宋体"/>
                <w:bCs/>
              </w:rPr>
              <w:t xml:space="preserve"> </w:t>
            </w:r>
          </w:p>
        </w:tc>
      </w:tr>
    </w:tbl>
    <w:p w14:paraId="417143FE">
      <w:pPr>
        <w:pStyle w:val="36"/>
        <w:spacing w:line="360" w:lineRule="auto"/>
        <w:rPr>
          <w:bCs/>
        </w:rPr>
      </w:pPr>
    </w:p>
    <w:p w14:paraId="314A32CD">
      <w:pPr>
        <w:snapToGrid w:val="0"/>
        <w:spacing w:line="360" w:lineRule="auto"/>
        <w:ind w:firstLine="422"/>
        <w:rPr>
          <w:bCs/>
        </w:rPr>
      </w:pPr>
      <w:r>
        <w:rPr>
          <w:rFonts w:hint="eastAsia" w:ascii="宋体" w:hAnsi="宋体"/>
          <w:bCs/>
        </w:rPr>
        <w:t>二、合同总金额及结算付款：</w:t>
      </w:r>
    </w:p>
    <w:p w14:paraId="068BBFE9">
      <w:pPr>
        <w:snapToGrid w:val="0"/>
        <w:spacing w:line="360" w:lineRule="auto"/>
        <w:ind w:firstLine="420"/>
        <w:rPr>
          <w:rFonts w:hint="eastAsia" w:ascii="宋体" w:hAnsi="宋体"/>
          <w:bCs/>
        </w:rPr>
      </w:pPr>
      <w:r>
        <w:rPr>
          <w:rFonts w:hint="eastAsia" w:ascii="宋体" w:hAnsi="宋体"/>
          <w:bCs/>
        </w:rPr>
        <w:t>1、本项目合同总金额为中标价人民币</w:t>
      </w:r>
      <w:r>
        <w:rPr>
          <w:rFonts w:hint="eastAsia" w:ascii="宋体" w:hAnsi="宋体"/>
          <w:bCs/>
          <w:u w:val="single"/>
        </w:rPr>
        <w:t xml:space="preserve">               </w:t>
      </w:r>
      <w:r>
        <w:rPr>
          <w:rFonts w:hint="eastAsia" w:ascii="宋体" w:hAnsi="宋体"/>
          <w:bCs/>
        </w:rPr>
        <w:t>元（大写人民币</w:t>
      </w:r>
      <w:r>
        <w:rPr>
          <w:rFonts w:hint="eastAsia" w:ascii="宋体" w:hAnsi="宋体"/>
          <w:bCs/>
          <w:u w:val="single"/>
        </w:rPr>
        <w:t xml:space="preserve">               </w:t>
      </w:r>
      <w:r>
        <w:rPr>
          <w:rFonts w:hint="eastAsia" w:ascii="宋体" w:hAnsi="宋体"/>
          <w:bCs/>
        </w:rPr>
        <w:t>元）。</w:t>
      </w:r>
    </w:p>
    <w:p w14:paraId="3A4E1487">
      <w:pPr>
        <w:snapToGrid w:val="0"/>
        <w:spacing w:line="360" w:lineRule="auto"/>
        <w:ind w:firstLine="420"/>
        <w:rPr>
          <w:bCs/>
        </w:rPr>
      </w:pPr>
      <w:r>
        <w:rPr>
          <w:rFonts w:hint="eastAsia" w:ascii="宋体" w:hAnsi="宋体"/>
          <w:bCs/>
        </w:rPr>
        <w:t>2、结算付款方式：</w:t>
      </w:r>
    </w:p>
    <w:p w14:paraId="60765270">
      <w:pPr>
        <w:snapToGrid w:val="0"/>
        <w:spacing w:line="360" w:lineRule="auto"/>
        <w:ind w:firstLine="420"/>
        <w:rPr>
          <w:rFonts w:hint="eastAsia" w:ascii="宋体" w:hAnsi="宋体"/>
          <w:bCs/>
        </w:rPr>
      </w:pPr>
      <w:r>
        <w:rPr>
          <w:rFonts w:hint="eastAsia" w:ascii="宋体" w:hAnsi="宋体"/>
          <w:bCs/>
        </w:rPr>
        <w:t>3、付款方式：</w:t>
      </w:r>
    </w:p>
    <w:p w14:paraId="364572E5">
      <w:pPr>
        <w:snapToGrid w:val="0"/>
        <w:spacing w:line="360" w:lineRule="auto"/>
        <w:ind w:firstLine="422"/>
        <w:rPr>
          <w:rFonts w:hint="eastAsia" w:ascii="宋体" w:hAnsi="宋体"/>
          <w:bCs/>
        </w:rPr>
      </w:pPr>
      <w:r>
        <w:rPr>
          <w:rFonts w:hint="eastAsia" w:ascii="宋体" w:hAnsi="宋体"/>
          <w:bCs/>
        </w:rPr>
        <w:t xml:space="preserve">由采购人按下列程序付款： </w:t>
      </w:r>
    </w:p>
    <w:p w14:paraId="21559DB9">
      <w:pPr>
        <w:snapToGrid w:val="0"/>
        <w:spacing w:line="360" w:lineRule="auto"/>
        <w:ind w:firstLine="422"/>
        <w:rPr>
          <w:rFonts w:hint="eastAsia" w:ascii="宋体" w:hAnsi="宋体"/>
          <w:bCs/>
        </w:rPr>
      </w:pPr>
    </w:p>
    <w:p w14:paraId="6C909693">
      <w:pPr>
        <w:snapToGrid w:val="0"/>
        <w:spacing w:line="360" w:lineRule="auto"/>
        <w:ind w:firstLine="422"/>
        <w:rPr>
          <w:rFonts w:hint="eastAsia" w:ascii="宋体" w:hAnsi="宋体"/>
          <w:bCs/>
        </w:rPr>
      </w:pPr>
      <w:r>
        <w:rPr>
          <w:rFonts w:hint="eastAsia" w:ascii="宋体" w:hAnsi="宋体"/>
          <w:bCs/>
        </w:rPr>
        <w:t>4. 中标人凭以下有效文件与采购人结算：</w:t>
      </w:r>
    </w:p>
    <w:p w14:paraId="01ED737A">
      <w:pPr>
        <w:snapToGrid w:val="0"/>
        <w:spacing w:line="360" w:lineRule="auto"/>
        <w:ind w:firstLine="422"/>
        <w:rPr>
          <w:rFonts w:hint="eastAsia" w:ascii="宋体" w:hAnsi="宋体"/>
          <w:bCs/>
        </w:rPr>
      </w:pPr>
      <w:r>
        <w:rPr>
          <w:rFonts w:hint="eastAsia" w:ascii="宋体" w:hAnsi="宋体"/>
          <w:bCs/>
        </w:rPr>
        <w:t>（1）合同；</w:t>
      </w:r>
    </w:p>
    <w:p w14:paraId="0D73BC5B">
      <w:pPr>
        <w:snapToGrid w:val="0"/>
        <w:spacing w:line="360" w:lineRule="auto"/>
        <w:ind w:firstLine="422"/>
        <w:rPr>
          <w:rFonts w:hint="eastAsia" w:ascii="宋体" w:hAnsi="宋体"/>
          <w:bCs/>
        </w:rPr>
      </w:pPr>
      <w:r>
        <w:rPr>
          <w:rFonts w:hint="eastAsia" w:ascii="宋体" w:hAnsi="宋体"/>
          <w:bCs/>
        </w:rPr>
        <w:t>（2）中标人开具的正式发票；</w:t>
      </w:r>
    </w:p>
    <w:p w14:paraId="2C0DA8E8">
      <w:pPr>
        <w:snapToGrid w:val="0"/>
        <w:spacing w:line="360" w:lineRule="auto"/>
        <w:ind w:firstLine="422"/>
        <w:rPr>
          <w:rFonts w:hint="eastAsia" w:ascii="宋体" w:hAnsi="宋体"/>
          <w:bCs/>
        </w:rPr>
      </w:pPr>
      <w:r>
        <w:rPr>
          <w:rFonts w:hint="eastAsia" w:ascii="宋体" w:hAnsi="宋体"/>
          <w:bCs/>
        </w:rPr>
        <w:t>（3）送货单据；</w:t>
      </w:r>
    </w:p>
    <w:p w14:paraId="23159F74">
      <w:pPr>
        <w:snapToGrid w:val="0"/>
        <w:spacing w:line="360" w:lineRule="auto"/>
        <w:ind w:firstLine="422"/>
        <w:rPr>
          <w:rFonts w:hint="eastAsia" w:ascii="宋体" w:hAnsi="宋体"/>
          <w:bCs/>
        </w:rPr>
      </w:pPr>
      <w:r>
        <w:rPr>
          <w:rFonts w:hint="eastAsia" w:ascii="宋体" w:hAnsi="宋体"/>
          <w:bCs/>
        </w:rPr>
        <w:t>（4）货物说明书；</w:t>
      </w:r>
    </w:p>
    <w:p w14:paraId="0F92F072">
      <w:pPr>
        <w:snapToGrid w:val="0"/>
        <w:spacing w:line="360" w:lineRule="auto"/>
        <w:ind w:firstLine="422"/>
        <w:rPr>
          <w:bCs/>
        </w:rPr>
      </w:pPr>
      <w:r>
        <w:rPr>
          <w:rFonts w:hint="eastAsia" w:ascii="宋体" w:hAnsi="宋体"/>
          <w:bCs/>
        </w:rPr>
        <w:t>三、项目清单及技术参数：</w:t>
      </w:r>
    </w:p>
    <w:p w14:paraId="131F0DF3">
      <w:pPr>
        <w:snapToGrid w:val="0"/>
        <w:spacing w:line="360" w:lineRule="auto"/>
        <w:ind w:firstLine="420"/>
        <w:rPr>
          <w:bCs/>
        </w:rPr>
      </w:pPr>
      <w:r>
        <w:rPr>
          <w:rFonts w:hint="eastAsia" w:ascii="宋体" w:hAnsi="宋体"/>
          <w:bCs/>
        </w:rPr>
        <w:t>（格式自拟）</w:t>
      </w:r>
    </w:p>
    <w:p w14:paraId="2966D029">
      <w:pPr>
        <w:pStyle w:val="101"/>
        <w:widowControl/>
        <w:tabs>
          <w:tab w:val="left" w:pos="1500"/>
        </w:tabs>
        <w:spacing w:before="156" w:beforeLines="50" w:line="360" w:lineRule="auto"/>
        <w:jc w:val="left"/>
        <w:rPr>
          <w:rFonts w:hint="eastAsia" w:ascii="宋体" w:hAnsi="宋体"/>
          <w:bCs/>
        </w:rPr>
      </w:pPr>
      <w:r>
        <w:rPr>
          <w:rFonts w:hint="eastAsia" w:ascii="宋体" w:hAnsi="宋体"/>
          <w:bCs/>
        </w:rPr>
        <w:t>四、货物保修期：详见项目需求书。</w:t>
      </w:r>
    </w:p>
    <w:p w14:paraId="684C872A">
      <w:pPr>
        <w:autoSpaceDE w:val="0"/>
        <w:autoSpaceDN w:val="0"/>
        <w:spacing w:before="156" w:beforeLines="50" w:line="360" w:lineRule="auto"/>
        <w:ind w:firstLine="360"/>
        <w:rPr>
          <w:rFonts w:hint="eastAsia" w:ascii="宋体" w:hAnsi="宋体" w:cs="宋体"/>
          <w:bCs/>
        </w:rPr>
      </w:pPr>
      <w:r>
        <w:rPr>
          <w:rFonts w:hint="eastAsia" w:ascii="宋体" w:hAnsi="宋体"/>
          <w:bCs/>
        </w:rPr>
        <w:t>五、交货期：详见项目需求书</w:t>
      </w:r>
    </w:p>
    <w:p w14:paraId="5AEA4108">
      <w:pPr>
        <w:snapToGrid w:val="0"/>
        <w:spacing w:line="360" w:lineRule="auto"/>
        <w:ind w:firstLine="422"/>
        <w:rPr>
          <w:bCs/>
        </w:rPr>
      </w:pPr>
      <w:r>
        <w:rPr>
          <w:rFonts w:hint="eastAsia" w:ascii="宋体" w:hAnsi="宋体"/>
          <w:bCs/>
        </w:rPr>
        <w:t>六、项目实施地点：甲方指定项目现场</w:t>
      </w:r>
    </w:p>
    <w:p w14:paraId="67CDA386">
      <w:pPr>
        <w:snapToGrid w:val="0"/>
        <w:spacing w:line="360" w:lineRule="auto"/>
        <w:ind w:firstLine="422"/>
        <w:rPr>
          <w:bCs/>
        </w:rPr>
      </w:pPr>
      <w:r>
        <w:rPr>
          <w:rFonts w:hint="eastAsia" w:ascii="宋体" w:hAnsi="宋体"/>
          <w:bCs/>
        </w:rPr>
        <w:t>七、质量要求和乙方对质量负责条件和期限</w:t>
      </w:r>
    </w:p>
    <w:p w14:paraId="570740CB">
      <w:pPr>
        <w:snapToGrid w:val="0"/>
        <w:spacing w:line="360" w:lineRule="auto"/>
        <w:ind w:firstLine="420"/>
        <w:rPr>
          <w:bCs/>
        </w:rPr>
      </w:pPr>
      <w:r>
        <w:rPr>
          <w:rFonts w:hint="eastAsia" w:ascii="宋体" w:hAnsi="宋体"/>
          <w:bCs/>
        </w:rPr>
        <w:t>1、乙方提供的所有货物及系统均要求为全新的、包装完好的、未经使用的、无锈蚀、无损坏、能正常安装使用、具备出厂合格证，且进货渠道合法，并生产、制造日期应当在XXXX年X月X日之后；符合中华人民共和国国家标准、行业标准、地方标准、货物生产商的产品质量标准、货物生产制造地标准及中华人民共和国相关法律、法规的规定；符合有关部门制定的相关技术规范；符合招标文件的要求、产品说明书表明的质量状况和使用性能；并具有完整的原厂家标识、产地证明、使用说明书及相关资料。制造商执行的货物制造、检验和验收的标准要达到国标及同等相关标准。</w:t>
      </w:r>
    </w:p>
    <w:p w14:paraId="4C4D81EA">
      <w:pPr>
        <w:snapToGrid w:val="0"/>
        <w:spacing w:line="360" w:lineRule="auto"/>
        <w:ind w:firstLine="420"/>
        <w:rPr>
          <w:bCs/>
        </w:rPr>
      </w:pPr>
      <w:r>
        <w:rPr>
          <w:rFonts w:hint="eastAsia" w:ascii="宋体" w:hAnsi="宋体"/>
          <w:bCs/>
        </w:rPr>
        <w:t>2、乙方向甲方提供优质咨询和技术支持以有效地解决技术难题，随时电话或书面解答系统使用方面的疑问，并根据需要派人到现场服务。</w:t>
      </w:r>
    </w:p>
    <w:p w14:paraId="547DC380">
      <w:pPr>
        <w:snapToGrid w:val="0"/>
        <w:spacing w:line="360" w:lineRule="auto"/>
        <w:ind w:firstLine="420"/>
        <w:rPr>
          <w:bCs/>
        </w:rPr>
      </w:pPr>
      <w:r>
        <w:rPr>
          <w:rFonts w:hint="eastAsia" w:ascii="宋体" w:hAnsi="宋体"/>
          <w:bCs/>
        </w:rPr>
        <w:t>3、保修期内免费三包，处理因质量发生的故障，终身维护（不可抗拒因素除外，如火灾、地震等）。</w:t>
      </w:r>
    </w:p>
    <w:p w14:paraId="77C1E900">
      <w:pPr>
        <w:snapToGrid w:val="0"/>
        <w:spacing w:line="360" w:lineRule="auto"/>
        <w:ind w:firstLine="420"/>
        <w:rPr>
          <w:bCs/>
        </w:rPr>
      </w:pPr>
      <w:r>
        <w:rPr>
          <w:rFonts w:hint="eastAsia" w:ascii="宋体" w:hAnsi="宋体"/>
          <w:bCs/>
        </w:rPr>
        <w:t>4、不论保修期是否届满，乙方对甲方提出的质量问题和维修要求，电话响应时间要求</w:t>
      </w:r>
      <w:r>
        <w:rPr>
          <w:rFonts w:ascii="宋体" w:hAnsi="宋体"/>
          <w:bCs/>
          <w:u w:val="single"/>
        </w:rPr>
        <w:t xml:space="preserve">   </w:t>
      </w:r>
      <w:r>
        <w:rPr>
          <w:rFonts w:hint="eastAsia" w:ascii="宋体" w:hAnsi="宋体"/>
          <w:bCs/>
        </w:rPr>
        <w:t>小时内，到场响应时间要求</w:t>
      </w:r>
      <w:r>
        <w:rPr>
          <w:rFonts w:ascii="宋体" w:hAnsi="宋体"/>
          <w:bCs/>
          <w:u w:val="single"/>
        </w:rPr>
        <w:t xml:space="preserve">   </w:t>
      </w:r>
      <w:r>
        <w:rPr>
          <w:rFonts w:hint="eastAsia" w:ascii="宋体" w:hAnsi="宋体"/>
          <w:bCs/>
        </w:rPr>
        <w:t>个工作日内（指从接到报障至到达故障现场的时间），及时解决问题，直到故障排除为止。</w:t>
      </w:r>
    </w:p>
    <w:p w14:paraId="6514AD98">
      <w:pPr>
        <w:snapToGrid w:val="0"/>
        <w:spacing w:line="360" w:lineRule="auto"/>
        <w:ind w:firstLine="420"/>
        <w:rPr>
          <w:bCs/>
        </w:rPr>
      </w:pPr>
      <w:r>
        <w:rPr>
          <w:rFonts w:hint="eastAsia" w:ascii="宋体" w:hAnsi="宋体"/>
          <w:bCs/>
        </w:rPr>
        <w:t>5、保修期内货物的维护由乙方负责，出现设备质量及技术故障问题，由乙方负责无偿保修，经维修仍不能使用的应予以更换，并承担由此引起的实际费用。</w:t>
      </w:r>
    </w:p>
    <w:p w14:paraId="65547F27">
      <w:pPr>
        <w:snapToGrid w:val="0"/>
        <w:spacing w:line="360" w:lineRule="auto"/>
        <w:ind w:firstLine="474"/>
        <w:rPr>
          <w:bCs/>
        </w:rPr>
      </w:pPr>
      <w:r>
        <w:rPr>
          <w:rFonts w:hint="eastAsia" w:ascii="宋体" w:hAnsi="宋体"/>
          <w:bCs/>
        </w:rPr>
        <w:t>八、知识产权：</w:t>
      </w:r>
    </w:p>
    <w:p w14:paraId="759EDA53">
      <w:pPr>
        <w:snapToGrid w:val="0"/>
        <w:spacing w:line="360" w:lineRule="auto"/>
        <w:ind w:firstLine="473"/>
        <w:rPr>
          <w:bCs/>
        </w:rPr>
      </w:pPr>
      <w:r>
        <w:rPr>
          <w:rFonts w:hint="eastAsia" w:ascii="宋体" w:hAnsi="宋体"/>
          <w:bCs/>
        </w:rPr>
        <w:t>乙方应保证其享有其提供货物、软件及配件在知识产权方面的权利，如果在甲方使用过程中被第三方指控侵权时，由乙方负责与第三方交涉，并承担由此产生的一切法律和经济上的责任及因此甲方产生的损失。如果在诉讼或仲裁中被认定构成侵权，程序或设备的使用被禁止，乙方应自行承担费用承担替换或修改程序，使之不再构成侵权，并在实质上用同样的质量进行同样的服务，并赔偿甲方由此所致的经济损失，任何知识产权纠纷与甲方无关。</w:t>
      </w:r>
    </w:p>
    <w:p w14:paraId="6A2A9637">
      <w:pPr>
        <w:snapToGrid w:val="0"/>
        <w:spacing w:line="360" w:lineRule="auto"/>
        <w:ind w:firstLine="422"/>
        <w:rPr>
          <w:bCs/>
        </w:rPr>
      </w:pPr>
      <w:r>
        <w:rPr>
          <w:rFonts w:hint="eastAsia" w:ascii="宋体" w:hAnsi="宋体"/>
          <w:bCs/>
        </w:rPr>
        <w:t>九、项目验收：</w:t>
      </w:r>
    </w:p>
    <w:p w14:paraId="7ED1A3C1">
      <w:pPr>
        <w:widowControl/>
        <w:snapToGrid w:val="0"/>
        <w:spacing w:line="360" w:lineRule="auto"/>
        <w:ind w:firstLine="462"/>
        <w:jc w:val="left"/>
        <w:rPr>
          <w:rFonts w:hint="eastAsia" w:ascii="宋体" w:hAnsi="宋体"/>
          <w:bCs/>
        </w:rPr>
      </w:pPr>
      <w:r>
        <w:rPr>
          <w:rFonts w:hint="eastAsia" w:ascii="宋体" w:hAnsi="宋体"/>
          <w:bCs/>
        </w:rPr>
        <w:t>初验收：货物运抵安装现场后，甲乙双方共同开箱验收, 如乙方未按甲方通知参与初验收，, 则验收结果应以甲方出具的验收报告为最终验收结果。验收时发现短缺、破损, 甲方有权要求乙方立即补发和负责更换。因此造成逾期的，乙方应承担违约责任。</w:t>
      </w:r>
    </w:p>
    <w:p w14:paraId="4B8412E8">
      <w:pPr>
        <w:widowControl/>
        <w:snapToGrid w:val="0"/>
        <w:spacing w:line="360" w:lineRule="auto"/>
        <w:ind w:firstLine="462"/>
        <w:jc w:val="left"/>
        <w:rPr>
          <w:bCs/>
        </w:rPr>
      </w:pPr>
      <w:r>
        <w:rPr>
          <w:rFonts w:hint="eastAsia" w:ascii="宋体" w:hAnsi="宋体"/>
          <w:bCs/>
        </w:rPr>
        <w:t xml:space="preserve">终验收：货物安装、调试完成后，由双方根据验收标准对以及设备进行测试、验收。验收过程中，甲方有权提出货物测试的内容、项目、指标和方法,乙方有责任对甲方的技术人员提出的问题作出解答。测试应进行详细记录, 货物测试结束后, 甲方出具终验收报告。如乙方未按甲方通知参与终验收的，则甲方有权自行测试、验收并出具验收报告。因此造成逾期的，乙方应承担违约责任。 </w:t>
      </w:r>
    </w:p>
    <w:p w14:paraId="24D6286C">
      <w:pPr>
        <w:snapToGrid w:val="0"/>
        <w:spacing w:line="360" w:lineRule="auto"/>
        <w:ind w:firstLine="422"/>
        <w:rPr>
          <w:bCs/>
        </w:rPr>
      </w:pPr>
      <w:r>
        <w:rPr>
          <w:rFonts w:hint="eastAsia" w:ascii="宋体" w:hAnsi="宋体"/>
          <w:bCs/>
        </w:rPr>
        <w:t>十、违约责任：</w:t>
      </w:r>
    </w:p>
    <w:p w14:paraId="46D97E6B">
      <w:pPr>
        <w:widowControl/>
        <w:snapToGrid w:val="0"/>
        <w:spacing w:line="360" w:lineRule="auto"/>
        <w:ind w:firstLine="462"/>
        <w:rPr>
          <w:bCs/>
        </w:rPr>
      </w:pPr>
      <w:r>
        <w:rPr>
          <w:rFonts w:hint="eastAsia" w:ascii="宋体" w:hAnsi="宋体"/>
          <w:bCs/>
        </w:rPr>
        <w:t xml:space="preserve">1、乙方逾期交货并完成安装调试且通过最终验收的，每逾期一日应按合同总金额的 </w:t>
      </w:r>
      <w:r>
        <w:rPr>
          <w:rFonts w:hint="eastAsia" w:ascii="宋体" w:hAnsi="宋体"/>
          <w:bCs/>
          <w:u w:val="single"/>
        </w:rPr>
        <w:t xml:space="preserve">  </w:t>
      </w:r>
      <w:r>
        <w:rPr>
          <w:rFonts w:hint="eastAsia" w:ascii="宋体" w:hAnsi="宋体"/>
          <w:bCs/>
        </w:rPr>
        <w:t xml:space="preserve"> %向甲方支付违约金，逾期超过 </w:t>
      </w:r>
      <w:r>
        <w:rPr>
          <w:rFonts w:hint="eastAsia" w:ascii="宋体" w:hAnsi="宋体"/>
          <w:bCs/>
          <w:u w:val="single"/>
        </w:rPr>
        <w:t xml:space="preserve">   </w:t>
      </w:r>
      <w:r>
        <w:rPr>
          <w:rFonts w:hint="eastAsia" w:ascii="宋体" w:hAnsi="宋体"/>
          <w:bCs/>
        </w:rPr>
        <w:t xml:space="preserve"> 日的，甲方有权单方解除合同并要求乙方退回已收取的全部合同款。甲方可从合同未付款中扣乙方应支付的违约金。</w:t>
      </w:r>
    </w:p>
    <w:p w14:paraId="20D397C7">
      <w:pPr>
        <w:snapToGrid w:val="0"/>
        <w:spacing w:line="360" w:lineRule="auto"/>
        <w:ind w:firstLine="462"/>
        <w:rPr>
          <w:bCs/>
        </w:rPr>
      </w:pPr>
      <w:r>
        <w:rPr>
          <w:rFonts w:hint="eastAsia" w:ascii="宋体" w:hAnsi="宋体"/>
          <w:bCs/>
        </w:rPr>
        <w:t>2、乙方未经甲方同意，验收前擅自启封货物的原包装，甲方有权拒收设备并要求乙方更换设备，同时，乙方应向甲方支付相应货物部分金额百分之</w:t>
      </w:r>
      <w:r>
        <w:rPr>
          <w:rFonts w:hint="eastAsia" w:ascii="宋体" w:hAnsi="宋体"/>
          <w:bCs/>
          <w:u w:val="single"/>
        </w:rPr>
        <w:t xml:space="preserve">   </w:t>
      </w:r>
      <w:r>
        <w:rPr>
          <w:rFonts w:hint="eastAsia" w:ascii="宋体" w:hAnsi="宋体"/>
          <w:bCs/>
        </w:rPr>
        <w:t>的违约金。因此造成逾期的，甲方有权按本条第1点的约定解除合同、要求乙方退回合同款并承担相应的违约责任。</w:t>
      </w:r>
    </w:p>
    <w:p w14:paraId="70727D04">
      <w:pPr>
        <w:snapToGrid w:val="0"/>
        <w:spacing w:line="360" w:lineRule="auto"/>
        <w:ind w:firstLine="462"/>
        <w:rPr>
          <w:bCs/>
        </w:rPr>
      </w:pPr>
      <w:r>
        <w:rPr>
          <w:rFonts w:hint="eastAsia" w:ascii="宋体" w:hAnsi="宋体"/>
          <w:bCs/>
        </w:rPr>
        <w:t>3、乙方提供的所有货物必须是原装正品并与货物清单所列型号及技术标准相符；否则，乙方负责更换为符合本合同规定的设备，因此造成逾期的，甲方有权按本条第1点的约定解除合同、要求乙方退回合同款并承担相应的违约责任。</w:t>
      </w:r>
    </w:p>
    <w:p w14:paraId="7332E67B">
      <w:pPr>
        <w:snapToGrid w:val="0"/>
        <w:spacing w:line="360" w:lineRule="auto"/>
        <w:ind w:firstLine="473"/>
        <w:rPr>
          <w:bCs/>
        </w:rPr>
      </w:pPr>
      <w:r>
        <w:rPr>
          <w:rFonts w:hint="eastAsia" w:ascii="宋体" w:hAnsi="宋体"/>
          <w:bCs/>
        </w:rPr>
        <w:t>4、乙方项目质量不符合同规定标准的，甲方有权拒绝验收通过，要求乙方更换符合合同约定的货物，乙方应向甲方支付相应设备金额百分之五的违约金。因此造成逾期的，甲方有权按本条第1点的约定解除合同、要求乙方退回合同款并承担相应的违约责任。。</w:t>
      </w:r>
    </w:p>
    <w:p w14:paraId="02C0E969">
      <w:pPr>
        <w:snapToGrid w:val="0"/>
        <w:spacing w:line="360" w:lineRule="auto"/>
        <w:ind w:firstLine="473"/>
        <w:rPr>
          <w:bCs/>
        </w:rPr>
      </w:pPr>
      <w:r>
        <w:rPr>
          <w:rFonts w:hint="eastAsia" w:ascii="宋体" w:hAnsi="宋体"/>
          <w:bCs/>
        </w:rPr>
        <w:t>5、乙方不得向他人转让中标项目，也不得将中标项目肢解后分别向他人转让。否则，甲方有权解除合同，要求乙方退回合同款并按合同价款百分之</w:t>
      </w:r>
      <w:r>
        <w:rPr>
          <w:rFonts w:hint="eastAsia" w:ascii="宋体" w:hAnsi="宋体"/>
          <w:bCs/>
          <w:u w:val="single"/>
        </w:rPr>
        <w:t xml:space="preserve">   </w:t>
      </w:r>
      <w:r>
        <w:rPr>
          <w:rFonts w:hint="eastAsia" w:ascii="宋体" w:hAnsi="宋体"/>
          <w:bCs/>
        </w:rPr>
        <w:t>赔偿甲方损失。</w:t>
      </w:r>
    </w:p>
    <w:p w14:paraId="3DC703D6">
      <w:pPr>
        <w:widowControl/>
        <w:snapToGrid w:val="0"/>
        <w:spacing w:line="360" w:lineRule="auto"/>
        <w:ind w:firstLine="420"/>
        <w:rPr>
          <w:bCs/>
        </w:rPr>
      </w:pPr>
      <w:r>
        <w:rPr>
          <w:rFonts w:hint="eastAsia" w:ascii="宋体" w:hAnsi="宋体"/>
          <w:bCs/>
          <w:kern w:val="0"/>
        </w:rPr>
        <w:t>6、 如果甲方不能按合同约定付款，则乙方有权延期交货；超出</w:t>
      </w:r>
      <w:r>
        <w:rPr>
          <w:rFonts w:hint="eastAsia" w:ascii="宋体" w:hAnsi="宋体"/>
          <w:bCs/>
          <w:kern w:val="0"/>
          <w:u w:val="single"/>
        </w:rPr>
        <w:t xml:space="preserve">   </w:t>
      </w:r>
      <w:r>
        <w:rPr>
          <w:rFonts w:hint="eastAsia" w:ascii="宋体" w:hAnsi="宋体"/>
          <w:bCs/>
          <w:kern w:val="0"/>
        </w:rPr>
        <w:t>日，乙方有权单方解除合同并要求甲方按相应款项金额的</w:t>
      </w:r>
      <w:r>
        <w:rPr>
          <w:rFonts w:hint="eastAsia" w:ascii="宋体" w:hAnsi="宋体"/>
          <w:bCs/>
        </w:rPr>
        <w:t>百分之</w:t>
      </w:r>
      <w:r>
        <w:rPr>
          <w:rFonts w:hint="eastAsia" w:ascii="宋体" w:hAnsi="宋体"/>
          <w:bCs/>
          <w:kern w:val="0"/>
          <w:u w:val="single"/>
        </w:rPr>
        <w:t xml:space="preserve">   </w:t>
      </w:r>
      <w:r>
        <w:rPr>
          <w:rFonts w:hint="eastAsia" w:ascii="宋体" w:hAnsi="宋体"/>
          <w:bCs/>
          <w:kern w:val="0"/>
        </w:rPr>
        <w:t>计付违约金。</w:t>
      </w:r>
    </w:p>
    <w:p w14:paraId="16EB0668">
      <w:pPr>
        <w:widowControl/>
        <w:snapToGrid w:val="0"/>
        <w:spacing w:line="360" w:lineRule="auto"/>
        <w:ind w:firstLine="420"/>
        <w:rPr>
          <w:rFonts w:hint="eastAsia" w:ascii="宋体" w:hAnsi="宋体"/>
          <w:bCs/>
        </w:rPr>
      </w:pPr>
      <w:r>
        <w:rPr>
          <w:rFonts w:hint="eastAsia" w:ascii="宋体" w:hAnsi="宋体"/>
          <w:bCs/>
          <w:kern w:val="0"/>
        </w:rPr>
        <w:t>7</w:t>
      </w:r>
      <w:r>
        <w:rPr>
          <w:rFonts w:hint="eastAsia" w:ascii="宋体" w:hAnsi="宋体"/>
          <w:bCs/>
        </w:rPr>
        <w:t xml:space="preserve">、甲方无正当理由拒收乙方货物的，乙方有权解除本合同，甲方应向乙方偿付合同款总值百分之 </w:t>
      </w:r>
      <w:r>
        <w:rPr>
          <w:rFonts w:hint="eastAsia" w:ascii="宋体" w:hAnsi="宋体"/>
          <w:bCs/>
          <w:u w:val="single"/>
        </w:rPr>
        <w:t xml:space="preserve">   </w:t>
      </w:r>
      <w:r>
        <w:rPr>
          <w:rFonts w:hint="eastAsia" w:ascii="宋体" w:hAnsi="宋体"/>
          <w:bCs/>
        </w:rPr>
        <w:t>的违约金。</w:t>
      </w:r>
    </w:p>
    <w:p w14:paraId="51619035">
      <w:pPr>
        <w:widowControl/>
        <w:snapToGrid w:val="0"/>
        <w:spacing w:line="360" w:lineRule="auto"/>
        <w:ind w:firstLine="420"/>
        <w:rPr>
          <w:bCs/>
        </w:rPr>
      </w:pPr>
      <w:r>
        <w:rPr>
          <w:rFonts w:hint="eastAsia" w:ascii="宋体" w:hAnsi="宋体"/>
          <w:bCs/>
        </w:rPr>
        <w:t>8、乙方未能按合同约定提供培训、质保及售后服务的，每违约一次应向甲方支付人民币XXXX元作为违约金，如违约金不足以弥补甲方损失的，乙方还应补足不足部分。</w:t>
      </w:r>
    </w:p>
    <w:p w14:paraId="26E62596">
      <w:pPr>
        <w:widowControl/>
        <w:snapToGrid w:val="0"/>
        <w:spacing w:line="360" w:lineRule="auto"/>
        <w:ind w:firstLine="420"/>
        <w:rPr>
          <w:bCs/>
        </w:rPr>
      </w:pPr>
    </w:p>
    <w:p w14:paraId="663CA748">
      <w:pPr>
        <w:snapToGrid w:val="0"/>
        <w:spacing w:line="360" w:lineRule="auto"/>
        <w:ind w:firstLine="422"/>
        <w:rPr>
          <w:bCs/>
        </w:rPr>
      </w:pPr>
      <w:r>
        <w:rPr>
          <w:rFonts w:hint="eastAsia" w:ascii="宋体" w:hAnsi="宋体"/>
          <w:bCs/>
        </w:rPr>
        <w:t>十一、争议的解决</w:t>
      </w:r>
    </w:p>
    <w:p w14:paraId="3FEA7369">
      <w:pPr>
        <w:widowControl/>
        <w:snapToGrid w:val="0"/>
        <w:spacing w:line="360" w:lineRule="auto"/>
        <w:ind w:firstLine="420"/>
        <w:rPr>
          <w:bCs/>
        </w:rPr>
      </w:pPr>
      <w:r>
        <w:rPr>
          <w:rFonts w:hint="eastAsia" w:ascii="宋体" w:hAnsi="宋体"/>
          <w:bCs/>
          <w:kern w:val="0"/>
        </w:rPr>
        <w:t>1、 凡与本合同有关的一切争议，甲乙双方应首先通过友好协商解决，如经协商后仍不能达成协议时，任何一方可以向甲方所在地人民法院提出诉讼。</w:t>
      </w:r>
    </w:p>
    <w:p w14:paraId="205A5F75">
      <w:pPr>
        <w:widowControl/>
        <w:snapToGrid w:val="0"/>
        <w:spacing w:line="360" w:lineRule="auto"/>
        <w:ind w:firstLine="420"/>
        <w:rPr>
          <w:rFonts w:hint="eastAsia" w:ascii="宋体" w:hAnsi="宋体"/>
          <w:bCs/>
          <w:kern w:val="0"/>
        </w:rPr>
      </w:pPr>
      <w:r>
        <w:rPr>
          <w:rFonts w:hint="eastAsia" w:ascii="宋体" w:hAnsi="宋体"/>
          <w:bCs/>
          <w:kern w:val="0"/>
        </w:rPr>
        <w:t>2、 在法院审理期间，除提交法院审理的事项外，合同其他部分仍应继续履行。</w:t>
      </w:r>
    </w:p>
    <w:p w14:paraId="460CDCF3">
      <w:pPr>
        <w:widowControl/>
        <w:snapToGrid w:val="0"/>
        <w:spacing w:line="360" w:lineRule="auto"/>
        <w:ind w:firstLine="420"/>
        <w:rPr>
          <w:bCs/>
        </w:rPr>
      </w:pPr>
      <w:r>
        <w:rPr>
          <w:rFonts w:hint="eastAsia" w:ascii="宋体" w:hAnsi="宋体"/>
          <w:bCs/>
          <w:kern w:val="0"/>
        </w:rPr>
        <w:t>3、 守约方为追究违约方责任而产生的诉讼费、诉讼保全费、诉讼保全保险费及律师费由违约方承担。</w:t>
      </w:r>
    </w:p>
    <w:p w14:paraId="7685411F">
      <w:pPr>
        <w:snapToGrid w:val="0"/>
        <w:spacing w:line="360" w:lineRule="auto"/>
        <w:ind w:firstLine="422"/>
        <w:rPr>
          <w:bCs/>
        </w:rPr>
      </w:pPr>
      <w:r>
        <w:rPr>
          <w:rFonts w:hint="eastAsia" w:ascii="宋体" w:hAnsi="宋体"/>
          <w:bCs/>
        </w:rPr>
        <w:t>十二、通知</w:t>
      </w:r>
    </w:p>
    <w:p w14:paraId="71204336">
      <w:pPr>
        <w:widowControl/>
        <w:snapToGrid w:val="0"/>
        <w:spacing w:line="360" w:lineRule="auto"/>
        <w:ind w:firstLine="420"/>
        <w:rPr>
          <w:bCs/>
        </w:rPr>
      </w:pPr>
      <w:r>
        <w:rPr>
          <w:rFonts w:hint="eastAsia" w:ascii="宋体" w:hAnsi="宋体"/>
          <w:bCs/>
          <w:kern w:val="0"/>
        </w:rPr>
        <w:t>1、本合同一方给对方的通知应用书面形式送达《合同资料表》规定的对方的地址，电传或传真要经对方的书面形式确认，以电报形式通知的，以邮电局发出电报的第二天视为送达。</w:t>
      </w:r>
    </w:p>
    <w:p w14:paraId="7DBF5FAE">
      <w:pPr>
        <w:widowControl/>
        <w:snapToGrid w:val="0"/>
        <w:spacing w:line="360" w:lineRule="auto"/>
        <w:ind w:firstLine="420"/>
        <w:rPr>
          <w:bCs/>
        </w:rPr>
      </w:pPr>
      <w:r>
        <w:rPr>
          <w:rFonts w:hint="eastAsia" w:ascii="宋体" w:hAnsi="宋体"/>
          <w:bCs/>
          <w:kern w:val="0"/>
        </w:rPr>
        <w:t>2、 通知以送到日期或通知书的生效日期为生效日期，两者中以较迟的日期为准。</w:t>
      </w:r>
    </w:p>
    <w:p w14:paraId="31C69A29">
      <w:pPr>
        <w:snapToGrid w:val="0"/>
        <w:spacing w:line="360" w:lineRule="auto"/>
        <w:ind w:firstLine="422"/>
        <w:rPr>
          <w:bCs/>
        </w:rPr>
      </w:pPr>
      <w:r>
        <w:rPr>
          <w:rFonts w:hint="eastAsia" w:ascii="宋体" w:hAnsi="宋体"/>
          <w:bCs/>
        </w:rPr>
        <w:t>十三、其它</w:t>
      </w:r>
    </w:p>
    <w:p w14:paraId="2B14EBCA">
      <w:pPr>
        <w:widowControl/>
        <w:snapToGrid w:val="0"/>
        <w:spacing w:line="360" w:lineRule="auto"/>
        <w:ind w:firstLine="420"/>
        <w:rPr>
          <w:bCs/>
        </w:rPr>
      </w:pPr>
      <w:r>
        <w:rPr>
          <w:rFonts w:hint="eastAsia" w:ascii="宋体" w:hAnsi="宋体"/>
          <w:bCs/>
          <w:kern w:val="0"/>
        </w:rPr>
        <w:t>1、</w:t>
      </w:r>
      <w:r>
        <w:rPr>
          <w:rFonts w:hint="eastAsia" w:ascii="宋体" w:hAnsi="宋体"/>
          <w:bCs/>
        </w:rPr>
        <w:t>项目的质量问题发生争议，由成都市质量技术监督局或其指定的技术单位进行质量鉴定。</w:t>
      </w:r>
    </w:p>
    <w:p w14:paraId="5CA67681">
      <w:pPr>
        <w:widowControl/>
        <w:snapToGrid w:val="0"/>
        <w:spacing w:line="360" w:lineRule="auto"/>
        <w:ind w:firstLine="420"/>
        <w:rPr>
          <w:bCs/>
        </w:rPr>
      </w:pPr>
      <w:r>
        <w:rPr>
          <w:rFonts w:hint="eastAsia" w:ascii="宋体" w:hAnsi="宋体"/>
          <w:bCs/>
          <w:kern w:val="0"/>
        </w:rPr>
        <w:t>2、乙方不得将本招标要求中的任何内容透露给第三方。</w:t>
      </w:r>
    </w:p>
    <w:p w14:paraId="791D0FB2">
      <w:pPr>
        <w:snapToGrid w:val="0"/>
        <w:spacing w:line="360" w:lineRule="auto"/>
        <w:ind w:firstLine="420"/>
        <w:rPr>
          <w:bCs/>
        </w:rPr>
      </w:pPr>
      <w:r>
        <w:rPr>
          <w:rFonts w:hint="eastAsia" w:ascii="宋体" w:hAnsi="宋体"/>
          <w:bCs/>
        </w:rPr>
        <w:t>3、乙方不得向他人转让中标项目，也不得将中标项目肢解后分别向他人转让。乙方如违约，甲方有权终止合同，并依法追究乙方的违约责任。</w:t>
      </w:r>
    </w:p>
    <w:p w14:paraId="6AF021E3">
      <w:pPr>
        <w:snapToGrid w:val="0"/>
        <w:spacing w:line="360" w:lineRule="auto"/>
        <w:ind w:firstLine="422"/>
        <w:rPr>
          <w:bCs/>
        </w:rPr>
      </w:pPr>
      <w:r>
        <w:rPr>
          <w:rFonts w:hint="eastAsia" w:ascii="宋体" w:hAnsi="宋体"/>
          <w:bCs/>
        </w:rPr>
        <w:t>十四、合同的组成文件</w:t>
      </w:r>
    </w:p>
    <w:p w14:paraId="1950F5FB">
      <w:pPr>
        <w:widowControl/>
        <w:snapToGrid w:val="0"/>
        <w:spacing w:line="360" w:lineRule="auto"/>
        <w:ind w:firstLine="420"/>
        <w:rPr>
          <w:bCs/>
        </w:rPr>
      </w:pPr>
      <w:r>
        <w:rPr>
          <w:rFonts w:hint="eastAsia" w:ascii="宋体" w:hAnsi="宋体"/>
          <w:bCs/>
          <w:kern w:val="0"/>
        </w:rPr>
        <w:t>在执行本合同的过程中，所有经甲乙双方签署确认的文件（包括会议纪要、补充协议、合同修改书、中标通知书、投标文件、招标文件、往来信函及本合同之所有附件等）均为本合同的有效组成部分。</w:t>
      </w:r>
    </w:p>
    <w:p w14:paraId="51F9630B">
      <w:pPr>
        <w:widowControl/>
        <w:spacing w:line="360" w:lineRule="auto"/>
        <w:ind w:firstLine="422"/>
        <w:rPr>
          <w:bCs/>
        </w:rPr>
      </w:pPr>
      <w:r>
        <w:rPr>
          <w:rFonts w:hint="eastAsia" w:ascii="宋体" w:hAnsi="宋体"/>
          <w:bCs/>
        </w:rPr>
        <w:t>十五、本合同一式</w:t>
      </w:r>
      <w:r>
        <w:rPr>
          <w:rFonts w:hint="eastAsia" w:ascii="宋体" w:hAnsi="宋体"/>
          <w:bCs/>
          <w:u w:val="single"/>
        </w:rPr>
        <w:t xml:space="preserve"> X </w:t>
      </w:r>
      <w:r>
        <w:rPr>
          <w:rFonts w:hint="eastAsia" w:ascii="宋体" w:hAnsi="宋体"/>
          <w:bCs/>
        </w:rPr>
        <w:t>份，由甲方、乙方各执</w:t>
      </w:r>
      <w:r>
        <w:rPr>
          <w:rFonts w:hint="eastAsia" w:ascii="宋体" w:hAnsi="宋体"/>
          <w:bCs/>
          <w:u w:val="single"/>
        </w:rPr>
        <w:t xml:space="preserve"> </w:t>
      </w:r>
      <w:r>
        <w:rPr>
          <w:rFonts w:ascii="宋体" w:hAnsi="宋体"/>
          <w:bCs/>
          <w:u w:val="single"/>
        </w:rPr>
        <w:t xml:space="preserve">X </w:t>
      </w:r>
      <w:r>
        <w:rPr>
          <w:rFonts w:hint="eastAsia" w:ascii="宋体" w:hAnsi="宋体"/>
          <w:bCs/>
        </w:rPr>
        <w:t>份，具有同等法律效力。</w:t>
      </w:r>
    </w:p>
    <w:p w14:paraId="67597410">
      <w:pPr>
        <w:widowControl/>
        <w:spacing w:line="360" w:lineRule="auto"/>
        <w:rPr>
          <w:rFonts w:hint="eastAsia" w:ascii="宋体" w:hAnsi="宋体"/>
          <w:bCs/>
        </w:rPr>
      </w:pPr>
    </w:p>
    <w:tbl>
      <w:tblPr>
        <w:tblStyle w:val="37"/>
        <w:tblW w:w="9285" w:type="dxa"/>
        <w:tblInd w:w="108" w:type="dxa"/>
        <w:tblLayout w:type="fixed"/>
        <w:tblCellMar>
          <w:top w:w="0" w:type="dxa"/>
          <w:left w:w="113" w:type="dxa"/>
          <w:bottom w:w="0" w:type="dxa"/>
          <w:right w:w="108" w:type="dxa"/>
        </w:tblCellMar>
      </w:tblPr>
      <w:tblGrid>
        <w:gridCol w:w="4606"/>
        <w:gridCol w:w="4679"/>
      </w:tblGrid>
      <w:tr w14:paraId="401E2647">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6DC66632">
            <w:pPr>
              <w:pStyle w:val="69"/>
              <w:snapToGrid w:val="0"/>
              <w:spacing w:before="120" w:after="120" w:line="360" w:lineRule="auto"/>
              <w:ind w:left="840"/>
              <w:rPr>
                <w:rFonts w:hint="eastAsia"/>
                <w:bCs/>
              </w:rPr>
            </w:pPr>
            <w:r>
              <w:rPr>
                <w:rFonts w:hint="eastAsia"/>
                <w:bCs/>
                <w:sz w:val="21"/>
                <w:szCs w:val="21"/>
              </w:rPr>
              <w:t>甲方：</w:t>
            </w:r>
          </w:p>
        </w:tc>
        <w:tc>
          <w:tcPr>
            <w:tcW w:w="4680" w:type="dxa"/>
            <w:tcBorders>
              <w:top w:val="dotted" w:color="000080" w:sz="4" w:space="0"/>
              <w:left w:val="dotted" w:color="000080" w:sz="4" w:space="0"/>
              <w:bottom w:val="dotted" w:color="000080" w:sz="4" w:space="0"/>
              <w:right w:val="dotted" w:color="000080" w:sz="4" w:space="0"/>
            </w:tcBorders>
            <w:vAlign w:val="center"/>
          </w:tcPr>
          <w:p w14:paraId="6F4B8AF1">
            <w:pPr>
              <w:pStyle w:val="69"/>
              <w:snapToGrid w:val="0"/>
              <w:spacing w:before="120" w:after="120" w:line="360" w:lineRule="auto"/>
              <w:ind w:left="840"/>
              <w:rPr>
                <w:rFonts w:hint="eastAsia"/>
                <w:bCs/>
              </w:rPr>
            </w:pPr>
            <w:r>
              <w:rPr>
                <w:rFonts w:hint="eastAsia"/>
                <w:bCs/>
                <w:sz w:val="21"/>
                <w:szCs w:val="21"/>
              </w:rPr>
              <w:t>乙方：（中标人）</w:t>
            </w:r>
          </w:p>
        </w:tc>
      </w:tr>
      <w:tr w14:paraId="5D922751">
        <w:tblPrEx>
          <w:tblCellMar>
            <w:top w:w="0" w:type="dxa"/>
            <w:left w:w="113" w:type="dxa"/>
            <w:bottom w:w="0" w:type="dxa"/>
            <w:right w:w="108" w:type="dxa"/>
          </w:tblCellMar>
        </w:tblPrEx>
        <w:trPr>
          <w:trHeight w:val="417"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5FAF4CD4">
            <w:pPr>
              <w:pStyle w:val="69"/>
              <w:snapToGrid w:val="0"/>
              <w:spacing w:before="120" w:after="120" w:line="360" w:lineRule="auto"/>
              <w:ind w:left="840"/>
              <w:rPr>
                <w:rFonts w:hint="eastAsia"/>
                <w:bCs/>
              </w:rPr>
            </w:pPr>
            <w:r>
              <w:rPr>
                <w:rFonts w:hint="eastAsia"/>
                <w:bCs/>
                <w:sz w:val="21"/>
                <w:szCs w:val="21"/>
              </w:rPr>
              <w:t>地址：</w:t>
            </w:r>
          </w:p>
        </w:tc>
        <w:tc>
          <w:tcPr>
            <w:tcW w:w="4680" w:type="dxa"/>
            <w:tcBorders>
              <w:top w:val="dotted" w:color="000080" w:sz="4" w:space="0"/>
              <w:left w:val="dotted" w:color="000080" w:sz="4" w:space="0"/>
              <w:bottom w:val="dotted" w:color="000080" w:sz="4" w:space="0"/>
              <w:right w:val="dotted" w:color="000080" w:sz="4" w:space="0"/>
            </w:tcBorders>
            <w:vAlign w:val="center"/>
          </w:tcPr>
          <w:p w14:paraId="63235574">
            <w:pPr>
              <w:pStyle w:val="69"/>
              <w:snapToGrid w:val="0"/>
              <w:spacing w:before="120" w:after="120" w:line="360" w:lineRule="auto"/>
              <w:ind w:left="840"/>
              <w:rPr>
                <w:rFonts w:hint="eastAsia"/>
                <w:bCs/>
              </w:rPr>
            </w:pPr>
            <w:r>
              <w:rPr>
                <w:rFonts w:hint="eastAsia"/>
                <w:bCs/>
                <w:sz w:val="21"/>
                <w:szCs w:val="21"/>
              </w:rPr>
              <w:t>地址：</w:t>
            </w:r>
          </w:p>
        </w:tc>
      </w:tr>
      <w:tr w14:paraId="3EB0207C">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4AFB4902">
            <w:pPr>
              <w:pStyle w:val="69"/>
              <w:snapToGrid w:val="0"/>
              <w:spacing w:before="120" w:after="120" w:line="360" w:lineRule="auto"/>
              <w:ind w:left="840"/>
              <w:rPr>
                <w:rFonts w:hint="eastAsia"/>
                <w:bCs/>
              </w:rPr>
            </w:pPr>
            <w:r>
              <w:rPr>
                <w:rFonts w:hint="eastAsia"/>
                <w:bCs/>
                <w:sz w:val="21"/>
                <w:szCs w:val="21"/>
              </w:rPr>
              <w:t>法定代表人：</w:t>
            </w:r>
          </w:p>
        </w:tc>
        <w:tc>
          <w:tcPr>
            <w:tcW w:w="4680" w:type="dxa"/>
            <w:tcBorders>
              <w:top w:val="dotted" w:color="000080" w:sz="4" w:space="0"/>
              <w:left w:val="dotted" w:color="000080" w:sz="4" w:space="0"/>
              <w:bottom w:val="dotted" w:color="000080" w:sz="4" w:space="0"/>
              <w:right w:val="dotted" w:color="000080" w:sz="4" w:space="0"/>
            </w:tcBorders>
            <w:vAlign w:val="center"/>
          </w:tcPr>
          <w:p w14:paraId="252CB1DD">
            <w:pPr>
              <w:pStyle w:val="69"/>
              <w:snapToGrid w:val="0"/>
              <w:spacing w:before="120" w:after="120" w:line="360" w:lineRule="auto"/>
              <w:ind w:left="840"/>
              <w:rPr>
                <w:rFonts w:hint="eastAsia"/>
                <w:bCs/>
              </w:rPr>
            </w:pPr>
            <w:r>
              <w:rPr>
                <w:rFonts w:hint="eastAsia"/>
                <w:bCs/>
                <w:sz w:val="21"/>
                <w:szCs w:val="21"/>
              </w:rPr>
              <w:t>法定代表人：</w:t>
            </w:r>
          </w:p>
        </w:tc>
      </w:tr>
      <w:tr w14:paraId="723A6212">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05DB0D8B">
            <w:pPr>
              <w:pStyle w:val="69"/>
              <w:snapToGrid w:val="0"/>
              <w:spacing w:before="120" w:after="120" w:line="360" w:lineRule="auto"/>
              <w:ind w:left="840"/>
              <w:rPr>
                <w:rFonts w:hint="eastAsia"/>
                <w:bCs/>
              </w:rPr>
            </w:pPr>
            <w:r>
              <w:rPr>
                <w:rFonts w:hint="eastAsia"/>
                <w:bCs/>
                <w:sz w:val="21"/>
                <w:szCs w:val="21"/>
              </w:rPr>
              <w:t>委托代理人：</w:t>
            </w:r>
          </w:p>
        </w:tc>
        <w:tc>
          <w:tcPr>
            <w:tcW w:w="4680" w:type="dxa"/>
            <w:tcBorders>
              <w:top w:val="dotted" w:color="000080" w:sz="4" w:space="0"/>
              <w:left w:val="dotted" w:color="000080" w:sz="4" w:space="0"/>
              <w:bottom w:val="dotted" w:color="000080" w:sz="4" w:space="0"/>
              <w:right w:val="dotted" w:color="000080" w:sz="4" w:space="0"/>
            </w:tcBorders>
            <w:vAlign w:val="center"/>
          </w:tcPr>
          <w:p w14:paraId="3FA32E77">
            <w:pPr>
              <w:pStyle w:val="69"/>
              <w:snapToGrid w:val="0"/>
              <w:spacing w:before="120" w:after="120" w:line="360" w:lineRule="auto"/>
              <w:ind w:left="840"/>
              <w:rPr>
                <w:rFonts w:hint="eastAsia"/>
                <w:bCs/>
              </w:rPr>
            </w:pPr>
            <w:r>
              <w:rPr>
                <w:rFonts w:hint="eastAsia"/>
                <w:bCs/>
                <w:sz w:val="21"/>
                <w:szCs w:val="21"/>
              </w:rPr>
              <w:t>委托代理人：</w:t>
            </w:r>
          </w:p>
        </w:tc>
      </w:tr>
      <w:tr w14:paraId="52367C95">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44D13A62">
            <w:pPr>
              <w:pStyle w:val="69"/>
              <w:snapToGrid w:val="0"/>
              <w:spacing w:before="120" w:after="120" w:line="360" w:lineRule="auto"/>
              <w:ind w:left="840"/>
              <w:rPr>
                <w:rFonts w:hint="eastAsia"/>
                <w:bCs/>
              </w:rPr>
            </w:pPr>
            <w:r>
              <w:rPr>
                <w:rFonts w:hint="eastAsia"/>
                <w:bCs/>
                <w:sz w:val="21"/>
                <w:szCs w:val="21"/>
              </w:rPr>
              <w:t>电话：</w:t>
            </w:r>
          </w:p>
        </w:tc>
        <w:tc>
          <w:tcPr>
            <w:tcW w:w="4680" w:type="dxa"/>
            <w:tcBorders>
              <w:top w:val="dotted" w:color="000080" w:sz="4" w:space="0"/>
              <w:left w:val="dotted" w:color="000080" w:sz="4" w:space="0"/>
              <w:bottom w:val="dotted" w:color="000080" w:sz="4" w:space="0"/>
              <w:right w:val="dotted" w:color="000080" w:sz="4" w:space="0"/>
            </w:tcBorders>
            <w:vAlign w:val="center"/>
          </w:tcPr>
          <w:p w14:paraId="29B9A688">
            <w:pPr>
              <w:pStyle w:val="69"/>
              <w:snapToGrid w:val="0"/>
              <w:spacing w:before="120" w:after="120" w:line="360" w:lineRule="auto"/>
              <w:ind w:left="840"/>
              <w:rPr>
                <w:rFonts w:hint="eastAsia"/>
                <w:bCs/>
              </w:rPr>
            </w:pPr>
            <w:r>
              <w:rPr>
                <w:rFonts w:hint="eastAsia"/>
                <w:bCs/>
                <w:sz w:val="21"/>
                <w:szCs w:val="21"/>
              </w:rPr>
              <w:t>电话：</w:t>
            </w:r>
          </w:p>
        </w:tc>
      </w:tr>
      <w:tr w14:paraId="72032F8F">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0F563D6B">
            <w:pPr>
              <w:pStyle w:val="69"/>
              <w:snapToGrid w:val="0"/>
              <w:spacing w:before="120" w:after="120" w:line="360" w:lineRule="auto"/>
              <w:ind w:left="840"/>
              <w:rPr>
                <w:rFonts w:hint="eastAsia"/>
                <w:bCs/>
              </w:rPr>
            </w:pPr>
            <w:r>
              <w:rPr>
                <w:rFonts w:hint="eastAsia"/>
                <w:bCs/>
                <w:sz w:val="21"/>
                <w:szCs w:val="21"/>
              </w:rPr>
              <w:t>传真：</w:t>
            </w:r>
          </w:p>
        </w:tc>
        <w:tc>
          <w:tcPr>
            <w:tcW w:w="4680" w:type="dxa"/>
            <w:tcBorders>
              <w:top w:val="dotted" w:color="000080" w:sz="4" w:space="0"/>
              <w:left w:val="dotted" w:color="000080" w:sz="4" w:space="0"/>
              <w:bottom w:val="dotted" w:color="000080" w:sz="4" w:space="0"/>
              <w:right w:val="dotted" w:color="000080" w:sz="4" w:space="0"/>
            </w:tcBorders>
            <w:vAlign w:val="center"/>
          </w:tcPr>
          <w:p w14:paraId="7A7EEAD0">
            <w:pPr>
              <w:pStyle w:val="69"/>
              <w:snapToGrid w:val="0"/>
              <w:spacing w:before="120" w:after="120" w:line="360" w:lineRule="auto"/>
              <w:ind w:left="840"/>
              <w:rPr>
                <w:rFonts w:hint="eastAsia"/>
                <w:bCs/>
              </w:rPr>
            </w:pPr>
            <w:r>
              <w:rPr>
                <w:rFonts w:hint="eastAsia"/>
                <w:bCs/>
                <w:sz w:val="21"/>
                <w:szCs w:val="21"/>
              </w:rPr>
              <w:t>传真：</w:t>
            </w:r>
          </w:p>
        </w:tc>
      </w:tr>
      <w:tr w14:paraId="31FB0F22">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7F4486D8">
            <w:pPr>
              <w:pStyle w:val="69"/>
              <w:snapToGrid w:val="0"/>
              <w:spacing w:before="120" w:after="120" w:line="360" w:lineRule="auto"/>
              <w:ind w:left="840"/>
              <w:rPr>
                <w:rFonts w:hint="eastAsia"/>
                <w:bCs/>
              </w:rPr>
            </w:pPr>
            <w:r>
              <w:rPr>
                <w:rFonts w:hint="eastAsia"/>
                <w:bCs/>
                <w:sz w:val="21"/>
                <w:szCs w:val="21"/>
              </w:rPr>
              <w:t>邮政编码：</w:t>
            </w:r>
          </w:p>
        </w:tc>
        <w:tc>
          <w:tcPr>
            <w:tcW w:w="4680" w:type="dxa"/>
            <w:tcBorders>
              <w:top w:val="dotted" w:color="000080" w:sz="4" w:space="0"/>
              <w:left w:val="dotted" w:color="000080" w:sz="4" w:space="0"/>
              <w:bottom w:val="dotted" w:color="000080" w:sz="4" w:space="0"/>
              <w:right w:val="dotted" w:color="000080" w:sz="4" w:space="0"/>
            </w:tcBorders>
            <w:vAlign w:val="center"/>
          </w:tcPr>
          <w:p w14:paraId="02F5FD17">
            <w:pPr>
              <w:pStyle w:val="69"/>
              <w:snapToGrid w:val="0"/>
              <w:spacing w:before="120" w:after="120" w:line="360" w:lineRule="auto"/>
              <w:ind w:left="840"/>
              <w:rPr>
                <w:rFonts w:hint="eastAsia"/>
                <w:bCs/>
              </w:rPr>
            </w:pPr>
            <w:r>
              <w:rPr>
                <w:rFonts w:hint="eastAsia"/>
                <w:bCs/>
                <w:sz w:val="21"/>
                <w:szCs w:val="21"/>
              </w:rPr>
              <w:t>邮政编码：</w:t>
            </w:r>
          </w:p>
        </w:tc>
      </w:tr>
      <w:tr w14:paraId="39DDA6DE">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0780528A">
            <w:pPr>
              <w:pStyle w:val="69"/>
              <w:snapToGrid w:val="0"/>
              <w:spacing w:before="120" w:after="120" w:line="360" w:lineRule="auto"/>
              <w:ind w:left="840"/>
              <w:rPr>
                <w:rFonts w:hint="eastAsia"/>
                <w:bCs/>
              </w:rPr>
            </w:pPr>
            <w:r>
              <w:rPr>
                <w:rFonts w:hint="eastAsia"/>
                <w:bCs/>
                <w:sz w:val="21"/>
                <w:szCs w:val="21"/>
              </w:rPr>
              <w:t xml:space="preserve">开户银行： </w:t>
            </w:r>
          </w:p>
        </w:tc>
        <w:tc>
          <w:tcPr>
            <w:tcW w:w="4680" w:type="dxa"/>
            <w:tcBorders>
              <w:top w:val="dotted" w:color="000080" w:sz="4" w:space="0"/>
              <w:left w:val="dotted" w:color="000080" w:sz="4" w:space="0"/>
              <w:bottom w:val="dotted" w:color="000080" w:sz="4" w:space="0"/>
              <w:right w:val="dotted" w:color="000080" w:sz="4" w:space="0"/>
            </w:tcBorders>
            <w:vAlign w:val="center"/>
          </w:tcPr>
          <w:p w14:paraId="60EB31AD">
            <w:pPr>
              <w:pStyle w:val="69"/>
              <w:snapToGrid w:val="0"/>
              <w:spacing w:before="120" w:after="120" w:line="360" w:lineRule="auto"/>
              <w:ind w:left="840"/>
              <w:rPr>
                <w:rFonts w:hint="eastAsia"/>
                <w:bCs/>
              </w:rPr>
            </w:pPr>
            <w:r>
              <w:rPr>
                <w:rFonts w:hint="eastAsia"/>
                <w:bCs/>
                <w:sz w:val="21"/>
                <w:szCs w:val="21"/>
              </w:rPr>
              <w:t>开户银行：</w:t>
            </w:r>
          </w:p>
        </w:tc>
      </w:tr>
      <w:tr w14:paraId="5942D1F2">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07577781">
            <w:pPr>
              <w:pStyle w:val="69"/>
              <w:snapToGrid w:val="0"/>
              <w:spacing w:before="120" w:after="120" w:line="360" w:lineRule="auto"/>
              <w:ind w:left="840"/>
              <w:rPr>
                <w:rFonts w:hint="eastAsia"/>
                <w:bCs/>
              </w:rPr>
            </w:pPr>
            <w:r>
              <w:rPr>
                <w:rFonts w:hint="eastAsia"/>
                <w:bCs/>
                <w:sz w:val="21"/>
                <w:szCs w:val="21"/>
              </w:rPr>
              <w:t>账号：</w:t>
            </w:r>
          </w:p>
        </w:tc>
        <w:tc>
          <w:tcPr>
            <w:tcW w:w="4680" w:type="dxa"/>
            <w:tcBorders>
              <w:top w:val="dotted" w:color="000080" w:sz="4" w:space="0"/>
              <w:left w:val="dotted" w:color="000080" w:sz="4" w:space="0"/>
              <w:bottom w:val="dotted" w:color="000080" w:sz="4" w:space="0"/>
              <w:right w:val="dotted" w:color="000080" w:sz="4" w:space="0"/>
            </w:tcBorders>
            <w:vAlign w:val="center"/>
          </w:tcPr>
          <w:p w14:paraId="41905612">
            <w:pPr>
              <w:pStyle w:val="69"/>
              <w:snapToGrid w:val="0"/>
              <w:spacing w:before="120" w:after="120" w:line="360" w:lineRule="auto"/>
              <w:ind w:left="840"/>
              <w:rPr>
                <w:rFonts w:hint="eastAsia"/>
                <w:bCs/>
              </w:rPr>
            </w:pPr>
            <w:r>
              <w:rPr>
                <w:rFonts w:hint="eastAsia"/>
                <w:bCs/>
                <w:sz w:val="21"/>
                <w:szCs w:val="21"/>
              </w:rPr>
              <w:t>账号：</w:t>
            </w:r>
          </w:p>
        </w:tc>
      </w:tr>
    </w:tbl>
    <w:p w14:paraId="737D0FD8">
      <w:pPr>
        <w:spacing w:line="360" w:lineRule="auto"/>
        <w:jc w:val="center"/>
        <w:rPr>
          <w:rFonts w:hint="eastAsia" w:ascii="宋体" w:hAnsi="宋体"/>
          <w:b/>
          <w:bCs/>
          <w:kern w:val="0"/>
          <w:sz w:val="36"/>
          <w:szCs w:val="36"/>
        </w:rPr>
      </w:pPr>
    </w:p>
    <w:p w14:paraId="1FD5D6FE">
      <w:pPr>
        <w:spacing w:line="360" w:lineRule="auto"/>
        <w:jc w:val="center"/>
        <w:rPr>
          <w:rFonts w:hint="eastAsia" w:ascii="宋体" w:hAnsi="宋体"/>
          <w:b/>
          <w:bCs/>
          <w:kern w:val="0"/>
          <w:sz w:val="36"/>
          <w:szCs w:val="36"/>
        </w:rPr>
      </w:pPr>
    </w:p>
    <w:p w14:paraId="69A59C1F">
      <w:pPr>
        <w:spacing w:line="360" w:lineRule="auto"/>
        <w:jc w:val="center"/>
        <w:rPr>
          <w:rFonts w:hint="eastAsia" w:ascii="宋体" w:hAnsi="宋体"/>
          <w:b/>
          <w:bCs/>
          <w:kern w:val="0"/>
          <w:sz w:val="36"/>
          <w:szCs w:val="36"/>
        </w:rPr>
      </w:pPr>
    </w:p>
    <w:p w14:paraId="116346E7">
      <w:pPr>
        <w:spacing w:line="360" w:lineRule="auto"/>
        <w:jc w:val="center"/>
        <w:rPr>
          <w:rFonts w:hint="eastAsia" w:ascii="宋体" w:hAnsi="宋体"/>
          <w:b/>
          <w:bCs/>
          <w:kern w:val="0"/>
          <w:sz w:val="36"/>
          <w:szCs w:val="36"/>
        </w:rPr>
      </w:pPr>
    </w:p>
    <w:p w14:paraId="28A3C624">
      <w:pPr>
        <w:spacing w:line="360" w:lineRule="auto"/>
        <w:rPr>
          <w:rFonts w:hint="eastAsia" w:ascii="宋体" w:hAnsi="宋体"/>
          <w:b/>
          <w:bCs/>
          <w:kern w:val="0"/>
          <w:sz w:val="36"/>
          <w:szCs w:val="36"/>
        </w:rPr>
      </w:pPr>
    </w:p>
    <w:p w14:paraId="2DF50BBA">
      <w:pPr>
        <w:spacing w:line="360" w:lineRule="auto"/>
        <w:jc w:val="center"/>
        <w:outlineLvl w:val="0"/>
        <w:rPr>
          <w:rFonts w:hint="eastAsia" w:ascii="宋体" w:hAnsi="宋体"/>
          <w:b/>
          <w:bCs/>
          <w:kern w:val="0"/>
          <w:sz w:val="36"/>
          <w:szCs w:val="36"/>
        </w:rPr>
      </w:pPr>
      <w:bookmarkStart w:id="20" w:name="_Hlk141717788"/>
      <w:r>
        <w:rPr>
          <w:rFonts w:hint="eastAsia" w:ascii="宋体" w:hAnsi="宋体"/>
          <w:b/>
          <w:bCs/>
          <w:kern w:val="0"/>
          <w:sz w:val="36"/>
          <w:szCs w:val="36"/>
        </w:rPr>
        <w:t>第六章 投标文件格式</w:t>
      </w:r>
    </w:p>
    <w:p w14:paraId="2CCF9E56">
      <w:pPr>
        <w:tabs>
          <w:tab w:val="left" w:pos="1980"/>
        </w:tabs>
        <w:autoSpaceDE w:val="0"/>
        <w:autoSpaceDN w:val="0"/>
        <w:adjustRightInd w:val="0"/>
        <w:spacing w:before="120" w:line="360" w:lineRule="auto"/>
        <w:jc w:val="center"/>
        <w:rPr>
          <w:rFonts w:hint="eastAsia" w:ascii="宋体" w:hAnsi="宋体" w:cs="宋体"/>
          <w:b/>
          <w:bCs/>
          <w:sz w:val="24"/>
          <w:lang w:val="zh-CN"/>
        </w:rPr>
      </w:pPr>
      <w:r>
        <w:rPr>
          <w:rFonts w:hint="eastAsia" w:ascii="宋体" w:hAnsi="宋体" w:cs="宋体"/>
          <w:b/>
          <w:bCs/>
          <w:sz w:val="24"/>
          <w:lang w:val="zh-CN"/>
        </w:rPr>
        <w:t>目录</w:t>
      </w:r>
    </w:p>
    <w:p w14:paraId="33FA12D3">
      <w:pPr>
        <w:pStyle w:val="8"/>
        <w:spacing w:line="360" w:lineRule="auto"/>
        <w:rPr>
          <w:rFonts w:hint="eastAsia"/>
          <w:b/>
          <w:lang w:val="zh-CN"/>
        </w:rPr>
      </w:pPr>
    </w:p>
    <w:p w14:paraId="1BB0EA5E">
      <w:pPr>
        <w:spacing w:line="360" w:lineRule="auto"/>
        <w:rPr>
          <w:rFonts w:hint="eastAsia" w:ascii="宋体" w:hAnsi="宋体" w:cs="宋体"/>
          <w:b/>
          <w:bCs/>
          <w:sz w:val="24"/>
        </w:rPr>
      </w:pPr>
      <w:bookmarkStart w:id="21" w:name="_Hlk141717350"/>
      <w:r>
        <w:rPr>
          <w:rFonts w:hint="eastAsia" w:ascii="宋体" w:hAnsi="宋体" w:cs="宋体"/>
          <w:b/>
          <w:bCs/>
          <w:sz w:val="24"/>
        </w:rPr>
        <w:t>★附件</w:t>
      </w:r>
      <w:r>
        <w:rPr>
          <w:rFonts w:ascii="宋体" w:hAnsi="宋体" w:cs="宋体"/>
          <w:b/>
          <w:bCs/>
          <w:sz w:val="24"/>
        </w:rPr>
        <w:t>1</w:t>
      </w:r>
      <w:r>
        <w:rPr>
          <w:rFonts w:hint="eastAsia" w:ascii="宋体" w:hAnsi="宋体" w:cs="宋体"/>
          <w:b/>
          <w:bCs/>
          <w:sz w:val="24"/>
        </w:rPr>
        <w:t xml:space="preserve"> 承诺函（统一格式，投标人必须提供）</w:t>
      </w:r>
    </w:p>
    <w:p w14:paraId="6D1BD716">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2</w:t>
      </w:r>
      <w:r>
        <w:rPr>
          <w:rFonts w:hint="eastAsia" w:ascii="宋体" w:hAnsi="宋体" w:cs="宋体"/>
          <w:b/>
          <w:bCs/>
          <w:sz w:val="24"/>
        </w:rPr>
        <w:t xml:space="preserve"> 投标书（统一格式，投标人必须提供）</w:t>
      </w:r>
    </w:p>
    <w:p w14:paraId="60175702">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3</w:t>
      </w:r>
      <w:r>
        <w:rPr>
          <w:rFonts w:hint="eastAsia" w:ascii="宋体" w:hAnsi="宋体" w:cs="宋体"/>
          <w:b/>
          <w:bCs/>
          <w:sz w:val="24"/>
        </w:rPr>
        <w:t xml:space="preserve"> 投标一览表（统一格式，投标人必须提供）</w:t>
      </w:r>
    </w:p>
    <w:p w14:paraId="7A71D6D8">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4</w:t>
      </w:r>
      <w:r>
        <w:rPr>
          <w:rFonts w:hint="eastAsia" w:ascii="宋体" w:hAnsi="宋体" w:cs="宋体"/>
          <w:b/>
          <w:bCs/>
          <w:sz w:val="24"/>
        </w:rPr>
        <w:t xml:space="preserve"> 投标分项报价表（统一格式，投标人必须提供）</w:t>
      </w:r>
    </w:p>
    <w:p w14:paraId="7C4C049E">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 xml:space="preserve">5 </w:t>
      </w:r>
      <w:r>
        <w:rPr>
          <w:rFonts w:hint="eastAsia" w:ascii="宋体" w:hAnsi="宋体" w:cs="宋体"/>
          <w:b/>
          <w:bCs/>
          <w:sz w:val="24"/>
        </w:rPr>
        <w:t>货物说明一览表（统一格式，投标人必须提供）</w:t>
      </w:r>
    </w:p>
    <w:p w14:paraId="0B5A0DD3">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6</w:t>
      </w:r>
      <w:r>
        <w:rPr>
          <w:rFonts w:hint="eastAsia" w:ascii="宋体" w:hAnsi="宋体" w:cs="宋体"/>
          <w:b/>
          <w:bCs/>
          <w:sz w:val="24"/>
        </w:rPr>
        <w:t xml:space="preserve"> 技术需求逐条应答表（统一格式，投标人必须提供）</w:t>
      </w:r>
    </w:p>
    <w:p w14:paraId="18D104D6">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7</w:t>
      </w:r>
      <w:r>
        <w:rPr>
          <w:rFonts w:hint="eastAsia" w:ascii="宋体" w:hAnsi="宋体" w:cs="宋体"/>
          <w:b/>
          <w:bCs/>
          <w:sz w:val="24"/>
        </w:rPr>
        <w:t xml:space="preserve"> 商务条款偏离表（统一格式，投标人必须提供）</w:t>
      </w:r>
    </w:p>
    <w:p w14:paraId="25B34D87">
      <w:pPr>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8</w:t>
      </w:r>
      <w:r>
        <w:rPr>
          <w:rFonts w:hint="eastAsia" w:ascii="宋体" w:hAnsi="宋体" w:cs="宋体"/>
          <w:sz w:val="24"/>
        </w:rPr>
        <w:t xml:space="preserve"> 资格证明文件：</w:t>
      </w:r>
    </w:p>
    <w:p w14:paraId="6AB1E7F7">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-1 法人营业执照/事业单位法人证书（复印件，加盖公章，投标人必须提供，格式自拟）</w:t>
      </w:r>
    </w:p>
    <w:p w14:paraId="461CEA36">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-2   税务登记证书（复印件，加盖公章，多证合一的无需提供）</w:t>
      </w:r>
    </w:p>
    <w:p w14:paraId="5E5200A4">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-3 国家法律法规要求的资质证明文件（如有）</w:t>
      </w:r>
    </w:p>
    <w:p w14:paraId="0AEF8A6B">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8-4</w:t>
      </w:r>
      <w:r>
        <w:rPr>
          <w:rFonts w:hint="eastAsia" w:ascii="宋体" w:hAnsi="宋体" w:cs="宋体"/>
          <w:b/>
          <w:bCs/>
          <w:sz w:val="24"/>
        </w:rPr>
        <w:t>法定代表人资格证明书及法定代表人授权委托书（统一格式，投标人必须提供）</w:t>
      </w:r>
    </w:p>
    <w:p w14:paraId="229DE17F">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w:t>
      </w:r>
      <w:r>
        <w:rPr>
          <w:rFonts w:ascii="宋体" w:hAnsi="宋体" w:cs="宋体"/>
          <w:sz w:val="24"/>
        </w:rPr>
        <w:t>5</w:t>
      </w:r>
      <w:r>
        <w:rPr>
          <w:rFonts w:hint="eastAsia" w:ascii="宋体" w:hAnsi="宋体" w:cs="宋体"/>
          <w:sz w:val="24"/>
        </w:rPr>
        <w:t xml:space="preserve">  </w:t>
      </w:r>
      <w:r>
        <w:rPr>
          <w:rFonts w:hint="eastAsia" w:ascii="宋体" w:hAnsi="宋体" w:cs="宋体"/>
          <w:sz w:val="24"/>
          <w:lang w:eastAsia="zh-CN"/>
        </w:rPr>
        <w:t>制造厂家的资格声明以及授权书</w:t>
      </w:r>
      <w:r>
        <w:rPr>
          <w:rFonts w:hint="eastAsia" w:ascii="宋体" w:hAnsi="宋体" w:cs="宋体"/>
          <w:sz w:val="24"/>
        </w:rPr>
        <w:t>（统一格式）</w:t>
      </w:r>
    </w:p>
    <w:p w14:paraId="1DE08893">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w:t>
      </w:r>
      <w:r>
        <w:rPr>
          <w:rFonts w:ascii="宋体" w:hAnsi="宋体" w:cs="宋体"/>
          <w:sz w:val="24"/>
        </w:rPr>
        <w:t>6</w:t>
      </w:r>
      <w:r>
        <w:rPr>
          <w:rFonts w:hint="eastAsia" w:ascii="宋体" w:hAnsi="宋体" w:cs="宋体"/>
          <w:sz w:val="24"/>
        </w:rPr>
        <w:t xml:space="preserve">  投标人（作为制造厂家的经销代理）的资格声明（统一格式）</w:t>
      </w:r>
    </w:p>
    <w:p w14:paraId="49E43529">
      <w:pPr>
        <w:spacing w:line="360" w:lineRule="auto"/>
        <w:rPr>
          <w:rFonts w:hint="eastAsia" w:ascii="宋体" w:hAnsi="宋体" w:cs="宋体"/>
          <w:b/>
          <w:bCs/>
          <w:sz w:val="24"/>
        </w:rPr>
      </w:pPr>
      <w:bookmarkStart w:id="22" w:name="OLE_LINK10"/>
      <w:r>
        <w:rPr>
          <w:rFonts w:hint="eastAsia" w:ascii="宋体" w:hAnsi="宋体" w:cs="宋体"/>
          <w:b/>
          <w:bCs/>
          <w:sz w:val="24"/>
        </w:rPr>
        <w:t>★</w:t>
      </w:r>
      <w:bookmarkEnd w:id="22"/>
      <w:r>
        <w:rPr>
          <w:rFonts w:hint="eastAsia" w:ascii="宋体" w:hAnsi="宋体" w:cs="宋体"/>
          <w:b/>
          <w:bCs/>
          <w:sz w:val="24"/>
        </w:rPr>
        <w:t>8-7投标人资格声明书</w:t>
      </w:r>
    </w:p>
    <w:p w14:paraId="52D843DB">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8</w:t>
      </w:r>
      <w:r>
        <w:rPr>
          <w:rFonts w:hint="eastAsia" w:ascii="宋体" w:hAnsi="宋体" w:cs="宋体"/>
          <w:b/>
          <w:bCs/>
          <w:sz w:val="24"/>
        </w:rPr>
        <w:t xml:space="preserve"> 开标日前3个月内银行出具盖章的资信证明文件或投标人</w:t>
      </w:r>
      <w:r>
        <w:rPr>
          <w:rFonts w:hint="eastAsia" w:ascii="宋体" w:hAnsi="宋体" w:cs="宋体"/>
          <w:b/>
          <w:bCs/>
          <w:sz w:val="24"/>
          <w:lang w:eastAsia="zh-CN"/>
        </w:rPr>
        <w:t>2025年度</w:t>
      </w:r>
      <w:r>
        <w:rPr>
          <w:rFonts w:hint="eastAsia" w:ascii="宋体" w:hAnsi="宋体" w:cs="宋体"/>
          <w:b/>
          <w:bCs/>
          <w:sz w:val="24"/>
        </w:rPr>
        <w:t>经会计师事务所盖章审计的财务审计报告（投标人必须提供，但由专业担保机构已出具投标担保函的除外）</w:t>
      </w:r>
    </w:p>
    <w:p w14:paraId="4DAFF9DB">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9</w:t>
      </w:r>
      <w:r>
        <w:rPr>
          <w:rFonts w:hint="eastAsia" w:ascii="宋体" w:hAnsi="宋体" w:cs="宋体"/>
          <w:b/>
          <w:bCs/>
          <w:sz w:val="24"/>
        </w:rPr>
        <w:t xml:space="preserve"> 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p w14:paraId="73112378">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10</w:t>
      </w:r>
      <w:r>
        <w:rPr>
          <w:rFonts w:hint="eastAsia" w:ascii="宋体" w:hAnsi="宋体" w:cs="宋体"/>
          <w:b/>
          <w:bCs/>
          <w:sz w:val="24"/>
        </w:rPr>
        <w:t xml:space="preserve"> 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p w14:paraId="738A956C">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-11  招标文件要求或投标人认为必要的其它内容（如：质量认证、荣誉证书等）</w:t>
      </w:r>
    </w:p>
    <w:p w14:paraId="2693408E">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 xml:space="preserve">9 </w:t>
      </w:r>
      <w:r>
        <w:rPr>
          <w:rFonts w:hint="eastAsia" w:ascii="宋体" w:hAnsi="宋体" w:cs="宋体"/>
          <w:sz w:val="24"/>
        </w:rPr>
        <w:t>履约保证金保函（统一格式，中标后开具）（如适用）</w:t>
      </w:r>
    </w:p>
    <w:p w14:paraId="7A2045D9">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 xml:space="preserve">10 </w:t>
      </w:r>
      <w:r>
        <w:rPr>
          <w:rFonts w:hint="eastAsia" w:ascii="宋体" w:hAnsi="宋体" w:cs="宋体"/>
          <w:sz w:val="24"/>
        </w:rPr>
        <w:t>投标保证金的银行保函（统一格式）</w:t>
      </w:r>
    </w:p>
    <w:p w14:paraId="432493DD">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11</w:t>
      </w:r>
      <w:r>
        <w:rPr>
          <w:rFonts w:hint="eastAsia" w:ascii="宋体" w:hAnsi="宋体" w:cs="宋体"/>
          <w:sz w:val="24"/>
        </w:rPr>
        <w:t>中标服务费承诺书（统一格式）</w:t>
      </w:r>
    </w:p>
    <w:p w14:paraId="6D494CD7">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 xml:space="preserve">12 </w:t>
      </w:r>
      <w:r>
        <w:rPr>
          <w:rFonts w:hint="eastAsia" w:ascii="宋体" w:hAnsi="宋体" w:cs="宋体"/>
          <w:sz w:val="24"/>
        </w:rPr>
        <w:t>货物技术说明文件（产品制造商原厂公开发布的资料参数等）</w:t>
      </w:r>
    </w:p>
    <w:p w14:paraId="3015BFDB">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13</w:t>
      </w:r>
      <w:r>
        <w:rPr>
          <w:rFonts w:hint="eastAsia" w:ascii="宋体" w:hAnsi="宋体" w:cs="宋体"/>
          <w:sz w:val="24"/>
        </w:rPr>
        <w:t>投标人针对本项目的技术支持及售后服务的内容承诺</w:t>
      </w:r>
      <w:r>
        <w:rPr>
          <w:rFonts w:ascii="宋体" w:hAnsi="宋体" w:cs="宋体"/>
          <w:sz w:val="24"/>
        </w:rPr>
        <w:t>(</w:t>
      </w:r>
      <w:r>
        <w:rPr>
          <w:rFonts w:hint="eastAsia" w:ascii="宋体" w:hAnsi="宋体" w:cs="宋体"/>
          <w:sz w:val="24"/>
        </w:rPr>
        <w:t>需同时提供国内售后服务网点分布以及售后服务人员的说明</w:t>
      </w:r>
      <w:r>
        <w:rPr>
          <w:rFonts w:ascii="宋体" w:hAnsi="宋体" w:cs="宋体"/>
          <w:sz w:val="24"/>
        </w:rPr>
        <w:t>)</w:t>
      </w:r>
    </w:p>
    <w:p w14:paraId="4D6DEFD4">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14</w:t>
      </w:r>
      <w:r>
        <w:rPr>
          <w:rFonts w:hint="eastAsia" w:ascii="宋体" w:hAnsi="宋体" w:cs="宋体"/>
          <w:sz w:val="24"/>
        </w:rPr>
        <w:t>对于培训、安装、调试及验收要求的响应及承诺</w:t>
      </w:r>
    </w:p>
    <w:p w14:paraId="0D96657F">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5中小企业声明函</w:t>
      </w:r>
      <w:r>
        <w:rPr>
          <w:rFonts w:hint="eastAsia" w:ascii="宋体" w:hAnsi="宋体" w:cs="宋体"/>
          <w:sz w:val="24"/>
        </w:rPr>
        <w:t>（如为中小企业，应按</w:t>
      </w:r>
      <w:r>
        <w:rPr>
          <w:rFonts w:ascii="宋体" w:hAnsi="宋体" w:cs="宋体"/>
          <w:sz w:val="24"/>
        </w:rPr>
        <w:t>《</w:t>
      </w:r>
      <w:r>
        <w:rPr>
          <w:rFonts w:hint="eastAsia" w:ascii="宋体" w:hAnsi="宋体" w:cs="宋体"/>
          <w:sz w:val="24"/>
        </w:rPr>
        <w:t>政府采购促进中小企业发展管理办法</w:t>
      </w:r>
      <w:r>
        <w:rPr>
          <w:rFonts w:ascii="宋体" w:hAnsi="宋体" w:cs="宋体"/>
          <w:sz w:val="24"/>
        </w:rPr>
        <w:t>》</w:t>
      </w:r>
      <w:r>
        <w:rPr>
          <w:rFonts w:hint="eastAsia" w:ascii="宋体" w:hAnsi="宋体" w:cs="宋体"/>
          <w:sz w:val="24"/>
        </w:rPr>
        <w:t>的规定</w:t>
      </w:r>
      <w:r>
        <w:rPr>
          <w:rFonts w:ascii="宋体" w:hAnsi="宋体" w:cs="宋体"/>
          <w:sz w:val="24"/>
        </w:rPr>
        <w:t>提供</w:t>
      </w:r>
      <w:r>
        <w:rPr>
          <w:rFonts w:hint="eastAsia" w:ascii="宋体" w:hAnsi="宋体" w:cs="宋体"/>
          <w:sz w:val="24"/>
        </w:rPr>
        <w:t>）（统一格式）</w:t>
      </w:r>
    </w:p>
    <w:p w14:paraId="5DC06591">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6</w:t>
      </w:r>
      <w:r>
        <w:rPr>
          <w:rFonts w:hint="eastAsia" w:ascii="宋体" w:hAnsi="宋体" w:cs="宋体"/>
          <w:sz w:val="24"/>
        </w:rPr>
        <w:t xml:space="preserve"> </w:t>
      </w:r>
      <w:r>
        <w:rPr>
          <w:rFonts w:ascii="宋体" w:hAnsi="宋体" w:cs="宋体"/>
          <w:sz w:val="24"/>
        </w:rPr>
        <w:t>残疾人福利性单位声明函</w:t>
      </w:r>
      <w:r>
        <w:rPr>
          <w:rFonts w:hint="eastAsia" w:ascii="宋体" w:hAnsi="宋体" w:cs="宋体"/>
          <w:sz w:val="24"/>
        </w:rPr>
        <w:t>（如为</w:t>
      </w:r>
      <w:r>
        <w:rPr>
          <w:rFonts w:ascii="宋体" w:hAnsi="宋体" w:cs="宋体"/>
          <w:sz w:val="24"/>
        </w:rPr>
        <w:t>残疾人福利性单位</w:t>
      </w:r>
      <w:r>
        <w:rPr>
          <w:rFonts w:hint="eastAsia" w:ascii="宋体" w:hAnsi="宋体" w:cs="宋体"/>
          <w:sz w:val="24"/>
        </w:rPr>
        <w:t>，应按《财政部 民政部 中国残疾人联合会关于促进残疾人就业政府采购政策的通知》（财库〔2017〕141号）的规定提供）（统一格式）</w:t>
      </w:r>
    </w:p>
    <w:p w14:paraId="390560DD">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7</w:t>
      </w:r>
      <w:r>
        <w:rPr>
          <w:rFonts w:hint="eastAsia" w:ascii="宋体" w:hAnsi="宋体" w:cs="宋体"/>
          <w:sz w:val="24"/>
        </w:rPr>
        <w:t xml:space="preserve"> 政府采购投标担保函（适用于中小企业）</w:t>
      </w:r>
    </w:p>
    <w:p w14:paraId="1E61DB6C">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8</w:t>
      </w:r>
      <w:r>
        <w:rPr>
          <w:rFonts w:hint="eastAsia" w:ascii="宋体" w:hAnsi="宋体" w:cs="宋体"/>
          <w:sz w:val="24"/>
        </w:rPr>
        <w:t xml:space="preserve"> 政府采购履约担保函（适用于中小企业）</w:t>
      </w:r>
    </w:p>
    <w:p w14:paraId="2B2B8F9C">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9</w:t>
      </w:r>
      <w:r>
        <w:rPr>
          <w:rFonts w:hint="eastAsia" w:ascii="宋体" w:hAnsi="宋体" w:cs="宋体"/>
          <w:sz w:val="24"/>
        </w:rPr>
        <w:t xml:space="preserve"> 预付款银行保函（如适用）</w:t>
      </w:r>
    </w:p>
    <w:p w14:paraId="41311130">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20</w:t>
      </w:r>
      <w:r>
        <w:rPr>
          <w:rFonts w:hint="eastAsia" w:ascii="宋体" w:hAnsi="宋体" w:cs="宋体"/>
          <w:sz w:val="24"/>
        </w:rPr>
        <w:t xml:space="preserve"> 节能产品、环境标志产品的证明材料（如适用）</w:t>
      </w:r>
    </w:p>
    <w:p w14:paraId="12249FA5">
      <w:pPr>
        <w:spacing w:line="360" w:lineRule="auto"/>
        <w:rPr>
          <w:rFonts w:hint="eastAsia" w:ascii="宋体" w:hAnsi="宋体" w:cs="宋体"/>
          <w:sz w:val="24"/>
        </w:rPr>
      </w:pPr>
      <w:r>
        <w:rPr>
          <w:rFonts w:hint="eastAsia" w:ascii="宋体" w:hAnsi="宋体" w:cs="宋体"/>
          <w:sz w:val="24"/>
        </w:rPr>
        <w:t xml:space="preserve">附件21 </w:t>
      </w:r>
      <w:bookmarkEnd w:id="20"/>
      <w:bookmarkEnd w:id="21"/>
      <w:r>
        <w:rPr>
          <w:rFonts w:hint="eastAsia" w:ascii="宋体" w:hAnsi="宋体" w:cs="宋体"/>
          <w:sz w:val="24"/>
        </w:rPr>
        <w:t>关于符合本国产品标准的声明函等有关证明文件（如适用）</w:t>
      </w:r>
    </w:p>
    <w:p w14:paraId="126D3D26">
      <w:pPr>
        <w:spacing w:line="360" w:lineRule="auto"/>
        <w:rPr>
          <w:rFonts w:hint="eastAsia" w:ascii="宋体" w:hAnsi="宋体" w:cs="宋体"/>
          <w:b/>
          <w:bCs/>
          <w:sz w:val="24"/>
        </w:rPr>
      </w:pPr>
      <w:r>
        <w:rPr>
          <w:rFonts w:hint="eastAsia" w:ascii="宋体" w:hAnsi="宋体" w:cs="宋体"/>
          <w:sz w:val="24"/>
        </w:rPr>
        <w:t>★附件2</w:t>
      </w:r>
      <w:r>
        <w:rPr>
          <w:rFonts w:hint="eastAsia" w:ascii="宋体" w:hAnsi="宋体" w:cs="宋体"/>
          <w:sz w:val="24"/>
          <w:lang w:val="en-US" w:eastAsia="zh-CN"/>
        </w:rPr>
        <w:t>2</w:t>
      </w:r>
      <w:r>
        <w:rPr>
          <w:rFonts w:hint="eastAsia" w:ascii="宋体" w:hAnsi="宋体" w:cs="宋体"/>
          <w:sz w:val="24"/>
        </w:rPr>
        <w:t>：关于《关于在政府采购活动中对有关美国企业采取相关措施的通知》的承诺函（统一格式）</w:t>
      </w:r>
      <w:r>
        <w:rPr>
          <w:rFonts w:hint="eastAsia" w:ascii="Times New Roman" w:hAnsi="Times New Roman" w:eastAsia="宋体" w:cs="Times New Roman"/>
          <w:b/>
          <w:bCs/>
          <w:color w:val="333333"/>
          <w:kern w:val="0"/>
          <w:sz w:val="24"/>
          <w:szCs w:val="24"/>
          <w:shd w:val="clear" w:color="auto" w:fill="FFFFFF"/>
          <w:lang w:eastAsia="zh-CN" w:bidi="ar"/>
        </w:rPr>
        <w:t>（</w:t>
      </w:r>
      <w:r>
        <w:rPr>
          <w:rFonts w:hint="eastAsia" w:ascii="Times New Roman" w:hAnsi="Times New Roman" w:eastAsia="宋体" w:cs="Times New Roman"/>
          <w:b/>
          <w:bCs/>
          <w:color w:val="333333"/>
          <w:kern w:val="0"/>
          <w:sz w:val="24"/>
          <w:szCs w:val="24"/>
          <w:shd w:val="clear" w:color="auto" w:fill="FFFFFF"/>
          <w:lang w:val="en-US" w:eastAsia="zh-CN" w:bidi="ar"/>
        </w:rPr>
        <w:t>进口产品适用</w:t>
      </w:r>
      <w:r>
        <w:rPr>
          <w:rFonts w:hint="eastAsia" w:ascii="Times New Roman" w:hAnsi="Times New Roman" w:eastAsia="宋体" w:cs="Times New Roman"/>
          <w:b/>
          <w:bCs/>
          <w:color w:val="333333"/>
          <w:kern w:val="0"/>
          <w:sz w:val="24"/>
          <w:szCs w:val="24"/>
          <w:shd w:val="clear" w:color="auto" w:fill="FFFFFF"/>
          <w:lang w:eastAsia="zh-CN" w:bidi="ar"/>
        </w:rPr>
        <w:t>）</w:t>
      </w:r>
      <w:r>
        <w:rPr>
          <w:rFonts w:hint="eastAsia" w:ascii="宋体" w:hAnsi="宋体" w:cs="宋体"/>
          <w:b/>
          <w:bCs/>
          <w:sz w:val="24"/>
        </w:rPr>
        <w:br w:type="page"/>
      </w:r>
    </w:p>
    <w:p w14:paraId="03CFA510">
      <w:pPr>
        <w:pStyle w:val="3"/>
        <w:tabs>
          <w:tab w:val="left" w:pos="5580"/>
        </w:tabs>
        <w:rPr>
          <w:rFonts w:hint="eastAsia" w:ascii="宋体" w:hAnsi="宋体" w:eastAsia="宋体" w:cs="宋体"/>
          <w:bCs/>
          <w:sz w:val="28"/>
          <w:szCs w:val="28"/>
        </w:rPr>
      </w:pPr>
      <w:r>
        <w:rPr>
          <w:rFonts w:hint="eastAsia" w:ascii="宋体" w:hAnsi="宋体" w:eastAsia="宋体" w:cs="宋体"/>
          <w:bCs/>
          <w:sz w:val="28"/>
          <w:szCs w:val="28"/>
        </w:rPr>
        <w:t>★附件1：承诺函</w:t>
      </w:r>
    </w:p>
    <w:p w14:paraId="4FFC0A83">
      <w:pPr>
        <w:spacing w:line="480" w:lineRule="auto"/>
      </w:pPr>
    </w:p>
    <w:p w14:paraId="132C2A2B">
      <w:pPr>
        <w:spacing w:line="480" w:lineRule="auto"/>
      </w:pPr>
      <w:r>
        <w:rPr>
          <w:rFonts w:hint="eastAsia" w:hAnsi="宋体"/>
          <w:u w:val="single"/>
        </w:rPr>
        <w:t>东方国际招标有限责任公司</w:t>
      </w:r>
      <w:r>
        <w:rPr>
          <w:rFonts w:hint="eastAsia" w:hAnsi="宋体"/>
        </w:rPr>
        <w:t>：</w:t>
      </w:r>
    </w:p>
    <w:p w14:paraId="205A80A6">
      <w:pPr>
        <w:spacing w:line="480" w:lineRule="auto"/>
        <w:ind w:firstLine="420" w:firstLineChars="200"/>
      </w:pPr>
      <w:r>
        <w:rPr>
          <w:rFonts w:hint="eastAsia" w:hAnsi="宋体"/>
        </w:rPr>
        <w:t>我公司作为本次招标项目的投标人，根据招标文件要求，现郑重承诺如下：</w:t>
      </w:r>
    </w:p>
    <w:p w14:paraId="4B062FA7">
      <w:pPr>
        <w:snapToGrid w:val="0"/>
        <w:spacing w:line="480" w:lineRule="auto"/>
        <w:ind w:left="142" w:firstLine="210" w:firstLineChars="100"/>
        <w:rPr>
          <w:rFonts w:hint="eastAsia" w:hAnsi="宋体"/>
        </w:rPr>
      </w:pPr>
      <w:r>
        <w:rPr>
          <w:rFonts w:hint="eastAsia" w:hAnsi="宋体"/>
        </w:rPr>
        <w:t>1、我公司、投标产品制造商与采购人不存在影响招标公正性的利害关系；</w:t>
      </w:r>
    </w:p>
    <w:p w14:paraId="475F0138">
      <w:pPr>
        <w:snapToGrid w:val="0"/>
        <w:spacing w:line="480" w:lineRule="auto"/>
        <w:ind w:left="142" w:firstLine="210" w:firstLineChars="100"/>
        <w:rPr>
          <w:rFonts w:hint="eastAsia" w:hAnsi="宋体"/>
        </w:rPr>
      </w:pPr>
      <w:r>
        <w:rPr>
          <w:rFonts w:hint="eastAsia" w:hAnsi="宋体"/>
        </w:rPr>
        <w:t>2、我公司未参与项目前期咨询及招标文件编制工作；</w:t>
      </w:r>
    </w:p>
    <w:p w14:paraId="22BE9C3C">
      <w:pPr>
        <w:snapToGrid w:val="0"/>
        <w:spacing w:line="480" w:lineRule="auto"/>
        <w:ind w:left="142" w:firstLine="210" w:firstLineChars="100"/>
        <w:rPr>
          <w:rFonts w:hint="eastAsia" w:hAnsi="宋体"/>
        </w:rPr>
      </w:pPr>
      <w:r>
        <w:rPr>
          <w:rFonts w:hAnsi="宋体"/>
        </w:rPr>
        <w:t>3</w:t>
      </w:r>
      <w:r>
        <w:rPr>
          <w:rFonts w:hint="eastAsia" w:hAnsi="宋体"/>
        </w:rPr>
        <w:t>、我公司与其他投标人单位负责人不为同一人、也不存在控股、管理关系。</w:t>
      </w:r>
    </w:p>
    <w:p w14:paraId="057C69F0">
      <w:pPr>
        <w:snapToGrid w:val="0"/>
        <w:spacing w:line="480" w:lineRule="auto"/>
        <w:ind w:firstLine="420" w:firstLineChars="200"/>
        <w:rPr>
          <w:rFonts w:hint="eastAsia" w:hAnsi="宋体"/>
        </w:rPr>
      </w:pPr>
    </w:p>
    <w:p w14:paraId="10F8E240">
      <w:pPr>
        <w:spacing w:line="480" w:lineRule="auto"/>
        <w:ind w:firstLine="420" w:firstLineChars="200"/>
        <w:rPr>
          <w:u w:val="single"/>
        </w:rPr>
      </w:pPr>
      <w:r>
        <w:rPr>
          <w:rFonts w:hint="eastAsia" w:hAnsi="宋体"/>
        </w:rPr>
        <w:t>投标人名称</w:t>
      </w:r>
      <w:r>
        <w:rPr>
          <w:rFonts w:hint="eastAsia" w:hAnsi="宋体"/>
          <w:b/>
        </w:rPr>
        <w:t>（加盖公章）</w:t>
      </w:r>
      <w:r>
        <w:rPr>
          <w:rFonts w:hint="eastAsia" w:hAnsi="宋体"/>
        </w:rPr>
        <w:t>：</w:t>
      </w:r>
    </w:p>
    <w:p w14:paraId="370C5E5C">
      <w:pPr>
        <w:spacing w:line="480" w:lineRule="auto"/>
        <w:ind w:firstLine="420" w:firstLineChars="200"/>
      </w:pPr>
      <w:r>
        <w:rPr>
          <w:rFonts w:hint="eastAsia" w:hAnsi="宋体"/>
        </w:rPr>
        <w:t>法定代表人</w:t>
      </w:r>
      <w:r>
        <w:rPr>
          <w:rFonts w:hint="eastAsia"/>
        </w:rPr>
        <w:t>/</w:t>
      </w:r>
      <w:r>
        <w:rPr>
          <w:rFonts w:hint="eastAsia" w:hAnsi="宋体"/>
        </w:rPr>
        <w:t>单位负责人或授权代表</w:t>
      </w:r>
      <w:r>
        <w:rPr>
          <w:rFonts w:hint="eastAsia" w:hAnsi="宋体"/>
          <w:b/>
        </w:rPr>
        <w:t>（签字或加盖个人名章）</w:t>
      </w:r>
      <w:r>
        <w:rPr>
          <w:rFonts w:hint="eastAsia" w:hAnsi="宋体"/>
        </w:rPr>
        <w:t>：</w:t>
      </w:r>
    </w:p>
    <w:p w14:paraId="708CB03B">
      <w:pPr>
        <w:spacing w:line="480" w:lineRule="auto"/>
        <w:ind w:firstLine="420" w:firstLineChars="200"/>
      </w:pPr>
      <w:r>
        <w:rPr>
          <w:rFonts w:hint="eastAsia" w:hAnsi="宋体"/>
        </w:rPr>
        <w:t xml:space="preserve">日期： </w:t>
      </w:r>
      <w:r>
        <w:rPr>
          <w:rFonts w:hAnsi="宋体"/>
        </w:rPr>
        <w:t xml:space="preserve">    </w:t>
      </w:r>
      <w:r>
        <w:rPr>
          <w:rFonts w:hint="eastAsia" w:hAnsi="宋体"/>
        </w:rPr>
        <w:t xml:space="preserve">年 </w:t>
      </w:r>
      <w:r>
        <w:rPr>
          <w:rFonts w:hAnsi="宋体"/>
        </w:rPr>
        <w:t xml:space="preserve">   </w:t>
      </w:r>
      <w:r>
        <w:rPr>
          <w:rFonts w:hint="eastAsia" w:hAnsi="宋体"/>
        </w:rPr>
        <w:t xml:space="preserve">月 </w:t>
      </w:r>
      <w:r>
        <w:rPr>
          <w:rFonts w:hAnsi="宋体"/>
        </w:rPr>
        <w:t xml:space="preserve">  </w:t>
      </w:r>
      <w:r>
        <w:rPr>
          <w:rFonts w:hint="eastAsia" w:hAnsi="宋体"/>
        </w:rPr>
        <w:t>日</w:t>
      </w:r>
    </w:p>
    <w:p w14:paraId="6051CC34">
      <w:pPr>
        <w:snapToGrid w:val="0"/>
        <w:ind w:firstLine="420" w:firstLineChars="200"/>
        <w:rPr>
          <w:rFonts w:hint="eastAsia" w:hAnsi="宋体"/>
        </w:rPr>
      </w:pPr>
    </w:p>
    <w:p w14:paraId="3D13E200">
      <w:pPr>
        <w:widowControl/>
        <w:jc w:val="left"/>
        <w:rPr>
          <w:sz w:val="28"/>
          <w:szCs w:val="28"/>
        </w:rPr>
      </w:pPr>
      <w:r>
        <w:rPr>
          <w:sz w:val="28"/>
          <w:szCs w:val="28"/>
        </w:rPr>
        <w:br w:type="page"/>
      </w:r>
    </w:p>
    <w:p w14:paraId="3ED1DE2F">
      <w:pPr>
        <w:pStyle w:val="3"/>
        <w:tabs>
          <w:tab w:val="left" w:pos="5580"/>
        </w:tabs>
        <w:rPr>
          <w:rFonts w:hint="eastAsia" w:ascii="宋体" w:hAnsi="宋体" w:eastAsia="宋体" w:cs="宋体"/>
          <w:bCs/>
          <w:sz w:val="28"/>
          <w:szCs w:val="28"/>
        </w:rPr>
      </w:pPr>
      <w:r>
        <w:rPr>
          <w:rFonts w:hint="eastAsia" w:ascii="宋体" w:hAnsi="宋体" w:eastAsia="宋体" w:cs="宋体"/>
          <w:bCs/>
          <w:sz w:val="28"/>
          <w:szCs w:val="28"/>
        </w:rPr>
        <w:t xml:space="preserve">★附件2：投标书 </w:t>
      </w:r>
    </w:p>
    <w:p w14:paraId="14459628">
      <w:pPr>
        <w:tabs>
          <w:tab w:val="left" w:pos="5580"/>
        </w:tabs>
        <w:spacing w:before="120"/>
        <w:rPr>
          <w:rFonts w:hint="eastAsia" w:ascii="宋体" w:hAnsi="宋体"/>
          <w:sz w:val="24"/>
        </w:rPr>
      </w:pPr>
    </w:p>
    <w:p w14:paraId="4C9E3148">
      <w:pPr>
        <w:tabs>
          <w:tab w:val="left" w:pos="5580"/>
        </w:tabs>
        <w:spacing w:before="120"/>
        <w:rPr>
          <w:rFonts w:hint="eastAsia" w:ascii="宋体" w:hAnsi="宋体"/>
          <w:sz w:val="24"/>
        </w:rPr>
      </w:pPr>
      <w:r>
        <w:rPr>
          <w:rFonts w:hint="eastAsia" w:ascii="宋体" w:hAnsi="宋体" w:cs="仿宋_GB2312"/>
          <w:sz w:val="24"/>
        </w:rPr>
        <w:t>致：东方国际招标有限责任公司</w:t>
      </w:r>
    </w:p>
    <w:p w14:paraId="6BD56C33">
      <w:pPr>
        <w:pStyle w:val="19"/>
        <w:tabs>
          <w:tab w:val="left" w:pos="5580"/>
        </w:tabs>
        <w:ind w:firstLine="480" w:firstLineChars="200"/>
        <w:rPr>
          <w:rFonts w:hint="eastAsia" w:hAnsi="宋体"/>
          <w:sz w:val="24"/>
          <w:szCs w:val="24"/>
        </w:rPr>
      </w:pPr>
    </w:p>
    <w:p w14:paraId="75A4C095">
      <w:pPr>
        <w:pStyle w:val="19"/>
        <w:tabs>
          <w:tab w:val="left" w:pos="5580"/>
        </w:tabs>
        <w:spacing w:line="360" w:lineRule="exact"/>
        <w:ind w:firstLine="480" w:firstLineChars="200"/>
        <w:rPr>
          <w:rFonts w:hint="eastAsia" w:hAnsi="宋体"/>
          <w:sz w:val="24"/>
          <w:szCs w:val="24"/>
        </w:rPr>
      </w:pPr>
      <w:r>
        <w:rPr>
          <w:rFonts w:hint="eastAsia" w:hAnsi="宋体" w:cs="仿宋_GB2312"/>
          <w:sz w:val="24"/>
          <w:szCs w:val="24"/>
        </w:rPr>
        <w:t>根据贵方为( 项目名称：</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rPr>
        <w:t>)项目招标采购服务的投标邀请(</w:t>
      </w:r>
      <w:r>
        <w:rPr>
          <w:rFonts w:hint="eastAsia" w:hAnsi="宋体" w:cs="仿宋_GB2312"/>
          <w:iCs/>
          <w:sz w:val="24"/>
          <w:szCs w:val="24"/>
          <w:u w:val="single"/>
        </w:rPr>
        <w:t xml:space="preserve">招标编号：      </w:t>
      </w:r>
      <w:r>
        <w:rPr>
          <w:rFonts w:hAnsi="宋体" w:cs="仿宋_GB2312"/>
          <w:iCs/>
          <w:sz w:val="24"/>
          <w:szCs w:val="24"/>
          <w:u w:val="single"/>
        </w:rPr>
        <w:t xml:space="preserve">   </w:t>
      </w:r>
      <w:r>
        <w:rPr>
          <w:rFonts w:hint="eastAsia" w:hAnsi="宋体" w:cs="仿宋_GB2312"/>
          <w:iCs/>
          <w:sz w:val="24"/>
          <w:szCs w:val="24"/>
          <w:u w:val="single"/>
        </w:rPr>
        <w:t xml:space="preserve"> 和包号：</w:t>
      </w:r>
      <w:r>
        <w:rPr>
          <w:rFonts w:hAnsi="宋体" w:cs="仿宋_GB2312"/>
          <w:iCs/>
          <w:sz w:val="24"/>
          <w:szCs w:val="24"/>
          <w:u w:val="single"/>
        </w:rPr>
        <w:t xml:space="preserve">    </w:t>
      </w:r>
      <w:r>
        <w:rPr>
          <w:rFonts w:hint="eastAsia" w:hAnsi="宋体" w:cs="仿宋_GB2312"/>
          <w:sz w:val="24"/>
          <w:szCs w:val="24"/>
        </w:rPr>
        <w:t>),签字代表</w:t>
      </w:r>
      <w:r>
        <w:rPr>
          <w:rFonts w:hint="eastAsia" w:hAnsi="宋体" w:cs="仿宋_GB2312"/>
          <w:sz w:val="24"/>
          <w:szCs w:val="24"/>
          <w:u w:val="single"/>
        </w:rPr>
        <w:t xml:space="preserve"> (</w:t>
      </w:r>
      <w:r>
        <w:rPr>
          <w:rFonts w:hint="eastAsia" w:hAnsi="宋体" w:cs="仿宋_GB2312"/>
          <w:iCs/>
          <w:sz w:val="24"/>
          <w:szCs w:val="24"/>
          <w:u w:val="single"/>
        </w:rPr>
        <w:t xml:space="preserve">姓名：  </w:t>
      </w:r>
      <w:r>
        <w:rPr>
          <w:rFonts w:hAnsi="宋体" w:cs="仿宋_GB2312"/>
          <w:iCs/>
          <w:sz w:val="24"/>
          <w:szCs w:val="24"/>
          <w:u w:val="single"/>
        </w:rPr>
        <w:t xml:space="preserve"> </w:t>
      </w:r>
      <w:r>
        <w:rPr>
          <w:rFonts w:hint="eastAsia" w:hAnsi="宋体" w:cs="仿宋_GB2312"/>
          <w:iCs/>
          <w:sz w:val="24"/>
          <w:szCs w:val="24"/>
          <w:u w:val="single"/>
        </w:rPr>
        <w:t xml:space="preserve">   、职务：      </w:t>
      </w:r>
      <w:r>
        <w:rPr>
          <w:rFonts w:hint="eastAsia" w:hAnsi="宋体" w:cs="仿宋_GB2312"/>
          <w:sz w:val="24"/>
          <w:szCs w:val="24"/>
        </w:rPr>
        <w:t>)经正式授权并代表投标人</w:t>
      </w:r>
      <w:r>
        <w:rPr>
          <w:rFonts w:hint="eastAsia" w:hAnsi="宋体" w:cs="仿宋_GB2312"/>
          <w:sz w:val="24"/>
          <w:szCs w:val="24"/>
          <w:u w:val="single"/>
        </w:rPr>
        <w:t>（</w:t>
      </w:r>
      <w:r>
        <w:rPr>
          <w:rFonts w:hint="eastAsia" w:hAnsi="宋体" w:cs="仿宋_GB2312"/>
          <w:iCs/>
          <w:sz w:val="24"/>
          <w:szCs w:val="24"/>
          <w:u w:val="single"/>
        </w:rPr>
        <w:t xml:space="preserve">投标人名称：   </w:t>
      </w:r>
      <w:r>
        <w:rPr>
          <w:rFonts w:hAnsi="宋体" w:cs="仿宋_GB2312"/>
          <w:iCs/>
          <w:sz w:val="24"/>
          <w:szCs w:val="24"/>
          <w:u w:val="single"/>
        </w:rPr>
        <w:t xml:space="preserve">  </w:t>
      </w:r>
      <w:r>
        <w:rPr>
          <w:rFonts w:hint="eastAsia" w:hAnsi="宋体" w:cs="仿宋_GB2312"/>
          <w:iCs/>
          <w:sz w:val="24"/>
          <w:szCs w:val="24"/>
          <w:u w:val="single"/>
        </w:rPr>
        <w:t xml:space="preserve">    、地址：   </w:t>
      </w:r>
      <w:r>
        <w:rPr>
          <w:rFonts w:hAnsi="宋体" w:cs="仿宋_GB2312"/>
          <w:iCs/>
          <w:sz w:val="24"/>
          <w:szCs w:val="24"/>
          <w:u w:val="single"/>
        </w:rPr>
        <w:t xml:space="preserve"> </w:t>
      </w:r>
      <w:r>
        <w:rPr>
          <w:rFonts w:hint="eastAsia" w:hAnsi="宋体" w:cs="仿宋_GB2312"/>
          <w:iCs/>
          <w:sz w:val="24"/>
          <w:szCs w:val="24"/>
          <w:u w:val="single"/>
        </w:rPr>
        <w:t xml:space="preserve">       </w:t>
      </w:r>
      <w:r>
        <w:rPr>
          <w:rFonts w:hint="eastAsia" w:hAnsi="宋体" w:cs="仿宋_GB2312"/>
          <w:sz w:val="24"/>
          <w:szCs w:val="24"/>
          <w:u w:val="single"/>
        </w:rPr>
        <w:t>）</w:t>
      </w:r>
      <w:r>
        <w:rPr>
          <w:rFonts w:hint="eastAsia" w:hAnsi="宋体" w:cs="仿宋_GB2312"/>
          <w:sz w:val="24"/>
          <w:szCs w:val="24"/>
        </w:rPr>
        <w:t>提交下述文件</w:t>
      </w:r>
    </w:p>
    <w:p w14:paraId="4C7D0F3C">
      <w:pPr>
        <w:pStyle w:val="19"/>
        <w:numPr>
          <w:ilvl w:val="0"/>
          <w:numId w:val="25"/>
        </w:numPr>
        <w:tabs>
          <w:tab w:val="left" w:pos="210"/>
          <w:tab w:val="left" w:pos="315"/>
          <w:tab w:val="left" w:pos="630"/>
          <w:tab w:val="left" w:pos="840"/>
          <w:tab w:val="left" w:pos="945"/>
        </w:tabs>
        <w:spacing w:line="360" w:lineRule="exact"/>
        <w:ind w:left="525" w:firstLine="0"/>
        <w:rPr>
          <w:rFonts w:hint="eastAsia" w:hAnsi="宋体"/>
          <w:sz w:val="24"/>
          <w:szCs w:val="24"/>
        </w:rPr>
      </w:pPr>
      <w:r>
        <w:rPr>
          <w:rFonts w:hint="eastAsia" w:hAnsi="宋体" w:cs="仿宋_GB2312"/>
          <w:sz w:val="24"/>
          <w:szCs w:val="24"/>
        </w:rPr>
        <w:t>提供投标须知规定的全部投标文件：</w:t>
      </w:r>
    </w:p>
    <w:p w14:paraId="74BE5B6B">
      <w:pPr>
        <w:pStyle w:val="19"/>
        <w:tabs>
          <w:tab w:val="left" w:pos="210"/>
          <w:tab w:val="left" w:pos="315"/>
          <w:tab w:val="left" w:pos="630"/>
          <w:tab w:val="left" w:pos="768"/>
          <w:tab w:val="left" w:pos="840"/>
          <w:tab w:val="left" w:pos="945"/>
        </w:tabs>
        <w:spacing w:line="360" w:lineRule="exact"/>
        <w:ind w:left="525"/>
        <w:rPr>
          <w:rFonts w:hint="eastAsia" w:hAnsi="宋体"/>
          <w:sz w:val="24"/>
          <w:szCs w:val="24"/>
        </w:rPr>
      </w:pPr>
      <w:r>
        <w:rPr>
          <w:rFonts w:hint="eastAsia" w:hAnsi="宋体" w:cs="仿宋_GB2312"/>
          <w:sz w:val="24"/>
          <w:szCs w:val="24"/>
        </w:rPr>
        <w:t>包括正本</w:t>
      </w:r>
      <w:r>
        <w:rPr>
          <w:rFonts w:hint="eastAsia" w:hAnsi="宋体" w:cs="仿宋_GB2312"/>
          <w:sz w:val="24"/>
          <w:szCs w:val="24"/>
          <w:u w:val="single"/>
        </w:rPr>
        <w:t xml:space="preserve">  </w:t>
      </w:r>
      <w:r>
        <w:rPr>
          <w:rFonts w:hAnsi="宋体" w:cs="仿宋_GB2312"/>
          <w:i/>
          <w:iCs/>
          <w:sz w:val="24"/>
          <w:szCs w:val="24"/>
          <w:u w:val="single"/>
        </w:rPr>
        <w:t xml:space="preserve">  </w:t>
      </w:r>
      <w:r>
        <w:rPr>
          <w:rFonts w:hint="eastAsia" w:hAnsi="宋体" w:cs="仿宋_GB2312"/>
          <w:sz w:val="24"/>
          <w:szCs w:val="24"/>
        </w:rPr>
        <w:t>份，副本</w:t>
      </w:r>
      <w:r>
        <w:rPr>
          <w:rFonts w:hAnsi="宋体" w:cs="仿宋_GB2312"/>
          <w:sz w:val="24"/>
          <w:szCs w:val="24"/>
          <w:u w:val="single"/>
        </w:rPr>
        <w:t xml:space="preserve">    </w:t>
      </w:r>
      <w:r>
        <w:rPr>
          <w:rFonts w:hint="eastAsia" w:hAnsi="宋体" w:cs="仿宋_GB2312"/>
          <w:sz w:val="24"/>
          <w:szCs w:val="24"/>
        </w:rPr>
        <w:t>份，电子版</w:t>
      </w:r>
      <w:r>
        <w:rPr>
          <w:rFonts w:hAnsi="宋体" w:cs="仿宋_GB2312"/>
          <w:sz w:val="24"/>
          <w:szCs w:val="24"/>
          <w:u w:val="single"/>
        </w:rPr>
        <w:t xml:space="preserve">   </w:t>
      </w:r>
      <w:r>
        <w:rPr>
          <w:rFonts w:hint="eastAsia" w:hAnsi="宋体" w:cs="仿宋_GB2312"/>
          <w:sz w:val="24"/>
          <w:szCs w:val="24"/>
        </w:rPr>
        <w:t>份。</w:t>
      </w:r>
    </w:p>
    <w:p w14:paraId="45C603EB">
      <w:pPr>
        <w:pStyle w:val="19"/>
        <w:numPr>
          <w:ilvl w:val="0"/>
          <w:numId w:val="25"/>
        </w:numPr>
        <w:tabs>
          <w:tab w:val="left" w:pos="630"/>
          <w:tab w:val="left" w:pos="735"/>
          <w:tab w:val="left" w:pos="945"/>
        </w:tabs>
        <w:spacing w:line="360" w:lineRule="exact"/>
        <w:ind w:left="840" w:hanging="315"/>
        <w:rPr>
          <w:rFonts w:hint="eastAsia" w:hAnsi="宋体"/>
          <w:sz w:val="24"/>
          <w:szCs w:val="24"/>
        </w:rPr>
      </w:pPr>
      <w:r>
        <w:rPr>
          <w:rFonts w:hint="eastAsia" w:hAnsi="宋体" w:cs="仿宋_GB2312"/>
          <w:sz w:val="24"/>
          <w:szCs w:val="24"/>
        </w:rPr>
        <w:t>以形式出具的投标保证金，金额为人民币</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rPr>
        <w:t>元。</w:t>
      </w:r>
    </w:p>
    <w:p w14:paraId="58912583">
      <w:pPr>
        <w:pStyle w:val="19"/>
        <w:tabs>
          <w:tab w:val="left" w:pos="525"/>
          <w:tab w:val="left" w:pos="945"/>
          <w:tab w:val="left" w:pos="5580"/>
        </w:tabs>
        <w:spacing w:line="360" w:lineRule="exact"/>
        <w:ind w:firstLine="480" w:firstLineChars="200"/>
        <w:rPr>
          <w:rFonts w:hint="eastAsia" w:hAnsi="宋体"/>
          <w:sz w:val="24"/>
          <w:szCs w:val="24"/>
        </w:rPr>
      </w:pPr>
      <w:r>
        <w:rPr>
          <w:rFonts w:hint="eastAsia" w:hAnsi="宋体" w:cs="仿宋_GB2312"/>
          <w:sz w:val="24"/>
          <w:szCs w:val="24"/>
        </w:rPr>
        <w:t>在此，签字代表宣布同意如下：</w:t>
      </w:r>
    </w:p>
    <w:p w14:paraId="5358F5F2">
      <w:pPr>
        <w:pStyle w:val="19"/>
        <w:numPr>
          <w:ilvl w:val="0"/>
          <w:numId w:val="26"/>
        </w:numPr>
        <w:tabs>
          <w:tab w:val="left" w:pos="5580"/>
        </w:tabs>
        <w:spacing w:line="360" w:lineRule="exact"/>
        <w:rPr>
          <w:rFonts w:hint="eastAsia" w:hAnsi="宋体"/>
          <w:sz w:val="24"/>
          <w:szCs w:val="24"/>
          <w:u w:val="single"/>
        </w:rPr>
      </w:pPr>
      <w:r>
        <w:rPr>
          <w:rFonts w:hint="eastAsia" w:hAnsi="宋体" w:cs="仿宋_GB2312"/>
          <w:sz w:val="24"/>
          <w:szCs w:val="24"/>
        </w:rPr>
        <w:t>所附投标价格表中规定的应提交和交付的货物及服务投标报价总价为：</w:t>
      </w:r>
    </w:p>
    <w:p w14:paraId="16E01936">
      <w:pPr>
        <w:pStyle w:val="19"/>
        <w:tabs>
          <w:tab w:val="left" w:pos="1140"/>
          <w:tab w:val="left" w:pos="5580"/>
        </w:tabs>
        <w:spacing w:line="360" w:lineRule="exact"/>
        <w:ind w:left="1140"/>
        <w:rPr>
          <w:rFonts w:hint="eastAsia" w:hAnsi="宋体"/>
          <w:sz w:val="24"/>
          <w:szCs w:val="24"/>
        </w:rPr>
      </w:pPr>
      <w:r>
        <w:rPr>
          <w:rFonts w:hint="eastAsia" w:hAnsi="宋体" w:cs="仿宋_GB2312"/>
          <w:sz w:val="24"/>
          <w:szCs w:val="24"/>
        </w:rPr>
        <w:t>大写：</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rPr>
        <w:t>（用文字表示的投标总价，标明币种）；</w:t>
      </w:r>
    </w:p>
    <w:p w14:paraId="2E33ED5B">
      <w:pPr>
        <w:pStyle w:val="19"/>
        <w:tabs>
          <w:tab w:val="left" w:pos="1140"/>
          <w:tab w:val="left" w:pos="5580"/>
        </w:tabs>
        <w:spacing w:line="360" w:lineRule="exact"/>
        <w:ind w:left="1140"/>
        <w:rPr>
          <w:rFonts w:hint="eastAsia" w:hAnsi="宋体" w:cs="仿宋_GB2312"/>
          <w:sz w:val="24"/>
          <w:szCs w:val="24"/>
        </w:rPr>
      </w:pPr>
      <w:r>
        <w:rPr>
          <w:rFonts w:hint="eastAsia" w:hAnsi="宋体" w:cs="仿宋_GB2312"/>
          <w:sz w:val="24"/>
          <w:szCs w:val="24"/>
        </w:rPr>
        <w:t>小写：</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rPr>
        <w:t>（用数字表示的投标总价，标明币种）。</w:t>
      </w:r>
    </w:p>
    <w:p w14:paraId="19259381">
      <w:pPr>
        <w:pStyle w:val="19"/>
        <w:numPr>
          <w:ilvl w:val="0"/>
          <w:numId w:val="26"/>
        </w:numPr>
        <w:tabs>
          <w:tab w:val="left" w:pos="5580"/>
        </w:tabs>
        <w:spacing w:line="360" w:lineRule="exact"/>
        <w:rPr>
          <w:rFonts w:hint="eastAsia" w:hAnsi="宋体"/>
          <w:sz w:val="24"/>
          <w:szCs w:val="24"/>
        </w:rPr>
      </w:pPr>
      <w:r>
        <w:rPr>
          <w:rFonts w:hint="eastAsia" w:hAnsi="宋体" w:cs="仿宋_GB2312"/>
          <w:sz w:val="24"/>
          <w:szCs w:val="24"/>
        </w:rPr>
        <w:t>我方将按招标文件的规定履行合同责任和义务。</w:t>
      </w:r>
    </w:p>
    <w:p w14:paraId="51986E5D">
      <w:pPr>
        <w:pStyle w:val="19"/>
        <w:numPr>
          <w:ilvl w:val="0"/>
          <w:numId w:val="26"/>
        </w:numPr>
        <w:tabs>
          <w:tab w:val="left" w:pos="5580"/>
        </w:tabs>
        <w:spacing w:line="360" w:lineRule="exact"/>
        <w:rPr>
          <w:rFonts w:hint="eastAsia" w:hAnsi="宋体"/>
          <w:sz w:val="24"/>
          <w:szCs w:val="24"/>
        </w:rPr>
      </w:pPr>
      <w:r>
        <w:rPr>
          <w:rFonts w:hint="eastAsia" w:hAnsi="宋体" w:cs="仿宋_GB2312"/>
          <w:sz w:val="24"/>
          <w:szCs w:val="24"/>
        </w:rPr>
        <w:t>我方已详细审查全部招标文件，包括第</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iCs/>
          <w:sz w:val="24"/>
          <w:szCs w:val="24"/>
          <w:u w:val="single"/>
        </w:rPr>
        <w:t>号（招标编号、补充通知）</w:t>
      </w:r>
      <w:r>
        <w:rPr>
          <w:rFonts w:hint="eastAsia" w:hAnsi="宋体" w:cs="仿宋_GB2312"/>
          <w:i/>
          <w:iCs/>
          <w:sz w:val="24"/>
          <w:szCs w:val="24"/>
          <w:u w:val="single"/>
        </w:rPr>
        <w:t>（如果有的话</w:t>
      </w:r>
      <w:r>
        <w:rPr>
          <w:rFonts w:hint="eastAsia" w:hAnsi="宋体" w:cs="仿宋_GB2312"/>
          <w:i/>
          <w:iCs/>
          <w:sz w:val="24"/>
          <w:szCs w:val="24"/>
        </w:rPr>
        <w:t>）</w:t>
      </w:r>
      <w:r>
        <w:rPr>
          <w:rFonts w:hint="eastAsia" w:hAnsi="宋体" w:cs="仿宋_GB2312"/>
          <w:sz w:val="24"/>
          <w:szCs w:val="24"/>
        </w:rPr>
        <w:t>。我方完全理解并同意放弃对这方面有不明及误解的权力。</w:t>
      </w:r>
    </w:p>
    <w:p w14:paraId="5FCECFF5">
      <w:pPr>
        <w:pStyle w:val="19"/>
        <w:numPr>
          <w:ilvl w:val="0"/>
          <w:numId w:val="26"/>
        </w:numPr>
        <w:tabs>
          <w:tab w:val="left" w:pos="5580"/>
        </w:tabs>
        <w:spacing w:line="360" w:lineRule="exact"/>
        <w:rPr>
          <w:rFonts w:hint="eastAsia" w:hAnsi="宋体"/>
          <w:sz w:val="24"/>
          <w:szCs w:val="24"/>
        </w:rPr>
      </w:pPr>
      <w:r>
        <w:rPr>
          <w:rFonts w:hint="eastAsia" w:hAnsi="宋体" w:cs="仿宋_GB2312"/>
          <w:sz w:val="24"/>
          <w:szCs w:val="24"/>
        </w:rPr>
        <w:t>本投标有效期为自开标日起</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u w:val="single"/>
        </w:rPr>
        <w:t>90</w:t>
      </w:r>
      <w:r>
        <w:rPr>
          <w:rFonts w:hAnsi="宋体" w:cs="仿宋_GB2312"/>
          <w:sz w:val="24"/>
          <w:szCs w:val="24"/>
          <w:u w:val="single"/>
        </w:rPr>
        <w:t xml:space="preserve">    </w:t>
      </w:r>
      <w:r>
        <w:rPr>
          <w:rFonts w:hint="eastAsia" w:hAnsi="宋体" w:cs="仿宋_GB2312"/>
          <w:sz w:val="24"/>
          <w:szCs w:val="24"/>
        </w:rPr>
        <w:t>个日历日。</w:t>
      </w:r>
    </w:p>
    <w:p w14:paraId="1C0CD29B">
      <w:pPr>
        <w:pStyle w:val="19"/>
        <w:numPr>
          <w:ilvl w:val="0"/>
          <w:numId w:val="26"/>
        </w:numPr>
        <w:tabs>
          <w:tab w:val="left" w:pos="5580"/>
        </w:tabs>
        <w:spacing w:line="360" w:lineRule="exact"/>
        <w:rPr>
          <w:rFonts w:hint="eastAsia" w:hAnsi="宋体"/>
          <w:sz w:val="24"/>
          <w:szCs w:val="24"/>
        </w:rPr>
      </w:pPr>
      <w:r>
        <w:rPr>
          <w:rFonts w:hint="eastAsia" w:hAnsi="宋体" w:cs="仿宋_GB2312"/>
          <w:sz w:val="24"/>
          <w:szCs w:val="24"/>
        </w:rPr>
        <w:t>在规定的开标时间后，我方保证遵守招标文件中有关保证金的规定。</w:t>
      </w:r>
    </w:p>
    <w:p w14:paraId="32F84DAA">
      <w:pPr>
        <w:pStyle w:val="19"/>
        <w:numPr>
          <w:ilvl w:val="0"/>
          <w:numId w:val="26"/>
        </w:numPr>
        <w:tabs>
          <w:tab w:val="left" w:pos="5580"/>
        </w:tabs>
        <w:spacing w:line="360" w:lineRule="exact"/>
        <w:rPr>
          <w:rFonts w:hint="eastAsia" w:hAnsi="宋体"/>
          <w:sz w:val="24"/>
          <w:szCs w:val="24"/>
        </w:rPr>
      </w:pPr>
      <w:r>
        <w:rPr>
          <w:rFonts w:hint="eastAsia" w:hAnsi="宋体" w:cs="仿宋_GB2312"/>
          <w:sz w:val="24"/>
          <w:szCs w:val="24"/>
        </w:rPr>
        <w:t>根据投标人须知第1条规定，我方承诺，与买方聘请的为此项目提供咨询服务的公司及任何附属机构均无关联，我方不是买方的附属机构。</w:t>
      </w:r>
    </w:p>
    <w:p w14:paraId="7AC845ED">
      <w:pPr>
        <w:pStyle w:val="19"/>
        <w:numPr>
          <w:ilvl w:val="0"/>
          <w:numId w:val="27"/>
        </w:numPr>
        <w:tabs>
          <w:tab w:val="left" w:pos="1140"/>
          <w:tab w:val="left" w:pos="5580"/>
        </w:tabs>
        <w:spacing w:line="360" w:lineRule="exact"/>
        <w:rPr>
          <w:rFonts w:hint="eastAsia" w:hAnsi="宋体" w:cs="宋体"/>
          <w:sz w:val="24"/>
          <w:szCs w:val="24"/>
        </w:rPr>
      </w:pPr>
      <w:r>
        <w:rPr>
          <w:rFonts w:hint="eastAsia" w:hAnsi="宋体" w:cs="宋体"/>
          <w:sz w:val="24"/>
          <w:szCs w:val="24"/>
        </w:rPr>
        <w:t>我方同意提供按照贵方可能要求的与其投标有关的一切数据或资料。</w:t>
      </w:r>
    </w:p>
    <w:p w14:paraId="702F86C3">
      <w:pPr>
        <w:pStyle w:val="19"/>
        <w:numPr>
          <w:ilvl w:val="0"/>
          <w:numId w:val="27"/>
        </w:numPr>
        <w:tabs>
          <w:tab w:val="left" w:pos="1140"/>
          <w:tab w:val="left" w:pos="5580"/>
        </w:tabs>
        <w:spacing w:line="360" w:lineRule="exact"/>
        <w:rPr>
          <w:rFonts w:hint="eastAsia" w:hAnsi="宋体" w:cs="宋体"/>
          <w:sz w:val="24"/>
          <w:szCs w:val="24"/>
        </w:rPr>
      </w:pPr>
      <w:r>
        <w:rPr>
          <w:rFonts w:hint="eastAsia" w:hAnsi="宋体" w:cs="宋体"/>
          <w:sz w:val="24"/>
          <w:szCs w:val="24"/>
        </w:rPr>
        <w:t>我司承诺已经完全获悉本招标项目因未实质性响应招标文件而导致投标无效的所有要求。</w:t>
      </w:r>
    </w:p>
    <w:p w14:paraId="6A51D5CE">
      <w:pPr>
        <w:pStyle w:val="101"/>
        <w:numPr>
          <w:ilvl w:val="0"/>
          <w:numId w:val="27"/>
        </w:numPr>
        <w:tabs>
          <w:tab w:val="left" w:pos="1140"/>
        </w:tabs>
        <w:ind w:firstLineChars="0"/>
        <w:rPr>
          <w:rFonts w:hint="eastAsia" w:ascii="宋体" w:hAnsi="宋体" w:cs="仿宋_GB2312"/>
          <w:bCs/>
          <w:sz w:val="24"/>
        </w:rPr>
      </w:pPr>
      <w:r>
        <w:rPr>
          <w:rFonts w:hint="eastAsia" w:ascii="宋体" w:hAnsi="宋体" w:cs="仿宋_GB2312"/>
          <w:bCs/>
          <w:sz w:val="24"/>
        </w:rPr>
        <w:t>我方已充分理解贵方关于投标报价不得因可能影响服务质量或者不能诚信履 约而明显低于其他通过符合性审查投标人的投标报价的相关规定，并清楚若违反相关规定将导致废标的严重后果。</w:t>
      </w:r>
    </w:p>
    <w:p w14:paraId="6084407C">
      <w:pPr>
        <w:pStyle w:val="19"/>
        <w:tabs>
          <w:tab w:val="left" w:pos="5580"/>
        </w:tabs>
        <w:ind w:firstLine="480" w:firstLineChars="200"/>
        <w:rPr>
          <w:rFonts w:hint="eastAsia" w:hAnsi="宋体" w:cs="仿宋_GB2312"/>
          <w:sz w:val="24"/>
          <w:szCs w:val="24"/>
        </w:rPr>
      </w:pPr>
    </w:p>
    <w:p w14:paraId="4CAAD087">
      <w:pPr>
        <w:pStyle w:val="19"/>
        <w:tabs>
          <w:tab w:val="left" w:pos="5580"/>
        </w:tabs>
        <w:ind w:firstLine="480" w:firstLineChars="200"/>
        <w:rPr>
          <w:rFonts w:hint="eastAsia" w:hAnsi="宋体"/>
          <w:sz w:val="24"/>
          <w:szCs w:val="24"/>
        </w:rPr>
      </w:pPr>
      <w:r>
        <w:rPr>
          <w:rFonts w:hint="eastAsia" w:hAnsi="宋体" w:cs="仿宋_GB2312"/>
          <w:sz w:val="24"/>
          <w:szCs w:val="24"/>
        </w:rPr>
        <w:t>与本投标有关的一切正式往来信函请寄：</w:t>
      </w:r>
    </w:p>
    <w:p w14:paraId="500EB212">
      <w:pPr>
        <w:pStyle w:val="19"/>
        <w:tabs>
          <w:tab w:val="left" w:pos="5580"/>
        </w:tabs>
        <w:ind w:left="420"/>
        <w:rPr>
          <w:rFonts w:hint="eastAsia" w:hAnsi="宋体"/>
          <w:sz w:val="24"/>
          <w:szCs w:val="24"/>
        </w:rPr>
      </w:pPr>
    </w:p>
    <w:p w14:paraId="5ED22D03">
      <w:pPr>
        <w:pStyle w:val="19"/>
        <w:tabs>
          <w:tab w:val="left" w:pos="5580"/>
        </w:tabs>
        <w:ind w:left="420"/>
        <w:rPr>
          <w:rFonts w:hint="eastAsia" w:hAnsi="宋体" w:cs="仿宋_GB2312"/>
          <w:sz w:val="24"/>
          <w:szCs w:val="24"/>
        </w:rPr>
      </w:pPr>
      <w:r>
        <w:rPr>
          <w:rFonts w:hint="eastAsia" w:hAnsi="宋体" w:cs="仿宋_GB2312"/>
          <w:sz w:val="24"/>
          <w:szCs w:val="24"/>
        </w:rPr>
        <w:t>地址_________________________     传真____________________________</w:t>
      </w:r>
    </w:p>
    <w:p w14:paraId="4015A914">
      <w:pPr>
        <w:pStyle w:val="19"/>
        <w:tabs>
          <w:tab w:val="left" w:pos="5580"/>
        </w:tabs>
        <w:ind w:left="420"/>
        <w:rPr>
          <w:rFonts w:hint="eastAsia" w:hAnsi="宋体" w:cs="仿宋_GB2312"/>
          <w:sz w:val="24"/>
          <w:szCs w:val="24"/>
        </w:rPr>
      </w:pPr>
      <w:r>
        <w:rPr>
          <w:rFonts w:hint="eastAsia" w:hAnsi="宋体" w:cs="仿宋_GB2312"/>
          <w:sz w:val="24"/>
          <w:szCs w:val="24"/>
        </w:rPr>
        <w:t>电话_________________________     电子函件________________________</w:t>
      </w:r>
    </w:p>
    <w:p w14:paraId="1A0427B4">
      <w:pPr>
        <w:pStyle w:val="19"/>
        <w:tabs>
          <w:tab w:val="left" w:pos="5580"/>
        </w:tabs>
        <w:ind w:left="420"/>
        <w:rPr>
          <w:rFonts w:hint="eastAsia" w:hAnsi="宋体"/>
          <w:sz w:val="24"/>
          <w:szCs w:val="24"/>
          <w:u w:val="single"/>
        </w:rPr>
      </w:pPr>
      <w:r>
        <w:rPr>
          <w:rFonts w:hint="eastAsia" w:hAnsi="宋体" w:cs="仿宋_GB2312"/>
          <w:sz w:val="24"/>
          <w:szCs w:val="24"/>
        </w:rPr>
        <w:t>开户名全称</w:t>
      </w:r>
      <w:r>
        <w:rPr>
          <w:rFonts w:hint="eastAsia" w:hAnsi="宋体" w:cs="仿宋_GB2312"/>
          <w:sz w:val="24"/>
          <w:szCs w:val="24"/>
          <w:u w:val="single"/>
        </w:rPr>
        <w:t>　　　　　　　　　　</w:t>
      </w:r>
    </w:p>
    <w:p w14:paraId="2C73EA26">
      <w:pPr>
        <w:pStyle w:val="19"/>
        <w:tabs>
          <w:tab w:val="left" w:pos="5580"/>
        </w:tabs>
        <w:ind w:left="420"/>
        <w:rPr>
          <w:rFonts w:hint="eastAsia" w:hAnsi="宋体"/>
          <w:sz w:val="24"/>
          <w:szCs w:val="24"/>
        </w:rPr>
      </w:pPr>
      <w:r>
        <w:rPr>
          <w:rFonts w:hint="eastAsia" w:hAnsi="宋体" w:cs="仿宋_GB2312"/>
          <w:sz w:val="24"/>
          <w:szCs w:val="24"/>
        </w:rPr>
        <w:t>开户银行</w:t>
      </w:r>
      <w:r>
        <w:rPr>
          <w:rFonts w:hint="eastAsia" w:hAnsi="宋体" w:cs="仿宋_GB2312"/>
          <w:sz w:val="24"/>
          <w:szCs w:val="24"/>
          <w:u w:val="single"/>
        </w:rPr>
        <w:t>　　　　　　　　　　　</w:t>
      </w:r>
    </w:p>
    <w:p w14:paraId="75EA91C3">
      <w:pPr>
        <w:pStyle w:val="19"/>
        <w:tabs>
          <w:tab w:val="left" w:pos="5580"/>
        </w:tabs>
        <w:ind w:left="420"/>
        <w:rPr>
          <w:rFonts w:hint="eastAsia" w:hAnsi="宋体"/>
          <w:sz w:val="24"/>
          <w:szCs w:val="24"/>
        </w:rPr>
      </w:pPr>
      <w:r>
        <w:rPr>
          <w:rFonts w:hint="eastAsia" w:hAnsi="宋体" w:cs="仿宋_GB2312"/>
          <w:sz w:val="24"/>
          <w:szCs w:val="24"/>
        </w:rPr>
        <w:t>银行账号</w:t>
      </w:r>
      <w:r>
        <w:rPr>
          <w:rFonts w:hint="eastAsia" w:hAnsi="宋体" w:cs="仿宋_GB2312"/>
          <w:sz w:val="24"/>
          <w:szCs w:val="24"/>
          <w:u w:val="single"/>
        </w:rPr>
        <w:t>　　　　　　　　　　　</w:t>
      </w:r>
    </w:p>
    <w:p w14:paraId="42E6DD80">
      <w:pPr>
        <w:pStyle w:val="19"/>
        <w:tabs>
          <w:tab w:val="left" w:pos="5580"/>
        </w:tabs>
        <w:rPr>
          <w:rFonts w:hint="eastAsia" w:hAnsi="宋体" w:cs="仿宋_GB2312"/>
          <w:sz w:val="24"/>
          <w:szCs w:val="24"/>
        </w:rPr>
      </w:pPr>
    </w:p>
    <w:p w14:paraId="2DCC547D">
      <w:pPr>
        <w:pStyle w:val="19"/>
        <w:tabs>
          <w:tab w:val="left" w:pos="5580"/>
        </w:tabs>
        <w:ind w:left="420"/>
        <w:rPr>
          <w:rFonts w:hint="eastAsia" w:hAnsi="宋体" w:cs="仿宋_GB2312"/>
          <w:sz w:val="24"/>
          <w:szCs w:val="24"/>
        </w:rPr>
      </w:pPr>
      <w:r>
        <w:rPr>
          <w:rFonts w:hint="eastAsia" w:hAnsi="宋体" w:cs="仿宋_GB2312"/>
          <w:sz w:val="24"/>
          <w:szCs w:val="24"/>
        </w:rPr>
        <w:t>投标人授权代表签字：____</w:t>
      </w:r>
      <w:r>
        <w:rPr>
          <w:rFonts w:hint="eastAsia" w:hAnsi="宋体" w:cs="仿宋_GB2312"/>
          <w:sz w:val="24"/>
          <w:szCs w:val="24"/>
          <w:u w:val="single"/>
        </w:rPr>
        <w:t>__</w:t>
      </w:r>
      <w:r>
        <w:rPr>
          <w:rFonts w:hint="eastAsia" w:hAnsi="宋体" w:cs="仿宋_GB2312"/>
          <w:sz w:val="24"/>
          <w:szCs w:val="24"/>
        </w:rPr>
        <w:t>_________</w:t>
      </w:r>
    </w:p>
    <w:p w14:paraId="12D202D9">
      <w:pPr>
        <w:pStyle w:val="19"/>
        <w:tabs>
          <w:tab w:val="left" w:pos="5580"/>
        </w:tabs>
        <w:ind w:left="420"/>
        <w:rPr>
          <w:rFonts w:hint="eastAsia" w:hAnsi="宋体" w:cs="仿宋_GB2312"/>
          <w:sz w:val="24"/>
          <w:szCs w:val="24"/>
        </w:rPr>
      </w:pPr>
      <w:r>
        <w:rPr>
          <w:rFonts w:hint="eastAsia" w:hAnsi="宋体" w:cs="仿宋_GB2312"/>
          <w:sz w:val="24"/>
          <w:szCs w:val="24"/>
        </w:rPr>
        <w:t>投标人名称：_______________________（加盖公章）</w:t>
      </w:r>
    </w:p>
    <w:p w14:paraId="1DC40498">
      <w:pPr>
        <w:pStyle w:val="19"/>
        <w:tabs>
          <w:tab w:val="left" w:pos="5580"/>
        </w:tabs>
        <w:ind w:left="420"/>
        <w:rPr>
          <w:rFonts w:hint="eastAsia" w:hAnsi="宋体" w:cs="仿宋_GB2312"/>
          <w:sz w:val="24"/>
          <w:szCs w:val="24"/>
          <w:u w:val="single"/>
        </w:rPr>
      </w:pPr>
      <w:r>
        <w:rPr>
          <w:rFonts w:hint="eastAsia" w:hAnsi="宋体" w:cs="仿宋_GB2312"/>
          <w:sz w:val="24"/>
          <w:szCs w:val="24"/>
        </w:rPr>
        <w:t>日期：</w:t>
      </w:r>
      <w:r>
        <w:rPr>
          <w:rFonts w:hint="eastAsia" w:hAnsi="宋体" w:cs="仿宋_GB2312"/>
          <w:sz w:val="24"/>
          <w:szCs w:val="24"/>
          <w:u w:val="single"/>
        </w:rPr>
        <w:t xml:space="preserve"> </w:t>
      </w:r>
      <w:r>
        <w:rPr>
          <w:rFonts w:hAnsi="宋体" w:cs="仿宋_GB2312"/>
          <w:sz w:val="24"/>
          <w:szCs w:val="24"/>
          <w:u w:val="single"/>
        </w:rPr>
        <w:t xml:space="preserve">              </w:t>
      </w:r>
    </w:p>
    <w:p w14:paraId="03F0F2D2">
      <w:pPr>
        <w:pStyle w:val="36"/>
        <w:ind w:firstLine="0" w:firstLineChars="0"/>
      </w:pPr>
    </w:p>
    <w:p w14:paraId="3AEFB5CB">
      <w:pPr>
        <w:widowControl/>
        <w:jc w:val="center"/>
        <w:outlineLvl w:val="1"/>
        <w:rPr>
          <w:rFonts w:hint="eastAsia" w:ascii="宋体" w:hAnsi="宋体" w:eastAsia="宋体" w:cs="宋体"/>
          <w:b/>
          <w:sz w:val="24"/>
          <w:szCs w:val="24"/>
          <w:lang w:val="zh-CN"/>
        </w:rPr>
      </w:pPr>
      <w:r>
        <w:rPr>
          <w:rFonts w:hint="eastAsia" w:ascii="宋体" w:hAnsi="宋体" w:eastAsia="宋体" w:cs="宋体"/>
          <w:b/>
          <w:bCs/>
          <w:sz w:val="24"/>
        </w:rPr>
        <w:t>★</w:t>
      </w:r>
      <w:r>
        <w:rPr>
          <w:rFonts w:hint="eastAsia" w:ascii="宋体" w:hAnsi="宋体" w:eastAsia="宋体" w:cs="宋体"/>
          <w:b/>
          <w:sz w:val="24"/>
          <w:szCs w:val="24"/>
          <w:lang w:val="zh-CN"/>
        </w:rPr>
        <w:t>附件3：投标一览表</w:t>
      </w:r>
    </w:p>
    <w:p w14:paraId="3D78188B">
      <w:pPr>
        <w:tabs>
          <w:tab w:val="left" w:pos="1800"/>
          <w:tab w:val="left" w:pos="5580"/>
        </w:tabs>
        <w:autoSpaceDE w:val="0"/>
        <w:autoSpaceDN w:val="0"/>
        <w:adjustRightInd w:val="0"/>
        <w:spacing w:line="360" w:lineRule="auto"/>
        <w:jc w:val="left"/>
        <w:rPr>
          <w:rFonts w:hint="eastAsia" w:ascii="宋体" w:hAnsi="宋体" w:eastAsia="宋体" w:cs="宋体"/>
          <w:sz w:val="24"/>
          <w:szCs w:val="24"/>
          <w:lang w:val="zh-CN"/>
        </w:rPr>
      </w:pPr>
    </w:p>
    <w:p w14:paraId="319671E3">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招标编号:</w:t>
      </w:r>
      <w:r>
        <w:rPr>
          <w:rFonts w:ascii="Times New Roman" w:hAnsi="Times New Roman" w:eastAsia="宋体" w:cs="Times New Roman"/>
          <w:sz w:val="24"/>
          <w:szCs w:val="24"/>
          <w:u w:val="single"/>
        </w:rPr>
        <w:t xml:space="preserve">                       </w:t>
      </w:r>
    </w:p>
    <w:p w14:paraId="5ACAB6AA">
      <w:pPr>
        <w:tabs>
          <w:tab w:val="left" w:pos="1800"/>
          <w:tab w:val="left" w:pos="5580"/>
        </w:tabs>
        <w:autoSpaceDE w:val="0"/>
        <w:autoSpaceDN w:val="0"/>
        <w:adjustRightInd w:val="0"/>
        <w:spacing w:line="360" w:lineRule="auto"/>
        <w:jc w:val="left"/>
        <w:rPr>
          <w:rFonts w:ascii="Times New Roman" w:hAnsi="Times New Roman" w:eastAsia="宋体" w:cs="Times New Roman"/>
          <w:sz w:val="24"/>
          <w:szCs w:val="24"/>
          <w:lang w:val="zh-CN"/>
        </w:rPr>
      </w:pPr>
    </w:p>
    <w:tbl>
      <w:tblPr>
        <w:tblStyle w:val="37"/>
        <w:tblW w:w="837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74"/>
        <w:gridCol w:w="2300"/>
        <w:gridCol w:w="1954"/>
        <w:gridCol w:w="1877"/>
        <w:gridCol w:w="1173"/>
      </w:tblGrid>
      <w:tr w14:paraId="4ECF7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175" w:hRule="atLeast"/>
        </w:trPr>
        <w:tc>
          <w:tcPr>
            <w:tcW w:w="1074" w:type="dxa"/>
            <w:vAlign w:val="center"/>
          </w:tcPr>
          <w:p w14:paraId="59F3FCD4">
            <w:pPr>
              <w:jc w:val="center"/>
              <w:rPr>
                <w:rFonts w:ascii="Times New Roman" w:hAnsi="Times New Roman" w:cs="Times New Roman"/>
                <w:sz w:val="24"/>
                <w:szCs w:val="24"/>
              </w:rPr>
            </w:pPr>
            <w:r>
              <w:rPr>
                <w:rFonts w:ascii="Times New Roman" w:hAnsi="Times New Roman" w:cs="Times New Roman"/>
                <w:sz w:val="24"/>
                <w:szCs w:val="24"/>
              </w:rPr>
              <w:t>包号</w:t>
            </w:r>
          </w:p>
        </w:tc>
        <w:tc>
          <w:tcPr>
            <w:tcW w:w="2300" w:type="dxa"/>
            <w:vAlign w:val="center"/>
          </w:tcPr>
          <w:p w14:paraId="05D0123C">
            <w:pPr>
              <w:ind w:left="-146" w:firstLine="146"/>
              <w:jc w:val="center"/>
              <w:rPr>
                <w:rFonts w:ascii="Times New Roman" w:hAnsi="Times New Roman" w:cs="Times New Roman"/>
                <w:sz w:val="24"/>
                <w:szCs w:val="24"/>
              </w:rPr>
            </w:pPr>
            <w:r>
              <w:rPr>
                <w:rFonts w:ascii="Times New Roman" w:hAnsi="Times New Roman" w:cs="Times New Roman"/>
                <w:sz w:val="24"/>
                <w:szCs w:val="24"/>
              </w:rPr>
              <w:t>货物名称</w:t>
            </w:r>
          </w:p>
        </w:tc>
        <w:tc>
          <w:tcPr>
            <w:tcW w:w="1954" w:type="dxa"/>
            <w:vAlign w:val="center"/>
          </w:tcPr>
          <w:p w14:paraId="7EEC59C4">
            <w:pPr>
              <w:jc w:val="center"/>
              <w:rPr>
                <w:rFonts w:ascii="Times New Roman" w:hAnsi="Times New Roman" w:cs="Times New Roman"/>
                <w:sz w:val="24"/>
                <w:szCs w:val="24"/>
              </w:rPr>
            </w:pPr>
            <w:r>
              <w:rPr>
                <w:rFonts w:ascii="Times New Roman" w:hAnsi="Times New Roman" w:cs="Times New Roman"/>
                <w:sz w:val="24"/>
                <w:szCs w:val="24"/>
              </w:rPr>
              <w:t>投标总价</w:t>
            </w:r>
          </w:p>
        </w:tc>
        <w:tc>
          <w:tcPr>
            <w:tcW w:w="1877" w:type="dxa"/>
            <w:vAlign w:val="center"/>
          </w:tcPr>
          <w:p w14:paraId="23F04703">
            <w:pPr>
              <w:jc w:val="center"/>
              <w:rPr>
                <w:rFonts w:ascii="Times New Roman" w:hAnsi="Times New Roman" w:cs="Times New Roman"/>
                <w:sz w:val="24"/>
                <w:szCs w:val="24"/>
              </w:rPr>
            </w:pPr>
            <w:r>
              <w:rPr>
                <w:rFonts w:ascii="Times New Roman" w:hAnsi="Times New Roman" w:cs="Times New Roman"/>
                <w:sz w:val="24"/>
                <w:szCs w:val="24"/>
              </w:rPr>
              <w:t>投标保证金</w:t>
            </w:r>
          </w:p>
        </w:tc>
        <w:tc>
          <w:tcPr>
            <w:tcW w:w="1173" w:type="dxa"/>
            <w:vAlign w:val="center"/>
          </w:tcPr>
          <w:p w14:paraId="50092B3C">
            <w:pPr>
              <w:jc w:val="center"/>
              <w:rPr>
                <w:rFonts w:ascii="Times New Roman" w:hAnsi="Times New Roman" w:cs="Times New Roman"/>
                <w:sz w:val="24"/>
                <w:szCs w:val="24"/>
              </w:rPr>
            </w:pPr>
            <w:r>
              <w:rPr>
                <w:rFonts w:ascii="Times New Roman" w:hAnsi="Times New Roman" w:cs="Times New Roman"/>
                <w:sz w:val="24"/>
                <w:szCs w:val="24"/>
              </w:rPr>
              <w:t>投标声明</w:t>
            </w:r>
          </w:p>
        </w:tc>
      </w:tr>
      <w:tr w14:paraId="706A6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2028" w:hRule="atLeast"/>
        </w:trPr>
        <w:tc>
          <w:tcPr>
            <w:tcW w:w="1074" w:type="dxa"/>
            <w:vAlign w:val="center"/>
          </w:tcPr>
          <w:p w14:paraId="43F58720">
            <w:pPr>
              <w:jc w:val="center"/>
              <w:rPr>
                <w:rFonts w:ascii="Times New Roman" w:hAnsi="Times New Roman" w:cs="Times New Roman"/>
                <w:sz w:val="24"/>
                <w:szCs w:val="24"/>
              </w:rPr>
            </w:pPr>
          </w:p>
        </w:tc>
        <w:tc>
          <w:tcPr>
            <w:tcW w:w="2300" w:type="dxa"/>
            <w:vAlign w:val="center"/>
          </w:tcPr>
          <w:p w14:paraId="249E7B12">
            <w:pPr>
              <w:jc w:val="center"/>
              <w:rPr>
                <w:rFonts w:ascii="Times New Roman" w:hAnsi="Times New Roman" w:cs="Times New Roman"/>
                <w:sz w:val="24"/>
                <w:szCs w:val="24"/>
              </w:rPr>
            </w:pPr>
          </w:p>
        </w:tc>
        <w:tc>
          <w:tcPr>
            <w:tcW w:w="1954" w:type="dxa"/>
            <w:vAlign w:val="center"/>
          </w:tcPr>
          <w:p w14:paraId="3D1BE290">
            <w:pPr>
              <w:jc w:val="center"/>
              <w:rPr>
                <w:rFonts w:ascii="Times New Roman" w:hAnsi="Times New Roman" w:cs="Times New Roman"/>
                <w:sz w:val="24"/>
                <w:szCs w:val="24"/>
              </w:rPr>
            </w:pPr>
          </w:p>
        </w:tc>
        <w:tc>
          <w:tcPr>
            <w:tcW w:w="1877" w:type="dxa"/>
            <w:vAlign w:val="center"/>
          </w:tcPr>
          <w:p w14:paraId="64CC6712">
            <w:pPr>
              <w:jc w:val="center"/>
              <w:rPr>
                <w:rFonts w:ascii="Times New Roman" w:hAnsi="Times New Roman" w:cs="Times New Roman"/>
                <w:sz w:val="24"/>
                <w:szCs w:val="24"/>
              </w:rPr>
            </w:pPr>
          </w:p>
        </w:tc>
        <w:tc>
          <w:tcPr>
            <w:tcW w:w="1173" w:type="dxa"/>
            <w:vAlign w:val="center"/>
          </w:tcPr>
          <w:p w14:paraId="795A0A9F">
            <w:pPr>
              <w:jc w:val="center"/>
              <w:rPr>
                <w:rFonts w:ascii="Times New Roman" w:hAnsi="Times New Roman" w:cs="Times New Roman"/>
                <w:sz w:val="24"/>
                <w:szCs w:val="24"/>
              </w:rPr>
            </w:pPr>
          </w:p>
        </w:tc>
      </w:tr>
    </w:tbl>
    <w:p w14:paraId="2DBED002">
      <w:pPr>
        <w:tabs>
          <w:tab w:val="left" w:pos="1800"/>
          <w:tab w:val="left" w:pos="5580"/>
        </w:tabs>
        <w:autoSpaceDE w:val="0"/>
        <w:autoSpaceDN w:val="0"/>
        <w:adjustRightInd w:val="0"/>
        <w:spacing w:line="360" w:lineRule="auto"/>
        <w:jc w:val="left"/>
        <w:rPr>
          <w:rFonts w:ascii="Times New Roman" w:hAnsi="Times New Roman" w:eastAsia="宋体" w:cs="Times New Roman"/>
          <w:sz w:val="24"/>
          <w:szCs w:val="24"/>
          <w:lang w:val="zh-CN"/>
        </w:rPr>
      </w:pPr>
    </w:p>
    <w:p w14:paraId="64F7BD0A">
      <w:pPr>
        <w:tabs>
          <w:tab w:val="left" w:pos="1800"/>
          <w:tab w:val="left" w:pos="5580"/>
        </w:tabs>
        <w:autoSpaceDE w:val="0"/>
        <w:autoSpaceDN w:val="0"/>
        <w:adjustRightInd w:val="0"/>
        <w:spacing w:line="360" w:lineRule="auto"/>
        <w:jc w:val="left"/>
        <w:rPr>
          <w:rFonts w:ascii="Times New Roman" w:hAnsi="Times New Roman" w:eastAsia="宋体" w:cs="Times New Roman"/>
          <w:sz w:val="24"/>
          <w:szCs w:val="24"/>
          <w:lang w:val="zh-CN"/>
        </w:rPr>
      </w:pPr>
    </w:p>
    <w:p w14:paraId="33DD203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投标人授权代表签字：___________________ </w:t>
      </w:r>
    </w:p>
    <w:p w14:paraId="323BD6D0">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投标人名称：</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（加盖公章）</w:t>
      </w:r>
    </w:p>
    <w:p w14:paraId="0010CE92">
      <w:pPr>
        <w:autoSpaceDE w:val="0"/>
        <w:autoSpaceDN w:val="0"/>
        <w:adjustRightInd w:val="0"/>
        <w:spacing w:line="360" w:lineRule="auto"/>
        <w:rPr>
          <w:rFonts w:ascii="Times New Roman" w:hAnsi="Times New Roman" w:eastAsia="宋体" w:cs="Times New Roman"/>
          <w:sz w:val="24"/>
          <w:szCs w:val="24"/>
        </w:rPr>
      </w:pPr>
    </w:p>
    <w:p w14:paraId="500770DE">
      <w:pPr>
        <w:autoSpaceDE w:val="0"/>
        <w:autoSpaceDN w:val="0"/>
        <w:adjustRightIn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lang w:val="zh-CN"/>
        </w:rPr>
        <w:t>注：</w:t>
      </w:r>
    </w:p>
    <w:p w14:paraId="6FC59160">
      <w:pPr>
        <w:autoSpaceDE w:val="0"/>
        <w:autoSpaceDN w:val="0"/>
        <w:adjustRightInd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lang w:val="zh-CN"/>
        </w:rPr>
        <w:t>1、本表按包填写；</w:t>
      </w:r>
    </w:p>
    <w:p w14:paraId="200BF6B2">
      <w:pPr>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2、招标文件明确要求的内容无需在投标声明中填写；</w:t>
      </w:r>
    </w:p>
    <w:p w14:paraId="65B88606">
      <w:pPr>
        <w:autoSpaceDE w:val="0"/>
        <w:autoSpaceDN w:val="0"/>
        <w:adjustRightInd w:val="0"/>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3、投标人如有在投标文件投标报价表中未注明的进一步折扣和声明应在本表中填写，开标时未予宣读的声明，评标时不予考虑；</w:t>
      </w:r>
    </w:p>
    <w:p w14:paraId="320EAB40">
      <w:pPr>
        <w:rPr>
          <w:rFonts w:hint="eastAsia" w:ascii="宋体" w:hAnsi="宋体" w:eastAsia="宋体" w:cs="宋体"/>
          <w:bCs/>
          <w:sz w:val="28"/>
          <w:szCs w:val="28"/>
        </w:rPr>
      </w:pPr>
      <w:r>
        <w:rPr>
          <w:rFonts w:hint="eastAsia" w:ascii="宋体" w:hAnsi="宋体" w:eastAsia="宋体" w:cs="宋体"/>
          <w:bCs/>
          <w:sz w:val="28"/>
          <w:szCs w:val="28"/>
        </w:rPr>
        <w:br w:type="page"/>
      </w:r>
    </w:p>
    <w:p w14:paraId="542F88F6">
      <w:pPr>
        <w:pStyle w:val="3"/>
        <w:tabs>
          <w:tab w:val="left" w:pos="5580"/>
        </w:tabs>
        <w:rPr>
          <w:rFonts w:hint="eastAsia" w:ascii="宋体" w:hAnsi="宋体" w:eastAsia="宋体" w:cs="宋体"/>
          <w:bCs/>
          <w:sz w:val="28"/>
          <w:szCs w:val="28"/>
          <w:lang w:val="zh-CN"/>
        </w:rPr>
      </w:pPr>
      <w:r>
        <w:rPr>
          <w:rFonts w:hint="eastAsia" w:ascii="宋体" w:hAnsi="宋体" w:eastAsia="宋体" w:cs="宋体"/>
          <w:bCs/>
          <w:sz w:val="28"/>
          <w:szCs w:val="28"/>
        </w:rPr>
        <w:t>★</w:t>
      </w:r>
      <w:r>
        <w:rPr>
          <w:rFonts w:hint="eastAsia" w:ascii="宋体" w:hAnsi="宋体" w:eastAsia="宋体" w:cs="宋体"/>
          <w:bCs/>
          <w:sz w:val="28"/>
          <w:szCs w:val="28"/>
          <w:lang w:val="zh-CN"/>
        </w:rPr>
        <w:t>附件4：投标分项报价表</w:t>
      </w:r>
    </w:p>
    <w:p w14:paraId="3EA62666">
      <w:pPr>
        <w:spacing w:line="360" w:lineRule="auto"/>
        <w:rPr>
          <w:rFonts w:hint="eastAsia" w:ascii="宋体" w:hAnsi="宋体"/>
          <w:sz w:val="24"/>
        </w:rPr>
      </w:pPr>
    </w:p>
    <w:p w14:paraId="071BF984">
      <w:pPr>
        <w:spacing w:line="360" w:lineRule="auto"/>
        <w:rPr>
          <w:rFonts w:hint="eastAsia" w:ascii="宋体" w:hAnsi="宋体"/>
          <w:sz w:val="24"/>
        </w:rPr>
      </w:pPr>
      <w:r>
        <w:rPr>
          <w:rFonts w:hint="eastAsia" w:ascii="宋体" w:hAnsi="宋体"/>
          <w:sz w:val="24"/>
        </w:rPr>
        <w:t>招标编号/包号:</w:t>
      </w:r>
      <w:r>
        <w:rPr>
          <w:rFonts w:ascii="宋体" w:hAnsi="宋体"/>
          <w:sz w:val="24"/>
          <w:u w:val="single"/>
        </w:rPr>
        <w:t xml:space="preserve">                   /1    </w:t>
      </w:r>
      <w:r>
        <w:rPr>
          <w:rFonts w:ascii="宋体" w:hAnsi="宋体"/>
          <w:sz w:val="24"/>
        </w:rPr>
        <w:t xml:space="preserve">      </w:t>
      </w:r>
    </w:p>
    <w:p w14:paraId="573FE3FD">
      <w:pPr>
        <w:spacing w:line="360" w:lineRule="auto"/>
        <w:rPr>
          <w:rFonts w:hint="eastAsia" w:ascii="宋体" w:hAnsi="宋体"/>
          <w:sz w:val="24"/>
          <w:u w:val="single"/>
        </w:rPr>
      </w:pPr>
      <w:r>
        <w:rPr>
          <w:rFonts w:hint="eastAsia"/>
          <w:sz w:val="24"/>
        </w:rPr>
        <w:t>货</w:t>
      </w:r>
      <w:r>
        <w:rPr>
          <w:rFonts w:hint="eastAsia" w:ascii="宋体" w:hAnsi="宋体"/>
          <w:sz w:val="24"/>
        </w:rPr>
        <w:t>币币种：</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14:paraId="491A531A">
      <w:pPr>
        <w:pStyle w:val="36"/>
        <w:ind w:firstLine="480"/>
        <w:rPr>
          <w:rFonts w:hint="eastAsia" w:ascii="宋体" w:hAnsi="宋体"/>
          <w:sz w:val="24"/>
        </w:rPr>
      </w:pPr>
    </w:p>
    <w:tbl>
      <w:tblPr>
        <w:tblStyle w:val="37"/>
        <w:tblW w:w="91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974"/>
        <w:gridCol w:w="1059"/>
        <w:gridCol w:w="751"/>
        <w:gridCol w:w="1059"/>
        <w:gridCol w:w="1059"/>
        <w:gridCol w:w="1059"/>
        <w:gridCol w:w="1555"/>
        <w:gridCol w:w="1064"/>
      </w:tblGrid>
      <w:tr w14:paraId="2AFA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534" w:type="dxa"/>
            <w:tcBorders>
              <w:top w:val="single" w:color="auto" w:sz="4" w:space="0"/>
              <w:left w:val="single" w:color="auto" w:sz="4" w:space="0"/>
              <w:bottom w:val="single" w:color="auto" w:sz="4" w:space="0"/>
              <w:right w:val="single" w:color="auto" w:sz="4" w:space="0"/>
            </w:tcBorders>
            <w:vAlign w:val="center"/>
          </w:tcPr>
          <w:p w14:paraId="11F2DF65">
            <w:pPr>
              <w:spacing w:before="120" w:after="120"/>
              <w:jc w:val="center"/>
              <w:rPr>
                <w:rFonts w:hint="eastAsia" w:ascii="宋体" w:hAnsi="宋体"/>
              </w:rPr>
            </w:pPr>
            <w:r>
              <w:rPr>
                <w:rFonts w:hint="eastAsia" w:ascii="宋体" w:hAnsi="宋体" w:cs="仿宋_GB2312"/>
                <w:sz w:val="24"/>
              </w:rPr>
              <w:t>序号</w:t>
            </w:r>
          </w:p>
        </w:tc>
        <w:tc>
          <w:tcPr>
            <w:tcW w:w="974" w:type="dxa"/>
            <w:tcBorders>
              <w:top w:val="single" w:color="auto" w:sz="4" w:space="0"/>
              <w:left w:val="single" w:color="auto" w:sz="4" w:space="0"/>
              <w:bottom w:val="single" w:color="auto" w:sz="4" w:space="0"/>
              <w:right w:val="single" w:color="auto" w:sz="4" w:space="0"/>
            </w:tcBorders>
            <w:vAlign w:val="center"/>
          </w:tcPr>
          <w:p w14:paraId="2D70DC17">
            <w:pPr>
              <w:spacing w:before="120" w:after="120"/>
              <w:jc w:val="center"/>
              <w:rPr>
                <w:rFonts w:hint="eastAsia" w:ascii="宋体" w:hAnsi="宋体"/>
              </w:rPr>
            </w:pPr>
            <w:r>
              <w:rPr>
                <w:rFonts w:hint="eastAsia" w:ascii="宋体" w:hAnsi="宋体" w:cs="仿宋_GB2312"/>
                <w:sz w:val="24"/>
              </w:rPr>
              <w:t>名称</w:t>
            </w:r>
          </w:p>
        </w:tc>
        <w:tc>
          <w:tcPr>
            <w:tcW w:w="1059" w:type="dxa"/>
            <w:tcBorders>
              <w:top w:val="single" w:color="auto" w:sz="4" w:space="0"/>
              <w:left w:val="single" w:color="auto" w:sz="4" w:space="0"/>
              <w:bottom w:val="single" w:color="auto" w:sz="4" w:space="0"/>
              <w:right w:val="single" w:color="auto" w:sz="4" w:space="0"/>
            </w:tcBorders>
            <w:vAlign w:val="center"/>
          </w:tcPr>
          <w:p w14:paraId="5DB8333F">
            <w:pPr>
              <w:spacing w:before="120" w:after="120"/>
              <w:jc w:val="center"/>
              <w:rPr>
                <w:rFonts w:hint="eastAsia" w:ascii="宋体" w:hAnsi="宋体"/>
              </w:rPr>
            </w:pPr>
            <w:r>
              <w:rPr>
                <w:rFonts w:hint="eastAsia" w:ascii="宋体" w:hAnsi="宋体" w:cs="Arial"/>
                <w:sz w:val="24"/>
              </w:rPr>
              <w:t>主要规格型号/描述</w:t>
            </w:r>
          </w:p>
        </w:tc>
        <w:tc>
          <w:tcPr>
            <w:tcW w:w="751" w:type="dxa"/>
            <w:tcBorders>
              <w:top w:val="single" w:color="auto" w:sz="4" w:space="0"/>
              <w:left w:val="single" w:color="auto" w:sz="4" w:space="0"/>
              <w:bottom w:val="single" w:color="auto" w:sz="4" w:space="0"/>
              <w:right w:val="single" w:color="auto" w:sz="4" w:space="0"/>
            </w:tcBorders>
            <w:vAlign w:val="center"/>
          </w:tcPr>
          <w:p w14:paraId="7E92F05E">
            <w:pPr>
              <w:spacing w:before="120" w:after="120"/>
              <w:jc w:val="center"/>
              <w:rPr>
                <w:rFonts w:hint="eastAsia" w:ascii="宋体" w:hAnsi="宋体"/>
              </w:rPr>
            </w:pPr>
            <w:r>
              <w:rPr>
                <w:rFonts w:hint="eastAsia" w:ascii="宋体" w:hAnsi="宋体" w:cs="仿宋_GB2312"/>
                <w:sz w:val="24"/>
              </w:rPr>
              <w:t>数量</w:t>
            </w:r>
          </w:p>
        </w:tc>
        <w:tc>
          <w:tcPr>
            <w:tcW w:w="1059" w:type="dxa"/>
            <w:tcBorders>
              <w:top w:val="single" w:color="auto" w:sz="4" w:space="0"/>
              <w:left w:val="single" w:color="auto" w:sz="4" w:space="0"/>
              <w:bottom w:val="single" w:color="auto" w:sz="4" w:space="0"/>
              <w:right w:val="single" w:color="auto" w:sz="4" w:space="0"/>
            </w:tcBorders>
            <w:vAlign w:val="center"/>
          </w:tcPr>
          <w:p w14:paraId="661C4959">
            <w:pPr>
              <w:spacing w:after="120"/>
              <w:jc w:val="center"/>
              <w:rPr>
                <w:rFonts w:hint="eastAsia" w:ascii="宋体" w:hAnsi="宋体" w:cs="仿宋_GB2312"/>
                <w:sz w:val="24"/>
              </w:rPr>
            </w:pPr>
            <w:r>
              <w:rPr>
                <w:rFonts w:hint="eastAsia" w:ascii="宋体" w:hAnsi="宋体" w:cs="仿宋_GB2312"/>
                <w:sz w:val="24"/>
              </w:rPr>
              <w:t>制造商名称</w:t>
            </w:r>
          </w:p>
        </w:tc>
        <w:tc>
          <w:tcPr>
            <w:tcW w:w="1059" w:type="dxa"/>
            <w:tcBorders>
              <w:top w:val="single" w:color="auto" w:sz="4" w:space="0"/>
              <w:left w:val="single" w:color="auto" w:sz="4" w:space="0"/>
              <w:bottom w:val="single" w:color="auto" w:sz="4" w:space="0"/>
              <w:right w:val="single" w:color="auto" w:sz="4" w:space="0"/>
            </w:tcBorders>
            <w:vAlign w:val="center"/>
          </w:tcPr>
          <w:p w14:paraId="6636B744">
            <w:pPr>
              <w:spacing w:after="120"/>
              <w:jc w:val="center"/>
              <w:rPr>
                <w:rFonts w:hint="eastAsia" w:ascii="宋体" w:hAnsi="宋体" w:cs="仿宋_GB2312"/>
                <w:sz w:val="24"/>
              </w:rPr>
            </w:pPr>
            <w:r>
              <w:rPr>
                <w:rFonts w:hint="eastAsia" w:ascii="宋体" w:hAnsi="宋体" w:cs="宋体"/>
                <w:sz w:val="24"/>
              </w:rPr>
              <w:t>制造商产地</w:t>
            </w:r>
          </w:p>
        </w:tc>
        <w:tc>
          <w:tcPr>
            <w:tcW w:w="1059" w:type="dxa"/>
            <w:tcBorders>
              <w:top w:val="single" w:color="auto" w:sz="4" w:space="0"/>
              <w:left w:val="single" w:color="auto" w:sz="4" w:space="0"/>
              <w:bottom w:val="single" w:color="auto" w:sz="4" w:space="0"/>
              <w:right w:val="single" w:color="auto" w:sz="4" w:space="0"/>
            </w:tcBorders>
            <w:vAlign w:val="center"/>
          </w:tcPr>
          <w:p w14:paraId="5C21A709">
            <w:pPr>
              <w:spacing w:after="120"/>
              <w:jc w:val="center"/>
              <w:rPr>
                <w:rFonts w:hint="eastAsia" w:ascii="宋体" w:hAnsi="宋体" w:eastAsiaTheme="minorEastAsia"/>
              </w:rPr>
            </w:pPr>
            <w:r>
              <w:rPr>
                <w:rFonts w:hint="eastAsia" w:ascii="宋体" w:hAnsi="宋体" w:cs="宋体"/>
                <w:sz w:val="24"/>
              </w:rPr>
              <w:t>价格条件（含税或免税）</w:t>
            </w:r>
          </w:p>
        </w:tc>
        <w:tc>
          <w:tcPr>
            <w:tcW w:w="1555" w:type="dxa"/>
            <w:tcBorders>
              <w:top w:val="single" w:color="auto" w:sz="4" w:space="0"/>
              <w:left w:val="single" w:color="auto" w:sz="4" w:space="0"/>
              <w:bottom w:val="single" w:color="auto" w:sz="4" w:space="0"/>
              <w:right w:val="single" w:color="auto" w:sz="4" w:space="0"/>
            </w:tcBorders>
            <w:vAlign w:val="center"/>
          </w:tcPr>
          <w:p w14:paraId="1211DD5D">
            <w:pPr>
              <w:jc w:val="center"/>
              <w:rPr>
                <w:rFonts w:hint="eastAsia" w:ascii="宋体" w:hAnsi="宋体"/>
              </w:rPr>
            </w:pPr>
            <w:r>
              <w:rPr>
                <w:rFonts w:hint="eastAsia" w:ascii="宋体" w:hAnsi="宋体" w:cs="仿宋_GB2312"/>
                <w:sz w:val="24"/>
              </w:rPr>
              <w:t>单价</w:t>
            </w:r>
          </w:p>
        </w:tc>
        <w:tc>
          <w:tcPr>
            <w:tcW w:w="1064" w:type="dxa"/>
            <w:tcBorders>
              <w:top w:val="single" w:color="auto" w:sz="4" w:space="0"/>
              <w:left w:val="single" w:color="auto" w:sz="4" w:space="0"/>
              <w:bottom w:val="single" w:color="auto" w:sz="4" w:space="0"/>
              <w:right w:val="single" w:color="auto" w:sz="4" w:space="0"/>
            </w:tcBorders>
            <w:vAlign w:val="center"/>
          </w:tcPr>
          <w:p w14:paraId="5265EB23">
            <w:pPr>
              <w:jc w:val="center"/>
              <w:rPr>
                <w:rFonts w:hint="eastAsia" w:ascii="宋体" w:hAnsi="宋体"/>
              </w:rPr>
            </w:pPr>
            <w:r>
              <w:rPr>
                <w:rFonts w:hint="eastAsia" w:ascii="宋体" w:hAnsi="宋体" w:cs="仿宋_GB2312"/>
                <w:sz w:val="24"/>
              </w:rPr>
              <w:t>合计</w:t>
            </w:r>
          </w:p>
        </w:tc>
      </w:tr>
      <w:tr w14:paraId="70942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6625501E">
            <w:pPr>
              <w:spacing w:before="60" w:after="60"/>
              <w:jc w:val="center"/>
              <w:rPr>
                <w:rFonts w:hint="eastAsia" w:ascii="宋体" w:hAnsi="宋体" w:cs="仿宋_GB2312"/>
              </w:rPr>
            </w:pPr>
            <w:r>
              <w:rPr>
                <w:rFonts w:ascii="宋体" w:hAnsi="宋体" w:cs="仿宋_GB2312"/>
                <w:sz w:val="24"/>
              </w:rPr>
              <w:t>1</w:t>
            </w:r>
          </w:p>
        </w:tc>
        <w:tc>
          <w:tcPr>
            <w:tcW w:w="974" w:type="dxa"/>
            <w:tcBorders>
              <w:top w:val="single" w:color="auto" w:sz="4" w:space="0"/>
              <w:left w:val="single" w:color="auto" w:sz="4" w:space="0"/>
              <w:bottom w:val="single" w:color="auto" w:sz="4" w:space="0"/>
              <w:right w:val="single" w:color="auto" w:sz="4" w:space="0"/>
            </w:tcBorders>
            <w:vAlign w:val="center"/>
          </w:tcPr>
          <w:p w14:paraId="407F7DDE">
            <w:pPr>
              <w:spacing w:before="60" w:after="60"/>
              <w:jc w:val="center"/>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760C87DC">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59C4F76F">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7455488B">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6CCF9EE">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09CD5A3">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1BBC8E35">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2BA83F61">
            <w:pPr>
              <w:rPr>
                <w:rFonts w:hint="eastAsia" w:ascii="宋体" w:hAnsi="宋体"/>
              </w:rPr>
            </w:pPr>
          </w:p>
        </w:tc>
      </w:tr>
      <w:tr w14:paraId="0E0FA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7F929A10">
            <w:pPr>
              <w:spacing w:before="60" w:after="60"/>
              <w:jc w:val="center"/>
              <w:rPr>
                <w:rFonts w:hint="eastAsia" w:ascii="宋体" w:hAnsi="宋体" w:cs="仿宋_GB2312"/>
              </w:rPr>
            </w:pPr>
            <w:r>
              <w:rPr>
                <w:rFonts w:ascii="宋体" w:hAnsi="宋体" w:cs="仿宋_GB2312"/>
                <w:sz w:val="24"/>
              </w:rPr>
              <w:t>2</w:t>
            </w:r>
          </w:p>
        </w:tc>
        <w:tc>
          <w:tcPr>
            <w:tcW w:w="974" w:type="dxa"/>
            <w:tcBorders>
              <w:top w:val="single" w:color="auto" w:sz="4" w:space="0"/>
              <w:left w:val="single" w:color="auto" w:sz="4" w:space="0"/>
              <w:bottom w:val="single" w:color="auto" w:sz="4" w:space="0"/>
              <w:right w:val="single" w:color="auto" w:sz="4" w:space="0"/>
            </w:tcBorders>
            <w:vAlign w:val="center"/>
          </w:tcPr>
          <w:p w14:paraId="362D6427">
            <w:pPr>
              <w:spacing w:before="60" w:after="60"/>
              <w:jc w:val="center"/>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6680E41">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60F77E2C">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11B03E6C">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31575FF2">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0088EED">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635FBC90">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6AD1CF6E">
            <w:pPr>
              <w:rPr>
                <w:rFonts w:hint="eastAsia" w:ascii="宋体" w:hAnsi="宋体"/>
              </w:rPr>
            </w:pPr>
          </w:p>
        </w:tc>
      </w:tr>
      <w:tr w14:paraId="30AC1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093021E9">
            <w:pPr>
              <w:spacing w:before="60" w:after="60"/>
              <w:jc w:val="center"/>
              <w:rPr>
                <w:rFonts w:hint="eastAsia" w:ascii="宋体" w:hAnsi="宋体" w:cs="仿宋_GB2312"/>
              </w:rPr>
            </w:pPr>
            <w:r>
              <w:rPr>
                <w:rFonts w:ascii="宋体" w:hAnsi="宋体" w:cs="仿宋_GB2312"/>
                <w:sz w:val="24"/>
              </w:rPr>
              <w:t>3</w:t>
            </w:r>
          </w:p>
        </w:tc>
        <w:tc>
          <w:tcPr>
            <w:tcW w:w="974" w:type="dxa"/>
            <w:tcBorders>
              <w:top w:val="single" w:color="auto" w:sz="4" w:space="0"/>
              <w:left w:val="single" w:color="auto" w:sz="4" w:space="0"/>
              <w:bottom w:val="single" w:color="auto" w:sz="4" w:space="0"/>
              <w:right w:val="single" w:color="auto" w:sz="4" w:space="0"/>
            </w:tcBorders>
            <w:vAlign w:val="center"/>
          </w:tcPr>
          <w:p w14:paraId="1691980D">
            <w:pPr>
              <w:spacing w:before="60" w:after="60"/>
              <w:jc w:val="center"/>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6A82EB3C">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3B8745B2">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4F89A2E4">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6E3AEDE0">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65C49D8A">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42DC9804">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23C0A5F9">
            <w:pPr>
              <w:rPr>
                <w:rFonts w:hint="eastAsia" w:ascii="宋体" w:hAnsi="宋体"/>
              </w:rPr>
            </w:pPr>
          </w:p>
        </w:tc>
      </w:tr>
      <w:tr w14:paraId="27082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54FF0B86">
            <w:pPr>
              <w:spacing w:before="60" w:after="60"/>
              <w:jc w:val="center"/>
              <w:rPr>
                <w:rFonts w:hint="eastAsia" w:ascii="宋体" w:hAnsi="宋体" w:cs="仿宋_GB2312"/>
              </w:rPr>
            </w:pPr>
            <w:r>
              <w:rPr>
                <w:rFonts w:ascii="宋体" w:hAnsi="宋体" w:cs="仿宋_GB2312"/>
                <w:sz w:val="24"/>
              </w:rPr>
              <w:t>4</w:t>
            </w:r>
          </w:p>
        </w:tc>
        <w:tc>
          <w:tcPr>
            <w:tcW w:w="974" w:type="dxa"/>
            <w:tcBorders>
              <w:top w:val="single" w:color="auto" w:sz="4" w:space="0"/>
              <w:left w:val="single" w:color="auto" w:sz="4" w:space="0"/>
              <w:bottom w:val="single" w:color="auto" w:sz="4" w:space="0"/>
              <w:right w:val="single" w:color="auto" w:sz="4" w:space="0"/>
            </w:tcBorders>
            <w:vAlign w:val="center"/>
          </w:tcPr>
          <w:p w14:paraId="5769EDAB">
            <w:pPr>
              <w:spacing w:before="60" w:after="60"/>
              <w:jc w:val="center"/>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15CF98BC">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58230F14">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5406679A">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14C16A05">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5B0D0AF2">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1E69CA8C">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5B8C0E29">
            <w:pPr>
              <w:rPr>
                <w:rFonts w:hint="eastAsia" w:ascii="宋体" w:hAnsi="宋体"/>
              </w:rPr>
            </w:pPr>
          </w:p>
        </w:tc>
      </w:tr>
      <w:tr w14:paraId="44AC6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7F0CDF91">
            <w:pPr>
              <w:spacing w:before="60" w:after="60"/>
              <w:jc w:val="center"/>
              <w:rPr>
                <w:rFonts w:hint="eastAsia" w:ascii="宋体" w:hAnsi="宋体" w:cs="仿宋_GB2312"/>
              </w:rPr>
            </w:pPr>
            <w:r>
              <w:rPr>
                <w:rFonts w:ascii="宋体" w:hAnsi="宋体" w:cs="仿宋_GB2312"/>
                <w:sz w:val="24"/>
              </w:rPr>
              <w:t>5</w:t>
            </w:r>
          </w:p>
        </w:tc>
        <w:tc>
          <w:tcPr>
            <w:tcW w:w="974" w:type="dxa"/>
            <w:tcBorders>
              <w:top w:val="single" w:color="auto" w:sz="4" w:space="0"/>
              <w:left w:val="single" w:color="auto" w:sz="4" w:space="0"/>
              <w:bottom w:val="single" w:color="auto" w:sz="4" w:space="0"/>
              <w:right w:val="single" w:color="auto" w:sz="4" w:space="0"/>
            </w:tcBorders>
            <w:vAlign w:val="center"/>
          </w:tcPr>
          <w:p w14:paraId="2BE9A767">
            <w:pPr>
              <w:spacing w:before="60" w:after="60"/>
              <w:jc w:val="center"/>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3DC7D949">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36E78835">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6B61260E">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8FDC7E6">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AEA69BF">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5DE777C9">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13EB4B17">
            <w:pPr>
              <w:rPr>
                <w:rFonts w:hint="eastAsia" w:ascii="宋体" w:hAnsi="宋体"/>
              </w:rPr>
            </w:pPr>
          </w:p>
        </w:tc>
      </w:tr>
      <w:tr w14:paraId="4D5AD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2531EAB7">
            <w:pPr>
              <w:spacing w:before="60" w:after="60"/>
              <w:jc w:val="center"/>
              <w:rPr>
                <w:rFonts w:hint="eastAsia" w:ascii="宋体" w:hAnsi="宋体" w:cs="仿宋_GB2312"/>
              </w:rPr>
            </w:pPr>
            <w:r>
              <w:rPr>
                <w:rFonts w:ascii="宋体" w:hAnsi="宋体" w:cs="仿宋_GB2312"/>
                <w:sz w:val="24"/>
              </w:rPr>
              <w:t>6</w:t>
            </w:r>
          </w:p>
        </w:tc>
        <w:tc>
          <w:tcPr>
            <w:tcW w:w="974" w:type="dxa"/>
            <w:tcBorders>
              <w:top w:val="single" w:color="auto" w:sz="4" w:space="0"/>
              <w:left w:val="single" w:color="auto" w:sz="4" w:space="0"/>
              <w:bottom w:val="single" w:color="auto" w:sz="4" w:space="0"/>
              <w:right w:val="single" w:color="auto" w:sz="4" w:space="0"/>
            </w:tcBorders>
            <w:vAlign w:val="center"/>
          </w:tcPr>
          <w:p w14:paraId="07063DC2">
            <w:pPr>
              <w:spacing w:before="60" w:after="60"/>
              <w:jc w:val="center"/>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157BF5B3">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4F8D8CAC">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45A889E">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2037B89E">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14B2471D">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165EE27A">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51232BF9">
            <w:pPr>
              <w:rPr>
                <w:rFonts w:hint="eastAsia" w:ascii="宋体" w:hAnsi="宋体"/>
              </w:rPr>
            </w:pPr>
          </w:p>
        </w:tc>
      </w:tr>
      <w:tr w14:paraId="72D67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3216B5AF">
            <w:pPr>
              <w:spacing w:before="60" w:after="60"/>
              <w:jc w:val="center"/>
              <w:rPr>
                <w:rFonts w:hint="eastAsia" w:ascii="宋体" w:hAnsi="宋体" w:cs="仿宋_GB2312"/>
              </w:rPr>
            </w:pPr>
            <w:r>
              <w:rPr>
                <w:rFonts w:hint="eastAsia" w:ascii="宋体" w:hAnsi="宋体" w:cs="仿宋_GB2312"/>
                <w:sz w:val="24"/>
              </w:rPr>
              <w:t>7</w:t>
            </w:r>
          </w:p>
        </w:tc>
        <w:tc>
          <w:tcPr>
            <w:tcW w:w="974" w:type="dxa"/>
            <w:tcBorders>
              <w:top w:val="single" w:color="auto" w:sz="4" w:space="0"/>
              <w:left w:val="single" w:color="auto" w:sz="4" w:space="0"/>
              <w:bottom w:val="single" w:color="auto" w:sz="4" w:space="0"/>
              <w:right w:val="single" w:color="auto" w:sz="4" w:space="0"/>
            </w:tcBorders>
            <w:vAlign w:val="center"/>
          </w:tcPr>
          <w:p w14:paraId="2C44C49B">
            <w:pPr>
              <w:spacing w:before="60" w:after="60"/>
              <w:rPr>
                <w:rFonts w:hint="eastAsia" w:ascii="宋体" w:hAnsi="宋体" w:cs="仿宋_GB2312"/>
              </w:rPr>
            </w:pPr>
          </w:p>
        </w:tc>
        <w:tc>
          <w:tcPr>
            <w:tcW w:w="1059" w:type="dxa"/>
            <w:tcBorders>
              <w:top w:val="single" w:color="auto" w:sz="4" w:space="0"/>
              <w:left w:val="single" w:color="auto" w:sz="4" w:space="0"/>
              <w:bottom w:val="single" w:color="auto" w:sz="4" w:space="0"/>
              <w:right w:val="single" w:color="auto" w:sz="4" w:space="0"/>
            </w:tcBorders>
            <w:vAlign w:val="center"/>
          </w:tcPr>
          <w:p w14:paraId="65373377">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11BE4F2C">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4CF016E3">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31AADC61">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2D54DE2">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4C198602">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0A36C955">
            <w:pPr>
              <w:rPr>
                <w:rFonts w:hint="eastAsia" w:ascii="宋体" w:hAnsi="宋体"/>
              </w:rPr>
            </w:pPr>
          </w:p>
        </w:tc>
      </w:tr>
      <w:tr w14:paraId="454B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534" w:type="dxa"/>
            <w:tcBorders>
              <w:top w:val="single" w:color="auto" w:sz="4" w:space="0"/>
              <w:left w:val="single" w:color="auto" w:sz="4" w:space="0"/>
              <w:bottom w:val="single" w:color="auto" w:sz="4" w:space="0"/>
              <w:right w:val="single" w:color="auto" w:sz="4" w:space="0"/>
            </w:tcBorders>
            <w:vAlign w:val="center"/>
          </w:tcPr>
          <w:p w14:paraId="292FEC6C">
            <w:pPr>
              <w:spacing w:before="60" w:after="60"/>
              <w:jc w:val="center"/>
              <w:rPr>
                <w:rFonts w:hint="eastAsia" w:ascii="宋体" w:hAnsi="宋体" w:cs="仿宋_GB2312"/>
              </w:rPr>
            </w:pPr>
            <w:r>
              <w:rPr>
                <w:rFonts w:ascii="宋体" w:hAnsi="宋体" w:cs="仿宋_GB2312"/>
                <w:sz w:val="24"/>
              </w:rPr>
              <w:t>8</w:t>
            </w:r>
          </w:p>
        </w:tc>
        <w:tc>
          <w:tcPr>
            <w:tcW w:w="7516" w:type="dxa"/>
            <w:gridSpan w:val="7"/>
            <w:tcBorders>
              <w:top w:val="single" w:color="auto" w:sz="4" w:space="0"/>
              <w:left w:val="single" w:color="auto" w:sz="4" w:space="0"/>
              <w:bottom w:val="single" w:color="auto" w:sz="4" w:space="0"/>
              <w:right w:val="single" w:color="auto" w:sz="4" w:space="0"/>
            </w:tcBorders>
            <w:vAlign w:val="center"/>
          </w:tcPr>
          <w:p w14:paraId="2E8DA89A">
            <w:pPr>
              <w:spacing w:before="60" w:after="60"/>
              <w:jc w:val="right"/>
              <w:rPr>
                <w:rFonts w:hint="eastAsia" w:ascii="宋体" w:hAnsi="宋体" w:cs="仿宋_GB2312"/>
                <w:sz w:val="24"/>
              </w:rPr>
            </w:pPr>
            <w:r>
              <w:rPr>
                <w:rFonts w:hint="eastAsia" w:ascii="宋体" w:hAnsi="宋体" w:cs="仿宋_GB2312"/>
                <w:sz w:val="24"/>
              </w:rPr>
              <w:t>总计</w:t>
            </w:r>
          </w:p>
        </w:tc>
        <w:tc>
          <w:tcPr>
            <w:tcW w:w="1064" w:type="dxa"/>
            <w:tcBorders>
              <w:top w:val="single" w:color="auto" w:sz="4" w:space="0"/>
              <w:left w:val="single" w:color="auto" w:sz="4" w:space="0"/>
              <w:bottom w:val="single" w:color="auto" w:sz="4" w:space="0"/>
              <w:right w:val="single" w:color="auto" w:sz="4" w:space="0"/>
            </w:tcBorders>
            <w:vAlign w:val="center"/>
          </w:tcPr>
          <w:p w14:paraId="0B89ECB9">
            <w:pPr>
              <w:rPr>
                <w:rFonts w:hint="eastAsia" w:ascii="宋体" w:hAnsi="宋体"/>
              </w:rPr>
            </w:pPr>
          </w:p>
        </w:tc>
      </w:tr>
    </w:tbl>
    <w:p w14:paraId="6E4ADFEB">
      <w:pPr>
        <w:spacing w:line="360" w:lineRule="auto"/>
        <w:rPr>
          <w:rFonts w:hint="eastAsia" w:ascii="宋体" w:hAnsi="宋体"/>
          <w:sz w:val="24"/>
        </w:rPr>
      </w:pPr>
    </w:p>
    <w:p w14:paraId="497D27FE">
      <w:pPr>
        <w:spacing w:line="360" w:lineRule="auto"/>
        <w:rPr>
          <w:rFonts w:hint="eastAsia" w:ascii="宋体" w:hAnsi="宋体"/>
          <w:bCs/>
          <w:sz w:val="24"/>
          <w:u w:val="single"/>
        </w:rPr>
      </w:pPr>
    </w:p>
    <w:p w14:paraId="61740B38">
      <w:pPr>
        <w:spacing w:line="360" w:lineRule="auto"/>
        <w:rPr>
          <w:rFonts w:hint="eastAsia" w:ascii="宋体" w:hAnsi="宋体"/>
          <w:sz w:val="24"/>
        </w:rPr>
      </w:pPr>
      <w:r>
        <w:rPr>
          <w:rFonts w:hint="eastAsia" w:ascii="宋体" w:hAnsi="宋体"/>
          <w:sz w:val="24"/>
        </w:rPr>
        <w:t>注：1.如果按单项价格计算的结果与总价不一致,以单项价格为准修正总价。</w:t>
      </w:r>
    </w:p>
    <w:p w14:paraId="3BDF5C47">
      <w:pPr>
        <w:spacing w:line="360" w:lineRule="auto"/>
        <w:ind w:firstLine="360" w:firstLineChars="150"/>
        <w:rPr>
          <w:rFonts w:hint="eastAsia" w:ascii="宋体" w:hAnsi="宋体"/>
          <w:sz w:val="24"/>
        </w:rPr>
      </w:pPr>
      <w:r>
        <w:rPr>
          <w:rFonts w:hint="eastAsia" w:ascii="宋体" w:hAnsi="宋体"/>
          <w:sz w:val="24"/>
        </w:rPr>
        <w:t>2.如果不提供详细分项报价将视为没有实质性响应招标文件。</w:t>
      </w:r>
    </w:p>
    <w:p w14:paraId="02E3F014">
      <w:pPr>
        <w:widowControl/>
        <w:ind w:firstLine="360" w:firstLineChars="150"/>
        <w:jc w:val="left"/>
        <w:rPr>
          <w:rFonts w:hint="eastAsia" w:ascii="宋体" w:hAnsi="宋体"/>
          <w:sz w:val="24"/>
        </w:rPr>
      </w:pPr>
      <w:r>
        <w:rPr>
          <w:rFonts w:ascii="宋体" w:hAnsi="宋体"/>
          <w:sz w:val="24"/>
        </w:rPr>
        <w:t>3.</w:t>
      </w:r>
      <w:r>
        <w:rPr>
          <w:rFonts w:hint="eastAsia" w:ascii="宋体" w:hAnsi="宋体"/>
          <w:sz w:val="24"/>
        </w:rPr>
        <w:t>投标人可根据实际情况对上表进行表格内容增减。</w:t>
      </w:r>
    </w:p>
    <w:p w14:paraId="7D7DF266">
      <w:pPr>
        <w:pStyle w:val="36"/>
      </w:pPr>
      <w:r>
        <w:br w:type="page"/>
      </w:r>
    </w:p>
    <w:p w14:paraId="63C929AB">
      <w:pPr>
        <w:pStyle w:val="3"/>
        <w:tabs>
          <w:tab w:val="left" w:pos="5580"/>
        </w:tabs>
        <w:rPr>
          <w:rFonts w:hint="eastAsia" w:ascii="宋体" w:hAnsi="宋体" w:eastAsia="宋体" w:cs="宋体"/>
          <w:bCs/>
          <w:sz w:val="28"/>
          <w:szCs w:val="28"/>
        </w:rPr>
      </w:pPr>
      <w:r>
        <w:rPr>
          <w:rFonts w:hint="eastAsia" w:ascii="宋体" w:hAnsi="宋体" w:eastAsia="宋体" w:cs="宋体"/>
          <w:bCs/>
          <w:sz w:val="28"/>
          <w:szCs w:val="28"/>
        </w:rPr>
        <w:t>★附件5：货物说明一览表</w:t>
      </w:r>
    </w:p>
    <w:p w14:paraId="37506435">
      <w:pPr>
        <w:pStyle w:val="19"/>
        <w:rPr>
          <w:rFonts w:hint="eastAsia" w:hAnsi="宋体" w:cs="仿宋_GB2312"/>
          <w:sz w:val="24"/>
          <w:szCs w:val="24"/>
        </w:rPr>
      </w:pPr>
    </w:p>
    <w:p w14:paraId="22210BFD">
      <w:pPr>
        <w:pStyle w:val="19"/>
        <w:rPr>
          <w:rFonts w:hint="eastAsia" w:hAnsi="宋体" w:cs="仿宋_GB2312"/>
          <w:sz w:val="24"/>
          <w:szCs w:val="24"/>
          <w:u w:val="single"/>
        </w:rPr>
      </w:pPr>
      <w:r>
        <w:rPr>
          <w:rFonts w:hint="eastAsia" w:hAnsi="宋体" w:cs="仿宋_GB2312"/>
          <w:sz w:val="24"/>
          <w:szCs w:val="24"/>
        </w:rPr>
        <w:t>投标人名称：</w:t>
      </w:r>
      <w:r>
        <w:rPr>
          <w:rFonts w:hint="eastAsia" w:hAnsi="宋体" w:cs="仿宋_GB2312"/>
          <w:sz w:val="24"/>
          <w:szCs w:val="24"/>
          <w:u w:val="single"/>
        </w:rPr>
        <w:t xml:space="preserve">                      </w:t>
      </w:r>
    </w:p>
    <w:p w14:paraId="68D5AE5E">
      <w:pPr>
        <w:pStyle w:val="19"/>
        <w:rPr>
          <w:rFonts w:hint="eastAsia" w:hAnsi="宋体" w:cs="仿宋_GB2312"/>
          <w:sz w:val="24"/>
          <w:szCs w:val="24"/>
          <w:u w:val="single"/>
        </w:rPr>
      </w:pPr>
    </w:p>
    <w:p w14:paraId="688F3499">
      <w:pPr>
        <w:pStyle w:val="19"/>
        <w:rPr>
          <w:rFonts w:hint="eastAsia" w:hAnsi="宋体" w:cs="仿宋_GB2312"/>
          <w:sz w:val="24"/>
          <w:szCs w:val="24"/>
          <w:u w:val="single"/>
        </w:rPr>
      </w:pPr>
      <w:r>
        <w:rPr>
          <w:rFonts w:hint="eastAsia" w:hAnsi="宋体" w:cs="仿宋_GB2312"/>
          <w:sz w:val="24"/>
          <w:szCs w:val="24"/>
        </w:rPr>
        <w:t>招标编号/包号：</w:t>
      </w:r>
      <w:r>
        <w:rPr>
          <w:rFonts w:hint="eastAsia" w:hAnsi="宋体" w:cs="仿宋_GB2312"/>
          <w:sz w:val="24"/>
          <w:szCs w:val="24"/>
          <w:u w:val="single"/>
        </w:rPr>
        <w:t xml:space="preserve">                   </w:t>
      </w:r>
    </w:p>
    <w:p w14:paraId="58E1B35D">
      <w:pPr>
        <w:pStyle w:val="19"/>
        <w:rPr>
          <w:rFonts w:hint="eastAsia" w:hAnsi="宋体" w:cs="仿宋_GB2312"/>
          <w:sz w:val="24"/>
          <w:szCs w:val="24"/>
          <w:u w:val="single"/>
        </w:rPr>
      </w:pPr>
    </w:p>
    <w:tbl>
      <w:tblPr>
        <w:tblStyle w:val="37"/>
        <w:tblW w:w="50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3"/>
        <w:gridCol w:w="1219"/>
        <w:gridCol w:w="1374"/>
        <w:gridCol w:w="807"/>
        <w:gridCol w:w="1051"/>
        <w:gridCol w:w="1455"/>
        <w:gridCol w:w="1149"/>
        <w:gridCol w:w="966"/>
      </w:tblGrid>
      <w:tr w14:paraId="65BDD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65AAD232">
            <w:pPr>
              <w:pStyle w:val="19"/>
              <w:jc w:val="center"/>
              <w:rPr>
                <w:rFonts w:hint="eastAsia" w:hAnsi="宋体"/>
              </w:rPr>
            </w:pPr>
            <w:r>
              <w:rPr>
                <w:rFonts w:hint="eastAsia" w:hAnsi="宋体" w:cs="仿宋_GB2312"/>
                <w:sz w:val="24"/>
                <w:szCs w:val="24"/>
              </w:rPr>
              <w:t>货物名称</w:t>
            </w:r>
          </w:p>
        </w:tc>
        <w:tc>
          <w:tcPr>
            <w:tcW w:w="660" w:type="pct"/>
            <w:vAlign w:val="center"/>
          </w:tcPr>
          <w:p w14:paraId="654EB914">
            <w:pPr>
              <w:pStyle w:val="19"/>
              <w:jc w:val="center"/>
              <w:rPr>
                <w:rFonts w:hint="eastAsia" w:hAnsi="宋体"/>
              </w:rPr>
            </w:pPr>
            <w:r>
              <w:rPr>
                <w:rFonts w:hint="eastAsia" w:hAnsi="宋体" w:cs="仿宋_GB2312"/>
                <w:sz w:val="24"/>
                <w:szCs w:val="24"/>
              </w:rPr>
              <w:t>制造商名称</w:t>
            </w:r>
          </w:p>
        </w:tc>
        <w:tc>
          <w:tcPr>
            <w:tcW w:w="744" w:type="pct"/>
            <w:vAlign w:val="center"/>
          </w:tcPr>
          <w:p w14:paraId="181F2A35">
            <w:pPr>
              <w:pStyle w:val="19"/>
              <w:jc w:val="center"/>
              <w:rPr>
                <w:rFonts w:hint="default" w:hAnsi="宋体" w:eastAsia="宋体"/>
                <w:lang w:val="en-US" w:eastAsia="zh-CN"/>
              </w:rPr>
            </w:pPr>
            <w:r>
              <w:rPr>
                <w:rFonts w:hint="eastAsia" w:hAnsi="宋体"/>
                <w:lang w:val="en-US" w:eastAsia="zh-CN"/>
              </w:rPr>
              <w:t>型号</w:t>
            </w:r>
          </w:p>
        </w:tc>
        <w:tc>
          <w:tcPr>
            <w:tcW w:w="437" w:type="pct"/>
            <w:vAlign w:val="center"/>
          </w:tcPr>
          <w:p w14:paraId="7EA2E2FB">
            <w:pPr>
              <w:pStyle w:val="19"/>
              <w:jc w:val="center"/>
              <w:rPr>
                <w:rFonts w:hint="eastAsia" w:hAnsi="宋体"/>
              </w:rPr>
            </w:pPr>
            <w:r>
              <w:rPr>
                <w:rFonts w:hint="eastAsia" w:hAnsi="宋体" w:cs="仿宋_GB2312"/>
                <w:sz w:val="24"/>
                <w:szCs w:val="24"/>
              </w:rPr>
              <w:t>数量</w:t>
            </w:r>
          </w:p>
        </w:tc>
        <w:tc>
          <w:tcPr>
            <w:tcW w:w="569" w:type="pct"/>
            <w:vAlign w:val="center"/>
          </w:tcPr>
          <w:p w14:paraId="49EAAC12">
            <w:pPr>
              <w:pStyle w:val="19"/>
              <w:jc w:val="center"/>
              <w:rPr>
                <w:rFonts w:hint="eastAsia" w:hAnsi="宋体" w:cs="仿宋_GB2312"/>
              </w:rPr>
            </w:pPr>
            <w:r>
              <w:rPr>
                <w:rFonts w:hint="eastAsia" w:hAnsi="宋体" w:cs="仿宋_GB2312"/>
                <w:sz w:val="24"/>
                <w:szCs w:val="24"/>
              </w:rPr>
              <w:t>交货期</w:t>
            </w:r>
          </w:p>
        </w:tc>
        <w:tc>
          <w:tcPr>
            <w:tcW w:w="788" w:type="pct"/>
            <w:vAlign w:val="center"/>
          </w:tcPr>
          <w:p w14:paraId="4AD8162A">
            <w:pPr>
              <w:pStyle w:val="19"/>
              <w:jc w:val="center"/>
              <w:rPr>
                <w:rFonts w:hint="eastAsia" w:hAnsi="宋体" w:cs="仿宋_GB2312"/>
              </w:rPr>
            </w:pPr>
            <w:r>
              <w:rPr>
                <w:rFonts w:hint="eastAsia" w:hAnsi="宋体" w:cs="仿宋_GB2312"/>
                <w:sz w:val="24"/>
                <w:szCs w:val="24"/>
              </w:rPr>
              <w:t>交货地点</w:t>
            </w:r>
          </w:p>
        </w:tc>
        <w:tc>
          <w:tcPr>
            <w:tcW w:w="622" w:type="pct"/>
          </w:tcPr>
          <w:p w14:paraId="5ED72B1D">
            <w:pPr>
              <w:pStyle w:val="19"/>
              <w:jc w:val="center"/>
              <w:rPr>
                <w:rFonts w:hint="eastAsia" w:hAnsi="宋体" w:cs="仿宋_GB2312"/>
                <w:sz w:val="24"/>
                <w:szCs w:val="24"/>
              </w:rPr>
            </w:pPr>
            <w:r>
              <w:rPr>
                <w:rFonts w:hint="eastAsia" w:hAnsi="宋体" w:cs="仿宋_GB2312"/>
                <w:sz w:val="24"/>
                <w:szCs w:val="24"/>
              </w:rPr>
              <w:t>关境内供货/关境外供货</w:t>
            </w:r>
          </w:p>
        </w:tc>
        <w:tc>
          <w:tcPr>
            <w:tcW w:w="524" w:type="pct"/>
            <w:vAlign w:val="center"/>
          </w:tcPr>
          <w:p w14:paraId="7F9DD9EA">
            <w:pPr>
              <w:pStyle w:val="19"/>
              <w:jc w:val="center"/>
              <w:rPr>
                <w:rFonts w:hint="eastAsia" w:hAnsi="宋体" w:cs="仿宋_GB2312"/>
                <w:sz w:val="24"/>
                <w:szCs w:val="24"/>
              </w:rPr>
            </w:pPr>
            <w:r>
              <w:rPr>
                <w:rFonts w:hint="eastAsia" w:hAnsi="宋体" w:cs="仿宋_GB2312"/>
                <w:sz w:val="24"/>
                <w:szCs w:val="24"/>
              </w:rPr>
              <w:t>备注</w:t>
            </w:r>
          </w:p>
        </w:tc>
      </w:tr>
      <w:tr w14:paraId="4486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3E4CF8C9">
            <w:pPr>
              <w:pStyle w:val="19"/>
              <w:jc w:val="center"/>
              <w:rPr>
                <w:rFonts w:hint="eastAsia" w:hAnsi="宋体"/>
              </w:rPr>
            </w:pPr>
          </w:p>
        </w:tc>
        <w:tc>
          <w:tcPr>
            <w:tcW w:w="660" w:type="pct"/>
            <w:vAlign w:val="center"/>
          </w:tcPr>
          <w:p w14:paraId="29F10998">
            <w:pPr>
              <w:pStyle w:val="19"/>
              <w:jc w:val="center"/>
              <w:rPr>
                <w:rFonts w:hint="eastAsia" w:hAnsi="宋体"/>
              </w:rPr>
            </w:pPr>
          </w:p>
        </w:tc>
        <w:tc>
          <w:tcPr>
            <w:tcW w:w="744" w:type="pct"/>
            <w:vAlign w:val="center"/>
          </w:tcPr>
          <w:p w14:paraId="1F09C624">
            <w:pPr>
              <w:pStyle w:val="19"/>
              <w:jc w:val="center"/>
              <w:rPr>
                <w:rFonts w:hint="eastAsia" w:hAnsi="宋体"/>
              </w:rPr>
            </w:pPr>
          </w:p>
        </w:tc>
        <w:tc>
          <w:tcPr>
            <w:tcW w:w="437" w:type="pct"/>
            <w:vAlign w:val="center"/>
          </w:tcPr>
          <w:p w14:paraId="55031637">
            <w:pPr>
              <w:pStyle w:val="19"/>
              <w:jc w:val="center"/>
              <w:rPr>
                <w:rFonts w:hint="eastAsia" w:hAnsi="宋体"/>
              </w:rPr>
            </w:pPr>
          </w:p>
        </w:tc>
        <w:tc>
          <w:tcPr>
            <w:tcW w:w="569" w:type="pct"/>
          </w:tcPr>
          <w:p w14:paraId="72780C3A">
            <w:pPr>
              <w:pStyle w:val="19"/>
              <w:jc w:val="center"/>
              <w:rPr>
                <w:rFonts w:hint="eastAsia" w:hAnsi="宋体"/>
              </w:rPr>
            </w:pPr>
          </w:p>
        </w:tc>
        <w:tc>
          <w:tcPr>
            <w:tcW w:w="788" w:type="pct"/>
          </w:tcPr>
          <w:p w14:paraId="0279FB85">
            <w:pPr>
              <w:pStyle w:val="19"/>
              <w:jc w:val="center"/>
              <w:rPr>
                <w:rFonts w:hint="eastAsia" w:hAnsi="宋体"/>
              </w:rPr>
            </w:pPr>
          </w:p>
        </w:tc>
        <w:tc>
          <w:tcPr>
            <w:tcW w:w="622" w:type="pct"/>
          </w:tcPr>
          <w:p w14:paraId="1CB2C6E7">
            <w:pPr>
              <w:pStyle w:val="19"/>
              <w:jc w:val="center"/>
              <w:rPr>
                <w:rFonts w:hint="eastAsia" w:hAnsi="宋体"/>
              </w:rPr>
            </w:pPr>
          </w:p>
        </w:tc>
        <w:tc>
          <w:tcPr>
            <w:tcW w:w="524" w:type="pct"/>
          </w:tcPr>
          <w:p w14:paraId="11855E7F">
            <w:pPr>
              <w:pStyle w:val="19"/>
              <w:jc w:val="center"/>
              <w:rPr>
                <w:rFonts w:hint="eastAsia" w:hAnsi="宋体"/>
              </w:rPr>
            </w:pPr>
          </w:p>
        </w:tc>
      </w:tr>
      <w:tr w14:paraId="6E8EF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0434051A">
            <w:pPr>
              <w:pStyle w:val="19"/>
              <w:jc w:val="center"/>
              <w:rPr>
                <w:rFonts w:hint="eastAsia" w:hAnsi="宋体"/>
              </w:rPr>
            </w:pPr>
          </w:p>
        </w:tc>
        <w:tc>
          <w:tcPr>
            <w:tcW w:w="660" w:type="pct"/>
            <w:vAlign w:val="center"/>
          </w:tcPr>
          <w:p w14:paraId="5AB46127">
            <w:pPr>
              <w:pStyle w:val="19"/>
              <w:jc w:val="center"/>
              <w:rPr>
                <w:rFonts w:hint="eastAsia" w:hAnsi="宋体"/>
              </w:rPr>
            </w:pPr>
          </w:p>
        </w:tc>
        <w:tc>
          <w:tcPr>
            <w:tcW w:w="744" w:type="pct"/>
            <w:vAlign w:val="center"/>
          </w:tcPr>
          <w:p w14:paraId="55000389">
            <w:pPr>
              <w:pStyle w:val="19"/>
              <w:jc w:val="center"/>
              <w:rPr>
                <w:rFonts w:hint="eastAsia" w:hAnsi="宋体"/>
              </w:rPr>
            </w:pPr>
          </w:p>
        </w:tc>
        <w:tc>
          <w:tcPr>
            <w:tcW w:w="437" w:type="pct"/>
            <w:vAlign w:val="center"/>
          </w:tcPr>
          <w:p w14:paraId="7C948DF6">
            <w:pPr>
              <w:pStyle w:val="19"/>
              <w:jc w:val="center"/>
              <w:rPr>
                <w:rFonts w:hint="eastAsia" w:hAnsi="宋体"/>
              </w:rPr>
            </w:pPr>
          </w:p>
        </w:tc>
        <w:tc>
          <w:tcPr>
            <w:tcW w:w="569" w:type="pct"/>
          </w:tcPr>
          <w:p w14:paraId="6A17057C">
            <w:pPr>
              <w:pStyle w:val="19"/>
              <w:jc w:val="center"/>
              <w:rPr>
                <w:rFonts w:hint="eastAsia" w:hAnsi="宋体"/>
              </w:rPr>
            </w:pPr>
          </w:p>
        </w:tc>
        <w:tc>
          <w:tcPr>
            <w:tcW w:w="788" w:type="pct"/>
          </w:tcPr>
          <w:p w14:paraId="103A4E46">
            <w:pPr>
              <w:pStyle w:val="19"/>
              <w:jc w:val="center"/>
              <w:rPr>
                <w:rFonts w:hint="eastAsia" w:hAnsi="宋体"/>
              </w:rPr>
            </w:pPr>
          </w:p>
        </w:tc>
        <w:tc>
          <w:tcPr>
            <w:tcW w:w="622" w:type="pct"/>
          </w:tcPr>
          <w:p w14:paraId="27D9A04F">
            <w:pPr>
              <w:pStyle w:val="19"/>
              <w:jc w:val="center"/>
              <w:rPr>
                <w:rFonts w:hint="eastAsia" w:hAnsi="宋体"/>
              </w:rPr>
            </w:pPr>
          </w:p>
        </w:tc>
        <w:tc>
          <w:tcPr>
            <w:tcW w:w="524" w:type="pct"/>
          </w:tcPr>
          <w:p w14:paraId="62E7B81C">
            <w:pPr>
              <w:pStyle w:val="19"/>
              <w:jc w:val="center"/>
              <w:rPr>
                <w:rFonts w:hint="eastAsia" w:hAnsi="宋体"/>
              </w:rPr>
            </w:pPr>
          </w:p>
        </w:tc>
      </w:tr>
      <w:tr w14:paraId="589D9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7E1852DE">
            <w:pPr>
              <w:pStyle w:val="19"/>
              <w:jc w:val="center"/>
              <w:rPr>
                <w:rFonts w:hint="eastAsia" w:hAnsi="宋体"/>
              </w:rPr>
            </w:pPr>
          </w:p>
        </w:tc>
        <w:tc>
          <w:tcPr>
            <w:tcW w:w="660" w:type="pct"/>
            <w:vAlign w:val="center"/>
          </w:tcPr>
          <w:p w14:paraId="062FFC46">
            <w:pPr>
              <w:pStyle w:val="19"/>
              <w:jc w:val="center"/>
              <w:rPr>
                <w:rFonts w:hint="eastAsia" w:hAnsi="宋体"/>
              </w:rPr>
            </w:pPr>
          </w:p>
        </w:tc>
        <w:tc>
          <w:tcPr>
            <w:tcW w:w="744" w:type="pct"/>
            <w:vAlign w:val="center"/>
          </w:tcPr>
          <w:p w14:paraId="79EDB303">
            <w:pPr>
              <w:pStyle w:val="19"/>
              <w:jc w:val="center"/>
              <w:rPr>
                <w:rFonts w:hint="eastAsia" w:hAnsi="宋体"/>
              </w:rPr>
            </w:pPr>
          </w:p>
        </w:tc>
        <w:tc>
          <w:tcPr>
            <w:tcW w:w="437" w:type="pct"/>
            <w:vAlign w:val="center"/>
          </w:tcPr>
          <w:p w14:paraId="2EF97307">
            <w:pPr>
              <w:pStyle w:val="19"/>
              <w:jc w:val="center"/>
              <w:rPr>
                <w:rFonts w:hint="eastAsia" w:hAnsi="宋体"/>
              </w:rPr>
            </w:pPr>
          </w:p>
        </w:tc>
        <w:tc>
          <w:tcPr>
            <w:tcW w:w="569" w:type="pct"/>
          </w:tcPr>
          <w:p w14:paraId="32BE8D9D">
            <w:pPr>
              <w:pStyle w:val="19"/>
              <w:jc w:val="center"/>
              <w:rPr>
                <w:rFonts w:hint="eastAsia" w:hAnsi="宋体"/>
              </w:rPr>
            </w:pPr>
          </w:p>
        </w:tc>
        <w:tc>
          <w:tcPr>
            <w:tcW w:w="788" w:type="pct"/>
          </w:tcPr>
          <w:p w14:paraId="534B911B">
            <w:pPr>
              <w:pStyle w:val="19"/>
              <w:jc w:val="center"/>
              <w:rPr>
                <w:rFonts w:hint="eastAsia" w:hAnsi="宋体"/>
              </w:rPr>
            </w:pPr>
          </w:p>
        </w:tc>
        <w:tc>
          <w:tcPr>
            <w:tcW w:w="622" w:type="pct"/>
          </w:tcPr>
          <w:p w14:paraId="150AA72E">
            <w:pPr>
              <w:pStyle w:val="19"/>
              <w:jc w:val="center"/>
              <w:rPr>
                <w:rFonts w:hint="eastAsia" w:hAnsi="宋体"/>
              </w:rPr>
            </w:pPr>
          </w:p>
        </w:tc>
        <w:tc>
          <w:tcPr>
            <w:tcW w:w="524" w:type="pct"/>
          </w:tcPr>
          <w:p w14:paraId="54BC588A">
            <w:pPr>
              <w:pStyle w:val="19"/>
              <w:jc w:val="center"/>
              <w:rPr>
                <w:rFonts w:hint="eastAsia" w:hAnsi="宋体"/>
              </w:rPr>
            </w:pPr>
          </w:p>
        </w:tc>
      </w:tr>
      <w:tr w14:paraId="30EC5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3073A067">
            <w:pPr>
              <w:pStyle w:val="19"/>
              <w:jc w:val="center"/>
              <w:rPr>
                <w:rFonts w:hint="eastAsia" w:hAnsi="宋体"/>
              </w:rPr>
            </w:pPr>
          </w:p>
        </w:tc>
        <w:tc>
          <w:tcPr>
            <w:tcW w:w="660" w:type="pct"/>
            <w:vAlign w:val="center"/>
          </w:tcPr>
          <w:p w14:paraId="5EDD5553">
            <w:pPr>
              <w:pStyle w:val="19"/>
              <w:jc w:val="center"/>
              <w:rPr>
                <w:rFonts w:hint="eastAsia" w:hAnsi="宋体"/>
              </w:rPr>
            </w:pPr>
          </w:p>
        </w:tc>
        <w:tc>
          <w:tcPr>
            <w:tcW w:w="744" w:type="pct"/>
            <w:vAlign w:val="center"/>
          </w:tcPr>
          <w:p w14:paraId="6C1F3D0C">
            <w:pPr>
              <w:pStyle w:val="19"/>
              <w:jc w:val="center"/>
              <w:rPr>
                <w:rFonts w:hint="eastAsia" w:hAnsi="宋体"/>
              </w:rPr>
            </w:pPr>
          </w:p>
        </w:tc>
        <w:tc>
          <w:tcPr>
            <w:tcW w:w="437" w:type="pct"/>
            <w:vAlign w:val="center"/>
          </w:tcPr>
          <w:p w14:paraId="0575E4C8">
            <w:pPr>
              <w:pStyle w:val="19"/>
              <w:jc w:val="center"/>
              <w:rPr>
                <w:rFonts w:hint="eastAsia" w:hAnsi="宋体"/>
              </w:rPr>
            </w:pPr>
          </w:p>
        </w:tc>
        <w:tc>
          <w:tcPr>
            <w:tcW w:w="569" w:type="pct"/>
          </w:tcPr>
          <w:p w14:paraId="16D68408">
            <w:pPr>
              <w:pStyle w:val="19"/>
              <w:jc w:val="center"/>
              <w:rPr>
                <w:rFonts w:hint="eastAsia" w:hAnsi="宋体"/>
              </w:rPr>
            </w:pPr>
          </w:p>
        </w:tc>
        <w:tc>
          <w:tcPr>
            <w:tcW w:w="788" w:type="pct"/>
          </w:tcPr>
          <w:p w14:paraId="3E93E34D">
            <w:pPr>
              <w:pStyle w:val="19"/>
              <w:jc w:val="center"/>
              <w:rPr>
                <w:rFonts w:hint="eastAsia" w:hAnsi="宋体"/>
              </w:rPr>
            </w:pPr>
          </w:p>
        </w:tc>
        <w:tc>
          <w:tcPr>
            <w:tcW w:w="622" w:type="pct"/>
          </w:tcPr>
          <w:p w14:paraId="4A83C3E2">
            <w:pPr>
              <w:pStyle w:val="19"/>
              <w:jc w:val="center"/>
              <w:rPr>
                <w:rFonts w:hint="eastAsia" w:hAnsi="宋体"/>
              </w:rPr>
            </w:pPr>
          </w:p>
        </w:tc>
        <w:tc>
          <w:tcPr>
            <w:tcW w:w="524" w:type="pct"/>
          </w:tcPr>
          <w:p w14:paraId="3BFE96CF">
            <w:pPr>
              <w:pStyle w:val="19"/>
              <w:jc w:val="center"/>
              <w:rPr>
                <w:rFonts w:hint="eastAsia" w:hAnsi="宋体"/>
              </w:rPr>
            </w:pPr>
          </w:p>
        </w:tc>
      </w:tr>
      <w:tr w14:paraId="4EF6F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75EB239D">
            <w:pPr>
              <w:pStyle w:val="19"/>
              <w:jc w:val="center"/>
              <w:rPr>
                <w:rFonts w:hint="eastAsia" w:hAnsi="宋体"/>
              </w:rPr>
            </w:pPr>
          </w:p>
        </w:tc>
        <w:tc>
          <w:tcPr>
            <w:tcW w:w="660" w:type="pct"/>
            <w:vAlign w:val="center"/>
          </w:tcPr>
          <w:p w14:paraId="58C23399">
            <w:pPr>
              <w:pStyle w:val="19"/>
              <w:jc w:val="center"/>
              <w:rPr>
                <w:rFonts w:hint="eastAsia" w:hAnsi="宋体"/>
              </w:rPr>
            </w:pPr>
          </w:p>
        </w:tc>
        <w:tc>
          <w:tcPr>
            <w:tcW w:w="744" w:type="pct"/>
            <w:vAlign w:val="center"/>
          </w:tcPr>
          <w:p w14:paraId="2D424E46">
            <w:pPr>
              <w:pStyle w:val="19"/>
              <w:jc w:val="center"/>
              <w:rPr>
                <w:rFonts w:hint="eastAsia" w:hAnsi="宋体"/>
              </w:rPr>
            </w:pPr>
          </w:p>
        </w:tc>
        <w:tc>
          <w:tcPr>
            <w:tcW w:w="437" w:type="pct"/>
            <w:vAlign w:val="center"/>
          </w:tcPr>
          <w:p w14:paraId="63C1972A">
            <w:pPr>
              <w:pStyle w:val="19"/>
              <w:jc w:val="center"/>
              <w:rPr>
                <w:rFonts w:hint="eastAsia" w:hAnsi="宋体"/>
              </w:rPr>
            </w:pPr>
          </w:p>
        </w:tc>
        <w:tc>
          <w:tcPr>
            <w:tcW w:w="569" w:type="pct"/>
          </w:tcPr>
          <w:p w14:paraId="14D107E4">
            <w:pPr>
              <w:pStyle w:val="19"/>
              <w:jc w:val="center"/>
              <w:rPr>
                <w:rFonts w:hint="eastAsia" w:hAnsi="宋体"/>
              </w:rPr>
            </w:pPr>
          </w:p>
        </w:tc>
        <w:tc>
          <w:tcPr>
            <w:tcW w:w="788" w:type="pct"/>
          </w:tcPr>
          <w:p w14:paraId="3228834E">
            <w:pPr>
              <w:pStyle w:val="19"/>
              <w:jc w:val="center"/>
              <w:rPr>
                <w:rFonts w:hint="eastAsia" w:hAnsi="宋体"/>
              </w:rPr>
            </w:pPr>
          </w:p>
        </w:tc>
        <w:tc>
          <w:tcPr>
            <w:tcW w:w="622" w:type="pct"/>
          </w:tcPr>
          <w:p w14:paraId="57421A21">
            <w:pPr>
              <w:pStyle w:val="19"/>
              <w:jc w:val="center"/>
              <w:rPr>
                <w:rFonts w:hint="eastAsia" w:hAnsi="宋体"/>
              </w:rPr>
            </w:pPr>
          </w:p>
        </w:tc>
        <w:tc>
          <w:tcPr>
            <w:tcW w:w="524" w:type="pct"/>
          </w:tcPr>
          <w:p w14:paraId="1DF1592E">
            <w:pPr>
              <w:pStyle w:val="19"/>
              <w:jc w:val="center"/>
              <w:rPr>
                <w:rFonts w:hint="eastAsia" w:hAnsi="宋体"/>
              </w:rPr>
            </w:pPr>
          </w:p>
        </w:tc>
      </w:tr>
      <w:tr w14:paraId="0BD6C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7274966B">
            <w:pPr>
              <w:pStyle w:val="19"/>
              <w:jc w:val="center"/>
              <w:rPr>
                <w:rFonts w:hint="eastAsia" w:hAnsi="宋体"/>
              </w:rPr>
            </w:pPr>
          </w:p>
        </w:tc>
        <w:tc>
          <w:tcPr>
            <w:tcW w:w="660" w:type="pct"/>
            <w:vAlign w:val="center"/>
          </w:tcPr>
          <w:p w14:paraId="7DBB6ABF">
            <w:pPr>
              <w:pStyle w:val="19"/>
              <w:jc w:val="center"/>
              <w:rPr>
                <w:rFonts w:hint="eastAsia" w:hAnsi="宋体"/>
              </w:rPr>
            </w:pPr>
          </w:p>
        </w:tc>
        <w:tc>
          <w:tcPr>
            <w:tcW w:w="744" w:type="pct"/>
            <w:vAlign w:val="center"/>
          </w:tcPr>
          <w:p w14:paraId="19FB2689">
            <w:pPr>
              <w:pStyle w:val="19"/>
              <w:jc w:val="center"/>
              <w:rPr>
                <w:rFonts w:hint="eastAsia" w:hAnsi="宋体"/>
              </w:rPr>
            </w:pPr>
          </w:p>
        </w:tc>
        <w:tc>
          <w:tcPr>
            <w:tcW w:w="437" w:type="pct"/>
            <w:vAlign w:val="center"/>
          </w:tcPr>
          <w:p w14:paraId="53022711">
            <w:pPr>
              <w:pStyle w:val="19"/>
              <w:jc w:val="center"/>
              <w:rPr>
                <w:rFonts w:hint="eastAsia" w:hAnsi="宋体"/>
              </w:rPr>
            </w:pPr>
          </w:p>
        </w:tc>
        <w:tc>
          <w:tcPr>
            <w:tcW w:w="569" w:type="pct"/>
          </w:tcPr>
          <w:p w14:paraId="14A19417">
            <w:pPr>
              <w:pStyle w:val="19"/>
              <w:jc w:val="center"/>
              <w:rPr>
                <w:rFonts w:hint="eastAsia" w:hAnsi="宋体"/>
              </w:rPr>
            </w:pPr>
          </w:p>
        </w:tc>
        <w:tc>
          <w:tcPr>
            <w:tcW w:w="788" w:type="pct"/>
          </w:tcPr>
          <w:p w14:paraId="15BAF2D3">
            <w:pPr>
              <w:pStyle w:val="19"/>
              <w:jc w:val="center"/>
              <w:rPr>
                <w:rFonts w:hint="eastAsia" w:hAnsi="宋体"/>
              </w:rPr>
            </w:pPr>
          </w:p>
        </w:tc>
        <w:tc>
          <w:tcPr>
            <w:tcW w:w="622" w:type="pct"/>
          </w:tcPr>
          <w:p w14:paraId="40025288">
            <w:pPr>
              <w:pStyle w:val="19"/>
              <w:jc w:val="center"/>
              <w:rPr>
                <w:rFonts w:hint="eastAsia" w:hAnsi="宋体"/>
              </w:rPr>
            </w:pPr>
          </w:p>
        </w:tc>
        <w:tc>
          <w:tcPr>
            <w:tcW w:w="524" w:type="pct"/>
          </w:tcPr>
          <w:p w14:paraId="342508FE">
            <w:pPr>
              <w:pStyle w:val="19"/>
              <w:jc w:val="center"/>
              <w:rPr>
                <w:rFonts w:hint="eastAsia" w:hAnsi="宋体"/>
              </w:rPr>
            </w:pPr>
          </w:p>
        </w:tc>
      </w:tr>
      <w:tr w14:paraId="323F8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4A86DCDF">
            <w:pPr>
              <w:pStyle w:val="19"/>
              <w:jc w:val="center"/>
              <w:rPr>
                <w:rFonts w:hint="eastAsia" w:hAnsi="宋体"/>
              </w:rPr>
            </w:pPr>
          </w:p>
        </w:tc>
        <w:tc>
          <w:tcPr>
            <w:tcW w:w="660" w:type="pct"/>
            <w:vAlign w:val="center"/>
          </w:tcPr>
          <w:p w14:paraId="32D437F8">
            <w:pPr>
              <w:pStyle w:val="19"/>
              <w:jc w:val="center"/>
              <w:rPr>
                <w:rFonts w:hint="eastAsia" w:hAnsi="宋体"/>
              </w:rPr>
            </w:pPr>
          </w:p>
        </w:tc>
        <w:tc>
          <w:tcPr>
            <w:tcW w:w="744" w:type="pct"/>
            <w:vAlign w:val="center"/>
          </w:tcPr>
          <w:p w14:paraId="12740096">
            <w:pPr>
              <w:pStyle w:val="19"/>
              <w:jc w:val="center"/>
              <w:rPr>
                <w:rFonts w:hint="eastAsia" w:hAnsi="宋体"/>
              </w:rPr>
            </w:pPr>
          </w:p>
        </w:tc>
        <w:tc>
          <w:tcPr>
            <w:tcW w:w="437" w:type="pct"/>
            <w:vAlign w:val="center"/>
          </w:tcPr>
          <w:p w14:paraId="074725A8">
            <w:pPr>
              <w:pStyle w:val="19"/>
              <w:jc w:val="center"/>
              <w:rPr>
                <w:rFonts w:hint="eastAsia" w:hAnsi="宋体"/>
              </w:rPr>
            </w:pPr>
          </w:p>
        </w:tc>
        <w:tc>
          <w:tcPr>
            <w:tcW w:w="569" w:type="pct"/>
          </w:tcPr>
          <w:p w14:paraId="4F7C431F">
            <w:pPr>
              <w:pStyle w:val="19"/>
              <w:jc w:val="center"/>
              <w:rPr>
                <w:rFonts w:hint="eastAsia" w:hAnsi="宋体"/>
              </w:rPr>
            </w:pPr>
          </w:p>
        </w:tc>
        <w:tc>
          <w:tcPr>
            <w:tcW w:w="788" w:type="pct"/>
          </w:tcPr>
          <w:p w14:paraId="6D27D2BA">
            <w:pPr>
              <w:pStyle w:val="19"/>
              <w:jc w:val="center"/>
              <w:rPr>
                <w:rFonts w:hint="eastAsia" w:hAnsi="宋体"/>
              </w:rPr>
            </w:pPr>
          </w:p>
        </w:tc>
        <w:tc>
          <w:tcPr>
            <w:tcW w:w="622" w:type="pct"/>
          </w:tcPr>
          <w:p w14:paraId="2BCC1AF0">
            <w:pPr>
              <w:pStyle w:val="19"/>
              <w:jc w:val="center"/>
              <w:rPr>
                <w:rFonts w:hint="eastAsia" w:hAnsi="宋体"/>
              </w:rPr>
            </w:pPr>
          </w:p>
        </w:tc>
        <w:tc>
          <w:tcPr>
            <w:tcW w:w="524" w:type="pct"/>
          </w:tcPr>
          <w:p w14:paraId="50323C48">
            <w:pPr>
              <w:pStyle w:val="19"/>
              <w:jc w:val="center"/>
              <w:rPr>
                <w:rFonts w:hint="eastAsia" w:hAnsi="宋体"/>
              </w:rPr>
            </w:pPr>
          </w:p>
        </w:tc>
      </w:tr>
      <w:tr w14:paraId="5887F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493F1E36">
            <w:pPr>
              <w:pStyle w:val="19"/>
              <w:jc w:val="center"/>
              <w:rPr>
                <w:rFonts w:hint="eastAsia" w:hAnsi="宋体"/>
              </w:rPr>
            </w:pPr>
          </w:p>
        </w:tc>
        <w:tc>
          <w:tcPr>
            <w:tcW w:w="660" w:type="pct"/>
            <w:vAlign w:val="center"/>
          </w:tcPr>
          <w:p w14:paraId="1576D07E">
            <w:pPr>
              <w:pStyle w:val="19"/>
              <w:jc w:val="center"/>
              <w:rPr>
                <w:rFonts w:hint="eastAsia" w:hAnsi="宋体"/>
              </w:rPr>
            </w:pPr>
          </w:p>
        </w:tc>
        <w:tc>
          <w:tcPr>
            <w:tcW w:w="744" w:type="pct"/>
            <w:vAlign w:val="center"/>
          </w:tcPr>
          <w:p w14:paraId="0A292135">
            <w:pPr>
              <w:pStyle w:val="19"/>
              <w:jc w:val="center"/>
              <w:rPr>
                <w:rFonts w:hint="eastAsia" w:hAnsi="宋体"/>
              </w:rPr>
            </w:pPr>
          </w:p>
        </w:tc>
        <w:tc>
          <w:tcPr>
            <w:tcW w:w="437" w:type="pct"/>
            <w:vAlign w:val="center"/>
          </w:tcPr>
          <w:p w14:paraId="66EBA0E7">
            <w:pPr>
              <w:pStyle w:val="19"/>
              <w:jc w:val="center"/>
              <w:rPr>
                <w:rFonts w:hint="eastAsia" w:hAnsi="宋体"/>
              </w:rPr>
            </w:pPr>
          </w:p>
        </w:tc>
        <w:tc>
          <w:tcPr>
            <w:tcW w:w="569" w:type="pct"/>
          </w:tcPr>
          <w:p w14:paraId="7888B606">
            <w:pPr>
              <w:pStyle w:val="19"/>
              <w:jc w:val="center"/>
              <w:rPr>
                <w:rFonts w:hint="eastAsia" w:hAnsi="宋体"/>
              </w:rPr>
            </w:pPr>
          </w:p>
        </w:tc>
        <w:tc>
          <w:tcPr>
            <w:tcW w:w="788" w:type="pct"/>
          </w:tcPr>
          <w:p w14:paraId="2FBC0AE7">
            <w:pPr>
              <w:pStyle w:val="19"/>
              <w:jc w:val="center"/>
              <w:rPr>
                <w:rFonts w:hint="eastAsia" w:hAnsi="宋体"/>
              </w:rPr>
            </w:pPr>
          </w:p>
        </w:tc>
        <w:tc>
          <w:tcPr>
            <w:tcW w:w="622" w:type="pct"/>
          </w:tcPr>
          <w:p w14:paraId="5BFB0A2C">
            <w:pPr>
              <w:pStyle w:val="19"/>
              <w:jc w:val="center"/>
              <w:rPr>
                <w:rFonts w:hint="eastAsia" w:hAnsi="宋体"/>
              </w:rPr>
            </w:pPr>
          </w:p>
        </w:tc>
        <w:tc>
          <w:tcPr>
            <w:tcW w:w="524" w:type="pct"/>
          </w:tcPr>
          <w:p w14:paraId="48C2140C">
            <w:pPr>
              <w:pStyle w:val="19"/>
              <w:jc w:val="center"/>
              <w:rPr>
                <w:rFonts w:hint="eastAsia" w:hAnsi="宋体"/>
              </w:rPr>
            </w:pPr>
          </w:p>
        </w:tc>
      </w:tr>
    </w:tbl>
    <w:p w14:paraId="73192236">
      <w:pPr>
        <w:pStyle w:val="19"/>
        <w:spacing w:before="156" w:beforeLines="50"/>
        <w:rPr>
          <w:rFonts w:hint="eastAsia" w:hAnsi="宋体" w:cs="仿宋_GB2312"/>
          <w:sz w:val="24"/>
          <w:szCs w:val="24"/>
        </w:rPr>
      </w:pPr>
    </w:p>
    <w:p w14:paraId="26426755">
      <w:pPr>
        <w:pStyle w:val="19"/>
        <w:spacing w:line="400" w:lineRule="exact"/>
        <w:rPr>
          <w:rFonts w:hint="eastAsia" w:hAnsi="宋体"/>
          <w:sz w:val="24"/>
          <w:szCs w:val="24"/>
        </w:rPr>
      </w:pPr>
      <w:r>
        <w:rPr>
          <w:rFonts w:hint="eastAsia" w:hAnsi="宋体" w:cs="仿宋_GB2312"/>
          <w:sz w:val="24"/>
          <w:szCs w:val="24"/>
        </w:rPr>
        <w:t>投标人授权代表签字：</w:t>
      </w:r>
      <w:r>
        <w:rPr>
          <w:rFonts w:hAnsi="宋体" w:cs="仿宋_GB2312"/>
          <w:sz w:val="24"/>
          <w:szCs w:val="24"/>
          <w:u w:val="single"/>
        </w:rPr>
        <w:t>___________________</w:t>
      </w:r>
    </w:p>
    <w:p w14:paraId="5C82E924">
      <w:pPr>
        <w:pStyle w:val="19"/>
        <w:spacing w:line="400" w:lineRule="exact"/>
        <w:rPr>
          <w:rFonts w:hint="eastAsia" w:hAnsi="宋体" w:cs="仿宋_GB2312"/>
          <w:sz w:val="24"/>
          <w:szCs w:val="24"/>
        </w:rPr>
      </w:pPr>
      <w:r>
        <w:rPr>
          <w:rFonts w:hint="eastAsia" w:hAnsi="宋体" w:cs="仿宋_GB2312"/>
          <w:sz w:val="24"/>
          <w:szCs w:val="24"/>
        </w:rPr>
        <w:t>投标人名称：</w:t>
      </w:r>
      <w:r>
        <w:rPr>
          <w:rFonts w:hAnsi="宋体" w:cs="仿宋_GB2312"/>
          <w:sz w:val="24"/>
          <w:szCs w:val="24"/>
          <w:u w:val="single"/>
        </w:rPr>
        <w:t xml:space="preserve">                       </w:t>
      </w:r>
      <w:r>
        <w:rPr>
          <w:rFonts w:hAnsi="宋体" w:cs="仿宋_GB2312"/>
          <w:sz w:val="24"/>
          <w:szCs w:val="24"/>
          <w:u w:val="single"/>
        </w:rPr>
        <w:tab/>
      </w:r>
      <w:r>
        <w:rPr>
          <w:rFonts w:hint="eastAsia" w:hAnsi="宋体" w:cs="仿宋_GB2312"/>
          <w:sz w:val="24"/>
          <w:szCs w:val="24"/>
        </w:rPr>
        <w:t>（加盖公章）</w:t>
      </w:r>
    </w:p>
    <w:p w14:paraId="2536EBF0">
      <w:pPr>
        <w:autoSpaceDE w:val="0"/>
        <w:autoSpaceDN w:val="0"/>
        <w:spacing w:line="360" w:lineRule="auto"/>
        <w:textAlignment w:val="bottom"/>
        <w:rPr>
          <w:rFonts w:hint="eastAsia"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47061234">
      <w:pPr>
        <w:pStyle w:val="19"/>
        <w:tabs>
          <w:tab w:val="left" w:pos="4890"/>
        </w:tabs>
        <w:spacing w:before="120"/>
        <w:rPr>
          <w:rFonts w:hint="eastAsia" w:hAnsi="宋体"/>
          <w:sz w:val="24"/>
          <w:szCs w:val="24"/>
          <w:u w:val="single"/>
        </w:rPr>
      </w:pPr>
    </w:p>
    <w:p w14:paraId="4EF541B0">
      <w:pPr>
        <w:pStyle w:val="19"/>
        <w:tabs>
          <w:tab w:val="left" w:pos="5370"/>
        </w:tabs>
        <w:spacing w:before="120"/>
        <w:rPr>
          <w:rFonts w:hint="eastAsia" w:hAnsi="宋体"/>
          <w:sz w:val="24"/>
          <w:szCs w:val="24"/>
          <w:u w:val="single"/>
        </w:rPr>
      </w:pPr>
    </w:p>
    <w:p w14:paraId="31E5CCE3">
      <w:pPr>
        <w:pStyle w:val="19"/>
        <w:tabs>
          <w:tab w:val="left" w:pos="5370"/>
        </w:tabs>
        <w:spacing w:before="120" w:line="360" w:lineRule="auto"/>
        <w:rPr>
          <w:rFonts w:hint="eastAsia" w:hAnsi="宋体"/>
          <w:sz w:val="24"/>
          <w:szCs w:val="24"/>
        </w:rPr>
      </w:pPr>
      <w:r>
        <w:rPr>
          <w:rFonts w:hint="eastAsia" w:hAnsi="宋体"/>
          <w:sz w:val="24"/>
          <w:szCs w:val="24"/>
        </w:rPr>
        <w:t>注：</w:t>
      </w:r>
    </w:p>
    <w:p w14:paraId="57F1F309">
      <w:pPr>
        <w:pStyle w:val="19"/>
        <w:numPr>
          <w:ilvl w:val="0"/>
          <w:numId w:val="28"/>
        </w:numPr>
        <w:spacing w:line="360" w:lineRule="auto"/>
        <w:rPr>
          <w:rFonts w:hint="eastAsia" w:hAnsi="宋体" w:cs="仿宋_GB2312"/>
          <w:sz w:val="24"/>
          <w:szCs w:val="24"/>
        </w:rPr>
      </w:pPr>
      <w:r>
        <w:rPr>
          <w:rFonts w:hint="eastAsia" w:hAnsi="宋体" w:cs="仿宋_GB2312"/>
          <w:sz w:val="24"/>
          <w:szCs w:val="24"/>
        </w:rPr>
        <w:t>本表按包填写</w:t>
      </w:r>
    </w:p>
    <w:p w14:paraId="7805808D">
      <w:pPr>
        <w:pStyle w:val="19"/>
        <w:numPr>
          <w:ilvl w:val="0"/>
          <w:numId w:val="28"/>
        </w:numPr>
        <w:spacing w:line="360" w:lineRule="auto"/>
        <w:rPr>
          <w:rFonts w:hint="eastAsia" w:hAnsi="宋体" w:cs="仿宋_GB2312"/>
          <w:sz w:val="24"/>
          <w:szCs w:val="24"/>
        </w:rPr>
      </w:pPr>
      <w:r>
        <w:rPr>
          <w:rFonts w:hint="eastAsia" w:hAnsi="宋体" w:cs="仿宋_GB2312"/>
          <w:sz w:val="24"/>
          <w:szCs w:val="24"/>
        </w:rPr>
        <w:t>若投标人所投货物为小型微型企业产品，应在备注栏标明，同时提供中小企业声明函。</w:t>
      </w:r>
    </w:p>
    <w:p w14:paraId="06218ABA">
      <w:pPr>
        <w:widowControl/>
        <w:jc w:val="left"/>
        <w:rPr>
          <w:rFonts w:hint="eastAsia" w:asciiTheme="minorEastAsia" w:hAnsiTheme="minorEastAsia"/>
          <w:sz w:val="24"/>
        </w:rPr>
      </w:pPr>
      <w:r>
        <w:rPr>
          <w:rFonts w:asciiTheme="minorEastAsia" w:hAnsiTheme="minorEastAsia"/>
          <w:sz w:val="24"/>
        </w:rPr>
        <w:br w:type="page"/>
      </w:r>
    </w:p>
    <w:p w14:paraId="5519424D">
      <w:pPr>
        <w:widowControl/>
        <w:jc w:val="left"/>
        <w:rPr>
          <w:rFonts w:hint="eastAsia" w:ascii="宋体" w:hAnsi="宋体" w:cs="宋体"/>
          <w:b/>
          <w:sz w:val="24"/>
          <w:lang w:val="zh-CN"/>
        </w:rPr>
      </w:pPr>
    </w:p>
    <w:p w14:paraId="06656F97">
      <w:pPr>
        <w:pStyle w:val="3"/>
        <w:tabs>
          <w:tab w:val="left" w:pos="5580"/>
        </w:tabs>
        <w:rPr>
          <w:rFonts w:hint="eastAsia" w:ascii="宋体" w:hAnsi="宋体" w:eastAsia="宋体" w:cs="宋体"/>
          <w:bCs/>
          <w:sz w:val="28"/>
          <w:szCs w:val="28"/>
        </w:rPr>
      </w:pPr>
      <w:r>
        <w:rPr>
          <w:rFonts w:hint="eastAsia" w:ascii="宋体" w:hAnsi="宋体" w:eastAsia="宋体" w:cs="宋体"/>
          <w:bCs/>
          <w:sz w:val="28"/>
          <w:szCs w:val="28"/>
        </w:rPr>
        <w:t>★附件6：技术需求逐条应答表</w:t>
      </w:r>
    </w:p>
    <w:p w14:paraId="7C769D4A">
      <w:pPr>
        <w:spacing w:line="360" w:lineRule="auto"/>
        <w:rPr>
          <w:rFonts w:hint="eastAsia" w:ascii="宋体" w:hAnsi="宋体"/>
          <w:sz w:val="24"/>
        </w:rPr>
      </w:pPr>
    </w:p>
    <w:p w14:paraId="6D7D0AE1">
      <w:pPr>
        <w:spacing w:line="360" w:lineRule="auto"/>
        <w:rPr>
          <w:rFonts w:hint="eastAsia" w:ascii="宋体" w:hAnsi="宋体"/>
          <w:sz w:val="24"/>
        </w:rPr>
      </w:pPr>
      <w:r>
        <w:rPr>
          <w:rFonts w:hint="eastAsia" w:ascii="宋体" w:hAnsi="宋体"/>
          <w:sz w:val="24"/>
        </w:rPr>
        <w:t>项目名称：</w:t>
      </w:r>
      <w:r>
        <w:rPr>
          <w:rFonts w:hint="eastAsia" w:ascii="宋体" w:hAnsi="宋体"/>
          <w:sz w:val="24"/>
          <w:u w:val="single"/>
        </w:rPr>
        <w:t xml:space="preserve">                               </w:t>
      </w:r>
    </w:p>
    <w:p w14:paraId="71174243">
      <w:pPr>
        <w:spacing w:line="360" w:lineRule="auto"/>
        <w:rPr>
          <w:rFonts w:hint="eastAsia" w:ascii="宋体" w:hAnsi="宋体" w:cs="Arial"/>
          <w:sz w:val="24"/>
        </w:rPr>
      </w:pPr>
      <w:r>
        <w:rPr>
          <w:rFonts w:hint="eastAsia" w:ascii="宋体" w:hAnsi="宋体"/>
          <w:sz w:val="24"/>
        </w:rPr>
        <w:t>招标编号/包号：</w:t>
      </w:r>
      <w:r>
        <w:rPr>
          <w:rFonts w:hint="eastAsia" w:ascii="宋体" w:hAnsi="宋体"/>
          <w:sz w:val="24"/>
          <w:u w:val="single"/>
        </w:rPr>
        <w:t xml:space="preserve">                   /1       </w:t>
      </w:r>
    </w:p>
    <w:tbl>
      <w:tblPr>
        <w:tblStyle w:val="37"/>
        <w:tblW w:w="8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00"/>
        <w:gridCol w:w="1983"/>
        <w:gridCol w:w="2196"/>
        <w:gridCol w:w="1561"/>
      </w:tblGrid>
      <w:tr w14:paraId="57CD8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817" w:type="dxa"/>
            <w:vAlign w:val="center"/>
          </w:tcPr>
          <w:p w14:paraId="2455ED2B">
            <w:pPr>
              <w:autoSpaceDE w:val="0"/>
              <w:autoSpaceDN w:val="0"/>
              <w:jc w:val="center"/>
              <w:textAlignment w:val="bottom"/>
              <w:rPr>
                <w:rFonts w:hint="eastAsia" w:ascii="宋体" w:hAnsi="宋体" w:cs="Arial" w:eastAsiaTheme="minorEastAsia"/>
                <w:sz w:val="24"/>
              </w:rPr>
            </w:pPr>
            <w:r>
              <w:rPr>
                <w:rFonts w:hint="eastAsia" w:ascii="宋体" w:hAnsi="宋体" w:cs="Arial"/>
                <w:sz w:val="24"/>
              </w:rPr>
              <w:t>序号</w:t>
            </w:r>
          </w:p>
        </w:tc>
        <w:tc>
          <w:tcPr>
            <w:tcW w:w="2100" w:type="dxa"/>
            <w:vAlign w:val="center"/>
          </w:tcPr>
          <w:p w14:paraId="0F784299">
            <w:pPr>
              <w:autoSpaceDE w:val="0"/>
              <w:autoSpaceDN w:val="0"/>
              <w:jc w:val="center"/>
              <w:textAlignment w:val="bottom"/>
              <w:rPr>
                <w:rFonts w:hint="eastAsia" w:ascii="宋体" w:hAnsi="宋体" w:cs="Arial"/>
              </w:rPr>
            </w:pPr>
            <w:r>
              <w:rPr>
                <w:rFonts w:hint="eastAsia" w:ascii="宋体" w:hAnsi="宋体" w:cs="Arial"/>
                <w:sz w:val="24"/>
              </w:rPr>
              <w:t>招标文件技术需求条目编号及所要求内容</w:t>
            </w:r>
          </w:p>
        </w:tc>
        <w:tc>
          <w:tcPr>
            <w:tcW w:w="1983" w:type="dxa"/>
            <w:vAlign w:val="center"/>
          </w:tcPr>
          <w:p w14:paraId="139F8EFF">
            <w:pPr>
              <w:autoSpaceDE w:val="0"/>
              <w:autoSpaceDN w:val="0"/>
              <w:jc w:val="center"/>
              <w:textAlignment w:val="bottom"/>
              <w:rPr>
                <w:rFonts w:hint="eastAsia" w:ascii="宋体" w:hAnsi="宋体" w:cs="Arial"/>
              </w:rPr>
            </w:pPr>
            <w:r>
              <w:rPr>
                <w:rFonts w:hint="eastAsia" w:ascii="宋体" w:hAnsi="宋体" w:cs="Arial"/>
                <w:sz w:val="24"/>
              </w:rPr>
              <w:t>投标文件应答内容</w:t>
            </w:r>
          </w:p>
        </w:tc>
        <w:tc>
          <w:tcPr>
            <w:tcW w:w="2196" w:type="dxa"/>
            <w:vAlign w:val="center"/>
          </w:tcPr>
          <w:p w14:paraId="6B3D94F1">
            <w:pPr>
              <w:autoSpaceDE w:val="0"/>
              <w:autoSpaceDN w:val="0"/>
              <w:jc w:val="center"/>
              <w:textAlignment w:val="bottom"/>
              <w:rPr>
                <w:rFonts w:hint="eastAsia" w:ascii="宋体" w:hAnsi="宋体" w:cs="Arial"/>
              </w:rPr>
            </w:pPr>
            <w:r>
              <w:rPr>
                <w:rFonts w:hint="eastAsia" w:ascii="宋体" w:hAnsi="宋体" w:cs="Arial"/>
                <w:sz w:val="24"/>
              </w:rPr>
              <w:t>相关技术证明文件中的描述在投标文件中的具体页码（如需提供）</w:t>
            </w:r>
          </w:p>
        </w:tc>
        <w:tc>
          <w:tcPr>
            <w:tcW w:w="1561" w:type="dxa"/>
            <w:vAlign w:val="center"/>
          </w:tcPr>
          <w:p w14:paraId="3487C641">
            <w:pPr>
              <w:autoSpaceDE w:val="0"/>
              <w:autoSpaceDN w:val="0"/>
              <w:jc w:val="center"/>
              <w:textAlignment w:val="bottom"/>
              <w:rPr>
                <w:rFonts w:hint="eastAsia" w:ascii="宋体" w:hAnsi="宋体" w:cs="Arial"/>
              </w:rPr>
            </w:pPr>
            <w:r>
              <w:rPr>
                <w:rFonts w:hint="eastAsia" w:ascii="宋体" w:hAnsi="宋体" w:cs="Arial"/>
                <w:sz w:val="24"/>
              </w:rPr>
              <w:t>偏离说明（无偏离，正/负偏离及偏离情况）</w:t>
            </w:r>
          </w:p>
        </w:tc>
      </w:tr>
      <w:tr w14:paraId="04385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033D7C8A">
            <w:pPr>
              <w:autoSpaceDE w:val="0"/>
              <w:autoSpaceDN w:val="0"/>
              <w:textAlignment w:val="bottom"/>
              <w:rPr>
                <w:rFonts w:hint="eastAsia" w:ascii="宋体" w:hAnsi="宋体" w:cs="Arial"/>
              </w:rPr>
            </w:pPr>
          </w:p>
        </w:tc>
        <w:tc>
          <w:tcPr>
            <w:tcW w:w="2100" w:type="dxa"/>
          </w:tcPr>
          <w:p w14:paraId="68DF71F4">
            <w:pPr>
              <w:autoSpaceDE w:val="0"/>
              <w:autoSpaceDN w:val="0"/>
              <w:textAlignment w:val="bottom"/>
              <w:rPr>
                <w:rFonts w:hint="eastAsia" w:ascii="宋体" w:hAnsi="宋体" w:cs="Arial"/>
              </w:rPr>
            </w:pPr>
          </w:p>
        </w:tc>
        <w:tc>
          <w:tcPr>
            <w:tcW w:w="1983" w:type="dxa"/>
          </w:tcPr>
          <w:p w14:paraId="5F2383D8">
            <w:pPr>
              <w:autoSpaceDE w:val="0"/>
              <w:autoSpaceDN w:val="0"/>
              <w:textAlignment w:val="bottom"/>
              <w:rPr>
                <w:rFonts w:hint="eastAsia" w:ascii="宋体" w:hAnsi="宋体" w:cs="Arial"/>
              </w:rPr>
            </w:pPr>
          </w:p>
        </w:tc>
        <w:tc>
          <w:tcPr>
            <w:tcW w:w="2196" w:type="dxa"/>
          </w:tcPr>
          <w:p w14:paraId="7085DD04">
            <w:pPr>
              <w:autoSpaceDE w:val="0"/>
              <w:autoSpaceDN w:val="0"/>
              <w:textAlignment w:val="bottom"/>
              <w:rPr>
                <w:rFonts w:hint="eastAsia" w:ascii="宋体" w:hAnsi="宋体" w:cs="Arial"/>
              </w:rPr>
            </w:pPr>
          </w:p>
        </w:tc>
        <w:tc>
          <w:tcPr>
            <w:tcW w:w="1561" w:type="dxa"/>
          </w:tcPr>
          <w:p w14:paraId="5A7CE3B4">
            <w:pPr>
              <w:autoSpaceDE w:val="0"/>
              <w:autoSpaceDN w:val="0"/>
              <w:textAlignment w:val="bottom"/>
              <w:rPr>
                <w:rFonts w:hint="eastAsia" w:ascii="宋体" w:hAnsi="宋体" w:cs="Arial"/>
              </w:rPr>
            </w:pPr>
          </w:p>
        </w:tc>
      </w:tr>
      <w:tr w14:paraId="786C8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006D3520">
            <w:pPr>
              <w:autoSpaceDE w:val="0"/>
              <w:autoSpaceDN w:val="0"/>
              <w:textAlignment w:val="bottom"/>
              <w:rPr>
                <w:rFonts w:hint="eastAsia" w:ascii="宋体" w:hAnsi="宋体" w:cs="Arial"/>
                <w:b/>
              </w:rPr>
            </w:pPr>
          </w:p>
        </w:tc>
        <w:tc>
          <w:tcPr>
            <w:tcW w:w="2100" w:type="dxa"/>
          </w:tcPr>
          <w:p w14:paraId="789BB59C">
            <w:pPr>
              <w:autoSpaceDE w:val="0"/>
              <w:autoSpaceDN w:val="0"/>
              <w:textAlignment w:val="bottom"/>
              <w:rPr>
                <w:rFonts w:hint="eastAsia" w:ascii="宋体" w:hAnsi="宋体" w:cs="Arial"/>
                <w:b/>
              </w:rPr>
            </w:pPr>
          </w:p>
        </w:tc>
        <w:tc>
          <w:tcPr>
            <w:tcW w:w="1983" w:type="dxa"/>
          </w:tcPr>
          <w:p w14:paraId="0893093A">
            <w:pPr>
              <w:autoSpaceDE w:val="0"/>
              <w:autoSpaceDN w:val="0"/>
              <w:textAlignment w:val="bottom"/>
              <w:rPr>
                <w:rFonts w:hint="eastAsia" w:ascii="宋体" w:hAnsi="宋体" w:cs="Arial"/>
                <w:b/>
              </w:rPr>
            </w:pPr>
          </w:p>
        </w:tc>
        <w:tc>
          <w:tcPr>
            <w:tcW w:w="2196" w:type="dxa"/>
          </w:tcPr>
          <w:p w14:paraId="0BD5B623">
            <w:pPr>
              <w:autoSpaceDE w:val="0"/>
              <w:autoSpaceDN w:val="0"/>
              <w:textAlignment w:val="bottom"/>
              <w:rPr>
                <w:rFonts w:hint="eastAsia" w:ascii="宋体" w:hAnsi="宋体" w:cs="Arial"/>
                <w:b/>
              </w:rPr>
            </w:pPr>
          </w:p>
        </w:tc>
        <w:tc>
          <w:tcPr>
            <w:tcW w:w="1561" w:type="dxa"/>
          </w:tcPr>
          <w:p w14:paraId="20B91BCF">
            <w:pPr>
              <w:autoSpaceDE w:val="0"/>
              <w:autoSpaceDN w:val="0"/>
              <w:textAlignment w:val="bottom"/>
              <w:rPr>
                <w:rFonts w:hint="eastAsia" w:ascii="宋体" w:hAnsi="宋体" w:cs="Arial"/>
                <w:b/>
              </w:rPr>
            </w:pPr>
          </w:p>
        </w:tc>
      </w:tr>
      <w:tr w14:paraId="0C67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76478D65">
            <w:pPr>
              <w:autoSpaceDE w:val="0"/>
              <w:autoSpaceDN w:val="0"/>
              <w:textAlignment w:val="bottom"/>
              <w:rPr>
                <w:rFonts w:hint="eastAsia" w:ascii="宋体" w:hAnsi="宋体" w:cs="Arial"/>
                <w:b/>
              </w:rPr>
            </w:pPr>
          </w:p>
        </w:tc>
        <w:tc>
          <w:tcPr>
            <w:tcW w:w="2100" w:type="dxa"/>
          </w:tcPr>
          <w:p w14:paraId="320863FD">
            <w:pPr>
              <w:autoSpaceDE w:val="0"/>
              <w:autoSpaceDN w:val="0"/>
              <w:textAlignment w:val="bottom"/>
              <w:rPr>
                <w:rFonts w:hint="eastAsia" w:ascii="宋体" w:hAnsi="宋体" w:cs="Arial"/>
                <w:b/>
              </w:rPr>
            </w:pPr>
          </w:p>
        </w:tc>
        <w:tc>
          <w:tcPr>
            <w:tcW w:w="1983" w:type="dxa"/>
          </w:tcPr>
          <w:p w14:paraId="06F0A3FA">
            <w:pPr>
              <w:autoSpaceDE w:val="0"/>
              <w:autoSpaceDN w:val="0"/>
              <w:textAlignment w:val="bottom"/>
              <w:rPr>
                <w:rFonts w:hint="eastAsia" w:ascii="宋体" w:hAnsi="宋体" w:cs="Arial"/>
                <w:b/>
              </w:rPr>
            </w:pPr>
          </w:p>
        </w:tc>
        <w:tc>
          <w:tcPr>
            <w:tcW w:w="2196" w:type="dxa"/>
          </w:tcPr>
          <w:p w14:paraId="58CF50BC">
            <w:pPr>
              <w:autoSpaceDE w:val="0"/>
              <w:autoSpaceDN w:val="0"/>
              <w:textAlignment w:val="bottom"/>
              <w:rPr>
                <w:rFonts w:hint="eastAsia" w:ascii="宋体" w:hAnsi="宋体" w:cs="Arial"/>
                <w:b/>
              </w:rPr>
            </w:pPr>
          </w:p>
        </w:tc>
        <w:tc>
          <w:tcPr>
            <w:tcW w:w="1561" w:type="dxa"/>
          </w:tcPr>
          <w:p w14:paraId="24592EDD">
            <w:pPr>
              <w:autoSpaceDE w:val="0"/>
              <w:autoSpaceDN w:val="0"/>
              <w:textAlignment w:val="bottom"/>
              <w:rPr>
                <w:rFonts w:hint="eastAsia" w:ascii="宋体" w:hAnsi="宋体" w:cs="Arial"/>
                <w:b/>
              </w:rPr>
            </w:pPr>
          </w:p>
        </w:tc>
      </w:tr>
      <w:tr w14:paraId="48615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7F004545">
            <w:pPr>
              <w:autoSpaceDE w:val="0"/>
              <w:autoSpaceDN w:val="0"/>
              <w:textAlignment w:val="bottom"/>
              <w:rPr>
                <w:rFonts w:hint="eastAsia" w:ascii="宋体" w:hAnsi="宋体" w:cs="Arial"/>
                <w:b/>
              </w:rPr>
            </w:pPr>
          </w:p>
        </w:tc>
        <w:tc>
          <w:tcPr>
            <w:tcW w:w="2100" w:type="dxa"/>
          </w:tcPr>
          <w:p w14:paraId="486E6532">
            <w:pPr>
              <w:autoSpaceDE w:val="0"/>
              <w:autoSpaceDN w:val="0"/>
              <w:textAlignment w:val="bottom"/>
              <w:rPr>
                <w:rFonts w:hint="eastAsia" w:ascii="宋体" w:hAnsi="宋体" w:cs="Arial"/>
                <w:b/>
              </w:rPr>
            </w:pPr>
          </w:p>
        </w:tc>
        <w:tc>
          <w:tcPr>
            <w:tcW w:w="1983" w:type="dxa"/>
          </w:tcPr>
          <w:p w14:paraId="4E2D1631">
            <w:pPr>
              <w:autoSpaceDE w:val="0"/>
              <w:autoSpaceDN w:val="0"/>
              <w:textAlignment w:val="bottom"/>
              <w:rPr>
                <w:rFonts w:hint="eastAsia" w:ascii="宋体" w:hAnsi="宋体" w:cs="Arial"/>
                <w:b/>
              </w:rPr>
            </w:pPr>
          </w:p>
        </w:tc>
        <w:tc>
          <w:tcPr>
            <w:tcW w:w="2196" w:type="dxa"/>
          </w:tcPr>
          <w:p w14:paraId="32B92646">
            <w:pPr>
              <w:autoSpaceDE w:val="0"/>
              <w:autoSpaceDN w:val="0"/>
              <w:textAlignment w:val="bottom"/>
              <w:rPr>
                <w:rFonts w:hint="eastAsia" w:ascii="宋体" w:hAnsi="宋体" w:cs="Arial"/>
                <w:b/>
              </w:rPr>
            </w:pPr>
          </w:p>
        </w:tc>
        <w:tc>
          <w:tcPr>
            <w:tcW w:w="1561" w:type="dxa"/>
          </w:tcPr>
          <w:p w14:paraId="03FE286B">
            <w:pPr>
              <w:autoSpaceDE w:val="0"/>
              <w:autoSpaceDN w:val="0"/>
              <w:textAlignment w:val="bottom"/>
              <w:rPr>
                <w:rFonts w:hint="eastAsia" w:ascii="宋体" w:hAnsi="宋体" w:cs="Arial"/>
                <w:b/>
              </w:rPr>
            </w:pPr>
          </w:p>
        </w:tc>
      </w:tr>
      <w:tr w14:paraId="09A5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58EC2075">
            <w:pPr>
              <w:autoSpaceDE w:val="0"/>
              <w:autoSpaceDN w:val="0"/>
              <w:textAlignment w:val="bottom"/>
              <w:rPr>
                <w:rFonts w:hint="eastAsia" w:ascii="宋体" w:hAnsi="宋体" w:cs="Arial"/>
                <w:b/>
              </w:rPr>
            </w:pPr>
          </w:p>
        </w:tc>
        <w:tc>
          <w:tcPr>
            <w:tcW w:w="2100" w:type="dxa"/>
          </w:tcPr>
          <w:p w14:paraId="75A60676">
            <w:pPr>
              <w:autoSpaceDE w:val="0"/>
              <w:autoSpaceDN w:val="0"/>
              <w:textAlignment w:val="bottom"/>
              <w:rPr>
                <w:rFonts w:hint="eastAsia" w:ascii="宋体" w:hAnsi="宋体" w:cs="Arial"/>
                <w:b/>
              </w:rPr>
            </w:pPr>
          </w:p>
        </w:tc>
        <w:tc>
          <w:tcPr>
            <w:tcW w:w="1983" w:type="dxa"/>
          </w:tcPr>
          <w:p w14:paraId="7D52D486">
            <w:pPr>
              <w:autoSpaceDE w:val="0"/>
              <w:autoSpaceDN w:val="0"/>
              <w:textAlignment w:val="bottom"/>
              <w:rPr>
                <w:rFonts w:hint="eastAsia" w:ascii="宋体" w:hAnsi="宋体" w:cs="Arial"/>
                <w:b/>
              </w:rPr>
            </w:pPr>
          </w:p>
        </w:tc>
        <w:tc>
          <w:tcPr>
            <w:tcW w:w="2196" w:type="dxa"/>
          </w:tcPr>
          <w:p w14:paraId="6DB01C07">
            <w:pPr>
              <w:autoSpaceDE w:val="0"/>
              <w:autoSpaceDN w:val="0"/>
              <w:textAlignment w:val="bottom"/>
              <w:rPr>
                <w:rFonts w:hint="eastAsia" w:ascii="宋体" w:hAnsi="宋体" w:cs="Arial"/>
                <w:b/>
              </w:rPr>
            </w:pPr>
          </w:p>
        </w:tc>
        <w:tc>
          <w:tcPr>
            <w:tcW w:w="1561" w:type="dxa"/>
          </w:tcPr>
          <w:p w14:paraId="1830226B">
            <w:pPr>
              <w:autoSpaceDE w:val="0"/>
              <w:autoSpaceDN w:val="0"/>
              <w:textAlignment w:val="bottom"/>
              <w:rPr>
                <w:rFonts w:hint="eastAsia" w:ascii="宋体" w:hAnsi="宋体" w:cs="Arial"/>
                <w:b/>
              </w:rPr>
            </w:pPr>
          </w:p>
        </w:tc>
      </w:tr>
      <w:tr w14:paraId="48C01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2122BA4B">
            <w:pPr>
              <w:autoSpaceDE w:val="0"/>
              <w:autoSpaceDN w:val="0"/>
              <w:textAlignment w:val="bottom"/>
              <w:rPr>
                <w:rFonts w:hint="eastAsia" w:ascii="宋体" w:hAnsi="宋体" w:cs="Arial"/>
                <w:b/>
              </w:rPr>
            </w:pPr>
          </w:p>
        </w:tc>
        <w:tc>
          <w:tcPr>
            <w:tcW w:w="2100" w:type="dxa"/>
          </w:tcPr>
          <w:p w14:paraId="4C519CCC">
            <w:pPr>
              <w:autoSpaceDE w:val="0"/>
              <w:autoSpaceDN w:val="0"/>
              <w:textAlignment w:val="bottom"/>
              <w:rPr>
                <w:rFonts w:hint="eastAsia" w:ascii="宋体" w:hAnsi="宋体" w:cs="Arial"/>
                <w:b/>
              </w:rPr>
            </w:pPr>
          </w:p>
        </w:tc>
        <w:tc>
          <w:tcPr>
            <w:tcW w:w="1983" w:type="dxa"/>
          </w:tcPr>
          <w:p w14:paraId="71F917DF">
            <w:pPr>
              <w:autoSpaceDE w:val="0"/>
              <w:autoSpaceDN w:val="0"/>
              <w:textAlignment w:val="bottom"/>
              <w:rPr>
                <w:rFonts w:hint="eastAsia" w:ascii="宋体" w:hAnsi="宋体" w:cs="Arial"/>
                <w:b/>
              </w:rPr>
            </w:pPr>
          </w:p>
        </w:tc>
        <w:tc>
          <w:tcPr>
            <w:tcW w:w="2196" w:type="dxa"/>
          </w:tcPr>
          <w:p w14:paraId="7C15B713">
            <w:pPr>
              <w:autoSpaceDE w:val="0"/>
              <w:autoSpaceDN w:val="0"/>
              <w:textAlignment w:val="bottom"/>
              <w:rPr>
                <w:rFonts w:hint="eastAsia" w:ascii="宋体" w:hAnsi="宋体" w:cs="Arial"/>
                <w:b/>
              </w:rPr>
            </w:pPr>
          </w:p>
        </w:tc>
        <w:tc>
          <w:tcPr>
            <w:tcW w:w="1561" w:type="dxa"/>
          </w:tcPr>
          <w:p w14:paraId="681D57D9">
            <w:pPr>
              <w:autoSpaceDE w:val="0"/>
              <w:autoSpaceDN w:val="0"/>
              <w:textAlignment w:val="bottom"/>
              <w:rPr>
                <w:rFonts w:hint="eastAsia" w:ascii="宋体" w:hAnsi="宋体" w:cs="Arial"/>
                <w:b/>
              </w:rPr>
            </w:pPr>
          </w:p>
        </w:tc>
      </w:tr>
      <w:tr w14:paraId="527DC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0CDC137B">
            <w:pPr>
              <w:autoSpaceDE w:val="0"/>
              <w:autoSpaceDN w:val="0"/>
              <w:textAlignment w:val="bottom"/>
              <w:rPr>
                <w:rFonts w:hint="eastAsia" w:ascii="宋体" w:hAnsi="宋体" w:cs="Arial"/>
                <w:b/>
              </w:rPr>
            </w:pPr>
          </w:p>
        </w:tc>
        <w:tc>
          <w:tcPr>
            <w:tcW w:w="2100" w:type="dxa"/>
          </w:tcPr>
          <w:p w14:paraId="71E40C27">
            <w:pPr>
              <w:autoSpaceDE w:val="0"/>
              <w:autoSpaceDN w:val="0"/>
              <w:textAlignment w:val="bottom"/>
              <w:rPr>
                <w:rFonts w:hint="eastAsia" w:ascii="宋体" w:hAnsi="宋体" w:cs="Arial"/>
                <w:b/>
              </w:rPr>
            </w:pPr>
          </w:p>
        </w:tc>
        <w:tc>
          <w:tcPr>
            <w:tcW w:w="1983" w:type="dxa"/>
          </w:tcPr>
          <w:p w14:paraId="54B33664">
            <w:pPr>
              <w:autoSpaceDE w:val="0"/>
              <w:autoSpaceDN w:val="0"/>
              <w:textAlignment w:val="bottom"/>
              <w:rPr>
                <w:rFonts w:hint="eastAsia" w:ascii="宋体" w:hAnsi="宋体" w:cs="Arial"/>
                <w:b/>
              </w:rPr>
            </w:pPr>
          </w:p>
        </w:tc>
        <w:tc>
          <w:tcPr>
            <w:tcW w:w="2196" w:type="dxa"/>
          </w:tcPr>
          <w:p w14:paraId="7A3A8ED7">
            <w:pPr>
              <w:autoSpaceDE w:val="0"/>
              <w:autoSpaceDN w:val="0"/>
              <w:textAlignment w:val="bottom"/>
              <w:rPr>
                <w:rFonts w:hint="eastAsia" w:ascii="宋体" w:hAnsi="宋体" w:cs="Arial"/>
                <w:b/>
              </w:rPr>
            </w:pPr>
          </w:p>
        </w:tc>
        <w:tc>
          <w:tcPr>
            <w:tcW w:w="1561" w:type="dxa"/>
          </w:tcPr>
          <w:p w14:paraId="3386B941">
            <w:pPr>
              <w:autoSpaceDE w:val="0"/>
              <w:autoSpaceDN w:val="0"/>
              <w:textAlignment w:val="bottom"/>
              <w:rPr>
                <w:rFonts w:hint="eastAsia" w:ascii="宋体" w:hAnsi="宋体" w:cs="Arial"/>
                <w:b/>
              </w:rPr>
            </w:pPr>
          </w:p>
        </w:tc>
      </w:tr>
      <w:tr w14:paraId="0E1E2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3DA9605E">
            <w:pPr>
              <w:autoSpaceDE w:val="0"/>
              <w:autoSpaceDN w:val="0"/>
              <w:textAlignment w:val="bottom"/>
              <w:rPr>
                <w:rFonts w:hint="eastAsia" w:ascii="宋体" w:hAnsi="宋体" w:cs="Arial"/>
                <w:b/>
              </w:rPr>
            </w:pPr>
          </w:p>
        </w:tc>
        <w:tc>
          <w:tcPr>
            <w:tcW w:w="2100" w:type="dxa"/>
          </w:tcPr>
          <w:p w14:paraId="25E2C5F3">
            <w:pPr>
              <w:autoSpaceDE w:val="0"/>
              <w:autoSpaceDN w:val="0"/>
              <w:textAlignment w:val="bottom"/>
              <w:rPr>
                <w:rFonts w:hint="eastAsia" w:ascii="宋体" w:hAnsi="宋体" w:cs="Arial"/>
                <w:b/>
              </w:rPr>
            </w:pPr>
          </w:p>
        </w:tc>
        <w:tc>
          <w:tcPr>
            <w:tcW w:w="1983" w:type="dxa"/>
          </w:tcPr>
          <w:p w14:paraId="07D0BFEA">
            <w:pPr>
              <w:autoSpaceDE w:val="0"/>
              <w:autoSpaceDN w:val="0"/>
              <w:textAlignment w:val="bottom"/>
              <w:rPr>
                <w:rFonts w:hint="eastAsia" w:ascii="宋体" w:hAnsi="宋体" w:cs="Arial"/>
                <w:b/>
              </w:rPr>
            </w:pPr>
          </w:p>
        </w:tc>
        <w:tc>
          <w:tcPr>
            <w:tcW w:w="2196" w:type="dxa"/>
          </w:tcPr>
          <w:p w14:paraId="6E5F362B">
            <w:pPr>
              <w:autoSpaceDE w:val="0"/>
              <w:autoSpaceDN w:val="0"/>
              <w:textAlignment w:val="bottom"/>
              <w:rPr>
                <w:rFonts w:hint="eastAsia" w:ascii="宋体" w:hAnsi="宋体" w:cs="Arial"/>
                <w:b/>
              </w:rPr>
            </w:pPr>
          </w:p>
        </w:tc>
        <w:tc>
          <w:tcPr>
            <w:tcW w:w="1561" w:type="dxa"/>
          </w:tcPr>
          <w:p w14:paraId="55ADF85F">
            <w:pPr>
              <w:autoSpaceDE w:val="0"/>
              <w:autoSpaceDN w:val="0"/>
              <w:textAlignment w:val="bottom"/>
              <w:rPr>
                <w:rFonts w:hint="eastAsia" w:ascii="宋体" w:hAnsi="宋体" w:cs="Arial"/>
                <w:b/>
              </w:rPr>
            </w:pPr>
          </w:p>
        </w:tc>
      </w:tr>
      <w:tr w14:paraId="7C98A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817" w:type="dxa"/>
          </w:tcPr>
          <w:p w14:paraId="36890882">
            <w:pPr>
              <w:autoSpaceDE w:val="0"/>
              <w:autoSpaceDN w:val="0"/>
              <w:textAlignment w:val="bottom"/>
              <w:rPr>
                <w:rFonts w:hint="eastAsia" w:ascii="宋体" w:hAnsi="宋体" w:cs="Arial"/>
                <w:b/>
              </w:rPr>
            </w:pPr>
          </w:p>
        </w:tc>
        <w:tc>
          <w:tcPr>
            <w:tcW w:w="2100" w:type="dxa"/>
          </w:tcPr>
          <w:p w14:paraId="42182709">
            <w:pPr>
              <w:autoSpaceDE w:val="0"/>
              <w:autoSpaceDN w:val="0"/>
              <w:textAlignment w:val="bottom"/>
              <w:rPr>
                <w:rFonts w:hint="eastAsia" w:ascii="宋体" w:hAnsi="宋体" w:cs="Arial"/>
                <w:b/>
              </w:rPr>
            </w:pPr>
          </w:p>
        </w:tc>
        <w:tc>
          <w:tcPr>
            <w:tcW w:w="1983" w:type="dxa"/>
          </w:tcPr>
          <w:p w14:paraId="339E6CDF">
            <w:pPr>
              <w:autoSpaceDE w:val="0"/>
              <w:autoSpaceDN w:val="0"/>
              <w:textAlignment w:val="bottom"/>
              <w:rPr>
                <w:rFonts w:hint="eastAsia" w:ascii="宋体" w:hAnsi="宋体" w:cs="Arial"/>
                <w:b/>
              </w:rPr>
            </w:pPr>
          </w:p>
        </w:tc>
        <w:tc>
          <w:tcPr>
            <w:tcW w:w="2196" w:type="dxa"/>
          </w:tcPr>
          <w:p w14:paraId="5FC3705D">
            <w:pPr>
              <w:autoSpaceDE w:val="0"/>
              <w:autoSpaceDN w:val="0"/>
              <w:textAlignment w:val="bottom"/>
              <w:rPr>
                <w:rFonts w:hint="eastAsia" w:ascii="宋体" w:hAnsi="宋体" w:cs="Arial"/>
                <w:b/>
              </w:rPr>
            </w:pPr>
          </w:p>
        </w:tc>
        <w:tc>
          <w:tcPr>
            <w:tcW w:w="1561" w:type="dxa"/>
          </w:tcPr>
          <w:p w14:paraId="67BA9951">
            <w:pPr>
              <w:autoSpaceDE w:val="0"/>
              <w:autoSpaceDN w:val="0"/>
              <w:textAlignment w:val="bottom"/>
              <w:rPr>
                <w:rFonts w:hint="eastAsia" w:ascii="宋体" w:hAnsi="宋体" w:cs="Arial"/>
                <w:b/>
              </w:rPr>
            </w:pPr>
          </w:p>
        </w:tc>
      </w:tr>
    </w:tbl>
    <w:p w14:paraId="07C22341">
      <w:pPr>
        <w:spacing w:line="360" w:lineRule="auto"/>
        <w:rPr>
          <w:rFonts w:ascii="宋体"/>
        </w:rPr>
      </w:pPr>
    </w:p>
    <w:p w14:paraId="3DCF217F">
      <w:pPr>
        <w:spacing w:line="360" w:lineRule="auto"/>
        <w:rPr>
          <w:rFonts w:hint="eastAsia" w:ascii="宋体" w:hAnsi="宋体"/>
          <w:sz w:val="24"/>
        </w:rPr>
      </w:pPr>
      <w:r>
        <w:rPr>
          <w:rFonts w:hint="eastAsia" w:ascii="宋体" w:hAnsi="宋体"/>
          <w:sz w:val="24"/>
        </w:rPr>
        <w:t xml:space="preserve">投标人授权代表签字：___________________ </w:t>
      </w:r>
    </w:p>
    <w:p w14:paraId="4E44D768">
      <w:pPr>
        <w:spacing w:line="360" w:lineRule="auto"/>
        <w:rPr>
          <w:rFonts w:hint="eastAsia" w:ascii="宋体" w:hAnsi="宋体"/>
          <w:sz w:val="24"/>
        </w:rPr>
      </w:pPr>
      <w:r>
        <w:rPr>
          <w:rFonts w:hint="eastAsia" w:ascii="宋体" w:hAnsi="宋体"/>
          <w:sz w:val="24"/>
        </w:rPr>
        <w:t>投标人名称：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（加盖公章）</w:t>
      </w:r>
    </w:p>
    <w:p w14:paraId="42089B8E">
      <w:pPr>
        <w:spacing w:line="360" w:lineRule="auto"/>
        <w:rPr>
          <w:rFonts w:hint="eastAsia" w:ascii="宋体" w:hAnsi="宋体"/>
          <w:sz w:val="24"/>
          <w:u w:val="single"/>
        </w:rPr>
      </w:pPr>
      <w:r>
        <w:rPr>
          <w:rFonts w:hint="eastAsia" w:ascii="宋体" w:hAnsi="宋体"/>
          <w:sz w:val="24"/>
        </w:rPr>
        <w:t>日期：</w:t>
      </w:r>
      <w:r>
        <w:rPr>
          <w:rFonts w:hint="eastAsia" w:ascii="宋体" w:hAnsi="宋体"/>
          <w:sz w:val="24"/>
          <w:u w:val="single"/>
        </w:rPr>
        <w:t xml:space="preserve"> </w:t>
      </w:r>
      <w:r>
        <w:rPr>
          <w:rFonts w:ascii="宋体" w:hAnsi="宋体"/>
          <w:sz w:val="24"/>
          <w:u w:val="single"/>
        </w:rPr>
        <w:t xml:space="preserve">                        </w:t>
      </w:r>
    </w:p>
    <w:p w14:paraId="5F446A34">
      <w:pPr>
        <w:autoSpaceDE w:val="0"/>
        <w:autoSpaceDN w:val="0"/>
        <w:spacing w:line="360" w:lineRule="auto"/>
        <w:ind w:right="471"/>
        <w:textAlignment w:val="bottom"/>
        <w:rPr>
          <w:rFonts w:hint="eastAsia" w:ascii="宋体" w:hAnsi="宋体" w:cs="Arial"/>
          <w:sz w:val="24"/>
        </w:rPr>
      </w:pPr>
    </w:p>
    <w:p w14:paraId="5EAB4201">
      <w:pPr>
        <w:autoSpaceDE w:val="0"/>
        <w:autoSpaceDN w:val="0"/>
        <w:spacing w:line="360" w:lineRule="auto"/>
        <w:ind w:right="471"/>
        <w:textAlignment w:val="bottom"/>
        <w:rPr>
          <w:rFonts w:hint="eastAsia" w:ascii="宋体" w:hAnsi="宋体" w:cs="Arial"/>
          <w:sz w:val="24"/>
        </w:rPr>
      </w:pPr>
      <w:r>
        <w:rPr>
          <w:rFonts w:hint="eastAsia" w:ascii="宋体" w:hAnsi="宋体" w:cs="Arial"/>
          <w:sz w:val="24"/>
        </w:rPr>
        <w:t>注：</w:t>
      </w:r>
    </w:p>
    <w:p w14:paraId="6B0FF687">
      <w:pPr>
        <w:widowControl/>
        <w:snapToGrid w:val="0"/>
        <w:spacing w:line="360" w:lineRule="auto"/>
        <w:rPr>
          <w:rFonts w:hint="eastAsia" w:ascii="宋体" w:hAnsi="宋体" w:cs="Arial"/>
          <w:sz w:val="24"/>
        </w:rPr>
      </w:pPr>
      <w:r>
        <w:rPr>
          <w:rFonts w:hint="eastAsia" w:ascii="宋体" w:hAnsi="宋体" w:cs="Arial"/>
          <w:sz w:val="24"/>
        </w:rPr>
        <w:t>1、本表须针对招标文件“</w:t>
      </w:r>
      <w:r>
        <w:rPr>
          <w:rFonts w:hint="eastAsia" w:ascii="宋体" w:hAnsi="宋体" w:cs="Arial"/>
          <w:b/>
          <w:bCs/>
          <w:sz w:val="24"/>
        </w:rPr>
        <w:t>第四章 项目需求 二、技术部分</w:t>
      </w:r>
      <w:r>
        <w:rPr>
          <w:rFonts w:hint="eastAsia" w:ascii="宋体" w:hAnsi="宋体" w:cs="Arial"/>
          <w:b/>
          <w:bCs/>
          <w:sz w:val="24"/>
          <w:lang w:eastAsia="zh-CN"/>
        </w:rPr>
        <w:t>（</w:t>
      </w:r>
      <w:r>
        <w:rPr>
          <w:rFonts w:hint="eastAsia" w:ascii="宋体" w:hAnsi="宋体" w:cs="Arial"/>
          <w:b/>
          <w:bCs/>
          <w:sz w:val="24"/>
          <w:lang w:val="en-US" w:eastAsia="zh-CN"/>
        </w:rPr>
        <w:t>包括</w:t>
      </w:r>
      <w:r>
        <w:rPr>
          <w:rFonts w:hint="eastAsia" w:ascii="宋体" w:hAnsi="宋体" w:cs="Arial"/>
          <w:b/>
          <w:bCs/>
          <w:sz w:val="24"/>
          <w:lang w:eastAsia="zh-CN"/>
        </w:rPr>
        <w:t>1、配置清单及零配件（包括专用工具）和2、技术性能指标表）</w:t>
      </w:r>
      <w:r>
        <w:rPr>
          <w:rFonts w:hint="eastAsia" w:ascii="宋体" w:hAnsi="宋体" w:cs="Arial"/>
          <w:sz w:val="24"/>
        </w:rPr>
        <w:t>”所有内容要求逐条应答；</w:t>
      </w:r>
    </w:p>
    <w:p w14:paraId="5E7194E6">
      <w:pPr>
        <w:autoSpaceDE w:val="0"/>
        <w:autoSpaceDN w:val="0"/>
        <w:spacing w:line="360" w:lineRule="auto"/>
        <w:ind w:right="471"/>
        <w:textAlignment w:val="bottom"/>
        <w:rPr>
          <w:rFonts w:hint="eastAsia" w:ascii="宋体" w:hAnsi="宋体" w:cs="Arial"/>
          <w:sz w:val="24"/>
        </w:rPr>
      </w:pPr>
      <w:r>
        <w:rPr>
          <w:rFonts w:hint="eastAsia" w:ascii="宋体" w:hAnsi="宋体" w:cs="Arial"/>
          <w:sz w:val="24"/>
        </w:rPr>
        <w:t>2、所应答的技术指标应有具体内容，不能简单复制招标文件内容，或全部响应仅以“符合、满足、无偏离”应答；</w:t>
      </w:r>
    </w:p>
    <w:p w14:paraId="466A1F22">
      <w:pPr>
        <w:autoSpaceDE w:val="0"/>
        <w:autoSpaceDN w:val="0"/>
        <w:spacing w:line="360" w:lineRule="auto"/>
        <w:ind w:right="471"/>
        <w:textAlignment w:val="bottom"/>
        <w:rPr>
          <w:rFonts w:hint="eastAsia" w:ascii="宋体" w:hAnsi="宋体" w:cs="Arial"/>
          <w:sz w:val="24"/>
        </w:rPr>
      </w:pPr>
      <w:r>
        <w:rPr>
          <w:rFonts w:hint="eastAsia" w:ascii="宋体" w:hAnsi="宋体" w:cs="Arial"/>
          <w:sz w:val="24"/>
        </w:rPr>
        <w:t>3、无论正负偏离均须对偏离情况作具体说明。</w:t>
      </w:r>
    </w:p>
    <w:p w14:paraId="7039448C">
      <w:pPr>
        <w:spacing w:after="240" w:line="360" w:lineRule="auto"/>
        <w:rPr>
          <w:rFonts w:hint="eastAsia" w:ascii="宋体" w:hAnsi="宋体"/>
          <w:snapToGrid w:val="0"/>
          <w:sz w:val="28"/>
          <w:szCs w:val="20"/>
        </w:rPr>
      </w:pPr>
      <w:r>
        <w:br w:type="page"/>
      </w:r>
    </w:p>
    <w:p w14:paraId="6007AFF6">
      <w:pPr>
        <w:pStyle w:val="3"/>
        <w:tabs>
          <w:tab w:val="left" w:pos="5580"/>
        </w:tabs>
        <w:rPr>
          <w:rFonts w:hint="eastAsia" w:ascii="宋体" w:hAnsi="宋体" w:eastAsia="宋体" w:cs="宋体"/>
          <w:bCs/>
          <w:sz w:val="28"/>
          <w:szCs w:val="28"/>
        </w:rPr>
      </w:pPr>
      <w:r>
        <w:rPr>
          <w:rFonts w:hint="eastAsia" w:ascii="宋体" w:hAnsi="宋体" w:eastAsia="宋体" w:cs="宋体"/>
          <w:bCs/>
          <w:sz w:val="28"/>
          <w:szCs w:val="28"/>
        </w:rPr>
        <w:t>★附件7：商务条款偏离表</w:t>
      </w:r>
    </w:p>
    <w:p w14:paraId="21F64902"/>
    <w:p w14:paraId="005BA700">
      <w:pPr>
        <w:spacing w:line="360" w:lineRule="auto"/>
        <w:rPr>
          <w:rFonts w:hint="eastAsia" w:ascii="宋体" w:hAnsi="宋体"/>
          <w:sz w:val="24"/>
        </w:rPr>
      </w:pPr>
      <w:r>
        <w:rPr>
          <w:rFonts w:hint="eastAsia" w:ascii="宋体" w:hAnsi="宋体"/>
          <w:sz w:val="24"/>
        </w:rPr>
        <w:t>项目名称：</w:t>
      </w:r>
      <w:r>
        <w:rPr>
          <w:rFonts w:hint="eastAsia" w:ascii="宋体" w:hAnsi="宋体"/>
          <w:sz w:val="24"/>
          <w:u w:val="single"/>
        </w:rPr>
        <w:t xml:space="preserve">                               </w:t>
      </w:r>
    </w:p>
    <w:p w14:paraId="5722533C">
      <w:pPr>
        <w:spacing w:line="360" w:lineRule="auto"/>
        <w:rPr>
          <w:rFonts w:hint="eastAsia" w:ascii="宋体" w:hAnsi="宋体"/>
          <w:sz w:val="24"/>
        </w:rPr>
      </w:pPr>
      <w:r>
        <w:rPr>
          <w:rFonts w:hint="eastAsia" w:ascii="宋体" w:hAnsi="宋体"/>
          <w:sz w:val="24"/>
        </w:rPr>
        <w:t>招标编号/包号：</w:t>
      </w:r>
      <w:r>
        <w:rPr>
          <w:rFonts w:hint="eastAsia" w:ascii="宋体" w:hAnsi="宋体"/>
          <w:sz w:val="24"/>
          <w:u w:val="single"/>
        </w:rPr>
        <w:t xml:space="preserve">                   /1       </w:t>
      </w:r>
    </w:p>
    <w:tbl>
      <w:tblPr>
        <w:tblStyle w:val="37"/>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2523"/>
        <w:gridCol w:w="2297"/>
        <w:gridCol w:w="2976"/>
      </w:tblGrid>
      <w:tr w14:paraId="03CBF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163" w:type="dxa"/>
            <w:vAlign w:val="center"/>
          </w:tcPr>
          <w:p w14:paraId="5AE01364">
            <w:pPr>
              <w:tabs>
                <w:tab w:val="left" w:pos="1100"/>
              </w:tabs>
              <w:autoSpaceDE w:val="0"/>
              <w:autoSpaceDN w:val="0"/>
              <w:jc w:val="center"/>
              <w:textAlignment w:val="bottom"/>
              <w:rPr>
                <w:rFonts w:hint="eastAsia" w:ascii="宋体" w:hAnsi="宋体" w:cs="Arial"/>
              </w:rPr>
            </w:pPr>
            <w:r>
              <w:rPr>
                <w:rFonts w:hint="eastAsia" w:ascii="宋体" w:hAnsi="宋体" w:cs="Arial"/>
                <w:sz w:val="24"/>
              </w:rPr>
              <w:t>序号</w:t>
            </w:r>
          </w:p>
        </w:tc>
        <w:tc>
          <w:tcPr>
            <w:tcW w:w="2523" w:type="dxa"/>
            <w:vAlign w:val="center"/>
          </w:tcPr>
          <w:p w14:paraId="6154CF73">
            <w:pPr>
              <w:tabs>
                <w:tab w:val="left" w:pos="1431"/>
              </w:tabs>
              <w:autoSpaceDE w:val="0"/>
              <w:autoSpaceDN w:val="0"/>
              <w:jc w:val="center"/>
              <w:textAlignment w:val="bottom"/>
              <w:rPr>
                <w:rFonts w:hint="eastAsia" w:ascii="宋体" w:hAnsi="宋体" w:cs="Arial"/>
              </w:rPr>
            </w:pPr>
            <w:r>
              <w:rPr>
                <w:rFonts w:hint="eastAsia" w:ascii="宋体" w:hAnsi="宋体" w:cs="Arial"/>
                <w:sz w:val="24"/>
              </w:rPr>
              <w:t>招标文件商务要求内容</w:t>
            </w:r>
          </w:p>
        </w:tc>
        <w:tc>
          <w:tcPr>
            <w:tcW w:w="2297" w:type="dxa"/>
            <w:vAlign w:val="center"/>
          </w:tcPr>
          <w:p w14:paraId="0DA74CBE">
            <w:pPr>
              <w:tabs>
                <w:tab w:val="left" w:pos="1100"/>
              </w:tabs>
              <w:autoSpaceDE w:val="0"/>
              <w:autoSpaceDN w:val="0"/>
              <w:jc w:val="center"/>
              <w:textAlignment w:val="bottom"/>
              <w:rPr>
                <w:rFonts w:hint="eastAsia" w:ascii="宋体" w:hAnsi="宋体" w:cs="Arial"/>
              </w:rPr>
            </w:pPr>
            <w:r>
              <w:rPr>
                <w:rFonts w:hint="eastAsia" w:ascii="宋体" w:hAnsi="宋体" w:cs="Arial"/>
                <w:sz w:val="24"/>
              </w:rPr>
              <w:t>投标文件响应内容</w:t>
            </w:r>
          </w:p>
        </w:tc>
        <w:tc>
          <w:tcPr>
            <w:tcW w:w="2976" w:type="dxa"/>
            <w:vAlign w:val="center"/>
          </w:tcPr>
          <w:p w14:paraId="6637BFF5">
            <w:pPr>
              <w:tabs>
                <w:tab w:val="left" w:pos="1100"/>
              </w:tabs>
              <w:autoSpaceDE w:val="0"/>
              <w:autoSpaceDN w:val="0"/>
              <w:jc w:val="center"/>
              <w:textAlignment w:val="bottom"/>
              <w:rPr>
                <w:rFonts w:hint="eastAsia" w:ascii="宋体" w:hAnsi="宋体" w:cs="Arial"/>
              </w:rPr>
            </w:pPr>
            <w:r>
              <w:rPr>
                <w:rFonts w:hint="eastAsia" w:ascii="宋体" w:hAnsi="宋体" w:cs="Arial"/>
                <w:sz w:val="24"/>
              </w:rPr>
              <w:t>偏离说明（无偏离，正/负偏离及偏离情况）</w:t>
            </w:r>
          </w:p>
        </w:tc>
      </w:tr>
      <w:tr w14:paraId="55700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42CC51D7">
            <w:pPr>
              <w:autoSpaceDE w:val="0"/>
              <w:autoSpaceDN w:val="0"/>
              <w:textAlignment w:val="bottom"/>
              <w:rPr>
                <w:rFonts w:hint="eastAsia" w:ascii="宋体" w:hAnsi="宋体" w:cs="Arial"/>
              </w:rPr>
            </w:pPr>
          </w:p>
        </w:tc>
        <w:tc>
          <w:tcPr>
            <w:tcW w:w="2523" w:type="dxa"/>
          </w:tcPr>
          <w:p w14:paraId="336C6EFC">
            <w:pPr>
              <w:autoSpaceDE w:val="0"/>
              <w:autoSpaceDN w:val="0"/>
              <w:textAlignment w:val="bottom"/>
              <w:rPr>
                <w:rFonts w:hint="eastAsia" w:ascii="宋体" w:hAnsi="宋体" w:cs="Arial"/>
              </w:rPr>
            </w:pPr>
          </w:p>
        </w:tc>
        <w:tc>
          <w:tcPr>
            <w:tcW w:w="2297" w:type="dxa"/>
          </w:tcPr>
          <w:p w14:paraId="61EA9721">
            <w:pPr>
              <w:autoSpaceDE w:val="0"/>
              <w:autoSpaceDN w:val="0"/>
              <w:textAlignment w:val="bottom"/>
              <w:rPr>
                <w:rFonts w:hint="eastAsia" w:ascii="宋体" w:hAnsi="宋体" w:cs="Arial"/>
              </w:rPr>
            </w:pPr>
          </w:p>
        </w:tc>
        <w:tc>
          <w:tcPr>
            <w:tcW w:w="2976" w:type="dxa"/>
          </w:tcPr>
          <w:p w14:paraId="7FB4C82B">
            <w:pPr>
              <w:autoSpaceDE w:val="0"/>
              <w:autoSpaceDN w:val="0"/>
              <w:textAlignment w:val="bottom"/>
              <w:rPr>
                <w:rFonts w:hint="eastAsia" w:ascii="宋体" w:hAnsi="宋体" w:cs="Arial"/>
              </w:rPr>
            </w:pPr>
          </w:p>
        </w:tc>
      </w:tr>
      <w:tr w14:paraId="01DA6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46681EBF">
            <w:pPr>
              <w:autoSpaceDE w:val="0"/>
              <w:autoSpaceDN w:val="0"/>
              <w:textAlignment w:val="bottom"/>
              <w:rPr>
                <w:rFonts w:hint="eastAsia" w:ascii="宋体" w:hAnsi="宋体" w:cs="Arial"/>
                <w:b/>
              </w:rPr>
            </w:pPr>
          </w:p>
        </w:tc>
        <w:tc>
          <w:tcPr>
            <w:tcW w:w="2523" w:type="dxa"/>
          </w:tcPr>
          <w:p w14:paraId="237067D8">
            <w:pPr>
              <w:autoSpaceDE w:val="0"/>
              <w:autoSpaceDN w:val="0"/>
              <w:textAlignment w:val="bottom"/>
              <w:rPr>
                <w:rFonts w:hint="eastAsia" w:ascii="宋体" w:hAnsi="宋体" w:cs="Arial"/>
                <w:b/>
              </w:rPr>
            </w:pPr>
          </w:p>
        </w:tc>
        <w:tc>
          <w:tcPr>
            <w:tcW w:w="2297" w:type="dxa"/>
          </w:tcPr>
          <w:p w14:paraId="2A4C96DF">
            <w:pPr>
              <w:autoSpaceDE w:val="0"/>
              <w:autoSpaceDN w:val="0"/>
              <w:textAlignment w:val="bottom"/>
              <w:rPr>
                <w:rFonts w:hint="eastAsia" w:ascii="宋体" w:hAnsi="宋体" w:cs="Arial"/>
                <w:b/>
              </w:rPr>
            </w:pPr>
          </w:p>
        </w:tc>
        <w:tc>
          <w:tcPr>
            <w:tcW w:w="2976" w:type="dxa"/>
          </w:tcPr>
          <w:p w14:paraId="5744B4D7">
            <w:pPr>
              <w:autoSpaceDE w:val="0"/>
              <w:autoSpaceDN w:val="0"/>
              <w:textAlignment w:val="bottom"/>
              <w:rPr>
                <w:rFonts w:hint="eastAsia" w:ascii="宋体" w:hAnsi="宋体" w:cs="Arial"/>
                <w:b/>
              </w:rPr>
            </w:pPr>
          </w:p>
        </w:tc>
      </w:tr>
      <w:tr w14:paraId="5965C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33E3227C">
            <w:pPr>
              <w:autoSpaceDE w:val="0"/>
              <w:autoSpaceDN w:val="0"/>
              <w:textAlignment w:val="bottom"/>
              <w:rPr>
                <w:rFonts w:hint="eastAsia" w:ascii="宋体" w:hAnsi="宋体" w:cs="Arial"/>
                <w:b/>
              </w:rPr>
            </w:pPr>
          </w:p>
        </w:tc>
        <w:tc>
          <w:tcPr>
            <w:tcW w:w="2523" w:type="dxa"/>
          </w:tcPr>
          <w:p w14:paraId="2BAEC3F2">
            <w:pPr>
              <w:autoSpaceDE w:val="0"/>
              <w:autoSpaceDN w:val="0"/>
              <w:textAlignment w:val="bottom"/>
              <w:rPr>
                <w:rFonts w:hint="eastAsia" w:ascii="宋体" w:hAnsi="宋体" w:cs="Arial"/>
                <w:b/>
              </w:rPr>
            </w:pPr>
          </w:p>
        </w:tc>
        <w:tc>
          <w:tcPr>
            <w:tcW w:w="2297" w:type="dxa"/>
          </w:tcPr>
          <w:p w14:paraId="6A9FDDAC">
            <w:pPr>
              <w:autoSpaceDE w:val="0"/>
              <w:autoSpaceDN w:val="0"/>
              <w:textAlignment w:val="bottom"/>
              <w:rPr>
                <w:rFonts w:hint="eastAsia" w:ascii="宋体" w:hAnsi="宋体" w:cs="Arial"/>
                <w:b/>
              </w:rPr>
            </w:pPr>
          </w:p>
        </w:tc>
        <w:tc>
          <w:tcPr>
            <w:tcW w:w="2976" w:type="dxa"/>
          </w:tcPr>
          <w:p w14:paraId="1208099F">
            <w:pPr>
              <w:autoSpaceDE w:val="0"/>
              <w:autoSpaceDN w:val="0"/>
              <w:textAlignment w:val="bottom"/>
              <w:rPr>
                <w:rFonts w:hint="eastAsia" w:ascii="宋体" w:hAnsi="宋体" w:cs="Arial"/>
                <w:b/>
              </w:rPr>
            </w:pPr>
          </w:p>
        </w:tc>
      </w:tr>
      <w:tr w14:paraId="703AC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31C64CEB">
            <w:pPr>
              <w:autoSpaceDE w:val="0"/>
              <w:autoSpaceDN w:val="0"/>
              <w:textAlignment w:val="bottom"/>
              <w:rPr>
                <w:rFonts w:hint="eastAsia" w:ascii="宋体" w:hAnsi="宋体" w:cs="Arial"/>
                <w:b/>
              </w:rPr>
            </w:pPr>
          </w:p>
        </w:tc>
        <w:tc>
          <w:tcPr>
            <w:tcW w:w="2523" w:type="dxa"/>
          </w:tcPr>
          <w:p w14:paraId="1F81A99E">
            <w:pPr>
              <w:autoSpaceDE w:val="0"/>
              <w:autoSpaceDN w:val="0"/>
              <w:textAlignment w:val="bottom"/>
              <w:rPr>
                <w:rFonts w:hint="eastAsia" w:ascii="宋体" w:hAnsi="宋体" w:cs="Arial"/>
                <w:b/>
              </w:rPr>
            </w:pPr>
          </w:p>
        </w:tc>
        <w:tc>
          <w:tcPr>
            <w:tcW w:w="2297" w:type="dxa"/>
          </w:tcPr>
          <w:p w14:paraId="4C54C87F">
            <w:pPr>
              <w:autoSpaceDE w:val="0"/>
              <w:autoSpaceDN w:val="0"/>
              <w:textAlignment w:val="bottom"/>
              <w:rPr>
                <w:rFonts w:hint="eastAsia" w:ascii="宋体" w:hAnsi="宋体" w:cs="Arial"/>
                <w:b/>
              </w:rPr>
            </w:pPr>
          </w:p>
        </w:tc>
        <w:tc>
          <w:tcPr>
            <w:tcW w:w="2976" w:type="dxa"/>
          </w:tcPr>
          <w:p w14:paraId="6B9C8F85">
            <w:pPr>
              <w:autoSpaceDE w:val="0"/>
              <w:autoSpaceDN w:val="0"/>
              <w:textAlignment w:val="bottom"/>
              <w:rPr>
                <w:rFonts w:hint="eastAsia" w:ascii="宋体" w:hAnsi="宋体" w:cs="Arial"/>
                <w:b/>
              </w:rPr>
            </w:pPr>
          </w:p>
        </w:tc>
      </w:tr>
      <w:tr w14:paraId="5C65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197B1013">
            <w:pPr>
              <w:autoSpaceDE w:val="0"/>
              <w:autoSpaceDN w:val="0"/>
              <w:textAlignment w:val="bottom"/>
              <w:rPr>
                <w:rFonts w:hint="eastAsia" w:ascii="宋体" w:hAnsi="宋体" w:cs="Arial"/>
                <w:b/>
              </w:rPr>
            </w:pPr>
          </w:p>
        </w:tc>
        <w:tc>
          <w:tcPr>
            <w:tcW w:w="2523" w:type="dxa"/>
          </w:tcPr>
          <w:p w14:paraId="21246C91">
            <w:pPr>
              <w:autoSpaceDE w:val="0"/>
              <w:autoSpaceDN w:val="0"/>
              <w:textAlignment w:val="bottom"/>
              <w:rPr>
                <w:rFonts w:hint="eastAsia" w:ascii="宋体" w:hAnsi="宋体" w:cs="Arial"/>
                <w:b/>
              </w:rPr>
            </w:pPr>
          </w:p>
        </w:tc>
        <w:tc>
          <w:tcPr>
            <w:tcW w:w="2297" w:type="dxa"/>
          </w:tcPr>
          <w:p w14:paraId="0D65AAFB">
            <w:pPr>
              <w:autoSpaceDE w:val="0"/>
              <w:autoSpaceDN w:val="0"/>
              <w:textAlignment w:val="bottom"/>
              <w:rPr>
                <w:rFonts w:hint="eastAsia" w:ascii="宋体" w:hAnsi="宋体" w:cs="Arial"/>
                <w:b/>
              </w:rPr>
            </w:pPr>
          </w:p>
        </w:tc>
        <w:tc>
          <w:tcPr>
            <w:tcW w:w="2976" w:type="dxa"/>
          </w:tcPr>
          <w:p w14:paraId="105D0A6C">
            <w:pPr>
              <w:autoSpaceDE w:val="0"/>
              <w:autoSpaceDN w:val="0"/>
              <w:textAlignment w:val="bottom"/>
              <w:rPr>
                <w:rFonts w:hint="eastAsia" w:ascii="宋体" w:hAnsi="宋体" w:cs="Arial"/>
                <w:b/>
              </w:rPr>
            </w:pPr>
          </w:p>
        </w:tc>
      </w:tr>
      <w:tr w14:paraId="5EF5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3C847898">
            <w:pPr>
              <w:autoSpaceDE w:val="0"/>
              <w:autoSpaceDN w:val="0"/>
              <w:textAlignment w:val="bottom"/>
              <w:rPr>
                <w:rFonts w:hint="eastAsia" w:ascii="宋体" w:hAnsi="宋体" w:cs="Arial"/>
                <w:b/>
              </w:rPr>
            </w:pPr>
          </w:p>
        </w:tc>
        <w:tc>
          <w:tcPr>
            <w:tcW w:w="2523" w:type="dxa"/>
          </w:tcPr>
          <w:p w14:paraId="41132A99">
            <w:pPr>
              <w:autoSpaceDE w:val="0"/>
              <w:autoSpaceDN w:val="0"/>
              <w:textAlignment w:val="bottom"/>
              <w:rPr>
                <w:rFonts w:hint="eastAsia" w:ascii="宋体" w:hAnsi="宋体" w:cs="Arial"/>
                <w:b/>
              </w:rPr>
            </w:pPr>
          </w:p>
        </w:tc>
        <w:tc>
          <w:tcPr>
            <w:tcW w:w="2297" w:type="dxa"/>
          </w:tcPr>
          <w:p w14:paraId="1755FF15">
            <w:pPr>
              <w:autoSpaceDE w:val="0"/>
              <w:autoSpaceDN w:val="0"/>
              <w:textAlignment w:val="bottom"/>
              <w:rPr>
                <w:rFonts w:hint="eastAsia" w:ascii="宋体" w:hAnsi="宋体" w:cs="Arial"/>
                <w:b/>
              </w:rPr>
            </w:pPr>
          </w:p>
        </w:tc>
        <w:tc>
          <w:tcPr>
            <w:tcW w:w="2976" w:type="dxa"/>
          </w:tcPr>
          <w:p w14:paraId="592797C1">
            <w:pPr>
              <w:autoSpaceDE w:val="0"/>
              <w:autoSpaceDN w:val="0"/>
              <w:textAlignment w:val="bottom"/>
              <w:rPr>
                <w:rFonts w:hint="eastAsia" w:ascii="宋体" w:hAnsi="宋体" w:cs="Arial"/>
                <w:b/>
              </w:rPr>
            </w:pPr>
          </w:p>
        </w:tc>
      </w:tr>
      <w:tr w14:paraId="5C74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0F188EBB">
            <w:pPr>
              <w:autoSpaceDE w:val="0"/>
              <w:autoSpaceDN w:val="0"/>
              <w:textAlignment w:val="bottom"/>
              <w:rPr>
                <w:rFonts w:hint="eastAsia" w:ascii="宋体" w:hAnsi="宋体" w:cs="Arial"/>
                <w:b/>
              </w:rPr>
            </w:pPr>
          </w:p>
        </w:tc>
        <w:tc>
          <w:tcPr>
            <w:tcW w:w="2523" w:type="dxa"/>
          </w:tcPr>
          <w:p w14:paraId="3C285AF3">
            <w:pPr>
              <w:autoSpaceDE w:val="0"/>
              <w:autoSpaceDN w:val="0"/>
              <w:textAlignment w:val="bottom"/>
              <w:rPr>
                <w:rFonts w:hint="eastAsia" w:ascii="宋体" w:hAnsi="宋体" w:cs="Arial"/>
                <w:b/>
              </w:rPr>
            </w:pPr>
          </w:p>
        </w:tc>
        <w:tc>
          <w:tcPr>
            <w:tcW w:w="2297" w:type="dxa"/>
          </w:tcPr>
          <w:p w14:paraId="7335ECE6">
            <w:pPr>
              <w:autoSpaceDE w:val="0"/>
              <w:autoSpaceDN w:val="0"/>
              <w:textAlignment w:val="bottom"/>
              <w:rPr>
                <w:rFonts w:hint="eastAsia" w:ascii="宋体" w:hAnsi="宋体" w:cs="Arial"/>
                <w:b/>
              </w:rPr>
            </w:pPr>
          </w:p>
        </w:tc>
        <w:tc>
          <w:tcPr>
            <w:tcW w:w="2976" w:type="dxa"/>
          </w:tcPr>
          <w:p w14:paraId="76CE1E79">
            <w:pPr>
              <w:autoSpaceDE w:val="0"/>
              <w:autoSpaceDN w:val="0"/>
              <w:textAlignment w:val="bottom"/>
              <w:rPr>
                <w:rFonts w:hint="eastAsia" w:ascii="宋体" w:hAnsi="宋体" w:cs="Arial"/>
                <w:b/>
              </w:rPr>
            </w:pPr>
          </w:p>
        </w:tc>
      </w:tr>
      <w:tr w14:paraId="6C5C7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6B94D130">
            <w:pPr>
              <w:autoSpaceDE w:val="0"/>
              <w:autoSpaceDN w:val="0"/>
              <w:textAlignment w:val="bottom"/>
              <w:rPr>
                <w:rFonts w:hint="eastAsia" w:ascii="宋体" w:hAnsi="宋体" w:cs="Arial"/>
                <w:b/>
              </w:rPr>
            </w:pPr>
          </w:p>
        </w:tc>
        <w:tc>
          <w:tcPr>
            <w:tcW w:w="2523" w:type="dxa"/>
          </w:tcPr>
          <w:p w14:paraId="472A1E91">
            <w:pPr>
              <w:autoSpaceDE w:val="0"/>
              <w:autoSpaceDN w:val="0"/>
              <w:textAlignment w:val="bottom"/>
              <w:rPr>
                <w:rFonts w:hint="eastAsia" w:ascii="宋体" w:hAnsi="宋体" w:cs="Arial"/>
                <w:b/>
              </w:rPr>
            </w:pPr>
          </w:p>
        </w:tc>
        <w:tc>
          <w:tcPr>
            <w:tcW w:w="2297" w:type="dxa"/>
          </w:tcPr>
          <w:p w14:paraId="35E36B88">
            <w:pPr>
              <w:autoSpaceDE w:val="0"/>
              <w:autoSpaceDN w:val="0"/>
              <w:textAlignment w:val="bottom"/>
              <w:rPr>
                <w:rFonts w:hint="eastAsia" w:ascii="宋体" w:hAnsi="宋体" w:cs="Arial"/>
                <w:b/>
              </w:rPr>
            </w:pPr>
          </w:p>
        </w:tc>
        <w:tc>
          <w:tcPr>
            <w:tcW w:w="2976" w:type="dxa"/>
          </w:tcPr>
          <w:p w14:paraId="70A1057D">
            <w:pPr>
              <w:autoSpaceDE w:val="0"/>
              <w:autoSpaceDN w:val="0"/>
              <w:textAlignment w:val="bottom"/>
              <w:rPr>
                <w:rFonts w:hint="eastAsia" w:ascii="宋体" w:hAnsi="宋体" w:cs="Arial"/>
                <w:b/>
              </w:rPr>
            </w:pPr>
          </w:p>
        </w:tc>
      </w:tr>
    </w:tbl>
    <w:p w14:paraId="328317B3">
      <w:pPr>
        <w:autoSpaceDE w:val="0"/>
        <w:autoSpaceDN w:val="0"/>
        <w:spacing w:line="360" w:lineRule="auto"/>
        <w:textAlignment w:val="bottom"/>
        <w:rPr>
          <w:rFonts w:hint="eastAsia" w:ascii="宋体" w:hAnsi="宋体" w:cs="Arial"/>
          <w:b/>
          <w:sz w:val="24"/>
        </w:rPr>
      </w:pPr>
    </w:p>
    <w:p w14:paraId="6A310E9C">
      <w:pPr>
        <w:spacing w:line="360" w:lineRule="auto"/>
        <w:rPr>
          <w:rFonts w:hint="eastAsia" w:ascii="宋体" w:hAnsi="宋体"/>
          <w:sz w:val="24"/>
        </w:rPr>
      </w:pPr>
      <w:r>
        <w:rPr>
          <w:rFonts w:hint="eastAsia" w:ascii="宋体" w:hAnsi="宋体"/>
          <w:sz w:val="24"/>
        </w:rPr>
        <w:t xml:space="preserve">投标人授权代表签字：___________________ </w:t>
      </w:r>
    </w:p>
    <w:p w14:paraId="770A55AE">
      <w:pPr>
        <w:spacing w:line="360" w:lineRule="auto"/>
        <w:rPr>
          <w:rFonts w:hint="eastAsia" w:ascii="宋体" w:hAnsi="宋体"/>
          <w:sz w:val="24"/>
        </w:rPr>
      </w:pPr>
      <w:r>
        <w:rPr>
          <w:rFonts w:hint="eastAsia" w:ascii="宋体" w:hAnsi="宋体"/>
          <w:sz w:val="24"/>
        </w:rPr>
        <w:t>投标人名称：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（加盖公章）</w:t>
      </w:r>
    </w:p>
    <w:p w14:paraId="6285DA56">
      <w:pPr>
        <w:spacing w:line="360" w:lineRule="auto"/>
        <w:rPr>
          <w:rFonts w:hint="eastAsia" w:ascii="宋体" w:hAnsi="宋体"/>
          <w:sz w:val="24"/>
          <w:u w:val="single"/>
        </w:rPr>
      </w:pPr>
      <w:r>
        <w:rPr>
          <w:rFonts w:hint="eastAsia" w:ascii="宋体" w:hAnsi="宋体"/>
          <w:sz w:val="24"/>
        </w:rPr>
        <w:t>日期：</w:t>
      </w:r>
      <w:r>
        <w:rPr>
          <w:rFonts w:hint="eastAsia" w:ascii="宋体" w:hAnsi="宋体"/>
          <w:sz w:val="24"/>
          <w:u w:val="single"/>
        </w:rPr>
        <w:t xml:space="preserve"> </w:t>
      </w:r>
      <w:r>
        <w:rPr>
          <w:rFonts w:ascii="宋体" w:hAnsi="宋体"/>
          <w:sz w:val="24"/>
          <w:u w:val="single"/>
        </w:rPr>
        <w:t xml:space="preserve">                        </w:t>
      </w:r>
    </w:p>
    <w:p w14:paraId="44160543">
      <w:pPr>
        <w:spacing w:line="360" w:lineRule="auto"/>
        <w:rPr>
          <w:rFonts w:ascii="宋体"/>
        </w:rPr>
      </w:pPr>
    </w:p>
    <w:p w14:paraId="1BD4A406">
      <w:pPr>
        <w:spacing w:line="360" w:lineRule="auto"/>
        <w:rPr>
          <w:rFonts w:hint="eastAsia" w:ascii="宋体" w:hAnsi="宋体"/>
        </w:rPr>
      </w:pPr>
    </w:p>
    <w:p w14:paraId="47A53500">
      <w:pPr>
        <w:spacing w:line="360" w:lineRule="auto"/>
      </w:pPr>
    </w:p>
    <w:p w14:paraId="27EF0B08">
      <w:pPr>
        <w:autoSpaceDE w:val="0"/>
        <w:autoSpaceDN w:val="0"/>
        <w:spacing w:line="360" w:lineRule="auto"/>
        <w:textAlignment w:val="bottom"/>
        <w:rPr>
          <w:rFonts w:hint="eastAsia" w:ascii="宋体" w:hAnsi="宋体" w:cs="Arial"/>
          <w:bCs/>
          <w:sz w:val="24"/>
        </w:rPr>
      </w:pPr>
      <w:r>
        <w:rPr>
          <w:rFonts w:hint="eastAsia" w:ascii="宋体" w:hAnsi="宋体" w:cs="Arial"/>
          <w:bCs/>
          <w:sz w:val="24"/>
        </w:rPr>
        <w:t>注：</w:t>
      </w:r>
    </w:p>
    <w:p w14:paraId="1886F711">
      <w:pPr>
        <w:autoSpaceDE w:val="0"/>
        <w:autoSpaceDN w:val="0"/>
        <w:spacing w:line="360" w:lineRule="auto"/>
        <w:textAlignment w:val="bottom"/>
        <w:rPr>
          <w:rFonts w:hint="eastAsia" w:ascii="宋体" w:hAnsi="宋体" w:cs="Arial"/>
          <w:bCs/>
          <w:sz w:val="24"/>
        </w:rPr>
      </w:pPr>
      <w:r>
        <w:rPr>
          <w:rFonts w:hint="eastAsia" w:ascii="宋体" w:hAnsi="宋体" w:cs="Arial"/>
          <w:bCs/>
          <w:sz w:val="24"/>
        </w:rPr>
        <w:t>1、商务偏离表主要针对招标文件</w:t>
      </w:r>
      <w:r>
        <w:rPr>
          <w:rFonts w:hint="eastAsia" w:ascii="宋体" w:hAnsi="宋体" w:cs="Arial"/>
          <w:b/>
          <w:bCs/>
          <w:i w:val="0"/>
          <w:iCs w:val="0"/>
          <w:sz w:val="24"/>
        </w:rPr>
        <w:t>第四章 项目需求 三、商务条款</w:t>
      </w:r>
      <w:r>
        <w:rPr>
          <w:rFonts w:hint="eastAsia" w:ascii="宋体" w:hAnsi="宋体" w:cs="Arial"/>
          <w:sz w:val="24"/>
        </w:rPr>
        <w:t>”</w:t>
      </w:r>
      <w:r>
        <w:rPr>
          <w:rFonts w:hint="eastAsia" w:ascii="宋体" w:hAnsi="宋体" w:cs="Arial"/>
          <w:bCs/>
          <w:sz w:val="24"/>
        </w:rPr>
        <w:t>（包括招标文件中付款条件、培训、售后服务等要求）填写；</w:t>
      </w:r>
    </w:p>
    <w:p w14:paraId="0CC113C2">
      <w:pPr>
        <w:autoSpaceDE w:val="0"/>
        <w:autoSpaceDN w:val="0"/>
        <w:spacing w:line="360" w:lineRule="auto"/>
        <w:textAlignment w:val="bottom"/>
        <w:rPr>
          <w:rFonts w:hint="eastAsia" w:ascii="宋体" w:hAnsi="宋体" w:cs="Arial"/>
          <w:bCs/>
          <w:sz w:val="24"/>
        </w:rPr>
      </w:pPr>
      <w:r>
        <w:rPr>
          <w:rFonts w:hint="eastAsia" w:ascii="宋体" w:hAnsi="宋体" w:cs="Arial"/>
          <w:bCs/>
          <w:sz w:val="24"/>
        </w:rPr>
        <w:t>2、若对招标文件商务条款有任何偏离应列明偏离情况；除有偏离情况以外的，若对招标文件商务条款其他部分无偏离应标明“其他无偏离”；</w:t>
      </w:r>
    </w:p>
    <w:p w14:paraId="661F9F03">
      <w:pPr>
        <w:autoSpaceDE w:val="0"/>
        <w:autoSpaceDN w:val="0"/>
        <w:spacing w:line="360" w:lineRule="auto"/>
        <w:textAlignment w:val="bottom"/>
        <w:rPr>
          <w:rFonts w:hint="eastAsia" w:ascii="宋体" w:hAnsi="宋体" w:cs="Arial"/>
          <w:bCs/>
          <w:sz w:val="24"/>
        </w:rPr>
      </w:pPr>
      <w:r>
        <w:rPr>
          <w:rFonts w:hint="eastAsia" w:ascii="宋体" w:hAnsi="宋体" w:cs="Arial"/>
          <w:bCs/>
          <w:sz w:val="24"/>
        </w:rPr>
        <w:t>3、对招标文件全部无偏离应标明“全部无偏离”。</w:t>
      </w:r>
    </w:p>
    <w:p w14:paraId="6624365D">
      <w:pPr>
        <w:widowControl/>
        <w:jc w:val="left"/>
        <w:rPr>
          <w:rFonts w:hint="eastAsia" w:ascii="宋体" w:hAnsi="宋体" w:cs="Arial"/>
          <w:bCs/>
          <w:szCs w:val="21"/>
        </w:rPr>
      </w:pPr>
      <w:r>
        <w:rPr>
          <w:rFonts w:ascii="宋体" w:hAnsi="宋体" w:cs="Arial"/>
          <w:bCs/>
          <w:szCs w:val="21"/>
        </w:rPr>
        <w:br w:type="page"/>
      </w:r>
    </w:p>
    <w:p w14:paraId="16468CCB">
      <w:pPr>
        <w:pStyle w:val="3"/>
        <w:tabs>
          <w:tab w:val="left" w:pos="5580"/>
        </w:tabs>
        <w:rPr>
          <w:rFonts w:hint="eastAsia" w:ascii="宋体" w:hAnsi="宋体" w:eastAsia="宋体" w:cs="宋体"/>
          <w:bCs/>
          <w:sz w:val="28"/>
          <w:szCs w:val="28"/>
        </w:rPr>
      </w:pPr>
      <w:r>
        <w:rPr>
          <w:rFonts w:hint="eastAsia" w:ascii="宋体" w:hAnsi="宋体" w:eastAsia="宋体" w:cs="宋体"/>
          <w:bCs/>
          <w:sz w:val="28"/>
          <w:szCs w:val="28"/>
        </w:rPr>
        <w:t>附件8 资格证明文件：</w:t>
      </w:r>
    </w:p>
    <w:p w14:paraId="2B93F6A7">
      <w:pPr>
        <w:spacing w:line="360" w:lineRule="auto"/>
        <w:outlineLvl w:val="1"/>
        <w:rPr>
          <w:rFonts w:hint="eastAsia" w:ascii="宋体" w:hAnsi="宋体" w:cs="宋体"/>
          <w:b/>
          <w:bCs/>
          <w:sz w:val="24"/>
        </w:rPr>
      </w:pPr>
      <w:r>
        <w:rPr>
          <w:rFonts w:hint="eastAsia" w:ascii="宋体" w:hAnsi="宋体" w:cs="宋体"/>
          <w:b/>
          <w:bCs/>
          <w:sz w:val="24"/>
        </w:rPr>
        <w:t>★</w:t>
      </w:r>
      <w:r>
        <w:rPr>
          <w:rFonts w:hint="eastAsia" w:ascii="宋体" w:hAnsi="宋体" w:cs="宋体"/>
          <w:sz w:val="24"/>
        </w:rPr>
        <w:t>附件</w:t>
      </w:r>
      <w:r>
        <w:rPr>
          <w:rFonts w:ascii="宋体" w:hAnsi="宋体" w:cs="宋体"/>
          <w:b/>
          <w:bCs/>
          <w:sz w:val="24"/>
        </w:rPr>
        <w:t>8</w:t>
      </w:r>
      <w:r>
        <w:rPr>
          <w:rFonts w:hint="eastAsia" w:ascii="宋体" w:hAnsi="宋体" w:cs="宋体"/>
          <w:b/>
          <w:bCs/>
          <w:sz w:val="24"/>
        </w:rPr>
        <w:t>-1 法人营业执照/事业单位法人证书（复印件，加盖公章，投标人必须提供，格式自拟）</w:t>
      </w:r>
    </w:p>
    <w:p w14:paraId="666A3344">
      <w:pPr>
        <w:spacing w:line="360" w:lineRule="auto"/>
        <w:rPr>
          <w:rFonts w:hint="eastAsia" w:ascii="宋体" w:hAnsi="宋体" w:cs="宋体"/>
          <w:sz w:val="24"/>
        </w:rPr>
      </w:pPr>
    </w:p>
    <w:p w14:paraId="133DA64D">
      <w:pPr>
        <w:spacing w:line="360" w:lineRule="auto"/>
        <w:rPr>
          <w:rFonts w:hint="eastAsia" w:ascii="宋体" w:hAnsi="宋体" w:cs="宋体"/>
          <w:sz w:val="24"/>
        </w:rPr>
      </w:pPr>
    </w:p>
    <w:p w14:paraId="3F218F58">
      <w:pPr>
        <w:spacing w:line="360" w:lineRule="auto"/>
        <w:outlineLvl w:val="1"/>
        <w:rPr>
          <w:rFonts w:hint="eastAsia" w:ascii="宋体" w:hAnsi="宋体" w:cs="宋体"/>
          <w:b/>
          <w:bCs/>
          <w:sz w:val="24"/>
        </w:rPr>
      </w:pPr>
      <w:r>
        <w:rPr>
          <w:rFonts w:hint="eastAsia" w:ascii="宋体" w:hAnsi="宋体" w:cs="宋体"/>
          <w:b/>
          <w:bCs/>
          <w:sz w:val="24"/>
        </w:rPr>
        <w:t>附件</w:t>
      </w:r>
      <w:r>
        <w:rPr>
          <w:rFonts w:ascii="宋体" w:hAnsi="宋体" w:cs="宋体"/>
          <w:b/>
          <w:bCs/>
          <w:sz w:val="24"/>
        </w:rPr>
        <w:t>8</w:t>
      </w:r>
      <w:r>
        <w:rPr>
          <w:rFonts w:hint="eastAsia" w:ascii="宋体" w:hAnsi="宋体" w:cs="宋体"/>
          <w:b/>
          <w:bCs/>
          <w:sz w:val="24"/>
        </w:rPr>
        <w:t>-2 税务登记证书（复印件，加盖公章，多证合一的无需提供）</w:t>
      </w:r>
    </w:p>
    <w:p w14:paraId="058505BA">
      <w:pPr>
        <w:spacing w:line="360" w:lineRule="auto"/>
        <w:rPr>
          <w:rFonts w:hint="eastAsia" w:ascii="宋体" w:hAnsi="宋体" w:cs="宋体"/>
          <w:sz w:val="24"/>
        </w:rPr>
      </w:pPr>
    </w:p>
    <w:p w14:paraId="5B39737B">
      <w:pPr>
        <w:spacing w:line="360" w:lineRule="auto"/>
        <w:rPr>
          <w:rFonts w:hint="eastAsia" w:ascii="宋体" w:hAnsi="宋体" w:cs="宋体"/>
          <w:sz w:val="24"/>
        </w:rPr>
      </w:pPr>
    </w:p>
    <w:p w14:paraId="46101764">
      <w:pPr>
        <w:spacing w:line="360" w:lineRule="auto"/>
        <w:rPr>
          <w:rFonts w:hint="eastAsia" w:ascii="宋体" w:hAnsi="宋体" w:cs="宋体"/>
          <w:sz w:val="24"/>
        </w:rPr>
      </w:pPr>
    </w:p>
    <w:p w14:paraId="725E2BC5">
      <w:pPr>
        <w:spacing w:line="360" w:lineRule="auto"/>
        <w:outlineLvl w:val="1"/>
        <w:rPr>
          <w:rFonts w:hint="eastAsia" w:ascii="宋体" w:hAnsi="宋体" w:cs="宋体"/>
          <w:b/>
          <w:bCs/>
          <w:sz w:val="24"/>
        </w:rPr>
      </w:pPr>
      <w:r>
        <w:rPr>
          <w:rFonts w:hint="eastAsia" w:ascii="宋体" w:hAnsi="宋体" w:cs="宋体"/>
          <w:b/>
          <w:bCs/>
          <w:sz w:val="24"/>
        </w:rPr>
        <w:t>附件</w:t>
      </w:r>
      <w:r>
        <w:rPr>
          <w:rFonts w:ascii="宋体" w:hAnsi="宋体" w:cs="宋体"/>
          <w:b/>
          <w:bCs/>
          <w:sz w:val="24"/>
        </w:rPr>
        <w:t>8</w:t>
      </w:r>
      <w:r>
        <w:rPr>
          <w:rFonts w:hint="eastAsia" w:ascii="宋体" w:hAnsi="宋体" w:cs="宋体"/>
          <w:b/>
          <w:bCs/>
          <w:sz w:val="24"/>
        </w:rPr>
        <w:t>-3 国家法律法规要求的资质证明文件（如有）</w:t>
      </w:r>
    </w:p>
    <w:p w14:paraId="21C2199B">
      <w:pPr>
        <w:tabs>
          <w:tab w:val="left" w:pos="425"/>
        </w:tabs>
        <w:jc w:val="center"/>
        <w:rPr>
          <w:rFonts w:hint="eastAsia" w:ascii="宋体" w:hAnsi="宋体" w:cs="宋体"/>
          <w:b/>
          <w:bCs/>
          <w:sz w:val="24"/>
        </w:rPr>
      </w:pPr>
    </w:p>
    <w:p w14:paraId="2E5D1EA9">
      <w:pPr>
        <w:tabs>
          <w:tab w:val="left" w:pos="425"/>
        </w:tabs>
        <w:jc w:val="center"/>
        <w:rPr>
          <w:rFonts w:hint="eastAsia" w:ascii="宋体" w:hAnsi="宋体" w:cs="宋体"/>
          <w:b/>
          <w:bCs/>
          <w:sz w:val="24"/>
        </w:rPr>
      </w:pPr>
    </w:p>
    <w:p w14:paraId="456DFA95">
      <w:pPr>
        <w:tabs>
          <w:tab w:val="left" w:pos="425"/>
        </w:tabs>
        <w:jc w:val="center"/>
        <w:rPr>
          <w:rFonts w:hint="eastAsia" w:ascii="宋体" w:hAnsi="宋体" w:cs="宋体"/>
          <w:b/>
          <w:bCs/>
          <w:sz w:val="24"/>
        </w:rPr>
      </w:pPr>
    </w:p>
    <w:p w14:paraId="27330105">
      <w:pPr>
        <w:tabs>
          <w:tab w:val="left" w:pos="425"/>
        </w:tabs>
        <w:jc w:val="center"/>
        <w:rPr>
          <w:rFonts w:hint="eastAsia" w:ascii="宋体" w:hAnsi="宋体" w:cs="宋体"/>
          <w:b/>
          <w:bCs/>
          <w:sz w:val="24"/>
        </w:rPr>
      </w:pPr>
    </w:p>
    <w:p w14:paraId="6ABADCF4">
      <w:pPr>
        <w:rPr>
          <w:rFonts w:hint="eastAsia" w:ascii="宋体" w:hAnsi="宋体" w:cs="宋体"/>
          <w:b/>
          <w:bCs/>
          <w:sz w:val="24"/>
        </w:rPr>
      </w:pPr>
      <w:r>
        <w:rPr>
          <w:rFonts w:hint="eastAsia" w:ascii="宋体" w:hAnsi="宋体" w:cs="宋体"/>
          <w:b/>
          <w:bCs/>
          <w:sz w:val="24"/>
        </w:rPr>
        <w:br w:type="page"/>
      </w:r>
    </w:p>
    <w:p w14:paraId="1DBB6910">
      <w:pPr>
        <w:pStyle w:val="3"/>
        <w:tabs>
          <w:tab w:val="left" w:pos="425"/>
        </w:tabs>
        <w:rPr>
          <w:rFonts w:hint="eastAsia" w:ascii="宋体" w:hAnsi="宋体" w:cs="仿宋_GB2312"/>
          <w:bCs/>
          <w:kern w:val="2"/>
        </w:rPr>
      </w:pPr>
      <w:r>
        <w:rPr>
          <w:rFonts w:hint="eastAsia" w:ascii="宋体" w:hAnsi="宋体" w:cs="宋体"/>
          <w:bCs/>
          <w:sz w:val="24"/>
        </w:rPr>
        <w:t>★</w:t>
      </w:r>
      <w:r>
        <w:rPr>
          <w:rFonts w:hint="eastAsia" w:ascii="宋体" w:hAnsi="宋体" w:cs="仿宋_GB2312"/>
          <w:bCs/>
          <w:kern w:val="2"/>
        </w:rPr>
        <w:t>附件</w:t>
      </w:r>
      <w:r>
        <w:rPr>
          <w:rFonts w:ascii="宋体" w:hAnsi="宋体" w:cs="仿宋_GB2312"/>
          <w:bCs/>
          <w:kern w:val="2"/>
        </w:rPr>
        <w:t>8</w:t>
      </w:r>
      <w:r>
        <w:rPr>
          <w:rFonts w:hint="eastAsia" w:ascii="宋体" w:hAnsi="宋体" w:cs="仿宋_GB2312"/>
          <w:bCs/>
          <w:kern w:val="2"/>
        </w:rPr>
        <w:t>-</w:t>
      </w:r>
      <w:r>
        <w:rPr>
          <w:rFonts w:ascii="宋体" w:hAnsi="宋体" w:cs="仿宋_GB2312"/>
          <w:bCs/>
          <w:kern w:val="2"/>
        </w:rPr>
        <w:t>4</w:t>
      </w:r>
      <w:r>
        <w:rPr>
          <w:rFonts w:hint="eastAsia" w:ascii="宋体" w:hAnsi="宋体" w:cs="仿宋_GB2312"/>
          <w:bCs/>
          <w:kern w:val="2"/>
        </w:rPr>
        <w:t xml:space="preserve"> 法定代表人资格证明书及法定代表人授权委托书</w:t>
      </w:r>
    </w:p>
    <w:p w14:paraId="39BA5E49">
      <w:pPr>
        <w:pStyle w:val="7"/>
        <w:jc w:val="center"/>
        <w:rPr>
          <w:szCs w:val="24"/>
        </w:rPr>
      </w:pPr>
    </w:p>
    <w:p w14:paraId="3DBFD755">
      <w:pPr>
        <w:pStyle w:val="4"/>
        <w:numPr>
          <w:ilvl w:val="2"/>
          <w:numId w:val="0"/>
        </w:numPr>
        <w:tabs>
          <w:tab w:val="left" w:pos="720"/>
        </w:tabs>
        <w:spacing w:before="0" w:after="0" w:line="360" w:lineRule="auto"/>
        <w:ind w:left="2160" w:hanging="360"/>
        <w:jc w:val="center"/>
        <w:rPr>
          <w:rFonts w:hint="eastAsia" w:ascii="宋体" w:hAnsi="宋体" w:cs="仿宋_GB2312"/>
          <w:sz w:val="24"/>
          <w:szCs w:val="24"/>
        </w:rPr>
      </w:pPr>
      <w:r>
        <w:rPr>
          <w:rFonts w:hint="eastAsia" w:ascii="宋体" w:hAnsi="宋体" w:cs="宋体"/>
          <w:sz w:val="24"/>
        </w:rPr>
        <w:t>★</w:t>
      </w:r>
      <w:r>
        <w:rPr>
          <w:rFonts w:hint="eastAsia" w:ascii="宋体" w:hAnsi="宋体" w:cs="仿宋_GB2312"/>
          <w:sz w:val="24"/>
          <w:szCs w:val="24"/>
        </w:rPr>
        <w:t>（1）法定代表人资格证明书</w:t>
      </w:r>
    </w:p>
    <w:p w14:paraId="03B4B64B">
      <w:pPr>
        <w:spacing w:line="360" w:lineRule="auto"/>
        <w:jc w:val="center"/>
        <w:rPr>
          <w:rFonts w:hint="eastAsia" w:ascii="宋体" w:hAnsi="宋体" w:cs="仿宋_GB2312"/>
          <w:sz w:val="24"/>
        </w:rPr>
      </w:pPr>
      <w:r>
        <w:rPr>
          <w:rFonts w:hint="eastAsia" w:ascii="宋体" w:hAnsi="宋体" w:cs="仿宋_GB2312"/>
          <w:sz w:val="24"/>
        </w:rPr>
        <w:t>（注</w:t>
      </w:r>
      <w:r>
        <w:rPr>
          <w:rFonts w:ascii="宋体" w:hAnsi="宋体" w:cs="仿宋_GB2312"/>
          <w:sz w:val="24"/>
        </w:rPr>
        <w:t>：</w:t>
      </w:r>
      <w:r>
        <w:rPr>
          <w:rFonts w:hint="eastAsia" w:ascii="宋体" w:hAnsi="宋体" w:cs="仿宋_GB2312"/>
          <w:sz w:val="24"/>
        </w:rPr>
        <w:t>响应签字代表为法定代表人，适用本表）</w:t>
      </w:r>
    </w:p>
    <w:p w14:paraId="46C209A0">
      <w:pPr>
        <w:ind w:left="750"/>
      </w:pPr>
    </w:p>
    <w:p w14:paraId="1CF829AD">
      <w:pPr>
        <w:spacing w:line="360" w:lineRule="auto"/>
        <w:rPr>
          <w:rFonts w:hint="eastAsia" w:ascii="宋体" w:hAnsi="宋体" w:cs="仿宋_GB2312"/>
        </w:rPr>
      </w:pPr>
      <w:r>
        <w:rPr>
          <w:rFonts w:hint="eastAsia" w:ascii="宋体" w:hAnsi="宋体" w:cs="仿宋_GB2312"/>
        </w:rPr>
        <w:t>致：</w:t>
      </w:r>
      <w:r>
        <w:rPr>
          <w:rFonts w:hint="eastAsia" w:ascii="宋体" w:hAnsi="宋体" w:cs="仿宋_GB2312"/>
          <w:u w:val="single"/>
        </w:rPr>
        <w:t xml:space="preserve"> </w:t>
      </w:r>
      <w:r>
        <w:rPr>
          <w:rFonts w:ascii="宋体" w:hAnsi="宋体" w:cs="仿宋_GB2312"/>
          <w:u w:val="single"/>
        </w:rPr>
        <w:t xml:space="preserve">                  </w:t>
      </w:r>
      <w:r>
        <w:rPr>
          <w:rFonts w:hint="eastAsia" w:ascii="宋体" w:hAnsi="宋体" w:cs="仿宋_GB2312"/>
          <w:u w:val="single"/>
        </w:rPr>
        <w:t>(采购人名称)_</w:t>
      </w:r>
      <w:r>
        <w:rPr>
          <w:rFonts w:hint="eastAsia" w:ascii="宋体" w:hAnsi="宋体" w:cs="仿宋_GB2312"/>
        </w:rPr>
        <w:t>：</w:t>
      </w:r>
    </w:p>
    <w:p w14:paraId="7763908F">
      <w:pPr>
        <w:spacing w:line="360" w:lineRule="auto"/>
        <w:ind w:firstLine="420"/>
        <w:rPr>
          <w:rFonts w:hint="eastAsia" w:ascii="宋体" w:hAnsi="宋体" w:cs="仿宋_GB2312"/>
        </w:rPr>
      </w:pPr>
      <w:r>
        <w:rPr>
          <w:rFonts w:hint="eastAsia" w:ascii="宋体" w:hAnsi="宋体" w:cs="仿宋_GB2312"/>
          <w:u w:val="single"/>
        </w:rPr>
        <w:t>    </w:t>
      </w:r>
      <w:r>
        <w:rPr>
          <w:rFonts w:hint="eastAsia" w:ascii="宋体" w:hAnsi="宋体" w:cs="仿宋_GB2312"/>
        </w:rPr>
        <w:t>同志，现任我单位</w:t>
      </w:r>
      <w:r>
        <w:rPr>
          <w:rFonts w:hint="eastAsia" w:ascii="宋体" w:hAnsi="宋体" w:cs="仿宋_GB2312"/>
          <w:u w:val="single"/>
        </w:rPr>
        <w:t>    </w:t>
      </w:r>
      <w:r>
        <w:rPr>
          <w:rFonts w:hint="eastAsia" w:ascii="宋体" w:hAnsi="宋体" w:cs="仿宋_GB2312"/>
        </w:rPr>
        <w:t>职务，为法定代表人，特此证明。</w:t>
      </w:r>
    </w:p>
    <w:tbl>
      <w:tblPr>
        <w:tblStyle w:val="37"/>
        <w:tblW w:w="9175" w:type="dxa"/>
        <w:jc w:val="center"/>
        <w:tblLayout w:type="fixed"/>
        <w:tblCellMar>
          <w:top w:w="0" w:type="dxa"/>
          <w:left w:w="108" w:type="dxa"/>
          <w:bottom w:w="0" w:type="dxa"/>
          <w:right w:w="108" w:type="dxa"/>
        </w:tblCellMar>
      </w:tblPr>
      <w:tblGrid>
        <w:gridCol w:w="4587"/>
        <w:gridCol w:w="4588"/>
      </w:tblGrid>
      <w:tr w14:paraId="2167ACA3">
        <w:tblPrEx>
          <w:tblCellMar>
            <w:top w:w="0" w:type="dxa"/>
            <w:left w:w="108" w:type="dxa"/>
            <w:bottom w:w="0" w:type="dxa"/>
            <w:right w:w="108" w:type="dxa"/>
          </w:tblCellMar>
        </w:tblPrEx>
        <w:trPr>
          <w:jc w:val="center"/>
        </w:trPr>
        <w:tc>
          <w:tcPr>
            <w:tcW w:w="4587" w:type="dxa"/>
            <w:vAlign w:val="center"/>
          </w:tcPr>
          <w:p w14:paraId="41ADBF6D">
            <w:pPr>
              <w:spacing w:line="360" w:lineRule="auto"/>
              <w:rPr>
                <w:rFonts w:hint="eastAsia" w:ascii="宋体" w:hAnsi="宋体" w:cs="仿宋_GB2312"/>
              </w:rPr>
            </w:pPr>
            <w:r>
              <w:rPr>
                <w:rFonts w:hint="eastAsia" w:ascii="宋体" w:hAnsi="宋体" w:cs="仿宋_GB2312"/>
              </w:rPr>
              <w:t>签发日期：</w:t>
            </w:r>
            <w:r>
              <w:rPr>
                <w:rFonts w:hint="eastAsia" w:ascii="宋体" w:hAnsi="宋体" w:cs="仿宋_GB2312"/>
                <w:u w:val="single"/>
              </w:rPr>
              <w:t>   </w:t>
            </w:r>
            <w:r>
              <w:rPr>
                <w:rFonts w:hint="eastAsia" w:ascii="宋体" w:hAnsi="宋体" w:cs="仿宋_GB2312"/>
              </w:rPr>
              <w:t>年</w:t>
            </w:r>
            <w:r>
              <w:rPr>
                <w:rFonts w:hint="eastAsia" w:ascii="宋体" w:hAnsi="宋体" w:cs="仿宋_GB2312"/>
                <w:u w:val="single"/>
              </w:rPr>
              <w:t>  </w:t>
            </w:r>
            <w:r>
              <w:rPr>
                <w:rFonts w:hint="eastAsia" w:ascii="宋体" w:hAnsi="宋体" w:cs="仿宋_GB2312"/>
              </w:rPr>
              <w:t>月</w:t>
            </w:r>
            <w:r>
              <w:rPr>
                <w:rFonts w:hint="eastAsia" w:ascii="宋体" w:hAnsi="宋体" w:cs="仿宋_GB2312"/>
                <w:u w:val="single"/>
              </w:rPr>
              <w:t>  </w:t>
            </w:r>
            <w:r>
              <w:rPr>
                <w:rFonts w:hint="eastAsia" w:ascii="宋体" w:hAnsi="宋体" w:cs="仿宋_GB2312"/>
              </w:rPr>
              <w:t>日</w:t>
            </w:r>
          </w:p>
        </w:tc>
        <w:tc>
          <w:tcPr>
            <w:tcW w:w="4588" w:type="dxa"/>
            <w:vAlign w:val="center"/>
          </w:tcPr>
          <w:p w14:paraId="41958DA4">
            <w:pPr>
              <w:spacing w:line="360" w:lineRule="auto"/>
              <w:rPr>
                <w:rFonts w:hint="eastAsia" w:ascii="宋体" w:hAnsi="宋体" w:cs="仿宋_GB2312"/>
                <w:u w:val="single"/>
              </w:rPr>
            </w:pPr>
            <w:r>
              <w:rPr>
                <w:rFonts w:hint="eastAsia" w:ascii="宋体" w:hAnsi="宋体" w:cs="仿宋_GB2312"/>
              </w:rPr>
              <w:t>单位（加盖公章）：</w:t>
            </w:r>
          </w:p>
        </w:tc>
      </w:tr>
      <w:tr w14:paraId="37261485">
        <w:tblPrEx>
          <w:tblCellMar>
            <w:top w:w="0" w:type="dxa"/>
            <w:left w:w="108" w:type="dxa"/>
            <w:bottom w:w="0" w:type="dxa"/>
            <w:right w:w="108" w:type="dxa"/>
          </w:tblCellMar>
        </w:tblPrEx>
        <w:trPr>
          <w:jc w:val="center"/>
        </w:trPr>
        <w:tc>
          <w:tcPr>
            <w:tcW w:w="4587" w:type="dxa"/>
            <w:vAlign w:val="center"/>
          </w:tcPr>
          <w:p w14:paraId="2156BDD0">
            <w:pPr>
              <w:spacing w:line="360" w:lineRule="auto"/>
              <w:rPr>
                <w:rFonts w:hint="eastAsia" w:ascii="宋体" w:hAnsi="宋体" w:cs="仿宋_GB2312"/>
              </w:rPr>
            </w:pPr>
            <w:r>
              <w:rPr>
                <w:rFonts w:hint="eastAsia" w:ascii="宋体" w:hAnsi="宋体" w:cs="仿宋_GB2312"/>
              </w:rPr>
              <w:t>附：</w:t>
            </w:r>
          </w:p>
        </w:tc>
        <w:tc>
          <w:tcPr>
            <w:tcW w:w="4588" w:type="dxa"/>
            <w:vAlign w:val="center"/>
          </w:tcPr>
          <w:p w14:paraId="17BC8AD0">
            <w:pPr>
              <w:spacing w:line="360" w:lineRule="auto"/>
              <w:rPr>
                <w:rFonts w:hint="eastAsia" w:ascii="宋体" w:hAnsi="宋体" w:cs="仿宋_GB2312"/>
              </w:rPr>
            </w:pPr>
          </w:p>
        </w:tc>
      </w:tr>
      <w:tr w14:paraId="477A8584">
        <w:tblPrEx>
          <w:tblCellMar>
            <w:top w:w="0" w:type="dxa"/>
            <w:left w:w="108" w:type="dxa"/>
            <w:bottom w:w="0" w:type="dxa"/>
            <w:right w:w="108" w:type="dxa"/>
          </w:tblCellMar>
        </w:tblPrEx>
        <w:trPr>
          <w:jc w:val="center"/>
        </w:trPr>
        <w:tc>
          <w:tcPr>
            <w:tcW w:w="4587" w:type="dxa"/>
            <w:vAlign w:val="center"/>
          </w:tcPr>
          <w:p w14:paraId="4AEE0CAE">
            <w:pPr>
              <w:spacing w:line="360" w:lineRule="auto"/>
              <w:rPr>
                <w:rFonts w:hint="eastAsia" w:ascii="宋体" w:hAnsi="宋体" w:cs="仿宋_GB2312"/>
                <w:u w:val="single"/>
              </w:rPr>
            </w:pPr>
            <w:r>
              <w:rPr>
                <w:rFonts w:hint="eastAsia" w:ascii="宋体" w:hAnsi="宋体" w:cs="仿宋_GB2312"/>
              </w:rPr>
              <w:t>代表人性别：</w:t>
            </w:r>
          </w:p>
        </w:tc>
        <w:tc>
          <w:tcPr>
            <w:tcW w:w="4588" w:type="dxa"/>
            <w:vAlign w:val="center"/>
          </w:tcPr>
          <w:p w14:paraId="29694B4D">
            <w:pPr>
              <w:spacing w:line="360" w:lineRule="auto"/>
              <w:rPr>
                <w:rFonts w:hint="eastAsia" w:ascii="宋体" w:hAnsi="宋体" w:cs="仿宋_GB2312"/>
                <w:u w:val="single"/>
              </w:rPr>
            </w:pPr>
            <w:r>
              <w:rPr>
                <w:rFonts w:hint="eastAsia" w:ascii="宋体" w:hAnsi="宋体" w:cs="仿宋_GB2312"/>
              </w:rPr>
              <w:t>年龄：</w:t>
            </w:r>
          </w:p>
        </w:tc>
      </w:tr>
      <w:tr w14:paraId="1AF636F1">
        <w:tblPrEx>
          <w:tblCellMar>
            <w:top w:w="0" w:type="dxa"/>
            <w:left w:w="108" w:type="dxa"/>
            <w:bottom w:w="0" w:type="dxa"/>
            <w:right w:w="108" w:type="dxa"/>
          </w:tblCellMar>
        </w:tblPrEx>
        <w:trPr>
          <w:jc w:val="center"/>
        </w:trPr>
        <w:tc>
          <w:tcPr>
            <w:tcW w:w="9175" w:type="dxa"/>
            <w:gridSpan w:val="2"/>
            <w:vAlign w:val="center"/>
          </w:tcPr>
          <w:p w14:paraId="4260E9CD">
            <w:pPr>
              <w:spacing w:line="360" w:lineRule="auto"/>
              <w:rPr>
                <w:rFonts w:hint="eastAsia" w:ascii="宋体" w:hAnsi="宋体" w:cs="仿宋_GB2312"/>
                <w:u w:val="single"/>
              </w:rPr>
            </w:pPr>
            <w:r>
              <w:rPr>
                <w:rFonts w:hint="eastAsia" w:ascii="宋体" w:hAnsi="宋体" w:cs="仿宋_GB2312"/>
              </w:rPr>
              <w:t>身份证号码：</w:t>
            </w:r>
          </w:p>
        </w:tc>
      </w:tr>
      <w:tr w14:paraId="754BF93B">
        <w:tblPrEx>
          <w:tblCellMar>
            <w:top w:w="0" w:type="dxa"/>
            <w:left w:w="108" w:type="dxa"/>
            <w:bottom w:w="0" w:type="dxa"/>
            <w:right w:w="108" w:type="dxa"/>
          </w:tblCellMar>
        </w:tblPrEx>
        <w:trPr>
          <w:jc w:val="center"/>
        </w:trPr>
        <w:tc>
          <w:tcPr>
            <w:tcW w:w="9175" w:type="dxa"/>
            <w:gridSpan w:val="2"/>
            <w:vAlign w:val="center"/>
          </w:tcPr>
          <w:p w14:paraId="72A66A61">
            <w:pPr>
              <w:spacing w:line="360" w:lineRule="auto"/>
              <w:rPr>
                <w:rFonts w:hint="eastAsia" w:ascii="宋体" w:hAnsi="宋体" w:cs="仿宋_GB2312"/>
                <w:u w:val="single"/>
              </w:rPr>
            </w:pPr>
            <w:r>
              <w:rPr>
                <w:rFonts w:hint="eastAsia" w:ascii="宋体" w:hAnsi="宋体" w:cs="仿宋_GB2312"/>
              </w:rPr>
              <w:t>联系电话：</w:t>
            </w:r>
          </w:p>
        </w:tc>
      </w:tr>
      <w:tr w14:paraId="224F7B7C">
        <w:tblPrEx>
          <w:tblCellMar>
            <w:top w:w="0" w:type="dxa"/>
            <w:left w:w="108" w:type="dxa"/>
            <w:bottom w:w="0" w:type="dxa"/>
            <w:right w:w="108" w:type="dxa"/>
          </w:tblCellMar>
        </w:tblPrEx>
        <w:trPr>
          <w:jc w:val="center"/>
        </w:trPr>
        <w:tc>
          <w:tcPr>
            <w:tcW w:w="4587" w:type="dxa"/>
            <w:vAlign w:val="center"/>
          </w:tcPr>
          <w:p w14:paraId="7EA53F25">
            <w:pPr>
              <w:spacing w:line="360" w:lineRule="auto"/>
              <w:rPr>
                <w:rFonts w:hint="eastAsia" w:ascii="宋体" w:hAnsi="宋体" w:cs="仿宋_GB2312"/>
                <w:u w:val="single"/>
              </w:rPr>
            </w:pPr>
            <w:r>
              <w:rPr>
                <w:rFonts w:hint="eastAsia" w:ascii="宋体" w:hAnsi="宋体" w:cs="仿宋_GB2312"/>
              </w:rPr>
              <w:t>营业执照号码：</w:t>
            </w:r>
          </w:p>
        </w:tc>
        <w:tc>
          <w:tcPr>
            <w:tcW w:w="4588" w:type="dxa"/>
            <w:vAlign w:val="center"/>
          </w:tcPr>
          <w:p w14:paraId="2474723E">
            <w:pPr>
              <w:spacing w:line="360" w:lineRule="auto"/>
              <w:rPr>
                <w:rFonts w:hint="eastAsia" w:ascii="宋体" w:hAnsi="宋体" w:cs="仿宋_GB2312"/>
                <w:u w:val="single"/>
              </w:rPr>
            </w:pPr>
            <w:r>
              <w:rPr>
                <w:rFonts w:hint="eastAsia" w:ascii="宋体" w:hAnsi="宋体" w:cs="仿宋_GB2312"/>
              </w:rPr>
              <w:t>经济性质：</w:t>
            </w:r>
          </w:p>
        </w:tc>
      </w:tr>
    </w:tbl>
    <w:p w14:paraId="5E40F80C">
      <w:pPr>
        <w:spacing w:line="360" w:lineRule="auto"/>
        <w:rPr>
          <w:rFonts w:hint="eastAsia" w:ascii="宋体" w:hAnsi="宋体" w:cs="仿宋_GB2312"/>
          <w:bCs/>
        </w:rPr>
      </w:pPr>
    </w:p>
    <w:p w14:paraId="7D78C071">
      <w:pPr>
        <w:spacing w:line="360" w:lineRule="auto"/>
        <w:rPr>
          <w:rFonts w:hint="eastAsia" w:ascii="宋体" w:hAnsi="宋体" w:cs="仿宋_GB2312"/>
          <w:b/>
          <w:sz w:val="24"/>
        </w:rPr>
      </w:pPr>
      <w:r>
        <w:rPr>
          <w:rFonts w:hint="eastAsia" w:ascii="宋体" w:hAnsi="宋体" w:cs="仿宋_GB2312"/>
          <w:b/>
          <w:sz w:val="24"/>
        </w:rPr>
        <w:t>附：法定代表人居民身份证（人像页、国徽页）复印件或影印件粘贴处</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5"/>
      </w:tblGrid>
      <w:tr w14:paraId="515A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8" w:hRule="atLeast"/>
          <w:jc w:val="center"/>
        </w:trPr>
        <w:tc>
          <w:tcPr>
            <w:tcW w:w="9175" w:type="dxa"/>
            <w:vAlign w:val="center"/>
          </w:tcPr>
          <w:p w14:paraId="1C7BB852">
            <w:pPr>
              <w:jc w:val="center"/>
              <w:rPr>
                <w:rFonts w:hint="eastAsia" w:ascii="宋体" w:hAnsi="宋体" w:cs="仿宋_GB2312"/>
                <w:b/>
              </w:rPr>
            </w:pPr>
            <w:r>
              <w:rPr>
                <w:rFonts w:hint="eastAsia" w:ascii="宋体" w:hAnsi="宋体" w:cs="仿宋_GB2312"/>
              </w:rPr>
              <w:t>粘贴法定代表人居民身份证（人像页、国徽页）复印件或影印件</w:t>
            </w:r>
          </w:p>
        </w:tc>
      </w:tr>
    </w:tbl>
    <w:p w14:paraId="291B30AE">
      <w:pPr>
        <w:autoSpaceDE w:val="0"/>
        <w:autoSpaceDN w:val="0"/>
        <w:spacing w:line="360" w:lineRule="auto"/>
        <w:textAlignment w:val="bottom"/>
        <w:rPr>
          <w:rFonts w:hint="eastAsia" w:ascii="宋体" w:hAnsi="宋体" w:cs="Arial"/>
          <w:bCs/>
          <w:szCs w:val="21"/>
        </w:rPr>
      </w:pPr>
    </w:p>
    <w:p w14:paraId="13275868">
      <w:pPr>
        <w:widowControl/>
        <w:jc w:val="left"/>
        <w:rPr>
          <w:rFonts w:hint="eastAsia" w:ascii="宋体" w:hAnsi="宋体"/>
          <w:b/>
          <w:snapToGrid w:val="0"/>
          <w:sz w:val="24"/>
        </w:rPr>
      </w:pPr>
      <w:r>
        <w:rPr>
          <w:rFonts w:hAnsi="宋体"/>
          <w:b/>
          <w:snapToGrid w:val="0"/>
          <w:sz w:val="24"/>
        </w:rPr>
        <w:br w:type="page"/>
      </w:r>
    </w:p>
    <w:p w14:paraId="67775569">
      <w:pPr>
        <w:pStyle w:val="19"/>
        <w:spacing w:line="440" w:lineRule="exact"/>
        <w:jc w:val="center"/>
        <w:outlineLvl w:val="2"/>
        <w:rPr>
          <w:rFonts w:hint="eastAsia" w:hAnsi="宋体"/>
          <w:b/>
          <w:snapToGrid w:val="0"/>
          <w:sz w:val="24"/>
          <w:szCs w:val="24"/>
        </w:rPr>
      </w:pPr>
      <w:r>
        <w:rPr>
          <w:rFonts w:hint="eastAsia" w:hAnsi="宋体" w:cs="宋体"/>
          <w:b/>
          <w:bCs/>
          <w:sz w:val="24"/>
        </w:rPr>
        <w:t>★</w:t>
      </w:r>
      <w:r>
        <w:rPr>
          <w:rFonts w:hint="eastAsia" w:hAnsi="宋体"/>
          <w:b/>
          <w:snapToGrid w:val="0"/>
          <w:sz w:val="24"/>
          <w:szCs w:val="24"/>
        </w:rPr>
        <w:t>（2）法定代表人授权委托书</w:t>
      </w:r>
    </w:p>
    <w:p w14:paraId="68148FDC">
      <w:pPr>
        <w:pStyle w:val="19"/>
        <w:spacing w:line="440" w:lineRule="exact"/>
        <w:jc w:val="center"/>
        <w:rPr>
          <w:rFonts w:hint="eastAsia" w:hAnsi="宋体"/>
          <w:b/>
          <w:snapToGrid w:val="0"/>
        </w:rPr>
      </w:pPr>
      <w:r>
        <w:rPr>
          <w:rFonts w:hint="eastAsia" w:hAnsi="宋体"/>
          <w:b/>
          <w:snapToGrid w:val="0"/>
        </w:rPr>
        <w:t>（注：响应签字代表为被授权代表人，除出具此表外，还需出具法定代表人资格证明书）</w:t>
      </w:r>
    </w:p>
    <w:p w14:paraId="77DFC848">
      <w:pPr>
        <w:spacing w:line="360" w:lineRule="auto"/>
        <w:rPr>
          <w:rFonts w:hint="eastAsia" w:ascii="宋体" w:hAnsi="宋体"/>
          <w:sz w:val="24"/>
        </w:rPr>
      </w:pPr>
    </w:p>
    <w:p w14:paraId="5F13586F">
      <w:pPr>
        <w:pStyle w:val="19"/>
        <w:tabs>
          <w:tab w:val="left" w:pos="5580"/>
        </w:tabs>
        <w:spacing w:line="360" w:lineRule="auto"/>
        <w:rPr>
          <w:rFonts w:hint="eastAsia" w:hAnsi="宋体"/>
          <w:sz w:val="24"/>
          <w:szCs w:val="24"/>
        </w:rPr>
      </w:pPr>
      <w:r>
        <w:rPr>
          <w:rFonts w:hint="eastAsia" w:hAnsi="宋体" w:cs="仿宋_GB2312"/>
          <w:sz w:val="24"/>
          <w:szCs w:val="24"/>
        </w:rPr>
        <w:t xml:space="preserve">    本授权书声明：注册于</w:t>
      </w:r>
      <w:r>
        <w:rPr>
          <w:rFonts w:hint="eastAsia" w:hAnsi="宋体" w:cs="仿宋_GB2312"/>
          <w:sz w:val="24"/>
          <w:szCs w:val="24"/>
          <w:u w:val="single"/>
        </w:rPr>
        <w:t xml:space="preserve">            （国家或地区的名称）</w:t>
      </w:r>
      <w:r>
        <w:rPr>
          <w:rFonts w:hint="eastAsia" w:hAnsi="宋体" w:cs="仿宋_GB2312"/>
          <w:sz w:val="24"/>
          <w:szCs w:val="24"/>
        </w:rPr>
        <w:t>的（</w:t>
      </w:r>
      <w:r>
        <w:rPr>
          <w:rFonts w:hint="eastAsia" w:hAnsi="宋体" w:cs="仿宋_GB2312"/>
          <w:i/>
          <w:iCs/>
          <w:sz w:val="24"/>
          <w:szCs w:val="24"/>
          <w:u w:val="single"/>
        </w:rPr>
        <w:t>公司名称</w:t>
      </w:r>
      <w:r>
        <w:rPr>
          <w:rFonts w:hint="eastAsia" w:hAnsi="宋体" w:cs="仿宋_GB2312"/>
          <w:sz w:val="24"/>
          <w:szCs w:val="24"/>
        </w:rPr>
        <w:t>）的在下面签字的</w:t>
      </w:r>
      <w:r>
        <w:rPr>
          <w:rFonts w:hint="eastAsia" w:hAnsi="宋体" w:cs="仿宋_GB2312"/>
          <w:sz w:val="24"/>
          <w:szCs w:val="24"/>
          <w:u w:val="single"/>
        </w:rPr>
        <w:t xml:space="preserve">            （</w:t>
      </w:r>
      <w:r>
        <w:rPr>
          <w:rFonts w:hint="eastAsia" w:hAnsi="宋体" w:cs="仿宋_GB2312"/>
          <w:i/>
          <w:iCs/>
          <w:sz w:val="24"/>
          <w:szCs w:val="24"/>
          <w:u w:val="single"/>
        </w:rPr>
        <w:t>法人代表姓名、职务</w:t>
      </w:r>
      <w:r>
        <w:rPr>
          <w:rFonts w:hint="eastAsia" w:hAnsi="宋体" w:cs="仿宋_GB2312"/>
          <w:sz w:val="24"/>
          <w:szCs w:val="24"/>
        </w:rPr>
        <w:t>）代表本公司授权</w:t>
      </w:r>
      <w:r>
        <w:rPr>
          <w:rFonts w:hint="eastAsia" w:hAnsi="宋体" w:cs="仿宋_GB2312"/>
          <w:sz w:val="24"/>
          <w:szCs w:val="24"/>
          <w:u w:val="single"/>
        </w:rPr>
        <w:t xml:space="preserve">      （</w:t>
      </w:r>
      <w:r>
        <w:rPr>
          <w:rFonts w:hint="eastAsia" w:hAnsi="宋体" w:cs="仿宋_GB2312"/>
          <w:i/>
          <w:iCs/>
          <w:sz w:val="24"/>
          <w:szCs w:val="24"/>
          <w:u w:val="single"/>
        </w:rPr>
        <w:t>单位名称</w:t>
      </w:r>
      <w:r>
        <w:rPr>
          <w:rFonts w:hint="eastAsia" w:hAnsi="宋体" w:cs="仿宋_GB2312"/>
          <w:sz w:val="24"/>
          <w:szCs w:val="24"/>
        </w:rPr>
        <w:t>）的在下面签字的</w:t>
      </w:r>
      <w:r>
        <w:rPr>
          <w:rFonts w:hint="eastAsia" w:hAnsi="宋体" w:cs="仿宋_GB2312"/>
          <w:sz w:val="24"/>
          <w:szCs w:val="24"/>
          <w:u w:val="single"/>
        </w:rPr>
        <w:t xml:space="preserve">             （</w:t>
      </w:r>
      <w:r>
        <w:rPr>
          <w:rFonts w:hint="eastAsia" w:hAnsi="宋体" w:cs="仿宋_GB2312"/>
          <w:i/>
          <w:iCs/>
          <w:sz w:val="24"/>
          <w:szCs w:val="24"/>
          <w:u w:val="single"/>
        </w:rPr>
        <w:t>被授权人的姓名、职务</w:t>
      </w:r>
      <w:r>
        <w:rPr>
          <w:rFonts w:hint="eastAsia" w:hAnsi="宋体" w:cs="仿宋_GB2312"/>
          <w:sz w:val="24"/>
          <w:szCs w:val="24"/>
        </w:rPr>
        <w:t>）为本公司的合法代理人，就</w:t>
      </w:r>
      <w:r>
        <w:rPr>
          <w:rFonts w:hint="eastAsia" w:hAnsi="宋体" w:cs="仿宋_GB2312"/>
          <w:sz w:val="24"/>
          <w:szCs w:val="24"/>
          <w:u w:val="single"/>
        </w:rPr>
        <w:t xml:space="preserve">                               （</w:t>
      </w:r>
      <w:r>
        <w:rPr>
          <w:rFonts w:hint="eastAsia" w:hAnsi="宋体" w:cs="仿宋_GB2312"/>
          <w:i/>
          <w:iCs/>
          <w:sz w:val="24"/>
          <w:szCs w:val="24"/>
          <w:u w:val="single"/>
        </w:rPr>
        <w:t>项目名称</w:t>
      </w:r>
      <w:r>
        <w:rPr>
          <w:rFonts w:hint="eastAsia" w:hAnsi="宋体" w:cs="仿宋_GB2312"/>
          <w:sz w:val="24"/>
          <w:szCs w:val="24"/>
        </w:rPr>
        <w:t>）的投标，以本公司名义处理一切与之有关的事务。</w:t>
      </w:r>
    </w:p>
    <w:p w14:paraId="043471EB">
      <w:pPr>
        <w:pStyle w:val="19"/>
        <w:tabs>
          <w:tab w:val="left" w:pos="5580"/>
        </w:tabs>
        <w:spacing w:line="360" w:lineRule="auto"/>
        <w:ind w:firstLine="480"/>
        <w:rPr>
          <w:rFonts w:hint="eastAsia" w:hAnsi="宋体" w:cs="仿宋_GB2312"/>
          <w:sz w:val="24"/>
          <w:szCs w:val="24"/>
        </w:rPr>
      </w:pPr>
    </w:p>
    <w:p w14:paraId="6B0304CF">
      <w:pPr>
        <w:pStyle w:val="19"/>
        <w:tabs>
          <w:tab w:val="left" w:pos="5580"/>
        </w:tabs>
        <w:spacing w:line="360" w:lineRule="auto"/>
        <w:ind w:firstLine="480"/>
        <w:rPr>
          <w:rFonts w:hint="eastAsia" w:hAnsi="宋体" w:cs="仿宋_GB2312"/>
          <w:sz w:val="24"/>
          <w:szCs w:val="24"/>
        </w:rPr>
      </w:pPr>
      <w:r>
        <w:rPr>
          <w:rFonts w:hint="eastAsia" w:hAnsi="宋体" w:cs="仿宋_GB2312"/>
          <w:sz w:val="24"/>
          <w:szCs w:val="24"/>
        </w:rPr>
        <w:t>本授权书于</w:t>
      </w:r>
      <w:r>
        <w:rPr>
          <w:rFonts w:hAnsi="宋体" w:cs="仿宋_GB2312"/>
          <w:sz w:val="24"/>
          <w:szCs w:val="24"/>
        </w:rPr>
        <w:t>________</w:t>
      </w:r>
      <w:r>
        <w:rPr>
          <w:rFonts w:hint="eastAsia" w:hAnsi="宋体" w:cs="仿宋_GB2312"/>
          <w:sz w:val="24"/>
          <w:szCs w:val="24"/>
        </w:rPr>
        <w:t>年</w:t>
      </w:r>
      <w:r>
        <w:rPr>
          <w:rFonts w:hAnsi="宋体" w:cs="仿宋_GB2312"/>
          <w:sz w:val="24"/>
          <w:szCs w:val="24"/>
        </w:rPr>
        <w:t>____</w:t>
      </w:r>
      <w:r>
        <w:rPr>
          <w:rFonts w:hint="eastAsia" w:hAnsi="宋体" w:cs="仿宋_GB2312"/>
          <w:sz w:val="24"/>
          <w:szCs w:val="24"/>
        </w:rPr>
        <w:t>月</w:t>
      </w:r>
      <w:r>
        <w:rPr>
          <w:rFonts w:hAnsi="宋体" w:cs="仿宋_GB2312"/>
          <w:sz w:val="24"/>
          <w:szCs w:val="24"/>
        </w:rPr>
        <w:t>____</w:t>
      </w:r>
      <w:r>
        <w:rPr>
          <w:rFonts w:hint="eastAsia" w:hAnsi="宋体" w:cs="仿宋_GB2312"/>
          <w:sz w:val="24"/>
          <w:szCs w:val="24"/>
        </w:rPr>
        <w:t>日签字生效</w:t>
      </w:r>
      <w:r>
        <w:rPr>
          <w:rFonts w:hAnsi="宋体" w:cs="仿宋_GB2312"/>
          <w:sz w:val="24"/>
          <w:szCs w:val="24"/>
        </w:rPr>
        <w:t>,</w:t>
      </w:r>
      <w:r>
        <w:rPr>
          <w:rFonts w:hint="eastAsia" w:hAnsi="宋体" w:cs="仿宋_GB2312"/>
          <w:sz w:val="24"/>
          <w:szCs w:val="24"/>
        </w:rPr>
        <w:t>特此声明。</w:t>
      </w:r>
    </w:p>
    <w:p w14:paraId="6DDC5B21">
      <w:pPr>
        <w:pStyle w:val="19"/>
        <w:tabs>
          <w:tab w:val="left" w:pos="5580"/>
        </w:tabs>
        <w:spacing w:line="360" w:lineRule="auto"/>
        <w:ind w:firstLine="480"/>
        <w:rPr>
          <w:rFonts w:hint="eastAsia" w:hAnsi="宋体" w:cs="仿宋_GB2312"/>
          <w:sz w:val="24"/>
          <w:szCs w:val="24"/>
        </w:rPr>
      </w:pPr>
    </w:p>
    <w:p w14:paraId="39A0EA6A">
      <w:pPr>
        <w:pStyle w:val="19"/>
        <w:tabs>
          <w:tab w:val="left" w:pos="5580"/>
        </w:tabs>
        <w:spacing w:line="360" w:lineRule="auto"/>
        <w:ind w:firstLine="480"/>
        <w:rPr>
          <w:rFonts w:hint="eastAsia" w:hAnsi="宋体" w:cs="仿宋_GB2312"/>
          <w:sz w:val="24"/>
          <w:szCs w:val="24"/>
        </w:rPr>
      </w:pPr>
      <w:r>
        <w:rPr>
          <w:rFonts w:hint="eastAsia" w:hAnsi="宋体" w:cs="仿宋_GB2312"/>
          <w:sz w:val="24"/>
          <w:szCs w:val="24"/>
        </w:rPr>
        <w:t>法定代表人签字或人名印章：</w:t>
      </w:r>
      <w:r>
        <w:rPr>
          <w:rFonts w:hAnsi="宋体" w:cs="仿宋_GB2312"/>
          <w:sz w:val="24"/>
          <w:szCs w:val="24"/>
        </w:rPr>
        <w:t>____________________</w:t>
      </w:r>
    </w:p>
    <w:p w14:paraId="6D4DADDC">
      <w:pPr>
        <w:pStyle w:val="19"/>
        <w:tabs>
          <w:tab w:val="left" w:pos="5580"/>
        </w:tabs>
        <w:spacing w:line="360" w:lineRule="auto"/>
        <w:ind w:firstLine="480" w:firstLineChars="200"/>
        <w:rPr>
          <w:rFonts w:hint="eastAsia" w:hAnsi="宋体" w:cs="仿宋_GB2312"/>
          <w:sz w:val="24"/>
          <w:szCs w:val="24"/>
        </w:rPr>
      </w:pPr>
      <w:r>
        <w:rPr>
          <w:rFonts w:hint="eastAsia" w:hAnsi="宋体" w:cs="仿宋_GB2312"/>
          <w:sz w:val="24"/>
          <w:szCs w:val="24"/>
        </w:rPr>
        <w:t>被授权人签字：</w:t>
      </w:r>
      <w:r>
        <w:rPr>
          <w:rFonts w:hAnsi="宋体" w:cs="仿宋_GB2312"/>
          <w:sz w:val="24"/>
          <w:szCs w:val="24"/>
        </w:rPr>
        <w:t>_______________________________</w:t>
      </w:r>
    </w:p>
    <w:p w14:paraId="5813CA74">
      <w:pPr>
        <w:pStyle w:val="19"/>
        <w:tabs>
          <w:tab w:val="left" w:pos="5580"/>
        </w:tabs>
        <w:spacing w:line="360" w:lineRule="auto"/>
        <w:ind w:firstLine="480" w:firstLineChars="200"/>
        <w:rPr>
          <w:rFonts w:hint="eastAsia" w:hAnsi="宋体" w:cs="仿宋_GB2312"/>
          <w:sz w:val="24"/>
          <w:szCs w:val="24"/>
        </w:rPr>
      </w:pPr>
      <w:r>
        <w:rPr>
          <w:rFonts w:hint="eastAsia" w:hAnsi="宋体" w:cs="仿宋_GB2312"/>
          <w:sz w:val="24"/>
          <w:szCs w:val="24"/>
        </w:rPr>
        <w:t>公司加盖公章：</w:t>
      </w:r>
    </w:p>
    <w:p w14:paraId="0A4AB5F6">
      <w:pPr>
        <w:pStyle w:val="19"/>
        <w:tabs>
          <w:tab w:val="left" w:pos="5580"/>
        </w:tabs>
        <w:spacing w:line="360" w:lineRule="auto"/>
        <w:rPr>
          <w:rFonts w:hint="eastAsia" w:hAnsi="宋体" w:cs="仿宋_GB2312"/>
          <w:sz w:val="24"/>
          <w:szCs w:val="24"/>
        </w:rPr>
      </w:pPr>
    </w:p>
    <w:p w14:paraId="6F334E78">
      <w:pPr>
        <w:pStyle w:val="19"/>
        <w:tabs>
          <w:tab w:val="left" w:pos="5580"/>
        </w:tabs>
        <w:spacing w:line="360" w:lineRule="auto"/>
        <w:rPr>
          <w:rFonts w:hint="eastAsia" w:hAnsi="宋体"/>
          <w:sz w:val="24"/>
          <w:szCs w:val="24"/>
          <w:u w:val="single"/>
        </w:rPr>
      </w:pPr>
      <w:r>
        <w:rPr>
          <w:rFonts w:hint="eastAsia" w:hAnsi="宋体" w:cs="仿宋_GB2312"/>
          <w:sz w:val="24"/>
          <w:szCs w:val="24"/>
        </w:rPr>
        <w:t>被授权人姓名：职务：</w:t>
      </w:r>
    </w:p>
    <w:p w14:paraId="1E5642F6">
      <w:pPr>
        <w:pStyle w:val="19"/>
        <w:tabs>
          <w:tab w:val="left" w:pos="5580"/>
        </w:tabs>
        <w:spacing w:line="360" w:lineRule="auto"/>
        <w:rPr>
          <w:rFonts w:hint="eastAsia" w:hAnsi="宋体"/>
          <w:sz w:val="24"/>
          <w:szCs w:val="24"/>
          <w:u w:val="single"/>
        </w:rPr>
      </w:pPr>
      <w:r>
        <w:rPr>
          <w:rFonts w:hint="eastAsia" w:hAnsi="宋体" w:cs="仿宋_GB2312"/>
          <w:sz w:val="24"/>
          <w:szCs w:val="24"/>
        </w:rPr>
        <w:t>详细通讯地址：</w:t>
      </w:r>
    </w:p>
    <w:p w14:paraId="6E53AA76">
      <w:pPr>
        <w:pStyle w:val="19"/>
        <w:tabs>
          <w:tab w:val="left" w:pos="5580"/>
        </w:tabs>
        <w:spacing w:line="360" w:lineRule="auto"/>
        <w:rPr>
          <w:rFonts w:hint="eastAsia" w:hAnsi="宋体"/>
          <w:sz w:val="24"/>
          <w:szCs w:val="24"/>
          <w:u w:val="single"/>
        </w:rPr>
      </w:pPr>
      <w:r>
        <w:rPr>
          <w:rFonts w:hint="eastAsia" w:hAnsi="宋体" w:cs="仿宋_GB2312"/>
          <w:sz w:val="24"/>
          <w:szCs w:val="24"/>
        </w:rPr>
        <w:t>邮政编码：传真：</w:t>
      </w:r>
    </w:p>
    <w:p w14:paraId="1ABF5B91">
      <w:pPr>
        <w:pStyle w:val="19"/>
        <w:tabs>
          <w:tab w:val="left" w:pos="5580"/>
        </w:tabs>
        <w:spacing w:line="360" w:lineRule="auto"/>
        <w:rPr>
          <w:rFonts w:hint="eastAsia" w:hAnsi="宋体"/>
          <w:sz w:val="24"/>
          <w:szCs w:val="24"/>
          <w:u w:val="single"/>
        </w:rPr>
      </w:pPr>
      <w:r>
        <w:rPr>
          <w:rFonts w:hint="eastAsia" w:hAnsi="宋体" w:cs="仿宋_GB2312"/>
          <w:sz w:val="24"/>
          <w:szCs w:val="24"/>
        </w:rPr>
        <w:t xml:space="preserve">电话：邮箱： </w:t>
      </w:r>
    </w:p>
    <w:p w14:paraId="3A289654">
      <w:pPr>
        <w:spacing w:line="480" w:lineRule="auto"/>
        <w:rPr>
          <w:rFonts w:hint="eastAsia" w:ascii="宋体" w:hAnsi="宋体"/>
          <w:b/>
          <w:sz w:val="24"/>
        </w:rPr>
      </w:pPr>
      <w:r>
        <w:rPr>
          <w:rFonts w:hint="eastAsia" w:hAnsi="宋体"/>
          <w:b/>
          <w:sz w:val="24"/>
        </w:rPr>
        <w:t>附：</w:t>
      </w:r>
      <w:r>
        <w:rPr>
          <w:rFonts w:hint="eastAsia" w:ascii="宋体" w:hAnsi="宋体"/>
          <w:b/>
          <w:sz w:val="24"/>
        </w:rPr>
        <w:t>被授权</w:t>
      </w:r>
      <w:r>
        <w:rPr>
          <w:rFonts w:ascii="宋体" w:hAnsi="宋体"/>
          <w:b/>
          <w:sz w:val="24"/>
        </w:rPr>
        <w:t>人居民身份证</w:t>
      </w:r>
      <w:r>
        <w:rPr>
          <w:rFonts w:hint="eastAsia" w:ascii="宋体" w:hAnsi="宋体"/>
          <w:b/>
          <w:sz w:val="24"/>
        </w:rPr>
        <w:t>（人像页、国徽页）</w:t>
      </w:r>
      <w:r>
        <w:rPr>
          <w:rFonts w:ascii="宋体" w:hAnsi="宋体"/>
          <w:b/>
          <w:sz w:val="24"/>
        </w:rPr>
        <w:t>复印件</w:t>
      </w:r>
      <w:r>
        <w:rPr>
          <w:rFonts w:hint="eastAsia" w:ascii="宋体" w:hAnsi="宋体"/>
          <w:b/>
          <w:sz w:val="24"/>
        </w:rPr>
        <w:t>或影印件</w:t>
      </w:r>
      <w:r>
        <w:rPr>
          <w:rFonts w:ascii="宋体" w:hAnsi="宋体"/>
          <w:b/>
          <w:sz w:val="24"/>
        </w:rPr>
        <w:t>粘贴处</w:t>
      </w:r>
    </w:p>
    <w:tbl>
      <w:tblPr>
        <w:tblStyle w:val="37"/>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3"/>
      </w:tblGrid>
      <w:tr w14:paraId="43889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1" w:hRule="atLeast"/>
          <w:jc w:val="center"/>
        </w:trPr>
        <w:tc>
          <w:tcPr>
            <w:tcW w:w="8833" w:type="dxa"/>
            <w:vAlign w:val="center"/>
          </w:tcPr>
          <w:p w14:paraId="421BE763">
            <w:pPr>
              <w:jc w:val="center"/>
              <w:rPr>
                <w:rFonts w:hint="eastAsia" w:ascii="宋体" w:hAnsi="宋体" w:cs="仿宋_GB2312"/>
                <w:b/>
              </w:rPr>
            </w:pPr>
            <w:r>
              <w:rPr>
                <w:rFonts w:hint="eastAsia" w:ascii="宋体" w:hAnsi="宋体" w:cs="仿宋_GB2312"/>
              </w:rPr>
              <w:t>粘贴被授权人居民身份证（人像页、国徽页）复印件或影印件</w:t>
            </w:r>
          </w:p>
        </w:tc>
      </w:tr>
    </w:tbl>
    <w:p w14:paraId="6A0C697D">
      <w:pPr>
        <w:pStyle w:val="36"/>
        <w:ind w:firstLine="0" w:firstLineChars="0"/>
        <w:rPr>
          <w:rFonts w:ascii="宋体"/>
          <w:snapToGrid w:val="0"/>
          <w:szCs w:val="21"/>
        </w:rPr>
      </w:pPr>
      <w:r>
        <w:rPr>
          <w:snapToGrid w:val="0"/>
        </w:rPr>
        <w:br w:type="page"/>
      </w:r>
    </w:p>
    <w:p w14:paraId="2DB45EFA">
      <w:pPr>
        <w:tabs>
          <w:tab w:val="left" w:pos="5580"/>
        </w:tabs>
        <w:spacing w:before="120" w:line="360" w:lineRule="auto"/>
        <w:jc w:val="center"/>
        <w:outlineLvl w:val="1"/>
        <w:rPr>
          <w:rFonts w:hint="eastAsia" w:ascii="宋体" w:hAnsi="宋体" w:cs="仿宋_GB2312"/>
          <w:b/>
          <w:bCs/>
          <w:sz w:val="24"/>
          <w:lang w:eastAsia="zh-CN"/>
        </w:rPr>
      </w:pPr>
      <w:r>
        <w:rPr>
          <w:rFonts w:hint="eastAsia" w:ascii="宋体" w:hAnsi="宋体" w:cs="仿宋_GB2312"/>
          <w:b/>
          <w:bCs/>
          <w:sz w:val="24"/>
        </w:rPr>
        <w:t>附件</w:t>
      </w:r>
      <w:r>
        <w:rPr>
          <w:rFonts w:ascii="宋体" w:hAnsi="宋体" w:cs="仿宋_GB2312"/>
          <w:b/>
          <w:bCs/>
          <w:sz w:val="24"/>
        </w:rPr>
        <w:t xml:space="preserve">8-5 </w:t>
      </w:r>
      <w:r>
        <w:rPr>
          <w:rFonts w:hint="eastAsia" w:ascii="宋体" w:hAnsi="宋体" w:cs="仿宋_GB2312"/>
          <w:b/>
          <w:bCs/>
          <w:sz w:val="24"/>
          <w:lang w:eastAsia="zh-CN"/>
        </w:rPr>
        <w:t>制造厂家的资格声明以及授权书</w:t>
      </w:r>
    </w:p>
    <w:p w14:paraId="6E7A46AC">
      <w:pPr>
        <w:tabs>
          <w:tab w:val="left" w:pos="5580"/>
        </w:tabs>
        <w:spacing w:before="120"/>
        <w:ind w:left="360"/>
        <w:jc w:val="center"/>
        <w:outlineLvl w:val="1"/>
        <w:rPr>
          <w:rFonts w:hint="default" w:ascii="宋体" w:hAnsi="宋体" w:eastAsia="宋体"/>
          <w:sz w:val="24"/>
          <w:lang w:val="en-US" w:eastAsia="zh-CN"/>
        </w:rPr>
      </w:pPr>
      <w:r>
        <w:rPr>
          <w:rFonts w:hint="eastAsia" w:ascii="宋体" w:hAnsi="宋体" w:cs="仿宋_GB2312"/>
          <w:b/>
          <w:bCs/>
          <w:sz w:val="24"/>
        </w:rPr>
        <w:t>附件</w:t>
      </w:r>
      <w:r>
        <w:rPr>
          <w:rFonts w:ascii="宋体" w:hAnsi="宋体" w:cs="仿宋_GB2312"/>
          <w:b/>
          <w:bCs/>
          <w:sz w:val="24"/>
        </w:rPr>
        <w:t>8-5</w:t>
      </w:r>
      <w:r>
        <w:rPr>
          <w:rFonts w:hint="eastAsia" w:ascii="宋体" w:hAnsi="宋体" w:cs="仿宋_GB2312"/>
          <w:b/>
          <w:bCs/>
          <w:sz w:val="24"/>
          <w:lang w:val="en-US" w:eastAsia="zh-CN"/>
        </w:rPr>
        <w:t xml:space="preserve">-1  </w:t>
      </w:r>
      <w:r>
        <w:rPr>
          <w:rFonts w:hint="eastAsia" w:ascii="宋体" w:hAnsi="宋体" w:cs="仿宋_GB2312"/>
          <w:b/>
          <w:bCs/>
          <w:sz w:val="24"/>
          <w:lang w:eastAsia="zh-CN"/>
        </w:rPr>
        <w:t>制造厂家的资格声明</w:t>
      </w:r>
    </w:p>
    <w:p w14:paraId="63F6251A">
      <w:pPr>
        <w:numPr>
          <w:ilvl w:val="0"/>
          <w:numId w:val="0"/>
        </w:numPr>
        <w:tabs>
          <w:tab w:val="left" w:pos="5580"/>
        </w:tabs>
        <w:spacing w:before="120"/>
        <w:ind w:left="570" w:leftChars="0" w:hanging="360" w:firstLineChars="0"/>
        <w:rPr>
          <w:rFonts w:hint="eastAsia" w:ascii="宋体" w:hAnsi="宋体"/>
          <w:sz w:val="24"/>
        </w:rPr>
      </w:pPr>
      <w:r>
        <w:rPr>
          <w:rFonts w:hint="default" w:ascii="宋体" w:hAnsi="宋体" w:eastAsia="宋体" w:cs="Times New Roman"/>
          <w:kern w:val="2"/>
          <w:sz w:val="24"/>
          <w:szCs w:val="24"/>
          <w:lang w:val="en-US" w:eastAsia="zh-CN" w:bidi="ar-SA"/>
        </w:rPr>
        <w:t>1、</w:t>
      </w:r>
      <w:r>
        <w:rPr>
          <w:rFonts w:hint="eastAsia" w:ascii="宋体" w:hAnsi="宋体" w:cs="仿宋_GB2312"/>
          <w:sz w:val="24"/>
        </w:rPr>
        <w:t>名称及概况：</w:t>
      </w:r>
    </w:p>
    <w:p w14:paraId="74FA3095">
      <w:pPr>
        <w:tabs>
          <w:tab w:val="left" w:pos="5580"/>
        </w:tabs>
        <w:spacing w:before="120"/>
        <w:ind w:firstLine="360"/>
        <w:rPr>
          <w:rFonts w:hint="eastAsia" w:ascii="宋体" w:hAnsi="宋体"/>
          <w:sz w:val="24"/>
        </w:rPr>
      </w:pPr>
      <w:r>
        <w:rPr>
          <w:rFonts w:ascii="宋体" w:hAnsi="宋体" w:cs="仿宋_GB2312"/>
          <w:sz w:val="24"/>
        </w:rPr>
        <w:t>(1)</w:t>
      </w:r>
      <w:r>
        <w:rPr>
          <w:rFonts w:hint="eastAsia" w:ascii="宋体" w:hAnsi="宋体" w:cs="仿宋_GB2312"/>
          <w:sz w:val="24"/>
        </w:rPr>
        <w:t>制造厂家名称：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3D26B1AD">
      <w:pPr>
        <w:tabs>
          <w:tab w:val="left" w:pos="5580"/>
        </w:tabs>
        <w:spacing w:before="120"/>
        <w:ind w:left="360"/>
        <w:rPr>
          <w:rFonts w:hint="eastAsia" w:ascii="宋体" w:hAnsi="宋体"/>
          <w:sz w:val="24"/>
          <w:u w:val="single"/>
        </w:rPr>
      </w:pPr>
      <w:r>
        <w:rPr>
          <w:rFonts w:ascii="宋体" w:hAnsi="宋体" w:cs="仿宋_GB2312"/>
          <w:sz w:val="24"/>
        </w:rPr>
        <w:t>(2)</w:t>
      </w:r>
      <w:r>
        <w:rPr>
          <w:rFonts w:hint="eastAsia" w:ascii="宋体" w:hAnsi="宋体" w:cs="仿宋_GB2312"/>
          <w:sz w:val="24"/>
        </w:rPr>
        <w:t>地址及邮编：</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107B02E8">
      <w:pPr>
        <w:tabs>
          <w:tab w:val="left" w:pos="5580"/>
        </w:tabs>
        <w:spacing w:before="120"/>
        <w:ind w:left="360"/>
        <w:rPr>
          <w:rFonts w:hint="eastAsia" w:ascii="宋体" w:hAnsi="宋体"/>
          <w:sz w:val="24"/>
        </w:rPr>
      </w:pPr>
    </w:p>
    <w:p w14:paraId="5A2B3594">
      <w:pPr>
        <w:tabs>
          <w:tab w:val="left" w:pos="5580"/>
        </w:tabs>
        <w:spacing w:before="120"/>
        <w:ind w:left="360"/>
        <w:rPr>
          <w:rFonts w:hint="eastAsia" w:ascii="宋体" w:hAnsi="宋体" w:cs="仿宋_GB2312"/>
          <w:sz w:val="24"/>
          <w:u w:val="single"/>
        </w:rPr>
      </w:pPr>
      <w:r>
        <w:rPr>
          <w:rFonts w:ascii="宋体" w:hAnsi="宋体" w:cs="仿宋_GB2312"/>
          <w:sz w:val="24"/>
        </w:rPr>
        <w:t>(3)</w:t>
      </w:r>
      <w:r>
        <w:rPr>
          <w:rFonts w:hint="eastAsia" w:ascii="宋体" w:hAnsi="宋体" w:cs="仿宋_GB2312"/>
          <w:sz w:val="24"/>
        </w:rPr>
        <w:t>成立和注册日期：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cs="仿宋_GB2312"/>
          <w:sz w:val="24"/>
          <w:u w:val="single"/>
        </w:rPr>
        <w:tab/>
      </w:r>
    </w:p>
    <w:p w14:paraId="46B34A8D">
      <w:pPr>
        <w:tabs>
          <w:tab w:val="left" w:pos="5340"/>
        </w:tabs>
        <w:spacing w:before="120"/>
        <w:ind w:left="360"/>
        <w:rPr>
          <w:rFonts w:hint="eastAsia" w:ascii="宋体" w:hAnsi="宋体"/>
          <w:sz w:val="24"/>
          <w:u w:val="single"/>
        </w:rPr>
      </w:pPr>
      <w:r>
        <w:rPr>
          <w:rFonts w:ascii="宋体" w:hAnsi="宋体" w:cs="仿宋_GB2312"/>
          <w:sz w:val="24"/>
        </w:rPr>
        <w:t>(4)</w:t>
      </w:r>
      <w:r>
        <w:rPr>
          <w:rFonts w:hint="eastAsia" w:ascii="宋体" w:hAnsi="宋体" w:cs="仿宋_GB2312"/>
          <w:sz w:val="24"/>
        </w:rPr>
        <w:t>主管部门：</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673FF09E">
      <w:pPr>
        <w:tabs>
          <w:tab w:val="left" w:pos="5340"/>
        </w:tabs>
        <w:spacing w:before="120"/>
        <w:ind w:left="360"/>
        <w:rPr>
          <w:rFonts w:hint="eastAsia" w:ascii="宋体" w:hAnsi="宋体" w:cs="仿宋_GB2312"/>
          <w:sz w:val="24"/>
          <w:u w:val="single"/>
        </w:rPr>
      </w:pPr>
      <w:r>
        <w:rPr>
          <w:rFonts w:ascii="宋体" w:hAnsi="宋体" w:cs="仿宋_GB2312"/>
          <w:sz w:val="24"/>
        </w:rPr>
        <w:t>(5)</w:t>
      </w:r>
      <w:r>
        <w:rPr>
          <w:rFonts w:hint="eastAsia" w:ascii="宋体" w:hAnsi="宋体" w:cs="仿宋_GB2312"/>
          <w:sz w:val="24"/>
        </w:rPr>
        <w:t>企业性质：</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1AFEBEBC">
      <w:pPr>
        <w:tabs>
          <w:tab w:val="left" w:pos="5340"/>
        </w:tabs>
        <w:spacing w:before="120"/>
        <w:ind w:left="360"/>
        <w:rPr>
          <w:rFonts w:hint="eastAsia" w:ascii="宋体" w:hAnsi="宋体"/>
          <w:sz w:val="24"/>
          <w:u w:val="single"/>
        </w:rPr>
      </w:pPr>
      <w:r>
        <w:rPr>
          <w:rFonts w:ascii="宋体" w:hAnsi="宋体" w:cs="仿宋_GB2312"/>
          <w:sz w:val="24"/>
        </w:rPr>
        <w:t>(6)</w:t>
      </w:r>
      <w:r>
        <w:rPr>
          <w:rFonts w:hint="eastAsia" w:ascii="宋体" w:hAnsi="宋体" w:cs="仿宋_GB2312"/>
          <w:sz w:val="24"/>
        </w:rPr>
        <w:t>法人代表：</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39E7E3E6">
      <w:pPr>
        <w:tabs>
          <w:tab w:val="left" w:pos="5340"/>
        </w:tabs>
        <w:spacing w:before="120"/>
        <w:ind w:left="360"/>
        <w:rPr>
          <w:rFonts w:hint="eastAsia" w:ascii="宋体" w:hAnsi="宋体"/>
          <w:sz w:val="24"/>
          <w:u w:val="single"/>
        </w:rPr>
      </w:pPr>
      <w:r>
        <w:rPr>
          <w:rFonts w:ascii="宋体" w:hAnsi="宋体" w:cs="仿宋_GB2312"/>
          <w:sz w:val="24"/>
        </w:rPr>
        <w:t>(7)</w:t>
      </w:r>
      <w:r>
        <w:rPr>
          <w:rFonts w:hint="eastAsia" w:ascii="宋体" w:hAnsi="宋体" w:cs="仿宋_GB2312"/>
          <w:sz w:val="24"/>
        </w:rPr>
        <w:t>职员人数：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101ED1D7">
      <w:pPr>
        <w:tabs>
          <w:tab w:val="left" w:pos="5340"/>
        </w:tabs>
        <w:spacing w:before="120"/>
        <w:ind w:left="960"/>
        <w:rPr>
          <w:rFonts w:hint="eastAsia" w:ascii="宋体" w:hAnsi="宋体"/>
          <w:sz w:val="24"/>
          <w:u w:val="single"/>
        </w:rPr>
      </w:pPr>
      <w:r>
        <w:rPr>
          <w:rFonts w:hint="eastAsia" w:ascii="宋体" w:hAnsi="宋体" w:cs="仿宋_GB2312"/>
          <w:sz w:val="24"/>
        </w:rPr>
        <w:t>一般工人：</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0964CC12">
      <w:pPr>
        <w:tabs>
          <w:tab w:val="left" w:pos="5340"/>
        </w:tabs>
        <w:spacing w:before="120"/>
        <w:ind w:left="960"/>
        <w:rPr>
          <w:rFonts w:hint="eastAsia" w:ascii="宋体" w:hAnsi="宋体"/>
          <w:sz w:val="24"/>
          <w:u w:val="single"/>
        </w:rPr>
      </w:pPr>
      <w:r>
        <w:rPr>
          <w:rFonts w:hint="eastAsia" w:ascii="宋体" w:hAnsi="宋体" w:cs="仿宋_GB2312"/>
          <w:sz w:val="24"/>
        </w:rPr>
        <w:t>技术人员：</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AF59365">
      <w:pPr>
        <w:tabs>
          <w:tab w:val="left" w:pos="5580"/>
        </w:tabs>
        <w:spacing w:before="120"/>
        <w:ind w:firstLine="360"/>
        <w:rPr>
          <w:rFonts w:hint="eastAsia" w:ascii="宋体" w:hAnsi="宋体" w:cs="仿宋_GB2312"/>
          <w:sz w:val="24"/>
        </w:rPr>
      </w:pPr>
      <w:r>
        <w:rPr>
          <w:rFonts w:ascii="宋体" w:hAnsi="宋体" w:cs="仿宋_GB2312"/>
          <w:sz w:val="24"/>
        </w:rPr>
        <w:t>(8)</w:t>
      </w:r>
      <w:r>
        <w:rPr>
          <w:rFonts w:hint="eastAsia" w:ascii="宋体" w:hAnsi="宋体" w:cs="仿宋_GB2312"/>
          <w:sz w:val="24"/>
        </w:rPr>
        <w:t>近期资产负债表</w:t>
      </w:r>
      <w:r>
        <w:rPr>
          <w:rFonts w:ascii="宋体" w:hAnsi="宋体" w:cs="仿宋_GB2312"/>
          <w:sz w:val="24"/>
        </w:rPr>
        <w:t>(</w:t>
      </w:r>
      <w:r>
        <w:rPr>
          <w:rFonts w:hint="eastAsia" w:ascii="宋体" w:hAnsi="宋体" w:cs="仿宋_GB2312"/>
          <w:sz w:val="24"/>
        </w:rPr>
        <w:t>到</w:t>
      </w:r>
      <w:r>
        <w:rPr>
          <w:rFonts w:ascii="宋体" w:hAnsi="宋体"/>
          <w:sz w:val="24"/>
          <w:u w:val="single"/>
        </w:rPr>
        <w:tab/>
      </w:r>
      <w:r>
        <w:rPr>
          <w:rFonts w:ascii="宋体" w:hAnsi="宋体"/>
          <w:sz w:val="24"/>
          <w:u w:val="single"/>
        </w:rPr>
        <w:tab/>
      </w:r>
      <w:r>
        <w:rPr>
          <w:rFonts w:hint="eastAsia" w:ascii="宋体" w:hAnsi="宋体" w:cs="仿宋_GB2312"/>
          <w:sz w:val="24"/>
        </w:rPr>
        <w:t>年月</w:t>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日止</w:t>
      </w:r>
      <w:r>
        <w:rPr>
          <w:rFonts w:ascii="宋体" w:hAnsi="宋体" w:cs="仿宋_GB2312"/>
          <w:sz w:val="24"/>
        </w:rPr>
        <w:t>)</w:t>
      </w:r>
    </w:p>
    <w:p w14:paraId="3A24871F">
      <w:pPr>
        <w:tabs>
          <w:tab w:val="left" w:pos="5580"/>
        </w:tabs>
        <w:spacing w:before="120"/>
        <w:ind w:left="454" w:firstLine="454"/>
        <w:rPr>
          <w:rFonts w:hint="eastAsia" w:ascii="宋体" w:hAnsi="宋体"/>
          <w:sz w:val="24"/>
          <w:u w:val="single"/>
        </w:rPr>
      </w:pPr>
      <w:r>
        <w:rPr>
          <w:rFonts w:ascii="宋体" w:hAnsi="宋体" w:cs="仿宋_GB2312"/>
          <w:sz w:val="24"/>
        </w:rPr>
        <w:t>(1)</w:t>
      </w:r>
      <w:r>
        <w:rPr>
          <w:rFonts w:hint="eastAsia" w:ascii="宋体" w:hAnsi="宋体" w:cs="仿宋_GB2312"/>
          <w:sz w:val="24"/>
        </w:rPr>
        <w:t>固定资产：</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26608CCD">
      <w:pPr>
        <w:tabs>
          <w:tab w:val="left" w:pos="5580"/>
        </w:tabs>
        <w:spacing w:before="120"/>
        <w:ind w:left="1362" w:firstLine="454"/>
        <w:rPr>
          <w:rFonts w:hint="eastAsia" w:ascii="宋体" w:hAnsi="宋体"/>
          <w:sz w:val="24"/>
          <w:u w:val="single"/>
        </w:rPr>
      </w:pPr>
      <w:r>
        <w:rPr>
          <w:rFonts w:hint="eastAsia" w:ascii="宋体" w:hAnsi="宋体" w:cs="仿宋_GB2312"/>
          <w:sz w:val="24"/>
        </w:rPr>
        <w:t>原值：</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61065476">
      <w:pPr>
        <w:tabs>
          <w:tab w:val="left" w:pos="5580"/>
        </w:tabs>
        <w:spacing w:before="120"/>
        <w:ind w:left="1362" w:firstLine="454"/>
        <w:rPr>
          <w:rFonts w:hint="eastAsia" w:ascii="宋体" w:hAnsi="宋体"/>
          <w:sz w:val="24"/>
          <w:u w:val="single"/>
        </w:rPr>
      </w:pPr>
      <w:r>
        <w:rPr>
          <w:rFonts w:hint="eastAsia" w:ascii="宋体" w:hAnsi="宋体" w:cs="仿宋_GB2312"/>
          <w:sz w:val="24"/>
        </w:rPr>
        <w:t>净值：</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4AE3115A">
      <w:pPr>
        <w:tabs>
          <w:tab w:val="left" w:pos="5580"/>
        </w:tabs>
        <w:spacing w:before="120"/>
        <w:ind w:left="454" w:firstLine="454"/>
        <w:rPr>
          <w:rFonts w:hint="eastAsia" w:ascii="宋体" w:hAnsi="宋体"/>
          <w:sz w:val="24"/>
          <w:u w:val="single"/>
        </w:rPr>
      </w:pPr>
      <w:r>
        <w:rPr>
          <w:rFonts w:ascii="宋体" w:hAnsi="宋体" w:cs="仿宋_GB2312"/>
          <w:sz w:val="24"/>
        </w:rPr>
        <w:t>(2)</w:t>
      </w:r>
      <w:r>
        <w:rPr>
          <w:rFonts w:hint="eastAsia" w:ascii="宋体" w:hAnsi="宋体" w:cs="仿宋_GB2312"/>
          <w:sz w:val="24"/>
        </w:rPr>
        <w:t>流动资金：</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041D8569">
      <w:pPr>
        <w:tabs>
          <w:tab w:val="left" w:pos="5580"/>
        </w:tabs>
        <w:spacing w:before="120"/>
        <w:ind w:left="454" w:firstLine="454"/>
        <w:rPr>
          <w:rFonts w:hint="eastAsia" w:ascii="宋体" w:hAnsi="宋体"/>
          <w:sz w:val="24"/>
          <w:u w:val="single"/>
        </w:rPr>
      </w:pPr>
      <w:r>
        <w:rPr>
          <w:rFonts w:ascii="宋体" w:hAnsi="宋体" w:cs="仿宋_GB2312"/>
          <w:sz w:val="24"/>
        </w:rPr>
        <w:t>(3)</w:t>
      </w:r>
      <w:r>
        <w:rPr>
          <w:rFonts w:hint="eastAsia" w:ascii="宋体" w:hAnsi="宋体" w:cs="仿宋_GB2312"/>
          <w:sz w:val="24"/>
        </w:rPr>
        <w:t>长期负债：</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B93CD34">
      <w:pPr>
        <w:tabs>
          <w:tab w:val="left" w:pos="5580"/>
        </w:tabs>
        <w:spacing w:before="120"/>
        <w:ind w:left="454" w:firstLine="454"/>
        <w:rPr>
          <w:rFonts w:hint="eastAsia" w:ascii="宋体" w:hAnsi="宋体"/>
          <w:sz w:val="24"/>
          <w:u w:val="single"/>
        </w:rPr>
      </w:pPr>
      <w:r>
        <w:rPr>
          <w:rFonts w:ascii="宋体" w:hAnsi="宋体" w:cs="仿宋_GB2312"/>
          <w:sz w:val="24"/>
        </w:rPr>
        <w:t>(4)</w:t>
      </w:r>
      <w:r>
        <w:rPr>
          <w:rFonts w:hint="eastAsia" w:ascii="宋体" w:hAnsi="宋体" w:cs="仿宋_GB2312"/>
          <w:sz w:val="24"/>
        </w:rPr>
        <w:t>短期负债：</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0344FB4">
      <w:pPr>
        <w:tabs>
          <w:tab w:val="left" w:pos="5580"/>
        </w:tabs>
        <w:spacing w:before="120"/>
        <w:ind w:left="454" w:firstLine="454"/>
        <w:rPr>
          <w:rFonts w:hint="eastAsia" w:ascii="宋体" w:hAnsi="宋体"/>
          <w:sz w:val="24"/>
        </w:rPr>
      </w:pPr>
      <w:r>
        <w:rPr>
          <w:rFonts w:ascii="宋体" w:hAnsi="宋体" w:cs="仿宋_GB2312"/>
          <w:sz w:val="24"/>
        </w:rPr>
        <w:t>(5)</w:t>
      </w:r>
      <w:r>
        <w:rPr>
          <w:rFonts w:hint="eastAsia" w:ascii="宋体" w:hAnsi="宋体" w:cs="仿宋_GB2312"/>
          <w:sz w:val="24"/>
        </w:rPr>
        <w:t>资金来源</w:t>
      </w:r>
    </w:p>
    <w:p w14:paraId="21E2AA7F">
      <w:pPr>
        <w:tabs>
          <w:tab w:val="left" w:pos="5580"/>
        </w:tabs>
        <w:spacing w:before="120"/>
        <w:ind w:left="1362" w:firstLine="454"/>
        <w:rPr>
          <w:rFonts w:hint="eastAsia" w:ascii="宋体" w:hAnsi="宋体"/>
          <w:sz w:val="24"/>
        </w:rPr>
      </w:pPr>
      <w:r>
        <w:rPr>
          <w:rFonts w:hint="eastAsia" w:ascii="宋体" w:hAnsi="宋体" w:cs="仿宋_GB2312"/>
          <w:sz w:val="24"/>
        </w:rPr>
        <w:t>自有资金：</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0FB39897">
      <w:pPr>
        <w:tabs>
          <w:tab w:val="left" w:pos="5580"/>
        </w:tabs>
        <w:spacing w:before="120"/>
        <w:ind w:left="1362" w:firstLine="454"/>
        <w:rPr>
          <w:rFonts w:hint="eastAsia" w:ascii="宋体" w:hAnsi="宋体"/>
          <w:sz w:val="24"/>
          <w:u w:val="single"/>
        </w:rPr>
      </w:pPr>
      <w:r>
        <w:rPr>
          <w:rFonts w:hint="eastAsia" w:ascii="宋体" w:hAnsi="宋体" w:cs="仿宋_GB2312"/>
          <w:sz w:val="24"/>
        </w:rPr>
        <w:t>银行贷款：</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7F19326">
      <w:pPr>
        <w:tabs>
          <w:tab w:val="left" w:pos="5580"/>
        </w:tabs>
        <w:spacing w:before="120"/>
        <w:ind w:left="454" w:firstLine="454"/>
        <w:rPr>
          <w:rFonts w:hint="eastAsia" w:ascii="宋体" w:hAnsi="宋体"/>
          <w:sz w:val="24"/>
          <w:u w:val="single"/>
        </w:rPr>
      </w:pPr>
      <w:r>
        <w:rPr>
          <w:rFonts w:ascii="宋体" w:hAnsi="宋体" w:cs="仿宋_GB2312"/>
          <w:sz w:val="24"/>
        </w:rPr>
        <w:t>(6)</w:t>
      </w:r>
      <w:r>
        <w:rPr>
          <w:rFonts w:hint="eastAsia" w:ascii="宋体" w:hAnsi="宋体" w:cs="仿宋_GB2312"/>
          <w:sz w:val="24"/>
        </w:rPr>
        <w:t>资金类型：</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09A6FEC9">
      <w:pPr>
        <w:tabs>
          <w:tab w:val="left" w:pos="5580"/>
        </w:tabs>
        <w:spacing w:before="120"/>
        <w:ind w:left="1362" w:firstLine="454"/>
        <w:rPr>
          <w:rFonts w:hint="eastAsia" w:ascii="宋体" w:hAnsi="宋体"/>
          <w:sz w:val="24"/>
          <w:u w:val="single"/>
        </w:rPr>
      </w:pPr>
      <w:r>
        <w:rPr>
          <w:rFonts w:hint="eastAsia" w:ascii="宋体" w:hAnsi="宋体" w:cs="仿宋_GB2312"/>
          <w:sz w:val="24"/>
        </w:rPr>
        <w:t>生产资金：</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668920BC">
      <w:pPr>
        <w:tabs>
          <w:tab w:val="left" w:pos="5580"/>
        </w:tabs>
        <w:spacing w:before="120"/>
        <w:ind w:left="1362" w:firstLine="454"/>
        <w:rPr>
          <w:rFonts w:hint="eastAsia" w:ascii="宋体" w:hAnsi="宋体" w:cs="仿宋_GB2312"/>
          <w:sz w:val="24"/>
          <w:u w:val="single"/>
        </w:rPr>
      </w:pPr>
      <w:r>
        <w:rPr>
          <w:rFonts w:hint="eastAsia" w:ascii="宋体" w:hAnsi="宋体" w:cs="仿宋_GB2312"/>
          <w:sz w:val="24"/>
        </w:rPr>
        <w:t>非生产资金：</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cs="仿宋_GB2312"/>
          <w:sz w:val="24"/>
          <w:u w:val="single"/>
        </w:rPr>
        <w:tab/>
      </w:r>
    </w:p>
    <w:p w14:paraId="35B9C395">
      <w:pPr>
        <w:tabs>
          <w:tab w:val="left" w:pos="5580"/>
        </w:tabs>
        <w:spacing w:before="120"/>
        <w:rPr>
          <w:rFonts w:hint="eastAsia" w:ascii="宋体" w:hAnsi="宋体"/>
          <w:sz w:val="24"/>
        </w:rPr>
      </w:pPr>
      <w:r>
        <w:rPr>
          <w:rFonts w:ascii="宋体" w:hAnsi="宋体" w:cs="仿宋_GB2312"/>
          <w:sz w:val="24"/>
        </w:rPr>
        <w:t>2</w:t>
      </w:r>
      <w:r>
        <w:rPr>
          <w:rFonts w:hint="eastAsia" w:ascii="宋体" w:hAnsi="宋体" w:cs="仿宋_GB2312"/>
          <w:sz w:val="24"/>
        </w:rPr>
        <w:t>、（</w:t>
      </w:r>
      <w:r>
        <w:rPr>
          <w:rFonts w:ascii="宋体" w:hAnsi="宋体" w:cs="仿宋_GB2312"/>
          <w:sz w:val="24"/>
        </w:rPr>
        <w:t>1)</w:t>
      </w:r>
      <w:r>
        <w:rPr>
          <w:rFonts w:hint="eastAsia" w:ascii="宋体" w:hAnsi="宋体" w:cs="仿宋_GB2312"/>
          <w:sz w:val="24"/>
        </w:rPr>
        <w:t>关于制造投标货物的设施及其它情况：</w:t>
      </w:r>
    </w:p>
    <w:p w14:paraId="32910B90">
      <w:pPr>
        <w:tabs>
          <w:tab w:val="left" w:pos="5580"/>
        </w:tabs>
        <w:spacing w:before="120"/>
        <w:ind w:firstLine="454"/>
        <w:rPr>
          <w:rFonts w:hint="eastAsia" w:ascii="宋体" w:hAnsi="宋体"/>
          <w:sz w:val="24"/>
        </w:rPr>
      </w:pPr>
      <w:r>
        <w:rPr>
          <w:rFonts w:hint="eastAsia" w:ascii="宋体" w:hAnsi="宋体" w:cs="仿宋_GB2312"/>
          <w:sz w:val="24"/>
        </w:rPr>
        <w:t>工厂名称地址　　生产的项目　　　　　年生产能力　　　　　职工人数</w:t>
      </w:r>
    </w:p>
    <w:p w14:paraId="01756464">
      <w:pPr>
        <w:tabs>
          <w:tab w:val="left" w:pos="5580"/>
        </w:tabs>
        <w:spacing w:before="120"/>
        <w:ind w:firstLine="454"/>
        <w:rPr>
          <w:rFonts w:hint="eastAsia" w:ascii="宋体" w:hAnsi="宋体" w:cs="仿宋_GB2312"/>
          <w:sz w:val="24"/>
        </w:rPr>
      </w:pPr>
      <w:r>
        <w:rPr>
          <w:rFonts w:ascii="宋体" w:hAnsi="宋体" w:cs="仿宋_GB2312"/>
          <w:sz w:val="24"/>
        </w:rPr>
        <w:t>_________</w:t>
      </w:r>
      <w:r>
        <w:rPr>
          <w:rFonts w:hint="eastAsia" w:ascii="宋体" w:hAnsi="宋体" w:cs="仿宋_GB2312"/>
          <w:sz w:val="24"/>
        </w:rPr>
        <w:t>　　　</w:t>
      </w:r>
      <w:r>
        <w:rPr>
          <w:rFonts w:ascii="宋体" w:hAnsi="宋体" w:cs="仿宋_GB2312"/>
          <w:sz w:val="24"/>
        </w:rPr>
        <w:t>_____________</w:t>
      </w:r>
      <w:r>
        <w:rPr>
          <w:rFonts w:hint="eastAsia" w:ascii="宋体" w:hAnsi="宋体" w:cs="仿宋_GB2312"/>
          <w:sz w:val="24"/>
        </w:rPr>
        <w:t>　　　　</w:t>
      </w:r>
      <w:r>
        <w:rPr>
          <w:rFonts w:ascii="宋体" w:hAnsi="宋体" w:cs="仿宋_GB2312"/>
          <w:sz w:val="24"/>
        </w:rPr>
        <w:t>____________</w:t>
      </w:r>
      <w:r>
        <w:rPr>
          <w:rFonts w:hint="eastAsia" w:ascii="宋体" w:hAnsi="宋体" w:cs="仿宋_GB2312"/>
          <w:sz w:val="24"/>
        </w:rPr>
        <w:t>　　　　</w:t>
      </w:r>
      <w:r>
        <w:rPr>
          <w:rFonts w:ascii="宋体" w:hAnsi="宋体" w:cs="仿宋_GB2312"/>
          <w:sz w:val="24"/>
        </w:rPr>
        <w:t>__________</w:t>
      </w:r>
    </w:p>
    <w:p w14:paraId="0F98F1F9">
      <w:pPr>
        <w:tabs>
          <w:tab w:val="left" w:pos="5580"/>
        </w:tabs>
        <w:spacing w:before="120"/>
        <w:ind w:firstLine="454"/>
        <w:rPr>
          <w:rFonts w:hint="eastAsia" w:ascii="宋体" w:hAnsi="宋体" w:cs="仿宋_GB2312"/>
          <w:sz w:val="24"/>
        </w:rPr>
      </w:pPr>
      <w:r>
        <w:rPr>
          <w:rFonts w:ascii="宋体" w:hAnsi="宋体" w:cs="仿宋_GB2312"/>
          <w:sz w:val="24"/>
        </w:rPr>
        <w:t>_________</w:t>
      </w:r>
      <w:r>
        <w:rPr>
          <w:rFonts w:hint="eastAsia" w:ascii="宋体" w:hAnsi="宋体" w:cs="仿宋_GB2312"/>
          <w:sz w:val="24"/>
        </w:rPr>
        <w:t>　　　</w:t>
      </w:r>
      <w:r>
        <w:rPr>
          <w:rFonts w:ascii="宋体" w:hAnsi="宋体" w:cs="仿宋_GB2312"/>
          <w:sz w:val="24"/>
        </w:rPr>
        <w:t>_____________</w:t>
      </w:r>
      <w:r>
        <w:rPr>
          <w:rFonts w:hint="eastAsia" w:ascii="宋体" w:hAnsi="宋体" w:cs="仿宋_GB2312"/>
          <w:sz w:val="24"/>
        </w:rPr>
        <w:t>　　　　</w:t>
      </w:r>
      <w:r>
        <w:rPr>
          <w:rFonts w:ascii="宋体" w:hAnsi="宋体" w:cs="仿宋_GB2312"/>
          <w:sz w:val="24"/>
        </w:rPr>
        <w:t>____________</w:t>
      </w:r>
      <w:r>
        <w:rPr>
          <w:rFonts w:hint="eastAsia" w:ascii="宋体" w:hAnsi="宋体" w:cs="仿宋_GB2312"/>
          <w:sz w:val="24"/>
        </w:rPr>
        <w:t>　　　　</w:t>
      </w:r>
      <w:r>
        <w:rPr>
          <w:rFonts w:ascii="宋体" w:hAnsi="宋体" w:cs="仿宋_GB2312"/>
          <w:sz w:val="24"/>
        </w:rPr>
        <w:t>__________</w:t>
      </w:r>
    </w:p>
    <w:p w14:paraId="7987A649">
      <w:pPr>
        <w:tabs>
          <w:tab w:val="left" w:pos="5580"/>
        </w:tabs>
        <w:spacing w:before="120"/>
        <w:rPr>
          <w:rFonts w:hint="eastAsia" w:ascii="宋体" w:hAnsi="宋体"/>
          <w:sz w:val="24"/>
        </w:rPr>
      </w:pPr>
      <w:r>
        <w:rPr>
          <w:rFonts w:ascii="宋体" w:hAnsi="宋体" w:cs="仿宋_GB2312"/>
          <w:sz w:val="24"/>
        </w:rPr>
        <w:t>3</w:t>
      </w:r>
      <w:r>
        <w:rPr>
          <w:rFonts w:hint="eastAsia" w:ascii="宋体" w:hAnsi="宋体" w:cs="仿宋_GB2312"/>
          <w:sz w:val="24"/>
        </w:rPr>
        <w:t>、制造厂家生产此投标货物的历史</w:t>
      </w:r>
      <w:r>
        <w:rPr>
          <w:rFonts w:ascii="宋体" w:hAnsi="宋体" w:cs="仿宋_GB2312"/>
          <w:sz w:val="24"/>
        </w:rPr>
        <w:t>(</w:t>
      </w:r>
      <w:r>
        <w:rPr>
          <w:rFonts w:hint="eastAsia" w:ascii="宋体" w:hAnsi="宋体" w:cs="仿宋_GB2312"/>
          <w:sz w:val="24"/>
        </w:rPr>
        <w:t>年数</w:t>
      </w:r>
      <w:r>
        <w:rPr>
          <w:rFonts w:ascii="宋体" w:hAnsi="宋体" w:cs="仿宋_GB2312"/>
          <w:sz w:val="24"/>
        </w:rPr>
        <w:t>)</w:t>
      </w:r>
      <w:r>
        <w:rPr>
          <w:rFonts w:hint="eastAsia" w:ascii="宋体" w:hAnsi="宋体" w:cs="仿宋_GB2312"/>
          <w:sz w:val="24"/>
        </w:rPr>
        <w:t>：</w:t>
      </w:r>
    </w:p>
    <w:p w14:paraId="64033923">
      <w:pPr>
        <w:tabs>
          <w:tab w:val="left" w:pos="5580"/>
        </w:tabs>
        <w:spacing w:before="120"/>
        <w:ind w:firstLine="454"/>
        <w:rPr>
          <w:rFonts w:hint="eastAsia" w:ascii="宋体" w:hAnsi="宋体" w:cs="仿宋_GB2312"/>
          <w:sz w:val="24"/>
        </w:rPr>
      </w:pPr>
      <w:r>
        <w:rPr>
          <w:rFonts w:ascii="宋体" w:hAnsi="宋体" w:cs="仿宋_GB2312"/>
          <w:sz w:val="24"/>
        </w:rPr>
        <w:t>___________________________________________________________</w:t>
      </w:r>
    </w:p>
    <w:p w14:paraId="6AB3EAA0">
      <w:pPr>
        <w:tabs>
          <w:tab w:val="left" w:pos="5580"/>
        </w:tabs>
        <w:spacing w:before="120"/>
        <w:ind w:firstLine="454"/>
        <w:rPr>
          <w:rFonts w:hint="eastAsia" w:ascii="宋体" w:hAnsi="宋体" w:cs="仿宋_GB2312"/>
          <w:sz w:val="24"/>
        </w:rPr>
      </w:pPr>
      <w:r>
        <w:rPr>
          <w:rFonts w:ascii="宋体" w:hAnsi="宋体" w:cs="仿宋_GB2312"/>
          <w:sz w:val="24"/>
        </w:rPr>
        <w:t>___________________________________________________________</w:t>
      </w:r>
    </w:p>
    <w:p w14:paraId="133CE015">
      <w:pPr>
        <w:tabs>
          <w:tab w:val="left" w:pos="5580"/>
        </w:tabs>
        <w:spacing w:before="120"/>
        <w:rPr>
          <w:rFonts w:hint="eastAsia" w:ascii="宋体" w:hAnsi="宋体"/>
          <w:sz w:val="24"/>
        </w:rPr>
      </w:pPr>
      <w:r>
        <w:rPr>
          <w:rFonts w:ascii="宋体" w:hAnsi="宋体" w:cs="仿宋_GB2312"/>
          <w:sz w:val="24"/>
        </w:rPr>
        <w:t>5</w:t>
      </w:r>
      <w:r>
        <w:rPr>
          <w:rFonts w:hint="eastAsia" w:ascii="宋体" w:hAnsi="宋体" w:cs="仿宋_GB2312"/>
          <w:sz w:val="24"/>
        </w:rPr>
        <w:t>、近三年的年营业额：</w:t>
      </w:r>
    </w:p>
    <w:p w14:paraId="216D44F2">
      <w:pPr>
        <w:tabs>
          <w:tab w:val="left" w:pos="5580"/>
        </w:tabs>
        <w:spacing w:before="120"/>
        <w:ind w:firstLine="933" w:firstLineChars="389"/>
        <w:rPr>
          <w:rFonts w:hint="eastAsia" w:ascii="宋体" w:hAnsi="宋体"/>
          <w:sz w:val="24"/>
        </w:rPr>
      </w:pPr>
      <w:r>
        <w:rPr>
          <w:rFonts w:hint="eastAsia" w:ascii="宋体" w:hAnsi="宋体" w:cs="仿宋_GB2312"/>
          <w:sz w:val="24"/>
        </w:rPr>
        <w:t>年份　　　　　国内　　　　　出口　　　　　总额</w:t>
      </w:r>
    </w:p>
    <w:p w14:paraId="77FABE0B">
      <w:pPr>
        <w:tabs>
          <w:tab w:val="left" w:pos="5580"/>
        </w:tabs>
        <w:spacing w:before="120"/>
        <w:ind w:firstLine="454"/>
        <w:rPr>
          <w:rFonts w:hint="eastAsia"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6959ACCC">
      <w:pPr>
        <w:tabs>
          <w:tab w:val="left" w:pos="5580"/>
        </w:tabs>
        <w:spacing w:before="120"/>
        <w:ind w:firstLine="454"/>
        <w:rPr>
          <w:rFonts w:hint="eastAsia"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3046F13E">
      <w:pPr>
        <w:tabs>
          <w:tab w:val="left" w:pos="5580"/>
        </w:tabs>
        <w:spacing w:before="120"/>
        <w:ind w:firstLine="454"/>
        <w:rPr>
          <w:rFonts w:hint="eastAsia"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2CA196EA">
      <w:pPr>
        <w:tabs>
          <w:tab w:val="left" w:pos="5580"/>
        </w:tabs>
        <w:spacing w:before="120"/>
        <w:rPr>
          <w:rFonts w:hint="eastAsia" w:ascii="宋体" w:hAnsi="宋体" w:cs="仿宋_GB2312"/>
          <w:sz w:val="24"/>
        </w:rPr>
      </w:pPr>
      <w:r>
        <w:rPr>
          <w:rFonts w:ascii="宋体" w:hAnsi="宋体" w:cs="仿宋_GB2312"/>
          <w:sz w:val="24"/>
        </w:rPr>
        <w:t>7</w:t>
      </w:r>
      <w:r>
        <w:rPr>
          <w:rFonts w:hint="eastAsia" w:ascii="宋体" w:hAnsi="宋体" w:cs="仿宋_GB2312"/>
          <w:sz w:val="24"/>
        </w:rPr>
        <w:t>、有关开户银行的名称和地址：</w:t>
      </w:r>
      <w:r>
        <w:rPr>
          <w:rFonts w:ascii="宋体" w:hAnsi="宋体" w:cs="仿宋_GB2312"/>
          <w:sz w:val="24"/>
        </w:rPr>
        <w:t>_______________________________</w:t>
      </w:r>
    </w:p>
    <w:p w14:paraId="4E275C1C">
      <w:pPr>
        <w:tabs>
          <w:tab w:val="left" w:pos="5580"/>
        </w:tabs>
        <w:spacing w:before="120"/>
        <w:rPr>
          <w:rFonts w:hint="eastAsia" w:ascii="宋体" w:hAnsi="宋体" w:cs="仿宋_GB2312"/>
          <w:sz w:val="24"/>
        </w:rPr>
      </w:pPr>
      <w:r>
        <w:rPr>
          <w:rFonts w:ascii="宋体" w:hAnsi="宋体" w:cs="仿宋_GB2312"/>
          <w:sz w:val="24"/>
        </w:rPr>
        <w:t>8</w:t>
      </w:r>
      <w:r>
        <w:rPr>
          <w:rFonts w:hint="eastAsia" w:ascii="宋体" w:hAnsi="宋体" w:cs="仿宋_GB2312"/>
          <w:sz w:val="24"/>
        </w:rPr>
        <w:t>、其他情况：</w:t>
      </w:r>
      <w:r>
        <w:rPr>
          <w:rFonts w:ascii="宋体" w:hAnsi="宋体" w:cs="仿宋_GB2312"/>
          <w:sz w:val="24"/>
        </w:rPr>
        <w:t>_______________________________________________</w:t>
      </w:r>
    </w:p>
    <w:p w14:paraId="5705747D">
      <w:pPr>
        <w:tabs>
          <w:tab w:val="left" w:pos="5580"/>
        </w:tabs>
        <w:spacing w:before="120"/>
        <w:ind w:firstLine="454"/>
        <w:rPr>
          <w:rFonts w:hint="eastAsia" w:ascii="宋体" w:hAnsi="宋体"/>
          <w:sz w:val="24"/>
        </w:rPr>
      </w:pPr>
      <w:r>
        <w:rPr>
          <w:rFonts w:hint="eastAsia" w:ascii="宋体" w:hAnsi="宋体" w:cs="仿宋_GB2312"/>
          <w:sz w:val="24"/>
        </w:rPr>
        <w:t>兹证明上述声明是真实、正确的，并提供了全部能提供的资料和数据，我们同意遵照贵方要求出示有关证明文件。</w:t>
      </w:r>
    </w:p>
    <w:p w14:paraId="0752C2D8">
      <w:pPr>
        <w:tabs>
          <w:tab w:val="left" w:pos="5580"/>
        </w:tabs>
        <w:spacing w:before="120"/>
        <w:rPr>
          <w:rFonts w:hint="eastAsia" w:ascii="宋体" w:hAnsi="宋体"/>
          <w:sz w:val="24"/>
        </w:rPr>
      </w:pPr>
    </w:p>
    <w:p w14:paraId="0D098D5F">
      <w:pPr>
        <w:tabs>
          <w:tab w:val="left" w:pos="5580"/>
        </w:tabs>
        <w:spacing w:before="120"/>
        <w:rPr>
          <w:rFonts w:hint="eastAsia" w:ascii="宋体" w:hAnsi="宋体"/>
          <w:sz w:val="24"/>
        </w:rPr>
      </w:pPr>
      <w:r>
        <w:rPr>
          <w:rFonts w:hint="eastAsia" w:ascii="宋体" w:hAnsi="宋体" w:cs="仿宋_GB2312"/>
          <w:sz w:val="24"/>
        </w:rPr>
        <w:t>日期：</w:t>
      </w:r>
      <w:r>
        <w:rPr>
          <w:rFonts w:ascii="宋体" w:hAnsi="宋体" w:cs="仿宋_GB2312"/>
          <w:sz w:val="24"/>
        </w:rPr>
        <w:t>_____</w:t>
      </w:r>
      <w:r>
        <w:rPr>
          <w:rFonts w:hint="eastAsia" w:ascii="宋体" w:hAnsi="宋体" w:cs="仿宋_GB2312"/>
          <w:sz w:val="24"/>
        </w:rPr>
        <w:t>年</w:t>
      </w:r>
      <w:r>
        <w:rPr>
          <w:rFonts w:ascii="宋体" w:hAnsi="宋体" w:cs="仿宋_GB2312"/>
          <w:sz w:val="24"/>
        </w:rPr>
        <w:t>______</w:t>
      </w:r>
      <w:r>
        <w:rPr>
          <w:rFonts w:hint="eastAsia" w:ascii="宋体" w:hAnsi="宋体" w:cs="仿宋_GB2312"/>
          <w:sz w:val="24"/>
        </w:rPr>
        <w:t>月</w:t>
      </w:r>
      <w:r>
        <w:rPr>
          <w:rFonts w:ascii="宋体" w:hAnsi="宋体" w:cs="仿宋_GB2312"/>
          <w:sz w:val="24"/>
        </w:rPr>
        <w:t>______</w:t>
      </w:r>
      <w:r>
        <w:rPr>
          <w:rFonts w:hint="eastAsia" w:ascii="宋体" w:hAnsi="宋体" w:cs="仿宋_GB2312"/>
          <w:sz w:val="24"/>
        </w:rPr>
        <w:t>日</w:t>
      </w:r>
    </w:p>
    <w:p w14:paraId="42813221">
      <w:pPr>
        <w:tabs>
          <w:tab w:val="left" w:pos="5580"/>
        </w:tabs>
        <w:spacing w:before="120"/>
        <w:rPr>
          <w:rFonts w:hint="eastAsia" w:ascii="宋体" w:hAnsi="宋体" w:cs="仿宋_GB2312"/>
          <w:sz w:val="24"/>
        </w:rPr>
      </w:pPr>
      <w:r>
        <w:rPr>
          <w:rFonts w:hint="eastAsia" w:ascii="宋体" w:hAnsi="宋体" w:cs="仿宋_GB2312"/>
          <w:sz w:val="24"/>
        </w:rPr>
        <w:t>制造商名称：</w:t>
      </w:r>
      <w:r>
        <w:rPr>
          <w:rFonts w:ascii="宋体" w:hAnsi="宋体" w:cs="仿宋_GB2312"/>
          <w:sz w:val="24"/>
        </w:rPr>
        <w:t>________</w:t>
      </w:r>
    </w:p>
    <w:p w14:paraId="716CF3CD">
      <w:pPr>
        <w:tabs>
          <w:tab w:val="left" w:pos="5580"/>
        </w:tabs>
        <w:spacing w:before="120"/>
        <w:rPr>
          <w:rFonts w:hint="eastAsia" w:ascii="宋体" w:hAnsi="宋体" w:cs="仿宋_GB2312"/>
          <w:sz w:val="24"/>
        </w:rPr>
      </w:pPr>
      <w:r>
        <w:rPr>
          <w:rFonts w:hint="eastAsia" w:ascii="宋体" w:hAnsi="宋体" w:cs="仿宋_GB2312"/>
          <w:sz w:val="24"/>
        </w:rPr>
        <w:t>投标人授权代表</w:t>
      </w:r>
      <w:r>
        <w:rPr>
          <w:rFonts w:ascii="宋体" w:hAnsi="宋体" w:cs="仿宋_GB2312"/>
          <w:sz w:val="24"/>
        </w:rPr>
        <w:t>(</w:t>
      </w:r>
      <w:r>
        <w:rPr>
          <w:rFonts w:hint="eastAsia" w:ascii="宋体" w:hAnsi="宋体" w:cs="仿宋_GB2312"/>
          <w:sz w:val="24"/>
        </w:rPr>
        <w:t>签字</w:t>
      </w:r>
      <w:r>
        <w:rPr>
          <w:rFonts w:ascii="宋体" w:hAnsi="宋体" w:cs="仿宋_GB2312"/>
          <w:sz w:val="24"/>
        </w:rPr>
        <w:t>)</w:t>
      </w:r>
      <w:r>
        <w:rPr>
          <w:rFonts w:hint="eastAsia" w:ascii="宋体" w:hAnsi="宋体" w:cs="仿宋_GB2312"/>
          <w:sz w:val="24"/>
        </w:rPr>
        <w:t>：</w:t>
      </w:r>
      <w:r>
        <w:rPr>
          <w:rFonts w:ascii="宋体" w:hAnsi="宋体" w:cs="仿宋_GB2312"/>
          <w:sz w:val="24"/>
        </w:rPr>
        <w:t>__________________</w:t>
      </w:r>
    </w:p>
    <w:p w14:paraId="7BD1FB2D">
      <w:pPr>
        <w:tabs>
          <w:tab w:val="left" w:pos="5580"/>
        </w:tabs>
        <w:spacing w:before="120"/>
        <w:rPr>
          <w:rFonts w:hint="eastAsia" w:ascii="宋体" w:hAnsi="宋体" w:cs="仿宋_GB2312"/>
          <w:sz w:val="24"/>
        </w:rPr>
      </w:pPr>
      <w:r>
        <w:rPr>
          <w:rFonts w:hint="eastAsia" w:ascii="宋体" w:hAnsi="宋体" w:cs="仿宋_GB2312"/>
          <w:sz w:val="24"/>
        </w:rPr>
        <w:t>投标人授权代表的职务：</w:t>
      </w:r>
      <w:r>
        <w:rPr>
          <w:rFonts w:ascii="宋体" w:hAnsi="宋体" w:cs="仿宋_GB2312"/>
          <w:sz w:val="24"/>
        </w:rPr>
        <w:t>__________________</w:t>
      </w:r>
      <w:r>
        <w:rPr>
          <w:rFonts w:hint="eastAsia" w:ascii="宋体" w:hAnsi="宋体" w:cs="仿宋_GB2312"/>
          <w:sz w:val="24"/>
        </w:rPr>
        <w:t>　　电话号：</w:t>
      </w:r>
      <w:r>
        <w:rPr>
          <w:rFonts w:ascii="宋体" w:hAnsi="宋体" w:cs="仿宋_GB2312"/>
          <w:sz w:val="24"/>
        </w:rPr>
        <w:t>__________________</w:t>
      </w:r>
    </w:p>
    <w:p w14:paraId="419DE95B">
      <w:pPr>
        <w:tabs>
          <w:tab w:val="left" w:pos="5580"/>
        </w:tabs>
        <w:spacing w:before="120"/>
        <w:rPr>
          <w:rFonts w:hint="eastAsia" w:ascii="宋体" w:hAnsi="宋体" w:cs="仿宋_GB2312"/>
          <w:sz w:val="24"/>
        </w:rPr>
      </w:pPr>
      <w:r>
        <w:rPr>
          <w:rFonts w:hint="eastAsia" w:ascii="宋体" w:hAnsi="宋体" w:cs="仿宋_GB2312"/>
          <w:sz w:val="24"/>
        </w:rPr>
        <w:t>制造商盖章：</w:t>
      </w:r>
      <w:r>
        <w:rPr>
          <w:rFonts w:ascii="宋体" w:hAnsi="宋体" w:cs="仿宋_GB2312"/>
          <w:sz w:val="24"/>
        </w:rPr>
        <w:t>____________________________</w:t>
      </w:r>
      <w:r>
        <w:rPr>
          <w:rFonts w:hint="eastAsia" w:ascii="宋体" w:hAnsi="宋体" w:cs="仿宋_GB2312"/>
          <w:sz w:val="24"/>
        </w:rPr>
        <w:t>　　传真号：</w:t>
      </w:r>
      <w:r>
        <w:rPr>
          <w:rFonts w:ascii="宋体" w:hAnsi="宋体" w:cs="仿宋_GB2312"/>
          <w:sz w:val="24"/>
        </w:rPr>
        <w:t>__________________</w:t>
      </w:r>
    </w:p>
    <w:p w14:paraId="22EA4EF5">
      <w:pPr>
        <w:rPr>
          <w:rFonts w:hint="eastAsia" w:ascii="宋体" w:hAnsi="宋体" w:cs="仿宋_GB2312"/>
          <w:b/>
          <w:bCs/>
          <w:sz w:val="24"/>
        </w:rPr>
      </w:pPr>
      <w:r>
        <w:rPr>
          <w:rFonts w:hint="eastAsia" w:ascii="宋体" w:hAnsi="宋体" w:cs="仿宋_GB2312"/>
          <w:b/>
          <w:bCs/>
          <w:sz w:val="24"/>
        </w:rPr>
        <w:br w:type="page"/>
      </w:r>
    </w:p>
    <w:p w14:paraId="16506350">
      <w:pPr>
        <w:pStyle w:val="19"/>
        <w:tabs>
          <w:tab w:val="left" w:pos="5580"/>
        </w:tabs>
        <w:spacing w:line="360" w:lineRule="auto"/>
        <w:jc w:val="center"/>
        <w:outlineLvl w:val="1"/>
        <w:rPr>
          <w:rFonts w:ascii="Times New Roman" w:hAnsi="Times New Roman"/>
          <w:b/>
          <w:sz w:val="24"/>
          <w:szCs w:val="24"/>
        </w:rPr>
      </w:pPr>
      <w:r>
        <w:rPr>
          <w:rFonts w:hint="eastAsia" w:hAnsi="宋体" w:cs="宋体"/>
          <w:b/>
          <w:bCs/>
          <w:sz w:val="24"/>
        </w:rPr>
        <w:t>★</w:t>
      </w:r>
      <w:r>
        <w:rPr>
          <w:rFonts w:hint="eastAsia" w:ascii="宋体" w:hAnsi="宋体" w:cs="仿宋_GB2312"/>
          <w:b/>
          <w:bCs/>
          <w:sz w:val="24"/>
        </w:rPr>
        <w:t>附件</w:t>
      </w:r>
      <w:r>
        <w:rPr>
          <w:rFonts w:ascii="宋体" w:hAnsi="宋体" w:cs="仿宋_GB2312"/>
          <w:b/>
          <w:bCs/>
          <w:sz w:val="24"/>
        </w:rPr>
        <w:t>8-5</w:t>
      </w:r>
      <w:r>
        <w:rPr>
          <w:rFonts w:hint="eastAsia" w:ascii="宋体" w:hAnsi="宋体" w:cs="仿宋_GB2312"/>
          <w:b/>
          <w:bCs/>
          <w:sz w:val="24"/>
          <w:lang w:val="en-US" w:eastAsia="zh-CN"/>
        </w:rPr>
        <w:t xml:space="preserve">-2  </w:t>
      </w:r>
      <w:r>
        <w:rPr>
          <w:rFonts w:ascii="Times New Roman" w:hAnsi="Times New Roman"/>
          <w:b/>
          <w:sz w:val="24"/>
          <w:szCs w:val="24"/>
        </w:rPr>
        <w:t>制造厂家的授权书（</w:t>
      </w:r>
      <w:r>
        <w:rPr>
          <w:rFonts w:hint="eastAsia" w:ascii="Times New Roman" w:hAnsi="Times New Roman"/>
          <w:b/>
          <w:sz w:val="24"/>
          <w:szCs w:val="24"/>
          <w:lang w:val="en-US" w:eastAsia="zh-CN"/>
        </w:rPr>
        <w:t>进口产品</w:t>
      </w:r>
      <w:r>
        <w:rPr>
          <w:rFonts w:ascii="Times New Roman" w:hAnsi="Times New Roman"/>
          <w:b/>
          <w:sz w:val="24"/>
          <w:szCs w:val="24"/>
        </w:rPr>
        <w:t>适用）</w:t>
      </w:r>
    </w:p>
    <w:p w14:paraId="1A354A2F">
      <w:pPr>
        <w:pStyle w:val="19"/>
        <w:tabs>
          <w:tab w:val="left" w:pos="5580"/>
        </w:tabs>
        <w:spacing w:line="360" w:lineRule="auto"/>
        <w:jc w:val="center"/>
        <w:rPr>
          <w:rFonts w:ascii="Times New Roman" w:hAnsi="Times New Roman"/>
          <w:b/>
          <w:sz w:val="24"/>
          <w:szCs w:val="24"/>
        </w:rPr>
      </w:pPr>
      <w:r>
        <w:rPr>
          <w:rFonts w:ascii="Times New Roman" w:hAnsi="Times New Roman"/>
          <w:b/>
          <w:sz w:val="24"/>
          <w:szCs w:val="24"/>
        </w:rPr>
        <w:t>（投标人可另附单独出具的制造厂家的授权书，格式自拟）</w:t>
      </w:r>
    </w:p>
    <w:p w14:paraId="208C666A">
      <w:pPr>
        <w:tabs>
          <w:tab w:val="left" w:pos="5580"/>
        </w:tabs>
        <w:spacing w:before="120"/>
        <w:rPr>
          <w:rFonts w:ascii="Times New Roman" w:hAnsi="Times New Roman" w:cs="Times New Roman"/>
          <w:sz w:val="24"/>
          <w:szCs w:val="24"/>
        </w:rPr>
      </w:pPr>
    </w:p>
    <w:p w14:paraId="1B915853">
      <w:pPr>
        <w:tabs>
          <w:tab w:val="left" w:pos="5580"/>
        </w:tabs>
        <w:spacing w:before="120" w:line="360" w:lineRule="auto"/>
        <w:rPr>
          <w:rFonts w:ascii="Times New Roman" w:hAnsi="Times New Roman" w:cs="Times New Roman"/>
          <w:sz w:val="24"/>
          <w:szCs w:val="24"/>
          <w:u w:val="single"/>
        </w:rPr>
      </w:pPr>
      <w:r>
        <w:rPr>
          <w:rFonts w:ascii="Times New Roman" w:hAnsi="Times New Roman" w:cs="Times New Roman"/>
          <w:sz w:val="24"/>
          <w:szCs w:val="24"/>
        </w:rPr>
        <w:t>致：东方国际招标有限责任公司</w:t>
      </w:r>
    </w:p>
    <w:p w14:paraId="0C7F766E">
      <w:pPr>
        <w:tabs>
          <w:tab w:val="left" w:pos="5580"/>
        </w:tabs>
        <w:spacing w:before="120" w:line="360" w:lineRule="auto"/>
        <w:rPr>
          <w:rFonts w:ascii="Times New Roman" w:hAnsi="Times New Roman" w:cs="Times New Roman"/>
          <w:sz w:val="24"/>
          <w:szCs w:val="24"/>
        </w:rPr>
      </w:pPr>
    </w:p>
    <w:p w14:paraId="1537FDB5">
      <w:pPr>
        <w:pStyle w:val="19"/>
        <w:tabs>
          <w:tab w:val="left" w:pos="5580"/>
        </w:tabs>
        <w:spacing w:line="360" w:lineRule="auto"/>
        <w:ind w:firstLine="420"/>
        <w:rPr>
          <w:rFonts w:ascii="Times New Roman" w:hAnsi="Times New Roman"/>
          <w:sz w:val="24"/>
          <w:szCs w:val="24"/>
        </w:rPr>
      </w:pPr>
      <w:r>
        <w:rPr>
          <w:rFonts w:ascii="Times New Roman" w:hAnsi="Times New Roman"/>
          <w:sz w:val="24"/>
          <w:szCs w:val="24"/>
        </w:rPr>
        <w:t>我们（</w:t>
      </w:r>
      <w:r>
        <w:rPr>
          <w:rFonts w:ascii="Times New Roman" w:hAnsi="Times New Roman"/>
          <w:i/>
          <w:iCs/>
          <w:sz w:val="24"/>
          <w:szCs w:val="24"/>
          <w:u w:val="single"/>
        </w:rPr>
        <w:t>制造商名称</w:t>
      </w:r>
      <w:r>
        <w:rPr>
          <w:rFonts w:ascii="Times New Roman" w:hAnsi="Times New Roman"/>
          <w:sz w:val="24"/>
          <w:szCs w:val="24"/>
        </w:rPr>
        <w:t>）是按（</w:t>
      </w:r>
      <w:r>
        <w:rPr>
          <w:rFonts w:ascii="Times New Roman" w:hAnsi="Times New Roman"/>
          <w:i/>
          <w:iCs/>
          <w:sz w:val="24"/>
          <w:szCs w:val="24"/>
          <w:u w:val="single"/>
        </w:rPr>
        <w:t>国家名称</w:t>
      </w:r>
      <w:r>
        <w:rPr>
          <w:rFonts w:ascii="Times New Roman" w:hAnsi="Times New Roman"/>
          <w:sz w:val="24"/>
          <w:szCs w:val="24"/>
        </w:rPr>
        <w:t>）法律成立的一家制造商，主要营业地点设在（</w:t>
      </w:r>
      <w:r>
        <w:rPr>
          <w:rFonts w:ascii="Times New Roman" w:hAnsi="Times New Roman"/>
          <w:i/>
          <w:iCs/>
          <w:sz w:val="24"/>
          <w:szCs w:val="24"/>
          <w:u w:val="single"/>
        </w:rPr>
        <w:t>制造商地址</w:t>
      </w:r>
      <w:r>
        <w:rPr>
          <w:rFonts w:ascii="Times New Roman" w:hAnsi="Times New Roman"/>
          <w:sz w:val="24"/>
          <w:szCs w:val="24"/>
        </w:rPr>
        <w:t>）。兹指派按（</w:t>
      </w:r>
      <w:r>
        <w:rPr>
          <w:rFonts w:ascii="Times New Roman" w:hAnsi="Times New Roman"/>
          <w:i/>
          <w:iCs/>
          <w:sz w:val="24"/>
          <w:szCs w:val="24"/>
          <w:u w:val="single"/>
        </w:rPr>
        <w:t>国家名称</w:t>
      </w:r>
      <w:r>
        <w:rPr>
          <w:rFonts w:ascii="Times New Roman" w:hAnsi="Times New Roman"/>
          <w:sz w:val="24"/>
          <w:szCs w:val="24"/>
        </w:rPr>
        <w:t>）的法律正式成立的，主要营业地点设在（</w:t>
      </w:r>
      <w:r>
        <w:rPr>
          <w:rFonts w:ascii="Times New Roman" w:hAnsi="Times New Roman"/>
          <w:i/>
          <w:iCs/>
          <w:sz w:val="24"/>
          <w:szCs w:val="24"/>
          <w:u w:val="single"/>
        </w:rPr>
        <w:t>经销商地址</w:t>
      </w:r>
      <w:r>
        <w:rPr>
          <w:rFonts w:ascii="Times New Roman" w:hAnsi="Times New Roman"/>
          <w:sz w:val="24"/>
          <w:szCs w:val="24"/>
        </w:rPr>
        <w:t>）的（</w:t>
      </w:r>
      <w:r>
        <w:rPr>
          <w:rFonts w:ascii="Times New Roman" w:hAnsi="Times New Roman"/>
          <w:i/>
          <w:iCs/>
          <w:sz w:val="24"/>
          <w:szCs w:val="24"/>
          <w:u w:val="single"/>
        </w:rPr>
        <w:t>经销商名称</w:t>
      </w:r>
      <w:r>
        <w:rPr>
          <w:rFonts w:ascii="Times New Roman" w:hAnsi="Times New Roman"/>
          <w:sz w:val="24"/>
          <w:szCs w:val="24"/>
        </w:rPr>
        <w:t>）作为我方真正的合法的代理人进行下列有效的活动：</w:t>
      </w:r>
    </w:p>
    <w:p w14:paraId="63DD7AB8">
      <w:pPr>
        <w:pStyle w:val="19"/>
        <w:tabs>
          <w:tab w:val="left" w:pos="5580"/>
        </w:tabs>
        <w:spacing w:line="360" w:lineRule="auto"/>
        <w:ind w:firstLine="420"/>
        <w:rPr>
          <w:rFonts w:ascii="Times New Roman" w:hAnsi="Times New Roman"/>
          <w:sz w:val="24"/>
          <w:szCs w:val="24"/>
        </w:rPr>
      </w:pPr>
    </w:p>
    <w:p w14:paraId="185A5FFF">
      <w:pPr>
        <w:pStyle w:val="19"/>
        <w:numPr>
          <w:ilvl w:val="0"/>
          <w:numId w:val="29"/>
        </w:numPr>
        <w:tabs>
          <w:tab w:val="left" w:pos="5580"/>
        </w:tabs>
        <w:spacing w:line="360" w:lineRule="auto"/>
        <w:rPr>
          <w:rFonts w:ascii="Times New Roman" w:hAnsi="Times New Roman"/>
          <w:sz w:val="24"/>
          <w:szCs w:val="24"/>
        </w:rPr>
      </w:pPr>
      <w:r>
        <w:rPr>
          <w:rFonts w:ascii="Times New Roman" w:hAnsi="Times New Roman"/>
          <w:sz w:val="24"/>
          <w:szCs w:val="24"/>
        </w:rPr>
        <w:t>代表我方办理贵方第</w:t>
      </w:r>
      <w:r>
        <w:rPr>
          <w:rFonts w:ascii="Times New Roman" w:hAnsi="Times New Roman"/>
          <w:sz w:val="24"/>
          <w:szCs w:val="24"/>
          <w:u w:val="single"/>
        </w:rPr>
        <w:t>　　（招标编号）　　</w:t>
      </w:r>
      <w:r>
        <w:rPr>
          <w:rFonts w:ascii="Times New Roman" w:hAnsi="Times New Roman"/>
          <w:sz w:val="24"/>
          <w:szCs w:val="24"/>
        </w:rPr>
        <w:t>号投标邀请第</w:t>
      </w:r>
      <w:r>
        <w:rPr>
          <w:rFonts w:ascii="Times New Roman" w:hAnsi="Times New Roman"/>
          <w:sz w:val="24"/>
          <w:szCs w:val="24"/>
          <w:u w:val="single"/>
        </w:rPr>
        <w:t>　　（包号）</w:t>
      </w:r>
      <w:r>
        <w:rPr>
          <w:rFonts w:ascii="Times New Roman" w:hAnsi="Times New Roman"/>
          <w:sz w:val="24"/>
          <w:szCs w:val="24"/>
        </w:rPr>
        <w:t>号要求提供的由我方制造的货物的有关事宜，并对我方具有约束力。</w:t>
      </w:r>
    </w:p>
    <w:p w14:paraId="1897457A">
      <w:pPr>
        <w:pStyle w:val="19"/>
        <w:tabs>
          <w:tab w:val="left" w:pos="5580"/>
        </w:tabs>
        <w:spacing w:line="360" w:lineRule="auto"/>
        <w:ind w:left="1261" w:hanging="780"/>
        <w:rPr>
          <w:rFonts w:ascii="Times New Roman" w:hAnsi="Times New Roman"/>
          <w:sz w:val="24"/>
          <w:szCs w:val="24"/>
        </w:rPr>
      </w:pPr>
      <w:r>
        <w:rPr>
          <w:rFonts w:ascii="Times New Roman" w:hAnsi="Times New Roman"/>
          <w:sz w:val="24"/>
          <w:szCs w:val="24"/>
        </w:rPr>
        <w:t>（2）作为制造商，我方保证以投标合作者来约束自己，并对该投标共同和分别承担招标文件中所规定的义务。</w:t>
      </w:r>
    </w:p>
    <w:p w14:paraId="78858939">
      <w:pPr>
        <w:pStyle w:val="19"/>
        <w:tabs>
          <w:tab w:val="left" w:pos="5580"/>
        </w:tabs>
        <w:spacing w:line="360" w:lineRule="auto"/>
        <w:ind w:left="1261" w:hanging="780"/>
        <w:rPr>
          <w:rFonts w:ascii="Times New Roman" w:hAnsi="Times New Roman"/>
          <w:sz w:val="24"/>
          <w:szCs w:val="24"/>
        </w:rPr>
      </w:pPr>
      <w:r>
        <w:rPr>
          <w:rFonts w:ascii="Times New Roman" w:hAnsi="Times New Roman"/>
          <w:sz w:val="24"/>
          <w:szCs w:val="24"/>
        </w:rPr>
        <w:t>（3）我方兹授予</w:t>
      </w:r>
      <w:r>
        <w:rPr>
          <w:rFonts w:ascii="Times New Roman" w:hAnsi="Times New Roman"/>
          <w:sz w:val="24"/>
          <w:szCs w:val="24"/>
          <w:u w:val="single"/>
        </w:rPr>
        <w:t>　　（经销商名称）　　</w:t>
      </w:r>
      <w:r>
        <w:rPr>
          <w:rFonts w:ascii="Times New Roman" w:hAnsi="Times New Roman"/>
          <w:sz w:val="24"/>
          <w:szCs w:val="24"/>
        </w:rPr>
        <w:t>全权办理和履行上述我方为完成上述各点所必须的事宜，具有替换或撤销的全权。兹确认</w:t>
      </w:r>
      <w:r>
        <w:rPr>
          <w:rFonts w:ascii="Times New Roman" w:hAnsi="Times New Roman"/>
          <w:sz w:val="24"/>
          <w:szCs w:val="24"/>
          <w:u w:val="single"/>
        </w:rPr>
        <w:t>　　（经销商名称）　　</w:t>
      </w:r>
      <w:r>
        <w:rPr>
          <w:rFonts w:ascii="Times New Roman" w:hAnsi="Times New Roman"/>
          <w:sz w:val="24"/>
          <w:szCs w:val="24"/>
        </w:rPr>
        <w:t>或其正式授权代表依此合法地办理一切事宜。</w:t>
      </w:r>
    </w:p>
    <w:p w14:paraId="7FF5B3BE">
      <w:pPr>
        <w:pStyle w:val="19"/>
        <w:tabs>
          <w:tab w:val="left" w:pos="5580"/>
        </w:tabs>
        <w:spacing w:line="360" w:lineRule="auto"/>
        <w:ind w:left="1261" w:hanging="780"/>
        <w:rPr>
          <w:rFonts w:ascii="Times New Roman" w:hAnsi="Times New Roman"/>
          <w:sz w:val="24"/>
          <w:szCs w:val="24"/>
        </w:rPr>
      </w:pPr>
      <w:r>
        <w:rPr>
          <w:rFonts w:ascii="Times New Roman" w:hAnsi="Times New Roman"/>
          <w:sz w:val="24"/>
          <w:szCs w:val="24"/>
        </w:rPr>
        <w:t>（4）　我方于</w:t>
      </w:r>
      <w:r>
        <w:rPr>
          <w:rFonts w:ascii="Times New Roman" w:hAnsi="Times New Roman"/>
          <w:sz w:val="24"/>
          <w:szCs w:val="24"/>
          <w:u w:val="single"/>
        </w:rPr>
        <w:t>　　　</w:t>
      </w:r>
      <w:r>
        <w:rPr>
          <w:rFonts w:ascii="Times New Roman" w:hAnsi="Times New Roman"/>
          <w:sz w:val="24"/>
          <w:szCs w:val="24"/>
        </w:rPr>
        <w:t>年</w:t>
      </w:r>
      <w:r>
        <w:rPr>
          <w:rFonts w:ascii="Times New Roman" w:hAnsi="Times New Roman"/>
          <w:sz w:val="24"/>
          <w:szCs w:val="24"/>
          <w:u w:val="single"/>
        </w:rPr>
        <w:t>　　　</w:t>
      </w:r>
      <w:r>
        <w:rPr>
          <w:rFonts w:ascii="Times New Roman" w:hAnsi="Times New Roman"/>
          <w:sz w:val="24"/>
          <w:szCs w:val="24"/>
        </w:rPr>
        <w:t>月</w:t>
      </w:r>
      <w:r>
        <w:rPr>
          <w:rFonts w:ascii="Times New Roman" w:hAnsi="Times New Roman"/>
          <w:sz w:val="24"/>
          <w:szCs w:val="24"/>
          <w:u w:val="single"/>
        </w:rPr>
        <w:t>　　　</w:t>
      </w:r>
      <w:r>
        <w:rPr>
          <w:rFonts w:ascii="Times New Roman" w:hAnsi="Times New Roman"/>
          <w:sz w:val="24"/>
          <w:szCs w:val="24"/>
        </w:rPr>
        <w:t>日签署本文件，</w:t>
      </w:r>
      <w:r>
        <w:rPr>
          <w:rFonts w:ascii="Times New Roman" w:hAnsi="Times New Roman"/>
          <w:sz w:val="24"/>
          <w:szCs w:val="24"/>
          <w:u w:val="single"/>
        </w:rPr>
        <w:t>　　（经销商名称）　　</w:t>
      </w:r>
      <w:r>
        <w:rPr>
          <w:rFonts w:ascii="Times New Roman" w:hAnsi="Times New Roman"/>
          <w:sz w:val="24"/>
          <w:szCs w:val="24"/>
        </w:rPr>
        <w:t>于</w:t>
      </w:r>
    </w:p>
    <w:p w14:paraId="18A5FC56">
      <w:pPr>
        <w:pStyle w:val="19"/>
        <w:tabs>
          <w:tab w:val="left" w:pos="5580"/>
        </w:tabs>
        <w:spacing w:line="360" w:lineRule="auto"/>
        <w:ind w:left="1260" w:leftChars="600"/>
        <w:rPr>
          <w:rFonts w:ascii="Times New Roman" w:hAnsi="Times New Roman"/>
          <w:sz w:val="24"/>
          <w:szCs w:val="24"/>
        </w:rPr>
      </w:pPr>
      <w:r>
        <w:rPr>
          <w:rFonts w:ascii="Times New Roman" w:hAnsi="Times New Roman"/>
          <w:sz w:val="24"/>
          <w:szCs w:val="24"/>
          <w:u w:val="single"/>
        </w:rPr>
        <w:t>　　</w:t>
      </w:r>
      <w:r>
        <w:rPr>
          <w:rFonts w:ascii="Times New Roman" w:hAnsi="Times New Roman"/>
          <w:sz w:val="24"/>
          <w:szCs w:val="24"/>
        </w:rPr>
        <w:t>年</w:t>
      </w:r>
      <w:r>
        <w:rPr>
          <w:rFonts w:ascii="Times New Roman" w:hAnsi="Times New Roman"/>
          <w:sz w:val="24"/>
          <w:szCs w:val="24"/>
          <w:u w:val="single"/>
        </w:rPr>
        <w:t>　　　</w:t>
      </w:r>
      <w:r>
        <w:rPr>
          <w:rFonts w:ascii="Times New Roman" w:hAnsi="Times New Roman"/>
          <w:sz w:val="24"/>
          <w:szCs w:val="24"/>
        </w:rPr>
        <w:t>月</w:t>
      </w:r>
      <w:r>
        <w:rPr>
          <w:rFonts w:ascii="Times New Roman" w:hAnsi="Times New Roman"/>
          <w:sz w:val="24"/>
          <w:szCs w:val="24"/>
          <w:u w:val="single"/>
        </w:rPr>
        <w:t>　　　</w:t>
      </w:r>
      <w:r>
        <w:rPr>
          <w:rFonts w:ascii="Times New Roman" w:hAnsi="Times New Roman"/>
          <w:sz w:val="24"/>
          <w:szCs w:val="24"/>
        </w:rPr>
        <w:t>日接受此件，以此为证。</w:t>
      </w:r>
    </w:p>
    <w:p w14:paraId="110AC745">
      <w:pPr>
        <w:pStyle w:val="19"/>
        <w:tabs>
          <w:tab w:val="left" w:pos="5580"/>
        </w:tabs>
        <w:spacing w:line="360" w:lineRule="auto"/>
        <w:ind w:firstLine="480"/>
        <w:rPr>
          <w:rFonts w:ascii="Times New Roman" w:hAnsi="Times New Roman"/>
          <w:sz w:val="24"/>
          <w:szCs w:val="24"/>
        </w:rPr>
      </w:pPr>
    </w:p>
    <w:p w14:paraId="10D34954">
      <w:pPr>
        <w:pStyle w:val="19"/>
        <w:tabs>
          <w:tab w:val="left" w:pos="5580"/>
        </w:tabs>
        <w:spacing w:line="360" w:lineRule="auto"/>
        <w:ind w:firstLine="480"/>
        <w:rPr>
          <w:rFonts w:ascii="Times New Roman" w:hAnsi="Times New Roman"/>
          <w:sz w:val="24"/>
          <w:szCs w:val="24"/>
        </w:rPr>
      </w:pPr>
    </w:p>
    <w:p w14:paraId="0A5EAB46">
      <w:pPr>
        <w:pStyle w:val="19"/>
        <w:tabs>
          <w:tab w:val="left" w:pos="5580"/>
        </w:tabs>
        <w:spacing w:line="360" w:lineRule="auto"/>
        <w:ind w:firstLine="480"/>
        <w:rPr>
          <w:rFonts w:ascii="Times New Roman" w:hAnsi="Times New Roman"/>
          <w:sz w:val="24"/>
          <w:szCs w:val="24"/>
        </w:rPr>
      </w:pPr>
    </w:p>
    <w:p w14:paraId="158FCF9C">
      <w:pPr>
        <w:pStyle w:val="19"/>
        <w:tabs>
          <w:tab w:val="left" w:pos="5580"/>
        </w:tabs>
        <w:spacing w:line="360" w:lineRule="auto"/>
        <w:ind w:left="1261" w:hanging="780"/>
        <w:rPr>
          <w:rFonts w:ascii="Times New Roman" w:hAnsi="Times New Roman"/>
          <w:sz w:val="24"/>
          <w:szCs w:val="24"/>
        </w:rPr>
      </w:pPr>
      <w:r>
        <w:rPr>
          <w:rFonts w:ascii="Times New Roman" w:hAnsi="Times New Roman"/>
          <w:sz w:val="24"/>
          <w:szCs w:val="24"/>
        </w:rPr>
        <w:t>制造商名称______________（加盖公章或签字或加盖人名印章）</w:t>
      </w:r>
    </w:p>
    <w:p w14:paraId="11206B3E">
      <w:pPr>
        <w:pStyle w:val="19"/>
        <w:tabs>
          <w:tab w:val="left" w:pos="5580"/>
        </w:tabs>
        <w:spacing w:line="360" w:lineRule="auto"/>
        <w:ind w:left="1261" w:hanging="780"/>
        <w:rPr>
          <w:rFonts w:ascii="Times New Roman" w:hAnsi="Times New Roman"/>
          <w:sz w:val="24"/>
          <w:szCs w:val="24"/>
        </w:rPr>
      </w:pPr>
      <w:r>
        <w:rPr>
          <w:rFonts w:ascii="Times New Roman" w:hAnsi="Times New Roman"/>
          <w:sz w:val="24"/>
          <w:szCs w:val="24"/>
        </w:rPr>
        <w:t>签字人职务和部门________________</w:t>
      </w:r>
    </w:p>
    <w:p w14:paraId="04C01EF4">
      <w:pPr>
        <w:pStyle w:val="19"/>
        <w:tabs>
          <w:tab w:val="left" w:pos="5580"/>
        </w:tabs>
        <w:spacing w:line="360" w:lineRule="auto"/>
        <w:ind w:left="1261" w:hanging="780"/>
        <w:rPr>
          <w:rFonts w:ascii="Times New Roman" w:hAnsi="Times New Roman"/>
          <w:sz w:val="24"/>
          <w:szCs w:val="24"/>
        </w:rPr>
      </w:pPr>
      <w:r>
        <w:rPr>
          <w:rFonts w:ascii="Times New Roman" w:hAnsi="Times New Roman"/>
          <w:sz w:val="24"/>
          <w:szCs w:val="24"/>
        </w:rPr>
        <w:t>签字人姓名______________________</w:t>
      </w:r>
    </w:p>
    <w:p w14:paraId="07B6AA68">
      <w:pPr>
        <w:pStyle w:val="19"/>
        <w:tabs>
          <w:tab w:val="left" w:pos="2520"/>
          <w:tab w:val="left" w:pos="3045"/>
          <w:tab w:val="left" w:pos="5580"/>
        </w:tabs>
        <w:spacing w:line="360" w:lineRule="auto"/>
        <w:ind w:firstLine="480" w:firstLineChars="200"/>
        <w:rPr>
          <w:rFonts w:ascii="Times New Roman" w:hAnsi="Times New Roman"/>
          <w:sz w:val="24"/>
          <w:szCs w:val="24"/>
        </w:rPr>
      </w:pPr>
      <w:r>
        <w:rPr>
          <w:rFonts w:ascii="Times New Roman" w:hAnsi="Times New Roman"/>
          <w:sz w:val="24"/>
          <w:szCs w:val="24"/>
        </w:rPr>
        <w:t>签字人签名______________________</w:t>
      </w:r>
    </w:p>
    <w:p w14:paraId="55B9A849">
      <w:pPr>
        <w:widowControl/>
        <w:jc w:val="left"/>
        <w:rPr>
          <w:rFonts w:ascii="Times New Roman" w:hAnsi="Times New Roman" w:eastAsia="宋体" w:cs="Times New Roman"/>
          <w:b/>
          <w:bCs/>
          <w:sz w:val="24"/>
          <w:szCs w:val="24"/>
        </w:rPr>
      </w:pPr>
      <w:r>
        <w:rPr>
          <w:rFonts w:ascii="Times New Roman" w:hAnsi="Times New Roman" w:eastAsia="宋体" w:cs="Times New Roman"/>
          <w:b/>
          <w:bCs/>
          <w:sz w:val="24"/>
          <w:szCs w:val="24"/>
        </w:rPr>
        <w:br w:type="page"/>
      </w:r>
    </w:p>
    <w:p w14:paraId="589EB3DA">
      <w:pPr>
        <w:tabs>
          <w:tab w:val="left" w:pos="5580"/>
        </w:tabs>
        <w:spacing w:before="120"/>
        <w:ind w:left="360"/>
        <w:jc w:val="center"/>
        <w:rPr>
          <w:rFonts w:hint="default" w:ascii="宋体" w:hAnsi="宋体" w:eastAsia="宋体"/>
          <w:sz w:val="24"/>
          <w:lang w:val="en-US" w:eastAsia="zh-CN"/>
        </w:rPr>
      </w:pPr>
    </w:p>
    <w:p w14:paraId="620E1336">
      <w:pPr>
        <w:tabs>
          <w:tab w:val="left" w:pos="5580"/>
        </w:tabs>
        <w:spacing w:before="120"/>
        <w:jc w:val="center"/>
        <w:outlineLvl w:val="1"/>
        <w:rPr>
          <w:rFonts w:hint="eastAsia" w:ascii="宋体" w:hAnsi="宋体"/>
          <w:b/>
          <w:bCs/>
          <w:sz w:val="24"/>
        </w:rPr>
      </w:pPr>
      <w:r>
        <w:rPr>
          <w:rFonts w:hint="eastAsia" w:ascii="宋体" w:hAnsi="宋体" w:cs="仿宋_GB2312"/>
          <w:b/>
          <w:bCs/>
          <w:sz w:val="24"/>
        </w:rPr>
        <w:t>附件</w:t>
      </w:r>
      <w:r>
        <w:rPr>
          <w:rFonts w:ascii="宋体" w:hAnsi="宋体" w:cs="仿宋_GB2312"/>
          <w:b/>
          <w:bCs/>
          <w:sz w:val="24"/>
        </w:rPr>
        <w:t xml:space="preserve">8-6 </w:t>
      </w:r>
      <w:r>
        <w:rPr>
          <w:rFonts w:hint="eastAsia" w:ascii="宋体" w:hAnsi="宋体" w:cs="仿宋_GB2312"/>
          <w:b/>
          <w:bCs/>
          <w:sz w:val="24"/>
        </w:rPr>
        <w:t>投标人</w:t>
      </w:r>
      <w:r>
        <w:rPr>
          <w:rFonts w:ascii="宋体" w:hAnsi="宋体" w:cs="仿宋_GB2312"/>
          <w:b/>
          <w:bCs/>
          <w:sz w:val="24"/>
        </w:rPr>
        <w:t>(</w:t>
      </w:r>
      <w:r>
        <w:rPr>
          <w:rFonts w:hint="eastAsia" w:ascii="宋体" w:hAnsi="宋体" w:cs="仿宋_GB2312"/>
          <w:b/>
          <w:bCs/>
          <w:sz w:val="24"/>
        </w:rPr>
        <w:t>作为制造厂家的经销代理</w:t>
      </w:r>
      <w:r>
        <w:rPr>
          <w:rFonts w:ascii="宋体" w:hAnsi="宋体" w:cs="仿宋_GB2312"/>
          <w:b/>
          <w:bCs/>
          <w:sz w:val="24"/>
        </w:rPr>
        <w:t>)</w:t>
      </w:r>
      <w:r>
        <w:rPr>
          <w:rFonts w:hint="eastAsia" w:ascii="宋体" w:hAnsi="宋体" w:cs="仿宋_GB2312"/>
          <w:b/>
          <w:bCs/>
          <w:sz w:val="24"/>
        </w:rPr>
        <w:t>的资格声明</w:t>
      </w:r>
    </w:p>
    <w:p w14:paraId="5103DF93">
      <w:pPr>
        <w:rPr>
          <w:rFonts w:hint="eastAsia" w:ascii="宋体" w:hAnsi="宋体"/>
          <w:b/>
          <w:bCs/>
          <w:sz w:val="24"/>
        </w:rPr>
      </w:pPr>
    </w:p>
    <w:p w14:paraId="1CA4E5E4">
      <w:pPr>
        <w:jc w:val="center"/>
        <w:rPr>
          <w:rFonts w:hint="eastAsia" w:ascii="宋体" w:hAnsi="宋体"/>
          <w:sz w:val="24"/>
        </w:rPr>
      </w:pPr>
      <w:r>
        <w:rPr>
          <w:rFonts w:hint="eastAsia" w:ascii="宋体" w:hAnsi="宋体" w:cs="仿宋_GB2312"/>
          <w:sz w:val="24"/>
        </w:rPr>
        <w:t>（投标人为经销商时，除了填写附件</w:t>
      </w:r>
      <w:r>
        <w:rPr>
          <w:rFonts w:ascii="宋体" w:hAnsi="宋体" w:cs="仿宋_GB2312"/>
          <w:sz w:val="24"/>
        </w:rPr>
        <w:t>8-6</w:t>
      </w:r>
      <w:r>
        <w:rPr>
          <w:rFonts w:hint="eastAsia" w:ascii="宋体" w:hAnsi="宋体" w:cs="仿宋_GB2312"/>
          <w:sz w:val="24"/>
        </w:rPr>
        <w:t>外，还要填写附件8</w:t>
      </w:r>
      <w:r>
        <w:rPr>
          <w:rFonts w:ascii="宋体" w:hAnsi="宋体" w:cs="仿宋_GB2312"/>
          <w:sz w:val="24"/>
        </w:rPr>
        <w:t>-5</w:t>
      </w:r>
      <w:r>
        <w:rPr>
          <w:rFonts w:hint="eastAsia" w:ascii="宋体" w:hAnsi="宋体" w:cs="仿宋_GB2312"/>
          <w:sz w:val="24"/>
        </w:rPr>
        <w:t>）</w:t>
      </w:r>
    </w:p>
    <w:p w14:paraId="7D142D59">
      <w:pPr>
        <w:rPr>
          <w:rFonts w:hint="eastAsia" w:ascii="宋体" w:hAnsi="宋体"/>
          <w:b/>
          <w:bCs/>
          <w:sz w:val="24"/>
        </w:rPr>
      </w:pPr>
    </w:p>
    <w:p w14:paraId="0A1CA127">
      <w:pPr>
        <w:tabs>
          <w:tab w:val="left" w:pos="5580"/>
        </w:tabs>
        <w:spacing w:before="120"/>
        <w:rPr>
          <w:rFonts w:hint="eastAsia" w:ascii="宋体" w:hAnsi="宋体"/>
          <w:sz w:val="24"/>
        </w:rPr>
      </w:pPr>
      <w:r>
        <w:rPr>
          <w:rFonts w:ascii="宋体" w:hAnsi="宋体" w:cs="仿宋_GB2312"/>
          <w:sz w:val="24"/>
        </w:rPr>
        <w:t>1</w:t>
      </w:r>
      <w:r>
        <w:rPr>
          <w:rFonts w:hint="eastAsia" w:ascii="宋体" w:hAnsi="宋体" w:cs="仿宋_GB2312"/>
          <w:sz w:val="24"/>
        </w:rPr>
        <w:t>、名称及概况：</w:t>
      </w:r>
    </w:p>
    <w:p w14:paraId="075F055A">
      <w:pPr>
        <w:tabs>
          <w:tab w:val="left" w:pos="5580"/>
        </w:tabs>
        <w:spacing w:before="120"/>
        <w:ind w:firstLine="454"/>
        <w:rPr>
          <w:rFonts w:hint="eastAsia" w:ascii="宋体" w:hAnsi="宋体" w:cs="仿宋_GB2312"/>
          <w:sz w:val="24"/>
        </w:rPr>
      </w:pPr>
      <w:r>
        <w:rPr>
          <w:rFonts w:ascii="宋体" w:hAnsi="宋体" w:cs="仿宋_GB2312"/>
          <w:sz w:val="24"/>
        </w:rPr>
        <w:t>(1)</w:t>
      </w:r>
      <w:r>
        <w:rPr>
          <w:rFonts w:hint="eastAsia" w:ascii="宋体" w:hAnsi="宋体" w:cs="仿宋_GB2312"/>
          <w:sz w:val="24"/>
        </w:rPr>
        <w:t>投标人名称：</w:t>
      </w:r>
      <w:r>
        <w:rPr>
          <w:rFonts w:ascii="宋体" w:hAnsi="宋体" w:cs="仿宋_GB2312"/>
          <w:sz w:val="24"/>
        </w:rPr>
        <w:t>_______________________________________________________</w:t>
      </w:r>
    </w:p>
    <w:p w14:paraId="635CF94D">
      <w:pPr>
        <w:tabs>
          <w:tab w:val="left" w:pos="5580"/>
        </w:tabs>
        <w:spacing w:before="120"/>
        <w:ind w:firstLine="454"/>
        <w:rPr>
          <w:rFonts w:hint="eastAsia" w:ascii="宋体" w:hAnsi="宋体" w:cs="仿宋_GB2312"/>
          <w:sz w:val="24"/>
        </w:rPr>
      </w:pPr>
      <w:r>
        <w:rPr>
          <w:rFonts w:ascii="宋体" w:hAnsi="宋体" w:cs="仿宋_GB2312"/>
          <w:sz w:val="24"/>
        </w:rPr>
        <w:t>(2)</w:t>
      </w:r>
      <w:r>
        <w:rPr>
          <w:rFonts w:hint="eastAsia" w:ascii="宋体" w:hAnsi="宋体" w:cs="仿宋_GB2312"/>
          <w:sz w:val="24"/>
        </w:rPr>
        <w:t>地址及邮编：</w:t>
      </w:r>
      <w:r>
        <w:rPr>
          <w:rFonts w:ascii="宋体" w:hAnsi="宋体" w:cs="仿宋_GB2312"/>
          <w:sz w:val="24"/>
        </w:rPr>
        <w:t>_______________________________________________________</w:t>
      </w:r>
    </w:p>
    <w:p w14:paraId="00D4F43D">
      <w:pPr>
        <w:tabs>
          <w:tab w:val="left" w:pos="5580"/>
        </w:tabs>
        <w:spacing w:before="120"/>
        <w:ind w:firstLine="454"/>
        <w:rPr>
          <w:rFonts w:hint="eastAsia" w:ascii="宋体" w:hAnsi="宋体" w:cs="仿宋_GB2312"/>
          <w:sz w:val="24"/>
        </w:rPr>
      </w:pPr>
      <w:r>
        <w:rPr>
          <w:rFonts w:ascii="宋体" w:hAnsi="宋体" w:cs="仿宋_GB2312"/>
          <w:sz w:val="24"/>
        </w:rPr>
        <w:t>(3)</w:t>
      </w:r>
      <w:r>
        <w:rPr>
          <w:rFonts w:hint="eastAsia" w:ascii="宋体" w:hAnsi="宋体" w:cs="仿宋_GB2312"/>
          <w:sz w:val="24"/>
        </w:rPr>
        <w:t>成立和注册日期：</w:t>
      </w:r>
      <w:r>
        <w:rPr>
          <w:rFonts w:ascii="宋体" w:hAnsi="宋体" w:cs="仿宋_GB2312"/>
          <w:sz w:val="24"/>
        </w:rPr>
        <w:t>___________________________________________________</w:t>
      </w:r>
    </w:p>
    <w:p w14:paraId="04AA85E8">
      <w:pPr>
        <w:tabs>
          <w:tab w:val="left" w:pos="5580"/>
        </w:tabs>
        <w:spacing w:before="120"/>
        <w:rPr>
          <w:rFonts w:hint="eastAsia" w:ascii="宋体" w:hAnsi="宋体" w:cs="仿宋_GB2312"/>
          <w:sz w:val="24"/>
        </w:rPr>
      </w:pPr>
      <w:r>
        <w:rPr>
          <w:rFonts w:hint="eastAsia" w:ascii="宋体" w:hAnsi="宋体" w:cs="仿宋_GB2312"/>
          <w:sz w:val="24"/>
        </w:rPr>
        <w:t>　　</w:t>
      </w:r>
      <w:r>
        <w:rPr>
          <w:rFonts w:ascii="宋体" w:hAnsi="宋体" w:cs="仿宋_GB2312"/>
          <w:sz w:val="24"/>
        </w:rPr>
        <w:t>(4)</w:t>
      </w:r>
      <w:r>
        <w:rPr>
          <w:rFonts w:hint="eastAsia" w:ascii="宋体" w:hAnsi="宋体" w:cs="仿宋_GB2312"/>
          <w:sz w:val="24"/>
        </w:rPr>
        <w:t>主管部门：</w:t>
      </w:r>
      <w:r>
        <w:rPr>
          <w:rFonts w:ascii="宋体" w:hAnsi="宋体" w:cs="仿宋_GB2312"/>
          <w:sz w:val="24"/>
        </w:rPr>
        <w:t>_________________________________________________________</w:t>
      </w:r>
    </w:p>
    <w:p w14:paraId="1CDFBC2C">
      <w:pPr>
        <w:tabs>
          <w:tab w:val="left" w:pos="5580"/>
        </w:tabs>
        <w:spacing w:before="120"/>
        <w:ind w:firstLine="454"/>
        <w:rPr>
          <w:rFonts w:hint="eastAsia" w:ascii="宋体" w:hAnsi="宋体" w:cs="仿宋_GB2312"/>
          <w:sz w:val="24"/>
        </w:rPr>
      </w:pPr>
      <w:r>
        <w:rPr>
          <w:rFonts w:ascii="宋体" w:hAnsi="宋体" w:cs="仿宋_GB2312"/>
          <w:sz w:val="24"/>
        </w:rPr>
        <w:t>(5)</w:t>
      </w:r>
      <w:r>
        <w:rPr>
          <w:rFonts w:hint="eastAsia" w:ascii="宋体" w:hAnsi="宋体" w:cs="仿宋_GB2312"/>
          <w:sz w:val="24"/>
        </w:rPr>
        <w:t>公司性质：</w:t>
      </w:r>
      <w:r>
        <w:rPr>
          <w:rFonts w:ascii="宋体" w:hAnsi="宋体" w:cs="仿宋_GB2312"/>
          <w:sz w:val="24"/>
        </w:rPr>
        <w:t>_________________________________________________________</w:t>
      </w:r>
    </w:p>
    <w:p w14:paraId="4E42AD5F">
      <w:pPr>
        <w:tabs>
          <w:tab w:val="left" w:pos="5580"/>
        </w:tabs>
        <w:spacing w:before="120"/>
        <w:ind w:firstLine="454"/>
        <w:rPr>
          <w:rFonts w:hint="eastAsia" w:ascii="宋体" w:hAnsi="宋体" w:cs="仿宋_GB2312"/>
          <w:sz w:val="24"/>
        </w:rPr>
      </w:pPr>
      <w:r>
        <w:rPr>
          <w:rFonts w:ascii="宋体" w:hAnsi="宋体" w:cs="仿宋_GB2312"/>
          <w:sz w:val="24"/>
        </w:rPr>
        <w:t>(6)</w:t>
      </w:r>
      <w:r>
        <w:rPr>
          <w:rFonts w:hint="eastAsia" w:ascii="宋体" w:hAnsi="宋体" w:cs="仿宋_GB2312"/>
          <w:sz w:val="24"/>
        </w:rPr>
        <w:t>法人代表：</w:t>
      </w:r>
      <w:r>
        <w:rPr>
          <w:rFonts w:ascii="宋体" w:hAnsi="宋体" w:cs="仿宋_GB2312"/>
          <w:sz w:val="24"/>
        </w:rPr>
        <w:t>_________________________________________________________</w:t>
      </w:r>
    </w:p>
    <w:p w14:paraId="6F01F7B4">
      <w:pPr>
        <w:tabs>
          <w:tab w:val="left" w:pos="5580"/>
        </w:tabs>
        <w:spacing w:before="120"/>
        <w:ind w:firstLine="454"/>
        <w:rPr>
          <w:rFonts w:hint="eastAsia" w:ascii="宋体" w:hAnsi="宋体" w:cs="仿宋_GB2312"/>
          <w:sz w:val="24"/>
        </w:rPr>
      </w:pPr>
      <w:r>
        <w:rPr>
          <w:rFonts w:ascii="宋体" w:hAnsi="宋体" w:cs="仿宋_GB2312"/>
          <w:sz w:val="24"/>
        </w:rPr>
        <w:t>(7)</w:t>
      </w:r>
      <w:r>
        <w:rPr>
          <w:rFonts w:hint="eastAsia" w:ascii="宋体" w:hAnsi="宋体" w:cs="仿宋_GB2312"/>
          <w:sz w:val="24"/>
        </w:rPr>
        <w:t>职员人数：</w:t>
      </w:r>
      <w:r>
        <w:rPr>
          <w:rFonts w:ascii="宋体" w:hAnsi="宋体" w:cs="仿宋_GB2312"/>
          <w:sz w:val="24"/>
        </w:rPr>
        <w:t>_________________________________________________________</w:t>
      </w:r>
    </w:p>
    <w:p w14:paraId="3988A2FC">
      <w:pPr>
        <w:tabs>
          <w:tab w:val="left" w:pos="5580"/>
        </w:tabs>
        <w:spacing w:before="120"/>
        <w:ind w:firstLine="454"/>
        <w:rPr>
          <w:rFonts w:hint="eastAsia" w:ascii="宋体" w:hAnsi="宋体" w:cs="仿宋_GB2312"/>
          <w:sz w:val="24"/>
        </w:rPr>
      </w:pPr>
      <w:r>
        <w:rPr>
          <w:rFonts w:ascii="宋体" w:hAnsi="宋体" w:cs="仿宋_GB2312"/>
          <w:sz w:val="24"/>
        </w:rPr>
        <w:t>(8)</w:t>
      </w:r>
      <w:r>
        <w:rPr>
          <w:rFonts w:hint="eastAsia" w:ascii="宋体" w:hAnsi="宋体" w:cs="仿宋_GB2312"/>
          <w:sz w:val="24"/>
        </w:rPr>
        <w:t>近期资产负债表</w:t>
      </w:r>
      <w:r>
        <w:rPr>
          <w:rFonts w:ascii="宋体" w:hAnsi="宋体" w:cs="仿宋_GB2312"/>
          <w:sz w:val="24"/>
        </w:rPr>
        <w:t>(</w:t>
      </w:r>
      <w:r>
        <w:rPr>
          <w:rFonts w:hint="eastAsia" w:ascii="宋体" w:hAnsi="宋体" w:cs="仿宋_GB2312"/>
          <w:sz w:val="24"/>
        </w:rPr>
        <w:t>到</w:t>
      </w:r>
      <w:r>
        <w:rPr>
          <w:rFonts w:ascii="宋体" w:hAnsi="宋体" w:cs="仿宋_GB2312"/>
          <w:sz w:val="24"/>
        </w:rPr>
        <w:t>________</w:t>
      </w:r>
      <w:r>
        <w:rPr>
          <w:rFonts w:hint="eastAsia" w:ascii="宋体" w:hAnsi="宋体" w:cs="仿宋_GB2312"/>
          <w:sz w:val="24"/>
        </w:rPr>
        <w:t>年</w:t>
      </w:r>
      <w:r>
        <w:rPr>
          <w:rFonts w:ascii="宋体" w:hAnsi="宋体" w:cs="仿宋_GB2312"/>
          <w:sz w:val="24"/>
        </w:rPr>
        <w:t>____</w:t>
      </w:r>
      <w:r>
        <w:rPr>
          <w:rFonts w:hint="eastAsia" w:ascii="宋体" w:hAnsi="宋体" w:cs="仿宋_GB2312"/>
          <w:sz w:val="24"/>
        </w:rPr>
        <w:t>月</w:t>
      </w:r>
      <w:r>
        <w:rPr>
          <w:rFonts w:ascii="宋体" w:hAnsi="宋体" w:cs="仿宋_GB2312"/>
          <w:sz w:val="24"/>
        </w:rPr>
        <w:t>____</w:t>
      </w:r>
      <w:r>
        <w:rPr>
          <w:rFonts w:hint="eastAsia" w:ascii="宋体" w:hAnsi="宋体" w:cs="仿宋_GB2312"/>
          <w:sz w:val="24"/>
        </w:rPr>
        <w:t>日止</w:t>
      </w:r>
      <w:r>
        <w:rPr>
          <w:rFonts w:ascii="宋体" w:hAnsi="宋体" w:cs="仿宋_GB2312"/>
          <w:sz w:val="24"/>
        </w:rPr>
        <w:t>)</w:t>
      </w:r>
    </w:p>
    <w:p w14:paraId="49E17B48">
      <w:pPr>
        <w:tabs>
          <w:tab w:val="left" w:pos="5580"/>
        </w:tabs>
        <w:spacing w:before="120"/>
        <w:ind w:left="454" w:firstLine="454"/>
        <w:rPr>
          <w:rFonts w:hint="eastAsia" w:ascii="宋体" w:hAnsi="宋体" w:cs="仿宋_GB2312"/>
          <w:sz w:val="24"/>
        </w:rPr>
      </w:pPr>
      <w:r>
        <w:rPr>
          <w:rFonts w:hint="eastAsia" w:ascii="宋体" w:hAnsi="宋体" w:cs="仿宋_GB2312"/>
          <w:sz w:val="24"/>
        </w:rPr>
        <w:t>〈</w:t>
      </w:r>
      <w:r>
        <w:rPr>
          <w:rFonts w:ascii="宋体" w:hAnsi="宋体" w:cs="仿宋_GB2312"/>
          <w:sz w:val="24"/>
        </w:rPr>
        <w:t>1</w:t>
      </w:r>
      <w:r>
        <w:rPr>
          <w:rFonts w:hint="eastAsia" w:ascii="宋体" w:hAnsi="宋体" w:cs="仿宋_GB2312"/>
          <w:sz w:val="24"/>
        </w:rPr>
        <w:t>〉固定资产：</w:t>
      </w:r>
      <w:r>
        <w:rPr>
          <w:rFonts w:ascii="宋体" w:hAnsi="宋体" w:cs="仿宋_GB2312"/>
          <w:sz w:val="24"/>
        </w:rPr>
        <w:t>__________________________</w:t>
      </w:r>
    </w:p>
    <w:p w14:paraId="6A435BE9">
      <w:pPr>
        <w:tabs>
          <w:tab w:val="left" w:pos="5580"/>
        </w:tabs>
        <w:spacing w:before="120"/>
        <w:ind w:left="1362" w:firstLine="454"/>
        <w:rPr>
          <w:rFonts w:hint="eastAsia" w:ascii="宋体" w:hAnsi="宋体" w:cs="仿宋_GB2312"/>
          <w:sz w:val="24"/>
        </w:rPr>
      </w:pPr>
      <w:r>
        <w:rPr>
          <w:rFonts w:hint="eastAsia" w:ascii="宋体" w:hAnsi="宋体" w:cs="仿宋_GB2312"/>
          <w:sz w:val="24"/>
        </w:rPr>
        <w:t>原值：</w:t>
      </w:r>
      <w:r>
        <w:rPr>
          <w:rFonts w:ascii="宋体" w:hAnsi="宋体" w:cs="仿宋_GB2312"/>
          <w:sz w:val="24"/>
        </w:rPr>
        <w:t>______________________________</w:t>
      </w:r>
    </w:p>
    <w:p w14:paraId="3529E2EB">
      <w:pPr>
        <w:tabs>
          <w:tab w:val="left" w:pos="5580"/>
        </w:tabs>
        <w:spacing w:before="120"/>
        <w:ind w:left="1362" w:firstLine="454"/>
        <w:rPr>
          <w:rFonts w:hint="eastAsia" w:ascii="宋体" w:hAnsi="宋体" w:cs="仿宋_GB2312"/>
          <w:sz w:val="24"/>
        </w:rPr>
      </w:pPr>
      <w:r>
        <w:rPr>
          <w:rFonts w:hint="eastAsia" w:ascii="宋体" w:hAnsi="宋体" w:cs="仿宋_GB2312"/>
          <w:sz w:val="24"/>
        </w:rPr>
        <w:t>净值：</w:t>
      </w:r>
      <w:r>
        <w:rPr>
          <w:rFonts w:ascii="宋体" w:hAnsi="宋体" w:cs="仿宋_GB2312"/>
          <w:sz w:val="24"/>
        </w:rPr>
        <w:t>______________________________</w:t>
      </w:r>
    </w:p>
    <w:p w14:paraId="22F33314">
      <w:pPr>
        <w:tabs>
          <w:tab w:val="left" w:pos="5580"/>
        </w:tabs>
        <w:spacing w:before="120"/>
        <w:ind w:left="454" w:firstLine="454"/>
        <w:rPr>
          <w:rFonts w:hint="eastAsia" w:ascii="宋体" w:hAnsi="宋体" w:cs="仿宋_GB2312"/>
          <w:sz w:val="24"/>
        </w:rPr>
      </w:pPr>
      <w:r>
        <w:rPr>
          <w:rFonts w:hint="eastAsia" w:ascii="宋体" w:hAnsi="宋体" w:cs="仿宋_GB2312"/>
          <w:sz w:val="24"/>
        </w:rPr>
        <w:t>〈</w:t>
      </w:r>
      <w:r>
        <w:rPr>
          <w:rFonts w:ascii="宋体" w:hAnsi="宋体" w:cs="仿宋_GB2312"/>
          <w:sz w:val="24"/>
        </w:rPr>
        <w:t>2</w:t>
      </w:r>
      <w:r>
        <w:rPr>
          <w:rFonts w:hint="eastAsia" w:ascii="宋体" w:hAnsi="宋体" w:cs="仿宋_GB2312"/>
          <w:sz w:val="24"/>
        </w:rPr>
        <w:t>〉流动资金：</w:t>
      </w:r>
      <w:r>
        <w:rPr>
          <w:rFonts w:ascii="宋体" w:hAnsi="宋体" w:cs="仿宋_GB2312"/>
          <w:sz w:val="24"/>
        </w:rPr>
        <w:t>__________________________</w:t>
      </w:r>
    </w:p>
    <w:p w14:paraId="66FB5AB5">
      <w:pPr>
        <w:tabs>
          <w:tab w:val="left" w:pos="5580"/>
        </w:tabs>
        <w:spacing w:before="120"/>
        <w:ind w:left="454" w:firstLine="454"/>
        <w:rPr>
          <w:rFonts w:hint="eastAsia" w:ascii="宋体" w:hAnsi="宋体" w:cs="仿宋_GB2312"/>
          <w:sz w:val="24"/>
        </w:rPr>
      </w:pPr>
      <w:r>
        <w:rPr>
          <w:rFonts w:hint="eastAsia" w:ascii="宋体" w:hAnsi="宋体" w:cs="仿宋_GB2312"/>
          <w:sz w:val="24"/>
        </w:rPr>
        <w:t>〈</w:t>
      </w:r>
      <w:r>
        <w:rPr>
          <w:rFonts w:ascii="宋体" w:hAnsi="宋体" w:cs="仿宋_GB2312"/>
          <w:sz w:val="24"/>
        </w:rPr>
        <w:t>3</w:t>
      </w:r>
      <w:r>
        <w:rPr>
          <w:rFonts w:hint="eastAsia" w:ascii="宋体" w:hAnsi="宋体" w:cs="仿宋_GB2312"/>
          <w:sz w:val="24"/>
        </w:rPr>
        <w:t>〉长期负债：</w:t>
      </w:r>
      <w:r>
        <w:rPr>
          <w:rFonts w:ascii="宋体" w:hAnsi="宋体" w:cs="仿宋_GB2312"/>
          <w:sz w:val="24"/>
        </w:rPr>
        <w:t>__________________________</w:t>
      </w:r>
    </w:p>
    <w:p w14:paraId="53D3C6CA">
      <w:pPr>
        <w:tabs>
          <w:tab w:val="left" w:pos="5580"/>
        </w:tabs>
        <w:spacing w:before="120"/>
        <w:ind w:left="454" w:firstLine="454"/>
        <w:rPr>
          <w:rFonts w:hint="eastAsia" w:ascii="宋体" w:hAnsi="宋体" w:cs="仿宋_GB2312"/>
          <w:sz w:val="24"/>
        </w:rPr>
      </w:pPr>
      <w:r>
        <w:rPr>
          <w:rFonts w:hint="eastAsia" w:ascii="宋体" w:hAnsi="宋体" w:cs="仿宋_GB2312"/>
          <w:sz w:val="24"/>
        </w:rPr>
        <w:t>〈</w:t>
      </w:r>
      <w:r>
        <w:rPr>
          <w:rFonts w:ascii="宋体" w:hAnsi="宋体" w:cs="仿宋_GB2312"/>
          <w:sz w:val="24"/>
        </w:rPr>
        <w:t>4</w:t>
      </w:r>
      <w:r>
        <w:rPr>
          <w:rFonts w:hint="eastAsia" w:ascii="宋体" w:hAnsi="宋体" w:cs="仿宋_GB2312"/>
          <w:sz w:val="24"/>
        </w:rPr>
        <w:t>〉短期负债：</w:t>
      </w:r>
      <w:r>
        <w:rPr>
          <w:rFonts w:ascii="宋体" w:hAnsi="宋体" w:cs="仿宋_GB2312"/>
          <w:sz w:val="24"/>
        </w:rPr>
        <w:t>__________________________</w:t>
      </w:r>
    </w:p>
    <w:p w14:paraId="7E7E28F1">
      <w:pPr>
        <w:tabs>
          <w:tab w:val="left" w:pos="5580"/>
        </w:tabs>
        <w:spacing w:before="120"/>
        <w:ind w:left="454" w:firstLine="454"/>
        <w:rPr>
          <w:rFonts w:hint="eastAsia" w:ascii="宋体" w:hAnsi="宋体"/>
          <w:sz w:val="24"/>
        </w:rPr>
      </w:pPr>
      <w:r>
        <w:rPr>
          <w:rFonts w:hint="eastAsia" w:ascii="宋体" w:hAnsi="宋体" w:cs="仿宋_GB2312"/>
          <w:sz w:val="24"/>
        </w:rPr>
        <w:t>〈</w:t>
      </w:r>
      <w:r>
        <w:rPr>
          <w:rFonts w:ascii="宋体" w:hAnsi="宋体" w:cs="仿宋_GB2312"/>
          <w:sz w:val="24"/>
        </w:rPr>
        <w:t>5</w:t>
      </w:r>
      <w:r>
        <w:rPr>
          <w:rFonts w:hint="eastAsia" w:ascii="宋体" w:hAnsi="宋体" w:cs="仿宋_GB2312"/>
          <w:sz w:val="24"/>
        </w:rPr>
        <w:t>〉资金来源：</w:t>
      </w:r>
    </w:p>
    <w:p w14:paraId="48F5A587">
      <w:pPr>
        <w:tabs>
          <w:tab w:val="left" w:pos="5580"/>
        </w:tabs>
        <w:spacing w:before="120"/>
        <w:ind w:left="1362" w:firstLine="454"/>
        <w:rPr>
          <w:rFonts w:hint="eastAsia" w:ascii="宋体" w:hAnsi="宋体" w:cs="仿宋_GB2312"/>
          <w:sz w:val="24"/>
        </w:rPr>
      </w:pPr>
      <w:r>
        <w:rPr>
          <w:rFonts w:hint="eastAsia" w:ascii="宋体" w:hAnsi="宋体" w:cs="仿宋_GB2312"/>
          <w:sz w:val="24"/>
        </w:rPr>
        <w:t>自有资金：</w:t>
      </w:r>
      <w:r>
        <w:rPr>
          <w:rFonts w:ascii="宋体" w:hAnsi="宋体" w:cs="仿宋_GB2312"/>
          <w:sz w:val="24"/>
        </w:rPr>
        <w:t>__________________________</w:t>
      </w:r>
    </w:p>
    <w:p w14:paraId="12DC0F2D">
      <w:pPr>
        <w:tabs>
          <w:tab w:val="left" w:pos="5580"/>
        </w:tabs>
        <w:spacing w:before="120"/>
        <w:ind w:left="1362" w:firstLine="454"/>
        <w:rPr>
          <w:rFonts w:hint="eastAsia" w:ascii="宋体" w:hAnsi="宋体" w:cs="仿宋_GB2312"/>
          <w:sz w:val="24"/>
        </w:rPr>
      </w:pPr>
      <w:r>
        <w:rPr>
          <w:rFonts w:hint="eastAsia" w:ascii="宋体" w:hAnsi="宋体" w:cs="仿宋_GB2312"/>
          <w:sz w:val="24"/>
        </w:rPr>
        <w:t>银行贷款：</w:t>
      </w:r>
      <w:r>
        <w:rPr>
          <w:rFonts w:ascii="宋体" w:hAnsi="宋体" w:cs="仿宋_GB2312"/>
          <w:sz w:val="24"/>
        </w:rPr>
        <w:t>__________________________</w:t>
      </w:r>
    </w:p>
    <w:p w14:paraId="1F3EF0BD">
      <w:pPr>
        <w:tabs>
          <w:tab w:val="left" w:pos="5580"/>
        </w:tabs>
        <w:spacing w:before="120"/>
        <w:ind w:left="454" w:firstLine="454"/>
        <w:rPr>
          <w:rFonts w:hint="eastAsia" w:ascii="宋体" w:hAnsi="宋体" w:cs="仿宋_GB2312"/>
          <w:sz w:val="24"/>
        </w:rPr>
      </w:pPr>
      <w:r>
        <w:rPr>
          <w:rFonts w:hint="eastAsia" w:ascii="宋体" w:hAnsi="宋体" w:cs="仿宋_GB2312"/>
          <w:sz w:val="24"/>
        </w:rPr>
        <w:t>〈</w:t>
      </w:r>
      <w:r>
        <w:rPr>
          <w:rFonts w:ascii="宋体" w:hAnsi="宋体" w:cs="仿宋_GB2312"/>
          <w:sz w:val="24"/>
        </w:rPr>
        <w:t>6</w:t>
      </w:r>
      <w:r>
        <w:rPr>
          <w:rFonts w:hint="eastAsia" w:ascii="宋体" w:hAnsi="宋体" w:cs="仿宋_GB2312"/>
          <w:sz w:val="24"/>
        </w:rPr>
        <w:t>〉资金类型：</w:t>
      </w:r>
      <w:r>
        <w:rPr>
          <w:rFonts w:ascii="宋体" w:hAnsi="宋体" w:cs="仿宋_GB2312"/>
          <w:sz w:val="24"/>
        </w:rPr>
        <w:t>__________________________</w:t>
      </w:r>
    </w:p>
    <w:p w14:paraId="4CA64FC3">
      <w:pPr>
        <w:tabs>
          <w:tab w:val="left" w:pos="5580"/>
        </w:tabs>
        <w:spacing w:before="120"/>
        <w:ind w:left="1362" w:firstLine="454"/>
        <w:rPr>
          <w:rFonts w:hint="eastAsia" w:ascii="宋体" w:hAnsi="宋体" w:cs="仿宋_GB2312"/>
          <w:sz w:val="24"/>
        </w:rPr>
      </w:pPr>
      <w:r>
        <w:rPr>
          <w:rFonts w:hint="eastAsia" w:ascii="宋体" w:hAnsi="宋体" w:cs="仿宋_GB2312"/>
          <w:sz w:val="24"/>
        </w:rPr>
        <w:t>商业性：</w:t>
      </w:r>
      <w:r>
        <w:rPr>
          <w:rFonts w:ascii="宋体" w:hAnsi="宋体" w:cs="仿宋_GB2312"/>
          <w:sz w:val="24"/>
        </w:rPr>
        <w:t>____________________________</w:t>
      </w:r>
    </w:p>
    <w:p w14:paraId="234EC229">
      <w:pPr>
        <w:tabs>
          <w:tab w:val="left" w:pos="5580"/>
        </w:tabs>
        <w:spacing w:before="120"/>
        <w:ind w:left="1362" w:firstLine="454"/>
        <w:rPr>
          <w:rFonts w:hint="eastAsia" w:ascii="宋体" w:hAnsi="宋体" w:cs="仿宋_GB2312"/>
          <w:sz w:val="24"/>
        </w:rPr>
      </w:pPr>
      <w:r>
        <w:rPr>
          <w:rFonts w:hint="eastAsia" w:ascii="宋体" w:hAnsi="宋体" w:cs="仿宋_GB2312"/>
          <w:sz w:val="24"/>
        </w:rPr>
        <w:t>非商业性：</w:t>
      </w:r>
      <w:r>
        <w:rPr>
          <w:rFonts w:ascii="宋体" w:hAnsi="宋体" w:cs="仿宋_GB2312"/>
          <w:sz w:val="24"/>
        </w:rPr>
        <w:t>__________________________</w:t>
      </w:r>
    </w:p>
    <w:p w14:paraId="1F7B5BF7">
      <w:pPr>
        <w:tabs>
          <w:tab w:val="left" w:pos="5580"/>
        </w:tabs>
        <w:spacing w:before="120"/>
        <w:rPr>
          <w:rFonts w:hint="eastAsia" w:ascii="宋体" w:hAnsi="宋体"/>
          <w:sz w:val="24"/>
        </w:rPr>
      </w:pPr>
      <w:r>
        <w:rPr>
          <w:rFonts w:ascii="宋体" w:hAnsi="宋体" w:cs="仿宋_GB2312"/>
          <w:sz w:val="24"/>
        </w:rPr>
        <w:t>2</w:t>
      </w:r>
      <w:r>
        <w:rPr>
          <w:rFonts w:hint="eastAsia" w:ascii="宋体" w:hAnsi="宋体" w:cs="仿宋_GB2312"/>
          <w:sz w:val="24"/>
        </w:rPr>
        <w:t>、最近三年的年度总营业额：（ 年 月</w:t>
      </w:r>
      <w:r>
        <w:rPr>
          <w:rFonts w:ascii="宋体" w:hAnsi="宋体" w:cs="仿宋_GB2312"/>
          <w:sz w:val="24"/>
        </w:rPr>
        <w:t>-</w:t>
      </w:r>
      <w:r>
        <w:rPr>
          <w:rFonts w:hint="eastAsia" w:ascii="宋体" w:hAnsi="宋体" w:cs="仿宋_GB2312"/>
          <w:sz w:val="24"/>
        </w:rPr>
        <w:t xml:space="preserve"> 年 月）</w:t>
      </w:r>
    </w:p>
    <w:p w14:paraId="5A83C7A1">
      <w:pPr>
        <w:tabs>
          <w:tab w:val="left" w:pos="5580"/>
        </w:tabs>
        <w:spacing w:before="120"/>
        <w:ind w:firstLine="454"/>
        <w:rPr>
          <w:rFonts w:hint="eastAsia" w:ascii="宋体" w:hAnsi="宋体"/>
          <w:sz w:val="24"/>
        </w:rPr>
      </w:pPr>
      <w:r>
        <w:rPr>
          <w:rFonts w:hint="eastAsia" w:ascii="宋体" w:hAnsi="宋体" w:cs="仿宋_GB2312"/>
          <w:sz w:val="24"/>
        </w:rPr>
        <w:t>年份　　　　　国内　　　　　出口　　　　　总额</w:t>
      </w:r>
    </w:p>
    <w:p w14:paraId="0C8E4E79">
      <w:pPr>
        <w:tabs>
          <w:tab w:val="left" w:pos="5580"/>
        </w:tabs>
        <w:spacing w:before="120"/>
        <w:ind w:firstLine="454"/>
        <w:rPr>
          <w:rFonts w:hint="eastAsia"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4A652969">
      <w:pPr>
        <w:tabs>
          <w:tab w:val="left" w:pos="5580"/>
        </w:tabs>
        <w:spacing w:before="120"/>
        <w:ind w:firstLine="454"/>
        <w:rPr>
          <w:rFonts w:hint="eastAsia"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25F2767D">
      <w:pPr>
        <w:tabs>
          <w:tab w:val="left" w:pos="5580"/>
        </w:tabs>
        <w:spacing w:before="120"/>
        <w:rPr>
          <w:rFonts w:hint="eastAsia" w:ascii="宋体" w:hAnsi="宋体"/>
          <w:sz w:val="24"/>
        </w:rPr>
      </w:pPr>
      <w:r>
        <w:rPr>
          <w:rFonts w:ascii="宋体" w:hAnsi="宋体" w:cs="仿宋_GB2312"/>
          <w:sz w:val="24"/>
        </w:rPr>
        <w:t>3</w:t>
      </w:r>
      <w:r>
        <w:rPr>
          <w:rFonts w:hint="eastAsia" w:ascii="宋体" w:hAnsi="宋体" w:cs="仿宋_GB2312"/>
          <w:sz w:val="24"/>
        </w:rPr>
        <w:t>、最近三年投标货物主要销售给国内及国外用户名称及地址：（ 年 月</w:t>
      </w:r>
      <w:r>
        <w:rPr>
          <w:rFonts w:ascii="宋体" w:hAnsi="宋体" w:cs="仿宋_GB2312"/>
          <w:sz w:val="24"/>
        </w:rPr>
        <w:t>-</w:t>
      </w:r>
      <w:r>
        <w:rPr>
          <w:rFonts w:hint="eastAsia" w:ascii="宋体" w:hAnsi="宋体" w:cs="仿宋_GB2312"/>
          <w:sz w:val="24"/>
        </w:rPr>
        <w:t xml:space="preserve"> 年 月）</w:t>
      </w:r>
    </w:p>
    <w:p w14:paraId="61B86EFA">
      <w:pPr>
        <w:tabs>
          <w:tab w:val="left" w:pos="5580"/>
        </w:tabs>
        <w:spacing w:before="120"/>
        <w:ind w:firstLine="1173" w:firstLineChars="489"/>
        <w:rPr>
          <w:rFonts w:hint="eastAsia" w:ascii="宋体" w:hAnsi="宋体"/>
          <w:sz w:val="24"/>
        </w:rPr>
      </w:pPr>
      <w:r>
        <w:rPr>
          <w:rFonts w:hint="eastAsia" w:ascii="宋体" w:hAnsi="宋体" w:cs="仿宋_GB2312"/>
          <w:sz w:val="24"/>
        </w:rPr>
        <w:t>名称和地址　　　　　　　销售的项目和数量</w:t>
      </w:r>
    </w:p>
    <w:p w14:paraId="7B86574A">
      <w:pPr>
        <w:tabs>
          <w:tab w:val="left" w:pos="5580"/>
        </w:tabs>
        <w:spacing w:before="120"/>
        <w:ind w:firstLine="454"/>
        <w:rPr>
          <w:rFonts w:hint="eastAsia" w:ascii="宋体" w:hAnsi="宋体"/>
          <w:sz w:val="24"/>
        </w:rPr>
      </w:pPr>
      <w:r>
        <w:rPr>
          <w:rFonts w:ascii="宋体" w:hAnsi="宋体" w:cs="仿宋_GB2312"/>
          <w:sz w:val="24"/>
        </w:rPr>
        <w:t>(1)</w:t>
      </w:r>
      <w:r>
        <w:rPr>
          <w:rFonts w:hint="eastAsia" w:ascii="宋体" w:hAnsi="宋体" w:cs="仿宋_GB2312"/>
          <w:sz w:val="24"/>
        </w:rPr>
        <w:t>出口销售：</w:t>
      </w:r>
    </w:p>
    <w:p w14:paraId="6BCFB65B">
      <w:pPr>
        <w:tabs>
          <w:tab w:val="left" w:pos="5580"/>
        </w:tabs>
        <w:spacing w:before="120"/>
        <w:ind w:left="454" w:firstLine="454"/>
        <w:rPr>
          <w:rFonts w:hint="eastAsia"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1A93A04C">
      <w:pPr>
        <w:tabs>
          <w:tab w:val="left" w:pos="5580"/>
        </w:tabs>
        <w:spacing w:before="120"/>
        <w:ind w:left="454" w:firstLine="454"/>
        <w:rPr>
          <w:rFonts w:hint="eastAsia"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2C7931FE">
      <w:pPr>
        <w:tabs>
          <w:tab w:val="left" w:pos="5580"/>
        </w:tabs>
        <w:spacing w:before="120"/>
        <w:ind w:left="454" w:firstLine="454"/>
        <w:rPr>
          <w:rFonts w:hint="eastAsia"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407FA175">
      <w:pPr>
        <w:tabs>
          <w:tab w:val="left" w:pos="5580"/>
        </w:tabs>
        <w:spacing w:before="120"/>
        <w:ind w:firstLine="454"/>
        <w:rPr>
          <w:rFonts w:hint="eastAsia" w:ascii="宋体" w:hAnsi="宋体"/>
          <w:sz w:val="24"/>
        </w:rPr>
      </w:pPr>
      <w:r>
        <w:rPr>
          <w:rFonts w:ascii="宋体" w:hAnsi="宋体" w:cs="仿宋_GB2312"/>
          <w:sz w:val="24"/>
        </w:rPr>
        <w:t>(2)</w:t>
      </w:r>
      <w:r>
        <w:rPr>
          <w:rFonts w:hint="eastAsia" w:ascii="宋体" w:hAnsi="宋体" w:cs="仿宋_GB2312"/>
          <w:sz w:val="24"/>
        </w:rPr>
        <w:t>国内销售：</w:t>
      </w:r>
    </w:p>
    <w:p w14:paraId="7B61EA94">
      <w:pPr>
        <w:tabs>
          <w:tab w:val="left" w:pos="5580"/>
        </w:tabs>
        <w:spacing w:before="120"/>
        <w:ind w:left="454" w:firstLine="454"/>
        <w:rPr>
          <w:rFonts w:hint="eastAsia"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7671313D">
      <w:pPr>
        <w:tabs>
          <w:tab w:val="left" w:pos="5580"/>
        </w:tabs>
        <w:spacing w:before="120"/>
        <w:ind w:left="454" w:firstLine="454"/>
        <w:rPr>
          <w:rFonts w:hint="eastAsia"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6F7AEC91">
      <w:pPr>
        <w:tabs>
          <w:tab w:val="left" w:pos="5580"/>
        </w:tabs>
        <w:spacing w:before="120"/>
        <w:ind w:left="454" w:firstLine="454"/>
        <w:rPr>
          <w:rFonts w:hint="eastAsia"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59D256CF">
      <w:pPr>
        <w:tabs>
          <w:tab w:val="left" w:pos="5580"/>
        </w:tabs>
        <w:spacing w:before="120"/>
        <w:rPr>
          <w:rFonts w:hint="eastAsia" w:ascii="宋体" w:hAnsi="宋体"/>
          <w:sz w:val="24"/>
        </w:rPr>
      </w:pPr>
      <w:r>
        <w:rPr>
          <w:rFonts w:ascii="宋体" w:hAnsi="宋体" w:cs="仿宋_GB2312"/>
          <w:sz w:val="24"/>
        </w:rPr>
        <w:t>4</w:t>
      </w:r>
      <w:r>
        <w:rPr>
          <w:rFonts w:hint="eastAsia" w:ascii="宋体" w:hAnsi="宋体" w:cs="仿宋_GB2312"/>
          <w:sz w:val="24"/>
        </w:rPr>
        <w:t>、同意为投标人制造投标货物的制造厂并附有制造厂的资格声明：</w:t>
      </w:r>
    </w:p>
    <w:p w14:paraId="75591ED5">
      <w:pPr>
        <w:tabs>
          <w:tab w:val="left" w:pos="5580"/>
        </w:tabs>
        <w:spacing w:before="120"/>
        <w:ind w:left="454" w:firstLine="454"/>
        <w:rPr>
          <w:rFonts w:hint="eastAsia" w:ascii="宋体" w:hAnsi="宋体"/>
          <w:sz w:val="24"/>
        </w:rPr>
      </w:pPr>
      <w:r>
        <w:rPr>
          <w:rFonts w:hint="eastAsia" w:ascii="宋体" w:hAnsi="宋体" w:cs="仿宋_GB2312"/>
          <w:sz w:val="24"/>
        </w:rPr>
        <w:t>制造厂名称和地址　　　　　制造项目和数量</w:t>
      </w:r>
    </w:p>
    <w:p w14:paraId="7700D733">
      <w:pPr>
        <w:tabs>
          <w:tab w:val="left" w:pos="360"/>
          <w:tab w:val="left" w:pos="5580"/>
        </w:tabs>
        <w:spacing w:before="120"/>
        <w:ind w:firstLine="360"/>
        <w:rPr>
          <w:rFonts w:hint="eastAsia" w:ascii="宋体" w:hAnsi="宋体" w:cs="仿宋_GB2312"/>
          <w:sz w:val="24"/>
        </w:rPr>
      </w:pPr>
      <w:r>
        <w:rPr>
          <w:rFonts w:ascii="宋体" w:hAnsi="宋体" w:cs="仿宋_GB2312"/>
          <w:sz w:val="24"/>
        </w:rPr>
        <w:t>_____________________</w:t>
      </w:r>
      <w:r>
        <w:rPr>
          <w:rFonts w:hint="eastAsia" w:ascii="宋体" w:hAnsi="宋体" w:cs="仿宋_GB2312"/>
          <w:sz w:val="24"/>
        </w:rPr>
        <w:t>　</w:t>
      </w:r>
      <w:r>
        <w:rPr>
          <w:rFonts w:ascii="宋体" w:hAnsi="宋体" w:cs="仿宋_GB2312"/>
          <w:sz w:val="24"/>
        </w:rPr>
        <w:t>_____________________________</w:t>
      </w:r>
    </w:p>
    <w:p w14:paraId="764CA940">
      <w:pPr>
        <w:tabs>
          <w:tab w:val="left" w:pos="5580"/>
        </w:tabs>
        <w:spacing w:before="120"/>
        <w:ind w:firstLine="454"/>
        <w:rPr>
          <w:rFonts w:hint="eastAsia" w:ascii="宋体" w:hAnsi="宋体" w:cs="仿宋_GB2312"/>
          <w:sz w:val="24"/>
        </w:rPr>
      </w:pPr>
      <w:r>
        <w:rPr>
          <w:rFonts w:ascii="宋体" w:hAnsi="宋体" w:cs="仿宋_GB2312"/>
          <w:sz w:val="24"/>
        </w:rPr>
        <w:t>_____________________</w:t>
      </w:r>
      <w:r>
        <w:rPr>
          <w:rFonts w:hint="eastAsia" w:ascii="宋体" w:hAnsi="宋体" w:cs="仿宋_GB2312"/>
          <w:sz w:val="24"/>
        </w:rPr>
        <w:t>　</w:t>
      </w:r>
      <w:r>
        <w:rPr>
          <w:rFonts w:ascii="宋体" w:hAnsi="宋体" w:cs="仿宋_GB2312"/>
          <w:sz w:val="24"/>
        </w:rPr>
        <w:t>_____________________________</w:t>
      </w:r>
    </w:p>
    <w:p w14:paraId="7605E17A">
      <w:pPr>
        <w:tabs>
          <w:tab w:val="left" w:pos="5580"/>
        </w:tabs>
        <w:spacing w:before="120"/>
        <w:rPr>
          <w:rFonts w:hint="eastAsia" w:ascii="宋体" w:hAnsi="宋体"/>
          <w:sz w:val="24"/>
        </w:rPr>
      </w:pPr>
      <w:r>
        <w:rPr>
          <w:rFonts w:ascii="宋体" w:hAnsi="宋体" w:cs="仿宋_GB2312"/>
          <w:sz w:val="24"/>
        </w:rPr>
        <w:t>5</w:t>
      </w:r>
      <w:r>
        <w:rPr>
          <w:rFonts w:hint="eastAsia" w:ascii="宋体" w:hAnsi="宋体" w:cs="仿宋_GB2312"/>
          <w:sz w:val="24"/>
        </w:rPr>
        <w:t>、须由其它制造厂家供应和制造的部件</w:t>
      </w:r>
      <w:r>
        <w:rPr>
          <w:rFonts w:ascii="宋体" w:hAnsi="宋体" w:cs="仿宋_GB2312"/>
          <w:sz w:val="24"/>
        </w:rPr>
        <w:t>(</w:t>
      </w:r>
      <w:r>
        <w:rPr>
          <w:rFonts w:hint="eastAsia" w:ascii="宋体" w:hAnsi="宋体" w:cs="仿宋_GB2312"/>
          <w:sz w:val="24"/>
        </w:rPr>
        <w:t>如果有的话</w:t>
      </w:r>
      <w:r>
        <w:rPr>
          <w:rFonts w:ascii="宋体" w:hAnsi="宋体" w:cs="仿宋_GB2312"/>
          <w:sz w:val="24"/>
        </w:rPr>
        <w:t>)</w:t>
      </w:r>
      <w:r>
        <w:rPr>
          <w:rFonts w:hint="eastAsia" w:ascii="宋体" w:hAnsi="宋体" w:cs="仿宋_GB2312"/>
          <w:sz w:val="24"/>
        </w:rPr>
        <w:t>：</w:t>
      </w:r>
    </w:p>
    <w:p w14:paraId="5AA7EE72">
      <w:pPr>
        <w:tabs>
          <w:tab w:val="left" w:pos="5580"/>
        </w:tabs>
        <w:spacing w:before="120"/>
        <w:ind w:left="454" w:firstLine="454"/>
        <w:rPr>
          <w:rFonts w:hint="eastAsia" w:ascii="宋体" w:hAnsi="宋体"/>
          <w:sz w:val="24"/>
        </w:rPr>
      </w:pPr>
      <w:r>
        <w:rPr>
          <w:rFonts w:hint="eastAsia" w:ascii="宋体" w:hAnsi="宋体" w:cs="仿宋_GB2312"/>
          <w:sz w:val="24"/>
        </w:rPr>
        <w:t>制造厂名称和地址　　　　　　制造项目</w:t>
      </w:r>
    </w:p>
    <w:p w14:paraId="77735F41">
      <w:pPr>
        <w:tabs>
          <w:tab w:val="left" w:pos="5580"/>
        </w:tabs>
        <w:spacing w:before="120"/>
        <w:ind w:firstLine="454"/>
        <w:rPr>
          <w:rFonts w:hint="eastAsia" w:ascii="宋体" w:hAnsi="宋体" w:cs="仿宋_GB2312"/>
          <w:sz w:val="24"/>
        </w:rPr>
      </w:pPr>
      <w:r>
        <w:rPr>
          <w:rFonts w:ascii="宋体" w:hAnsi="宋体" w:cs="仿宋_GB2312"/>
          <w:sz w:val="24"/>
        </w:rPr>
        <w:t>_____________________</w:t>
      </w:r>
      <w:r>
        <w:rPr>
          <w:rFonts w:hint="eastAsia" w:ascii="宋体" w:hAnsi="宋体" w:cs="仿宋_GB2312"/>
          <w:sz w:val="24"/>
        </w:rPr>
        <w:t>　</w:t>
      </w:r>
      <w:r>
        <w:rPr>
          <w:rFonts w:ascii="宋体" w:hAnsi="宋体" w:cs="仿宋_GB2312"/>
          <w:sz w:val="24"/>
        </w:rPr>
        <w:t>_______________________</w:t>
      </w:r>
    </w:p>
    <w:p w14:paraId="201A4AA2">
      <w:pPr>
        <w:tabs>
          <w:tab w:val="left" w:pos="5580"/>
        </w:tabs>
        <w:spacing w:before="120"/>
        <w:ind w:firstLine="480" w:firstLineChars="200"/>
        <w:rPr>
          <w:rFonts w:hint="eastAsia" w:ascii="宋体" w:hAnsi="宋体" w:cs="仿宋_GB2312"/>
          <w:sz w:val="24"/>
        </w:rPr>
      </w:pPr>
      <w:r>
        <w:rPr>
          <w:rFonts w:ascii="宋体" w:hAnsi="宋体" w:cs="仿宋_GB2312"/>
          <w:sz w:val="24"/>
        </w:rPr>
        <w:t>_____________________</w:t>
      </w:r>
      <w:r>
        <w:rPr>
          <w:rFonts w:hint="eastAsia" w:ascii="宋体" w:hAnsi="宋体" w:cs="仿宋_GB2312"/>
          <w:sz w:val="24"/>
        </w:rPr>
        <w:t>　</w:t>
      </w:r>
      <w:r>
        <w:rPr>
          <w:rFonts w:ascii="宋体" w:hAnsi="宋体" w:cs="仿宋_GB2312"/>
          <w:sz w:val="24"/>
        </w:rPr>
        <w:t>_______________________</w:t>
      </w:r>
    </w:p>
    <w:p w14:paraId="2BADF2CF">
      <w:pPr>
        <w:tabs>
          <w:tab w:val="left" w:pos="5580"/>
        </w:tabs>
        <w:spacing w:before="120"/>
        <w:rPr>
          <w:rFonts w:hint="eastAsia" w:ascii="宋体" w:hAnsi="宋体"/>
          <w:sz w:val="24"/>
        </w:rPr>
      </w:pPr>
      <w:r>
        <w:rPr>
          <w:rFonts w:ascii="宋体" w:hAnsi="宋体" w:cs="仿宋_GB2312"/>
          <w:sz w:val="24"/>
        </w:rPr>
        <w:t>6</w:t>
      </w:r>
      <w:r>
        <w:rPr>
          <w:rFonts w:hint="eastAsia" w:ascii="宋体" w:hAnsi="宋体" w:cs="仿宋_GB2312"/>
          <w:sz w:val="24"/>
        </w:rPr>
        <w:t>、最近三年中与各经销商中标的此种投标货物</w:t>
      </w:r>
      <w:r>
        <w:rPr>
          <w:rFonts w:ascii="宋体" w:hAnsi="宋体" w:cs="仿宋_GB2312"/>
          <w:sz w:val="24"/>
        </w:rPr>
        <w:t>(</w:t>
      </w:r>
      <w:r>
        <w:rPr>
          <w:rFonts w:hint="eastAsia" w:ascii="宋体" w:hAnsi="宋体" w:cs="仿宋_GB2312"/>
          <w:sz w:val="24"/>
        </w:rPr>
        <w:t>如果有的话</w:t>
      </w:r>
      <w:r>
        <w:rPr>
          <w:rFonts w:ascii="宋体" w:hAnsi="宋体" w:cs="仿宋_GB2312"/>
          <w:sz w:val="24"/>
        </w:rPr>
        <w:t>)</w:t>
      </w:r>
      <w:r>
        <w:rPr>
          <w:rFonts w:hint="eastAsia" w:ascii="宋体" w:hAnsi="宋体" w:cs="仿宋_GB2312"/>
          <w:sz w:val="24"/>
        </w:rPr>
        <w:t>：</w:t>
      </w:r>
    </w:p>
    <w:p w14:paraId="4B48AD64">
      <w:pPr>
        <w:tabs>
          <w:tab w:val="left" w:pos="5580"/>
        </w:tabs>
        <w:spacing w:before="120"/>
        <w:rPr>
          <w:rFonts w:hint="eastAsia" w:ascii="宋体" w:hAnsi="宋体" w:cs="仿宋_GB2312"/>
          <w:sz w:val="24"/>
        </w:rPr>
      </w:pPr>
      <w:r>
        <w:rPr>
          <w:rFonts w:hint="eastAsia" w:ascii="宋体" w:hAnsi="宋体" w:cs="仿宋_GB2312"/>
          <w:sz w:val="24"/>
        </w:rPr>
        <w:t>合同号：</w:t>
      </w:r>
      <w:r>
        <w:rPr>
          <w:rFonts w:ascii="宋体" w:hAnsi="宋体" w:cs="仿宋_GB2312"/>
          <w:sz w:val="24"/>
        </w:rPr>
        <w:t>___________________________</w:t>
      </w:r>
    </w:p>
    <w:p w14:paraId="3E30A607">
      <w:pPr>
        <w:tabs>
          <w:tab w:val="left" w:pos="5580"/>
        </w:tabs>
        <w:spacing w:before="120"/>
        <w:ind w:left="454" w:firstLine="454"/>
        <w:rPr>
          <w:rFonts w:hint="eastAsia" w:ascii="宋体" w:hAnsi="宋体" w:cs="仿宋_GB2312"/>
          <w:sz w:val="24"/>
        </w:rPr>
      </w:pPr>
      <w:r>
        <w:rPr>
          <w:rFonts w:hint="eastAsia" w:ascii="宋体" w:hAnsi="宋体" w:cs="仿宋_GB2312"/>
          <w:sz w:val="24"/>
        </w:rPr>
        <w:t>签字日期：</w:t>
      </w:r>
      <w:r>
        <w:rPr>
          <w:rFonts w:ascii="宋体" w:hAnsi="宋体" w:cs="仿宋_GB2312"/>
          <w:sz w:val="24"/>
        </w:rPr>
        <w:t>_________________________</w:t>
      </w:r>
    </w:p>
    <w:p w14:paraId="6B5E2612">
      <w:pPr>
        <w:tabs>
          <w:tab w:val="left" w:pos="5580"/>
        </w:tabs>
        <w:spacing w:before="120"/>
        <w:ind w:left="454" w:firstLine="454"/>
        <w:rPr>
          <w:rFonts w:hint="eastAsia" w:ascii="宋体" w:hAnsi="宋体" w:cs="仿宋_GB2312"/>
          <w:sz w:val="24"/>
        </w:rPr>
      </w:pPr>
      <w:r>
        <w:rPr>
          <w:rFonts w:hint="eastAsia" w:ascii="宋体" w:hAnsi="宋体" w:cs="仿宋_GB2312"/>
          <w:sz w:val="24"/>
        </w:rPr>
        <w:t>产品名称：</w:t>
      </w:r>
      <w:r>
        <w:rPr>
          <w:rFonts w:ascii="宋体" w:hAnsi="宋体" w:cs="仿宋_GB2312"/>
          <w:sz w:val="24"/>
        </w:rPr>
        <w:t>_________________________</w:t>
      </w:r>
    </w:p>
    <w:p w14:paraId="15E75DFA">
      <w:pPr>
        <w:tabs>
          <w:tab w:val="left" w:pos="5580"/>
        </w:tabs>
        <w:spacing w:before="120"/>
        <w:ind w:left="454" w:firstLine="454"/>
        <w:rPr>
          <w:rFonts w:hint="eastAsia" w:ascii="宋体" w:hAnsi="宋体" w:cs="仿宋_GB2312"/>
          <w:sz w:val="24"/>
        </w:rPr>
      </w:pPr>
      <w:r>
        <w:rPr>
          <w:rFonts w:hint="eastAsia" w:ascii="宋体" w:hAnsi="宋体" w:cs="仿宋_GB2312"/>
          <w:sz w:val="24"/>
        </w:rPr>
        <w:t>数量：</w:t>
      </w:r>
      <w:r>
        <w:rPr>
          <w:rFonts w:ascii="宋体" w:hAnsi="宋体" w:cs="仿宋_GB2312"/>
          <w:sz w:val="24"/>
        </w:rPr>
        <w:t>_____________________________</w:t>
      </w:r>
    </w:p>
    <w:p w14:paraId="680D06C6">
      <w:pPr>
        <w:tabs>
          <w:tab w:val="left" w:pos="5580"/>
        </w:tabs>
        <w:spacing w:before="120"/>
        <w:ind w:left="454" w:firstLine="454"/>
        <w:rPr>
          <w:rFonts w:hint="eastAsia" w:ascii="宋体" w:hAnsi="宋体" w:cs="仿宋_GB2312"/>
          <w:sz w:val="24"/>
        </w:rPr>
      </w:pPr>
      <w:r>
        <w:rPr>
          <w:rFonts w:hint="eastAsia" w:ascii="宋体" w:hAnsi="宋体" w:cs="仿宋_GB2312"/>
          <w:sz w:val="24"/>
        </w:rPr>
        <w:t>合同金额</w:t>
      </w:r>
      <w:r>
        <w:rPr>
          <w:rFonts w:ascii="宋体" w:hAnsi="宋体" w:cs="仿宋_GB2312"/>
          <w:sz w:val="24"/>
        </w:rPr>
        <w:t>___________________________</w:t>
      </w:r>
    </w:p>
    <w:p w14:paraId="56C9DAA8">
      <w:pPr>
        <w:tabs>
          <w:tab w:val="left" w:pos="5580"/>
        </w:tabs>
        <w:spacing w:before="120"/>
        <w:rPr>
          <w:rFonts w:hint="eastAsia" w:ascii="宋体" w:hAnsi="宋体" w:cs="仿宋_GB2312"/>
          <w:sz w:val="24"/>
        </w:rPr>
      </w:pPr>
      <w:r>
        <w:rPr>
          <w:rFonts w:ascii="宋体" w:hAnsi="宋体" w:cs="仿宋_GB2312"/>
          <w:sz w:val="24"/>
        </w:rPr>
        <w:t>7</w:t>
      </w:r>
      <w:r>
        <w:rPr>
          <w:rFonts w:hint="eastAsia" w:ascii="宋体" w:hAnsi="宋体" w:cs="仿宋_GB2312"/>
          <w:sz w:val="24"/>
        </w:rPr>
        <w:t>、有关开户银行的名称和地址：</w:t>
      </w:r>
      <w:r>
        <w:rPr>
          <w:rFonts w:ascii="宋体" w:hAnsi="宋体" w:cs="仿宋_GB2312"/>
          <w:sz w:val="24"/>
        </w:rPr>
        <w:t>_____________________________</w:t>
      </w:r>
    </w:p>
    <w:p w14:paraId="18D63B1F">
      <w:pPr>
        <w:tabs>
          <w:tab w:val="left" w:pos="5580"/>
        </w:tabs>
        <w:spacing w:before="120"/>
        <w:rPr>
          <w:rFonts w:hint="eastAsia" w:ascii="宋体" w:hAnsi="宋体"/>
          <w:sz w:val="24"/>
        </w:rPr>
      </w:pPr>
      <w:r>
        <w:rPr>
          <w:rFonts w:ascii="宋体" w:hAnsi="宋体" w:cs="仿宋_GB2312"/>
          <w:sz w:val="24"/>
        </w:rPr>
        <w:t>8</w:t>
      </w:r>
      <w:r>
        <w:rPr>
          <w:rFonts w:hint="eastAsia" w:ascii="宋体" w:hAnsi="宋体" w:cs="仿宋_GB2312"/>
          <w:sz w:val="24"/>
        </w:rPr>
        <w:t>、投标人认为需要声明的其他情况</w:t>
      </w:r>
    </w:p>
    <w:p w14:paraId="6DA6D0CD">
      <w:pPr>
        <w:tabs>
          <w:tab w:val="left" w:pos="5580"/>
        </w:tabs>
        <w:spacing w:before="120"/>
        <w:ind w:firstLine="454"/>
        <w:rPr>
          <w:rFonts w:hint="eastAsia" w:ascii="宋体" w:hAnsi="宋体"/>
          <w:sz w:val="24"/>
        </w:rPr>
      </w:pPr>
      <w:r>
        <w:rPr>
          <w:rFonts w:hint="eastAsia" w:ascii="宋体" w:hAnsi="宋体" w:cs="仿宋_GB2312"/>
          <w:sz w:val="24"/>
        </w:rPr>
        <w:t>兹证明上述声明是真实、正确的，并提供了全部能提供的资料和数据，我们同意遵照贵方要求出示有关证明文件。</w:t>
      </w:r>
    </w:p>
    <w:p w14:paraId="33A53FAF">
      <w:pPr>
        <w:tabs>
          <w:tab w:val="left" w:pos="5580"/>
        </w:tabs>
        <w:spacing w:before="120"/>
        <w:rPr>
          <w:rFonts w:hint="eastAsia" w:ascii="宋体" w:hAnsi="宋体"/>
          <w:sz w:val="24"/>
        </w:rPr>
      </w:pPr>
    </w:p>
    <w:p w14:paraId="6588F61D">
      <w:pPr>
        <w:tabs>
          <w:tab w:val="left" w:pos="5580"/>
        </w:tabs>
        <w:spacing w:before="120"/>
        <w:ind w:left="454" w:firstLine="454"/>
        <w:rPr>
          <w:rFonts w:hint="eastAsia" w:ascii="宋体" w:hAnsi="宋体" w:cs="仿宋_GB2312"/>
          <w:sz w:val="24"/>
        </w:rPr>
      </w:pPr>
      <w:r>
        <w:rPr>
          <w:rFonts w:hint="eastAsia" w:ascii="宋体" w:hAnsi="宋体" w:cs="仿宋_GB2312"/>
          <w:sz w:val="24"/>
        </w:rPr>
        <w:t>日期：</w:t>
      </w:r>
      <w:r>
        <w:rPr>
          <w:rFonts w:ascii="宋体" w:hAnsi="宋体" w:cs="仿宋_GB2312"/>
          <w:sz w:val="24"/>
        </w:rPr>
        <w:t>__________________________________________</w:t>
      </w:r>
    </w:p>
    <w:p w14:paraId="525692B2">
      <w:pPr>
        <w:tabs>
          <w:tab w:val="left" w:pos="5580"/>
        </w:tabs>
        <w:spacing w:before="120"/>
        <w:ind w:left="454" w:firstLine="454"/>
        <w:rPr>
          <w:rFonts w:hint="eastAsia" w:ascii="宋体" w:hAnsi="宋体" w:cs="仿宋_GB2312"/>
          <w:sz w:val="24"/>
        </w:rPr>
      </w:pPr>
      <w:r>
        <w:rPr>
          <w:rFonts w:hint="eastAsia" w:ascii="宋体" w:hAnsi="宋体" w:cs="仿宋_GB2312"/>
          <w:sz w:val="24"/>
        </w:rPr>
        <w:t>投标人授权代表</w:t>
      </w:r>
      <w:r>
        <w:rPr>
          <w:rFonts w:ascii="宋体" w:hAnsi="宋体" w:cs="仿宋_GB2312"/>
          <w:sz w:val="24"/>
        </w:rPr>
        <w:t>(</w:t>
      </w:r>
      <w:r>
        <w:rPr>
          <w:rFonts w:hint="eastAsia" w:ascii="宋体" w:hAnsi="宋体" w:cs="仿宋_GB2312"/>
          <w:sz w:val="24"/>
        </w:rPr>
        <w:t>签字</w:t>
      </w:r>
      <w:r>
        <w:rPr>
          <w:rFonts w:ascii="宋体" w:hAnsi="宋体" w:cs="仿宋_GB2312"/>
          <w:sz w:val="24"/>
        </w:rPr>
        <w:t>)</w:t>
      </w:r>
      <w:r>
        <w:rPr>
          <w:rFonts w:hint="eastAsia" w:ascii="宋体" w:hAnsi="宋体" w:cs="仿宋_GB2312"/>
          <w:sz w:val="24"/>
        </w:rPr>
        <w:t>：</w:t>
      </w:r>
      <w:r>
        <w:rPr>
          <w:rFonts w:ascii="宋体" w:hAnsi="宋体" w:cs="仿宋_GB2312"/>
          <w:sz w:val="24"/>
        </w:rPr>
        <w:t>________________________________</w:t>
      </w:r>
    </w:p>
    <w:p w14:paraId="5E46A089">
      <w:pPr>
        <w:tabs>
          <w:tab w:val="left" w:pos="5580"/>
        </w:tabs>
        <w:spacing w:before="120"/>
        <w:ind w:left="454" w:firstLine="454"/>
        <w:rPr>
          <w:rFonts w:hint="eastAsia" w:ascii="宋体" w:hAnsi="宋体" w:cs="仿宋_GB2312"/>
          <w:sz w:val="24"/>
        </w:rPr>
      </w:pPr>
      <w:r>
        <w:rPr>
          <w:rFonts w:hint="eastAsia" w:ascii="宋体" w:hAnsi="宋体" w:cs="仿宋_GB2312"/>
          <w:sz w:val="24"/>
        </w:rPr>
        <w:t>投标人授权代表的职务：</w:t>
      </w:r>
      <w:r>
        <w:rPr>
          <w:rFonts w:ascii="宋体" w:hAnsi="宋体" w:cs="仿宋_GB2312"/>
          <w:sz w:val="24"/>
        </w:rPr>
        <w:t>________________________________</w:t>
      </w:r>
    </w:p>
    <w:p w14:paraId="56899ADC">
      <w:pPr>
        <w:tabs>
          <w:tab w:val="left" w:pos="5580"/>
        </w:tabs>
        <w:spacing w:before="120"/>
        <w:ind w:left="454" w:firstLine="454"/>
        <w:rPr>
          <w:rFonts w:hint="eastAsia" w:ascii="宋体" w:hAnsi="宋体" w:cs="仿宋_GB2312"/>
          <w:sz w:val="24"/>
        </w:rPr>
      </w:pPr>
      <w:r>
        <w:rPr>
          <w:rFonts w:hint="eastAsia" w:ascii="宋体" w:hAnsi="宋体" w:cs="仿宋_GB2312"/>
          <w:sz w:val="24"/>
        </w:rPr>
        <w:t>电话号：</w:t>
      </w:r>
      <w:r>
        <w:rPr>
          <w:rFonts w:ascii="宋体" w:hAnsi="宋体" w:cs="仿宋_GB2312"/>
          <w:sz w:val="24"/>
        </w:rPr>
        <w:t>________________________________________</w:t>
      </w:r>
    </w:p>
    <w:p w14:paraId="7806C3C2">
      <w:pPr>
        <w:tabs>
          <w:tab w:val="left" w:pos="5580"/>
        </w:tabs>
        <w:spacing w:before="120"/>
        <w:ind w:left="454" w:firstLine="454"/>
        <w:rPr>
          <w:rFonts w:hint="eastAsia" w:ascii="宋体" w:hAnsi="宋体" w:cs="仿宋_GB2312"/>
          <w:sz w:val="24"/>
        </w:rPr>
      </w:pPr>
      <w:r>
        <w:rPr>
          <w:rFonts w:hint="eastAsia" w:ascii="宋体" w:hAnsi="宋体" w:cs="仿宋_GB2312"/>
          <w:sz w:val="24"/>
        </w:rPr>
        <w:t>传真号：</w:t>
      </w:r>
      <w:r>
        <w:rPr>
          <w:rFonts w:ascii="宋体" w:hAnsi="宋体" w:cs="仿宋_GB2312"/>
          <w:sz w:val="24"/>
        </w:rPr>
        <w:t>________________________________________</w:t>
      </w:r>
    </w:p>
    <w:p w14:paraId="3690E183">
      <w:pPr>
        <w:pStyle w:val="19"/>
        <w:tabs>
          <w:tab w:val="left" w:pos="5580"/>
        </w:tabs>
        <w:ind w:left="1" w:firstLine="898"/>
        <w:rPr>
          <w:rFonts w:hint="eastAsia" w:hAnsi="宋体" w:cs="仿宋_GB2312"/>
          <w:sz w:val="24"/>
          <w:szCs w:val="24"/>
        </w:rPr>
      </w:pPr>
      <w:r>
        <w:rPr>
          <w:rFonts w:hint="eastAsia" w:hAnsi="宋体" w:cs="仿宋_GB2312"/>
          <w:sz w:val="24"/>
          <w:szCs w:val="24"/>
        </w:rPr>
        <w:t>加盖公章：</w:t>
      </w:r>
      <w:r>
        <w:rPr>
          <w:rFonts w:hAnsi="宋体" w:cs="仿宋_GB2312"/>
          <w:sz w:val="24"/>
          <w:szCs w:val="24"/>
        </w:rPr>
        <w:t>__________________________________________</w:t>
      </w:r>
    </w:p>
    <w:p w14:paraId="6F283820">
      <w:pPr>
        <w:widowControl/>
        <w:jc w:val="left"/>
        <w:rPr>
          <w:rFonts w:hint="eastAsia" w:ascii="宋体" w:hAnsi="宋体" w:cs="宋体"/>
          <w:b/>
          <w:bCs/>
          <w:sz w:val="24"/>
        </w:rPr>
      </w:pPr>
      <w:r>
        <w:rPr>
          <w:rFonts w:ascii="宋体" w:hAnsi="宋体" w:cs="宋体"/>
          <w:b/>
          <w:bCs/>
          <w:sz w:val="24"/>
        </w:rPr>
        <w:br w:type="page"/>
      </w:r>
    </w:p>
    <w:p w14:paraId="74FE2626">
      <w:pPr>
        <w:widowControl/>
        <w:tabs>
          <w:tab w:val="left" w:pos="5580"/>
        </w:tabs>
        <w:jc w:val="center"/>
        <w:outlineLvl w:val="1"/>
        <w:rPr>
          <w:rFonts w:hint="eastAsia" w:ascii="宋体" w:hAnsi="宋体"/>
          <w:b/>
          <w:sz w:val="24"/>
        </w:rPr>
      </w:pPr>
      <w:bookmarkStart w:id="23" w:name="_Hlk108443040"/>
      <w:r>
        <w:rPr>
          <w:rFonts w:hint="eastAsia"/>
          <w:b/>
          <w:sz w:val="24"/>
        </w:rPr>
        <w:t>★附件</w:t>
      </w:r>
      <w:r>
        <w:rPr>
          <w:b/>
          <w:sz w:val="24"/>
        </w:rPr>
        <w:t xml:space="preserve">8-7 </w:t>
      </w:r>
      <w:r>
        <w:rPr>
          <w:rFonts w:hint="eastAsia" w:ascii="宋体" w:hAnsi="宋体"/>
          <w:b/>
          <w:sz w:val="24"/>
          <w:lang w:bidi="ar"/>
        </w:rPr>
        <w:t>投标人资格声明书</w:t>
      </w:r>
    </w:p>
    <w:p w14:paraId="550A69D4">
      <w:pPr>
        <w:widowControl/>
        <w:tabs>
          <w:tab w:val="left" w:pos="5580"/>
        </w:tabs>
        <w:adjustRightInd w:val="0"/>
        <w:snapToGrid w:val="0"/>
        <w:spacing w:line="360" w:lineRule="auto"/>
        <w:jc w:val="left"/>
        <w:rPr>
          <w:sz w:val="24"/>
          <w:lang w:bidi="ar"/>
        </w:rPr>
      </w:pPr>
    </w:p>
    <w:p w14:paraId="0B8AC4C2">
      <w:pPr>
        <w:widowControl/>
        <w:tabs>
          <w:tab w:val="left" w:pos="5580"/>
        </w:tabs>
        <w:adjustRightInd w:val="0"/>
        <w:snapToGrid w:val="0"/>
        <w:spacing w:line="360" w:lineRule="auto"/>
        <w:jc w:val="left"/>
        <w:rPr>
          <w:sz w:val="24"/>
        </w:rPr>
      </w:pPr>
      <w:r>
        <w:rPr>
          <w:sz w:val="24"/>
          <w:lang w:bidi="ar"/>
        </w:rPr>
        <w:t xml:space="preserve">致：采购人或采购代理机构 </w:t>
      </w:r>
    </w:p>
    <w:p w14:paraId="65AAF8AD">
      <w:pPr>
        <w:widowControl/>
        <w:tabs>
          <w:tab w:val="left" w:pos="5580"/>
        </w:tabs>
        <w:adjustRightInd w:val="0"/>
        <w:snapToGrid w:val="0"/>
        <w:spacing w:line="360" w:lineRule="auto"/>
        <w:ind w:firstLine="480" w:firstLineChars="200"/>
        <w:jc w:val="left"/>
        <w:rPr>
          <w:sz w:val="24"/>
        </w:rPr>
      </w:pPr>
      <w:r>
        <w:rPr>
          <w:sz w:val="24"/>
          <w:lang w:bidi="ar"/>
        </w:rPr>
        <w:t xml:space="preserve">在参与本次项目投标中，我单位承诺： </w:t>
      </w:r>
    </w:p>
    <w:p w14:paraId="6B12F982">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一</w:t>
      </w:r>
      <w:r>
        <w:rPr>
          <w:sz w:val="24"/>
          <w:lang w:bidi="ar"/>
        </w:rPr>
        <w:t xml:space="preserve">）具有履行合同所必需的设备和专业技术能力； </w:t>
      </w:r>
    </w:p>
    <w:p w14:paraId="51FAE94F">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二</w:t>
      </w:r>
      <w:r>
        <w:rPr>
          <w:sz w:val="24"/>
          <w:lang w:bidi="ar"/>
        </w:rPr>
        <w:t xml:space="preserve">）参加政府采购活动前三年内，在经营活动中没有重大违法记录（重大违法记 </w:t>
      </w:r>
    </w:p>
    <w:p w14:paraId="21D569EC">
      <w:pPr>
        <w:widowControl/>
        <w:tabs>
          <w:tab w:val="left" w:pos="5580"/>
        </w:tabs>
        <w:adjustRightInd w:val="0"/>
        <w:snapToGrid w:val="0"/>
        <w:spacing w:line="360" w:lineRule="auto"/>
        <w:jc w:val="left"/>
        <w:rPr>
          <w:sz w:val="24"/>
        </w:rPr>
      </w:pPr>
      <w:r>
        <w:rPr>
          <w:sz w:val="24"/>
          <w:lang w:bidi="ar"/>
        </w:rPr>
        <w:t xml:space="preserve">录指因违法经营受到刑事处罚或者责令停产停业、吊销许可证或者执照、较大数额罚款等行政处罚，不包括因违法经营被禁止在一定期限内参加政府采购活动，但期限已经届满的情形）； </w:t>
      </w:r>
    </w:p>
    <w:p w14:paraId="134D3DA2">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三</w:t>
      </w:r>
      <w:r>
        <w:rPr>
          <w:sz w:val="24"/>
          <w:lang w:bidi="ar"/>
        </w:rPr>
        <w:t xml:space="preserve">）我单位不存在为采购项目提供整体设计、规范编制或者项目管理、监理、检 </w:t>
      </w:r>
    </w:p>
    <w:p w14:paraId="15421A7D">
      <w:pPr>
        <w:widowControl/>
        <w:tabs>
          <w:tab w:val="left" w:pos="5580"/>
        </w:tabs>
        <w:adjustRightInd w:val="0"/>
        <w:snapToGrid w:val="0"/>
        <w:spacing w:line="360" w:lineRule="auto"/>
        <w:jc w:val="left"/>
        <w:rPr>
          <w:sz w:val="24"/>
        </w:rPr>
      </w:pPr>
      <w:r>
        <w:rPr>
          <w:sz w:val="24"/>
          <w:lang w:bidi="ar"/>
        </w:rPr>
        <w:t xml:space="preserve">测等服务后，再参加该采购项目的其他采购活动的情形（单一来源采购项目除外）； </w:t>
      </w:r>
    </w:p>
    <w:p w14:paraId="23FEEE73">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四</w:t>
      </w:r>
      <w:r>
        <w:rPr>
          <w:sz w:val="24"/>
          <w:lang w:bidi="ar"/>
        </w:rPr>
        <w:t xml:space="preserve">）与我单位存在“单位负责人为同一人或者存在直接控股、管理关系”的其他法 </w:t>
      </w:r>
    </w:p>
    <w:p w14:paraId="4DC9AC89">
      <w:pPr>
        <w:widowControl/>
        <w:tabs>
          <w:tab w:val="left" w:pos="5580"/>
        </w:tabs>
        <w:adjustRightInd w:val="0"/>
        <w:snapToGrid w:val="0"/>
        <w:spacing w:line="360" w:lineRule="auto"/>
        <w:ind w:firstLine="480" w:firstLineChars="200"/>
        <w:jc w:val="left"/>
        <w:rPr>
          <w:rFonts w:ascii="Times New Roman" w:hAnsi="Times New Roman" w:eastAsia="宋体" w:cs="Times New Roman"/>
          <w:sz w:val="24"/>
        </w:rPr>
      </w:pPr>
      <w:r>
        <w:rPr>
          <w:sz w:val="24"/>
          <w:lang w:bidi="ar"/>
        </w:rPr>
        <w:t>人单位信息如下</w:t>
      </w:r>
      <w:r>
        <w:rPr>
          <w:rFonts w:ascii="Times New Roman" w:hAnsi="Times New Roman" w:eastAsia="宋体" w:cs="Times New Roman"/>
          <w:sz w:val="24"/>
          <w:lang w:bidi="ar"/>
        </w:rPr>
        <w:t xml:space="preserve">（如有，不论其是否参加同一合同项下的政府采购活动均须填写，如不存在相关单位，须填写“无”）： </w:t>
      </w:r>
    </w:p>
    <w:tbl>
      <w:tblPr>
        <w:tblStyle w:val="37"/>
        <w:tblW w:w="93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1919"/>
        <w:gridCol w:w="1505"/>
        <w:gridCol w:w="4980"/>
      </w:tblGrid>
      <w:tr w14:paraId="594C5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4" w:hRule="atLeast"/>
        </w:trPr>
        <w:tc>
          <w:tcPr>
            <w:tcW w:w="993" w:type="dxa"/>
            <w:vAlign w:val="center"/>
          </w:tcPr>
          <w:p w14:paraId="4CECF1EA">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ascii="Times New Roman" w:hAnsi="Times New Roman" w:eastAsia="宋体" w:cs="Times New Roman"/>
                <w:sz w:val="24"/>
                <w:lang w:bidi="ar"/>
              </w:rPr>
              <w:t>序号</w:t>
            </w:r>
          </w:p>
        </w:tc>
        <w:tc>
          <w:tcPr>
            <w:tcW w:w="1919" w:type="dxa"/>
            <w:vAlign w:val="center"/>
          </w:tcPr>
          <w:p w14:paraId="53EAE2A0">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hint="eastAsia" w:ascii="Times New Roman" w:hAnsi="Times New Roman" w:eastAsia="宋体" w:cs="Times New Roman"/>
                <w:sz w:val="24"/>
                <w:lang w:bidi="ar"/>
              </w:rPr>
              <w:t>关联关系类型</w:t>
            </w:r>
          </w:p>
        </w:tc>
        <w:tc>
          <w:tcPr>
            <w:tcW w:w="1505" w:type="dxa"/>
            <w:vAlign w:val="center"/>
          </w:tcPr>
          <w:p w14:paraId="3909784C">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ascii="Times New Roman" w:hAnsi="Times New Roman" w:eastAsia="宋体" w:cs="Times New Roman"/>
                <w:sz w:val="24"/>
                <w:lang w:bidi="ar"/>
              </w:rPr>
              <w:t>单位名称</w:t>
            </w:r>
          </w:p>
        </w:tc>
        <w:tc>
          <w:tcPr>
            <w:tcW w:w="4980" w:type="dxa"/>
            <w:vAlign w:val="center"/>
          </w:tcPr>
          <w:p w14:paraId="3B58D0BB">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ascii="Times New Roman" w:hAnsi="Times New Roman" w:eastAsia="宋体" w:cs="Times New Roman"/>
                <w:sz w:val="24"/>
                <w:lang w:bidi="ar"/>
              </w:rPr>
              <w:t>相互关系</w:t>
            </w:r>
          </w:p>
        </w:tc>
      </w:tr>
      <w:tr w14:paraId="01598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5" w:hRule="atLeast"/>
        </w:trPr>
        <w:tc>
          <w:tcPr>
            <w:tcW w:w="993" w:type="dxa"/>
            <w:vAlign w:val="center"/>
          </w:tcPr>
          <w:p w14:paraId="60A2FC0E">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ascii="Times New Roman" w:hAnsi="Times New Roman" w:eastAsia="宋体" w:cs="Times New Roman"/>
                <w:sz w:val="24"/>
                <w:lang w:bidi="ar"/>
              </w:rPr>
              <w:t>1</w:t>
            </w:r>
          </w:p>
        </w:tc>
        <w:tc>
          <w:tcPr>
            <w:tcW w:w="1919" w:type="dxa"/>
            <w:vAlign w:val="center"/>
          </w:tcPr>
          <w:p w14:paraId="2C1ED0B5">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hint="eastAsia" w:ascii="Times New Roman" w:hAnsi="Times New Roman" w:eastAsia="宋体" w:cs="Times New Roman"/>
                <w:sz w:val="24"/>
                <w:lang w:bidi="ar"/>
              </w:rPr>
              <w:t>控股股东</w:t>
            </w:r>
          </w:p>
        </w:tc>
        <w:tc>
          <w:tcPr>
            <w:tcW w:w="1505" w:type="dxa"/>
          </w:tcPr>
          <w:p w14:paraId="3B52035A">
            <w:pPr>
              <w:widowControl/>
              <w:tabs>
                <w:tab w:val="left" w:pos="5580"/>
              </w:tabs>
              <w:adjustRightInd w:val="0"/>
              <w:snapToGrid w:val="0"/>
              <w:spacing w:line="360" w:lineRule="auto"/>
              <w:jc w:val="center"/>
              <w:rPr>
                <w:rFonts w:ascii="Times New Roman" w:hAnsi="Times New Roman" w:eastAsia="宋体" w:cs="Times New Roman"/>
                <w:sz w:val="24"/>
                <w:lang w:bidi="ar"/>
              </w:rPr>
            </w:pPr>
          </w:p>
        </w:tc>
        <w:tc>
          <w:tcPr>
            <w:tcW w:w="4980" w:type="dxa"/>
            <w:vAlign w:val="center"/>
          </w:tcPr>
          <w:p w14:paraId="6006D656">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hint="eastAsia" w:ascii="Times New Roman" w:hAnsi="Times New Roman" w:eastAsia="宋体" w:cs="Times New Roman"/>
                <w:sz w:val="24"/>
                <w:lang w:bidi="ar"/>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730C5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993" w:type="dxa"/>
            <w:vAlign w:val="center"/>
          </w:tcPr>
          <w:p w14:paraId="639106BE">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ascii="Times New Roman" w:hAnsi="Times New Roman" w:eastAsia="宋体" w:cs="Times New Roman"/>
                <w:sz w:val="24"/>
                <w:lang w:bidi="ar"/>
              </w:rPr>
              <w:t>2</w:t>
            </w:r>
          </w:p>
        </w:tc>
        <w:tc>
          <w:tcPr>
            <w:tcW w:w="1919" w:type="dxa"/>
            <w:vAlign w:val="center"/>
          </w:tcPr>
          <w:p w14:paraId="2620808C">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hint="eastAsia" w:ascii="Times New Roman" w:hAnsi="Times New Roman" w:eastAsia="宋体" w:cs="Times New Roman"/>
                <w:sz w:val="24"/>
                <w:lang w:bidi="ar"/>
              </w:rPr>
              <w:t>管理关系</w:t>
            </w:r>
          </w:p>
        </w:tc>
        <w:tc>
          <w:tcPr>
            <w:tcW w:w="1505" w:type="dxa"/>
          </w:tcPr>
          <w:p w14:paraId="230BC30E">
            <w:pPr>
              <w:widowControl/>
              <w:tabs>
                <w:tab w:val="left" w:pos="5580"/>
              </w:tabs>
              <w:adjustRightInd w:val="0"/>
              <w:snapToGrid w:val="0"/>
              <w:spacing w:line="360" w:lineRule="auto"/>
              <w:jc w:val="center"/>
              <w:rPr>
                <w:rFonts w:ascii="Times New Roman" w:hAnsi="Times New Roman" w:eastAsia="宋体" w:cs="Times New Roman"/>
                <w:sz w:val="24"/>
                <w:lang w:bidi="ar"/>
              </w:rPr>
            </w:pPr>
          </w:p>
        </w:tc>
        <w:tc>
          <w:tcPr>
            <w:tcW w:w="4980" w:type="dxa"/>
            <w:vAlign w:val="center"/>
          </w:tcPr>
          <w:p w14:paraId="582087F3">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hint="eastAsia" w:ascii="Times New Roman" w:hAnsi="Times New Roman" w:eastAsia="宋体" w:cs="Times New Roman"/>
                <w:sz w:val="24"/>
                <w:lang w:bidi="ar"/>
              </w:rPr>
              <w:t>指对投标（响应）供应商不具有出资持股关系，但对其存在管理关系的主体。</w:t>
            </w:r>
          </w:p>
        </w:tc>
      </w:tr>
      <w:tr w14:paraId="08675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993" w:type="dxa"/>
          </w:tcPr>
          <w:p w14:paraId="3A6961E4">
            <w:pPr>
              <w:widowControl/>
              <w:tabs>
                <w:tab w:val="left" w:pos="5580"/>
              </w:tabs>
              <w:adjustRightInd w:val="0"/>
              <w:snapToGrid w:val="0"/>
              <w:spacing w:line="360" w:lineRule="auto"/>
              <w:jc w:val="center"/>
              <w:rPr>
                <w:rFonts w:ascii="Times New Roman" w:hAnsi="Times New Roman" w:eastAsia="宋体" w:cs="Times New Roman"/>
                <w:sz w:val="24"/>
                <w:lang w:bidi="ar"/>
              </w:rPr>
            </w:pPr>
            <w:r>
              <w:rPr>
                <w:rFonts w:ascii="Times New Roman" w:hAnsi="Times New Roman" w:eastAsia="宋体" w:cs="Times New Roman"/>
                <w:sz w:val="24"/>
                <w:lang w:bidi="ar"/>
              </w:rPr>
              <w:t xml:space="preserve">… </w:t>
            </w:r>
          </w:p>
        </w:tc>
        <w:tc>
          <w:tcPr>
            <w:tcW w:w="1919" w:type="dxa"/>
          </w:tcPr>
          <w:p w14:paraId="0B5E162D">
            <w:pPr>
              <w:widowControl/>
              <w:tabs>
                <w:tab w:val="left" w:pos="5580"/>
              </w:tabs>
              <w:adjustRightInd w:val="0"/>
              <w:snapToGrid w:val="0"/>
              <w:spacing w:line="360" w:lineRule="auto"/>
              <w:jc w:val="center"/>
              <w:rPr>
                <w:rFonts w:ascii="Times New Roman" w:hAnsi="Times New Roman" w:eastAsia="宋体" w:cs="Times New Roman"/>
                <w:sz w:val="24"/>
                <w:lang w:bidi="ar"/>
              </w:rPr>
            </w:pPr>
          </w:p>
        </w:tc>
        <w:tc>
          <w:tcPr>
            <w:tcW w:w="1505" w:type="dxa"/>
          </w:tcPr>
          <w:p w14:paraId="2054AD52">
            <w:pPr>
              <w:widowControl/>
              <w:tabs>
                <w:tab w:val="left" w:pos="5580"/>
              </w:tabs>
              <w:adjustRightInd w:val="0"/>
              <w:snapToGrid w:val="0"/>
              <w:spacing w:line="360" w:lineRule="auto"/>
              <w:jc w:val="center"/>
              <w:rPr>
                <w:rFonts w:ascii="Times New Roman" w:hAnsi="Times New Roman" w:eastAsia="宋体" w:cs="Times New Roman"/>
                <w:sz w:val="24"/>
                <w:lang w:bidi="ar"/>
              </w:rPr>
            </w:pPr>
          </w:p>
        </w:tc>
        <w:tc>
          <w:tcPr>
            <w:tcW w:w="4980" w:type="dxa"/>
          </w:tcPr>
          <w:p w14:paraId="7BD729B0">
            <w:pPr>
              <w:widowControl/>
              <w:tabs>
                <w:tab w:val="left" w:pos="5580"/>
              </w:tabs>
              <w:adjustRightInd w:val="0"/>
              <w:snapToGrid w:val="0"/>
              <w:spacing w:line="360" w:lineRule="auto"/>
              <w:jc w:val="center"/>
              <w:rPr>
                <w:rFonts w:ascii="Times New Roman" w:hAnsi="Times New Roman" w:eastAsia="宋体" w:cs="Times New Roman"/>
                <w:sz w:val="24"/>
                <w:lang w:bidi="ar"/>
              </w:rPr>
            </w:pPr>
          </w:p>
        </w:tc>
      </w:tr>
    </w:tbl>
    <w:p w14:paraId="4DE8B043">
      <w:pPr>
        <w:widowControl/>
        <w:tabs>
          <w:tab w:val="left" w:pos="5580"/>
        </w:tabs>
        <w:adjustRightInd w:val="0"/>
        <w:snapToGrid w:val="0"/>
        <w:spacing w:line="360" w:lineRule="auto"/>
        <w:ind w:firstLine="480" w:firstLineChars="200"/>
        <w:jc w:val="left"/>
        <w:rPr>
          <w:sz w:val="24"/>
          <w:lang w:bidi="ar"/>
        </w:rPr>
      </w:pPr>
    </w:p>
    <w:p w14:paraId="23ED4C27">
      <w:pPr>
        <w:widowControl/>
        <w:tabs>
          <w:tab w:val="left" w:pos="5580"/>
        </w:tabs>
        <w:adjustRightInd w:val="0"/>
        <w:snapToGrid w:val="0"/>
        <w:spacing w:line="360" w:lineRule="auto"/>
        <w:ind w:firstLine="480" w:firstLineChars="200"/>
        <w:jc w:val="left"/>
        <w:rPr>
          <w:sz w:val="24"/>
          <w:lang w:bidi="ar"/>
        </w:rPr>
      </w:pPr>
      <w:r>
        <w:rPr>
          <w:rFonts w:hint="eastAsia"/>
          <w:sz w:val="24"/>
          <w:lang w:bidi="ar"/>
        </w:rPr>
        <w:t>我单位对</w:t>
      </w:r>
      <w:r>
        <w:rPr>
          <w:sz w:val="24"/>
          <w:lang w:bidi="ar"/>
        </w:rPr>
        <w:t>上述声明</w:t>
      </w:r>
      <w:r>
        <w:rPr>
          <w:rFonts w:hint="eastAsia"/>
          <w:sz w:val="24"/>
          <w:lang w:bidi="ar"/>
        </w:rPr>
        <w:t>的</w:t>
      </w:r>
      <w:r>
        <w:rPr>
          <w:sz w:val="24"/>
          <w:lang w:bidi="ar"/>
        </w:rPr>
        <w:t>内容事项</w:t>
      </w:r>
      <w:r>
        <w:rPr>
          <w:rFonts w:hint="eastAsia"/>
          <w:sz w:val="24"/>
          <w:lang w:bidi="ar"/>
        </w:rPr>
        <w:t>的</w:t>
      </w:r>
      <w:r>
        <w:rPr>
          <w:sz w:val="24"/>
          <w:lang w:bidi="ar"/>
        </w:rPr>
        <w:t>真实性负责。如经查实上述</w:t>
      </w:r>
      <w:r>
        <w:rPr>
          <w:rFonts w:hint="eastAsia"/>
          <w:sz w:val="24"/>
          <w:lang w:bidi="ar"/>
        </w:rPr>
        <w:t>声明</w:t>
      </w:r>
      <w:r>
        <w:rPr>
          <w:sz w:val="24"/>
          <w:lang w:bidi="ar"/>
        </w:rPr>
        <w:t>的内容事项存在虚假，我</w:t>
      </w:r>
      <w:r>
        <w:rPr>
          <w:rFonts w:hint="eastAsia"/>
          <w:sz w:val="24"/>
          <w:lang w:bidi="ar"/>
        </w:rPr>
        <w:t>单位</w:t>
      </w:r>
      <w:r>
        <w:rPr>
          <w:sz w:val="24"/>
          <w:lang w:bidi="ar"/>
        </w:rPr>
        <w:t>愿意接受以提供虚假材料谋取中标追究法律责任</w:t>
      </w:r>
      <w:r>
        <w:rPr>
          <w:rFonts w:hint="eastAsia"/>
          <w:sz w:val="24"/>
          <w:lang w:bidi="ar"/>
        </w:rPr>
        <w:t>。</w:t>
      </w:r>
    </w:p>
    <w:p w14:paraId="618F3594">
      <w:pPr>
        <w:widowControl/>
        <w:tabs>
          <w:tab w:val="left" w:pos="5580"/>
        </w:tabs>
        <w:adjustRightInd w:val="0"/>
        <w:snapToGrid w:val="0"/>
        <w:spacing w:line="360" w:lineRule="auto"/>
        <w:ind w:firstLine="480" w:firstLineChars="200"/>
        <w:jc w:val="left"/>
        <w:rPr>
          <w:sz w:val="24"/>
        </w:rPr>
      </w:pPr>
    </w:p>
    <w:p w14:paraId="4E075E8F">
      <w:pPr>
        <w:widowControl/>
        <w:tabs>
          <w:tab w:val="left" w:pos="5580"/>
        </w:tabs>
        <w:adjustRightInd w:val="0"/>
        <w:snapToGrid w:val="0"/>
        <w:spacing w:line="360" w:lineRule="auto"/>
        <w:ind w:firstLine="3840" w:firstLineChars="1600"/>
        <w:jc w:val="left"/>
        <w:rPr>
          <w:sz w:val="24"/>
          <w:lang w:bidi="ar"/>
        </w:rPr>
      </w:pPr>
    </w:p>
    <w:p w14:paraId="0BC36E17">
      <w:pPr>
        <w:widowControl/>
        <w:tabs>
          <w:tab w:val="left" w:pos="5580"/>
        </w:tabs>
        <w:adjustRightInd w:val="0"/>
        <w:snapToGrid w:val="0"/>
        <w:spacing w:line="360" w:lineRule="auto"/>
        <w:ind w:firstLine="3840" w:firstLineChars="1600"/>
        <w:jc w:val="left"/>
        <w:rPr>
          <w:sz w:val="24"/>
        </w:rPr>
      </w:pPr>
      <w:r>
        <w:rPr>
          <w:sz w:val="24"/>
          <w:lang w:bidi="ar"/>
        </w:rPr>
        <w:t xml:space="preserve">投标人名称（加盖公章）： ____________ </w:t>
      </w:r>
    </w:p>
    <w:p w14:paraId="63632F89">
      <w:pPr>
        <w:widowControl/>
        <w:tabs>
          <w:tab w:val="left" w:pos="5580"/>
        </w:tabs>
        <w:adjustRightInd w:val="0"/>
        <w:snapToGrid w:val="0"/>
        <w:spacing w:line="360" w:lineRule="auto"/>
        <w:ind w:firstLine="3840" w:firstLineChars="1600"/>
        <w:jc w:val="left"/>
        <w:rPr>
          <w:sz w:val="24"/>
        </w:rPr>
      </w:pPr>
      <w:r>
        <w:rPr>
          <w:sz w:val="24"/>
          <w:lang w:bidi="ar"/>
        </w:rPr>
        <w:t>日期：_____年______月______日</w:t>
      </w:r>
    </w:p>
    <w:p w14:paraId="6F238A09">
      <w:pPr>
        <w:widowControl/>
        <w:jc w:val="left"/>
        <w:rPr>
          <w:rFonts w:hint="eastAsia" w:ascii="宋体" w:hAnsi="宋体" w:cs="宋体"/>
          <w:b/>
          <w:bCs/>
          <w:sz w:val="24"/>
        </w:rPr>
      </w:pPr>
      <w:r>
        <w:rPr>
          <w:rFonts w:ascii="宋体" w:hAnsi="宋体"/>
          <w:b/>
          <w:sz w:val="24"/>
        </w:rPr>
        <w:br w:type="page"/>
      </w:r>
    </w:p>
    <w:bookmarkEnd w:id="23"/>
    <w:p w14:paraId="4173715B">
      <w:pPr>
        <w:widowControl/>
        <w:jc w:val="left"/>
        <w:rPr>
          <w:rFonts w:hint="eastAsia" w:ascii="宋体" w:hAnsi="宋体" w:cs="宋体"/>
          <w:b/>
          <w:bCs/>
          <w:sz w:val="24"/>
        </w:rPr>
      </w:pPr>
    </w:p>
    <w:p w14:paraId="50CDFCA3">
      <w:pPr>
        <w:tabs>
          <w:tab w:val="left" w:pos="5580"/>
        </w:tabs>
        <w:spacing w:before="120" w:line="360" w:lineRule="auto"/>
        <w:outlineLvl w:val="1"/>
        <w:rPr>
          <w:rFonts w:hint="eastAsia" w:ascii="宋体" w:hAnsi="宋体" w:cs="仿宋_GB2312"/>
          <w:sz w:val="24"/>
        </w:rPr>
      </w:pPr>
      <w:r>
        <w:rPr>
          <w:rFonts w:hint="eastAsia" w:ascii="宋体" w:hAnsi="宋体" w:cs="宋体"/>
          <w:b/>
          <w:bCs/>
          <w:sz w:val="24"/>
        </w:rPr>
        <w:t>★</w:t>
      </w:r>
      <w:r>
        <w:rPr>
          <w:rFonts w:hint="eastAsia" w:ascii="宋体" w:hAnsi="宋体"/>
          <w:b/>
          <w:sz w:val="24"/>
        </w:rPr>
        <w:t>附件</w:t>
      </w:r>
      <w:r>
        <w:rPr>
          <w:rFonts w:ascii="宋体" w:hAnsi="宋体"/>
          <w:b/>
          <w:sz w:val="24"/>
        </w:rPr>
        <w:t>8</w:t>
      </w:r>
      <w:r>
        <w:rPr>
          <w:rFonts w:hint="eastAsia" w:ascii="宋体" w:hAnsi="宋体"/>
          <w:b/>
          <w:sz w:val="24"/>
        </w:rPr>
        <w:t>-</w:t>
      </w:r>
      <w:r>
        <w:rPr>
          <w:rFonts w:ascii="宋体" w:hAnsi="宋体"/>
          <w:b/>
          <w:sz w:val="24"/>
        </w:rPr>
        <w:t>8</w:t>
      </w:r>
      <w:r>
        <w:rPr>
          <w:rFonts w:hint="eastAsia" w:ascii="宋体" w:hAnsi="宋体"/>
          <w:b/>
          <w:sz w:val="24"/>
        </w:rPr>
        <w:t xml:space="preserve"> 开标日前3个月内银行出具盖章的资信证明文件或投标人</w:t>
      </w:r>
      <w:r>
        <w:rPr>
          <w:rFonts w:hint="eastAsia" w:ascii="宋体" w:hAnsi="宋体"/>
          <w:b/>
          <w:sz w:val="24"/>
          <w:lang w:eastAsia="zh-CN"/>
        </w:rPr>
        <w:t>2025年度</w:t>
      </w:r>
      <w:r>
        <w:rPr>
          <w:rFonts w:hint="eastAsia" w:ascii="宋体" w:hAnsi="宋体"/>
          <w:b/>
          <w:sz w:val="24"/>
        </w:rPr>
        <w:t>经会计师事务所盖章审计的财务审计报告（投标人必须提供，但由专业担保机构已出具投标担保函的除外）</w:t>
      </w:r>
    </w:p>
    <w:p w14:paraId="0961E198">
      <w:pPr>
        <w:tabs>
          <w:tab w:val="left" w:pos="5580"/>
        </w:tabs>
        <w:spacing w:before="120" w:line="360" w:lineRule="auto"/>
        <w:rPr>
          <w:rFonts w:hint="eastAsia" w:ascii="宋体" w:hAnsi="宋体"/>
          <w:sz w:val="24"/>
        </w:rPr>
      </w:pPr>
      <w:r>
        <w:rPr>
          <w:rFonts w:hint="eastAsia" w:ascii="宋体" w:hAnsi="宋体" w:cs="仿宋_GB2312"/>
          <w:sz w:val="24"/>
        </w:rPr>
        <w:t>说明：</w:t>
      </w:r>
    </w:p>
    <w:p w14:paraId="0B1838AC">
      <w:pPr>
        <w:tabs>
          <w:tab w:val="left" w:pos="5580"/>
        </w:tabs>
        <w:spacing w:before="120" w:line="360" w:lineRule="auto"/>
        <w:rPr>
          <w:rFonts w:hint="eastAsia" w:ascii="宋体" w:hAnsi="宋体"/>
          <w:sz w:val="24"/>
        </w:rPr>
      </w:pPr>
      <w:r>
        <w:rPr>
          <w:rFonts w:ascii="宋体" w:hAnsi="宋体" w:cs="仿宋_GB2312"/>
          <w:sz w:val="24"/>
        </w:rPr>
        <w:t>1</w:t>
      </w:r>
      <w:r>
        <w:rPr>
          <w:rFonts w:hint="eastAsia" w:ascii="宋体" w:hAnsi="宋体" w:cs="仿宋_GB2312"/>
          <w:sz w:val="24"/>
        </w:rPr>
        <w:t>、投标人要求提供</w:t>
      </w:r>
      <w:r>
        <w:rPr>
          <w:rFonts w:hint="eastAsia" w:ascii="宋体" w:hAnsi="宋体" w:cs="仿宋_GB2312"/>
          <w:b/>
          <w:bCs/>
          <w:sz w:val="24"/>
        </w:rPr>
        <w:t>银行出具盖章的</w:t>
      </w:r>
      <w:r>
        <w:rPr>
          <w:rFonts w:hint="eastAsia" w:ascii="宋体" w:hAnsi="宋体" w:cs="仿宋_GB2312"/>
          <w:sz w:val="24"/>
        </w:rPr>
        <w:t>资信证明文件或公司</w:t>
      </w:r>
      <w:r>
        <w:rPr>
          <w:rFonts w:hint="eastAsia" w:ascii="宋体" w:hAnsi="宋体" w:cs="仿宋_GB2312"/>
          <w:b/>
          <w:bCs/>
          <w:sz w:val="24"/>
        </w:rPr>
        <w:t>经会计师事务所盖章审计的</w:t>
      </w:r>
      <w:r>
        <w:rPr>
          <w:rFonts w:hint="eastAsia" w:ascii="宋体" w:hAnsi="宋体" w:cs="仿宋_GB2312"/>
          <w:sz w:val="24"/>
        </w:rPr>
        <w:t>财务审计报告。</w:t>
      </w:r>
      <w:r>
        <w:rPr>
          <w:rFonts w:hint="eastAsia" w:ascii="宋体" w:hAnsi="宋体" w:cs="仿宋_GB2312"/>
          <w:bCs/>
          <w:sz w:val="24"/>
        </w:rPr>
        <w:t>银行资信证明可提供原件</w:t>
      </w:r>
      <w:r>
        <w:rPr>
          <w:rFonts w:hint="eastAsia" w:ascii="宋体" w:hAnsi="宋体" w:cs="仿宋_GB2312"/>
          <w:b/>
          <w:sz w:val="24"/>
        </w:rPr>
        <w:t>，也可提供开户银行在开标日前三个月内开具资信证明的复印件。</w:t>
      </w:r>
      <w:r>
        <w:rPr>
          <w:rFonts w:hint="eastAsia" w:ascii="宋体" w:hAnsi="宋体" w:cs="仿宋_GB2312"/>
          <w:sz w:val="24"/>
        </w:rPr>
        <w:t>若提供的是复印件，采购人和采购代理机构保留审核原件的权利。</w:t>
      </w:r>
    </w:p>
    <w:p w14:paraId="3B42D7A8">
      <w:pPr>
        <w:tabs>
          <w:tab w:val="left" w:pos="5580"/>
        </w:tabs>
        <w:spacing w:before="120" w:line="360" w:lineRule="auto"/>
        <w:rPr>
          <w:rFonts w:hint="eastAsia" w:ascii="宋体" w:hAnsi="宋体"/>
          <w:sz w:val="24"/>
        </w:rPr>
      </w:pPr>
      <w:r>
        <w:rPr>
          <w:rFonts w:ascii="宋体" w:hAnsi="宋体" w:cs="仿宋_GB2312"/>
          <w:sz w:val="24"/>
        </w:rPr>
        <w:t>2</w:t>
      </w:r>
      <w:r>
        <w:rPr>
          <w:rFonts w:hint="eastAsia" w:ascii="宋体" w:hAnsi="宋体" w:cs="仿宋_GB2312"/>
          <w:sz w:val="24"/>
        </w:rPr>
        <w:t>、银行资信证明应能说明该投标人与银行之间业务往来正常，企业信誉良好等。</w:t>
      </w:r>
    </w:p>
    <w:p w14:paraId="0E581237">
      <w:pPr>
        <w:spacing w:line="430" w:lineRule="exact"/>
        <w:rPr>
          <w:rFonts w:hint="eastAsia" w:ascii="宋体" w:hAnsi="宋体"/>
          <w:sz w:val="28"/>
        </w:rPr>
      </w:pPr>
    </w:p>
    <w:p w14:paraId="63BF74B6">
      <w:pPr>
        <w:widowControl/>
        <w:jc w:val="left"/>
        <w:rPr>
          <w:rFonts w:hint="eastAsia" w:ascii="宋体" w:hAnsi="宋体"/>
          <w:sz w:val="28"/>
        </w:rPr>
      </w:pPr>
      <w:r>
        <w:rPr>
          <w:rFonts w:ascii="宋体" w:hAnsi="宋体"/>
          <w:sz w:val="28"/>
        </w:rPr>
        <w:br w:type="page"/>
      </w:r>
    </w:p>
    <w:p w14:paraId="42ED54D1">
      <w:pPr>
        <w:pStyle w:val="19"/>
        <w:spacing w:line="400" w:lineRule="exact"/>
        <w:jc w:val="center"/>
        <w:outlineLvl w:val="1"/>
        <w:rPr>
          <w:b/>
          <w:sz w:val="24"/>
          <w:szCs w:val="24"/>
        </w:rPr>
      </w:pPr>
      <w:r>
        <w:rPr>
          <w:rFonts w:hint="eastAsia" w:hAnsi="宋体" w:cs="宋体"/>
          <w:b/>
          <w:bCs/>
          <w:sz w:val="24"/>
        </w:rPr>
        <w:t>★</w:t>
      </w:r>
      <w:r>
        <w:rPr>
          <w:rFonts w:hint="eastAsia" w:hAnsi="宋体"/>
          <w:b/>
          <w:sz w:val="24"/>
        </w:rPr>
        <w:t>附件</w:t>
      </w:r>
      <w:r>
        <w:rPr>
          <w:rFonts w:hint="eastAsia"/>
          <w:b/>
          <w:sz w:val="24"/>
          <w:szCs w:val="24"/>
        </w:rPr>
        <w:t>8-9 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p w14:paraId="25DBA294">
      <w:pPr>
        <w:rPr>
          <w:b/>
          <w:sz w:val="24"/>
        </w:rPr>
      </w:pPr>
      <w:r>
        <w:rPr>
          <w:rFonts w:hint="eastAsia"/>
          <w:b/>
          <w:sz w:val="24"/>
        </w:rPr>
        <w:br w:type="page"/>
      </w:r>
    </w:p>
    <w:p w14:paraId="75F8DAA2">
      <w:pPr>
        <w:pStyle w:val="19"/>
        <w:spacing w:line="400" w:lineRule="exact"/>
        <w:jc w:val="center"/>
        <w:outlineLvl w:val="1"/>
        <w:rPr>
          <w:b/>
          <w:sz w:val="24"/>
          <w:szCs w:val="24"/>
        </w:rPr>
      </w:pPr>
      <w:r>
        <w:rPr>
          <w:rFonts w:hint="eastAsia" w:hAnsi="宋体" w:cs="宋体"/>
          <w:b/>
          <w:bCs/>
          <w:sz w:val="24"/>
        </w:rPr>
        <w:t>★</w:t>
      </w:r>
      <w:r>
        <w:rPr>
          <w:rFonts w:hint="eastAsia" w:hAnsi="宋体"/>
          <w:b/>
          <w:sz w:val="24"/>
        </w:rPr>
        <w:t>附件</w:t>
      </w:r>
      <w:r>
        <w:rPr>
          <w:rFonts w:hint="eastAsia"/>
          <w:b/>
          <w:sz w:val="24"/>
          <w:szCs w:val="24"/>
        </w:rPr>
        <w:t>8-10 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p w14:paraId="66E87501">
      <w:pPr>
        <w:rPr>
          <w:b/>
          <w:sz w:val="24"/>
        </w:rPr>
      </w:pPr>
      <w:r>
        <w:rPr>
          <w:rFonts w:hint="eastAsia"/>
          <w:b/>
          <w:sz w:val="24"/>
        </w:rPr>
        <w:br w:type="page"/>
      </w:r>
    </w:p>
    <w:p w14:paraId="7EDDA6D0">
      <w:pPr>
        <w:pStyle w:val="19"/>
        <w:spacing w:line="400" w:lineRule="exact"/>
        <w:jc w:val="center"/>
        <w:outlineLvl w:val="1"/>
        <w:rPr>
          <w:b/>
          <w:sz w:val="24"/>
          <w:szCs w:val="24"/>
        </w:rPr>
      </w:pPr>
      <w:r>
        <w:rPr>
          <w:rFonts w:hint="eastAsia" w:hAnsi="宋体"/>
          <w:b/>
          <w:sz w:val="24"/>
        </w:rPr>
        <w:t>附件</w:t>
      </w:r>
      <w:r>
        <w:rPr>
          <w:rFonts w:hint="eastAsia"/>
          <w:b/>
          <w:sz w:val="24"/>
          <w:szCs w:val="24"/>
        </w:rPr>
        <w:t>8-11  招标文件要求或投标人认为必要的其它内容（如：质量认证、荣誉证书等）</w:t>
      </w:r>
    </w:p>
    <w:p w14:paraId="185578A5">
      <w:pPr>
        <w:rPr>
          <w:b/>
          <w:sz w:val="24"/>
        </w:rPr>
      </w:pPr>
      <w:r>
        <w:rPr>
          <w:rFonts w:hint="eastAsia"/>
          <w:b/>
          <w:sz w:val="24"/>
        </w:rPr>
        <w:br w:type="page"/>
      </w:r>
    </w:p>
    <w:p w14:paraId="220207D1">
      <w:pPr>
        <w:pStyle w:val="3"/>
        <w:tabs>
          <w:tab w:val="left" w:pos="5580"/>
        </w:tabs>
        <w:rPr>
          <w:rFonts w:hint="eastAsia" w:ascii="宋体" w:hAnsi="宋体" w:eastAsia="宋体" w:cs="宋体"/>
          <w:bCs/>
          <w:sz w:val="28"/>
          <w:szCs w:val="28"/>
        </w:rPr>
      </w:pPr>
      <w:r>
        <w:rPr>
          <w:rFonts w:hint="eastAsia" w:ascii="宋体" w:hAnsi="宋体" w:eastAsia="宋体" w:cs="宋体"/>
          <w:bCs/>
          <w:sz w:val="28"/>
          <w:szCs w:val="28"/>
        </w:rPr>
        <w:t>附件9：履约保证金保函</w:t>
      </w:r>
    </w:p>
    <w:p w14:paraId="42F2A768">
      <w:pPr>
        <w:pStyle w:val="19"/>
        <w:spacing w:line="400" w:lineRule="exact"/>
        <w:ind w:left="425"/>
        <w:jc w:val="center"/>
        <w:rPr>
          <w:rFonts w:hint="eastAsia" w:hAnsi="宋体"/>
          <w:sz w:val="24"/>
          <w:szCs w:val="24"/>
        </w:rPr>
      </w:pPr>
      <w:r>
        <w:rPr>
          <w:rFonts w:hint="eastAsia" w:hAnsi="宋体" w:cs="仿宋_GB2312"/>
          <w:sz w:val="24"/>
          <w:szCs w:val="24"/>
        </w:rPr>
        <w:t>（中标后开具）</w:t>
      </w:r>
    </w:p>
    <w:p w14:paraId="720D0962">
      <w:pPr>
        <w:pStyle w:val="19"/>
        <w:spacing w:line="400" w:lineRule="exact"/>
        <w:rPr>
          <w:rFonts w:hint="eastAsia" w:hAnsi="宋体" w:cs="仿宋_GB2312"/>
          <w:sz w:val="24"/>
          <w:szCs w:val="24"/>
        </w:rPr>
      </w:pPr>
      <w:r>
        <w:rPr>
          <w:rFonts w:hint="eastAsia" w:hAnsi="宋体" w:cs="仿宋_GB2312"/>
          <w:sz w:val="24"/>
          <w:szCs w:val="24"/>
        </w:rPr>
        <w:t>致</w:t>
      </w:r>
      <w:r>
        <w:rPr>
          <w:rFonts w:hAnsi="宋体" w:cs="仿宋_GB2312"/>
          <w:sz w:val="24"/>
          <w:szCs w:val="24"/>
        </w:rPr>
        <w:t>: (</w:t>
      </w:r>
      <w:r>
        <w:rPr>
          <w:rFonts w:hint="eastAsia" w:hAnsi="宋体" w:cs="仿宋_GB2312"/>
          <w:i/>
          <w:iCs/>
          <w:sz w:val="24"/>
          <w:szCs w:val="24"/>
          <w:u w:val="single"/>
        </w:rPr>
        <w:t>采购人名称</w:t>
      </w:r>
      <w:r>
        <w:rPr>
          <w:rFonts w:hAnsi="宋体" w:cs="仿宋_GB2312"/>
          <w:sz w:val="24"/>
          <w:szCs w:val="24"/>
        </w:rPr>
        <w:t>)</w:t>
      </w:r>
    </w:p>
    <w:p w14:paraId="792DF52D">
      <w:pPr>
        <w:pStyle w:val="19"/>
        <w:spacing w:line="400" w:lineRule="exact"/>
        <w:jc w:val="center"/>
        <w:rPr>
          <w:rFonts w:hint="eastAsia" w:hAnsi="宋体"/>
          <w:sz w:val="24"/>
          <w:szCs w:val="24"/>
        </w:rPr>
      </w:pPr>
      <w:r>
        <w:rPr>
          <w:rFonts w:hAnsi="宋体" w:cs="仿宋_GB2312"/>
          <w:sz w:val="24"/>
          <w:szCs w:val="24"/>
        </w:rPr>
        <w:t>_________________</w:t>
      </w:r>
      <w:r>
        <w:rPr>
          <w:rFonts w:hint="eastAsia" w:hAnsi="宋体" w:cs="仿宋_GB2312"/>
          <w:sz w:val="24"/>
          <w:szCs w:val="24"/>
        </w:rPr>
        <w:t>号合同履约保函</w:t>
      </w:r>
    </w:p>
    <w:p w14:paraId="7323B3DC">
      <w:pPr>
        <w:pStyle w:val="19"/>
        <w:spacing w:line="400" w:lineRule="exact"/>
        <w:ind w:firstLine="420"/>
        <w:rPr>
          <w:rFonts w:hint="eastAsia" w:hAnsi="宋体" w:cs="仿宋_GB2312"/>
          <w:sz w:val="24"/>
          <w:szCs w:val="24"/>
        </w:rPr>
      </w:pPr>
      <w:r>
        <w:rPr>
          <w:rFonts w:hint="eastAsia" w:hAnsi="宋体" w:cs="仿宋_GB2312"/>
          <w:sz w:val="24"/>
          <w:szCs w:val="24"/>
        </w:rPr>
        <w:t>本保函作为贵方与</w:t>
      </w:r>
      <w:r>
        <w:rPr>
          <w:rFonts w:hAnsi="宋体" w:cs="仿宋_GB2312"/>
          <w:sz w:val="24"/>
          <w:szCs w:val="24"/>
        </w:rPr>
        <w:t>(</w:t>
      </w:r>
      <w:r>
        <w:rPr>
          <w:rFonts w:hint="eastAsia" w:hAnsi="宋体" w:cs="仿宋_GB2312"/>
          <w:i/>
          <w:iCs/>
          <w:sz w:val="24"/>
          <w:szCs w:val="24"/>
          <w:u w:val="single"/>
        </w:rPr>
        <w:t>卖方名称</w:t>
      </w:r>
      <w:r>
        <w:rPr>
          <w:rFonts w:hAnsi="宋体" w:cs="仿宋_GB2312"/>
          <w:sz w:val="24"/>
          <w:szCs w:val="24"/>
        </w:rPr>
        <w:t>)(</w:t>
      </w:r>
      <w:r>
        <w:rPr>
          <w:rFonts w:hint="eastAsia" w:hAnsi="宋体" w:cs="仿宋_GB2312"/>
          <w:sz w:val="24"/>
          <w:szCs w:val="24"/>
        </w:rPr>
        <w:t>以下简称卖方</w:t>
      </w:r>
      <w:r>
        <w:rPr>
          <w:rFonts w:hAnsi="宋体" w:cs="仿宋_GB2312"/>
          <w:sz w:val="24"/>
          <w:szCs w:val="24"/>
        </w:rPr>
        <w:t>)</w:t>
      </w:r>
      <w:r>
        <w:rPr>
          <w:rFonts w:hint="eastAsia" w:hAnsi="宋体" w:cs="仿宋_GB2312"/>
          <w:sz w:val="24"/>
          <w:szCs w:val="24"/>
        </w:rPr>
        <w:t>于</w:t>
      </w:r>
      <w:r>
        <w:rPr>
          <w:rFonts w:hAnsi="宋体" w:cs="仿宋_GB2312"/>
          <w:sz w:val="24"/>
          <w:szCs w:val="24"/>
        </w:rPr>
        <w:t>________</w:t>
      </w:r>
      <w:r>
        <w:rPr>
          <w:rFonts w:hint="eastAsia" w:hAnsi="宋体" w:cs="仿宋_GB2312"/>
          <w:sz w:val="24"/>
          <w:szCs w:val="24"/>
        </w:rPr>
        <w:t>年</w:t>
      </w:r>
      <w:r>
        <w:rPr>
          <w:rFonts w:hAnsi="宋体" w:cs="仿宋_GB2312"/>
          <w:sz w:val="24"/>
          <w:szCs w:val="24"/>
        </w:rPr>
        <w:t>_____</w:t>
      </w:r>
      <w:r>
        <w:rPr>
          <w:rFonts w:hint="eastAsia" w:hAnsi="宋体" w:cs="仿宋_GB2312"/>
          <w:sz w:val="24"/>
          <w:szCs w:val="24"/>
        </w:rPr>
        <w:t>月</w:t>
      </w:r>
      <w:r>
        <w:rPr>
          <w:rFonts w:hAnsi="宋体" w:cs="仿宋_GB2312"/>
          <w:sz w:val="24"/>
          <w:szCs w:val="24"/>
        </w:rPr>
        <w:t>____</w:t>
      </w:r>
      <w:r>
        <w:rPr>
          <w:rFonts w:hint="eastAsia" w:hAnsi="宋体" w:cs="仿宋_GB2312"/>
          <w:sz w:val="24"/>
          <w:szCs w:val="24"/>
        </w:rPr>
        <w:t>日就</w:t>
      </w:r>
      <w:r>
        <w:rPr>
          <w:rFonts w:hAnsi="宋体" w:cs="仿宋_GB2312"/>
          <w:sz w:val="24"/>
          <w:szCs w:val="24"/>
        </w:rPr>
        <w:t>________</w:t>
      </w:r>
      <w:r>
        <w:rPr>
          <w:rFonts w:hint="eastAsia" w:hAnsi="宋体" w:cs="仿宋_GB2312"/>
          <w:sz w:val="24"/>
          <w:szCs w:val="24"/>
        </w:rPr>
        <w:t>项目</w:t>
      </w:r>
      <w:r>
        <w:rPr>
          <w:rFonts w:hAnsi="宋体" w:cs="仿宋_GB2312"/>
          <w:sz w:val="24"/>
          <w:szCs w:val="24"/>
        </w:rPr>
        <w:t>(</w:t>
      </w:r>
      <w:r>
        <w:rPr>
          <w:rFonts w:hint="eastAsia" w:hAnsi="宋体" w:cs="仿宋_GB2312"/>
          <w:sz w:val="24"/>
          <w:szCs w:val="24"/>
        </w:rPr>
        <w:t>以下简称项目</w:t>
      </w:r>
      <w:r>
        <w:rPr>
          <w:rFonts w:hAnsi="宋体" w:cs="仿宋_GB2312"/>
          <w:sz w:val="24"/>
          <w:szCs w:val="24"/>
        </w:rPr>
        <w:t>)</w:t>
      </w:r>
      <w:r>
        <w:rPr>
          <w:rFonts w:hint="eastAsia" w:hAnsi="宋体" w:cs="仿宋_GB2312"/>
          <w:sz w:val="24"/>
          <w:szCs w:val="24"/>
        </w:rPr>
        <w:t>项下提供</w:t>
      </w:r>
      <w:r>
        <w:rPr>
          <w:rFonts w:hAnsi="宋体" w:cs="仿宋_GB2312"/>
          <w:sz w:val="24"/>
          <w:szCs w:val="24"/>
        </w:rPr>
        <w:t>(</w:t>
      </w:r>
      <w:r>
        <w:rPr>
          <w:rFonts w:hint="eastAsia" w:hAnsi="宋体" w:cs="仿宋_GB2312"/>
          <w:i/>
          <w:iCs/>
          <w:sz w:val="24"/>
          <w:szCs w:val="24"/>
          <w:u w:val="single"/>
        </w:rPr>
        <w:t>货物名称</w:t>
      </w:r>
      <w:r>
        <w:rPr>
          <w:rFonts w:hAnsi="宋体" w:cs="仿宋_GB2312"/>
          <w:sz w:val="24"/>
          <w:szCs w:val="24"/>
        </w:rPr>
        <w:t>)(</w:t>
      </w:r>
      <w:r>
        <w:rPr>
          <w:rFonts w:hint="eastAsia" w:hAnsi="宋体" w:cs="仿宋_GB2312"/>
          <w:sz w:val="24"/>
          <w:szCs w:val="24"/>
        </w:rPr>
        <w:t>以下简称货物</w:t>
      </w:r>
      <w:r>
        <w:rPr>
          <w:rFonts w:hAnsi="宋体" w:cs="仿宋_GB2312"/>
          <w:sz w:val="24"/>
          <w:szCs w:val="24"/>
        </w:rPr>
        <w:t>)</w:t>
      </w:r>
      <w:r>
        <w:rPr>
          <w:rFonts w:hint="eastAsia" w:hAnsi="宋体" w:cs="仿宋_GB2312"/>
          <w:sz w:val="24"/>
          <w:szCs w:val="24"/>
        </w:rPr>
        <w:t>签订的</w:t>
      </w:r>
      <w:r>
        <w:rPr>
          <w:rFonts w:hAnsi="宋体" w:cs="仿宋_GB2312"/>
          <w:sz w:val="24"/>
          <w:szCs w:val="24"/>
        </w:rPr>
        <w:t>(</w:t>
      </w:r>
      <w:r>
        <w:rPr>
          <w:rFonts w:hint="eastAsia" w:hAnsi="宋体" w:cs="仿宋_GB2312"/>
          <w:i/>
          <w:iCs/>
          <w:sz w:val="24"/>
          <w:szCs w:val="24"/>
          <w:u w:val="single"/>
        </w:rPr>
        <w:t>合同号</w:t>
      </w:r>
      <w:r>
        <w:rPr>
          <w:rFonts w:hAnsi="宋体" w:cs="仿宋_GB2312"/>
          <w:sz w:val="24"/>
          <w:szCs w:val="24"/>
        </w:rPr>
        <w:t>)</w:t>
      </w:r>
      <w:r>
        <w:rPr>
          <w:rFonts w:hint="eastAsia" w:hAnsi="宋体" w:cs="仿宋_GB2312"/>
          <w:sz w:val="24"/>
          <w:szCs w:val="24"/>
        </w:rPr>
        <w:t>号合同的履约保函。</w:t>
      </w:r>
    </w:p>
    <w:p w14:paraId="3BB7EA25">
      <w:pPr>
        <w:pStyle w:val="19"/>
        <w:spacing w:line="400" w:lineRule="exact"/>
        <w:ind w:firstLine="420"/>
        <w:rPr>
          <w:rFonts w:hint="eastAsia" w:hAnsi="宋体"/>
          <w:sz w:val="24"/>
          <w:szCs w:val="24"/>
        </w:rPr>
      </w:pPr>
    </w:p>
    <w:p w14:paraId="199E6496">
      <w:pPr>
        <w:pStyle w:val="19"/>
        <w:spacing w:line="400" w:lineRule="exact"/>
        <w:ind w:firstLine="420"/>
        <w:rPr>
          <w:rFonts w:hint="eastAsia" w:hAnsi="宋体" w:cs="仿宋_GB2312"/>
          <w:sz w:val="24"/>
          <w:szCs w:val="24"/>
        </w:rPr>
      </w:pPr>
      <w:r>
        <w:rPr>
          <w:rFonts w:hAnsi="宋体" w:cs="仿宋_GB2312"/>
          <w:sz w:val="24"/>
          <w:szCs w:val="24"/>
        </w:rPr>
        <w:t>(</w:t>
      </w:r>
      <w:r>
        <w:rPr>
          <w:rFonts w:hint="eastAsia" w:hAnsi="宋体" w:cs="仿宋_GB2312"/>
          <w:i/>
          <w:iCs/>
          <w:sz w:val="24"/>
          <w:szCs w:val="24"/>
          <w:u w:val="single"/>
        </w:rPr>
        <w:t>出具保函的银行名称</w:t>
      </w:r>
      <w:r>
        <w:rPr>
          <w:rFonts w:hAnsi="宋体" w:cs="仿宋_GB2312"/>
          <w:sz w:val="24"/>
          <w:szCs w:val="24"/>
        </w:rPr>
        <w:t>)(</w:t>
      </w:r>
      <w:r>
        <w:rPr>
          <w:rFonts w:hint="eastAsia" w:hAnsi="宋体" w:cs="仿宋_GB2312"/>
          <w:sz w:val="24"/>
          <w:szCs w:val="24"/>
        </w:rPr>
        <w:t>以下简称银行</w:t>
      </w:r>
      <w:r>
        <w:rPr>
          <w:rFonts w:hAnsi="宋体" w:cs="仿宋_GB2312"/>
          <w:sz w:val="24"/>
          <w:szCs w:val="24"/>
        </w:rPr>
        <w:t>)</w:t>
      </w:r>
      <w:r>
        <w:rPr>
          <w:rFonts w:hint="eastAsia" w:hAnsi="宋体" w:cs="仿宋_GB2312"/>
          <w:sz w:val="24"/>
          <w:szCs w:val="24"/>
        </w:rPr>
        <w:t>无条件地、不可撤销地具结保证本行、其继承人和受让人无追索地向贵方以</w:t>
      </w:r>
      <w:r>
        <w:rPr>
          <w:rFonts w:hAnsi="宋体" w:cs="仿宋_GB2312"/>
          <w:sz w:val="24"/>
          <w:szCs w:val="24"/>
        </w:rPr>
        <w:t>(</w:t>
      </w:r>
      <w:r>
        <w:rPr>
          <w:rFonts w:hint="eastAsia" w:hAnsi="宋体" w:cs="仿宋_GB2312"/>
          <w:i/>
          <w:iCs/>
          <w:sz w:val="24"/>
          <w:szCs w:val="24"/>
          <w:u w:val="single"/>
        </w:rPr>
        <w:t>货币名称</w:t>
      </w:r>
      <w:r>
        <w:rPr>
          <w:rFonts w:hAnsi="宋体" w:cs="仿宋_GB2312"/>
          <w:sz w:val="24"/>
          <w:szCs w:val="24"/>
        </w:rPr>
        <w:t>)</w:t>
      </w:r>
      <w:r>
        <w:rPr>
          <w:rFonts w:hint="eastAsia" w:hAnsi="宋体" w:cs="仿宋_GB2312"/>
          <w:sz w:val="24"/>
          <w:szCs w:val="24"/>
        </w:rPr>
        <w:t>支付总额不超过</w:t>
      </w:r>
      <w:r>
        <w:rPr>
          <w:rFonts w:hAnsi="宋体" w:cs="仿宋_GB2312"/>
          <w:sz w:val="24"/>
          <w:szCs w:val="24"/>
        </w:rPr>
        <w:t>(</w:t>
      </w:r>
      <w:r>
        <w:rPr>
          <w:rFonts w:hint="eastAsia" w:hAnsi="宋体" w:cs="仿宋_GB2312"/>
          <w:i/>
          <w:iCs/>
          <w:sz w:val="24"/>
          <w:szCs w:val="24"/>
          <w:u w:val="single"/>
        </w:rPr>
        <w:t>货币数量</w:t>
      </w:r>
      <w:r>
        <w:rPr>
          <w:rFonts w:hAnsi="宋体" w:cs="仿宋_GB2312"/>
          <w:sz w:val="24"/>
          <w:szCs w:val="24"/>
        </w:rPr>
        <w:t>),</w:t>
      </w:r>
      <w:r>
        <w:rPr>
          <w:rFonts w:hint="eastAsia" w:hAnsi="宋体" w:cs="仿宋_GB2312"/>
          <w:sz w:val="24"/>
          <w:szCs w:val="24"/>
        </w:rPr>
        <w:t>即相当于合同价格的</w:t>
      </w:r>
      <w:r>
        <w:rPr>
          <w:rFonts w:hAnsi="宋体" w:cs="仿宋_GB2312"/>
          <w:sz w:val="24"/>
          <w:szCs w:val="24"/>
        </w:rPr>
        <w:t>10%,</w:t>
      </w:r>
      <w:r>
        <w:rPr>
          <w:rFonts w:hint="eastAsia" w:hAnsi="宋体" w:cs="仿宋_GB2312"/>
          <w:sz w:val="24"/>
          <w:szCs w:val="24"/>
        </w:rPr>
        <w:t>并以此约定如下</w:t>
      </w:r>
      <w:r>
        <w:rPr>
          <w:rFonts w:hAnsi="宋体" w:cs="仿宋_GB2312"/>
          <w:sz w:val="24"/>
          <w:szCs w:val="24"/>
        </w:rPr>
        <w:t>:</w:t>
      </w:r>
    </w:p>
    <w:p w14:paraId="6C858B7B">
      <w:pPr>
        <w:pStyle w:val="19"/>
        <w:spacing w:line="400" w:lineRule="exact"/>
        <w:ind w:firstLine="420"/>
        <w:rPr>
          <w:rFonts w:hint="eastAsia" w:hAnsi="宋体" w:cs="仿宋_GB2312"/>
          <w:sz w:val="24"/>
          <w:szCs w:val="24"/>
        </w:rPr>
      </w:pPr>
    </w:p>
    <w:p w14:paraId="5A44E857">
      <w:pPr>
        <w:pStyle w:val="19"/>
        <w:numPr>
          <w:ilvl w:val="0"/>
          <w:numId w:val="30"/>
        </w:numPr>
        <w:tabs>
          <w:tab w:val="left" w:pos="840"/>
          <w:tab w:val="clear" w:pos="636"/>
        </w:tabs>
        <w:spacing w:line="400" w:lineRule="exact"/>
        <w:ind w:left="840" w:hanging="420"/>
        <w:rPr>
          <w:rFonts w:hint="eastAsia" w:hAnsi="宋体"/>
          <w:sz w:val="24"/>
          <w:szCs w:val="24"/>
        </w:rPr>
      </w:pPr>
      <w:r>
        <w:rPr>
          <w:rFonts w:hint="eastAsia" w:hAnsi="宋体" w:cs="仿宋_GB2312"/>
          <w:sz w:val="24"/>
          <w:szCs w:val="24"/>
        </w:rPr>
        <w:t>只要贵方确定卖方未能忠实地履行所有合同文件的规定和双方此后一致同意的修改、补充和变动</w:t>
      </w:r>
      <w:r>
        <w:rPr>
          <w:rFonts w:hAnsi="宋体" w:cs="仿宋_GB2312"/>
          <w:sz w:val="24"/>
          <w:szCs w:val="24"/>
        </w:rPr>
        <w:t>,</w:t>
      </w:r>
      <w:r>
        <w:rPr>
          <w:rFonts w:hint="eastAsia" w:hAnsi="宋体" w:cs="仿宋_GB2312"/>
          <w:sz w:val="24"/>
          <w:szCs w:val="24"/>
        </w:rPr>
        <w:t>包括更改和</w:t>
      </w:r>
      <w:r>
        <w:rPr>
          <w:rFonts w:hAnsi="宋体" w:cs="仿宋_GB2312"/>
          <w:sz w:val="24"/>
          <w:szCs w:val="24"/>
        </w:rPr>
        <w:t>/</w:t>
      </w:r>
      <w:r>
        <w:rPr>
          <w:rFonts w:hint="eastAsia" w:hAnsi="宋体" w:cs="仿宋_GB2312"/>
          <w:sz w:val="24"/>
          <w:szCs w:val="24"/>
        </w:rPr>
        <w:t>或修补贵方认为有缺陷的货物</w:t>
      </w:r>
      <w:r>
        <w:rPr>
          <w:rFonts w:hAnsi="宋体" w:cs="仿宋_GB2312"/>
          <w:sz w:val="24"/>
          <w:szCs w:val="24"/>
        </w:rPr>
        <w:t>(</w:t>
      </w:r>
      <w:r>
        <w:rPr>
          <w:rFonts w:hint="eastAsia" w:hAnsi="宋体" w:cs="仿宋_GB2312"/>
          <w:sz w:val="24"/>
          <w:szCs w:val="24"/>
        </w:rPr>
        <w:t>以下简称违约</w:t>
      </w:r>
      <w:r>
        <w:rPr>
          <w:rFonts w:hAnsi="宋体" w:cs="仿宋_GB2312"/>
          <w:sz w:val="24"/>
          <w:szCs w:val="24"/>
        </w:rPr>
        <w:t>),</w:t>
      </w:r>
      <w:r>
        <w:rPr>
          <w:rFonts w:hint="eastAsia" w:hAnsi="宋体" w:cs="仿宋_GB2312"/>
          <w:sz w:val="24"/>
          <w:szCs w:val="24"/>
        </w:rPr>
        <w:t>无论卖方有任何反对</w:t>
      </w:r>
      <w:r>
        <w:rPr>
          <w:rFonts w:hAnsi="宋体" w:cs="仿宋_GB2312"/>
          <w:sz w:val="24"/>
          <w:szCs w:val="24"/>
        </w:rPr>
        <w:t>,</w:t>
      </w:r>
      <w:r>
        <w:rPr>
          <w:rFonts w:hint="eastAsia" w:hAnsi="宋体" w:cs="仿宋_GB2312"/>
          <w:sz w:val="24"/>
          <w:szCs w:val="24"/>
        </w:rPr>
        <w:t>本行将凭贵方关于卖方违约说明的书面通知</w:t>
      </w:r>
      <w:r>
        <w:rPr>
          <w:rFonts w:hAnsi="宋体" w:cs="仿宋_GB2312"/>
          <w:sz w:val="24"/>
          <w:szCs w:val="24"/>
        </w:rPr>
        <w:t>,</w:t>
      </w:r>
      <w:r>
        <w:rPr>
          <w:rFonts w:hint="eastAsia" w:hAnsi="宋体" w:cs="仿宋_GB2312"/>
          <w:sz w:val="24"/>
          <w:szCs w:val="24"/>
        </w:rPr>
        <w:t>立即按贵方提出的累计总额不超过上述金额的款项和按贵方通知规定的方式付给贵方。</w:t>
      </w:r>
    </w:p>
    <w:p w14:paraId="209238C9">
      <w:pPr>
        <w:pStyle w:val="19"/>
        <w:tabs>
          <w:tab w:val="left" w:pos="840"/>
        </w:tabs>
        <w:spacing w:line="400" w:lineRule="exact"/>
        <w:ind w:left="840" w:hanging="420"/>
        <w:rPr>
          <w:rFonts w:hint="eastAsia" w:hAnsi="宋体"/>
          <w:sz w:val="24"/>
          <w:szCs w:val="24"/>
        </w:rPr>
      </w:pPr>
    </w:p>
    <w:p w14:paraId="24992F11">
      <w:pPr>
        <w:pStyle w:val="19"/>
        <w:numPr>
          <w:ilvl w:val="0"/>
          <w:numId w:val="30"/>
        </w:numPr>
        <w:tabs>
          <w:tab w:val="left" w:pos="840"/>
          <w:tab w:val="clear" w:pos="636"/>
        </w:tabs>
        <w:spacing w:line="400" w:lineRule="exact"/>
        <w:ind w:left="840" w:hanging="420"/>
        <w:rPr>
          <w:rFonts w:hint="eastAsia" w:hAnsi="宋体"/>
          <w:sz w:val="24"/>
          <w:szCs w:val="24"/>
        </w:rPr>
      </w:pPr>
      <w:r>
        <w:rPr>
          <w:rFonts w:hint="eastAsia" w:hAnsi="宋体" w:cs="仿宋_GB2312"/>
          <w:sz w:val="24"/>
          <w:szCs w:val="24"/>
        </w:rPr>
        <w:t>本保函项下的任何支付应为免税和净值。对于现有或将来的税收、关税、收费、费用扣减或预提税款，不论这些款项是何种性质和由谁征收，都不应从本保函项下的支付中扣除。</w:t>
      </w:r>
    </w:p>
    <w:p w14:paraId="23AF73EC">
      <w:pPr>
        <w:pStyle w:val="19"/>
        <w:tabs>
          <w:tab w:val="left" w:pos="840"/>
        </w:tabs>
        <w:spacing w:line="400" w:lineRule="exact"/>
        <w:ind w:left="840" w:hanging="420"/>
        <w:rPr>
          <w:rFonts w:hint="eastAsia" w:hAnsi="宋体"/>
          <w:sz w:val="24"/>
          <w:szCs w:val="24"/>
        </w:rPr>
      </w:pPr>
    </w:p>
    <w:p w14:paraId="1CFEE8EC">
      <w:pPr>
        <w:pStyle w:val="19"/>
        <w:numPr>
          <w:ilvl w:val="0"/>
          <w:numId w:val="30"/>
        </w:numPr>
        <w:tabs>
          <w:tab w:val="left" w:pos="840"/>
          <w:tab w:val="clear" w:pos="636"/>
        </w:tabs>
        <w:spacing w:line="400" w:lineRule="exact"/>
        <w:ind w:left="840" w:hanging="420"/>
        <w:rPr>
          <w:rFonts w:hint="eastAsia" w:hAnsi="宋体"/>
          <w:sz w:val="24"/>
          <w:szCs w:val="24"/>
        </w:rPr>
      </w:pPr>
      <w:r>
        <w:rPr>
          <w:rFonts w:hint="eastAsia" w:hAnsi="宋体" w:cs="仿宋_GB2312"/>
          <w:sz w:val="24"/>
          <w:szCs w:val="24"/>
        </w:rPr>
        <w:t>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14:paraId="7A3A6472">
      <w:pPr>
        <w:pStyle w:val="19"/>
        <w:tabs>
          <w:tab w:val="left" w:pos="840"/>
        </w:tabs>
        <w:spacing w:line="400" w:lineRule="exact"/>
        <w:ind w:left="840" w:hanging="420"/>
        <w:rPr>
          <w:rFonts w:hint="eastAsia" w:hAnsi="宋体"/>
          <w:sz w:val="24"/>
          <w:szCs w:val="24"/>
        </w:rPr>
      </w:pPr>
    </w:p>
    <w:p w14:paraId="2D2C6AE4">
      <w:pPr>
        <w:pStyle w:val="19"/>
        <w:numPr>
          <w:ilvl w:val="0"/>
          <w:numId w:val="30"/>
        </w:numPr>
        <w:tabs>
          <w:tab w:val="left" w:pos="840"/>
          <w:tab w:val="clear" w:pos="636"/>
        </w:tabs>
        <w:spacing w:line="400" w:lineRule="exact"/>
        <w:ind w:left="840" w:hanging="420"/>
        <w:rPr>
          <w:rFonts w:hint="eastAsia" w:hAnsi="宋体"/>
          <w:sz w:val="24"/>
          <w:szCs w:val="24"/>
        </w:rPr>
      </w:pPr>
      <w:r>
        <w:rPr>
          <w:rFonts w:hint="eastAsia" w:hAnsi="宋体" w:cs="仿宋_GB2312"/>
          <w:sz w:val="24"/>
          <w:szCs w:val="24"/>
        </w:rPr>
        <w:t>本保函在本合同规定的保证期期满前完全有效。</w:t>
      </w:r>
    </w:p>
    <w:p w14:paraId="1C0D81E0">
      <w:pPr>
        <w:pStyle w:val="19"/>
        <w:spacing w:line="400" w:lineRule="exact"/>
        <w:rPr>
          <w:rFonts w:hint="eastAsia" w:hAnsi="宋体"/>
          <w:sz w:val="24"/>
          <w:szCs w:val="24"/>
        </w:rPr>
      </w:pPr>
    </w:p>
    <w:p w14:paraId="4D3C2812">
      <w:pPr>
        <w:pStyle w:val="19"/>
        <w:spacing w:line="400" w:lineRule="exact"/>
        <w:ind w:left="420"/>
        <w:rPr>
          <w:rFonts w:hint="eastAsia" w:hAnsi="宋体"/>
          <w:sz w:val="24"/>
          <w:szCs w:val="24"/>
        </w:rPr>
      </w:pPr>
      <w:r>
        <w:rPr>
          <w:rFonts w:hint="eastAsia" w:hAnsi="宋体" w:cs="仿宋_GB2312"/>
          <w:sz w:val="24"/>
          <w:szCs w:val="24"/>
        </w:rPr>
        <w:t>谨启</w:t>
      </w:r>
    </w:p>
    <w:p w14:paraId="17DA0F23">
      <w:pPr>
        <w:pStyle w:val="19"/>
        <w:spacing w:line="400" w:lineRule="exact"/>
        <w:rPr>
          <w:rFonts w:hint="eastAsia" w:hAnsi="宋体"/>
          <w:sz w:val="24"/>
          <w:szCs w:val="24"/>
        </w:rPr>
      </w:pPr>
    </w:p>
    <w:p w14:paraId="238367F7">
      <w:pPr>
        <w:pStyle w:val="19"/>
        <w:spacing w:line="400" w:lineRule="exact"/>
        <w:rPr>
          <w:rFonts w:hint="eastAsia" w:hAnsi="宋体" w:cs="仿宋_GB2312"/>
          <w:sz w:val="24"/>
          <w:szCs w:val="24"/>
        </w:rPr>
      </w:pPr>
      <w:r>
        <w:rPr>
          <w:rFonts w:hint="eastAsia" w:hAnsi="宋体" w:cs="仿宋_GB2312"/>
          <w:sz w:val="24"/>
          <w:szCs w:val="24"/>
        </w:rPr>
        <w:t>出具保函银行名称</w:t>
      </w:r>
      <w:r>
        <w:rPr>
          <w:rFonts w:hAnsi="宋体" w:cs="仿宋_GB2312"/>
          <w:sz w:val="24"/>
          <w:szCs w:val="24"/>
        </w:rPr>
        <w:t>_____________________________</w:t>
      </w:r>
    </w:p>
    <w:p w14:paraId="033835B1">
      <w:pPr>
        <w:pStyle w:val="19"/>
        <w:spacing w:line="400" w:lineRule="exact"/>
        <w:rPr>
          <w:rFonts w:hint="eastAsia" w:hAnsi="宋体" w:cs="仿宋_GB2312"/>
          <w:sz w:val="24"/>
          <w:szCs w:val="24"/>
        </w:rPr>
      </w:pPr>
      <w:r>
        <w:rPr>
          <w:rFonts w:hint="eastAsia" w:hAnsi="宋体" w:cs="仿宋_GB2312"/>
          <w:sz w:val="24"/>
          <w:szCs w:val="24"/>
        </w:rPr>
        <w:t>签字人姓名和职务</w:t>
      </w:r>
      <w:r>
        <w:rPr>
          <w:rFonts w:hAnsi="宋体" w:cs="仿宋_GB2312"/>
          <w:sz w:val="24"/>
          <w:szCs w:val="24"/>
        </w:rPr>
        <w:t>_____________________________</w:t>
      </w:r>
    </w:p>
    <w:p w14:paraId="1E707B4E">
      <w:pPr>
        <w:pStyle w:val="19"/>
        <w:spacing w:line="400" w:lineRule="exact"/>
        <w:rPr>
          <w:rFonts w:hint="eastAsia" w:hAnsi="宋体" w:cs="仿宋_GB2312"/>
          <w:sz w:val="24"/>
          <w:szCs w:val="24"/>
        </w:rPr>
      </w:pPr>
      <w:r>
        <w:rPr>
          <w:rFonts w:hint="eastAsia" w:hAnsi="宋体" w:cs="仿宋_GB2312"/>
          <w:sz w:val="24"/>
          <w:szCs w:val="24"/>
        </w:rPr>
        <w:t>签字人签名</w:t>
      </w:r>
      <w:r>
        <w:rPr>
          <w:rFonts w:hAnsi="宋体" w:cs="仿宋_GB2312"/>
          <w:sz w:val="24"/>
          <w:szCs w:val="24"/>
        </w:rPr>
        <w:t>___________________________________</w:t>
      </w:r>
    </w:p>
    <w:p w14:paraId="5C37150F">
      <w:pPr>
        <w:pStyle w:val="19"/>
        <w:spacing w:line="400" w:lineRule="exact"/>
        <w:rPr>
          <w:rFonts w:hint="eastAsia" w:hAnsi="宋体" w:cs="仿宋_GB2312"/>
          <w:sz w:val="24"/>
          <w:szCs w:val="24"/>
        </w:rPr>
      </w:pPr>
      <w:r>
        <w:rPr>
          <w:rFonts w:hint="eastAsia" w:hAnsi="宋体" w:cs="仿宋_GB2312"/>
          <w:sz w:val="24"/>
          <w:szCs w:val="24"/>
        </w:rPr>
        <w:t>公章</w:t>
      </w:r>
      <w:r>
        <w:rPr>
          <w:rFonts w:hAnsi="宋体" w:cs="仿宋_GB2312"/>
          <w:sz w:val="24"/>
          <w:szCs w:val="24"/>
        </w:rPr>
        <w:t>_________________________________________</w:t>
      </w:r>
    </w:p>
    <w:p w14:paraId="482FDA5B">
      <w:pPr>
        <w:pStyle w:val="3"/>
        <w:tabs>
          <w:tab w:val="left" w:pos="5580"/>
        </w:tabs>
        <w:rPr>
          <w:rFonts w:hint="eastAsia" w:hAnsi="宋体"/>
          <w:bCs/>
          <w:sz w:val="24"/>
          <w:szCs w:val="24"/>
        </w:rPr>
      </w:pPr>
      <w:r>
        <w:rPr>
          <w:rFonts w:hAnsi="宋体"/>
          <w:sz w:val="24"/>
          <w:szCs w:val="24"/>
        </w:rPr>
        <w:br w:type="page"/>
      </w:r>
      <w:r>
        <w:rPr>
          <w:rFonts w:hint="eastAsia" w:ascii="宋体" w:hAnsi="宋体" w:eastAsia="宋体" w:cs="宋体"/>
          <w:bCs/>
          <w:sz w:val="28"/>
          <w:szCs w:val="28"/>
        </w:rPr>
        <w:t>附件10：投标保证金的银行保函</w:t>
      </w:r>
    </w:p>
    <w:p w14:paraId="6ED8C333">
      <w:pPr>
        <w:pStyle w:val="65"/>
        <w:rPr>
          <w:rFonts w:hint="eastAsia" w:hAnsi="宋体" w:cs="Times New Roman"/>
          <w:sz w:val="24"/>
          <w:szCs w:val="24"/>
        </w:rPr>
      </w:pPr>
      <w:bookmarkStart w:id="24" w:name="_Toc520647675"/>
      <w:bookmarkStart w:id="25" w:name="_Toc89569919"/>
      <w:bookmarkStart w:id="26" w:name="_Toc520424566"/>
    </w:p>
    <w:p w14:paraId="0CC57C2F">
      <w:pPr>
        <w:pStyle w:val="65"/>
        <w:rPr>
          <w:rFonts w:hint="eastAsia" w:hAnsi="宋体" w:cs="Times New Roman"/>
          <w:sz w:val="24"/>
          <w:szCs w:val="24"/>
        </w:rPr>
      </w:pPr>
    </w:p>
    <w:p w14:paraId="0F39C5E8">
      <w:pPr>
        <w:spacing w:line="360" w:lineRule="auto"/>
        <w:rPr>
          <w:rFonts w:ascii="Bookman Old Style" w:hAnsi="Bookman Old Style"/>
          <w:sz w:val="24"/>
        </w:rPr>
      </w:pPr>
      <w:r>
        <w:rPr>
          <w:rFonts w:hint="eastAsia" w:ascii="Bookman Old Style" w:hAnsi="Bookman Old Style"/>
          <w:sz w:val="24"/>
        </w:rPr>
        <w:t>致：东方国际招标有限责任公司</w:t>
      </w:r>
      <w:r>
        <w:rPr>
          <w:rFonts w:ascii="Bookman Old Style" w:hAnsi="Bookman Old Style"/>
          <w:sz w:val="24"/>
        </w:rPr>
        <w:t xml:space="preserve"> </w:t>
      </w:r>
    </w:p>
    <w:p w14:paraId="366A1CEA">
      <w:pPr>
        <w:spacing w:line="360" w:lineRule="auto"/>
        <w:rPr>
          <w:rFonts w:ascii="Bookman Old Style" w:hAnsi="Bookman Old Style"/>
          <w:sz w:val="24"/>
        </w:rPr>
      </w:pPr>
    </w:p>
    <w:p w14:paraId="1FE4095D">
      <w:pPr>
        <w:spacing w:line="360" w:lineRule="auto"/>
        <w:rPr>
          <w:rFonts w:ascii="Bookman Old Style" w:hAnsi="Bookman Old Style"/>
          <w:sz w:val="24"/>
        </w:rPr>
      </w:pPr>
      <w:r>
        <w:rPr>
          <w:rFonts w:hint="eastAsia" w:ascii="Bookman Old Style" w:hAnsi="Bookman Old Style"/>
          <w:sz w:val="24"/>
        </w:rPr>
        <w:t>本保函作为</w:t>
      </w:r>
      <w:r>
        <w:rPr>
          <w:rFonts w:ascii="Bookman Old Style" w:hAnsi="Bookman Old Style"/>
          <w:sz w:val="24"/>
          <w:u w:val="single"/>
        </w:rPr>
        <w:t xml:space="preserve">                  </w:t>
      </w:r>
      <w:r>
        <w:rPr>
          <w:rFonts w:hint="eastAsia" w:ascii="Bookman Old Style" w:hAnsi="Bookman Old Style"/>
          <w:sz w:val="24"/>
        </w:rPr>
        <w:t>（投标人名称、地址）（以下简称投标人）对</w:t>
      </w:r>
      <w:r>
        <w:rPr>
          <w:rFonts w:hint="eastAsia" w:ascii="Bookman Old Style" w:hAnsi="Bookman Old Style"/>
          <w:sz w:val="24"/>
          <w:u w:val="single"/>
        </w:rPr>
        <w:t>东方国际招标有限责任公司</w:t>
      </w:r>
      <w:r>
        <w:rPr>
          <w:rFonts w:hint="eastAsia" w:ascii="Bookman Old Style" w:hAnsi="Bookman Old Style"/>
          <w:sz w:val="24"/>
        </w:rPr>
        <w:t>第</w:t>
      </w:r>
      <w:r>
        <w:rPr>
          <w:rFonts w:hint="eastAsia" w:ascii="Bookman Old Style" w:hAnsi="Bookman Old Style"/>
          <w:sz w:val="24"/>
          <w:u w:val="single"/>
        </w:rPr>
        <w:t xml:space="preserve">           </w:t>
      </w:r>
      <w:r>
        <w:rPr>
          <w:rFonts w:hint="eastAsia" w:ascii="Bookman Old Style" w:hAnsi="Bookman Old Style"/>
          <w:sz w:val="24"/>
        </w:rPr>
        <w:t>号（招标编号）投标邀请，关于提供</w:t>
      </w:r>
      <w:r>
        <w:rPr>
          <w:rFonts w:ascii="Bookman Old Style" w:hAnsi="Bookman Old Style"/>
          <w:sz w:val="24"/>
          <w:u w:val="single"/>
        </w:rPr>
        <w:t xml:space="preserve">              </w:t>
      </w:r>
      <w:r>
        <w:rPr>
          <w:rFonts w:hint="eastAsia" w:ascii="Bookman Old Style" w:hAnsi="Bookman Old Style"/>
          <w:sz w:val="24"/>
        </w:rPr>
        <w:t>（货物名称）的投标保证金。</w:t>
      </w:r>
    </w:p>
    <w:p w14:paraId="0A47EBC9">
      <w:pPr>
        <w:spacing w:line="360" w:lineRule="auto"/>
        <w:rPr>
          <w:rFonts w:ascii="Bookman Old Style" w:hAnsi="Bookman Old Style"/>
          <w:sz w:val="24"/>
        </w:rPr>
      </w:pPr>
    </w:p>
    <w:p w14:paraId="042D3DF0">
      <w:pPr>
        <w:spacing w:line="360" w:lineRule="auto"/>
        <w:rPr>
          <w:rFonts w:ascii="Bookman Old Style" w:hAnsi="Bookman Old Style"/>
          <w:sz w:val="24"/>
        </w:rPr>
      </w:pPr>
      <w:r>
        <w:rPr>
          <w:rFonts w:ascii="Bookman Old Style" w:hAnsi="Bookman Old Style"/>
          <w:sz w:val="24"/>
          <w:u w:val="single"/>
        </w:rPr>
        <w:t xml:space="preserve">                    </w:t>
      </w:r>
      <w:r>
        <w:rPr>
          <w:rFonts w:hint="eastAsia" w:ascii="Bookman Old Style" w:hAnsi="Bookman Old Style"/>
          <w:sz w:val="24"/>
        </w:rPr>
        <w:t>（银行名称）无条件地、不可撤销地保证并约束本行及其后继者，一旦收到贵方提出下列任何一种情况的书面通知后不管投标人如何反对，立即无追索权地向贵方支付总额</w:t>
      </w:r>
      <w:r>
        <w:rPr>
          <w:rFonts w:ascii="Bookman Old Style" w:hAnsi="Bookman Old Style"/>
          <w:sz w:val="24"/>
          <w:u w:val="single"/>
        </w:rPr>
        <w:t xml:space="preserve">               </w:t>
      </w:r>
      <w:r>
        <w:rPr>
          <w:rFonts w:hint="eastAsia" w:ascii="Bookman Old Style" w:hAnsi="Bookman Old Style"/>
          <w:sz w:val="24"/>
        </w:rPr>
        <w:t>元人民币(或美元)：</w:t>
      </w:r>
    </w:p>
    <w:p w14:paraId="56ADD157">
      <w:pPr>
        <w:numPr>
          <w:ilvl w:val="0"/>
          <w:numId w:val="31"/>
        </w:numPr>
        <w:adjustRightInd w:val="0"/>
        <w:spacing w:line="360" w:lineRule="auto"/>
        <w:jc w:val="left"/>
        <w:textAlignment w:val="baseline"/>
        <w:rPr>
          <w:rFonts w:hint="eastAsia" w:ascii="宋体" w:hAnsi="宋体"/>
          <w:sz w:val="24"/>
        </w:rPr>
      </w:pPr>
      <w:r>
        <w:rPr>
          <w:rFonts w:hint="eastAsia" w:ascii="宋体" w:hAnsi="宋体"/>
          <w:sz w:val="24"/>
        </w:rPr>
        <w:t>投标人在开标后至投标有效期期满前撤回其投标；或</w:t>
      </w:r>
    </w:p>
    <w:p w14:paraId="6544D670">
      <w:pPr>
        <w:numPr>
          <w:ilvl w:val="0"/>
          <w:numId w:val="31"/>
        </w:numPr>
        <w:adjustRightInd w:val="0"/>
        <w:spacing w:line="360" w:lineRule="auto"/>
        <w:jc w:val="left"/>
        <w:textAlignment w:val="baseline"/>
        <w:rPr>
          <w:rFonts w:hint="eastAsia" w:ascii="宋体" w:hAnsi="宋体"/>
          <w:sz w:val="24"/>
        </w:rPr>
      </w:pPr>
      <w:r>
        <w:rPr>
          <w:rFonts w:hint="eastAsia" w:ascii="宋体" w:hAnsi="宋体"/>
          <w:sz w:val="24"/>
        </w:rPr>
        <w:t>投标人不接受贵方遵照招标文件要求, 对该投标人提交的投标函中投标报价的错误所进行的调整或更正；或</w:t>
      </w:r>
    </w:p>
    <w:p w14:paraId="1CE36CBE">
      <w:pPr>
        <w:spacing w:line="360" w:lineRule="auto"/>
        <w:rPr>
          <w:rFonts w:hint="eastAsia" w:ascii="宋体" w:hAnsi="宋体"/>
          <w:sz w:val="24"/>
        </w:rPr>
      </w:pPr>
      <w:r>
        <w:rPr>
          <w:rFonts w:hint="eastAsia" w:ascii="宋体" w:hAnsi="宋体"/>
          <w:sz w:val="24"/>
        </w:rPr>
        <w:t>（3）投标人在收到中标通知书后30天内，未能和买方签订合同；或</w:t>
      </w:r>
    </w:p>
    <w:p w14:paraId="5BCF77A2">
      <w:pPr>
        <w:spacing w:line="360" w:lineRule="auto"/>
        <w:ind w:left="720" w:hanging="720"/>
        <w:rPr>
          <w:rFonts w:hint="eastAsia" w:ascii="宋体" w:hAnsi="宋体"/>
          <w:sz w:val="24"/>
        </w:rPr>
      </w:pPr>
      <w:r>
        <w:rPr>
          <w:rFonts w:hint="eastAsia" w:ascii="宋体" w:hAnsi="宋体"/>
          <w:sz w:val="24"/>
        </w:rPr>
        <w:t>（4）投标人在收到中标通知书后5天内，未能向贵方支付服务费（如果招标文件中有此项要求）。</w:t>
      </w:r>
    </w:p>
    <w:p w14:paraId="412D6E0C">
      <w:pPr>
        <w:spacing w:line="360" w:lineRule="auto"/>
        <w:rPr>
          <w:rFonts w:ascii="Bookman Old Style" w:hAnsi="Bookman Old Style"/>
          <w:sz w:val="24"/>
        </w:rPr>
      </w:pPr>
    </w:p>
    <w:p w14:paraId="06E3A74B">
      <w:pPr>
        <w:spacing w:line="360" w:lineRule="auto"/>
        <w:rPr>
          <w:rFonts w:ascii="Bookman Old Style" w:hAnsi="Bookman Old Style"/>
          <w:sz w:val="24"/>
        </w:rPr>
      </w:pPr>
      <w:r>
        <w:rPr>
          <w:rFonts w:hint="eastAsia" w:ascii="宋体" w:hAnsi="宋体"/>
          <w:sz w:val="24"/>
        </w:rPr>
        <w:t>除贵方提前终止或解除本保函外，本保函自开标之日起到投标有效期期满有效，</w:t>
      </w:r>
      <w:r>
        <w:rPr>
          <w:rFonts w:hint="eastAsia" w:ascii="Bookman Old Style" w:hAnsi="Bookman Old Style"/>
          <w:sz w:val="24"/>
        </w:rPr>
        <w:t>以及贵方和投标人同意延长的并通知本行的期限内继续有效。</w:t>
      </w:r>
    </w:p>
    <w:p w14:paraId="66958F0F">
      <w:pPr>
        <w:spacing w:line="360" w:lineRule="auto"/>
        <w:rPr>
          <w:rFonts w:ascii="Bookman Old Style" w:hAnsi="Bookman Old Style"/>
          <w:sz w:val="24"/>
        </w:rPr>
      </w:pPr>
      <w:r>
        <w:rPr>
          <w:rFonts w:hint="eastAsia" w:ascii="Bookman Old Style" w:hAnsi="Bookman Old Style"/>
          <w:sz w:val="24"/>
        </w:rPr>
        <w:t>开证行名称：</w:t>
      </w:r>
      <w:r>
        <w:rPr>
          <w:rFonts w:ascii="Bookman Old Style" w:hAnsi="Bookman Old Style"/>
          <w:sz w:val="24"/>
          <w:u w:val="single"/>
        </w:rPr>
        <w:t xml:space="preserve">                       </w:t>
      </w:r>
      <w:r>
        <w:rPr>
          <w:rFonts w:ascii="Bookman Old Style" w:hAnsi="Bookman Old Style"/>
          <w:sz w:val="24"/>
        </w:rPr>
        <w:t xml:space="preserve">  </w:t>
      </w:r>
    </w:p>
    <w:p w14:paraId="129E0FBD">
      <w:pPr>
        <w:spacing w:line="360" w:lineRule="auto"/>
        <w:rPr>
          <w:rFonts w:ascii="Bookman Old Style" w:hAnsi="Bookman Old Style"/>
          <w:sz w:val="24"/>
        </w:rPr>
      </w:pPr>
      <w:r>
        <w:rPr>
          <w:rFonts w:hint="eastAsia" w:ascii="Bookman Old Style" w:hAnsi="Bookman Old Style"/>
          <w:sz w:val="24"/>
        </w:rPr>
        <w:t>正式授权代表本行的代表的姓名和职务（打印和签字）</w:t>
      </w:r>
      <w:r>
        <w:rPr>
          <w:rFonts w:ascii="Bookman Old Style" w:hAnsi="Bookman Old Style"/>
          <w:sz w:val="24"/>
        </w:rPr>
        <w:t xml:space="preserve"> </w:t>
      </w:r>
      <w:r>
        <w:rPr>
          <w:rFonts w:ascii="Bookman Old Style" w:hAnsi="Bookman Old Style"/>
          <w:sz w:val="24"/>
          <w:u w:val="single"/>
        </w:rPr>
        <w:t xml:space="preserve">               </w:t>
      </w:r>
    </w:p>
    <w:p w14:paraId="54CE7E9B">
      <w:pPr>
        <w:spacing w:line="360" w:lineRule="auto"/>
        <w:rPr>
          <w:rFonts w:ascii="Bookman Old Style" w:hAnsi="Bookman Old Style"/>
          <w:sz w:val="24"/>
        </w:rPr>
      </w:pPr>
      <w:r>
        <w:rPr>
          <w:rFonts w:hint="eastAsia" w:ascii="Bookman Old Style" w:hAnsi="Bookman Old Style"/>
          <w:sz w:val="24"/>
        </w:rPr>
        <w:t>公</w:t>
      </w:r>
      <w:r>
        <w:rPr>
          <w:rFonts w:ascii="Bookman Old Style" w:hAnsi="Bookman Old Style"/>
          <w:sz w:val="24"/>
        </w:rPr>
        <w:t xml:space="preserve">    </w:t>
      </w:r>
      <w:r>
        <w:rPr>
          <w:rFonts w:hint="eastAsia" w:ascii="Bookman Old Style" w:hAnsi="Bookman Old Style"/>
          <w:sz w:val="24"/>
        </w:rPr>
        <w:t>章：</w:t>
      </w:r>
      <w:r>
        <w:rPr>
          <w:rFonts w:ascii="Bookman Old Style" w:hAnsi="Bookman Old Style"/>
          <w:sz w:val="24"/>
        </w:rPr>
        <w:t xml:space="preserve"> </w:t>
      </w:r>
      <w:r>
        <w:rPr>
          <w:rFonts w:ascii="Bookman Old Style" w:hAnsi="Bookman Old Style"/>
          <w:sz w:val="24"/>
          <w:u w:val="single"/>
        </w:rPr>
        <w:t xml:space="preserve">                        </w:t>
      </w:r>
    </w:p>
    <w:p w14:paraId="10DBDBF3">
      <w:pPr>
        <w:spacing w:line="360" w:lineRule="auto"/>
        <w:rPr>
          <w:rFonts w:ascii="Bookman Old Style" w:hAnsi="Bookman Old Style"/>
          <w:sz w:val="24"/>
        </w:rPr>
      </w:pPr>
      <w:r>
        <w:rPr>
          <w:rFonts w:hint="eastAsia" w:ascii="Bookman Old Style" w:hAnsi="Bookman Old Style"/>
          <w:sz w:val="24"/>
        </w:rPr>
        <w:t>出具日期：</w:t>
      </w:r>
      <w:r>
        <w:rPr>
          <w:rFonts w:ascii="Bookman Old Style" w:hAnsi="Bookman Old Style"/>
          <w:sz w:val="24"/>
          <w:u w:val="single"/>
        </w:rPr>
        <w:t xml:space="preserve">                         </w:t>
      </w:r>
    </w:p>
    <w:p w14:paraId="5D91B25F">
      <w:pPr>
        <w:pStyle w:val="3"/>
        <w:tabs>
          <w:tab w:val="left" w:pos="5580"/>
        </w:tabs>
        <w:rPr>
          <w:rFonts w:hint="eastAsia" w:ascii="宋体" w:hAnsi="宋体"/>
          <w:bCs/>
        </w:rPr>
      </w:pPr>
      <w:r>
        <w:rPr>
          <w:rFonts w:ascii="宋体" w:hAnsi="宋体"/>
        </w:rPr>
        <w:br w:type="page"/>
      </w:r>
      <w:r>
        <w:rPr>
          <w:rFonts w:hint="eastAsia" w:ascii="宋体" w:hAnsi="宋体" w:eastAsia="宋体" w:cs="宋体"/>
          <w:bCs/>
          <w:sz w:val="28"/>
          <w:szCs w:val="28"/>
        </w:rPr>
        <w:t>附件11：中标服务费承诺书</w:t>
      </w:r>
      <w:bookmarkEnd w:id="24"/>
      <w:bookmarkEnd w:id="25"/>
      <w:bookmarkEnd w:id="26"/>
    </w:p>
    <w:p w14:paraId="3974D016">
      <w:pPr>
        <w:rPr>
          <w:rFonts w:hint="eastAsia" w:ascii="宋体" w:hAnsi="宋体"/>
          <w:b/>
          <w:bCs/>
          <w:sz w:val="24"/>
        </w:rPr>
      </w:pPr>
    </w:p>
    <w:p w14:paraId="515FB335">
      <w:pPr>
        <w:pStyle w:val="32"/>
        <w:spacing w:line="360" w:lineRule="auto"/>
        <w:rPr>
          <w:rFonts w:hint="eastAsia" w:ascii="宋体" w:hAnsi="宋体"/>
          <w:sz w:val="24"/>
          <w:szCs w:val="24"/>
        </w:rPr>
      </w:pPr>
    </w:p>
    <w:p w14:paraId="5F6AE293">
      <w:pPr>
        <w:spacing w:line="360" w:lineRule="auto"/>
        <w:rPr>
          <w:rFonts w:hint="eastAsia" w:ascii="宋体" w:hAnsi="宋体"/>
          <w:sz w:val="24"/>
        </w:rPr>
      </w:pPr>
    </w:p>
    <w:p w14:paraId="228317F1">
      <w:pPr>
        <w:spacing w:line="360" w:lineRule="auto"/>
        <w:rPr>
          <w:rFonts w:hint="eastAsia" w:ascii="宋体" w:hAnsi="宋体"/>
          <w:sz w:val="24"/>
          <w:u w:val="single"/>
        </w:rPr>
      </w:pPr>
      <w:r>
        <w:rPr>
          <w:rFonts w:hint="eastAsia" w:ascii="宋体" w:hAnsi="宋体" w:cs="仿宋_GB2312"/>
          <w:sz w:val="24"/>
        </w:rPr>
        <w:t>致：东方国际招标有限责任公司</w:t>
      </w:r>
    </w:p>
    <w:p w14:paraId="1A3A39AB">
      <w:pPr>
        <w:spacing w:line="360" w:lineRule="auto"/>
        <w:rPr>
          <w:rFonts w:hint="eastAsia" w:ascii="宋体" w:hAnsi="宋体"/>
          <w:sz w:val="24"/>
        </w:rPr>
      </w:pPr>
    </w:p>
    <w:p w14:paraId="46C302AD">
      <w:pPr>
        <w:spacing w:line="360" w:lineRule="auto"/>
        <w:rPr>
          <w:rFonts w:hint="eastAsia" w:ascii="宋体" w:hAnsi="宋体" w:cs="仿宋_GB2312"/>
          <w:sz w:val="24"/>
        </w:rPr>
      </w:pPr>
      <w:r>
        <w:rPr>
          <w:rFonts w:ascii="宋体" w:hAnsi="宋体"/>
          <w:sz w:val="24"/>
        </w:rPr>
        <w:tab/>
      </w:r>
      <w:r>
        <w:rPr>
          <w:rFonts w:hint="eastAsia" w:ascii="宋体" w:hAnsi="宋体" w:cs="仿宋_GB2312"/>
          <w:sz w:val="24"/>
        </w:rPr>
        <w:t>我们在贵公司组织的</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项目招标中若获中标（招标文件编号：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），我们保证在收到中标通知书后5日内，按招标文件的规定，以支票、汇票或现金，向贵公司一次性支付应该交纳的中标服务费用。</w:t>
      </w:r>
    </w:p>
    <w:p w14:paraId="424A9179">
      <w:pPr>
        <w:spacing w:line="360" w:lineRule="auto"/>
        <w:rPr>
          <w:rFonts w:hint="eastAsia" w:ascii="宋体" w:hAnsi="宋体" w:cs="仿宋_GB2312"/>
          <w:sz w:val="24"/>
        </w:rPr>
      </w:pPr>
    </w:p>
    <w:p w14:paraId="41BB94A4">
      <w:pPr>
        <w:spacing w:line="360" w:lineRule="auto"/>
        <w:rPr>
          <w:rFonts w:hint="eastAsia" w:ascii="宋体" w:hAnsi="宋体" w:cs="仿宋_GB2312"/>
          <w:sz w:val="24"/>
        </w:rPr>
      </w:pPr>
    </w:p>
    <w:p w14:paraId="54422E92">
      <w:pPr>
        <w:spacing w:line="360" w:lineRule="auto"/>
        <w:rPr>
          <w:rFonts w:hint="eastAsia" w:ascii="宋体" w:hAnsi="宋体"/>
          <w:sz w:val="24"/>
        </w:rPr>
      </w:pPr>
      <w:r>
        <w:rPr>
          <w:rFonts w:ascii="宋体" w:hAnsi="宋体" w:cs="仿宋_GB2312"/>
          <w:sz w:val="24"/>
        </w:rPr>
        <w:tab/>
      </w:r>
      <w:r>
        <w:rPr>
          <w:rFonts w:ascii="宋体" w:hAnsi="宋体" w:cs="仿宋_GB2312"/>
          <w:sz w:val="24"/>
        </w:rPr>
        <w:tab/>
      </w:r>
      <w:r>
        <w:rPr>
          <w:rFonts w:hint="eastAsia" w:ascii="宋体" w:hAnsi="宋体" w:cs="仿宋_GB2312"/>
          <w:sz w:val="24"/>
        </w:rPr>
        <w:t>特此承诺！</w:t>
      </w:r>
    </w:p>
    <w:p w14:paraId="0A016C76">
      <w:pPr>
        <w:spacing w:line="360" w:lineRule="auto"/>
        <w:rPr>
          <w:rFonts w:hint="eastAsia" w:ascii="宋体" w:hAnsi="宋体"/>
          <w:sz w:val="24"/>
        </w:rPr>
      </w:pPr>
    </w:p>
    <w:p w14:paraId="73AAA10A">
      <w:pPr>
        <w:spacing w:line="360" w:lineRule="auto"/>
        <w:rPr>
          <w:rFonts w:hint="eastAsia" w:ascii="宋体" w:hAnsi="宋体"/>
          <w:sz w:val="24"/>
        </w:rPr>
      </w:pPr>
    </w:p>
    <w:p w14:paraId="73F0E2FB">
      <w:pPr>
        <w:spacing w:line="360" w:lineRule="auto"/>
        <w:rPr>
          <w:rFonts w:hint="eastAsia" w:ascii="宋体" w:hAnsi="宋体"/>
          <w:sz w:val="24"/>
        </w:rPr>
      </w:pPr>
      <w:r>
        <w:rPr>
          <w:rFonts w:ascii="宋体" w:hAnsi="宋体"/>
          <w:sz w:val="24"/>
        </w:rPr>
        <w:tab/>
      </w:r>
      <w:r>
        <w:rPr>
          <w:rFonts w:hint="eastAsia" w:ascii="宋体" w:hAnsi="宋体" w:cs="仿宋_GB2312"/>
          <w:sz w:val="24"/>
        </w:rPr>
        <w:t>承诺方法定名称：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B40BC2E">
      <w:pPr>
        <w:spacing w:line="360" w:lineRule="auto"/>
        <w:rPr>
          <w:rFonts w:hint="eastAsia" w:ascii="宋体" w:hAnsi="宋体"/>
          <w:sz w:val="24"/>
        </w:rPr>
      </w:pPr>
      <w:r>
        <w:rPr>
          <w:rFonts w:ascii="宋体" w:hAnsi="宋体"/>
          <w:sz w:val="24"/>
        </w:rPr>
        <w:tab/>
      </w:r>
      <w:r>
        <w:rPr>
          <w:rFonts w:hint="eastAsia" w:ascii="宋体" w:hAnsi="宋体" w:cs="仿宋_GB2312"/>
          <w:sz w:val="24"/>
        </w:rPr>
        <w:t>地址：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D801A6E">
      <w:pPr>
        <w:spacing w:line="360" w:lineRule="auto"/>
        <w:rPr>
          <w:rFonts w:hint="eastAsia" w:ascii="宋体" w:hAnsi="宋体"/>
          <w:sz w:val="24"/>
        </w:rPr>
      </w:pPr>
      <w:r>
        <w:rPr>
          <w:rFonts w:ascii="宋体" w:hAnsi="宋体"/>
          <w:sz w:val="24"/>
        </w:rPr>
        <w:tab/>
      </w:r>
      <w:r>
        <w:rPr>
          <w:rFonts w:hint="eastAsia" w:ascii="宋体" w:hAnsi="宋体" w:cs="仿宋_GB2312"/>
          <w:sz w:val="24"/>
        </w:rPr>
        <w:t>电话：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hint="eastAsia" w:ascii="宋体" w:hAnsi="宋体" w:cs="仿宋_GB2312"/>
          <w:sz w:val="24"/>
        </w:rPr>
        <w:t>传真：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3682F98E">
      <w:pPr>
        <w:spacing w:line="360" w:lineRule="auto"/>
        <w:rPr>
          <w:rFonts w:hint="eastAsia" w:ascii="宋体" w:hAnsi="宋体"/>
          <w:sz w:val="24"/>
        </w:rPr>
      </w:pPr>
      <w:r>
        <w:rPr>
          <w:rFonts w:ascii="宋体" w:hAnsi="宋体"/>
          <w:sz w:val="24"/>
        </w:rPr>
        <w:tab/>
      </w:r>
      <w:r>
        <w:rPr>
          <w:rFonts w:hint="eastAsia" w:ascii="宋体" w:hAnsi="宋体" w:cs="仿宋_GB2312"/>
          <w:sz w:val="24"/>
        </w:rPr>
        <w:t>电传：</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hint="eastAsia" w:ascii="宋体" w:hAnsi="宋体" w:cs="仿宋_GB2312"/>
          <w:sz w:val="24"/>
        </w:rPr>
        <w:t>邮编：</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59AC7F59">
      <w:pPr>
        <w:spacing w:line="360" w:lineRule="auto"/>
        <w:rPr>
          <w:rFonts w:hint="eastAsia" w:ascii="宋体" w:hAnsi="宋体"/>
          <w:sz w:val="24"/>
        </w:rPr>
      </w:pPr>
      <w:r>
        <w:rPr>
          <w:rFonts w:ascii="宋体" w:hAnsi="宋体"/>
          <w:sz w:val="24"/>
        </w:rPr>
        <w:tab/>
      </w:r>
      <w:r>
        <w:rPr>
          <w:rFonts w:hint="eastAsia" w:ascii="宋体" w:hAnsi="宋体" w:cs="仿宋_GB2312"/>
          <w:sz w:val="24"/>
        </w:rPr>
        <w:t>承诺方授权代表签字：</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（承诺方盖章）</w:t>
      </w:r>
    </w:p>
    <w:p w14:paraId="499E4D1A">
      <w:pPr>
        <w:spacing w:line="360" w:lineRule="auto"/>
        <w:rPr>
          <w:rFonts w:hint="eastAsia" w:ascii="宋体" w:hAnsi="宋体"/>
          <w:sz w:val="24"/>
          <w:u w:val="single"/>
        </w:rPr>
      </w:pPr>
      <w:r>
        <w:rPr>
          <w:rFonts w:ascii="宋体" w:hAnsi="宋体"/>
          <w:sz w:val="24"/>
        </w:rPr>
        <w:tab/>
      </w:r>
      <w:r>
        <w:rPr>
          <w:rFonts w:hint="eastAsia" w:ascii="宋体" w:hAnsi="宋体" w:cs="仿宋_GB2312"/>
          <w:sz w:val="24"/>
        </w:rPr>
        <w:t>承诺日期：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5900BB21">
      <w:pPr>
        <w:jc w:val="center"/>
      </w:pPr>
      <w:r>
        <w:br w:type="page"/>
      </w:r>
    </w:p>
    <w:p w14:paraId="0C17D548">
      <w:pPr>
        <w:pStyle w:val="3"/>
        <w:tabs>
          <w:tab w:val="left" w:pos="5580"/>
        </w:tabs>
        <w:rPr>
          <w:rFonts w:hint="eastAsia" w:ascii="宋体" w:hAnsi="宋体" w:eastAsia="宋体" w:cs="宋体"/>
          <w:bCs/>
          <w:sz w:val="28"/>
          <w:szCs w:val="28"/>
        </w:rPr>
      </w:pPr>
      <w:r>
        <w:rPr>
          <w:rFonts w:hint="eastAsia" w:ascii="宋体" w:hAnsi="宋体" w:eastAsia="宋体" w:cs="宋体"/>
          <w:bCs/>
          <w:sz w:val="28"/>
          <w:szCs w:val="28"/>
        </w:rPr>
        <w:t>附件12：货物技术说明文件（产品制造商原厂公开发布的资料参数等）</w:t>
      </w:r>
    </w:p>
    <w:p w14:paraId="095DDB0A">
      <w:pPr>
        <w:rPr>
          <w:b/>
          <w:bCs/>
        </w:rPr>
      </w:pPr>
      <w:r>
        <w:rPr>
          <w:rFonts w:hint="eastAsia"/>
          <w:b/>
          <w:bCs/>
        </w:rPr>
        <w:br w:type="page"/>
      </w:r>
    </w:p>
    <w:p w14:paraId="70A8C4BA">
      <w:pPr>
        <w:pStyle w:val="3"/>
        <w:tabs>
          <w:tab w:val="left" w:pos="5580"/>
        </w:tabs>
        <w:rPr>
          <w:rFonts w:hint="eastAsia" w:ascii="宋体" w:hAnsi="宋体" w:eastAsia="宋体" w:cs="宋体"/>
          <w:bCs/>
          <w:sz w:val="28"/>
          <w:szCs w:val="28"/>
        </w:rPr>
      </w:pPr>
      <w:r>
        <w:rPr>
          <w:rFonts w:hint="eastAsia" w:ascii="宋体" w:hAnsi="宋体" w:eastAsia="宋体" w:cs="宋体"/>
          <w:bCs/>
          <w:sz w:val="28"/>
          <w:szCs w:val="28"/>
        </w:rPr>
        <w:t>附件13：投标人针对本项目的技术支持及售后服务的内容承诺(需同时提供国内售后服务网点分布以及售后服务人员的说明)</w:t>
      </w:r>
    </w:p>
    <w:p w14:paraId="15901952">
      <w:pPr>
        <w:rPr>
          <w:rFonts w:hint="eastAsia" w:ascii="宋体" w:hAnsi="宋体" w:cs="宋体"/>
          <w:b/>
          <w:bCs/>
          <w:sz w:val="28"/>
          <w:szCs w:val="28"/>
        </w:rPr>
      </w:pPr>
      <w:r>
        <w:rPr>
          <w:rFonts w:hint="eastAsia" w:ascii="宋体" w:hAnsi="宋体" w:cs="宋体"/>
          <w:b/>
          <w:bCs/>
          <w:sz w:val="28"/>
          <w:szCs w:val="28"/>
        </w:rPr>
        <w:br w:type="page"/>
      </w:r>
    </w:p>
    <w:p w14:paraId="54281B1B"/>
    <w:p w14:paraId="21A4BD1E">
      <w:pPr>
        <w:pStyle w:val="3"/>
        <w:tabs>
          <w:tab w:val="left" w:pos="5580"/>
        </w:tabs>
        <w:rPr>
          <w:rFonts w:hint="eastAsia" w:ascii="宋体" w:hAnsi="宋体" w:eastAsia="宋体" w:cs="宋体"/>
          <w:bCs/>
          <w:sz w:val="28"/>
          <w:szCs w:val="28"/>
        </w:rPr>
      </w:pPr>
      <w:r>
        <w:rPr>
          <w:rFonts w:hint="eastAsia" w:ascii="宋体" w:hAnsi="宋体" w:eastAsia="宋体" w:cs="宋体"/>
          <w:bCs/>
          <w:sz w:val="28"/>
          <w:szCs w:val="28"/>
        </w:rPr>
        <w:t>附件14：对于培训、安装、调试及验收要求的响应及承诺</w:t>
      </w:r>
    </w:p>
    <w:p w14:paraId="47F7E75D">
      <w:pPr>
        <w:rPr>
          <w:rFonts w:hint="eastAsia" w:ascii="宋体" w:hAnsi="宋体" w:cs="仿宋_GB2312"/>
          <w:b/>
          <w:bCs/>
        </w:rPr>
      </w:pPr>
      <w:r>
        <w:rPr>
          <w:rFonts w:hint="eastAsia" w:ascii="宋体" w:hAnsi="宋体" w:cs="仿宋_GB2312"/>
          <w:b/>
          <w:bCs/>
        </w:rPr>
        <w:br w:type="page"/>
      </w:r>
    </w:p>
    <w:p w14:paraId="0C73AEDC">
      <w:pPr>
        <w:pStyle w:val="3"/>
        <w:tabs>
          <w:tab w:val="left" w:pos="5580"/>
        </w:tabs>
        <w:rPr>
          <w:rFonts w:hint="eastAsia" w:ascii="宋体" w:hAnsi="宋体" w:eastAsia="宋体" w:cs="宋体"/>
          <w:bCs/>
          <w:sz w:val="28"/>
          <w:szCs w:val="28"/>
        </w:rPr>
      </w:pPr>
      <w:r>
        <w:rPr>
          <w:rFonts w:hint="eastAsia" w:ascii="宋体" w:hAnsi="宋体" w:eastAsia="宋体" w:cs="宋体"/>
          <w:bCs/>
          <w:sz w:val="28"/>
          <w:szCs w:val="28"/>
        </w:rPr>
        <w:t>附件15：中小企业声明函</w:t>
      </w:r>
    </w:p>
    <w:p w14:paraId="4D07D9C1">
      <w:pPr>
        <w:rPr>
          <w:rFonts w:hint="eastAsia" w:ascii="宋体" w:hAnsi="宋体" w:cs="仿宋_GB2312"/>
        </w:rPr>
      </w:pPr>
      <w:r>
        <w:rPr>
          <w:rFonts w:hint="eastAsia" w:ascii="宋体" w:hAnsi="宋体" w:cs="仿宋_GB2312"/>
        </w:rPr>
        <w:t>（如为中小企业，应按</w:t>
      </w:r>
      <w:r>
        <w:rPr>
          <w:rFonts w:ascii="宋体" w:hAnsi="宋体" w:cs="仿宋_GB2312"/>
        </w:rPr>
        <w:t>《</w:t>
      </w:r>
      <w:r>
        <w:rPr>
          <w:rFonts w:hint="eastAsia" w:ascii="宋体" w:hAnsi="宋体" w:cs="仿宋_GB2312"/>
        </w:rPr>
        <w:t>政府采购促进中小企业发展管理办法</w:t>
      </w:r>
      <w:r>
        <w:rPr>
          <w:rFonts w:ascii="宋体" w:hAnsi="宋体" w:cs="仿宋_GB2312"/>
        </w:rPr>
        <w:t>》</w:t>
      </w:r>
      <w:r>
        <w:rPr>
          <w:rFonts w:hint="eastAsia" w:ascii="宋体" w:hAnsi="宋体" w:cs="仿宋_GB2312"/>
        </w:rPr>
        <w:t>的规定</w:t>
      </w:r>
      <w:r>
        <w:rPr>
          <w:rFonts w:ascii="宋体" w:hAnsi="宋体" w:cs="仿宋_GB2312"/>
        </w:rPr>
        <w:t>提供</w:t>
      </w:r>
      <w:r>
        <w:rPr>
          <w:rFonts w:hint="eastAsia" w:ascii="宋体" w:hAnsi="宋体" w:cs="仿宋_GB2312"/>
        </w:rPr>
        <w:t>）</w:t>
      </w:r>
    </w:p>
    <w:p w14:paraId="4139A4EB">
      <w:pPr>
        <w:spacing w:before="162"/>
        <w:jc w:val="center"/>
        <w:rPr>
          <w:b/>
          <w:bCs/>
        </w:rPr>
      </w:pPr>
    </w:p>
    <w:p w14:paraId="38298CC2">
      <w:pPr>
        <w:pStyle w:val="101"/>
        <w:numPr>
          <w:ilvl w:val="0"/>
          <w:numId w:val="0"/>
        </w:numPr>
        <w:spacing w:line="360" w:lineRule="auto"/>
        <w:ind w:left="420" w:leftChars="0" w:hanging="420" w:firstLineChars="0"/>
        <w:jc w:val="center"/>
        <w:rPr>
          <w:b/>
          <w:bCs/>
          <w:color w:val="auto"/>
          <w:sz w:val="24"/>
          <w:szCs w:val="24"/>
          <w:highlight w:val="none"/>
        </w:rPr>
      </w:pPr>
      <w:r>
        <w:rPr>
          <w:rFonts w:hint="eastAsia"/>
          <w:b/>
          <w:bCs/>
          <w:color w:val="auto"/>
          <w:sz w:val="24"/>
          <w:szCs w:val="24"/>
          <w:highlight w:val="none"/>
        </w:rPr>
        <w:t>中小企业声明函</w:t>
      </w:r>
    </w:p>
    <w:p w14:paraId="3BBFDA40">
      <w:pPr>
        <w:spacing w:line="360" w:lineRule="auto"/>
        <w:ind w:firstLine="504" w:firstLineChars="200"/>
        <w:rPr>
          <w:rFonts w:cs="宋体"/>
          <w:color w:val="auto"/>
          <w:spacing w:val="6"/>
          <w:sz w:val="24"/>
          <w:szCs w:val="24"/>
          <w:highlight w:val="none"/>
        </w:rPr>
      </w:pPr>
      <w:r>
        <w:rPr>
          <w:rFonts w:hint="eastAsia" w:cs="宋体"/>
          <w:color w:val="auto"/>
          <w:spacing w:val="6"/>
          <w:sz w:val="24"/>
          <w:szCs w:val="24"/>
          <w:highlight w:val="none"/>
        </w:rPr>
        <w:t>本公司（联合体）郑重声明，根据《政府采购促进中小企业发展管理办法》（财库﹝2020﹞46 号）的规定，本公司（联合体）参加</w:t>
      </w:r>
      <w:r>
        <w:rPr>
          <w:rFonts w:hint="eastAsia" w:cs="宋体"/>
          <w:color w:val="auto"/>
          <w:spacing w:val="6"/>
          <w:sz w:val="24"/>
          <w:szCs w:val="24"/>
          <w:highlight w:val="none"/>
          <w:u w:val="single"/>
        </w:rPr>
        <w:t xml:space="preserve"> （中国科学院华南植物园）</w:t>
      </w:r>
      <w:r>
        <w:rPr>
          <w:rFonts w:hint="eastAsia" w:cs="宋体"/>
          <w:color w:val="auto"/>
          <w:spacing w:val="6"/>
          <w:sz w:val="24"/>
          <w:szCs w:val="24"/>
          <w:highlight w:val="none"/>
        </w:rPr>
        <w:t xml:space="preserve"> 的</w:t>
      </w:r>
      <w:r>
        <w:rPr>
          <w:rFonts w:hint="eastAsia" w:cs="宋体"/>
          <w:color w:val="auto"/>
          <w:spacing w:val="6"/>
          <w:sz w:val="24"/>
          <w:szCs w:val="24"/>
          <w:highlight w:val="none"/>
          <w:u w:val="single"/>
        </w:rPr>
        <w:t xml:space="preserve"> （中国科学院华南植物园</w:t>
      </w:r>
      <w:r>
        <w:rPr>
          <w:rFonts w:hint="eastAsia" w:cs="宋体"/>
          <w:color w:val="auto"/>
          <w:spacing w:val="6"/>
          <w:sz w:val="24"/>
          <w:szCs w:val="24"/>
          <w:highlight w:val="none"/>
          <w:u w:val="single"/>
          <w:lang w:eastAsia="zh-CN"/>
        </w:rPr>
        <w:t>多通道长期监测荧光仪等5台仪器设备</w:t>
      </w:r>
      <w:r>
        <w:rPr>
          <w:rFonts w:hint="eastAsia" w:cs="宋体"/>
          <w:color w:val="auto"/>
          <w:spacing w:val="6"/>
          <w:sz w:val="24"/>
          <w:szCs w:val="24"/>
          <w:highlight w:val="none"/>
          <w:u w:val="single"/>
        </w:rPr>
        <w:t xml:space="preserve">采购项目） </w:t>
      </w:r>
      <w:r>
        <w:rPr>
          <w:rFonts w:hint="eastAsia" w:cs="宋体"/>
          <w:color w:val="auto"/>
          <w:spacing w:val="6"/>
          <w:sz w:val="24"/>
          <w:szCs w:val="24"/>
          <w:highlight w:val="none"/>
        </w:rPr>
        <w:t>采购活动，提供的货物全部由符合政策要求的中小企业制造。相关企业（含联合体中的中小企业、签订分包意向协议的中小企业）的具体情况如下：</w:t>
      </w:r>
    </w:p>
    <w:p w14:paraId="36229E7B">
      <w:pPr>
        <w:spacing w:line="360" w:lineRule="auto"/>
        <w:ind w:firstLine="504" w:firstLineChars="200"/>
        <w:rPr>
          <w:rFonts w:cs="宋体"/>
          <w:color w:val="auto"/>
          <w:spacing w:val="6"/>
          <w:sz w:val="24"/>
          <w:szCs w:val="24"/>
          <w:highlight w:val="none"/>
        </w:rPr>
      </w:pPr>
      <w:r>
        <w:rPr>
          <w:rFonts w:hint="eastAsia" w:cs="宋体"/>
          <w:color w:val="auto"/>
          <w:spacing w:val="6"/>
          <w:sz w:val="24"/>
          <w:szCs w:val="24"/>
          <w:highlight w:val="none"/>
        </w:rPr>
        <w:t>1.</w:t>
      </w:r>
      <w:r>
        <w:rPr>
          <w:rFonts w:hint="eastAsia" w:cs="宋体"/>
          <w:color w:val="auto"/>
          <w:spacing w:val="6"/>
          <w:sz w:val="24"/>
          <w:szCs w:val="24"/>
          <w:highlight w:val="none"/>
          <w:u w:val="single"/>
        </w:rPr>
        <w:t xml:space="preserve"> （标的名称） </w:t>
      </w:r>
      <w:r>
        <w:rPr>
          <w:rFonts w:hint="eastAsia" w:cs="宋体"/>
          <w:color w:val="auto"/>
          <w:spacing w:val="6"/>
          <w:sz w:val="24"/>
          <w:szCs w:val="24"/>
          <w:highlight w:val="none"/>
        </w:rPr>
        <w:t>，属于</w:t>
      </w:r>
      <w:r>
        <w:rPr>
          <w:rFonts w:hint="eastAsia" w:cs="宋体"/>
          <w:color w:val="auto"/>
          <w:spacing w:val="6"/>
          <w:sz w:val="24"/>
          <w:szCs w:val="24"/>
          <w:highlight w:val="none"/>
          <w:u w:val="single"/>
        </w:rPr>
        <w:t xml:space="preserve"> （</w:t>
      </w:r>
      <w:r>
        <w:rPr>
          <w:rFonts w:hint="eastAsia" w:cs="宋体"/>
          <w:color w:val="auto"/>
          <w:spacing w:val="6"/>
          <w:sz w:val="24"/>
          <w:szCs w:val="24"/>
          <w:highlight w:val="none"/>
          <w:u w:val="single"/>
          <w:lang w:val="en-US" w:eastAsia="zh-CN"/>
        </w:rPr>
        <w:t>工业</w:t>
      </w:r>
      <w:r>
        <w:rPr>
          <w:rFonts w:hint="eastAsia" w:cs="宋体"/>
          <w:color w:val="auto"/>
          <w:spacing w:val="6"/>
          <w:sz w:val="24"/>
          <w:szCs w:val="24"/>
          <w:highlight w:val="none"/>
          <w:u w:val="single"/>
        </w:rPr>
        <w:t>）</w:t>
      </w:r>
      <w:r>
        <w:rPr>
          <w:rFonts w:hint="eastAsia" w:cs="宋体"/>
          <w:color w:val="auto"/>
          <w:spacing w:val="6"/>
          <w:sz w:val="24"/>
          <w:szCs w:val="24"/>
          <w:highlight w:val="none"/>
        </w:rPr>
        <w:t>行业 ；制造商为</w:t>
      </w:r>
      <w:r>
        <w:rPr>
          <w:rFonts w:hint="eastAsia" w:cs="宋体"/>
          <w:color w:val="auto"/>
          <w:spacing w:val="6"/>
          <w:sz w:val="24"/>
          <w:szCs w:val="24"/>
          <w:highlight w:val="none"/>
          <w:u w:val="single"/>
        </w:rPr>
        <w:t xml:space="preserve"> （企业名称） </w:t>
      </w:r>
      <w:r>
        <w:rPr>
          <w:rFonts w:hint="eastAsia" w:cs="宋体"/>
          <w:color w:val="auto"/>
          <w:spacing w:val="6"/>
          <w:sz w:val="24"/>
          <w:szCs w:val="24"/>
          <w:highlight w:val="none"/>
        </w:rPr>
        <w:t>，从业人员</w:t>
      </w:r>
      <w:r>
        <w:rPr>
          <w:rFonts w:hint="eastAsia" w:cs="宋体"/>
          <w:color w:val="auto"/>
          <w:spacing w:val="6"/>
          <w:sz w:val="24"/>
          <w:szCs w:val="24"/>
          <w:highlight w:val="none"/>
          <w:u w:val="single"/>
          <w:lang w:val="en-US" w:eastAsia="zh-CN"/>
        </w:rPr>
        <w:t xml:space="preserve">     </w:t>
      </w:r>
      <w:r>
        <w:rPr>
          <w:rFonts w:hint="eastAsia" w:cs="宋体"/>
          <w:color w:val="auto"/>
          <w:spacing w:val="6"/>
          <w:sz w:val="24"/>
          <w:szCs w:val="24"/>
          <w:highlight w:val="none"/>
        </w:rPr>
        <w:t>人，营业收入为</w:t>
      </w:r>
      <w:r>
        <w:rPr>
          <w:rFonts w:hint="eastAsia" w:cs="宋体"/>
          <w:color w:val="auto"/>
          <w:spacing w:val="6"/>
          <w:sz w:val="24"/>
          <w:szCs w:val="24"/>
          <w:highlight w:val="none"/>
          <w:u w:val="single"/>
          <w:lang w:val="en-US" w:eastAsia="zh-CN"/>
        </w:rPr>
        <w:t xml:space="preserve">      </w:t>
      </w:r>
      <w:r>
        <w:rPr>
          <w:rFonts w:hint="eastAsia" w:cs="宋体"/>
          <w:color w:val="auto"/>
          <w:spacing w:val="6"/>
          <w:sz w:val="24"/>
          <w:szCs w:val="24"/>
          <w:highlight w:val="none"/>
        </w:rPr>
        <w:t>万元，资产总额为</w:t>
      </w:r>
      <w:r>
        <w:rPr>
          <w:rFonts w:hint="eastAsia" w:cs="宋体"/>
          <w:color w:val="auto"/>
          <w:spacing w:val="6"/>
          <w:sz w:val="24"/>
          <w:szCs w:val="24"/>
          <w:highlight w:val="none"/>
          <w:u w:val="single"/>
          <w:lang w:val="en-US" w:eastAsia="zh-CN"/>
        </w:rPr>
        <w:t xml:space="preserve">       </w:t>
      </w:r>
      <w:r>
        <w:rPr>
          <w:rFonts w:hint="eastAsia" w:cs="宋体"/>
          <w:color w:val="auto"/>
          <w:spacing w:val="6"/>
          <w:sz w:val="24"/>
          <w:szCs w:val="24"/>
          <w:highlight w:val="none"/>
        </w:rPr>
        <w:t>万元，属于</w:t>
      </w:r>
      <w:r>
        <w:rPr>
          <w:rFonts w:hint="eastAsia" w:cs="宋体"/>
          <w:color w:val="auto"/>
          <w:spacing w:val="6"/>
          <w:sz w:val="24"/>
          <w:szCs w:val="24"/>
          <w:highlight w:val="none"/>
          <w:u w:val="single"/>
        </w:rPr>
        <w:t xml:space="preserve"> （中型企业、小型企业、微型企业）</w:t>
      </w:r>
      <w:r>
        <w:rPr>
          <w:rFonts w:hint="eastAsia" w:cs="宋体"/>
          <w:color w:val="auto"/>
          <w:spacing w:val="6"/>
          <w:sz w:val="24"/>
          <w:szCs w:val="24"/>
          <w:highlight w:val="none"/>
        </w:rPr>
        <w:t>；</w:t>
      </w:r>
    </w:p>
    <w:p w14:paraId="15A5E85C">
      <w:pPr>
        <w:spacing w:line="360" w:lineRule="auto"/>
        <w:ind w:firstLine="504" w:firstLineChars="200"/>
        <w:rPr>
          <w:rFonts w:cs="宋体"/>
          <w:color w:val="auto"/>
          <w:spacing w:val="6"/>
          <w:sz w:val="24"/>
          <w:szCs w:val="24"/>
          <w:highlight w:val="none"/>
        </w:rPr>
      </w:pPr>
      <w:r>
        <w:rPr>
          <w:rFonts w:hint="eastAsia" w:cs="宋体"/>
          <w:color w:val="auto"/>
          <w:spacing w:val="6"/>
          <w:sz w:val="24"/>
          <w:szCs w:val="24"/>
          <w:highlight w:val="none"/>
        </w:rPr>
        <w:t>2.</w:t>
      </w:r>
      <w:r>
        <w:rPr>
          <w:rFonts w:hint="eastAsia" w:cs="宋体"/>
          <w:color w:val="auto"/>
          <w:spacing w:val="6"/>
          <w:sz w:val="24"/>
          <w:szCs w:val="24"/>
          <w:highlight w:val="none"/>
          <w:u w:val="single"/>
        </w:rPr>
        <w:t xml:space="preserve"> （标的名称） </w:t>
      </w:r>
      <w:r>
        <w:rPr>
          <w:rFonts w:hint="eastAsia" w:cs="宋体"/>
          <w:color w:val="auto"/>
          <w:spacing w:val="6"/>
          <w:sz w:val="24"/>
          <w:szCs w:val="24"/>
          <w:highlight w:val="none"/>
        </w:rPr>
        <w:t>，属于</w:t>
      </w:r>
      <w:r>
        <w:rPr>
          <w:rFonts w:hint="eastAsia" w:cs="宋体"/>
          <w:color w:val="auto"/>
          <w:spacing w:val="6"/>
          <w:sz w:val="24"/>
          <w:szCs w:val="24"/>
          <w:highlight w:val="none"/>
          <w:u w:val="single"/>
        </w:rPr>
        <w:t xml:space="preserve"> （</w:t>
      </w:r>
      <w:r>
        <w:rPr>
          <w:rFonts w:hint="eastAsia" w:cs="宋体"/>
          <w:color w:val="auto"/>
          <w:spacing w:val="6"/>
          <w:sz w:val="24"/>
          <w:szCs w:val="24"/>
          <w:highlight w:val="none"/>
          <w:u w:val="single"/>
          <w:lang w:val="en-US" w:eastAsia="zh-CN"/>
        </w:rPr>
        <w:t>工业</w:t>
      </w:r>
      <w:r>
        <w:rPr>
          <w:rFonts w:hint="eastAsia" w:cs="宋体"/>
          <w:color w:val="auto"/>
          <w:spacing w:val="6"/>
          <w:sz w:val="24"/>
          <w:szCs w:val="24"/>
          <w:highlight w:val="none"/>
          <w:u w:val="single"/>
        </w:rPr>
        <w:t>）</w:t>
      </w:r>
      <w:r>
        <w:rPr>
          <w:rFonts w:hint="eastAsia" w:cs="宋体"/>
          <w:color w:val="auto"/>
          <w:spacing w:val="6"/>
          <w:sz w:val="24"/>
          <w:szCs w:val="24"/>
          <w:highlight w:val="none"/>
        </w:rPr>
        <w:t>行业 ；制造商为</w:t>
      </w:r>
      <w:r>
        <w:rPr>
          <w:rFonts w:hint="eastAsia" w:cs="宋体"/>
          <w:color w:val="auto"/>
          <w:spacing w:val="6"/>
          <w:sz w:val="24"/>
          <w:szCs w:val="24"/>
          <w:highlight w:val="none"/>
          <w:u w:val="single"/>
        </w:rPr>
        <w:t xml:space="preserve"> （企业名称） </w:t>
      </w:r>
      <w:r>
        <w:rPr>
          <w:rFonts w:hint="eastAsia" w:cs="宋体"/>
          <w:color w:val="auto"/>
          <w:spacing w:val="6"/>
          <w:sz w:val="24"/>
          <w:szCs w:val="24"/>
          <w:highlight w:val="none"/>
        </w:rPr>
        <w:t>，从业人员</w:t>
      </w:r>
      <w:r>
        <w:rPr>
          <w:rFonts w:hint="eastAsia" w:cs="宋体"/>
          <w:color w:val="auto"/>
          <w:spacing w:val="6"/>
          <w:sz w:val="24"/>
          <w:szCs w:val="24"/>
          <w:highlight w:val="none"/>
          <w:u w:val="single"/>
          <w:lang w:val="en-US" w:eastAsia="zh-CN"/>
        </w:rPr>
        <w:t xml:space="preserve">      </w:t>
      </w:r>
      <w:r>
        <w:rPr>
          <w:rFonts w:hint="eastAsia" w:cs="宋体"/>
          <w:color w:val="auto"/>
          <w:spacing w:val="6"/>
          <w:sz w:val="24"/>
          <w:szCs w:val="24"/>
          <w:highlight w:val="none"/>
        </w:rPr>
        <w:t>人，营业收入为</w:t>
      </w:r>
      <w:r>
        <w:rPr>
          <w:rFonts w:hint="eastAsia" w:cs="宋体"/>
          <w:color w:val="auto"/>
          <w:spacing w:val="6"/>
          <w:sz w:val="24"/>
          <w:szCs w:val="24"/>
          <w:highlight w:val="none"/>
          <w:u w:val="single"/>
          <w:lang w:val="en-US" w:eastAsia="zh-CN"/>
        </w:rPr>
        <w:t xml:space="preserve">      </w:t>
      </w:r>
      <w:r>
        <w:rPr>
          <w:rFonts w:hint="eastAsia" w:cs="宋体"/>
          <w:color w:val="auto"/>
          <w:spacing w:val="6"/>
          <w:sz w:val="24"/>
          <w:szCs w:val="24"/>
          <w:highlight w:val="none"/>
        </w:rPr>
        <w:t>万元，资产总额为</w:t>
      </w:r>
      <w:r>
        <w:rPr>
          <w:rFonts w:hint="eastAsia" w:cs="宋体"/>
          <w:color w:val="auto"/>
          <w:spacing w:val="6"/>
          <w:sz w:val="24"/>
          <w:szCs w:val="24"/>
          <w:highlight w:val="none"/>
          <w:u w:val="single"/>
          <w:lang w:val="en-US" w:eastAsia="zh-CN"/>
        </w:rPr>
        <w:t xml:space="preserve">       </w:t>
      </w:r>
      <w:r>
        <w:rPr>
          <w:rFonts w:hint="eastAsia" w:cs="宋体"/>
          <w:color w:val="auto"/>
          <w:spacing w:val="6"/>
          <w:sz w:val="24"/>
          <w:szCs w:val="24"/>
          <w:highlight w:val="none"/>
        </w:rPr>
        <w:t>万元，属于</w:t>
      </w:r>
      <w:r>
        <w:rPr>
          <w:rFonts w:hint="eastAsia" w:cs="宋体"/>
          <w:color w:val="auto"/>
          <w:spacing w:val="6"/>
          <w:sz w:val="24"/>
          <w:szCs w:val="24"/>
          <w:highlight w:val="none"/>
          <w:u w:val="single"/>
        </w:rPr>
        <w:t xml:space="preserve"> （中型企业、小型企业、微型企业）</w:t>
      </w:r>
      <w:r>
        <w:rPr>
          <w:rFonts w:hint="eastAsia" w:cs="宋体"/>
          <w:color w:val="auto"/>
          <w:spacing w:val="6"/>
          <w:sz w:val="24"/>
          <w:szCs w:val="24"/>
          <w:highlight w:val="none"/>
        </w:rPr>
        <w:t>；</w:t>
      </w:r>
    </w:p>
    <w:p w14:paraId="5F7B5ED7">
      <w:pPr>
        <w:spacing w:line="360" w:lineRule="auto"/>
        <w:ind w:firstLine="504" w:firstLineChars="200"/>
        <w:rPr>
          <w:rFonts w:cs="宋体"/>
          <w:color w:val="auto"/>
          <w:spacing w:val="6"/>
          <w:sz w:val="24"/>
          <w:szCs w:val="24"/>
          <w:highlight w:val="none"/>
        </w:rPr>
      </w:pPr>
      <w:r>
        <w:rPr>
          <w:rFonts w:hint="eastAsia" w:cs="宋体"/>
          <w:color w:val="auto"/>
          <w:spacing w:val="6"/>
          <w:sz w:val="24"/>
          <w:szCs w:val="24"/>
          <w:highlight w:val="none"/>
        </w:rPr>
        <w:t>……</w:t>
      </w:r>
    </w:p>
    <w:p w14:paraId="2EC2DF3B">
      <w:pPr>
        <w:spacing w:line="360" w:lineRule="auto"/>
        <w:ind w:firstLine="504" w:firstLineChars="200"/>
        <w:rPr>
          <w:rFonts w:cs="宋体"/>
          <w:color w:val="auto"/>
          <w:spacing w:val="6"/>
          <w:sz w:val="24"/>
          <w:szCs w:val="24"/>
          <w:highlight w:val="none"/>
        </w:rPr>
      </w:pPr>
      <w:r>
        <w:rPr>
          <w:rFonts w:hint="eastAsia" w:cs="宋体"/>
          <w:color w:val="auto"/>
          <w:spacing w:val="6"/>
          <w:sz w:val="24"/>
          <w:szCs w:val="24"/>
          <w:highlight w:val="none"/>
        </w:rPr>
        <w:t>以上企业，不属于大企业的分支机构，不存在控股股东为大企业的情形，也不存在与大企业的负责人为同一人的情形。</w:t>
      </w:r>
    </w:p>
    <w:p w14:paraId="00DC3559">
      <w:pPr>
        <w:spacing w:line="360" w:lineRule="auto"/>
        <w:ind w:firstLine="504" w:firstLineChars="200"/>
        <w:rPr>
          <w:rFonts w:cs="宋体"/>
          <w:color w:val="auto"/>
          <w:spacing w:val="6"/>
          <w:sz w:val="24"/>
          <w:szCs w:val="24"/>
          <w:highlight w:val="none"/>
        </w:rPr>
      </w:pPr>
      <w:r>
        <w:rPr>
          <w:rFonts w:hint="eastAsia" w:cs="宋体"/>
          <w:color w:val="auto"/>
          <w:spacing w:val="6"/>
          <w:sz w:val="24"/>
          <w:szCs w:val="24"/>
          <w:highlight w:val="none"/>
        </w:rPr>
        <w:t>本企业对上述声明内容的真实性负责。如有虚假，将依法承担相应责任。</w:t>
      </w:r>
    </w:p>
    <w:p w14:paraId="6DE4687A">
      <w:pPr>
        <w:spacing w:line="360" w:lineRule="auto"/>
        <w:ind w:right="1008" w:firstLine="4788" w:firstLineChars="1900"/>
        <w:rPr>
          <w:rFonts w:cs="宋体"/>
          <w:color w:val="auto"/>
          <w:spacing w:val="6"/>
          <w:sz w:val="24"/>
          <w:szCs w:val="24"/>
          <w:highlight w:val="none"/>
        </w:rPr>
      </w:pPr>
    </w:p>
    <w:p w14:paraId="78CA7B24">
      <w:pPr>
        <w:spacing w:line="360" w:lineRule="auto"/>
        <w:ind w:right="1008" w:firstLine="4284" w:firstLineChars="1700"/>
        <w:rPr>
          <w:rFonts w:cs="宋体"/>
          <w:color w:val="auto"/>
          <w:spacing w:val="6"/>
          <w:sz w:val="24"/>
          <w:szCs w:val="24"/>
          <w:highlight w:val="none"/>
        </w:rPr>
      </w:pPr>
      <w:r>
        <w:rPr>
          <w:rFonts w:hint="eastAsia" w:cs="宋体"/>
          <w:color w:val="auto"/>
          <w:spacing w:val="6"/>
          <w:sz w:val="24"/>
          <w:szCs w:val="24"/>
          <w:highlight w:val="none"/>
          <w:lang w:val="en-US" w:eastAsia="zh-CN"/>
        </w:rPr>
        <w:t>投标人</w:t>
      </w:r>
      <w:r>
        <w:rPr>
          <w:rFonts w:hint="eastAsia" w:cs="宋体"/>
          <w:color w:val="auto"/>
          <w:spacing w:val="6"/>
          <w:sz w:val="24"/>
          <w:szCs w:val="24"/>
          <w:highlight w:val="none"/>
        </w:rPr>
        <w:t>名称</w:t>
      </w:r>
      <w:r>
        <w:rPr>
          <w:rFonts w:hint="eastAsia" w:cs="仿宋_GB2312"/>
          <w:color w:val="auto"/>
          <w:sz w:val="24"/>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cs="宋体"/>
          <w:color w:val="auto"/>
          <w:kern w:val="0"/>
          <w:sz w:val="24"/>
          <w:szCs w:val="24"/>
          <w:highlight w:val="none"/>
          <w:lang w:eastAsia="zh-CN"/>
        </w:rPr>
        <w:t>）</w:t>
      </w:r>
      <w:r>
        <w:rPr>
          <w:rFonts w:hint="eastAsia" w:cs="宋体"/>
          <w:color w:val="auto"/>
          <w:spacing w:val="6"/>
          <w:sz w:val="24"/>
          <w:szCs w:val="24"/>
          <w:highlight w:val="none"/>
        </w:rPr>
        <w:t>：</w:t>
      </w:r>
    </w:p>
    <w:p w14:paraId="23638D11">
      <w:pPr>
        <w:spacing w:line="360" w:lineRule="auto"/>
        <w:ind w:right="1008" w:firstLine="4284" w:firstLineChars="1700"/>
        <w:rPr>
          <w:rFonts w:hint="default" w:eastAsia="宋体" w:cs="宋体"/>
          <w:color w:val="auto"/>
          <w:spacing w:val="6"/>
          <w:sz w:val="24"/>
          <w:szCs w:val="24"/>
          <w:highlight w:val="none"/>
          <w:lang w:val="en-US" w:eastAsia="zh-CN"/>
        </w:rPr>
      </w:pPr>
      <w:r>
        <w:rPr>
          <w:rFonts w:hint="eastAsia" w:cs="宋体"/>
          <w:color w:val="auto"/>
          <w:spacing w:val="6"/>
          <w:sz w:val="24"/>
          <w:szCs w:val="24"/>
          <w:highlight w:val="none"/>
        </w:rPr>
        <w:t>日期：</w:t>
      </w:r>
      <w:r>
        <w:rPr>
          <w:rFonts w:hint="eastAsia" w:cs="宋体"/>
          <w:color w:val="auto"/>
          <w:spacing w:val="6"/>
          <w:sz w:val="24"/>
          <w:szCs w:val="24"/>
          <w:highlight w:val="none"/>
          <w:lang w:val="en-US" w:eastAsia="zh-CN"/>
        </w:rPr>
        <w:t xml:space="preserve">   年  月  日</w:t>
      </w:r>
    </w:p>
    <w:p w14:paraId="22639B64">
      <w:pPr>
        <w:spacing w:line="360" w:lineRule="auto"/>
        <w:ind w:firstLine="504" w:firstLineChars="200"/>
        <w:rPr>
          <w:rFonts w:cs="宋体"/>
          <w:color w:val="auto"/>
          <w:spacing w:val="6"/>
          <w:sz w:val="24"/>
          <w:szCs w:val="24"/>
          <w:highlight w:val="none"/>
        </w:rPr>
      </w:pPr>
    </w:p>
    <w:p w14:paraId="669482F3">
      <w:pPr>
        <w:spacing w:line="360" w:lineRule="auto"/>
        <w:rPr>
          <w:rFonts w:hint="default" w:cs="宋体"/>
          <w:b/>
          <w:bCs/>
          <w:color w:val="auto"/>
          <w:spacing w:val="6"/>
          <w:sz w:val="24"/>
          <w:szCs w:val="24"/>
          <w:highlight w:val="none"/>
          <w:lang w:val="en-US" w:eastAsia="zh-CN"/>
        </w:rPr>
      </w:pPr>
      <w:r>
        <w:rPr>
          <w:rFonts w:hint="eastAsia" w:cs="宋体"/>
          <w:b/>
          <w:bCs/>
          <w:color w:val="auto"/>
          <w:spacing w:val="6"/>
          <w:sz w:val="24"/>
          <w:szCs w:val="24"/>
          <w:highlight w:val="none"/>
        </w:rPr>
        <w:t>说明：</w:t>
      </w:r>
      <w:r>
        <w:rPr>
          <w:rFonts w:hint="eastAsia" w:cs="宋体"/>
          <w:b/>
          <w:bCs/>
          <w:color w:val="auto"/>
          <w:spacing w:val="6"/>
          <w:sz w:val="24"/>
          <w:szCs w:val="24"/>
          <w:highlight w:val="none"/>
          <w:lang w:val="en-US" w:eastAsia="zh-CN"/>
        </w:rPr>
        <w:t>1.重要提示：供应商应仔细阅读本函附件1关于</w:t>
      </w:r>
      <w:r>
        <w:rPr>
          <w:rFonts w:hint="eastAsia" w:cs="宋体"/>
          <w:color w:val="auto"/>
          <w:spacing w:val="-6"/>
          <w:kern w:val="0"/>
          <w:sz w:val="24"/>
          <w:szCs w:val="24"/>
          <w:highlight w:val="none"/>
          <w:lang w:val="en-US" w:eastAsia="zh-CN" w:bidi="ar"/>
        </w:rPr>
        <w:t>“</w:t>
      </w:r>
      <w:r>
        <w:rPr>
          <w:rFonts w:hint="eastAsia" w:cs="宋体"/>
          <w:b/>
          <w:bCs/>
          <w:color w:val="auto"/>
          <w:spacing w:val="6"/>
          <w:sz w:val="24"/>
          <w:szCs w:val="24"/>
          <w:highlight w:val="none"/>
          <w:lang w:val="en-US" w:eastAsia="zh-CN"/>
        </w:rPr>
        <w:t>中小企业声明函”的填写要求及提交要求，否则，因填写或提交等产生的一切不利后果，须自行承担。</w:t>
      </w:r>
    </w:p>
    <w:p w14:paraId="7E7BBC61">
      <w:pPr>
        <w:spacing w:line="360" w:lineRule="auto"/>
        <w:ind w:firstLine="759" w:firstLineChars="300"/>
        <w:rPr>
          <w:rFonts w:cs="宋体"/>
          <w:color w:val="auto"/>
          <w:spacing w:val="6"/>
          <w:sz w:val="24"/>
          <w:szCs w:val="24"/>
          <w:highlight w:val="none"/>
        </w:rPr>
      </w:pPr>
      <w:r>
        <w:rPr>
          <w:rFonts w:hint="eastAsia" w:cs="宋体"/>
          <w:b/>
          <w:bCs/>
          <w:color w:val="auto"/>
          <w:spacing w:val="6"/>
          <w:sz w:val="24"/>
          <w:szCs w:val="24"/>
          <w:highlight w:val="none"/>
          <w:lang w:val="en-US" w:eastAsia="zh-CN"/>
        </w:rPr>
        <w:t>2.</w:t>
      </w:r>
      <w:r>
        <w:rPr>
          <w:rFonts w:hint="eastAsia" w:cs="宋体"/>
          <w:color w:val="auto"/>
          <w:spacing w:val="6"/>
          <w:sz w:val="24"/>
          <w:szCs w:val="24"/>
          <w:highlight w:val="none"/>
        </w:rPr>
        <w:t>从业人员、营业收入、资产总额填报上一年度数据，无上一年度数据的新成立企业可不填报。</w:t>
      </w:r>
    </w:p>
    <w:p w14:paraId="36B11C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auto"/>
          <w:sz w:val="24"/>
          <w:szCs w:val="24"/>
          <w:highlight w:val="none"/>
          <w:lang w:val="en-US" w:eastAsia="zh-CN"/>
        </w:rPr>
      </w:pPr>
    </w:p>
    <w:p w14:paraId="1276C73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600341D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5BD25DE4">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b/>
          <w:bCs/>
          <w:color w:val="auto"/>
          <w:highlight w:val="none"/>
          <w:lang w:val="en-US" w:eastAsia="zh-CN"/>
        </w:rPr>
      </w:pPr>
      <w:r>
        <w:rPr>
          <w:rFonts w:hint="eastAsia"/>
          <w:b/>
          <w:bCs/>
          <w:color w:val="auto"/>
          <w:highlight w:val="none"/>
          <w:lang w:val="en-US" w:eastAsia="zh-CN"/>
        </w:rPr>
        <w:t xml:space="preserve">附件1 </w:t>
      </w:r>
    </w:p>
    <w:p w14:paraId="3DC7034F">
      <w:pPr>
        <w:keepNext w:val="0"/>
        <w:keepLines w:val="0"/>
        <w:widowControl/>
        <w:suppressLineNumbers w:val="0"/>
        <w:ind w:firstLine="482" w:firstLineChars="200"/>
        <w:jc w:val="left"/>
        <w:rPr>
          <w:rStyle w:val="40"/>
          <w:rFonts w:hint="eastAsia" w:ascii="宋体" w:hAnsi="宋体" w:eastAsia="宋体" w:cs="宋体"/>
          <w:color w:val="auto"/>
          <w:kern w:val="0"/>
          <w:sz w:val="24"/>
          <w:szCs w:val="24"/>
          <w:highlight w:val="none"/>
          <w:lang w:val="en-US" w:eastAsia="zh-CN" w:bidi="ar"/>
        </w:rPr>
      </w:pPr>
      <w:r>
        <w:rPr>
          <w:rStyle w:val="40"/>
          <w:rFonts w:hint="eastAsia" w:ascii="宋体" w:hAnsi="宋体" w:eastAsia="宋体" w:cs="宋体"/>
          <w:color w:val="auto"/>
          <w:kern w:val="0"/>
          <w:sz w:val="24"/>
          <w:szCs w:val="24"/>
          <w:highlight w:val="none"/>
          <w:lang w:val="en-US" w:eastAsia="zh-CN" w:bidi="ar"/>
        </w:rPr>
        <w:t>（一）关于</w:t>
      </w:r>
      <w:r>
        <w:rPr>
          <w:rStyle w:val="40"/>
          <w:rFonts w:hint="eastAsia" w:cs="宋体"/>
          <w:color w:val="auto"/>
          <w:kern w:val="0"/>
          <w:sz w:val="24"/>
          <w:szCs w:val="24"/>
          <w:highlight w:val="none"/>
          <w:lang w:val="en-US" w:eastAsia="zh-CN" w:bidi="ar"/>
        </w:rPr>
        <w:t>“</w:t>
      </w:r>
      <w:r>
        <w:rPr>
          <w:rStyle w:val="40"/>
          <w:rFonts w:hint="eastAsia" w:ascii="宋体" w:hAnsi="宋体" w:eastAsia="宋体" w:cs="宋体"/>
          <w:color w:val="auto"/>
          <w:kern w:val="0"/>
          <w:sz w:val="24"/>
          <w:szCs w:val="24"/>
          <w:highlight w:val="none"/>
          <w:lang w:val="en-US" w:eastAsia="zh-CN" w:bidi="ar"/>
        </w:rPr>
        <w:t>中小企业声明函</w:t>
      </w:r>
      <w:r>
        <w:rPr>
          <w:rStyle w:val="40"/>
          <w:rFonts w:hint="eastAsia" w:cs="宋体"/>
          <w:color w:val="auto"/>
          <w:kern w:val="0"/>
          <w:sz w:val="24"/>
          <w:szCs w:val="24"/>
          <w:highlight w:val="none"/>
          <w:lang w:val="en-US" w:eastAsia="zh-CN" w:bidi="ar"/>
        </w:rPr>
        <w:t>”</w:t>
      </w:r>
      <w:r>
        <w:rPr>
          <w:rStyle w:val="40"/>
          <w:rFonts w:hint="eastAsia" w:ascii="宋体" w:hAnsi="宋体" w:eastAsia="宋体" w:cs="宋体"/>
          <w:color w:val="auto"/>
          <w:kern w:val="0"/>
          <w:sz w:val="24"/>
          <w:szCs w:val="24"/>
          <w:highlight w:val="none"/>
          <w:lang w:val="en-US" w:eastAsia="zh-CN" w:bidi="ar"/>
        </w:rPr>
        <w:t>的填写要求</w:t>
      </w:r>
    </w:p>
    <w:p w14:paraId="1E1FE7C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具体填写要求如下：</w:t>
      </w:r>
    </w:p>
    <w:p w14:paraId="33B01CA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1.“单位名称”应填写采购人名称。</w:t>
      </w:r>
    </w:p>
    <w:p w14:paraId="71F58D7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18E5426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02B4DB8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4.“采购文件中明确的所属行业”应填写采购文件中明确的采购标的所属行业，并应确保与采购标的涉及的货物制造商/服务承接商/工程承建商（根据项目属性确定）本身的所属行业保持一致。</w:t>
      </w:r>
    </w:p>
    <w:p w14:paraId="091FF38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06D0025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3312F48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5.“企业名称”应填写投标（响应）的货物制造商/服务承接商/工程承建商（根据项目属性确定）。</w:t>
      </w:r>
    </w:p>
    <w:p w14:paraId="6AFA35C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对于分包方式面向中小企业采购的项目，“企业名称”应填写分包部分采购标的对应的货物制造商/服务承接商/工程承建商（根据项目属性确定）。</w:t>
      </w:r>
    </w:p>
    <w:p w14:paraId="5F5855C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对于以联合体方式面向中小企业采购的项目，“企业名称”应填写联合体中中小企业承担采购标的对应的货物制造商/服务承接商/工程承建商（根据项目属性确定）。</w:t>
      </w:r>
    </w:p>
    <w:p w14:paraId="4636C8D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6.从业人员、资产总额指标以上年度末数据为依据，营业收入指标以上年度累计数据为依据。无上年度数据的新成立企业可不填报。</w:t>
      </w:r>
    </w:p>
    <w:p w14:paraId="127C3C5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中型企业/小型企业/微型企业”部分，供应商应依据企业上年度从业人员、营业收入、资产总额等指标，按照《中小企业划型标准规定》（工信部联企业〔2011〕300号）、《金融业企业划型标准规定》（银发〔2015〕309号），判断</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载明的货物制造商/服务承接商/工程承建商（根据项目属性确定）是否属于采购文件所属行业的中型企业/小型企业/微型企业。</w:t>
      </w:r>
    </w:p>
    <w:p w14:paraId="54CE36A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8.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4765B705">
      <w:pPr>
        <w:keepNext w:val="0"/>
        <w:keepLines w:val="0"/>
        <w:widowControl/>
        <w:suppressLineNumbers w:val="0"/>
        <w:ind w:firstLine="482" w:firstLineChars="200"/>
        <w:jc w:val="left"/>
        <w:rPr>
          <w:rStyle w:val="40"/>
          <w:rFonts w:hint="eastAsia" w:ascii="宋体" w:hAnsi="宋体" w:eastAsia="宋体" w:cs="宋体"/>
          <w:color w:val="auto"/>
          <w:kern w:val="0"/>
          <w:sz w:val="24"/>
          <w:szCs w:val="24"/>
          <w:highlight w:val="none"/>
          <w:lang w:val="en-US" w:eastAsia="zh-CN" w:bidi="ar"/>
        </w:rPr>
      </w:pPr>
      <w:r>
        <w:rPr>
          <w:rStyle w:val="40"/>
          <w:rFonts w:hint="eastAsia" w:ascii="宋体" w:hAnsi="宋体" w:eastAsia="宋体" w:cs="宋体"/>
          <w:color w:val="auto"/>
          <w:kern w:val="0"/>
          <w:sz w:val="24"/>
          <w:szCs w:val="24"/>
          <w:highlight w:val="none"/>
          <w:lang w:val="en-US" w:eastAsia="zh-CN" w:bidi="ar"/>
        </w:rPr>
        <w:t>（二）关于</w:t>
      </w:r>
      <w:r>
        <w:rPr>
          <w:rStyle w:val="40"/>
          <w:rFonts w:hint="eastAsia" w:cs="宋体"/>
          <w:color w:val="auto"/>
          <w:kern w:val="0"/>
          <w:sz w:val="24"/>
          <w:szCs w:val="24"/>
          <w:highlight w:val="none"/>
          <w:lang w:val="en-US" w:eastAsia="zh-CN" w:bidi="ar"/>
        </w:rPr>
        <w:t>“</w:t>
      </w:r>
      <w:r>
        <w:rPr>
          <w:rStyle w:val="40"/>
          <w:rFonts w:hint="eastAsia" w:ascii="宋体" w:hAnsi="宋体" w:eastAsia="宋体" w:cs="宋体"/>
          <w:color w:val="auto"/>
          <w:kern w:val="0"/>
          <w:sz w:val="24"/>
          <w:szCs w:val="24"/>
          <w:highlight w:val="none"/>
          <w:lang w:val="en-US" w:eastAsia="zh-CN" w:bidi="ar"/>
        </w:rPr>
        <w:t>中小企业声明函</w:t>
      </w:r>
      <w:r>
        <w:rPr>
          <w:rStyle w:val="40"/>
          <w:rFonts w:hint="eastAsia" w:cs="宋体"/>
          <w:color w:val="auto"/>
          <w:kern w:val="0"/>
          <w:sz w:val="24"/>
          <w:szCs w:val="24"/>
          <w:highlight w:val="none"/>
          <w:lang w:val="en-US" w:eastAsia="zh-CN" w:bidi="ar"/>
        </w:rPr>
        <w:t>”</w:t>
      </w:r>
      <w:r>
        <w:rPr>
          <w:rStyle w:val="40"/>
          <w:rFonts w:hint="eastAsia" w:ascii="宋体" w:hAnsi="宋体" w:eastAsia="宋体" w:cs="宋体"/>
          <w:color w:val="auto"/>
          <w:kern w:val="0"/>
          <w:sz w:val="24"/>
          <w:szCs w:val="24"/>
          <w:highlight w:val="none"/>
          <w:lang w:val="en-US" w:eastAsia="zh-CN" w:bidi="ar"/>
        </w:rPr>
        <w:t>的提交要求</w:t>
      </w:r>
    </w:p>
    <w:p w14:paraId="03A6174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1.投标（响应）供应商对</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w:t>
      </w:r>
    </w:p>
    <w:p w14:paraId="6E428FE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2.鼓励供应商在投标（响应）时一并提供对货物制造商、服务承接商、工程承建商相关信息的核实核验情况以及其他佐证材料。</w:t>
      </w:r>
    </w:p>
    <w:p w14:paraId="09BFB67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3.如供应商提供的</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EC8F19E">
      <w:pPr>
        <w:pStyle w:val="3"/>
        <w:tabs>
          <w:tab w:val="left" w:pos="5580"/>
        </w:tabs>
        <w:rPr>
          <w:rFonts w:hint="eastAsia" w:ascii="宋体" w:hAnsi="宋体" w:eastAsia="宋体" w:cs="宋体"/>
          <w:bCs/>
          <w:sz w:val="28"/>
          <w:szCs w:val="28"/>
        </w:rPr>
      </w:pPr>
      <w:r>
        <w:rPr>
          <w:rFonts w:hint="eastAsia"/>
          <w:b/>
          <w:bCs/>
          <w:color w:val="auto"/>
          <w:highlight w:val="none"/>
          <w:lang w:val="en-US" w:eastAsia="zh-CN"/>
        </w:rPr>
        <w:br w:type="page"/>
      </w:r>
      <w:r>
        <w:rPr>
          <w:rFonts w:hint="eastAsia" w:ascii="宋体" w:hAnsi="宋体" w:eastAsia="宋体" w:cs="宋体"/>
          <w:bCs/>
          <w:sz w:val="28"/>
          <w:szCs w:val="28"/>
        </w:rPr>
        <w:t>附件16：残疾人福利性单位声明函</w:t>
      </w:r>
    </w:p>
    <w:p w14:paraId="4DE9F37F">
      <w:pPr>
        <w:rPr>
          <w:rFonts w:hint="eastAsia" w:ascii="宋体" w:hAnsi="宋体" w:cs="仿宋_GB2312"/>
        </w:rPr>
      </w:pPr>
      <w:r>
        <w:rPr>
          <w:rFonts w:hint="eastAsia" w:ascii="宋体" w:hAnsi="宋体" w:cs="仿宋_GB2312"/>
        </w:rPr>
        <w:t>（如为</w:t>
      </w:r>
      <w:r>
        <w:rPr>
          <w:rFonts w:ascii="宋体" w:hAnsi="宋体" w:cs="仿宋_GB2312"/>
        </w:rPr>
        <w:t>残疾人福利性单位</w:t>
      </w:r>
      <w:r>
        <w:rPr>
          <w:rFonts w:hint="eastAsia" w:ascii="宋体" w:hAnsi="宋体" w:cs="仿宋_GB2312"/>
        </w:rPr>
        <w:t>，应按《财政部 民政部 中国残疾人联合会关于促进残疾人就业政府采购政策的通知》（财库〔2017〕 141号）的规定提供）</w:t>
      </w:r>
      <w:bookmarkStart w:id="27" w:name="OLE_LINK14"/>
      <w:bookmarkStart w:id="28" w:name="OLE_LINK13"/>
    </w:p>
    <w:p w14:paraId="232F1DDA">
      <w:pPr>
        <w:spacing w:line="588" w:lineRule="exact"/>
        <w:jc w:val="center"/>
        <w:rPr>
          <w:rFonts w:hint="eastAsia" w:ascii="宋体" w:hAnsi="宋体" w:cs="宋体"/>
          <w:b/>
          <w:bCs/>
          <w:kern w:val="0"/>
          <w:sz w:val="24"/>
        </w:rPr>
      </w:pPr>
    </w:p>
    <w:p w14:paraId="6198F3BC">
      <w:pPr>
        <w:spacing w:line="588" w:lineRule="exact"/>
        <w:jc w:val="center"/>
        <w:rPr>
          <w:rFonts w:hint="eastAsia" w:ascii="宋体" w:hAnsi="宋体" w:cs="宋体"/>
          <w:b/>
          <w:bCs/>
          <w:kern w:val="0"/>
          <w:sz w:val="24"/>
        </w:rPr>
      </w:pPr>
      <w:r>
        <w:rPr>
          <w:rFonts w:hint="eastAsia" w:ascii="宋体" w:hAnsi="宋体" w:cs="宋体"/>
          <w:b/>
          <w:bCs/>
          <w:kern w:val="0"/>
          <w:sz w:val="24"/>
        </w:rPr>
        <w:t>残疾人福利性单位声明函</w:t>
      </w:r>
      <w:bookmarkEnd w:id="27"/>
      <w:bookmarkEnd w:id="28"/>
    </w:p>
    <w:p w14:paraId="43CB4E56">
      <w:pPr>
        <w:spacing w:line="588" w:lineRule="exact"/>
        <w:ind w:firstLine="480" w:firstLineChars="200"/>
        <w:rPr>
          <w:rFonts w:hint="eastAsia" w:ascii="宋体" w:hAnsi="宋体" w:cs="宋体"/>
          <w:kern w:val="0"/>
          <w:sz w:val="24"/>
        </w:rPr>
      </w:pPr>
      <w:r>
        <w:rPr>
          <w:rFonts w:hint="eastAsia" w:ascii="宋体" w:hAnsi="宋体" w:cs="宋体"/>
          <w:kern w:val="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9890751">
      <w:pPr>
        <w:spacing w:line="588" w:lineRule="exact"/>
        <w:ind w:firstLine="480" w:firstLineChars="200"/>
        <w:rPr>
          <w:rFonts w:hint="eastAsia" w:ascii="宋体" w:hAnsi="宋体" w:cs="宋体"/>
          <w:kern w:val="0"/>
          <w:sz w:val="24"/>
        </w:rPr>
      </w:pPr>
      <w:r>
        <w:rPr>
          <w:rFonts w:hint="eastAsia" w:ascii="宋体" w:hAnsi="宋体" w:cs="宋体"/>
          <w:kern w:val="0"/>
          <w:sz w:val="24"/>
        </w:rPr>
        <w:t>本单位对上述声明的真实性负责。如有虚假，将依法承担相应责任。</w:t>
      </w:r>
    </w:p>
    <w:p w14:paraId="48EA929B">
      <w:pPr>
        <w:spacing w:line="588" w:lineRule="exact"/>
        <w:ind w:firstLine="480" w:firstLineChars="200"/>
        <w:rPr>
          <w:rFonts w:hint="eastAsia" w:ascii="宋体" w:hAnsi="宋体" w:cs="宋体"/>
          <w:kern w:val="0"/>
          <w:sz w:val="24"/>
        </w:rPr>
      </w:pPr>
    </w:p>
    <w:p w14:paraId="6A071887">
      <w:pPr>
        <w:spacing w:line="588" w:lineRule="exact"/>
        <w:ind w:firstLine="480" w:firstLineChars="200"/>
        <w:rPr>
          <w:rFonts w:hint="eastAsia" w:ascii="宋体" w:hAnsi="宋体" w:cs="宋体"/>
          <w:kern w:val="0"/>
          <w:sz w:val="24"/>
        </w:rPr>
      </w:pPr>
    </w:p>
    <w:p w14:paraId="2D44D32D">
      <w:pPr>
        <w:tabs>
          <w:tab w:val="left" w:pos="4860"/>
        </w:tabs>
        <w:spacing w:line="588" w:lineRule="exact"/>
        <w:ind w:right="1560" w:firstLine="480" w:firstLineChars="200"/>
        <w:jc w:val="center"/>
        <w:rPr>
          <w:rFonts w:hint="eastAsia" w:ascii="宋体" w:hAnsi="宋体" w:cs="宋体"/>
          <w:kern w:val="0"/>
          <w:sz w:val="24"/>
        </w:rPr>
      </w:pPr>
      <w:r>
        <w:rPr>
          <w:rFonts w:hint="eastAsia" w:ascii="宋体" w:hAnsi="宋体" w:cs="宋体"/>
          <w:kern w:val="0"/>
          <w:sz w:val="24"/>
        </w:rPr>
        <w:t xml:space="preserve"> </w:t>
      </w:r>
      <w:r>
        <w:rPr>
          <w:rFonts w:ascii="宋体" w:hAnsi="宋体" w:cs="宋体"/>
          <w:kern w:val="0"/>
          <w:sz w:val="24"/>
        </w:rPr>
        <w:t xml:space="preserve">                        </w:t>
      </w:r>
      <w:r>
        <w:rPr>
          <w:rFonts w:hint="eastAsia" w:ascii="宋体" w:hAnsi="宋体" w:cs="宋体"/>
          <w:kern w:val="0"/>
          <w:sz w:val="24"/>
        </w:rPr>
        <w:t>单位名称（盖章）：</w:t>
      </w:r>
    </w:p>
    <w:p w14:paraId="446640E9">
      <w:pPr>
        <w:tabs>
          <w:tab w:val="left" w:pos="4860"/>
        </w:tabs>
        <w:spacing w:line="588" w:lineRule="exact"/>
        <w:ind w:right="1560" w:firstLine="480" w:firstLineChars="200"/>
        <w:jc w:val="center"/>
        <w:rPr>
          <w:rFonts w:hint="eastAsia" w:ascii="宋体" w:hAnsi="宋体" w:cs="宋体"/>
          <w:kern w:val="0"/>
          <w:sz w:val="24"/>
        </w:rPr>
      </w:pPr>
      <w:r>
        <w:rPr>
          <w:rFonts w:hint="eastAsia" w:ascii="宋体" w:hAnsi="宋体" w:cs="宋体"/>
          <w:kern w:val="0"/>
          <w:sz w:val="24"/>
        </w:rPr>
        <w:t xml:space="preserve"> </w:t>
      </w:r>
      <w:r>
        <w:rPr>
          <w:rFonts w:ascii="宋体" w:hAnsi="宋体" w:cs="宋体"/>
          <w:kern w:val="0"/>
          <w:sz w:val="24"/>
        </w:rPr>
        <w:t xml:space="preserve">              </w:t>
      </w:r>
      <w:r>
        <w:rPr>
          <w:rFonts w:hint="eastAsia" w:ascii="宋体" w:hAnsi="宋体" w:cs="宋体"/>
          <w:kern w:val="0"/>
          <w:sz w:val="24"/>
        </w:rPr>
        <w:t>日  期：</w:t>
      </w:r>
    </w:p>
    <w:p w14:paraId="21D50323">
      <w:pPr>
        <w:pStyle w:val="3"/>
        <w:tabs>
          <w:tab w:val="left" w:pos="5580"/>
        </w:tabs>
        <w:rPr>
          <w:rFonts w:hint="eastAsia" w:ascii="宋体" w:hAnsi="宋体" w:cs="仿宋_GB2312"/>
          <w:bCs/>
        </w:rPr>
      </w:pPr>
      <w:r>
        <w:rPr>
          <w:rFonts w:ascii="宋体" w:hAnsi="宋体" w:cs="宋体"/>
        </w:rPr>
        <w:br w:type="page"/>
      </w:r>
      <w:r>
        <w:rPr>
          <w:rFonts w:hint="eastAsia" w:ascii="宋体" w:hAnsi="宋体" w:eastAsia="宋体" w:cs="宋体"/>
          <w:bCs/>
          <w:sz w:val="28"/>
          <w:szCs w:val="28"/>
        </w:rPr>
        <w:t>附件17：政府采购投标担保函（项目用）</w:t>
      </w:r>
    </w:p>
    <w:p w14:paraId="03E61D0D">
      <w:pPr>
        <w:rPr>
          <w:rFonts w:hint="eastAsia" w:ascii="宋体" w:hAnsi="宋体" w:cs="仿宋_GB2312"/>
        </w:rPr>
      </w:pPr>
    </w:p>
    <w:p w14:paraId="2DF52C34">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编号： </w:t>
      </w:r>
    </w:p>
    <w:p w14:paraId="31AD8E60">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 xml:space="preserve">（采购人或采购代理机构）： </w:t>
      </w:r>
    </w:p>
    <w:p w14:paraId="6A3BB74A">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鉴于</w:t>
      </w:r>
      <w:r>
        <w:rPr>
          <w:rFonts w:hint="eastAsia" w:ascii="宋体" w:hAnsi="宋体" w:cs="宋体"/>
          <w:kern w:val="0"/>
          <w:sz w:val="24"/>
          <w:u w:val="single"/>
        </w:rPr>
        <w:t xml:space="preserve">               </w:t>
      </w:r>
      <w:r>
        <w:rPr>
          <w:rFonts w:hint="eastAsia" w:ascii="宋体" w:hAnsi="宋体" w:cs="宋体"/>
          <w:kern w:val="0"/>
          <w:sz w:val="24"/>
        </w:rPr>
        <w:t>（以下简称“投标人”）拟参加编号为</w:t>
      </w:r>
      <w:r>
        <w:rPr>
          <w:rFonts w:hint="eastAsia" w:ascii="宋体" w:hAnsi="宋体" w:cs="宋体"/>
          <w:kern w:val="0"/>
          <w:sz w:val="24"/>
          <w:u w:val="single"/>
        </w:rPr>
        <w:t xml:space="preserve">            </w:t>
      </w:r>
      <w:r>
        <w:rPr>
          <w:rFonts w:hint="eastAsia" w:ascii="宋体" w:hAnsi="宋体" w:cs="宋体"/>
          <w:kern w:val="0"/>
          <w:sz w:val="24"/>
        </w:rPr>
        <w:t xml:space="preserve">的项目（以下简称“本项目”）投标，根据本项目招标文件，供应商参加投标时应向你方交纳投标保证金，且可以投标担保函的形式交纳投标保证金。应供应商的申请，我方以保证的方式向你方提供如下投标保证金担保： </w:t>
      </w:r>
    </w:p>
    <w:p w14:paraId="0FF3777D">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一、保证责任的情形及保证金额 </w:t>
      </w:r>
    </w:p>
    <w:p w14:paraId="0A3BB594">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（一）在投标人出现下列情形之一时，我方承担保证责任：</w:t>
      </w:r>
    </w:p>
    <w:p w14:paraId="2FB1A6F7">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1．中标后投标人无正当理由不与采购人或者采购代理机构签订《政府采购合同》； </w:t>
      </w:r>
    </w:p>
    <w:p w14:paraId="4D5F0E0C">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2．违反招标文件规定的应当没收投标保证金的其他情形。 </w:t>
      </w:r>
    </w:p>
    <w:p w14:paraId="52AAC4AA">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（二）我方承担保证责任的最高金额为人民币</w:t>
      </w:r>
      <w:r>
        <w:rPr>
          <w:rFonts w:hint="eastAsia" w:ascii="宋体" w:hAnsi="宋体" w:cs="宋体"/>
          <w:kern w:val="0"/>
          <w:sz w:val="24"/>
          <w:u w:val="single"/>
        </w:rPr>
        <w:t xml:space="preserve">        </w:t>
      </w:r>
      <w:r>
        <w:rPr>
          <w:rFonts w:hint="eastAsia" w:ascii="宋体" w:hAnsi="宋体" w:cs="宋体"/>
          <w:kern w:val="0"/>
          <w:sz w:val="24"/>
        </w:rPr>
        <w:t>元（大写</w:t>
      </w:r>
      <w:r>
        <w:rPr>
          <w:rFonts w:hint="eastAsia" w:ascii="宋体" w:hAnsi="宋体" w:cs="宋体"/>
          <w:kern w:val="0"/>
          <w:sz w:val="24"/>
          <w:u w:val="single"/>
        </w:rPr>
        <w:t xml:space="preserve">             </w:t>
      </w:r>
      <w:r>
        <w:rPr>
          <w:rFonts w:hint="eastAsia" w:ascii="宋体" w:hAnsi="宋体" w:cs="宋体"/>
          <w:kern w:val="0"/>
          <w:sz w:val="24"/>
        </w:rPr>
        <w:t xml:space="preserve">），即本项目的投标保证金金额。 </w:t>
      </w:r>
    </w:p>
    <w:p w14:paraId="7C479395">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rPr>
        <w:t>　　</w:t>
      </w:r>
      <w:r>
        <w:rPr>
          <w:rFonts w:hint="eastAsia" w:ascii="宋体" w:hAnsi="宋体" w:cs="宋体"/>
          <w:kern w:val="0"/>
          <w:sz w:val="24"/>
        </w:rPr>
        <w:t xml:space="preserve">二、保证的方式及保证期间 </w:t>
      </w:r>
    </w:p>
    <w:p w14:paraId="60F5B58F">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我方保证的方式为：连带责任保证。 </w:t>
      </w:r>
    </w:p>
    <w:p w14:paraId="4D4327A9">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我方的保证期间为：自本保函生效之日起</w:t>
      </w:r>
      <w:r>
        <w:rPr>
          <w:rFonts w:hint="eastAsia" w:ascii="宋体" w:hAnsi="宋体" w:cs="宋体"/>
          <w:kern w:val="0"/>
          <w:sz w:val="24"/>
          <w:u w:val="single"/>
        </w:rPr>
        <w:t xml:space="preserve">     </w:t>
      </w:r>
      <w:r>
        <w:rPr>
          <w:rFonts w:hint="eastAsia" w:ascii="宋体" w:hAnsi="宋体" w:cs="宋体"/>
          <w:kern w:val="0"/>
          <w:sz w:val="24"/>
        </w:rPr>
        <w:t xml:space="preserve">个月止。 </w:t>
      </w:r>
    </w:p>
    <w:p w14:paraId="245549C6">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rPr>
        <w:t>　　</w:t>
      </w:r>
      <w:r>
        <w:rPr>
          <w:rFonts w:hint="eastAsia" w:ascii="宋体" w:hAnsi="宋体" w:cs="宋体"/>
          <w:kern w:val="0"/>
          <w:sz w:val="24"/>
        </w:rPr>
        <w:t xml:space="preserve">三、承担保证责任的程序 </w:t>
      </w:r>
    </w:p>
    <w:p w14:paraId="76FC006D">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1．你方要求我方承担保证责任的，应在本保函保证期间内向我方发出书面索赔通知。索赔通知应写明要求索赔的金额，支付款项应到达的账号，并附有证明投标人发生我方应承担保证责任情形的事实材料。 </w:t>
      </w:r>
    </w:p>
    <w:p w14:paraId="3CA94B16">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2．我方在收到索赔通知及相关证明材料后，在</w:t>
      </w:r>
      <w:r>
        <w:rPr>
          <w:rFonts w:hint="eastAsia" w:ascii="宋体" w:hAnsi="宋体" w:cs="宋体"/>
          <w:kern w:val="0"/>
          <w:sz w:val="24"/>
          <w:u w:val="single"/>
        </w:rPr>
        <w:t xml:space="preserve">    </w:t>
      </w:r>
      <w:r>
        <w:rPr>
          <w:rFonts w:hint="eastAsia" w:ascii="宋体" w:hAnsi="宋体" w:cs="宋体"/>
          <w:kern w:val="0"/>
          <w:sz w:val="24"/>
        </w:rPr>
        <w:t xml:space="preserve">个工作日内进行审查，符合应承担保证责任情形的，我方应按照你方的要求代投标人向你方支付投标保证金。 </w:t>
      </w:r>
    </w:p>
    <w:p w14:paraId="45B25DA3">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rPr>
        <w:t>　</w:t>
      </w:r>
      <w:r>
        <w:rPr>
          <w:rFonts w:hint="eastAsia" w:ascii="宋体" w:hAnsi="宋体" w:cs="宋体"/>
          <w:kern w:val="0"/>
          <w:sz w:val="24"/>
        </w:rPr>
        <w:t xml:space="preserve">　四、保证责任的终止 </w:t>
      </w:r>
    </w:p>
    <w:p w14:paraId="66BF1D77">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1．保证期间届满你方未向我方书面主张保证责任的，自保证期间届满次日起，我方保证责任自动终止。 </w:t>
      </w:r>
    </w:p>
    <w:p w14:paraId="4CDA439C">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2．我方按照本保函向你方履行了保证责任后，自我方向你方支付款项（支付款项从我方账户划出）之日起，保证责任终止。</w:t>
      </w:r>
    </w:p>
    <w:p w14:paraId="6C60884B">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3．按照法律法规的规定或出现我方保证责任终止的其它情形的，我方在本保函项下的保证责任亦终止。 </w:t>
      </w:r>
    </w:p>
    <w:p w14:paraId="4E59902B">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五、免责条款 </w:t>
      </w:r>
    </w:p>
    <w:p w14:paraId="5CFCA340">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1．依照法律规定或你方与投标人的另行约定，全部或者部分免除投标人投标保证金义务时，我方亦免除相应的保证责任。</w:t>
      </w:r>
    </w:p>
    <w:p w14:paraId="630FC216">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2．因你方原因致使投标人发生本保函第一条第（一）款约定情形的，我方不承担保证责任。 </w:t>
      </w:r>
    </w:p>
    <w:p w14:paraId="6E95BF26">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3．因不可抗力造成投标人发生本保函第一条约定情形的，我方不承担保证责任。 </w:t>
      </w:r>
    </w:p>
    <w:p w14:paraId="01D309FF">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4．你方或其他有权机关对招标文件进行任何澄清或修改，加重我方保证责任的，我方对加重部分不承担保证责任，但该澄清或修改经我方事先书面同意的除外。 </w:t>
      </w:r>
    </w:p>
    <w:p w14:paraId="18333269">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六、争议的解决 </w:t>
      </w:r>
    </w:p>
    <w:p w14:paraId="7F21B784">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因本保函发生的纠纷，由你我双方协商解决，协商不成的，通过诉讼程序解决，诉讼管辖地法院为 </w:t>
      </w:r>
      <w:r>
        <w:rPr>
          <w:rFonts w:hint="eastAsia" w:ascii="宋体" w:hAnsi="宋体" w:cs="宋体"/>
          <w:kern w:val="0"/>
          <w:sz w:val="24"/>
          <w:u w:val="single"/>
        </w:rPr>
        <w:t xml:space="preserve">           </w:t>
      </w:r>
      <w:r>
        <w:rPr>
          <w:rFonts w:hint="eastAsia" w:ascii="宋体" w:hAnsi="宋体" w:cs="宋体"/>
          <w:kern w:val="0"/>
          <w:sz w:val="24"/>
        </w:rPr>
        <w:t xml:space="preserve">法院。 </w:t>
      </w:r>
    </w:p>
    <w:p w14:paraId="4B8A3DD6">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rPr>
        <w:t>　　</w:t>
      </w:r>
      <w:r>
        <w:rPr>
          <w:rFonts w:hint="eastAsia" w:ascii="宋体" w:hAnsi="宋体" w:cs="宋体"/>
          <w:kern w:val="0"/>
          <w:sz w:val="24"/>
        </w:rPr>
        <w:t xml:space="preserve">七、保函的生效 </w:t>
      </w:r>
    </w:p>
    <w:p w14:paraId="11731063">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本保函自我方加盖公章之日起生效。 </w:t>
      </w:r>
    </w:p>
    <w:p w14:paraId="0648710C">
      <w:pPr>
        <w:widowControl/>
        <w:spacing w:before="100" w:beforeAutospacing="1" w:after="100" w:afterAutospacing="1" w:line="400" w:lineRule="exact"/>
        <w:ind w:firstLine="480" w:firstLineChars="200"/>
        <w:jc w:val="left"/>
        <w:rPr>
          <w:rFonts w:hint="eastAsia" w:ascii="宋体" w:hAnsi="宋体" w:cs="宋体"/>
          <w:kern w:val="0"/>
          <w:sz w:val="24"/>
        </w:rPr>
      </w:pPr>
      <w:r>
        <w:rPr>
          <w:rFonts w:hint="eastAsia" w:ascii="宋体" w:hAnsi="宋体" w:cs="宋体"/>
          <w:kern w:val="0"/>
          <w:sz w:val="24"/>
        </w:rPr>
        <w:t xml:space="preserve">保证人：（公章） </w:t>
      </w:r>
    </w:p>
    <w:p w14:paraId="24258CFD">
      <w:pPr>
        <w:pStyle w:val="7"/>
        <w:spacing w:line="400" w:lineRule="exact"/>
        <w:ind w:firstLine="560"/>
        <w:rPr>
          <w:rFonts w:hint="eastAsia" w:hAnsi="宋体"/>
        </w:rPr>
      </w:pPr>
      <w:r>
        <w:rPr>
          <w:rFonts w:hint="eastAsia" w:hAnsi="宋体"/>
        </w:rPr>
        <w:t>　　                                              年     月     日</w:t>
      </w:r>
    </w:p>
    <w:p w14:paraId="4F9E7F28">
      <w:pPr>
        <w:pStyle w:val="3"/>
        <w:tabs>
          <w:tab w:val="left" w:pos="5580"/>
        </w:tabs>
        <w:rPr>
          <w:rFonts w:hint="eastAsia" w:ascii="宋体" w:hAnsi="宋体" w:cs="仿宋_GB2312"/>
        </w:rPr>
      </w:pPr>
      <w:r>
        <w:rPr>
          <w:rFonts w:hAnsi="宋体"/>
        </w:rPr>
        <w:br w:type="page"/>
      </w:r>
      <w:r>
        <w:rPr>
          <w:rFonts w:hint="eastAsia" w:ascii="宋体" w:hAnsi="宋体" w:eastAsia="宋体" w:cs="宋体"/>
          <w:bCs/>
          <w:sz w:val="28"/>
          <w:szCs w:val="28"/>
        </w:rPr>
        <w:t>附件18：政府采购履约担保函（项目用）</w:t>
      </w:r>
    </w:p>
    <w:p w14:paraId="0E80F2AF">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编号： </w:t>
      </w:r>
    </w:p>
    <w:p w14:paraId="03EACC30">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u w:val="single"/>
        </w:rPr>
        <w:t xml:space="preserve">                     </w:t>
      </w:r>
      <w:r>
        <w:rPr>
          <w:rFonts w:hint="eastAsia" w:ascii="宋体" w:hAnsi="宋体" w:cs="宋体"/>
          <w:b/>
          <w:kern w:val="0"/>
          <w:sz w:val="24"/>
        </w:rPr>
        <w:t xml:space="preserve">（采购人）： </w:t>
      </w:r>
    </w:p>
    <w:p w14:paraId="61A81225">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鉴于你方与 </w:t>
      </w:r>
      <w:r>
        <w:rPr>
          <w:rFonts w:hint="eastAsia" w:ascii="宋体" w:hAnsi="宋体" w:cs="宋体"/>
          <w:kern w:val="0"/>
          <w:sz w:val="24"/>
          <w:u w:val="single"/>
        </w:rPr>
        <w:t xml:space="preserve">             </w:t>
      </w:r>
      <w:r>
        <w:rPr>
          <w:rFonts w:hint="eastAsia" w:ascii="宋体" w:hAnsi="宋体" w:cs="宋体"/>
          <w:kern w:val="0"/>
          <w:sz w:val="24"/>
        </w:rPr>
        <w:t>（以下简称供应商）于</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日签定编号为</w:t>
      </w:r>
      <w:r>
        <w:rPr>
          <w:rFonts w:hint="eastAsia" w:ascii="宋体" w:hAnsi="宋体" w:cs="宋体"/>
          <w:kern w:val="0"/>
          <w:sz w:val="24"/>
          <w:u w:val="single"/>
        </w:rPr>
        <w:t xml:space="preserve">            </w:t>
      </w:r>
      <w:r>
        <w:rPr>
          <w:rFonts w:hint="eastAsia" w:ascii="宋体" w:hAnsi="宋体" w:cs="宋体"/>
          <w:kern w:val="0"/>
          <w:sz w:val="24"/>
        </w:rPr>
        <w:t>的《</w:t>
      </w:r>
      <w:r>
        <w:rPr>
          <w:rFonts w:hint="eastAsia" w:ascii="宋体" w:hAnsi="宋体" w:cs="宋体"/>
          <w:kern w:val="0"/>
          <w:sz w:val="24"/>
          <w:u w:val="single"/>
        </w:rPr>
        <w:t xml:space="preserve">           </w:t>
      </w:r>
      <w:r>
        <w:rPr>
          <w:rFonts w:hint="eastAsia" w:ascii="宋体" w:hAnsi="宋体" w:cs="宋体"/>
          <w:kern w:val="0"/>
          <w:sz w:val="24"/>
        </w:rPr>
        <w:t>政府采购合同》（以下简称主合同），且依据该合同的约定，供应商应在</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 xml:space="preserve">日前向你方交纳履约保证金，且可以履约担保函的形式交纳履约保证金。应供应商的申请，我方以保证的方式向你方提供如下履约保证金担保： </w:t>
      </w:r>
    </w:p>
    <w:p w14:paraId="07CD04F0">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rPr>
        <w:t xml:space="preserve">　　一、保证责任的情形及保证金额 </w:t>
      </w:r>
    </w:p>
    <w:p w14:paraId="5F432974">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（一）在供应商出现下列情形之一时，我方承担保证责任：</w:t>
      </w:r>
    </w:p>
    <w:p w14:paraId="2E9A1ECF">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1．将中标项目转让给他人，或者在投标文件中未说明，且未经采购人同意，将中标项目分包给他人的； </w:t>
      </w:r>
    </w:p>
    <w:p w14:paraId="699CB29B">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2．主合同约定的应当缴纳履约保证金的情形: </w:t>
      </w:r>
    </w:p>
    <w:p w14:paraId="3B7CC21F">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（1）未按主合同约定的质量、数量和期限供应货物/提供服务/完成工程的； </w:t>
      </w:r>
    </w:p>
    <w:p w14:paraId="3C2FE29F">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（2）</w:t>
      </w:r>
      <w:r>
        <w:rPr>
          <w:rFonts w:hint="eastAsia" w:ascii="宋体" w:hAnsi="宋体" w:cs="宋体"/>
          <w:kern w:val="0"/>
          <w:sz w:val="24"/>
          <w:u w:val="single"/>
        </w:rPr>
        <w:t xml:space="preserve">                                           </w:t>
      </w:r>
      <w:r>
        <w:rPr>
          <w:rFonts w:hint="eastAsia" w:ascii="宋体" w:hAnsi="宋体" w:cs="宋体"/>
          <w:kern w:val="0"/>
          <w:sz w:val="24"/>
        </w:rPr>
        <w:t xml:space="preserve">。 </w:t>
      </w:r>
    </w:p>
    <w:p w14:paraId="1415D2EB">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（二）我方的保证范围是主合同约定的合同价款总额的</w:t>
      </w:r>
      <w:r>
        <w:rPr>
          <w:rFonts w:hint="eastAsia" w:ascii="宋体" w:hAnsi="宋体" w:cs="宋体"/>
          <w:kern w:val="0"/>
          <w:sz w:val="24"/>
          <w:u w:val="single"/>
        </w:rPr>
        <w:t xml:space="preserve">   </w:t>
      </w:r>
      <w:r>
        <w:rPr>
          <w:rFonts w:hint="eastAsia" w:ascii="宋体" w:hAnsi="宋体" w:cs="宋体"/>
          <w:kern w:val="0"/>
          <w:sz w:val="24"/>
        </w:rPr>
        <w:t>%，数额为</w:t>
      </w:r>
      <w:r>
        <w:rPr>
          <w:rFonts w:hint="eastAsia" w:ascii="宋体" w:hAnsi="宋体" w:cs="宋体"/>
          <w:kern w:val="0"/>
          <w:sz w:val="24"/>
          <w:u w:val="single"/>
        </w:rPr>
        <w:t xml:space="preserve">      </w:t>
      </w:r>
      <w:r>
        <w:rPr>
          <w:rFonts w:hint="eastAsia" w:ascii="宋体" w:hAnsi="宋体" w:cs="宋体"/>
          <w:kern w:val="0"/>
          <w:sz w:val="24"/>
        </w:rPr>
        <w:t>元（大写</w:t>
      </w:r>
      <w:r>
        <w:rPr>
          <w:rFonts w:hint="eastAsia" w:ascii="宋体" w:hAnsi="宋体" w:cs="宋体"/>
          <w:kern w:val="0"/>
          <w:sz w:val="24"/>
          <w:u w:val="single"/>
        </w:rPr>
        <w:t xml:space="preserve">           </w:t>
      </w:r>
      <w:r>
        <w:rPr>
          <w:rFonts w:hint="eastAsia" w:ascii="宋体" w:hAnsi="宋体" w:cs="宋体"/>
          <w:kern w:val="0"/>
          <w:sz w:val="24"/>
        </w:rPr>
        <w:t xml:space="preserve"> ），币种为</w:t>
      </w:r>
      <w:r>
        <w:rPr>
          <w:rFonts w:hint="eastAsia" w:ascii="宋体" w:hAnsi="宋体" w:cs="宋体"/>
          <w:kern w:val="0"/>
          <w:sz w:val="24"/>
          <w:u w:val="single"/>
        </w:rPr>
        <w:t xml:space="preserve">     </w:t>
      </w:r>
      <w:r>
        <w:rPr>
          <w:rFonts w:hint="eastAsia" w:ascii="宋体" w:hAnsi="宋体" w:cs="宋体"/>
          <w:kern w:val="0"/>
          <w:sz w:val="24"/>
        </w:rPr>
        <w:t xml:space="preserve"> 。（即主合同履约保证金金额） </w:t>
      </w:r>
    </w:p>
    <w:p w14:paraId="24493D17">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二、保证的方式及保证期间 </w:t>
      </w:r>
    </w:p>
    <w:p w14:paraId="28B96C48">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我方保证的方式为：连带责任保证。 </w:t>
      </w:r>
    </w:p>
    <w:p w14:paraId="6C7BC039">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我方保证的期间为：自本合同生效之日起至供应商按照主合同约定的供货/完工期限届满后</w:t>
      </w:r>
      <w:r>
        <w:rPr>
          <w:rFonts w:hint="eastAsia" w:ascii="宋体" w:hAnsi="宋体" w:cs="宋体"/>
          <w:kern w:val="0"/>
          <w:sz w:val="24"/>
          <w:u w:val="single"/>
        </w:rPr>
        <w:t xml:space="preserve">     </w:t>
      </w:r>
      <w:r>
        <w:rPr>
          <w:rFonts w:hint="eastAsia" w:ascii="宋体" w:hAnsi="宋体" w:cs="宋体"/>
          <w:kern w:val="0"/>
          <w:sz w:val="24"/>
        </w:rPr>
        <w:t xml:space="preserve">日内。 </w:t>
      </w:r>
    </w:p>
    <w:p w14:paraId="628A4224">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如果供应商未按主合同约定向贵方供应货物/提供服务/完成工程的，由我方在保证金额内向你方支付上述款项。 </w:t>
      </w:r>
    </w:p>
    <w:p w14:paraId="6D184D98">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三、承担保证责任的程序 </w:t>
      </w:r>
    </w:p>
    <w:p w14:paraId="5865BD59">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1．你方要求我方承担保证责任的，应在本保函保证期间内向我方发出书面索赔通知。索赔通知应写明要求索赔的金额，支付款项应到达的帐号。并附有证明供应商违约事实的证明材料。</w:t>
      </w:r>
    </w:p>
    <w:p w14:paraId="521DE65C">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如果你方与供应商因货物质量问题产生争议，你方还需同时提供</w:t>
      </w:r>
      <w:r>
        <w:rPr>
          <w:rFonts w:hint="eastAsia" w:ascii="宋体" w:hAnsi="宋体" w:cs="宋体"/>
          <w:kern w:val="0"/>
          <w:sz w:val="24"/>
          <w:u w:val="single"/>
        </w:rPr>
        <w:t xml:space="preserve">        </w:t>
      </w:r>
      <w:r>
        <w:rPr>
          <w:rFonts w:hint="eastAsia" w:ascii="宋体" w:hAnsi="宋体" w:cs="宋体"/>
          <w:kern w:val="0"/>
          <w:sz w:val="24"/>
        </w:rPr>
        <w:t xml:space="preserve">部门出具的质量检测报告，或经诉讼（仲裁）程序裁决后的裁决书、调解书，本保证人即按照检测结果或裁决书、调解书决定是否承担保证责任。 </w:t>
      </w:r>
    </w:p>
    <w:p w14:paraId="601B27E5">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2．我方收到你方的书面索赔通知及相应证明材料，在</w:t>
      </w:r>
      <w:r>
        <w:rPr>
          <w:rFonts w:hint="eastAsia" w:ascii="宋体" w:hAnsi="宋体" w:cs="宋体"/>
          <w:kern w:val="0"/>
          <w:sz w:val="24"/>
          <w:u w:val="single"/>
        </w:rPr>
        <w:t xml:space="preserve">    </w:t>
      </w:r>
      <w:r>
        <w:rPr>
          <w:rFonts w:hint="eastAsia" w:ascii="宋体" w:hAnsi="宋体" w:cs="宋体"/>
          <w:kern w:val="0"/>
          <w:sz w:val="24"/>
        </w:rPr>
        <w:t xml:space="preserve">工作日内进行核定后按照本保函的承诺承担保证责任。 </w:t>
      </w:r>
    </w:p>
    <w:p w14:paraId="0CD6592E">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　四、保证责任的终止 </w:t>
      </w:r>
    </w:p>
    <w:p w14:paraId="1627FD26">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1．保证期间届满你方未向我方书面主张保证责任的，自保证期间届满次日起，我方保证责任自动终止。保证期间届满前，主合同约定的货物\工程\服务全部验收合格的，自验收合格日起，我方保证责任自动终止。 </w:t>
      </w:r>
    </w:p>
    <w:p w14:paraId="17276091">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2．我方按照本保函向你方履行了保证责任后，自我方向你方支付款项（支付款项从我方账户划出）之日起，保证责任即终止。 </w:t>
      </w:r>
    </w:p>
    <w:p w14:paraId="5CB05245">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3．按照法律法规的规定或出现应终止我方保证责任的其它情形的，我方在本保函项下的保证责任亦终止。 </w:t>
      </w:r>
    </w:p>
    <w:p w14:paraId="735118B9">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 </w:t>
      </w:r>
    </w:p>
    <w:p w14:paraId="092E747C">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　五、免责条款 </w:t>
      </w:r>
    </w:p>
    <w:p w14:paraId="56377583">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1．因你方违反主合同约定致使供应商不能履行义务的，我方不承担保证责任。 </w:t>
      </w:r>
    </w:p>
    <w:p w14:paraId="28A412D6">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2．依照法律法规的规定或你方与供应商的另行约定，全部或者部分免除供应商应缴纳的保证金义务的，我方亦免除相应的保证责任。 </w:t>
      </w:r>
    </w:p>
    <w:p w14:paraId="397352F7">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3． 因不可抗力造成供应商不能履行供货义务的，我方不承担保证责任。 </w:t>
      </w:r>
    </w:p>
    <w:p w14:paraId="1842A28D">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六、争议的解决 </w:t>
      </w:r>
    </w:p>
    <w:p w14:paraId="4F62C660">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因本保函发生的纠纷，由你我双方协商解决，协商不成的，通过诉讼程序解决，诉讼管辖地法院为</w:t>
      </w:r>
      <w:r>
        <w:rPr>
          <w:rFonts w:hint="eastAsia" w:ascii="宋体" w:hAnsi="宋体" w:cs="宋体"/>
          <w:kern w:val="0"/>
          <w:sz w:val="24"/>
          <w:u w:val="single"/>
        </w:rPr>
        <w:t xml:space="preserve">           </w:t>
      </w:r>
      <w:r>
        <w:rPr>
          <w:rFonts w:hint="eastAsia" w:ascii="宋体" w:hAnsi="宋体" w:cs="宋体"/>
          <w:kern w:val="0"/>
          <w:sz w:val="24"/>
        </w:rPr>
        <w:t xml:space="preserve">法院。 </w:t>
      </w:r>
    </w:p>
    <w:p w14:paraId="1B6131D6">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　七、保函的生效 </w:t>
      </w:r>
    </w:p>
    <w:p w14:paraId="7AC193DD">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本保函自我方加盖公章之日起生效。 </w:t>
      </w:r>
    </w:p>
    <w:p w14:paraId="6F527D2B">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w:t>
      </w:r>
    </w:p>
    <w:p w14:paraId="4A98CC70">
      <w:pPr>
        <w:widowControl/>
        <w:wordWrap w:val="0"/>
        <w:spacing w:before="100" w:beforeAutospacing="1" w:after="100" w:afterAutospacing="1" w:line="400" w:lineRule="exact"/>
        <w:ind w:firstLine="720" w:firstLineChars="300"/>
        <w:jc w:val="left"/>
        <w:rPr>
          <w:rFonts w:hint="eastAsia" w:ascii="宋体" w:hAnsi="宋体" w:cs="宋体"/>
          <w:kern w:val="0"/>
          <w:sz w:val="24"/>
        </w:rPr>
      </w:pPr>
      <w:r>
        <w:rPr>
          <w:rFonts w:hint="eastAsia" w:ascii="宋体" w:hAnsi="宋体" w:cs="宋体"/>
          <w:kern w:val="0"/>
          <w:sz w:val="24"/>
        </w:rPr>
        <w:t xml:space="preserve"> 保证人：（公章） </w:t>
      </w:r>
    </w:p>
    <w:p w14:paraId="62E7BB3A">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年   月    日 </w:t>
      </w:r>
    </w:p>
    <w:p w14:paraId="6F069867">
      <w:pPr>
        <w:pStyle w:val="3"/>
        <w:tabs>
          <w:tab w:val="left" w:pos="5580"/>
        </w:tabs>
        <w:rPr>
          <w:rFonts w:hint="eastAsia" w:ascii="宋体" w:hAnsi="宋体" w:cs="仿宋_GB2312"/>
          <w:bCs/>
        </w:rPr>
      </w:pPr>
      <w:r>
        <w:rPr>
          <w:rFonts w:hAnsi="宋体"/>
        </w:rPr>
        <w:br w:type="page"/>
      </w:r>
      <w:r>
        <w:rPr>
          <w:rFonts w:hint="eastAsia" w:ascii="宋体" w:hAnsi="宋体" w:eastAsia="宋体" w:cs="宋体"/>
          <w:bCs/>
          <w:sz w:val="28"/>
          <w:szCs w:val="28"/>
        </w:rPr>
        <w:t>附件19：预付款银行保函</w:t>
      </w:r>
    </w:p>
    <w:p w14:paraId="6B119CAE">
      <w:pPr>
        <w:widowControl/>
        <w:wordWrap w:val="0"/>
        <w:spacing w:before="100" w:beforeAutospacing="1" w:after="100" w:afterAutospacing="1" w:line="400" w:lineRule="exact"/>
        <w:ind w:firstLine="720" w:firstLineChars="300"/>
        <w:jc w:val="left"/>
        <w:rPr>
          <w:rFonts w:hint="eastAsia" w:ascii="宋体" w:hAnsi="宋体" w:cs="宋体"/>
          <w:kern w:val="0"/>
          <w:sz w:val="24"/>
          <w:u w:val="single"/>
        </w:rPr>
      </w:pPr>
      <w:r>
        <w:rPr>
          <w:rFonts w:hint="eastAsia" w:ascii="宋体" w:hAnsi="宋体" w:cs="宋体"/>
          <w:kern w:val="0"/>
          <w:sz w:val="24"/>
        </w:rPr>
        <w:t xml:space="preserve">                                        开具日期：</w:t>
      </w:r>
      <w:r>
        <w:rPr>
          <w:rFonts w:hint="eastAsia" w:ascii="宋体" w:hAnsi="宋体" w:cs="宋体"/>
          <w:kern w:val="0"/>
          <w:sz w:val="24"/>
          <w:u w:val="single"/>
        </w:rPr>
        <w:t xml:space="preserve">            </w:t>
      </w:r>
    </w:p>
    <w:p w14:paraId="1DB4A364">
      <w:pPr>
        <w:widowControl/>
        <w:wordWrap w:val="0"/>
        <w:spacing w:before="100" w:beforeAutospacing="1" w:after="100" w:afterAutospacing="1" w:line="400" w:lineRule="exact"/>
        <w:jc w:val="left"/>
        <w:rPr>
          <w:rFonts w:hint="eastAsia" w:ascii="宋体" w:hAnsi="宋体" w:cs="宋体"/>
          <w:b/>
          <w:kern w:val="0"/>
          <w:sz w:val="24"/>
        </w:rPr>
      </w:pPr>
      <w:r>
        <w:rPr>
          <w:rFonts w:hint="eastAsia" w:ascii="宋体" w:hAnsi="宋体" w:cs="宋体"/>
          <w:b/>
          <w:kern w:val="0"/>
          <w:sz w:val="24"/>
        </w:rPr>
        <w:t>致：</w:t>
      </w:r>
      <w:r>
        <w:rPr>
          <w:rFonts w:hint="eastAsia" w:ascii="宋体" w:hAnsi="宋体" w:cs="宋体"/>
          <w:b/>
          <w:kern w:val="0"/>
          <w:sz w:val="24"/>
          <w:u w:val="single"/>
        </w:rPr>
        <w:t xml:space="preserve">                     </w:t>
      </w:r>
      <w:r>
        <w:rPr>
          <w:rFonts w:hint="eastAsia" w:ascii="宋体" w:hAnsi="宋体" w:cs="宋体"/>
          <w:b/>
          <w:kern w:val="0"/>
          <w:sz w:val="24"/>
        </w:rPr>
        <w:t xml:space="preserve">（买方名称） </w:t>
      </w:r>
    </w:p>
    <w:p w14:paraId="35ED07A0">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rPr>
        <w:t xml:space="preserve">    </w:t>
      </w:r>
      <w:r>
        <w:rPr>
          <w:rFonts w:hint="eastAsia" w:ascii="宋体" w:hAnsi="宋体" w:cs="宋体"/>
          <w:b/>
          <w:kern w:val="0"/>
          <w:sz w:val="24"/>
          <w:u w:val="single"/>
        </w:rPr>
        <w:t xml:space="preserve">                     </w:t>
      </w:r>
      <w:r>
        <w:rPr>
          <w:rFonts w:hint="eastAsia" w:ascii="宋体" w:hAnsi="宋体" w:cs="宋体"/>
          <w:b/>
          <w:kern w:val="0"/>
          <w:sz w:val="24"/>
        </w:rPr>
        <w:t>（合同名称）</w:t>
      </w:r>
    </w:p>
    <w:p w14:paraId="614A45DD">
      <w:pPr>
        <w:pStyle w:val="7"/>
        <w:spacing w:line="600" w:lineRule="exact"/>
        <w:ind w:firstLine="480" w:firstLineChars="200"/>
        <w:rPr>
          <w:rFonts w:hint="eastAsia" w:hAnsi="宋体"/>
        </w:rPr>
      </w:pPr>
      <w:r>
        <w:rPr>
          <w:rFonts w:hint="eastAsia" w:hAnsi="宋体"/>
        </w:rPr>
        <w:t>根据合同条款第20条中的规定，(</w:t>
      </w:r>
      <w:r>
        <w:rPr>
          <w:rFonts w:hint="eastAsia" w:hAnsi="宋体"/>
          <w:u w:val="single"/>
        </w:rPr>
        <w:t xml:space="preserve"> </w:t>
      </w:r>
      <w:r>
        <w:rPr>
          <w:rFonts w:hint="eastAsia" w:hAnsi="宋体"/>
          <w:i/>
          <w:u w:val="single"/>
        </w:rPr>
        <w:t>卖方名称、地址</w:t>
      </w:r>
      <w:r>
        <w:rPr>
          <w:rFonts w:hint="eastAsia" w:hAnsi="宋体"/>
          <w:u w:val="single"/>
        </w:rPr>
        <w:t xml:space="preserve">) </w:t>
      </w:r>
      <w:r>
        <w:rPr>
          <w:rFonts w:hint="eastAsia" w:hAnsi="宋体"/>
        </w:rPr>
        <w:t>（以下简称“卖方”）须向买方提交总额为（</w:t>
      </w:r>
      <w:r>
        <w:rPr>
          <w:rFonts w:hint="eastAsia" w:hAnsi="宋体"/>
          <w:i/>
          <w:u w:val="single"/>
        </w:rPr>
        <w:t xml:space="preserve"> 币种、以文字和数字表示的保函金额</w:t>
      </w:r>
      <w:r>
        <w:rPr>
          <w:rFonts w:hint="eastAsia" w:hAnsi="宋体"/>
          <w:u w:val="single"/>
        </w:rPr>
        <w:t>）</w:t>
      </w:r>
      <w:r>
        <w:rPr>
          <w:rFonts w:hint="eastAsia" w:hAnsi="宋体"/>
        </w:rPr>
        <w:t>的银行保函，以保证卖方将正确和忠实地履行所述的合同条款。</w:t>
      </w:r>
    </w:p>
    <w:p w14:paraId="796706B9">
      <w:pPr>
        <w:pStyle w:val="7"/>
        <w:spacing w:line="600" w:lineRule="exact"/>
        <w:ind w:firstLine="480" w:firstLineChars="200"/>
        <w:rPr>
          <w:rFonts w:hint="eastAsia" w:hAnsi="宋体"/>
        </w:rPr>
      </w:pPr>
      <w:r>
        <w:rPr>
          <w:rFonts w:hint="eastAsia" w:hAnsi="宋体"/>
        </w:rPr>
        <w:t>我行，</w:t>
      </w:r>
      <w:r>
        <w:rPr>
          <w:rFonts w:hint="eastAsia" w:hAnsi="宋体"/>
          <w:u w:val="single"/>
        </w:rPr>
        <w:t>（</w:t>
      </w:r>
      <w:r>
        <w:rPr>
          <w:rFonts w:hint="eastAsia" w:hAnsi="宋体"/>
          <w:i/>
          <w:u w:val="single"/>
        </w:rPr>
        <w:t>银行名称</w:t>
      </w:r>
      <w:r>
        <w:rPr>
          <w:rFonts w:hint="eastAsia" w:hAnsi="宋体"/>
          <w:u w:val="single"/>
        </w:rPr>
        <w:t>），</w:t>
      </w:r>
      <w:r>
        <w:rPr>
          <w:rFonts w:hint="eastAsia" w:hAnsi="宋体"/>
        </w:rPr>
        <w:t>根据卖方的要求，无条件地和不可撤销地同意作为第一责任人而不仅仅作为保证人，保证在收到买方的第一次要求就支付给买方不超过</w:t>
      </w:r>
      <w:r>
        <w:rPr>
          <w:rFonts w:hint="eastAsia" w:hAnsi="宋体"/>
          <w:u w:val="single"/>
        </w:rPr>
        <w:t xml:space="preserve"> （</w:t>
      </w:r>
      <w:r>
        <w:rPr>
          <w:rFonts w:hint="eastAsia" w:hAnsi="宋体"/>
          <w:i/>
          <w:u w:val="single"/>
        </w:rPr>
        <w:t>币种、以文字和数字表示的保函金额</w:t>
      </w:r>
      <w:r>
        <w:rPr>
          <w:rFonts w:hint="eastAsia" w:hAnsi="宋体"/>
          <w:u w:val="single"/>
        </w:rPr>
        <w:t>）</w:t>
      </w:r>
      <w:r>
        <w:rPr>
          <w:rFonts w:hint="eastAsia" w:hAnsi="宋体"/>
        </w:rPr>
        <w:t>的金额，我行无权反对和不需要先向卖方索赔。</w:t>
      </w:r>
    </w:p>
    <w:p w14:paraId="0079E671">
      <w:pPr>
        <w:pStyle w:val="7"/>
        <w:spacing w:line="600" w:lineRule="exact"/>
        <w:ind w:firstLine="480" w:firstLineChars="200"/>
        <w:rPr>
          <w:rFonts w:hint="eastAsia" w:hAnsi="宋体"/>
        </w:rPr>
      </w:pPr>
      <w:r>
        <w:rPr>
          <w:rFonts w:hint="eastAsia" w:hAnsi="宋体"/>
        </w:rPr>
        <w:t>我行进而同意，双方同意的对将要履行的合同条款或合同文件的更改、增补或修改均不能免除我行在本保函下的任何责任。我行在此表示上述更改、增补或修改无需通知我行。</w:t>
      </w:r>
    </w:p>
    <w:p w14:paraId="5F8A1AA5">
      <w:pPr>
        <w:pStyle w:val="7"/>
        <w:spacing w:line="600" w:lineRule="exact"/>
        <w:ind w:firstLine="480" w:firstLineChars="200"/>
        <w:rPr>
          <w:rFonts w:hint="eastAsia" w:hAnsi="宋体"/>
        </w:rPr>
      </w:pPr>
      <w:r>
        <w:rPr>
          <w:rFonts w:hint="eastAsia" w:hAnsi="宋体"/>
        </w:rPr>
        <w:t>本保函从卖方收到合同预付款起直至最后一批货物交货后30日内有效。</w:t>
      </w:r>
    </w:p>
    <w:p w14:paraId="502D227A">
      <w:pPr>
        <w:pStyle w:val="7"/>
        <w:spacing w:line="600" w:lineRule="exact"/>
        <w:ind w:firstLine="480" w:firstLineChars="200"/>
        <w:rPr>
          <w:rFonts w:hint="eastAsia" w:hAnsi="宋体"/>
        </w:rPr>
      </w:pPr>
    </w:p>
    <w:p w14:paraId="6E909542">
      <w:pPr>
        <w:pStyle w:val="7"/>
        <w:spacing w:line="600" w:lineRule="exact"/>
        <w:ind w:firstLine="480" w:firstLineChars="200"/>
        <w:rPr>
          <w:rFonts w:hint="eastAsia" w:hAnsi="宋体"/>
          <w:u w:val="single"/>
        </w:rPr>
      </w:pPr>
      <w:r>
        <w:rPr>
          <w:rFonts w:hint="eastAsia" w:hAnsi="宋体"/>
        </w:rPr>
        <w:t>出具保函银行名称：</w:t>
      </w:r>
      <w:r>
        <w:rPr>
          <w:rFonts w:hint="eastAsia" w:hAnsi="宋体"/>
          <w:u w:val="single"/>
        </w:rPr>
        <w:t xml:space="preserve">                                             </w:t>
      </w:r>
    </w:p>
    <w:p w14:paraId="3BBAF73E">
      <w:pPr>
        <w:pStyle w:val="7"/>
        <w:spacing w:line="600" w:lineRule="exact"/>
        <w:ind w:firstLine="480" w:firstLineChars="200"/>
        <w:rPr>
          <w:rFonts w:hint="eastAsia" w:hAnsi="宋体"/>
          <w:u w:val="single"/>
        </w:rPr>
      </w:pPr>
      <w:r>
        <w:rPr>
          <w:rFonts w:hint="eastAsia" w:hAnsi="宋体"/>
        </w:rPr>
        <w:t>签字人姓名和职务：</w:t>
      </w:r>
      <w:r>
        <w:rPr>
          <w:rFonts w:hint="eastAsia" w:hAnsi="宋体"/>
          <w:u w:val="single"/>
        </w:rPr>
        <w:t xml:space="preserve">                                             </w:t>
      </w:r>
    </w:p>
    <w:p w14:paraId="0EABDF84">
      <w:pPr>
        <w:pStyle w:val="7"/>
        <w:spacing w:line="600" w:lineRule="exact"/>
        <w:ind w:firstLine="480" w:firstLineChars="200"/>
        <w:rPr>
          <w:rFonts w:hint="eastAsia" w:hAnsi="宋体"/>
          <w:u w:val="single"/>
        </w:rPr>
      </w:pPr>
      <w:r>
        <w:rPr>
          <w:rFonts w:hint="eastAsia" w:hAnsi="宋体"/>
        </w:rPr>
        <w:t>签  字 人 签  名：</w:t>
      </w:r>
      <w:r>
        <w:rPr>
          <w:rFonts w:hint="eastAsia" w:hAnsi="宋体"/>
          <w:u w:val="single"/>
        </w:rPr>
        <w:t xml:space="preserve">                                             </w:t>
      </w:r>
    </w:p>
    <w:p w14:paraId="72AA8432">
      <w:pPr>
        <w:pStyle w:val="7"/>
        <w:spacing w:line="600" w:lineRule="exact"/>
        <w:ind w:firstLine="480" w:firstLineChars="200"/>
        <w:rPr>
          <w:rFonts w:hint="eastAsia" w:hAnsi="宋体"/>
          <w:u w:val="single"/>
        </w:rPr>
      </w:pPr>
      <w:r>
        <w:rPr>
          <w:rFonts w:hint="eastAsia" w:hAnsi="宋体"/>
        </w:rPr>
        <w:t>公            章：</w:t>
      </w:r>
      <w:r>
        <w:rPr>
          <w:rFonts w:hint="eastAsia" w:hAnsi="宋体"/>
          <w:u w:val="single"/>
        </w:rPr>
        <w:t xml:space="preserve">                                             </w:t>
      </w:r>
    </w:p>
    <w:p w14:paraId="129E69AE">
      <w:pPr>
        <w:pStyle w:val="3"/>
        <w:tabs>
          <w:tab w:val="left" w:pos="5580"/>
        </w:tabs>
        <w:rPr>
          <w:rFonts w:hint="eastAsia" w:ascii="宋体" w:hAnsi="宋体" w:cs="仿宋_GB2312"/>
          <w:bCs/>
        </w:rPr>
      </w:pPr>
      <w:r>
        <w:rPr>
          <w:rFonts w:hAnsi="宋体"/>
          <w:u w:val="single"/>
        </w:rPr>
        <w:br w:type="page"/>
      </w:r>
      <w:bookmarkStart w:id="29" w:name="_Toc6496621"/>
      <w:r>
        <w:rPr>
          <w:rFonts w:hint="eastAsia" w:ascii="宋体" w:hAnsi="宋体" w:eastAsia="宋体" w:cs="宋体"/>
          <w:bCs/>
          <w:sz w:val="28"/>
          <w:szCs w:val="28"/>
        </w:rPr>
        <w:t>附件20：节能产品、环境标志产品的证明材料</w:t>
      </w:r>
      <w:bookmarkEnd w:id="29"/>
    </w:p>
    <w:p w14:paraId="6248E0E5">
      <w:pPr>
        <w:pStyle w:val="7"/>
        <w:ind w:firstLine="560"/>
      </w:pPr>
    </w:p>
    <w:p w14:paraId="20E8A33C">
      <w:pPr>
        <w:spacing w:line="588" w:lineRule="exact"/>
        <w:ind w:firstLine="480" w:firstLineChars="200"/>
        <w:rPr>
          <w:rFonts w:hint="eastAsia" w:ascii="宋体" w:hAnsi="宋体" w:cs="宋体"/>
          <w:kern w:val="0"/>
          <w:sz w:val="24"/>
        </w:rPr>
      </w:pPr>
      <w:r>
        <w:rPr>
          <w:rFonts w:hint="eastAsia" w:ascii="宋体" w:hAnsi="宋体" w:cs="宋体"/>
          <w:kern w:val="0"/>
          <w:sz w:val="24"/>
        </w:rPr>
        <w: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17CAF9CF">
      <w:pPr>
        <w:spacing w:line="588" w:lineRule="exact"/>
        <w:ind w:firstLine="480" w:firstLineChars="200"/>
        <w:rPr>
          <w:rFonts w:hint="eastAsia" w:ascii="宋体" w:hAnsi="宋体" w:cs="宋体"/>
          <w:kern w:val="0"/>
          <w:sz w:val="24"/>
        </w:rPr>
      </w:pPr>
      <w:r>
        <w:rPr>
          <w:rFonts w:hint="eastAsia" w:ascii="宋体" w:hAnsi="宋体" w:cs="宋体"/>
          <w:kern w:val="0"/>
          <w:sz w:val="24"/>
        </w:rPr>
        <w:t>一、如采购的产品属于强制采购的，投标人必须为投标产品出具由国家确定的认证机构出具的、处于有效期之内的认证证书，否则其投标将被视为无效投标。</w:t>
      </w:r>
    </w:p>
    <w:p w14:paraId="60DE38D6">
      <w:pPr>
        <w:spacing w:line="588" w:lineRule="exact"/>
        <w:ind w:firstLine="480" w:firstLineChars="200"/>
        <w:rPr>
          <w:rFonts w:hint="eastAsia" w:ascii="宋体" w:hAnsi="宋体" w:cs="宋体"/>
          <w:kern w:val="0"/>
          <w:sz w:val="24"/>
        </w:rPr>
      </w:pPr>
      <w:r>
        <w:rPr>
          <w:rFonts w:hint="eastAsia" w:ascii="宋体" w:hAnsi="宋体" w:cs="宋体"/>
          <w:kern w:val="0"/>
          <w:sz w:val="24"/>
        </w:rPr>
        <w:t>二、如采购的产品属于优先采购的，投标人可以为投标产品出具由国家确定的认证机构出具的、处于有效期之内的认证证书，在评审时作加分因素。</w:t>
      </w:r>
    </w:p>
    <w:p w14:paraId="48376440">
      <w:pPr>
        <w:spacing w:line="588" w:lineRule="exact"/>
        <w:ind w:firstLine="480" w:firstLineChars="200"/>
        <w:rPr>
          <w:rFonts w:hint="eastAsia" w:ascii="宋体" w:hAnsi="宋体" w:cs="宋体"/>
          <w:kern w:val="0"/>
          <w:sz w:val="24"/>
        </w:rPr>
      </w:pPr>
      <w:r>
        <w:rPr>
          <w:rFonts w:hint="eastAsia" w:ascii="宋体" w:hAnsi="宋体" w:cs="宋体"/>
          <w:kern w:val="0"/>
          <w:sz w:val="24"/>
        </w:rPr>
        <w:t>三、节能产品政府采购品目清单及环境标志产品政府采购品目清单，投标人可在“中国政府采购网”相关栏目中查询。</w:t>
      </w:r>
    </w:p>
    <w:p w14:paraId="100DC46B">
      <w:pPr>
        <w:autoSpaceDE w:val="0"/>
        <w:autoSpaceDN w:val="0"/>
        <w:adjustRightInd w:val="0"/>
        <w:spacing w:line="360" w:lineRule="auto"/>
        <w:jc w:val="left"/>
        <w:rPr>
          <w:rFonts w:hint="eastAsia" w:ascii="宋体" w:hAnsi="宋体"/>
          <w:kern w:val="0"/>
          <w:sz w:val="24"/>
        </w:rPr>
        <w:sectPr>
          <w:pgSz w:w="11906" w:h="16838"/>
          <w:pgMar w:top="1418" w:right="1418" w:bottom="1418" w:left="1418" w:header="851" w:footer="992" w:gutter="0"/>
          <w:pgNumType w:fmt="decimal"/>
          <w:cols w:space="720" w:num="1"/>
          <w:titlePg/>
          <w:docGrid w:type="lines" w:linePitch="312" w:charSpace="0"/>
        </w:sectPr>
      </w:pPr>
    </w:p>
    <w:p w14:paraId="7F2D9887">
      <w:pPr>
        <w:pStyle w:val="3"/>
        <w:tabs>
          <w:tab w:val="left" w:pos="5580"/>
        </w:tabs>
        <w:rPr>
          <w:rFonts w:hint="eastAsia" w:ascii="宋体" w:hAnsi="宋体" w:eastAsia="宋体" w:cs="宋体"/>
          <w:bCs/>
          <w:sz w:val="28"/>
          <w:szCs w:val="28"/>
        </w:rPr>
      </w:pPr>
      <w:r>
        <w:rPr>
          <w:rFonts w:hint="eastAsia" w:ascii="宋体" w:hAnsi="宋体" w:eastAsia="宋体" w:cs="宋体"/>
          <w:bCs/>
          <w:sz w:val="28"/>
          <w:szCs w:val="28"/>
        </w:rPr>
        <w:t>附件21：关于符合本国产品标准的声明函等有关证明文件（如适用）</w:t>
      </w:r>
    </w:p>
    <w:p w14:paraId="74B3B92A">
      <w:pPr>
        <w:pStyle w:val="111"/>
        <w:spacing w:line="360" w:lineRule="auto"/>
        <w:ind w:firstLine="480"/>
        <w:rPr>
          <w:rFonts w:ascii="宋体" w:hAnsi="宋体" w:cs="宋体"/>
          <w:sz w:val="24"/>
          <w:szCs w:val="24"/>
        </w:rPr>
      </w:pPr>
      <w:r>
        <w:rPr>
          <w:rFonts w:ascii="宋体" w:hAnsi="宋体" w:cs="宋体"/>
          <w:b/>
          <w:sz w:val="24"/>
          <w:szCs w:val="24"/>
        </w:rPr>
        <w:t>注：</w:t>
      </w:r>
    </w:p>
    <w:p w14:paraId="05034945">
      <w:pPr>
        <w:pStyle w:val="111"/>
        <w:spacing w:before="120" w:after="120" w:line="360" w:lineRule="auto"/>
        <w:ind w:firstLine="960"/>
        <w:rPr>
          <w:rFonts w:ascii="宋体" w:hAnsi="宋体" w:cs="宋体"/>
          <w:sz w:val="24"/>
          <w:szCs w:val="24"/>
        </w:rPr>
      </w:pPr>
      <w:r>
        <w:rPr>
          <w:rFonts w:ascii="宋体" w:hAnsi="宋体" w:cs="宋体"/>
          <w:sz w:val="24"/>
          <w:szCs w:val="24"/>
        </w:rPr>
        <w:t>1. 供应商提供本国产品应符合《国务院办公厅关于在政府采购中实施本国产品标准及相关政策的通知》（国办发〔2025〕34号），在投标文件中出具《关于符合本国产品标准的声明函》或财政部会同有关部门规定的有关证明文件；当采购项目或者采购包中含有多种产品的，供应商还应当提供《关于本国产品比例的声明函》。</w:t>
      </w:r>
    </w:p>
    <w:p w14:paraId="74F6B9D3">
      <w:pPr>
        <w:pStyle w:val="111"/>
        <w:spacing w:before="120" w:after="120" w:line="360" w:lineRule="auto"/>
        <w:ind w:firstLine="960"/>
        <w:rPr>
          <w:rFonts w:ascii="宋体" w:hAnsi="宋体" w:cs="宋体"/>
          <w:sz w:val="24"/>
          <w:szCs w:val="24"/>
        </w:rPr>
      </w:pPr>
      <w:r>
        <w:rPr>
          <w:rFonts w:ascii="宋体" w:hAnsi="宋体" w:cs="宋体"/>
          <w:sz w:val="24"/>
          <w:szCs w:val="24"/>
        </w:rPr>
        <w:t>2. 供应商提供虚假《声明函》、虚假证明文件谋取中标、</w:t>
      </w:r>
      <w:r>
        <w:rPr>
          <w:rFonts w:ascii="宋体" w:hAnsi="宋体" w:cs="宋体"/>
          <w:sz w:val="24"/>
          <w:szCs w:val="24"/>
          <w:lang w:eastAsia="zh-CN"/>
        </w:rPr>
        <w:t>中标</w:t>
      </w:r>
      <w:r>
        <w:rPr>
          <w:rFonts w:ascii="宋体" w:hAnsi="宋体" w:cs="宋体"/>
          <w:sz w:val="24"/>
          <w:szCs w:val="24"/>
        </w:rPr>
        <w:t>的，依照政府采购法律法规规定追究相应责任。</w:t>
      </w:r>
    </w:p>
    <w:p w14:paraId="70156FEB">
      <w:pPr>
        <w:pStyle w:val="111"/>
        <w:spacing w:line="360" w:lineRule="auto"/>
        <w:ind w:firstLine="480"/>
        <w:rPr>
          <w:rFonts w:ascii="宋体" w:hAnsi="宋体" w:cs="宋体"/>
          <w:b/>
          <w:sz w:val="24"/>
          <w:szCs w:val="24"/>
        </w:rPr>
      </w:pPr>
      <w:r>
        <w:rPr>
          <w:rFonts w:ascii="宋体" w:hAnsi="宋体" w:cs="宋体"/>
          <w:b/>
          <w:sz w:val="24"/>
          <w:szCs w:val="24"/>
        </w:rPr>
        <w:t xml:space="preserve"> 温馨提示：评审委员会应对《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后的《关于符合本国产品标准的声明函》仍然不符合规定要求的，供应商提供的相关产品视为不符合本国产品标准。</w:t>
      </w:r>
    </w:p>
    <w:p w14:paraId="5EFFEAE7">
      <w:pPr>
        <w:pStyle w:val="111"/>
        <w:spacing w:line="360" w:lineRule="auto"/>
        <w:ind w:firstLine="480"/>
        <w:rPr>
          <w:rFonts w:ascii="宋体" w:hAnsi="宋体" w:cs="宋体"/>
          <w:b/>
          <w:sz w:val="24"/>
          <w:szCs w:val="24"/>
        </w:rPr>
      </w:pPr>
    </w:p>
    <w:p w14:paraId="2DC1F75A">
      <w:pPr>
        <w:pStyle w:val="111"/>
        <w:spacing w:line="360" w:lineRule="auto"/>
        <w:rPr>
          <w:rFonts w:ascii="宋体" w:hAnsi="宋体" w:cs="宋体"/>
          <w:sz w:val="24"/>
          <w:szCs w:val="24"/>
        </w:rPr>
      </w:pPr>
      <w:r>
        <w:rPr>
          <w:rFonts w:ascii="宋体" w:hAnsi="宋体" w:cs="宋体"/>
          <w:b/>
          <w:sz w:val="24"/>
          <w:szCs w:val="24"/>
        </w:rPr>
        <w:t>附件</w:t>
      </w:r>
      <w:r>
        <w:rPr>
          <w:rFonts w:ascii="宋体" w:hAnsi="宋体" w:cs="宋体"/>
          <w:b/>
          <w:sz w:val="24"/>
          <w:szCs w:val="24"/>
          <w:lang w:eastAsia="zh-CN"/>
        </w:rPr>
        <w:t>21-</w:t>
      </w:r>
      <w:r>
        <w:rPr>
          <w:rFonts w:ascii="宋体" w:hAnsi="宋体" w:cs="宋体"/>
          <w:b/>
          <w:sz w:val="24"/>
          <w:szCs w:val="24"/>
        </w:rPr>
        <w:t>1</w:t>
      </w:r>
    </w:p>
    <w:p w14:paraId="6D1FAC7C">
      <w:pPr>
        <w:pStyle w:val="111"/>
        <w:spacing w:before="120" w:after="240" w:line="360" w:lineRule="auto"/>
        <w:jc w:val="center"/>
        <w:outlineLvl w:val="3"/>
        <w:rPr>
          <w:rFonts w:ascii="宋体" w:hAnsi="宋体" w:cs="宋体"/>
          <w:sz w:val="24"/>
          <w:szCs w:val="24"/>
        </w:rPr>
      </w:pPr>
      <w:r>
        <w:rPr>
          <w:rFonts w:ascii="宋体" w:hAnsi="宋体" w:cs="宋体"/>
          <w:b/>
          <w:sz w:val="24"/>
          <w:szCs w:val="24"/>
        </w:rPr>
        <w:t>中国境内生产的组件成本核算基本规则</w:t>
      </w:r>
    </w:p>
    <w:p w14:paraId="789D09F6">
      <w:pPr>
        <w:pStyle w:val="111"/>
        <w:spacing w:line="360" w:lineRule="auto"/>
        <w:ind w:firstLine="480"/>
        <w:rPr>
          <w:rFonts w:ascii="宋体" w:hAnsi="宋体" w:cs="宋体"/>
          <w:sz w:val="24"/>
          <w:szCs w:val="24"/>
        </w:rPr>
      </w:pPr>
      <w:r>
        <w:rPr>
          <w:rFonts w:ascii="宋体" w:hAnsi="宋体" w:cs="宋体"/>
          <w:sz w:val="24"/>
          <w:szCs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C718E4B">
      <w:pPr>
        <w:pStyle w:val="111"/>
        <w:spacing w:before="120" w:after="120" w:line="360" w:lineRule="auto"/>
        <w:ind w:firstLine="480"/>
        <w:rPr>
          <w:rFonts w:ascii="宋体" w:hAnsi="宋体" w:cs="宋体"/>
          <w:sz w:val="24"/>
          <w:szCs w:val="24"/>
        </w:rPr>
      </w:pPr>
      <w:r>
        <w:rPr>
          <w:rFonts w:ascii="宋体" w:hAnsi="宋体" w:cs="宋体"/>
          <w:sz w:val="24"/>
          <w:szCs w:val="24"/>
        </w:rPr>
        <w:t>1. 产品的一级组件是指直接组成产品的组件。产品的二级组件是指直接组成产品一级组件的组件。一级组件不可分解的，视同二级组件。</w:t>
      </w:r>
    </w:p>
    <w:p w14:paraId="34D85574">
      <w:pPr>
        <w:pStyle w:val="111"/>
        <w:spacing w:before="120" w:after="120" w:line="360" w:lineRule="auto"/>
        <w:ind w:firstLine="480"/>
        <w:rPr>
          <w:rFonts w:ascii="宋体" w:hAnsi="宋体" w:cs="宋体"/>
          <w:sz w:val="24"/>
          <w:szCs w:val="24"/>
        </w:rPr>
      </w:pPr>
      <w:r>
        <w:rPr>
          <w:rFonts w:ascii="宋体" w:hAnsi="宋体" w:cs="宋体"/>
          <w:sz w:val="24"/>
          <w:szCs w:val="24"/>
        </w:rPr>
        <w:t>2. 二级组件在中国境内生产的，其全部成本计入中国境内生产的组件成本；二级组件不在中国境内生产的，其成本不计入中国境内生产的组件成本。</w:t>
      </w:r>
    </w:p>
    <w:p w14:paraId="3956E60B">
      <w:pPr>
        <w:pStyle w:val="111"/>
        <w:spacing w:before="120" w:after="120" w:line="360" w:lineRule="auto"/>
        <w:ind w:firstLine="480"/>
        <w:rPr>
          <w:rFonts w:ascii="宋体" w:hAnsi="宋体" w:cs="宋体"/>
          <w:sz w:val="24"/>
          <w:szCs w:val="24"/>
        </w:rPr>
      </w:pPr>
      <w:r>
        <w:rPr>
          <w:rFonts w:ascii="宋体" w:hAnsi="宋体" w:cs="宋体"/>
          <w:sz w:val="24"/>
          <w:szCs w:val="24"/>
        </w:rPr>
        <w:t>3. 产品总成本和组件成本以相关会计核算数据、采购合同、进货记录等为基础进行计算。</w:t>
      </w:r>
    </w:p>
    <w:p w14:paraId="12E05EA8">
      <w:pPr>
        <w:pStyle w:val="111"/>
        <w:spacing w:before="120" w:after="120" w:line="360" w:lineRule="auto"/>
        <w:ind w:firstLine="480"/>
        <w:rPr>
          <w:rFonts w:ascii="宋体" w:hAnsi="宋体" w:cs="宋体"/>
          <w:sz w:val="24"/>
          <w:szCs w:val="24"/>
        </w:rPr>
      </w:pPr>
      <w:r>
        <w:rPr>
          <w:rFonts w:ascii="宋体" w:hAnsi="宋体" w:cs="宋体"/>
          <w:sz w:val="24"/>
          <w:szCs w:val="24"/>
        </w:rPr>
        <w:t>4. 需要对成本核算规则予以进一步明确的其他有关事项，由财政部会同有关部门另行规定。</w:t>
      </w:r>
    </w:p>
    <w:p w14:paraId="27EE7E85">
      <w:pPr>
        <w:pStyle w:val="111"/>
        <w:spacing w:line="360" w:lineRule="auto"/>
        <w:rPr>
          <w:rFonts w:ascii="宋体" w:hAnsi="宋体" w:cs="宋体"/>
          <w:b/>
          <w:sz w:val="24"/>
          <w:szCs w:val="24"/>
        </w:rPr>
      </w:pPr>
    </w:p>
    <w:p w14:paraId="681C233E">
      <w:pPr>
        <w:pStyle w:val="111"/>
        <w:spacing w:before="120" w:after="240" w:line="360" w:lineRule="auto"/>
        <w:jc w:val="left"/>
        <w:outlineLvl w:val="9"/>
        <w:rPr>
          <w:rFonts w:ascii="宋体" w:hAnsi="宋体" w:cs="宋体"/>
          <w:b/>
          <w:sz w:val="24"/>
          <w:szCs w:val="24"/>
        </w:rPr>
      </w:pPr>
      <w:r>
        <w:rPr>
          <w:rFonts w:ascii="宋体" w:hAnsi="宋体" w:cs="宋体"/>
          <w:b/>
          <w:sz w:val="24"/>
          <w:szCs w:val="24"/>
        </w:rPr>
        <w:t>附件</w:t>
      </w:r>
      <w:r>
        <w:rPr>
          <w:rFonts w:ascii="宋体" w:hAnsi="宋体" w:cs="宋体"/>
          <w:b/>
          <w:sz w:val="24"/>
          <w:szCs w:val="24"/>
          <w:lang w:eastAsia="zh-CN"/>
        </w:rPr>
        <w:t>21-</w:t>
      </w:r>
      <w:r>
        <w:rPr>
          <w:rFonts w:ascii="宋体" w:hAnsi="宋体" w:cs="宋体"/>
          <w:b/>
          <w:sz w:val="24"/>
          <w:szCs w:val="24"/>
        </w:rPr>
        <w:t>2</w:t>
      </w:r>
    </w:p>
    <w:p w14:paraId="6014B3BA">
      <w:pPr>
        <w:pStyle w:val="111"/>
        <w:spacing w:before="120" w:after="240" w:line="360" w:lineRule="auto"/>
        <w:jc w:val="center"/>
        <w:outlineLvl w:val="3"/>
        <w:rPr>
          <w:rFonts w:ascii="宋体" w:hAnsi="宋体" w:cs="宋体"/>
          <w:sz w:val="24"/>
          <w:szCs w:val="24"/>
        </w:rPr>
      </w:pPr>
      <w:r>
        <w:rPr>
          <w:rFonts w:ascii="宋体" w:hAnsi="宋体" w:cs="宋体"/>
          <w:b/>
          <w:sz w:val="24"/>
          <w:szCs w:val="24"/>
        </w:rPr>
        <w:t>关于符合本国产品标准的声明函</w:t>
      </w:r>
    </w:p>
    <w:p w14:paraId="228F9516">
      <w:pPr>
        <w:pStyle w:val="111"/>
        <w:spacing w:line="360" w:lineRule="auto"/>
        <w:ind w:firstLine="480"/>
        <w:rPr>
          <w:rFonts w:ascii="宋体" w:hAnsi="宋体" w:cs="宋体"/>
          <w:sz w:val="24"/>
          <w:szCs w:val="24"/>
        </w:rPr>
      </w:pPr>
      <w:r>
        <w:rPr>
          <w:rFonts w:ascii="宋体" w:hAnsi="宋体" w:cs="宋体"/>
          <w:sz w:val="24"/>
          <w:szCs w:val="24"/>
        </w:rPr>
        <w:t>本公司（单位）郑重声明，根据《国务院办公厅关于在政府采购中实施本国产品标准及相关政策的通知》（国办发〔2025〕34号）的规定，本公司（单位）提供的以下产品属于本国产品。具体情况如下：</w:t>
      </w:r>
    </w:p>
    <w:p w14:paraId="56B54803">
      <w:pPr>
        <w:pStyle w:val="111"/>
        <w:spacing w:before="240" w:after="240" w:line="360" w:lineRule="auto"/>
        <w:ind w:firstLine="960"/>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（产品名称1</w:t>
      </w:r>
      <w:r>
        <w:rPr>
          <w:rFonts w:hint="eastAsia" w:ascii="宋体" w:hAnsi="宋体" w:cs="宋体"/>
          <w:sz w:val="24"/>
          <w:szCs w:val="24"/>
          <w:u w:val="single"/>
          <w:lang w:val="en-US" w:eastAsia="zh-CN"/>
        </w:rPr>
        <w:t xml:space="preserve">-型号1：   </w:t>
      </w:r>
      <w:r>
        <w:rPr>
          <w:rFonts w:ascii="宋体" w:hAnsi="宋体" w:cs="宋体"/>
          <w:sz w:val="24"/>
          <w:szCs w:val="24"/>
          <w:u w:val="single"/>
        </w:rPr>
        <w:t>）</w:t>
      </w:r>
      <w:r>
        <w:rPr>
          <w:rFonts w:ascii="宋体" w:hAnsi="宋体" w:cs="宋体"/>
          <w:sz w:val="24"/>
          <w:szCs w:val="24"/>
        </w:rPr>
        <w:t>，生产厂为</w:t>
      </w:r>
      <w:r>
        <w:rPr>
          <w:rFonts w:ascii="宋体" w:hAnsi="宋体" w:cs="宋体"/>
          <w:sz w:val="24"/>
          <w:szCs w:val="24"/>
          <w:u w:val="single"/>
        </w:rPr>
        <w:t>（厂名）</w:t>
      </w:r>
      <w:r>
        <w:rPr>
          <w:rFonts w:ascii="宋体" w:hAnsi="宋体" w:cs="宋体"/>
          <w:sz w:val="24"/>
          <w:szCs w:val="24"/>
        </w:rPr>
        <w:t>，厂址为</w:t>
      </w:r>
      <w:r>
        <w:rPr>
          <w:rFonts w:ascii="宋体" w:hAnsi="宋体" w:cs="宋体"/>
          <w:sz w:val="24"/>
          <w:szCs w:val="24"/>
          <w:u w:val="single"/>
        </w:rPr>
        <w:t>（生产厂址</w:t>
      </w:r>
      <w:r>
        <w:rPr>
          <w:rFonts w:hint="eastAsia" w:ascii="宋体" w:hAnsi="宋体" w:cs="宋体"/>
          <w:color w:val="FF0000"/>
          <w:sz w:val="24"/>
          <w:szCs w:val="24"/>
          <w:u w:val="single"/>
          <w:lang w:eastAsia="zh-CN"/>
        </w:rPr>
        <w:t>（</w:t>
      </w:r>
      <w:r>
        <w:rPr>
          <w:rFonts w:hint="eastAsia" w:ascii="宋体" w:hAnsi="宋体" w:cs="宋体"/>
          <w:color w:val="FF0000"/>
          <w:sz w:val="24"/>
          <w:szCs w:val="24"/>
          <w:u w:val="single"/>
          <w:lang w:val="en-US" w:eastAsia="zh-CN"/>
        </w:rPr>
        <w:t>需与营业执照厂址保存一致</w:t>
      </w:r>
      <w:r>
        <w:rPr>
          <w:rFonts w:hint="eastAsia" w:ascii="宋体" w:hAnsi="宋体" w:cs="宋体"/>
          <w:color w:val="FF0000"/>
          <w:sz w:val="24"/>
          <w:szCs w:val="24"/>
          <w:u w:val="single"/>
          <w:lang w:eastAsia="zh-CN"/>
        </w:rPr>
        <w:t>）</w:t>
      </w:r>
      <w:r>
        <w:rPr>
          <w:rFonts w:ascii="宋体" w:hAnsi="宋体" w:cs="宋体"/>
          <w:sz w:val="24"/>
          <w:szCs w:val="24"/>
          <w:u w:val="single"/>
        </w:rPr>
        <w:t>）</w:t>
      </w:r>
      <w:r>
        <w:rPr>
          <w:rFonts w:ascii="宋体" w:hAnsi="宋体" w:cs="宋体"/>
          <w:sz w:val="24"/>
          <w:szCs w:val="24"/>
        </w:rPr>
        <w:t xml:space="preserve">。 </w:t>
      </w:r>
      <w:r>
        <w:rPr>
          <w:rFonts w:ascii="宋体" w:hAnsi="宋体" w:cs="宋体"/>
          <w:sz w:val="24"/>
          <w:szCs w:val="24"/>
          <w:u w:val="single"/>
        </w:rPr>
        <w:t>（产品名称1）</w:t>
      </w:r>
      <w:r>
        <w:rPr>
          <w:rFonts w:ascii="宋体" w:hAnsi="宋体" w:cs="宋体"/>
          <w:sz w:val="24"/>
          <w:szCs w:val="24"/>
        </w:rPr>
        <w:t>的中国境内生产的组件成本占比≥</w:t>
      </w:r>
      <w:r>
        <w:rPr>
          <w:rFonts w:ascii="宋体" w:hAnsi="宋体" w:cs="宋体"/>
          <w:sz w:val="24"/>
          <w:szCs w:val="24"/>
          <w:u w:val="single"/>
        </w:rPr>
        <w:t>（规定比例）</w:t>
      </w:r>
      <w:r>
        <w:rPr>
          <w:rFonts w:ascii="宋体" w:hAnsi="宋体" w:cs="宋体"/>
          <w:sz w:val="24"/>
          <w:szCs w:val="24"/>
        </w:rPr>
        <w:t xml:space="preserve">。 </w:t>
      </w:r>
      <w:r>
        <w:rPr>
          <w:rFonts w:ascii="宋体" w:hAnsi="宋体" w:cs="宋体"/>
          <w:sz w:val="24"/>
          <w:szCs w:val="24"/>
          <w:u w:val="single"/>
        </w:rPr>
        <w:t>（产品名称1）</w:t>
      </w:r>
      <w:r>
        <w:rPr>
          <w:rFonts w:ascii="宋体" w:hAnsi="宋体" w:cs="宋体"/>
          <w:sz w:val="24"/>
          <w:szCs w:val="24"/>
        </w:rPr>
        <w:t>的</w:t>
      </w:r>
      <w:r>
        <w:rPr>
          <w:rFonts w:ascii="宋体" w:hAnsi="宋体" w:cs="宋体"/>
          <w:sz w:val="24"/>
          <w:szCs w:val="24"/>
          <w:u w:val="single"/>
        </w:rPr>
        <w:t>（关键组件）</w:t>
      </w:r>
      <w:r>
        <w:rPr>
          <w:rFonts w:ascii="宋体" w:hAnsi="宋体" w:cs="宋体"/>
          <w:sz w:val="24"/>
          <w:szCs w:val="24"/>
        </w:rPr>
        <w:t xml:space="preserve">在中国境内生产。 </w:t>
      </w:r>
      <w:r>
        <w:rPr>
          <w:rFonts w:ascii="宋体" w:hAnsi="宋体" w:cs="宋体"/>
          <w:sz w:val="24"/>
          <w:szCs w:val="24"/>
          <w:u w:val="single"/>
        </w:rPr>
        <w:t>（产品名称1）</w:t>
      </w:r>
      <w:r>
        <w:rPr>
          <w:rFonts w:ascii="宋体" w:hAnsi="宋体" w:cs="宋体"/>
          <w:sz w:val="24"/>
          <w:szCs w:val="24"/>
        </w:rPr>
        <w:t>的</w:t>
      </w:r>
      <w:r>
        <w:rPr>
          <w:rFonts w:ascii="宋体" w:hAnsi="宋体" w:cs="宋体"/>
          <w:sz w:val="24"/>
          <w:szCs w:val="24"/>
          <w:u w:val="single"/>
        </w:rPr>
        <w:t>（关键工序）</w:t>
      </w:r>
      <w:r>
        <w:rPr>
          <w:rFonts w:ascii="宋体" w:hAnsi="宋体" w:cs="宋体"/>
          <w:sz w:val="24"/>
          <w:szCs w:val="24"/>
        </w:rPr>
        <w:t>在中国境内完成。</w:t>
      </w:r>
    </w:p>
    <w:p w14:paraId="7042EB3E">
      <w:pPr>
        <w:pStyle w:val="111"/>
        <w:spacing w:before="240" w:after="240" w:line="360" w:lineRule="auto"/>
        <w:ind w:firstLine="960"/>
        <w:rPr>
          <w:rFonts w:ascii="宋体" w:hAnsi="宋体" w:cs="宋体"/>
          <w:sz w:val="24"/>
          <w:szCs w:val="24"/>
        </w:rPr>
      </w:pPr>
      <w:r>
        <w:rPr>
          <w:rFonts w:ascii="宋体" w:hAnsi="宋体" w:cs="宋体"/>
          <w:sz w:val="24"/>
          <w:szCs w:val="24"/>
        </w:rPr>
        <w:t xml:space="preserve"> 2. </w:t>
      </w:r>
      <w:r>
        <w:rPr>
          <w:rFonts w:ascii="宋体" w:hAnsi="宋体" w:cs="宋体"/>
          <w:sz w:val="24"/>
          <w:szCs w:val="24"/>
          <w:u w:val="single"/>
        </w:rPr>
        <w:t>（产品名称2</w:t>
      </w:r>
      <w:r>
        <w:rPr>
          <w:rFonts w:hint="eastAsia" w:ascii="宋体" w:hAnsi="宋体" w:cs="宋体"/>
          <w:sz w:val="24"/>
          <w:szCs w:val="24"/>
          <w:u w:val="single"/>
          <w:lang w:val="en-US" w:eastAsia="zh-CN"/>
        </w:rPr>
        <w:t xml:space="preserve">-型号2：   </w:t>
      </w:r>
      <w:r>
        <w:rPr>
          <w:rFonts w:ascii="宋体" w:hAnsi="宋体" w:cs="宋体"/>
          <w:sz w:val="24"/>
          <w:szCs w:val="24"/>
          <w:u w:val="single"/>
        </w:rPr>
        <w:t>）</w:t>
      </w:r>
      <w:r>
        <w:rPr>
          <w:rFonts w:ascii="宋体" w:hAnsi="宋体" w:cs="宋体"/>
          <w:sz w:val="24"/>
          <w:szCs w:val="24"/>
        </w:rPr>
        <w:t>，生产厂为</w:t>
      </w:r>
      <w:r>
        <w:rPr>
          <w:rFonts w:ascii="宋体" w:hAnsi="宋体" w:cs="宋体"/>
          <w:sz w:val="24"/>
          <w:szCs w:val="24"/>
          <w:u w:val="single"/>
        </w:rPr>
        <w:t>（厂名）</w:t>
      </w:r>
      <w:r>
        <w:rPr>
          <w:rFonts w:ascii="宋体" w:hAnsi="宋体" w:cs="宋体"/>
          <w:sz w:val="24"/>
          <w:szCs w:val="24"/>
        </w:rPr>
        <w:t>，厂址为</w:t>
      </w:r>
      <w:r>
        <w:rPr>
          <w:rFonts w:ascii="宋体" w:hAnsi="宋体" w:cs="宋体"/>
          <w:sz w:val="24"/>
          <w:szCs w:val="24"/>
          <w:u w:val="single"/>
        </w:rPr>
        <w:t>（生产厂址</w:t>
      </w:r>
      <w:r>
        <w:rPr>
          <w:rFonts w:hint="eastAsia" w:ascii="宋体" w:hAnsi="宋体" w:cs="宋体"/>
          <w:color w:val="FF0000"/>
          <w:sz w:val="24"/>
          <w:szCs w:val="24"/>
          <w:u w:val="single"/>
          <w:lang w:eastAsia="zh-CN"/>
        </w:rPr>
        <w:t>（</w:t>
      </w:r>
      <w:r>
        <w:rPr>
          <w:rFonts w:hint="eastAsia" w:ascii="宋体" w:hAnsi="宋体" w:cs="宋体"/>
          <w:color w:val="FF0000"/>
          <w:sz w:val="24"/>
          <w:szCs w:val="24"/>
          <w:u w:val="single"/>
          <w:lang w:val="en-US" w:eastAsia="zh-CN"/>
        </w:rPr>
        <w:t>需与营业执照厂址保存一致</w:t>
      </w:r>
      <w:r>
        <w:rPr>
          <w:rFonts w:hint="eastAsia" w:ascii="宋体" w:hAnsi="宋体" w:cs="宋体"/>
          <w:color w:val="FF0000"/>
          <w:sz w:val="24"/>
          <w:szCs w:val="24"/>
          <w:u w:val="single"/>
          <w:lang w:eastAsia="zh-CN"/>
        </w:rPr>
        <w:t>）</w:t>
      </w:r>
      <w:r>
        <w:rPr>
          <w:rFonts w:ascii="宋体" w:hAnsi="宋体" w:cs="宋体"/>
          <w:sz w:val="24"/>
          <w:szCs w:val="24"/>
          <w:u w:val="single"/>
        </w:rPr>
        <w:t>）</w:t>
      </w:r>
      <w:r>
        <w:rPr>
          <w:rFonts w:ascii="宋体" w:hAnsi="宋体" w:cs="宋体"/>
          <w:sz w:val="24"/>
          <w:szCs w:val="24"/>
        </w:rPr>
        <w:t xml:space="preserve">。 </w:t>
      </w:r>
      <w:r>
        <w:rPr>
          <w:rFonts w:ascii="宋体" w:hAnsi="宋体" w:cs="宋体"/>
          <w:sz w:val="24"/>
          <w:szCs w:val="24"/>
          <w:u w:val="single"/>
        </w:rPr>
        <w:t>（产品名称2）</w:t>
      </w:r>
      <w:r>
        <w:rPr>
          <w:rFonts w:ascii="宋体" w:hAnsi="宋体" w:cs="宋体"/>
          <w:sz w:val="24"/>
          <w:szCs w:val="24"/>
        </w:rPr>
        <w:t>的中国境内生产的组件成本占比≥</w:t>
      </w:r>
      <w:r>
        <w:rPr>
          <w:rFonts w:ascii="宋体" w:hAnsi="宋体" w:cs="宋体"/>
          <w:sz w:val="24"/>
          <w:szCs w:val="24"/>
          <w:u w:val="single"/>
        </w:rPr>
        <w:t>（规定比例）</w:t>
      </w:r>
      <w:r>
        <w:rPr>
          <w:rFonts w:ascii="宋体" w:hAnsi="宋体" w:cs="宋体"/>
          <w:sz w:val="24"/>
          <w:szCs w:val="24"/>
        </w:rPr>
        <w:t xml:space="preserve">。 </w:t>
      </w:r>
      <w:r>
        <w:rPr>
          <w:rFonts w:ascii="宋体" w:hAnsi="宋体" w:cs="宋体"/>
          <w:sz w:val="24"/>
          <w:szCs w:val="24"/>
          <w:u w:val="single"/>
        </w:rPr>
        <w:t>（产品名称2）</w:t>
      </w:r>
      <w:r>
        <w:rPr>
          <w:rFonts w:ascii="宋体" w:hAnsi="宋体" w:cs="宋体"/>
          <w:sz w:val="24"/>
          <w:szCs w:val="24"/>
        </w:rPr>
        <w:t>的</w:t>
      </w:r>
      <w:r>
        <w:rPr>
          <w:rFonts w:ascii="宋体" w:hAnsi="宋体" w:cs="宋体"/>
          <w:sz w:val="24"/>
          <w:szCs w:val="24"/>
          <w:u w:val="single"/>
        </w:rPr>
        <w:t>（关键组件）</w:t>
      </w:r>
      <w:r>
        <w:rPr>
          <w:rFonts w:ascii="宋体" w:hAnsi="宋体" w:cs="宋体"/>
          <w:sz w:val="24"/>
          <w:szCs w:val="24"/>
        </w:rPr>
        <w:t xml:space="preserve">在中国境内生产。 </w:t>
      </w:r>
      <w:r>
        <w:rPr>
          <w:rFonts w:ascii="宋体" w:hAnsi="宋体" w:cs="宋体"/>
          <w:sz w:val="24"/>
          <w:szCs w:val="24"/>
          <w:u w:val="single"/>
        </w:rPr>
        <w:t>（产品名称2）</w:t>
      </w:r>
      <w:r>
        <w:rPr>
          <w:rFonts w:ascii="宋体" w:hAnsi="宋体" w:cs="宋体"/>
          <w:sz w:val="24"/>
          <w:szCs w:val="24"/>
        </w:rPr>
        <w:t>的</w:t>
      </w:r>
      <w:r>
        <w:rPr>
          <w:rFonts w:ascii="宋体" w:hAnsi="宋体" w:cs="宋体"/>
          <w:sz w:val="24"/>
          <w:szCs w:val="24"/>
          <w:u w:val="single"/>
        </w:rPr>
        <w:t>（关键工序）</w:t>
      </w:r>
      <w:r>
        <w:rPr>
          <w:rFonts w:ascii="宋体" w:hAnsi="宋体" w:cs="宋体"/>
          <w:sz w:val="24"/>
          <w:szCs w:val="24"/>
        </w:rPr>
        <w:t>在中国境内完成。</w:t>
      </w:r>
    </w:p>
    <w:p w14:paraId="23D98186">
      <w:pPr>
        <w:pStyle w:val="111"/>
        <w:spacing w:before="240" w:after="240" w:line="360" w:lineRule="auto"/>
        <w:ind w:firstLine="960"/>
        <w:rPr>
          <w:rFonts w:ascii="宋体" w:hAnsi="宋体" w:cs="宋体"/>
          <w:sz w:val="24"/>
          <w:szCs w:val="24"/>
        </w:rPr>
      </w:pPr>
      <w:r>
        <w:rPr>
          <w:rFonts w:ascii="宋体" w:hAnsi="宋体" w:cs="宋体"/>
          <w:sz w:val="24"/>
          <w:szCs w:val="24"/>
        </w:rPr>
        <w:t>3. ……</w:t>
      </w:r>
    </w:p>
    <w:p w14:paraId="18958B4B">
      <w:pPr>
        <w:pStyle w:val="111"/>
        <w:spacing w:line="360" w:lineRule="auto"/>
        <w:ind w:firstLine="480"/>
        <w:rPr>
          <w:rFonts w:ascii="宋体" w:hAnsi="宋体" w:cs="宋体"/>
          <w:sz w:val="24"/>
          <w:szCs w:val="24"/>
        </w:rPr>
      </w:pPr>
      <w:r>
        <w:rPr>
          <w:rFonts w:ascii="宋体" w:hAnsi="宋体" w:cs="宋体"/>
          <w:sz w:val="24"/>
          <w:szCs w:val="24"/>
        </w:rPr>
        <w:t>本公司（单位）对上述声明内容的真实性负责。如有虚假，愿承担相应法律责任。</w:t>
      </w:r>
    </w:p>
    <w:p w14:paraId="2296C5EC">
      <w:pPr>
        <w:pStyle w:val="111"/>
        <w:spacing w:before="720" w:line="360" w:lineRule="auto"/>
        <w:jc w:val="right"/>
        <w:rPr>
          <w:rFonts w:ascii="宋体" w:hAnsi="宋体" w:cs="宋体"/>
          <w:sz w:val="24"/>
          <w:szCs w:val="24"/>
        </w:rPr>
      </w:pPr>
      <w:r>
        <w:rPr>
          <w:rFonts w:ascii="宋体" w:hAnsi="宋体" w:cs="宋体"/>
          <w:b/>
          <w:sz w:val="24"/>
          <w:szCs w:val="24"/>
        </w:rPr>
        <w:t>公司（单位）名称（盖章）：</w:t>
      </w:r>
      <w:r>
        <w:rPr>
          <w:rFonts w:ascii="宋体" w:hAnsi="宋体" w:cs="宋体"/>
          <w:sz w:val="24"/>
          <w:szCs w:val="24"/>
        </w:rPr>
        <w:t xml:space="preserve"> __________________</w:t>
      </w:r>
    </w:p>
    <w:p w14:paraId="3143FA60">
      <w:pPr>
        <w:pStyle w:val="111"/>
        <w:spacing w:line="360" w:lineRule="auto"/>
        <w:jc w:val="right"/>
        <w:rPr>
          <w:rFonts w:ascii="宋体" w:hAnsi="宋体" w:cs="宋体"/>
          <w:sz w:val="24"/>
          <w:szCs w:val="24"/>
        </w:rPr>
      </w:pPr>
      <w:r>
        <w:rPr>
          <w:rFonts w:ascii="宋体" w:hAnsi="宋体" w:cs="宋体"/>
          <w:b/>
          <w:sz w:val="24"/>
          <w:szCs w:val="24"/>
        </w:rPr>
        <w:t>日期：</w:t>
      </w:r>
      <w:r>
        <w:rPr>
          <w:rFonts w:ascii="宋体" w:hAnsi="宋体" w:cs="宋体"/>
          <w:sz w:val="24"/>
          <w:szCs w:val="24"/>
        </w:rPr>
        <w:t xml:space="preserve"> ______ 年 ______ 月 ______ 日</w:t>
      </w:r>
    </w:p>
    <w:p w14:paraId="49EAEFC7">
      <w:pPr>
        <w:pStyle w:val="111"/>
        <w:spacing w:line="360" w:lineRule="auto"/>
        <w:ind w:firstLine="480"/>
        <w:rPr>
          <w:rFonts w:ascii="宋体" w:hAnsi="宋体" w:cs="宋体"/>
          <w:sz w:val="24"/>
          <w:szCs w:val="24"/>
        </w:rPr>
      </w:pPr>
      <w:r>
        <w:rPr>
          <w:rFonts w:ascii="宋体" w:hAnsi="宋体" w:cs="宋体"/>
          <w:b/>
          <w:sz w:val="24"/>
          <w:szCs w:val="24"/>
        </w:rPr>
        <w:t>注：</w:t>
      </w:r>
    </w:p>
    <w:p w14:paraId="23F66B73">
      <w:pPr>
        <w:pStyle w:val="111"/>
        <w:spacing w:before="120" w:after="120" w:line="360" w:lineRule="auto"/>
        <w:ind w:firstLine="960"/>
        <w:rPr>
          <w:rFonts w:ascii="宋体" w:hAnsi="宋体" w:cs="宋体"/>
          <w:sz w:val="24"/>
          <w:szCs w:val="24"/>
        </w:rPr>
      </w:pPr>
      <w:r>
        <w:rPr>
          <w:rFonts w:ascii="宋体" w:hAnsi="宋体" w:cs="宋体"/>
          <w:sz w:val="24"/>
          <w:szCs w:val="24"/>
        </w:rPr>
        <w:t>1. 产品如有型号，请在“产品名称”栏一并填写。</w:t>
      </w:r>
    </w:p>
    <w:p w14:paraId="3521FFAF">
      <w:pPr>
        <w:pStyle w:val="111"/>
        <w:spacing w:before="120" w:after="120" w:line="360" w:lineRule="auto"/>
        <w:ind w:firstLine="960"/>
        <w:rPr>
          <w:rFonts w:ascii="宋体" w:hAnsi="宋体" w:cs="宋体"/>
          <w:sz w:val="24"/>
          <w:szCs w:val="24"/>
        </w:rPr>
      </w:pPr>
      <w:r>
        <w:rPr>
          <w:rFonts w:ascii="宋体" w:hAnsi="宋体" w:cs="宋体"/>
          <w:sz w:val="24"/>
          <w:szCs w:val="24"/>
        </w:rPr>
        <w:t>2. 生产厂名与厂址应与生产厂营业执照载明的相关信息保持一致。</w:t>
      </w:r>
    </w:p>
    <w:p w14:paraId="41EF0563">
      <w:pPr>
        <w:pStyle w:val="111"/>
        <w:spacing w:before="120" w:after="120" w:line="360" w:lineRule="auto"/>
        <w:ind w:firstLine="960"/>
        <w:rPr>
          <w:rFonts w:ascii="宋体" w:hAnsi="宋体" w:cs="宋体"/>
          <w:sz w:val="24"/>
          <w:szCs w:val="24"/>
        </w:rPr>
      </w:pPr>
      <w:r>
        <w:rPr>
          <w:rFonts w:ascii="宋体" w:hAnsi="宋体" w:cs="宋体"/>
          <w:sz w:val="24"/>
          <w:szCs w:val="24"/>
        </w:rPr>
        <w:t>3. 该产品的中国境内生产的组件成本占比相关要求实施前，"规定比例"栏可不填，下同。</w:t>
      </w:r>
    </w:p>
    <w:p w14:paraId="7D90460B">
      <w:pPr>
        <w:pStyle w:val="111"/>
        <w:spacing w:before="120" w:after="120" w:line="360" w:lineRule="auto"/>
        <w:ind w:firstLine="960"/>
        <w:rPr>
          <w:rFonts w:ascii="宋体" w:hAnsi="宋体" w:cs="宋体"/>
          <w:sz w:val="24"/>
          <w:szCs w:val="24"/>
        </w:rPr>
      </w:pPr>
      <w:r>
        <w:rPr>
          <w:rFonts w:ascii="宋体" w:hAnsi="宋体" w:cs="宋体"/>
          <w:sz w:val="24"/>
          <w:szCs w:val="24"/>
        </w:rPr>
        <w:t>4. 该产品的关键组件要求实施前，"关键组件"栏可不填，下同。</w:t>
      </w:r>
    </w:p>
    <w:p w14:paraId="7E4C5069">
      <w:pPr>
        <w:pStyle w:val="111"/>
        <w:spacing w:before="120" w:after="120" w:line="360" w:lineRule="auto"/>
        <w:ind w:firstLine="960"/>
        <w:rPr>
          <w:rFonts w:ascii="宋体" w:hAnsi="宋体" w:cs="宋体"/>
          <w:sz w:val="24"/>
          <w:szCs w:val="24"/>
        </w:rPr>
      </w:pPr>
      <w:r>
        <w:rPr>
          <w:rFonts w:ascii="宋体" w:hAnsi="宋体" w:cs="宋体"/>
          <w:sz w:val="24"/>
          <w:szCs w:val="24"/>
        </w:rPr>
        <w:t>5. 该产品的关键工序要求实施前，"关键工序"栏可不填，下同。</w:t>
      </w:r>
    </w:p>
    <w:p w14:paraId="3DFE62C4">
      <w:pPr>
        <w:pStyle w:val="111"/>
        <w:spacing w:line="360" w:lineRule="auto"/>
        <w:rPr>
          <w:rFonts w:ascii="宋体" w:hAnsi="宋体" w:cs="宋体"/>
          <w:b/>
          <w:sz w:val="24"/>
          <w:szCs w:val="24"/>
        </w:rPr>
      </w:pPr>
    </w:p>
    <w:p w14:paraId="6D552D49">
      <w:pPr>
        <w:pStyle w:val="111"/>
        <w:spacing w:line="360" w:lineRule="auto"/>
        <w:rPr>
          <w:rFonts w:ascii="宋体" w:hAnsi="宋体" w:cs="宋体"/>
          <w:sz w:val="24"/>
          <w:szCs w:val="24"/>
        </w:rPr>
      </w:pPr>
      <w:r>
        <w:rPr>
          <w:rFonts w:ascii="宋体" w:hAnsi="宋体" w:cs="宋体"/>
          <w:b/>
          <w:sz w:val="24"/>
          <w:szCs w:val="24"/>
        </w:rPr>
        <w:t>附件</w:t>
      </w:r>
      <w:r>
        <w:rPr>
          <w:rFonts w:ascii="宋体" w:hAnsi="宋体" w:cs="宋体"/>
          <w:b/>
          <w:sz w:val="24"/>
          <w:szCs w:val="24"/>
          <w:lang w:eastAsia="zh-CN"/>
        </w:rPr>
        <w:t>21-</w:t>
      </w:r>
      <w:r>
        <w:rPr>
          <w:rFonts w:ascii="宋体" w:hAnsi="宋体" w:cs="宋体"/>
          <w:b/>
          <w:sz w:val="24"/>
          <w:szCs w:val="24"/>
        </w:rPr>
        <w:t>3</w:t>
      </w:r>
    </w:p>
    <w:p w14:paraId="3246B1BD">
      <w:pPr>
        <w:pStyle w:val="111"/>
        <w:spacing w:line="360" w:lineRule="auto"/>
        <w:rPr>
          <w:rFonts w:ascii="宋体" w:hAnsi="宋体" w:cs="宋体"/>
          <w:sz w:val="24"/>
          <w:szCs w:val="24"/>
        </w:rPr>
      </w:pPr>
    </w:p>
    <w:p w14:paraId="39978D52">
      <w:pPr>
        <w:pStyle w:val="111"/>
        <w:spacing w:before="120" w:after="240" w:line="360" w:lineRule="auto"/>
        <w:jc w:val="center"/>
        <w:outlineLvl w:val="3"/>
        <w:rPr>
          <w:rFonts w:ascii="宋体" w:hAnsi="宋体" w:cs="宋体"/>
          <w:sz w:val="24"/>
          <w:szCs w:val="24"/>
        </w:rPr>
      </w:pPr>
      <w:r>
        <w:rPr>
          <w:rFonts w:ascii="宋体" w:hAnsi="宋体" w:cs="宋体"/>
          <w:b/>
          <w:sz w:val="24"/>
          <w:szCs w:val="24"/>
        </w:rPr>
        <w:t>关于本国产品比例的声明函（如适用）</w:t>
      </w:r>
    </w:p>
    <w:p w14:paraId="7F4B1033">
      <w:pPr>
        <w:pStyle w:val="111"/>
        <w:spacing w:line="360" w:lineRule="auto"/>
        <w:rPr>
          <w:rFonts w:ascii="宋体" w:hAnsi="宋体" w:cs="宋体"/>
          <w:sz w:val="24"/>
          <w:szCs w:val="24"/>
        </w:rPr>
      </w:pPr>
      <w:r>
        <w:rPr>
          <w:rFonts w:ascii="宋体" w:hAnsi="宋体" w:cs="宋体"/>
          <w:sz w:val="24"/>
          <w:szCs w:val="24"/>
        </w:rPr>
        <w:t>本公司（单位）郑重承诺，根据《国务院办公厅关于在政府采购中实施本国产品标准及相关政策的通知》（国办发〔2025〕34号）的规定，本公司（单位）提供的符合本国产品标准的产品成本之和占提供的全部产品成本之和的比例达到80%。</w:t>
      </w:r>
    </w:p>
    <w:p w14:paraId="4D588806">
      <w:pPr>
        <w:pStyle w:val="111"/>
        <w:spacing w:line="360" w:lineRule="auto"/>
        <w:rPr>
          <w:rFonts w:ascii="宋体" w:hAnsi="宋体" w:cs="宋体"/>
          <w:sz w:val="24"/>
          <w:szCs w:val="24"/>
        </w:rPr>
      </w:pPr>
      <w:r>
        <w:rPr>
          <w:rFonts w:ascii="宋体" w:hAnsi="宋体" w:cs="宋体"/>
          <w:sz w:val="24"/>
          <w:szCs w:val="24"/>
        </w:rPr>
        <w:t>本公司（单位）对上述声明内容的真实性负责。如有虚假，愿承担相应法律责任。</w:t>
      </w:r>
    </w:p>
    <w:p w14:paraId="650F10BF">
      <w:pPr>
        <w:pStyle w:val="111"/>
        <w:spacing w:before="720" w:line="360" w:lineRule="auto"/>
        <w:jc w:val="right"/>
        <w:rPr>
          <w:rFonts w:ascii="宋体" w:hAnsi="宋体" w:cs="宋体"/>
          <w:sz w:val="24"/>
          <w:szCs w:val="24"/>
        </w:rPr>
      </w:pPr>
      <w:r>
        <w:rPr>
          <w:rFonts w:ascii="宋体" w:hAnsi="宋体" w:cs="宋体"/>
          <w:b/>
          <w:sz w:val="24"/>
          <w:szCs w:val="24"/>
        </w:rPr>
        <w:t>公司（单位）名称（盖章）：</w:t>
      </w:r>
      <w:r>
        <w:rPr>
          <w:rFonts w:ascii="宋体" w:hAnsi="宋体" w:cs="宋体"/>
          <w:sz w:val="24"/>
          <w:szCs w:val="24"/>
        </w:rPr>
        <w:t>__________________</w:t>
      </w:r>
    </w:p>
    <w:p w14:paraId="0CDFBA95">
      <w:pPr>
        <w:pStyle w:val="111"/>
        <w:spacing w:line="360" w:lineRule="auto"/>
        <w:jc w:val="right"/>
        <w:rPr>
          <w:rFonts w:ascii="宋体" w:hAnsi="宋体" w:cs="宋体"/>
          <w:sz w:val="24"/>
          <w:szCs w:val="24"/>
        </w:rPr>
      </w:pPr>
      <w:r>
        <w:rPr>
          <w:rFonts w:ascii="宋体" w:hAnsi="宋体" w:cs="宋体"/>
          <w:b/>
          <w:sz w:val="24"/>
          <w:szCs w:val="24"/>
        </w:rPr>
        <w:t>日期：</w:t>
      </w:r>
      <w:r>
        <w:rPr>
          <w:rFonts w:ascii="宋体" w:hAnsi="宋体" w:cs="宋体"/>
          <w:sz w:val="24"/>
          <w:szCs w:val="24"/>
        </w:rPr>
        <w:t>______ 年 ______ 月 ______ 日</w:t>
      </w:r>
    </w:p>
    <w:p w14:paraId="1C5D66D7">
      <w:pPr>
        <w:pStyle w:val="111"/>
        <w:spacing w:line="360" w:lineRule="auto"/>
        <w:rPr>
          <w:rFonts w:ascii="宋体" w:hAnsi="宋体" w:cs="宋体"/>
          <w:b/>
          <w:sz w:val="24"/>
          <w:szCs w:val="24"/>
        </w:rPr>
      </w:pPr>
    </w:p>
    <w:p w14:paraId="5F57F86E">
      <w:pPr>
        <w:pStyle w:val="111"/>
        <w:spacing w:line="360" w:lineRule="auto"/>
        <w:rPr>
          <w:rFonts w:ascii="宋体" w:hAnsi="宋体" w:cs="宋体"/>
          <w:b/>
          <w:sz w:val="24"/>
          <w:szCs w:val="24"/>
        </w:rPr>
      </w:pPr>
    </w:p>
    <w:p w14:paraId="1D49B696">
      <w:pPr>
        <w:pStyle w:val="111"/>
        <w:spacing w:line="360" w:lineRule="auto"/>
        <w:rPr>
          <w:rFonts w:ascii="宋体" w:hAnsi="宋体" w:cs="宋体"/>
          <w:b/>
          <w:sz w:val="24"/>
          <w:szCs w:val="24"/>
        </w:rPr>
      </w:pPr>
    </w:p>
    <w:p w14:paraId="7DEE4D6D">
      <w:pPr>
        <w:pStyle w:val="111"/>
        <w:spacing w:line="360" w:lineRule="auto"/>
        <w:rPr>
          <w:rFonts w:ascii="宋体" w:hAnsi="宋体" w:cs="宋体"/>
          <w:sz w:val="24"/>
          <w:szCs w:val="24"/>
        </w:rPr>
      </w:pPr>
      <w:r>
        <w:rPr>
          <w:rFonts w:ascii="宋体" w:hAnsi="宋体" w:cs="宋体"/>
          <w:b/>
          <w:sz w:val="24"/>
          <w:szCs w:val="24"/>
        </w:rPr>
        <w:t>附件</w:t>
      </w:r>
      <w:r>
        <w:rPr>
          <w:rFonts w:ascii="宋体" w:hAnsi="宋体" w:cs="宋体"/>
          <w:b/>
          <w:sz w:val="24"/>
          <w:szCs w:val="24"/>
          <w:lang w:eastAsia="zh-CN"/>
        </w:rPr>
        <w:t>21-</w:t>
      </w:r>
      <w:r>
        <w:rPr>
          <w:rFonts w:ascii="宋体" w:hAnsi="宋体" w:cs="宋体"/>
          <w:b/>
          <w:sz w:val="24"/>
          <w:szCs w:val="24"/>
        </w:rPr>
        <w:t>4</w:t>
      </w:r>
    </w:p>
    <w:p w14:paraId="09E5C5DB">
      <w:pPr>
        <w:pStyle w:val="111"/>
        <w:spacing w:before="120" w:after="240" w:line="360" w:lineRule="auto"/>
        <w:jc w:val="center"/>
        <w:outlineLvl w:val="3"/>
        <w:rPr>
          <w:rFonts w:ascii="宋体" w:hAnsi="宋体" w:cs="宋体"/>
          <w:sz w:val="24"/>
          <w:szCs w:val="24"/>
        </w:rPr>
      </w:pPr>
      <w:r>
        <w:rPr>
          <w:rFonts w:ascii="宋体" w:hAnsi="宋体" w:cs="宋体"/>
          <w:b/>
          <w:sz w:val="24"/>
          <w:szCs w:val="24"/>
        </w:rPr>
        <w:t>本国产品标准有关证明材料（如适用）</w:t>
      </w:r>
    </w:p>
    <w:p w14:paraId="0DBB8D3B">
      <w:pPr>
        <w:pStyle w:val="111"/>
        <w:spacing w:before="120" w:after="120" w:line="360" w:lineRule="auto"/>
        <w:ind w:firstLine="960"/>
        <w:rPr>
          <w:rFonts w:ascii="宋体" w:hAnsi="宋体" w:cs="宋体"/>
          <w:sz w:val="24"/>
          <w:szCs w:val="24"/>
        </w:rPr>
      </w:pPr>
      <w:r>
        <w:rPr>
          <w:rFonts w:ascii="宋体" w:hAnsi="宋体" w:cs="宋体"/>
          <w:sz w:val="24"/>
          <w:szCs w:val="24"/>
        </w:rPr>
        <w:t>1. 供应商认为需提供的其他资料。</w:t>
      </w:r>
    </w:p>
    <w:p w14:paraId="6B3F318A">
      <w:pPr>
        <w:pStyle w:val="111"/>
        <w:spacing w:before="120" w:after="120" w:line="360" w:lineRule="auto"/>
        <w:ind w:firstLine="960"/>
        <w:rPr>
          <w:rFonts w:ascii="宋体" w:hAnsi="宋体" w:cs="宋体"/>
          <w:sz w:val="24"/>
          <w:szCs w:val="24"/>
        </w:rPr>
      </w:pPr>
      <w:r>
        <w:rPr>
          <w:rFonts w:ascii="宋体" w:hAnsi="宋体" w:cs="宋体"/>
          <w:sz w:val="24"/>
          <w:szCs w:val="24"/>
        </w:rPr>
        <w:t>2. 财政部会同有关部门规定的有关证明文件。</w:t>
      </w:r>
    </w:p>
    <w:p w14:paraId="717DE73F">
      <w:pPr>
        <w:spacing w:line="360" w:lineRule="auto"/>
        <w:jc w:val="right"/>
        <w:rPr>
          <w:rFonts w:hint="eastAsia" w:ascii="宋体" w:hAnsi="宋体"/>
          <w:kern w:val="0"/>
          <w:sz w:val="24"/>
        </w:rPr>
        <w:sectPr>
          <w:pgSz w:w="11906" w:h="16838"/>
          <w:pgMar w:top="1418" w:right="1418" w:bottom="1418" w:left="1418" w:header="851" w:footer="992" w:gutter="0"/>
          <w:pgNumType w:fmt="decimal"/>
          <w:cols w:space="720" w:num="1"/>
          <w:titlePg/>
          <w:docGrid w:type="lines" w:linePitch="312" w:charSpace="0"/>
        </w:sectPr>
      </w:pPr>
    </w:p>
    <w:p w14:paraId="5F787EBD">
      <w:pPr>
        <w:widowControl/>
        <w:shd w:val="clear" w:color="auto" w:fill="FFFFFF"/>
        <w:spacing w:line="675" w:lineRule="atLeast"/>
        <w:jc w:val="center"/>
        <w:outlineLvl w:val="1"/>
        <w:rPr>
          <w:rFonts w:hint="eastAsia" w:ascii="Times New Roman" w:hAnsi="Times New Roman" w:eastAsia="宋体" w:cs="Times New Roman"/>
          <w:b/>
          <w:bCs/>
          <w:color w:val="333333"/>
          <w:kern w:val="0"/>
          <w:sz w:val="24"/>
          <w:szCs w:val="24"/>
          <w:lang w:eastAsia="zh-CN" w:bidi="ar"/>
        </w:rPr>
      </w:pPr>
      <w:bookmarkStart w:id="30" w:name="_Toc73979859"/>
      <w:bookmarkStart w:id="31" w:name="_Toc25938564"/>
      <w:r>
        <w:rPr>
          <w:rFonts w:ascii="Times New Roman" w:hAnsi="Times New Roman" w:eastAsia="宋体" w:cs="Times New Roman"/>
          <w:b/>
          <w:bCs/>
          <w:color w:val="333333"/>
          <w:kern w:val="0"/>
          <w:sz w:val="24"/>
          <w:szCs w:val="24"/>
          <w:shd w:val="clear" w:color="auto" w:fill="FFFFFF"/>
          <w:lang w:bidi="ar"/>
        </w:rPr>
        <w:t>★附件2</w:t>
      </w:r>
      <w:r>
        <w:rPr>
          <w:rFonts w:hint="eastAsia" w:eastAsia="宋体" w:cs="Times New Roman"/>
          <w:b/>
          <w:bCs/>
          <w:color w:val="333333"/>
          <w:kern w:val="0"/>
          <w:sz w:val="24"/>
          <w:szCs w:val="24"/>
          <w:shd w:val="clear" w:color="auto" w:fill="FFFFFF"/>
          <w:lang w:val="en-US" w:eastAsia="zh-CN" w:bidi="ar"/>
        </w:rPr>
        <w:t>2</w:t>
      </w:r>
      <w:r>
        <w:rPr>
          <w:rFonts w:ascii="Times New Roman" w:hAnsi="Times New Roman" w:eastAsia="宋体" w:cs="Times New Roman"/>
          <w:b/>
          <w:bCs/>
          <w:color w:val="333333"/>
          <w:kern w:val="0"/>
          <w:sz w:val="24"/>
          <w:szCs w:val="24"/>
          <w:shd w:val="clear" w:color="auto" w:fill="FFFFFF"/>
          <w:lang w:bidi="ar"/>
        </w:rPr>
        <w:t>：关于《关于在政府采购活动中对有关美国企业采取相关措施的通知》的承诺函（统一格式）</w:t>
      </w:r>
      <w:r>
        <w:rPr>
          <w:rFonts w:hint="eastAsia" w:ascii="Times New Roman" w:hAnsi="Times New Roman" w:eastAsia="宋体" w:cs="Times New Roman"/>
          <w:b/>
          <w:bCs/>
          <w:color w:val="333333"/>
          <w:kern w:val="0"/>
          <w:sz w:val="24"/>
          <w:szCs w:val="24"/>
          <w:shd w:val="clear" w:color="auto" w:fill="FFFFFF"/>
          <w:lang w:eastAsia="zh-CN" w:bidi="ar"/>
        </w:rPr>
        <w:t>（</w:t>
      </w:r>
      <w:r>
        <w:rPr>
          <w:rFonts w:hint="eastAsia" w:ascii="Times New Roman" w:hAnsi="Times New Roman" w:eastAsia="宋体" w:cs="Times New Roman"/>
          <w:b/>
          <w:bCs/>
          <w:color w:val="333333"/>
          <w:kern w:val="0"/>
          <w:sz w:val="24"/>
          <w:szCs w:val="24"/>
          <w:shd w:val="clear" w:color="auto" w:fill="FFFFFF"/>
          <w:lang w:val="en-US" w:eastAsia="zh-CN" w:bidi="ar"/>
        </w:rPr>
        <w:t>进口产品适用</w:t>
      </w:r>
      <w:r>
        <w:rPr>
          <w:rFonts w:hint="eastAsia" w:ascii="Times New Roman" w:hAnsi="Times New Roman" w:eastAsia="宋体" w:cs="Times New Roman"/>
          <w:b/>
          <w:bCs/>
          <w:color w:val="333333"/>
          <w:kern w:val="0"/>
          <w:sz w:val="24"/>
          <w:szCs w:val="24"/>
          <w:shd w:val="clear" w:color="auto" w:fill="FFFFFF"/>
          <w:lang w:eastAsia="zh-CN" w:bidi="ar"/>
        </w:rPr>
        <w:t>）</w:t>
      </w:r>
    </w:p>
    <w:p w14:paraId="2CA2F3B3">
      <w:pPr>
        <w:spacing w:line="360" w:lineRule="auto"/>
        <w:rPr>
          <w:rFonts w:ascii="Times New Roman" w:hAnsi="Times New Roman" w:eastAsia="宋体" w:cs="Times New Roman"/>
          <w:sz w:val="28"/>
          <w:szCs w:val="28"/>
        </w:rPr>
      </w:pPr>
    </w:p>
    <w:p w14:paraId="026BE81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致</w:t>
      </w:r>
      <w:r>
        <w:rPr>
          <w:rFonts w:ascii="Times New Roman" w:hAnsi="Times New Roman" w:eastAsia="宋体" w:cs="Times New Roman"/>
          <w:sz w:val="24"/>
          <w:szCs w:val="24"/>
          <w:u w:val="single"/>
        </w:rPr>
        <w:t xml:space="preserve">  （采购人名称）   </w:t>
      </w:r>
      <w:r>
        <w:rPr>
          <w:rFonts w:ascii="Times New Roman" w:hAnsi="Times New Roman" w:eastAsia="宋体" w:cs="Times New Roman"/>
          <w:sz w:val="24"/>
          <w:szCs w:val="24"/>
        </w:rPr>
        <w:t>：</w:t>
      </w:r>
    </w:p>
    <w:p w14:paraId="00B411A1">
      <w:pPr>
        <w:spacing w:line="360" w:lineRule="auto"/>
        <w:rPr>
          <w:rFonts w:ascii="Times New Roman" w:hAnsi="Times New Roman" w:eastAsia="宋体" w:cs="Times New Roman"/>
          <w:sz w:val="24"/>
          <w:szCs w:val="24"/>
        </w:rPr>
      </w:pPr>
    </w:p>
    <w:p w14:paraId="1714FB59">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我单位参加的</w:t>
      </w:r>
      <w:r>
        <w:rPr>
          <w:rFonts w:ascii="Times New Roman" w:hAnsi="Times New Roman" w:eastAsia="宋体" w:cs="Times New Roman"/>
          <w:sz w:val="24"/>
          <w:szCs w:val="24"/>
          <w:u w:val="single"/>
        </w:rPr>
        <w:t xml:space="preserve">  （项目名称、项目编号、包号）  </w:t>
      </w:r>
      <w:r>
        <w:rPr>
          <w:rFonts w:ascii="Times New Roman" w:hAnsi="Times New Roman" w:eastAsia="宋体" w:cs="Times New Roman"/>
          <w:sz w:val="24"/>
          <w:szCs w:val="24"/>
        </w:rPr>
        <w:t>投标活动中，承诺本次投标提供的所有投标产品均不属于《关于在政府采购活动中对有关美国企业采取相关措施的通知》（</w:t>
      </w:r>
      <w:r>
        <w:rPr>
          <w:rFonts w:ascii="Times New Roman" w:hAnsi="Times New Roman" w:eastAsia="宋体" w:cs="Times New Roman"/>
          <w:color w:val="333333"/>
          <w:sz w:val="24"/>
          <w:szCs w:val="24"/>
          <w:shd w:val="clear" w:color="auto" w:fill="FFFFFF"/>
        </w:rPr>
        <w:t>财库〔2026〕10号</w:t>
      </w:r>
      <w:r>
        <w:rPr>
          <w:rFonts w:ascii="Times New Roman" w:hAnsi="Times New Roman" w:eastAsia="宋体" w:cs="Times New Roman"/>
          <w:sz w:val="24"/>
          <w:szCs w:val="24"/>
        </w:rPr>
        <w:t>）中46家美国企业（不包括在华美资企业）生产的产品。</w:t>
      </w:r>
    </w:p>
    <w:p w14:paraId="1AFB561A">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本承诺内容真实有效，如有虚假，我单位承担所有法律责任与后果。</w:t>
      </w:r>
    </w:p>
    <w:p w14:paraId="3722E2D1">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特此承诺！</w:t>
      </w:r>
    </w:p>
    <w:p w14:paraId="506440E5">
      <w:pPr>
        <w:spacing w:line="360" w:lineRule="auto"/>
        <w:ind w:firstLine="480" w:firstLineChars="200"/>
        <w:rPr>
          <w:rFonts w:ascii="Times New Roman" w:hAnsi="Times New Roman" w:eastAsia="宋体" w:cs="Times New Roman"/>
          <w:sz w:val="24"/>
          <w:szCs w:val="24"/>
        </w:rPr>
      </w:pPr>
    </w:p>
    <w:p w14:paraId="311A6A48">
      <w:pPr>
        <w:spacing w:line="360" w:lineRule="auto"/>
        <w:ind w:firstLine="480" w:firstLineChars="200"/>
        <w:jc w:val="right"/>
        <w:rPr>
          <w:rFonts w:ascii="Times New Roman" w:hAnsi="Times New Roman" w:eastAsia="宋体" w:cs="Times New Roman"/>
          <w:sz w:val="24"/>
          <w:szCs w:val="24"/>
        </w:rPr>
      </w:pPr>
      <w:r>
        <w:rPr>
          <w:rFonts w:ascii="Times New Roman" w:hAnsi="Times New Roman" w:eastAsia="宋体" w:cs="Times New Roman"/>
          <w:sz w:val="24"/>
          <w:szCs w:val="24"/>
        </w:rPr>
        <w:t>投标人名称：</w:t>
      </w:r>
    </w:p>
    <w:p w14:paraId="5D6C24DF">
      <w:pPr>
        <w:spacing w:line="360" w:lineRule="auto"/>
        <w:ind w:firstLine="480" w:firstLineChars="200"/>
        <w:jc w:val="right"/>
        <w:rPr>
          <w:rFonts w:ascii="Times New Roman" w:hAnsi="Times New Roman" w:eastAsia="宋体" w:cs="Times New Roman"/>
          <w:sz w:val="24"/>
          <w:szCs w:val="24"/>
        </w:rPr>
      </w:pPr>
      <w:r>
        <w:rPr>
          <w:rFonts w:ascii="Times New Roman" w:hAnsi="Times New Roman" w:eastAsia="宋体" w:cs="Times New Roman"/>
          <w:sz w:val="24"/>
          <w:szCs w:val="24"/>
        </w:rPr>
        <w:t>（盖章）</w:t>
      </w:r>
    </w:p>
    <w:p w14:paraId="18CF5B40">
      <w:pPr>
        <w:spacing w:line="360" w:lineRule="auto"/>
        <w:ind w:firstLine="480" w:firstLineChars="200"/>
        <w:jc w:val="right"/>
        <w:rPr>
          <w:rFonts w:ascii="Times New Roman" w:hAnsi="Times New Roman" w:eastAsia="宋体" w:cs="Times New Roman"/>
          <w:sz w:val="24"/>
          <w:szCs w:val="24"/>
        </w:rPr>
      </w:pPr>
      <w:r>
        <w:rPr>
          <w:rFonts w:ascii="Times New Roman" w:hAnsi="Times New Roman" w:eastAsia="宋体" w:cs="Times New Roman"/>
          <w:sz w:val="24"/>
          <w:szCs w:val="24"/>
        </w:rPr>
        <w:t>时间：   年   月   日</w:t>
      </w:r>
    </w:p>
    <w:p w14:paraId="74BE43A4">
      <w:pPr>
        <w:rPr>
          <w:rFonts w:hint="eastAsia" w:ascii="宋体" w:hAnsi="宋体"/>
          <w:b/>
          <w:bCs/>
          <w:kern w:val="0"/>
          <w:sz w:val="36"/>
          <w:szCs w:val="36"/>
        </w:rPr>
      </w:pPr>
      <w:r>
        <w:rPr>
          <w:rFonts w:hint="eastAsia" w:ascii="宋体" w:hAnsi="宋体"/>
          <w:b/>
          <w:bCs/>
          <w:kern w:val="0"/>
          <w:sz w:val="36"/>
          <w:szCs w:val="36"/>
        </w:rPr>
        <w:br w:type="page"/>
      </w:r>
    </w:p>
    <w:p w14:paraId="5C7E007B">
      <w:pPr>
        <w:spacing w:line="360" w:lineRule="auto"/>
        <w:jc w:val="center"/>
        <w:outlineLvl w:val="0"/>
        <w:rPr>
          <w:rFonts w:hint="eastAsia" w:ascii="宋体" w:hAnsi="宋体"/>
          <w:b/>
          <w:bCs/>
          <w:kern w:val="0"/>
          <w:sz w:val="36"/>
          <w:szCs w:val="36"/>
        </w:rPr>
      </w:pPr>
      <w:r>
        <w:rPr>
          <w:rFonts w:hint="eastAsia" w:ascii="宋体" w:hAnsi="宋体"/>
          <w:b/>
          <w:bCs/>
          <w:kern w:val="0"/>
          <w:sz w:val="36"/>
          <w:szCs w:val="36"/>
        </w:rPr>
        <w:t>第七章 评标文件（附：评标标准）</w:t>
      </w:r>
    </w:p>
    <w:p w14:paraId="37F09114">
      <w:pPr>
        <w:pStyle w:val="111"/>
        <w:spacing w:line="360" w:lineRule="auto"/>
        <w:rPr>
          <w:rFonts w:ascii="宋体" w:hAnsi="宋体" w:cs="宋体"/>
          <w:b/>
          <w:sz w:val="24"/>
          <w:szCs w:val="24"/>
        </w:rPr>
      </w:pPr>
    </w:p>
    <w:p w14:paraId="39D58DEB">
      <w:pPr>
        <w:pStyle w:val="4"/>
        <w:spacing w:after="0" w:line="360" w:lineRule="auto"/>
        <w:jc w:val="left"/>
        <w:rPr>
          <w:sz w:val="28"/>
          <w:szCs w:val="28"/>
        </w:rPr>
      </w:pPr>
      <w:r>
        <w:rPr>
          <w:rFonts w:hint="eastAsia"/>
          <w:sz w:val="28"/>
          <w:szCs w:val="28"/>
        </w:rPr>
        <w:t>一、说明</w:t>
      </w:r>
      <w:bookmarkEnd w:id="30"/>
      <w:bookmarkEnd w:id="31"/>
    </w:p>
    <w:p w14:paraId="50B23B39">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1.1 概述</w:t>
      </w:r>
    </w:p>
    <w:p w14:paraId="6096E527">
      <w:pPr>
        <w:spacing w:line="360" w:lineRule="auto"/>
        <w:rPr>
          <w:rFonts w:hint="eastAsia" w:ascii="宋体" w:hAnsi="宋体"/>
          <w:sz w:val="24"/>
        </w:rPr>
      </w:pPr>
      <w:r>
        <w:rPr>
          <w:rFonts w:hint="eastAsia" w:ascii="宋体" w:hAnsi="宋体" w:eastAsiaTheme="minorEastAsia" w:cstheme="minorBidi"/>
          <w:sz w:val="24"/>
        </w:rPr>
        <w:t>根据《中华人民共和国政府采购法》和国家及地方采购有关文件精神，在保证</w:t>
      </w:r>
      <w:r>
        <w:rPr>
          <w:rFonts w:hint="eastAsia" w:ascii="宋体" w:hAnsi="宋体" w:eastAsiaTheme="minorEastAsia" w:cstheme="minorBidi"/>
          <w:sz w:val="24"/>
          <w:lang w:eastAsia="zh-CN"/>
        </w:rPr>
        <w:t>中国科学院华南植物园多通道长期监测荧光仪等5台仪器设备</w:t>
      </w:r>
      <w:r>
        <w:rPr>
          <w:rFonts w:hint="eastAsia" w:ascii="宋体" w:hAnsi="宋体" w:eastAsiaTheme="minorEastAsia" w:cstheme="minorBidi"/>
          <w:sz w:val="24"/>
        </w:rPr>
        <w:t>采购项目招标公开、公平、公正的基础上，结合项目需求，由东方国际招标有限责任公司制定本评标文件，评标委员会确认。内容包括本次评标的评审过程和方</w:t>
      </w:r>
      <w:r>
        <w:rPr>
          <w:rFonts w:hint="eastAsia" w:ascii="宋体"/>
          <w:sz w:val="24"/>
        </w:rPr>
        <w:t>法。</w:t>
      </w:r>
    </w:p>
    <w:p w14:paraId="17E1F524">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1.2 定义</w:t>
      </w:r>
    </w:p>
    <w:p w14:paraId="5286361A">
      <w:pPr>
        <w:spacing w:line="360" w:lineRule="auto"/>
        <w:ind w:left="1382" w:hanging="1382" w:hangingChars="576"/>
        <w:rPr>
          <w:rFonts w:hint="eastAsia" w:ascii="宋体" w:hAnsi="宋体"/>
          <w:sz w:val="24"/>
        </w:rPr>
      </w:pPr>
      <w:r>
        <w:rPr>
          <w:rFonts w:hint="eastAsia" w:ascii="宋体" w:hAnsi="宋体"/>
          <w:sz w:val="24"/>
        </w:rPr>
        <w:t>采购人：</w:t>
      </w:r>
      <w:r>
        <w:rPr>
          <w:rFonts w:hint="eastAsia" w:ascii="宋体" w:hAnsi="宋体" w:eastAsiaTheme="minorEastAsia" w:cstheme="minorBidi"/>
          <w:sz w:val="24"/>
          <w:lang w:eastAsia="zh-CN"/>
        </w:rPr>
        <w:t>中国科学院华南植物园</w:t>
      </w:r>
      <w:r>
        <w:rPr>
          <w:rFonts w:hint="eastAsia" w:ascii="宋体" w:hAnsi="宋体"/>
          <w:sz w:val="24"/>
        </w:rPr>
        <w:t>。</w:t>
      </w:r>
    </w:p>
    <w:p w14:paraId="01D65CFD">
      <w:pPr>
        <w:spacing w:line="360" w:lineRule="auto"/>
        <w:ind w:left="1382" w:hanging="1382" w:hangingChars="576"/>
        <w:rPr>
          <w:rFonts w:hint="eastAsia" w:ascii="宋体" w:hAnsi="宋体"/>
          <w:sz w:val="24"/>
        </w:rPr>
      </w:pPr>
      <w:r>
        <w:rPr>
          <w:rFonts w:hint="eastAsia" w:ascii="宋体" w:hAnsi="宋体"/>
          <w:sz w:val="24"/>
        </w:rPr>
        <w:t>采购代理机构：</w:t>
      </w:r>
      <w:r>
        <w:rPr>
          <w:rFonts w:hint="eastAsia" w:ascii="time of new roman" w:hAnsi="time of new roman"/>
          <w:sz w:val="24"/>
        </w:rPr>
        <w:t>东方国际招标有限责任公司</w:t>
      </w:r>
      <w:r>
        <w:rPr>
          <w:rFonts w:hint="eastAsia" w:ascii="宋体" w:hAnsi="宋体"/>
          <w:sz w:val="24"/>
        </w:rPr>
        <w:t>。</w:t>
      </w:r>
    </w:p>
    <w:p w14:paraId="17BA0BB6">
      <w:pPr>
        <w:pStyle w:val="4"/>
        <w:spacing w:after="0" w:line="360" w:lineRule="auto"/>
        <w:jc w:val="left"/>
        <w:rPr>
          <w:sz w:val="28"/>
          <w:szCs w:val="28"/>
        </w:rPr>
      </w:pPr>
      <w:bookmarkStart w:id="32" w:name="_Toc458980397"/>
      <w:bookmarkStart w:id="33" w:name="_Toc422161996"/>
      <w:bookmarkStart w:id="34" w:name="_Toc439679272"/>
      <w:bookmarkStart w:id="35" w:name="_Toc470184445"/>
      <w:bookmarkStart w:id="36" w:name="_Toc369081823"/>
      <w:bookmarkStart w:id="37" w:name="_Toc438722134"/>
      <w:bookmarkStart w:id="38" w:name="_Toc25938565"/>
      <w:bookmarkStart w:id="39" w:name="_Toc439513449"/>
      <w:bookmarkStart w:id="40" w:name="_Toc438508601"/>
      <w:bookmarkStart w:id="41" w:name="_Toc23987"/>
      <w:bookmarkStart w:id="42" w:name="_Toc487044256"/>
      <w:bookmarkStart w:id="43" w:name="_Toc416208490"/>
      <w:bookmarkStart w:id="44" w:name="_Toc439513165"/>
      <w:bookmarkStart w:id="45" w:name="_Toc458635600"/>
      <w:bookmarkStart w:id="46" w:name="_Toc498035131"/>
      <w:bookmarkStart w:id="47" w:name="_Toc358307752"/>
      <w:bookmarkStart w:id="48" w:name="_Toc479325596"/>
      <w:bookmarkStart w:id="49" w:name="_Toc494812263"/>
      <w:bookmarkStart w:id="50" w:name="_Toc477879844"/>
      <w:bookmarkStart w:id="51" w:name="_Toc73979860"/>
      <w:bookmarkStart w:id="52" w:name="_Toc418023337"/>
      <w:bookmarkStart w:id="53" w:name="_Toc486969383"/>
      <w:bookmarkStart w:id="54" w:name="_Toc438513738"/>
      <w:bookmarkStart w:id="55" w:name="_Toc273342936"/>
      <w:bookmarkStart w:id="56" w:name="_Toc479340793"/>
      <w:bookmarkStart w:id="57" w:name="_Toc414510784"/>
      <w:bookmarkStart w:id="58" w:name="_Toc422865425"/>
      <w:bookmarkStart w:id="59" w:name="_Toc425347666"/>
      <w:r>
        <w:rPr>
          <w:rFonts w:hint="eastAsia"/>
          <w:sz w:val="28"/>
          <w:szCs w:val="28"/>
        </w:rPr>
        <w:t>二、评标须知</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576008A1">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2.1 关于评标方案</w:t>
      </w:r>
    </w:p>
    <w:p w14:paraId="1A37EC38">
      <w:pPr>
        <w:spacing w:line="360" w:lineRule="auto"/>
        <w:rPr>
          <w:rFonts w:hint="eastAsia" w:ascii="宋体" w:hAnsi="宋体"/>
          <w:sz w:val="24"/>
        </w:rPr>
      </w:pPr>
      <w:r>
        <w:rPr>
          <w:rFonts w:hint="eastAsia" w:ascii="宋体" w:hAnsi="宋体"/>
          <w:sz w:val="24"/>
        </w:rPr>
        <w:t>（1）评标委员会的每位成员（简称评委）应认真地阅读并确认已经正确理解了评标方案；</w:t>
      </w:r>
    </w:p>
    <w:p w14:paraId="6E6DF11D">
      <w:pPr>
        <w:spacing w:line="360" w:lineRule="auto"/>
        <w:rPr>
          <w:rFonts w:hint="eastAsia" w:ascii="宋体" w:hAnsi="宋体"/>
          <w:sz w:val="24"/>
        </w:rPr>
      </w:pPr>
      <w:r>
        <w:rPr>
          <w:rFonts w:hint="eastAsia" w:ascii="宋体" w:hAnsi="宋体"/>
          <w:sz w:val="24"/>
        </w:rPr>
        <w:t>（2）评委如对评标方案有异议，应在评标开始前提出。</w:t>
      </w:r>
    </w:p>
    <w:p w14:paraId="0AC7DE66">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2.2 关于评标纪律</w:t>
      </w:r>
    </w:p>
    <w:p w14:paraId="30ABA215">
      <w:pPr>
        <w:spacing w:line="360" w:lineRule="auto"/>
        <w:rPr>
          <w:rFonts w:hint="eastAsia" w:ascii="宋体" w:hAnsi="宋体"/>
          <w:sz w:val="24"/>
        </w:rPr>
      </w:pPr>
      <w:r>
        <w:rPr>
          <w:rFonts w:hint="eastAsia" w:ascii="宋体" w:hAnsi="宋体"/>
          <w:sz w:val="24"/>
        </w:rPr>
        <w:t>（1）评标委员会成员不得与任何投标人或者与招标结果有利害关系的人进行私下接触，</w:t>
      </w:r>
    </w:p>
    <w:p w14:paraId="4375CDDB">
      <w:pPr>
        <w:spacing w:line="360" w:lineRule="auto"/>
        <w:rPr>
          <w:rFonts w:hint="eastAsia" w:ascii="宋体" w:hAnsi="宋体"/>
          <w:sz w:val="24"/>
        </w:rPr>
      </w:pPr>
      <w:r>
        <w:rPr>
          <w:rFonts w:hint="eastAsia" w:ascii="宋体" w:hAnsi="宋体"/>
          <w:sz w:val="24"/>
        </w:rPr>
        <w:t>不得收受投标人、中介人、其他利害关系人的财物或者其他好处；</w:t>
      </w:r>
    </w:p>
    <w:p w14:paraId="19671650">
      <w:pPr>
        <w:spacing w:line="360" w:lineRule="auto"/>
        <w:rPr>
          <w:rFonts w:hint="eastAsia" w:ascii="宋体" w:hAnsi="宋体"/>
          <w:sz w:val="24"/>
        </w:rPr>
      </w:pPr>
      <w:r>
        <w:rPr>
          <w:rFonts w:hint="eastAsia" w:ascii="宋体" w:hAnsi="宋体"/>
          <w:sz w:val="24"/>
        </w:rPr>
        <w:t>（2）评委应本着客观、公正的原则独立给出评价意见；</w:t>
      </w:r>
    </w:p>
    <w:p w14:paraId="22CFC70B">
      <w:pPr>
        <w:spacing w:line="360" w:lineRule="auto"/>
        <w:rPr>
          <w:rFonts w:hint="eastAsia" w:ascii="宋体" w:hAnsi="宋体"/>
          <w:sz w:val="24"/>
        </w:rPr>
      </w:pPr>
      <w:r>
        <w:rPr>
          <w:rFonts w:hint="eastAsia" w:ascii="宋体" w:hAnsi="宋体"/>
          <w:sz w:val="24"/>
        </w:rPr>
        <w:t>（3）评委之间不得相互串通进行评分；</w:t>
      </w:r>
    </w:p>
    <w:p w14:paraId="1813AB85">
      <w:pPr>
        <w:spacing w:line="360" w:lineRule="auto"/>
        <w:rPr>
          <w:rFonts w:hint="eastAsia" w:ascii="宋体" w:hAnsi="宋体"/>
          <w:sz w:val="24"/>
        </w:rPr>
      </w:pPr>
      <w:r>
        <w:rPr>
          <w:rFonts w:hint="eastAsia" w:ascii="宋体" w:hAnsi="宋体"/>
          <w:sz w:val="24"/>
        </w:rPr>
        <w:t>（4）评委不得试图影响其他评委的评价意见；</w:t>
      </w:r>
    </w:p>
    <w:p w14:paraId="45A7BB79">
      <w:pPr>
        <w:spacing w:line="360" w:lineRule="auto"/>
        <w:rPr>
          <w:rFonts w:hint="eastAsia" w:ascii="宋体" w:hAnsi="宋体"/>
          <w:sz w:val="24"/>
        </w:rPr>
      </w:pPr>
      <w:r>
        <w:rPr>
          <w:rFonts w:hint="eastAsia" w:ascii="宋体" w:hAnsi="宋体"/>
          <w:sz w:val="24"/>
        </w:rPr>
        <w:t>（5）评委应关闭通讯工具或设置为震动状态，统一交由工作人员保管。</w:t>
      </w:r>
    </w:p>
    <w:p w14:paraId="4ECFE699">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2.3 关于评标责任</w:t>
      </w:r>
    </w:p>
    <w:p w14:paraId="18CE6D07">
      <w:pPr>
        <w:spacing w:line="360" w:lineRule="auto"/>
        <w:rPr>
          <w:rFonts w:hint="eastAsia" w:ascii="宋体" w:hAnsi="宋体"/>
          <w:sz w:val="24"/>
        </w:rPr>
      </w:pPr>
      <w:r>
        <w:rPr>
          <w:rFonts w:hint="eastAsia" w:ascii="宋体" w:hAnsi="宋体"/>
          <w:sz w:val="24"/>
        </w:rPr>
        <w:t>（1）评委应在其书面评审意见上签字确认；</w:t>
      </w:r>
    </w:p>
    <w:p w14:paraId="4239592B">
      <w:pPr>
        <w:spacing w:line="360" w:lineRule="auto"/>
        <w:rPr>
          <w:rFonts w:hint="eastAsia" w:ascii="宋体" w:hAnsi="宋体"/>
          <w:sz w:val="24"/>
        </w:rPr>
      </w:pPr>
      <w:r>
        <w:rPr>
          <w:rFonts w:hint="eastAsia" w:ascii="宋体" w:hAnsi="宋体"/>
          <w:sz w:val="24"/>
        </w:rPr>
        <w:t>（2）评委对其所提出的评审意见承担个人责任。</w:t>
      </w:r>
    </w:p>
    <w:p w14:paraId="2D1EA63B">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2.4 关于回避</w:t>
      </w:r>
    </w:p>
    <w:p w14:paraId="0BDBF696">
      <w:pPr>
        <w:spacing w:line="360" w:lineRule="auto"/>
        <w:ind w:firstLine="480" w:firstLineChars="200"/>
        <w:rPr>
          <w:rFonts w:hint="eastAsia" w:ascii="宋体" w:hAnsi="宋体"/>
          <w:sz w:val="24"/>
        </w:rPr>
      </w:pPr>
      <w:r>
        <w:rPr>
          <w:rFonts w:hint="eastAsia" w:ascii="宋体" w:hAnsi="宋体"/>
          <w:sz w:val="24"/>
        </w:rPr>
        <w:t>有下列情形之一的，不得担任评标委员会成员，如事先不知情的，应在宣读投标人名单及评标纪律后主动提出回避：</w:t>
      </w:r>
    </w:p>
    <w:p w14:paraId="108F811B">
      <w:pPr>
        <w:spacing w:line="360" w:lineRule="auto"/>
        <w:rPr>
          <w:rFonts w:hint="eastAsia" w:ascii="宋体" w:hAnsi="宋体"/>
          <w:sz w:val="24"/>
        </w:rPr>
      </w:pPr>
      <w:r>
        <w:rPr>
          <w:rFonts w:hint="eastAsia" w:ascii="宋体" w:hAnsi="宋体"/>
          <w:sz w:val="24"/>
        </w:rPr>
        <w:t>（1）是投标人或者投标人主要负责人的近亲属；</w:t>
      </w:r>
    </w:p>
    <w:p w14:paraId="6C58AD84">
      <w:pPr>
        <w:spacing w:line="360" w:lineRule="auto"/>
        <w:rPr>
          <w:rFonts w:hint="eastAsia" w:ascii="宋体" w:hAnsi="宋体"/>
          <w:sz w:val="24"/>
        </w:rPr>
      </w:pPr>
      <w:r>
        <w:rPr>
          <w:rFonts w:hint="eastAsia" w:ascii="宋体" w:hAnsi="宋体"/>
          <w:sz w:val="24"/>
        </w:rPr>
        <w:t>（2）与投标人有经济利益关系，可能影响对投标公正评审的；</w:t>
      </w:r>
    </w:p>
    <w:p w14:paraId="21059073">
      <w:pPr>
        <w:spacing w:line="360" w:lineRule="auto"/>
        <w:rPr>
          <w:rFonts w:hint="eastAsia" w:ascii="宋体" w:hAnsi="宋体"/>
          <w:sz w:val="24"/>
        </w:rPr>
      </w:pPr>
      <w:r>
        <w:rPr>
          <w:rFonts w:hint="eastAsia" w:ascii="宋体" w:hAnsi="宋体"/>
          <w:sz w:val="24"/>
        </w:rPr>
        <w:t>（3）曾因在招标、评标以及其他与招标投标有关活动中从事违法行为而受过行政处罚或刑事处罚的。</w:t>
      </w:r>
    </w:p>
    <w:p w14:paraId="6D834A0A">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2.5 关于保密</w:t>
      </w:r>
    </w:p>
    <w:p w14:paraId="60BC5FA9">
      <w:pPr>
        <w:spacing w:line="360" w:lineRule="auto"/>
        <w:ind w:firstLine="480" w:firstLineChars="200"/>
        <w:rPr>
          <w:rFonts w:hint="eastAsia" w:ascii="宋体" w:hAnsi="宋体"/>
          <w:sz w:val="24"/>
        </w:rPr>
      </w:pPr>
      <w:r>
        <w:rPr>
          <w:rFonts w:hint="eastAsia" w:ascii="宋体" w:hAnsi="宋体"/>
          <w:sz w:val="24"/>
        </w:rPr>
        <w:t>评标委员会成员和与评标活动有关的工作人员不得透露对投标文件的评审和比较、中标候选人的推荐情况以及评标有关的其他情况。</w:t>
      </w:r>
    </w:p>
    <w:p w14:paraId="35AEC451">
      <w:pPr>
        <w:pStyle w:val="8"/>
        <w:spacing w:line="360" w:lineRule="auto"/>
        <w:ind w:firstLine="480" w:firstLineChars="200"/>
        <w:rPr>
          <w:rFonts w:hint="eastAsia"/>
        </w:rPr>
      </w:pPr>
      <w:r>
        <w:rPr>
          <w:rFonts w:hint="eastAsia"/>
        </w:rPr>
        <w:t>前款所称与评标活动有关的工作人员，是指评标委员会成员以外的因参与评标监督工作或者事务性工作而知悉有关评标情况的所有人员。</w:t>
      </w:r>
    </w:p>
    <w:p w14:paraId="0CAE1CD0">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2.6投标文件的澄清</w:t>
      </w:r>
    </w:p>
    <w:p w14:paraId="0E9412AF">
      <w:pPr>
        <w:spacing w:line="360" w:lineRule="auto"/>
        <w:ind w:firstLine="480" w:firstLineChars="200"/>
        <w:rPr>
          <w:rFonts w:hint="eastAsia" w:ascii="宋体" w:hAnsi="宋体"/>
          <w:sz w:val="24"/>
        </w:rPr>
      </w:pPr>
      <w:r>
        <w:rPr>
          <w:rFonts w:hint="eastAsia" w:ascii="宋体" w:hAnsi="宋体"/>
          <w:sz w:val="24"/>
        </w:rPr>
        <w:t>（1）除评标委员会主动要求澄清外，从开标后至授予合同期间，任何投标人均不得就与其投标相关的任何问题与评标委员会联系。在评标过程中，如果投标人试图在投标文件审查、澄清、比较及授予合同方面向采购人施加任何影响，其投标将被拒绝。</w:t>
      </w:r>
    </w:p>
    <w:p w14:paraId="619D831D">
      <w:pPr>
        <w:spacing w:line="360" w:lineRule="auto"/>
        <w:ind w:firstLine="480" w:firstLineChars="200"/>
        <w:rPr>
          <w:rFonts w:hint="eastAsia" w:ascii="宋体" w:hAnsi="宋体"/>
          <w:sz w:val="24"/>
        </w:rPr>
      </w:pPr>
      <w:r>
        <w:rPr>
          <w:rFonts w:hint="eastAsia" w:ascii="宋体" w:hAnsi="宋体"/>
          <w:sz w:val="24"/>
        </w:rPr>
        <w:t>（2）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以书面形式表达并加盖公章的答复经评标委员会认可后，可作为投标文件的一部分参与评标。</w:t>
      </w:r>
    </w:p>
    <w:p w14:paraId="72BBCA92">
      <w:pPr>
        <w:pStyle w:val="4"/>
        <w:spacing w:after="0" w:line="360" w:lineRule="auto"/>
        <w:rPr>
          <w:sz w:val="28"/>
          <w:szCs w:val="28"/>
        </w:rPr>
      </w:pPr>
      <w:bookmarkStart w:id="60" w:name="_Toc414510785"/>
      <w:bookmarkStart w:id="61" w:name="_Toc486969384"/>
      <w:bookmarkStart w:id="62" w:name="_Toc422161997"/>
      <w:bookmarkStart w:id="63" w:name="_Toc425347667"/>
      <w:bookmarkStart w:id="64" w:name="_Toc73979861"/>
      <w:bookmarkStart w:id="65" w:name="_Toc439513450"/>
      <w:bookmarkStart w:id="66" w:name="_Toc25938566"/>
      <w:bookmarkStart w:id="67" w:name="_Toc24194"/>
      <w:bookmarkStart w:id="68" w:name="_Toc422865426"/>
      <w:bookmarkStart w:id="69" w:name="_Toc438722135"/>
      <w:bookmarkStart w:id="70" w:name="_Toc438513739"/>
      <w:bookmarkStart w:id="71" w:name="_Toc479340794"/>
      <w:bookmarkStart w:id="72" w:name="_Toc439679273"/>
      <w:bookmarkStart w:id="73" w:name="_Toc439513166"/>
      <w:bookmarkStart w:id="74" w:name="_Toc494812264"/>
      <w:bookmarkStart w:id="75" w:name="_Toc416208491"/>
      <w:bookmarkStart w:id="76" w:name="_Toc438508602"/>
      <w:bookmarkStart w:id="77" w:name="_Toc458635601"/>
      <w:bookmarkStart w:id="78" w:name="_Toc487044257"/>
      <w:bookmarkStart w:id="79" w:name="_Toc458980398"/>
      <w:bookmarkStart w:id="80" w:name="_Toc418023338"/>
      <w:bookmarkStart w:id="81" w:name="_Toc498035132"/>
      <w:bookmarkStart w:id="82" w:name="_Toc477879845"/>
      <w:bookmarkStart w:id="83" w:name="_Toc479325597"/>
      <w:bookmarkStart w:id="84" w:name="_Toc470184446"/>
      <w:r>
        <w:rPr>
          <w:rFonts w:hint="eastAsia"/>
          <w:sz w:val="28"/>
          <w:szCs w:val="28"/>
        </w:rPr>
        <w:t>三、评标委员会</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2957377B">
      <w:pPr>
        <w:spacing w:line="360" w:lineRule="auto"/>
        <w:ind w:left="631" w:hanging="631" w:hangingChars="263"/>
        <w:rPr>
          <w:rFonts w:hint="eastAsia" w:ascii="宋体" w:hAnsi="宋体"/>
          <w:sz w:val="24"/>
        </w:rPr>
      </w:pPr>
      <w:r>
        <w:rPr>
          <w:rFonts w:hint="eastAsia" w:ascii="宋体" w:hAnsi="宋体"/>
          <w:sz w:val="24"/>
        </w:rPr>
        <w:t>3</w:t>
      </w:r>
      <w:r>
        <w:rPr>
          <w:rFonts w:ascii="宋体" w:hAnsi="宋体"/>
          <w:sz w:val="24"/>
        </w:rPr>
        <w:t>.1</w:t>
      </w:r>
      <w:r>
        <w:rPr>
          <w:rFonts w:hint="eastAsia" w:ascii="宋体" w:hAnsi="宋体"/>
          <w:sz w:val="24"/>
        </w:rPr>
        <w:t>依法组建评标委员会</w:t>
      </w:r>
    </w:p>
    <w:p w14:paraId="11F827A7">
      <w:pPr>
        <w:spacing w:line="360" w:lineRule="auto"/>
        <w:ind w:firstLine="480" w:firstLineChars="200"/>
        <w:rPr>
          <w:rFonts w:hint="eastAsia" w:ascii="宋体" w:hAnsi="宋体"/>
          <w:sz w:val="24"/>
        </w:rPr>
      </w:pPr>
      <w:r>
        <w:rPr>
          <w:rFonts w:hint="eastAsia" w:ascii="宋体" w:hAnsi="宋体"/>
          <w:sz w:val="24"/>
        </w:rPr>
        <w:t>评标委员会根据项目采购实际情况进行组建，并负责评标工作。采购代理机构将按照《中华人民共和国政府采购法》及有关规定组建评标委员会。评标委员会负责评标工作，对投标文件进行审查和评价，并向采购人提交书面评标报告。</w:t>
      </w:r>
    </w:p>
    <w:p w14:paraId="7815ED75">
      <w:pPr>
        <w:spacing w:line="360" w:lineRule="auto"/>
        <w:ind w:left="630" w:right="17" w:rightChars="8" w:hanging="630"/>
        <w:rPr>
          <w:rFonts w:hint="eastAsia" w:ascii="宋体" w:hAnsi="宋体"/>
          <w:sz w:val="24"/>
        </w:rPr>
      </w:pPr>
      <w:r>
        <w:rPr>
          <w:rFonts w:hint="eastAsia" w:ascii="宋体" w:hAnsi="宋体"/>
          <w:sz w:val="24"/>
        </w:rPr>
        <w:t>3</w:t>
      </w:r>
      <w:r>
        <w:rPr>
          <w:rFonts w:ascii="宋体" w:hAnsi="宋体"/>
          <w:sz w:val="24"/>
        </w:rPr>
        <w:t>.2</w:t>
      </w:r>
      <w:r>
        <w:rPr>
          <w:rFonts w:hint="eastAsia" w:ascii="宋体" w:hAnsi="宋体"/>
          <w:sz w:val="24"/>
        </w:rPr>
        <w:t>评标委员会将只对确定为实质性响应招标文件要求的投标，即通过资格审查和符</w:t>
      </w:r>
    </w:p>
    <w:p w14:paraId="7C439FC1">
      <w:pPr>
        <w:spacing w:line="360" w:lineRule="auto"/>
        <w:ind w:left="630" w:right="17" w:rightChars="8" w:hanging="630"/>
        <w:rPr>
          <w:rFonts w:hint="eastAsia" w:ascii="宋体" w:hAnsi="宋体"/>
          <w:sz w:val="24"/>
        </w:rPr>
      </w:pPr>
      <w:r>
        <w:rPr>
          <w:rFonts w:hint="eastAsia" w:ascii="宋体" w:hAnsi="宋体"/>
          <w:sz w:val="24"/>
        </w:rPr>
        <w:t>合性审查的投标进行评价和比较，响应的依据是招标文件本身的内容，而不寻求其它</w:t>
      </w:r>
    </w:p>
    <w:p w14:paraId="4954B1DD">
      <w:pPr>
        <w:spacing w:line="360" w:lineRule="auto"/>
        <w:ind w:left="630" w:right="17" w:rightChars="8" w:hanging="630"/>
        <w:rPr>
          <w:rFonts w:hint="eastAsia" w:ascii="宋体" w:hAnsi="宋体"/>
          <w:sz w:val="24"/>
        </w:rPr>
      </w:pPr>
      <w:r>
        <w:rPr>
          <w:rFonts w:hint="eastAsia" w:ascii="宋体" w:hAnsi="宋体"/>
          <w:sz w:val="24"/>
        </w:rPr>
        <w:t>证据。实质性响应的投标应该是与招标文件要求的全部主要条款、条件和规格相符，</w:t>
      </w:r>
    </w:p>
    <w:p w14:paraId="513843C6">
      <w:pPr>
        <w:spacing w:line="360" w:lineRule="auto"/>
        <w:ind w:left="630" w:right="17" w:rightChars="8" w:hanging="630"/>
        <w:rPr>
          <w:rFonts w:hint="eastAsia" w:ascii="宋体" w:hAnsi="宋体"/>
          <w:sz w:val="24"/>
        </w:rPr>
      </w:pPr>
      <w:r>
        <w:rPr>
          <w:rFonts w:hint="eastAsia" w:ascii="宋体" w:hAnsi="宋体"/>
          <w:sz w:val="24"/>
        </w:rPr>
        <w:t>没有重大偏离的投标。</w:t>
      </w:r>
    </w:p>
    <w:p w14:paraId="768CF09F">
      <w:pPr>
        <w:pStyle w:val="4"/>
        <w:spacing w:after="0" w:line="360" w:lineRule="auto"/>
        <w:rPr>
          <w:sz w:val="28"/>
          <w:szCs w:val="28"/>
        </w:rPr>
      </w:pPr>
      <w:bookmarkStart w:id="85" w:name="_Toc422865427"/>
      <w:bookmarkStart w:id="86" w:name="_Toc498035133"/>
      <w:bookmarkStart w:id="87" w:name="_Toc416208492"/>
      <w:bookmarkStart w:id="88" w:name="_Toc23199"/>
      <w:bookmarkStart w:id="89" w:name="_Toc273342937"/>
      <w:bookmarkStart w:id="90" w:name="_Toc25938567"/>
      <w:bookmarkStart w:id="91" w:name="_Toc439513451"/>
      <w:bookmarkStart w:id="92" w:name="_Toc486969385"/>
      <w:bookmarkStart w:id="93" w:name="_Toc438722136"/>
      <w:bookmarkStart w:id="94" w:name="_Toc369081824"/>
      <w:bookmarkStart w:id="95" w:name="_Toc458635602"/>
      <w:bookmarkStart w:id="96" w:name="_Toc458980399"/>
      <w:bookmarkStart w:id="97" w:name="_Toc414510786"/>
      <w:bookmarkStart w:id="98" w:name="_Toc479340795"/>
      <w:bookmarkStart w:id="99" w:name="_Toc487044258"/>
      <w:bookmarkStart w:id="100" w:name="_Toc439679274"/>
      <w:bookmarkStart w:id="101" w:name="_Toc477879846"/>
      <w:bookmarkStart w:id="102" w:name="_Toc470184447"/>
      <w:bookmarkStart w:id="103" w:name="_Toc439513167"/>
      <w:bookmarkStart w:id="104" w:name="_Toc73979862"/>
      <w:bookmarkStart w:id="105" w:name="_Toc422161998"/>
      <w:bookmarkStart w:id="106" w:name="_Toc479325598"/>
      <w:bookmarkStart w:id="107" w:name="_Toc438508603"/>
      <w:bookmarkStart w:id="108" w:name="_Toc425347668"/>
      <w:bookmarkStart w:id="109" w:name="_Toc358307753"/>
      <w:bookmarkStart w:id="110" w:name="_Toc418023339"/>
      <w:bookmarkStart w:id="111" w:name="_Toc438513740"/>
      <w:bookmarkStart w:id="112" w:name="_Toc494812265"/>
      <w:r>
        <w:rPr>
          <w:rFonts w:hint="eastAsia"/>
          <w:sz w:val="28"/>
          <w:szCs w:val="28"/>
        </w:rPr>
        <w:t>四、评标原则</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17F800F8">
      <w:pPr>
        <w:spacing w:line="360" w:lineRule="auto"/>
        <w:ind w:left="734" w:hanging="734" w:hangingChars="306"/>
        <w:rPr>
          <w:rFonts w:hint="eastAsia" w:ascii="宋体" w:hAnsi="宋体"/>
          <w:sz w:val="24"/>
        </w:rPr>
      </w:pPr>
      <w:r>
        <w:rPr>
          <w:rFonts w:hint="eastAsia" w:ascii="宋体" w:hAnsi="宋体"/>
          <w:sz w:val="24"/>
        </w:rPr>
        <w:t>4.1 评标工作应依据《中华人民共和国政府采购法》以及国家和地方政府关于政府采购的有关规定，遵循“公平、公正、科学、择优”的</w:t>
      </w:r>
    </w:p>
    <w:p w14:paraId="2049F1A7">
      <w:pPr>
        <w:spacing w:line="360" w:lineRule="auto"/>
        <w:ind w:left="734" w:hanging="734" w:hangingChars="306"/>
        <w:rPr>
          <w:rFonts w:hint="eastAsia" w:ascii="宋体" w:hAnsi="宋体"/>
          <w:sz w:val="24"/>
        </w:rPr>
      </w:pPr>
      <w:r>
        <w:rPr>
          <w:rFonts w:hint="eastAsia" w:ascii="宋体" w:hAnsi="宋体"/>
          <w:sz w:val="24"/>
        </w:rPr>
        <w:t>原则。</w:t>
      </w:r>
    </w:p>
    <w:p w14:paraId="4FC8590D">
      <w:pPr>
        <w:spacing w:line="360" w:lineRule="auto"/>
        <w:ind w:left="734" w:hanging="734" w:hangingChars="306"/>
        <w:rPr>
          <w:rFonts w:hint="eastAsia" w:ascii="宋体" w:hAnsi="宋体"/>
          <w:sz w:val="24"/>
        </w:rPr>
      </w:pPr>
      <w:r>
        <w:rPr>
          <w:rFonts w:hint="eastAsia" w:ascii="宋体" w:hAnsi="宋体"/>
          <w:sz w:val="24"/>
        </w:rPr>
        <w:t>4.</w:t>
      </w:r>
      <w:r>
        <w:rPr>
          <w:rFonts w:ascii="宋体" w:hAnsi="宋体"/>
          <w:sz w:val="24"/>
        </w:rPr>
        <w:t>2</w:t>
      </w:r>
      <w:r>
        <w:rPr>
          <w:rFonts w:hint="eastAsia" w:ascii="宋体" w:hAnsi="宋体"/>
          <w:sz w:val="24"/>
        </w:rPr>
        <w:t xml:space="preserve"> 确定中标人的评标准则是：能够最大限度满足招标文件中规定的各项综合评价标</w:t>
      </w:r>
    </w:p>
    <w:p w14:paraId="540D2934">
      <w:pPr>
        <w:spacing w:line="360" w:lineRule="auto"/>
        <w:ind w:left="734" w:hanging="734" w:hangingChars="306"/>
        <w:rPr>
          <w:rFonts w:hint="eastAsia" w:ascii="宋体" w:hAnsi="宋体"/>
          <w:sz w:val="24"/>
        </w:rPr>
      </w:pPr>
      <w:r>
        <w:rPr>
          <w:rFonts w:hint="eastAsia" w:ascii="宋体" w:hAnsi="宋体"/>
          <w:sz w:val="24"/>
        </w:rPr>
        <w:t>准。评标委员会没有义务必须接受最低报价的投标。</w:t>
      </w:r>
    </w:p>
    <w:p w14:paraId="17F295CC">
      <w:pPr>
        <w:spacing w:line="360" w:lineRule="auto"/>
        <w:ind w:left="-2"/>
        <w:rPr>
          <w:rFonts w:hint="eastAsia" w:ascii="宋体" w:hAnsi="宋体"/>
          <w:sz w:val="24"/>
        </w:rPr>
      </w:pPr>
      <w:r>
        <w:rPr>
          <w:rFonts w:hint="eastAsia" w:ascii="宋体" w:hAnsi="宋体"/>
          <w:sz w:val="24"/>
        </w:rPr>
        <w:t>4</w:t>
      </w:r>
      <w:r>
        <w:rPr>
          <w:rFonts w:ascii="宋体" w:hAnsi="宋体"/>
          <w:sz w:val="24"/>
        </w:rPr>
        <w:t xml:space="preserve">.3 </w:t>
      </w:r>
      <w:r>
        <w:rPr>
          <w:rFonts w:hint="eastAsia" w:ascii="宋体" w:hAnsi="宋体"/>
          <w:sz w:val="24"/>
        </w:rPr>
        <w:t>评标委员会有权根据有关规定否决所有投标。</w:t>
      </w:r>
    </w:p>
    <w:p w14:paraId="506967C9">
      <w:pPr>
        <w:pStyle w:val="4"/>
        <w:spacing w:after="0" w:line="360" w:lineRule="auto"/>
        <w:rPr>
          <w:sz w:val="28"/>
          <w:szCs w:val="28"/>
        </w:rPr>
      </w:pPr>
      <w:bookmarkStart w:id="113" w:name="_Toc116924486"/>
      <w:bookmarkStart w:id="114" w:name="_Toc425347669"/>
      <w:bookmarkStart w:id="115" w:name="_Toc262564643"/>
      <w:bookmarkStart w:id="116" w:name="_Toc422865428"/>
      <w:bookmarkStart w:id="117" w:name="_Toc486969386"/>
      <w:bookmarkStart w:id="118" w:name="_Toc458980400"/>
      <w:bookmarkStart w:id="119" w:name="_Toc272394436"/>
      <w:bookmarkStart w:id="120" w:name="_Toc439513452"/>
      <w:bookmarkStart w:id="121" w:name="_Toc116981030"/>
      <w:bookmarkStart w:id="122" w:name="_Toc470184448"/>
      <w:bookmarkStart w:id="123" w:name="_Toc458635603"/>
      <w:bookmarkStart w:id="124" w:name="_Toc116976130"/>
      <w:bookmarkStart w:id="125" w:name="_Toc122420764"/>
      <w:bookmarkStart w:id="126" w:name="_Toc7451"/>
      <w:bookmarkStart w:id="127" w:name="_Toc277154673"/>
      <w:bookmarkStart w:id="128" w:name="_Toc265700488"/>
      <w:bookmarkStart w:id="129" w:name="_Toc479325599"/>
      <w:bookmarkStart w:id="130" w:name="_Toc494812266"/>
      <w:bookmarkStart w:id="131" w:name="_Toc422161999"/>
      <w:bookmarkStart w:id="132" w:name="_Toc498035134"/>
      <w:bookmarkStart w:id="133" w:name="_Toc267904313"/>
      <w:bookmarkStart w:id="134" w:name="_Toc416208493"/>
      <w:bookmarkStart w:id="135" w:name="_Toc73979863"/>
      <w:bookmarkStart w:id="136" w:name="_Toc438722137"/>
      <w:bookmarkStart w:id="137" w:name="_Toc61327435"/>
      <w:bookmarkStart w:id="138" w:name="_Toc487044259"/>
      <w:bookmarkStart w:id="139" w:name="_Toc439679275"/>
      <w:bookmarkStart w:id="140" w:name="_Toc358307754"/>
      <w:bookmarkStart w:id="141" w:name="_Toc369081825"/>
      <w:bookmarkStart w:id="142" w:name="_Toc438508604"/>
      <w:bookmarkStart w:id="143" w:name="_Toc330545477"/>
      <w:bookmarkStart w:id="144" w:name="_Toc109467929"/>
      <w:bookmarkStart w:id="145" w:name="_Toc439513168"/>
      <w:bookmarkStart w:id="146" w:name="_Toc418023340"/>
      <w:bookmarkStart w:id="147" w:name="_Toc479340796"/>
      <w:bookmarkStart w:id="148" w:name="_Toc107460009"/>
      <w:bookmarkStart w:id="149" w:name="_Toc438513741"/>
      <w:bookmarkStart w:id="150" w:name="_Toc107383644"/>
      <w:bookmarkStart w:id="151" w:name="_Toc477879847"/>
      <w:bookmarkStart w:id="152" w:name="_Toc107385316"/>
      <w:bookmarkStart w:id="153" w:name="_Toc414510787"/>
      <w:bookmarkStart w:id="154" w:name="_Toc25938568"/>
      <w:r>
        <w:rPr>
          <w:rFonts w:hint="eastAsia"/>
          <w:sz w:val="28"/>
          <w:szCs w:val="28"/>
        </w:rPr>
        <w:t>五、评标方法及流程</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76BF5818">
      <w:pPr>
        <w:pStyle w:val="16"/>
        <w:spacing w:after="0" w:line="360" w:lineRule="auto"/>
        <w:ind w:left="0" w:leftChars="0"/>
        <w:rPr>
          <w:rFonts w:ascii="宋体"/>
          <w:b/>
          <w:bCs/>
          <w:sz w:val="24"/>
        </w:rPr>
      </w:pPr>
      <w:bookmarkStart w:id="155" w:name="_Toc61327437"/>
      <w:r>
        <w:rPr>
          <w:rFonts w:hint="eastAsia" w:ascii="宋体"/>
          <w:b/>
          <w:bCs/>
          <w:sz w:val="24"/>
        </w:rPr>
        <w:t>5.2评标</w:t>
      </w:r>
      <w:bookmarkEnd w:id="155"/>
    </w:p>
    <w:p w14:paraId="25A374E6">
      <w:pPr>
        <w:pStyle w:val="36"/>
        <w:spacing w:line="360" w:lineRule="auto"/>
        <w:ind w:firstLine="480"/>
        <w:rPr>
          <w:rFonts w:hint="eastAsia" w:ascii="宋体" w:hAnsi="宋体" w:eastAsiaTheme="minorEastAsia"/>
          <w:sz w:val="24"/>
        </w:rPr>
      </w:pPr>
      <w:r>
        <w:rPr>
          <w:rFonts w:hint="eastAsia" w:ascii="宋体" w:hAnsi="宋体" w:eastAsiaTheme="minorEastAsia"/>
          <w:sz w:val="24"/>
        </w:rPr>
        <w:t>本次招标的评标方法采用综合评分方法。</w:t>
      </w:r>
    </w:p>
    <w:p w14:paraId="0AC86FDA">
      <w:pPr>
        <w:spacing w:line="360" w:lineRule="auto"/>
        <w:ind w:firstLine="480" w:firstLineChars="200"/>
        <w:rPr>
          <w:rFonts w:hint="eastAsia" w:ascii="宋体" w:hAnsi="宋体"/>
          <w:sz w:val="24"/>
        </w:rPr>
      </w:pPr>
      <w:r>
        <w:rPr>
          <w:rFonts w:hint="eastAsia" w:ascii="宋体" w:hAnsi="宋体"/>
          <w:sz w:val="24"/>
        </w:rPr>
        <w:t>评标分阶段进行：</w:t>
      </w:r>
      <w:r>
        <w:rPr>
          <w:rFonts w:hint="eastAsia" w:ascii="宋体" w:hAnsi="宋体"/>
          <w:bCs/>
          <w:sz w:val="24"/>
        </w:rPr>
        <w:t>投标文件资格审查、符合性审查和投标文件详细评审。</w:t>
      </w:r>
    </w:p>
    <w:p w14:paraId="4677BEEF">
      <w:pPr>
        <w:pStyle w:val="16"/>
        <w:spacing w:after="0" w:line="360" w:lineRule="auto"/>
        <w:ind w:left="0" w:leftChars="0"/>
        <w:rPr>
          <w:rFonts w:ascii="宋体"/>
          <w:sz w:val="24"/>
        </w:rPr>
      </w:pPr>
      <w:r>
        <w:rPr>
          <w:rFonts w:hint="eastAsia" w:ascii="宋体"/>
          <w:b/>
          <w:bCs/>
          <w:sz w:val="24"/>
        </w:rPr>
        <w:t>5.2.1 投标文件资格审查</w:t>
      </w:r>
    </w:p>
    <w:p w14:paraId="7AE4AE43">
      <w:pPr>
        <w:spacing w:line="360" w:lineRule="auto"/>
        <w:ind w:firstLine="480" w:firstLineChars="200"/>
        <w:rPr>
          <w:rFonts w:hint="eastAsia" w:ascii="宋体" w:hAnsi="宋体"/>
          <w:sz w:val="24"/>
        </w:rPr>
      </w:pPr>
      <w:r>
        <w:rPr>
          <w:rFonts w:hint="eastAsia" w:ascii="宋体" w:hAnsi="宋体"/>
          <w:sz w:val="24"/>
        </w:rPr>
        <w:t>资格审查：开标结束后，采购人或者采购代理机构应当依法对投标人的资格进行审查。未通过资格审查的投标人，不进入符合性审查。</w:t>
      </w:r>
    </w:p>
    <w:p w14:paraId="31FE3F92">
      <w:pPr>
        <w:pStyle w:val="16"/>
        <w:spacing w:after="0" w:line="360" w:lineRule="auto"/>
        <w:ind w:left="0" w:leftChars="0"/>
        <w:rPr>
          <w:rFonts w:ascii="宋体"/>
          <w:sz w:val="24"/>
        </w:rPr>
      </w:pPr>
      <w:r>
        <w:rPr>
          <w:rFonts w:hint="eastAsia" w:ascii="宋体"/>
          <w:b/>
          <w:bCs/>
          <w:sz w:val="24"/>
        </w:rPr>
        <w:t>5.2.2 投标文件符合性审查</w:t>
      </w:r>
    </w:p>
    <w:p w14:paraId="01D98801">
      <w:pPr>
        <w:spacing w:line="360" w:lineRule="auto"/>
        <w:ind w:firstLine="480" w:firstLineChars="200"/>
        <w:rPr>
          <w:rFonts w:hint="eastAsia" w:ascii="宋体" w:hAnsi="宋体"/>
          <w:sz w:val="24"/>
        </w:rPr>
      </w:pPr>
      <w:r>
        <w:rPr>
          <w:rFonts w:hint="eastAsia" w:ascii="宋体" w:hAnsi="宋体"/>
          <w:sz w:val="24"/>
        </w:rPr>
        <w:t>符合性审查：评标委员会应当对符合资格的投标人的投标文件进行符合性审查，以确定其是否满足招标文件的实质性要求。未通过符合性审查的投标人，不进入技术、商务和价格评审。</w:t>
      </w:r>
    </w:p>
    <w:p w14:paraId="1143382D">
      <w:pPr>
        <w:spacing w:line="360" w:lineRule="auto"/>
        <w:rPr>
          <w:rFonts w:hint="eastAsia" w:ascii="宋体" w:hAnsi="宋体" w:cs="宋体"/>
          <w:b/>
          <w:sz w:val="24"/>
        </w:rPr>
      </w:pPr>
      <w:r>
        <w:rPr>
          <w:rFonts w:hint="eastAsia" w:ascii="宋体" w:hAnsi="宋体" w:cs="宋体"/>
          <w:b/>
          <w:bCs/>
          <w:sz w:val="24"/>
        </w:rPr>
        <w:t>（1）</w:t>
      </w:r>
      <w:r>
        <w:rPr>
          <w:rFonts w:hint="eastAsia" w:ascii="宋体" w:hAnsi="宋体" w:cs="宋体"/>
          <w:b/>
          <w:bCs/>
          <w:kern w:val="0"/>
          <w:sz w:val="24"/>
          <w:lang w:val="zh-CN"/>
        </w:rPr>
        <w:t>实质上没有响应招标文件要求的投标将被拒绝。投标人不得通过修正或撤销不符合要求的偏离或保留从而使其投标成为实质上响应的投标。如发现下列情况之一的，将被视为无效投标，其投标将被拒绝</w:t>
      </w:r>
      <w:r>
        <w:rPr>
          <w:rFonts w:hint="eastAsia" w:ascii="宋体" w:hAnsi="宋体" w:cs="宋体"/>
          <w:b/>
          <w:bCs/>
          <w:sz w:val="24"/>
        </w:rPr>
        <w:t>：</w:t>
      </w:r>
    </w:p>
    <w:p w14:paraId="5ACED776">
      <w:pPr>
        <w:autoSpaceDE w:val="0"/>
        <w:autoSpaceDN w:val="0"/>
        <w:adjustRightInd w:val="0"/>
        <w:spacing w:line="360" w:lineRule="auto"/>
        <w:ind w:firstLine="480"/>
        <w:jc w:val="left"/>
        <w:rPr>
          <w:rFonts w:hint="eastAsia" w:ascii="宋体" w:hAnsi="宋体" w:cs="宋体"/>
          <w:kern w:val="0"/>
          <w:sz w:val="24"/>
          <w:lang w:val="zh-CN"/>
        </w:rPr>
      </w:pPr>
      <w:r>
        <w:rPr>
          <w:rFonts w:hint="eastAsia" w:ascii="宋体" w:hAnsi="宋体" w:cs="宋体"/>
          <w:sz w:val="24"/>
        </w:rPr>
        <w:t>1.</w:t>
      </w:r>
      <w:r>
        <w:rPr>
          <w:rFonts w:hint="eastAsia" w:ascii="宋体" w:hAnsi="宋体" w:cs="宋体"/>
          <w:kern w:val="0"/>
          <w:sz w:val="24"/>
          <w:lang w:val="zh-CN"/>
        </w:rPr>
        <w:t>不具备招标文件中规定资格的；</w:t>
      </w:r>
    </w:p>
    <w:p w14:paraId="4C2CB4CA">
      <w:pPr>
        <w:autoSpaceDE w:val="0"/>
        <w:autoSpaceDN w:val="0"/>
        <w:adjustRightInd w:val="0"/>
        <w:spacing w:line="360" w:lineRule="auto"/>
        <w:ind w:firstLine="480"/>
        <w:jc w:val="left"/>
        <w:rPr>
          <w:rFonts w:hint="eastAsia" w:ascii="宋体" w:hAnsi="宋体" w:cs="宋体"/>
          <w:sz w:val="24"/>
          <w:lang w:val="zh-CN"/>
        </w:rPr>
      </w:pPr>
      <w:r>
        <w:rPr>
          <w:rFonts w:hint="eastAsia" w:ascii="宋体" w:hAnsi="宋体" w:cs="宋体"/>
          <w:sz w:val="24"/>
        </w:rPr>
        <w:t>2.</w:t>
      </w:r>
      <w:r>
        <w:rPr>
          <w:rFonts w:hint="eastAsia" w:ascii="宋体" w:hAnsi="宋体" w:cs="宋体"/>
          <w:sz w:val="24"/>
          <w:lang w:val="zh-CN"/>
        </w:rPr>
        <w:t>投标有效期不足的；</w:t>
      </w:r>
    </w:p>
    <w:p w14:paraId="6A208AF0">
      <w:pPr>
        <w:autoSpaceDE w:val="0"/>
        <w:autoSpaceDN w:val="0"/>
        <w:adjustRightInd w:val="0"/>
        <w:spacing w:line="360" w:lineRule="auto"/>
        <w:ind w:firstLine="480"/>
        <w:jc w:val="left"/>
        <w:rPr>
          <w:rFonts w:hint="eastAsia" w:ascii="宋体" w:hAns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.未按照招标文件规定要求密封、签署、盖章的；</w:t>
      </w:r>
    </w:p>
    <w:p w14:paraId="7D7F060E">
      <w:pPr>
        <w:autoSpaceDE w:val="0"/>
        <w:autoSpaceDN w:val="0"/>
        <w:adjustRightInd w:val="0"/>
        <w:spacing w:line="360" w:lineRule="auto"/>
        <w:ind w:firstLine="480"/>
        <w:jc w:val="left"/>
        <w:rPr>
          <w:rFonts w:cs="宋体"/>
          <w:sz w:val="24"/>
        </w:rPr>
      </w:pPr>
      <w:r>
        <w:rPr>
          <w:rFonts w:hint="eastAsia" w:ascii="宋体" w:hAnsi="宋体" w:cs="宋体"/>
          <w:kern w:val="0"/>
          <w:sz w:val="24"/>
        </w:rPr>
        <w:t>4.</w:t>
      </w:r>
      <w:r>
        <w:rPr>
          <w:rFonts w:hint="eastAsia" w:cs="宋体"/>
          <w:sz w:val="24"/>
        </w:rPr>
        <w:t>投标人未提交投标保证金或形式不符或金额不足的；</w:t>
      </w:r>
    </w:p>
    <w:p w14:paraId="0D18445F">
      <w:pPr>
        <w:autoSpaceDE w:val="0"/>
        <w:autoSpaceDN w:val="0"/>
        <w:adjustRightInd w:val="0"/>
        <w:spacing w:line="360" w:lineRule="auto"/>
        <w:ind w:firstLine="480"/>
        <w:jc w:val="left"/>
        <w:rPr>
          <w:rFonts w:hint="eastAsia" w:ascii="宋体" w:hAnsi="宋体" w:cs="宋体"/>
          <w:sz w:val="24"/>
          <w:lang w:val="zh-CN"/>
        </w:rPr>
      </w:pPr>
      <w:r>
        <w:rPr>
          <w:rFonts w:hint="eastAsia" w:ascii="宋体" w:hAnsi="宋体" w:cs="宋体"/>
          <w:kern w:val="0"/>
          <w:sz w:val="24"/>
        </w:rPr>
        <w:t>5</w:t>
      </w:r>
      <w:r>
        <w:rPr>
          <w:rFonts w:hint="eastAsia" w:ascii="宋体" w:hAnsi="宋体" w:cs="宋体"/>
          <w:kern w:val="0"/>
          <w:sz w:val="24"/>
          <w:lang w:val="zh-CN"/>
        </w:rPr>
        <w:t>.投标报价超</w:t>
      </w:r>
      <w:r>
        <w:rPr>
          <w:rFonts w:hint="eastAsia" w:ascii="宋体" w:hAnsi="宋体" w:cs="宋体"/>
          <w:sz w:val="24"/>
          <w:lang w:val="zh-CN"/>
        </w:rPr>
        <w:t>过预算金额（如有最高限价则不得超过最高限价）；</w:t>
      </w:r>
    </w:p>
    <w:p w14:paraId="77039898">
      <w:pPr>
        <w:autoSpaceDE w:val="0"/>
        <w:autoSpaceDN w:val="0"/>
        <w:adjustRightInd w:val="0"/>
        <w:spacing w:line="360" w:lineRule="auto"/>
        <w:ind w:firstLine="480"/>
        <w:jc w:val="left"/>
        <w:rPr>
          <w:rFonts w:hint="eastAsia" w:ascii="宋体" w:hAnsi="宋体" w:cs="宋体"/>
          <w:sz w:val="24"/>
          <w:lang w:val="zh-CN"/>
        </w:rPr>
      </w:pPr>
      <w:r>
        <w:rPr>
          <w:rFonts w:hint="eastAsia" w:ascii="宋体" w:hAnsi="宋体" w:cs="宋体"/>
          <w:sz w:val="24"/>
        </w:rPr>
        <w:t>6</w:t>
      </w:r>
      <w:r>
        <w:rPr>
          <w:rFonts w:hint="eastAsia" w:ascii="宋体" w:hAnsi="宋体" w:cs="宋体"/>
          <w:sz w:val="24"/>
          <w:lang w:val="zh-CN"/>
        </w:rPr>
        <w:t>.未提供法定代表人资格证明书及法定代表人授权委托书的；</w:t>
      </w:r>
    </w:p>
    <w:p w14:paraId="6002063D">
      <w:pPr>
        <w:autoSpaceDE w:val="0"/>
        <w:autoSpaceDN w:val="0"/>
        <w:adjustRightInd w:val="0"/>
        <w:spacing w:line="360" w:lineRule="auto"/>
        <w:ind w:firstLine="480"/>
        <w:jc w:val="left"/>
        <w:rPr>
          <w:rFonts w:hint="eastAsia" w:ascii="宋体" w:hAnsi="宋体" w:cs="宋体"/>
          <w:kern w:val="0"/>
          <w:sz w:val="24"/>
        </w:rPr>
      </w:pPr>
      <w:r>
        <w:rPr>
          <w:rFonts w:hint="eastAsia" w:ascii="宋体" w:hAnsi="宋体" w:cs="宋体"/>
          <w:kern w:val="0"/>
          <w:sz w:val="24"/>
        </w:rPr>
        <w:t>7</w:t>
      </w:r>
      <w:r>
        <w:rPr>
          <w:rFonts w:ascii="宋体" w:hAnsi="宋体" w:cs="宋体"/>
          <w:kern w:val="0"/>
          <w:sz w:val="24"/>
        </w:rPr>
        <w:t>.</w:t>
      </w:r>
      <w:r>
        <w:rPr>
          <w:rFonts w:hint="eastAsia" w:ascii="宋体" w:hAnsi="宋体" w:cs="宋体"/>
          <w:kern w:val="0"/>
          <w:sz w:val="24"/>
        </w:rPr>
        <w:t>投标人有违法违纪行为，被列入失信被执行人、重大税收违法案件当事人名单、政府采购严重违法失信行为记录名单的，或在过去三年中有重大的质量、信誉等问题；</w:t>
      </w:r>
    </w:p>
    <w:p w14:paraId="48B6384A">
      <w:pPr>
        <w:autoSpaceDE w:val="0"/>
        <w:autoSpaceDN w:val="0"/>
        <w:adjustRightInd w:val="0"/>
        <w:spacing w:line="360" w:lineRule="auto"/>
        <w:ind w:firstLine="480"/>
        <w:jc w:val="left"/>
        <w:rPr>
          <w:rFonts w:hint="eastAsia" w:ascii="宋体" w:hAnsi="宋体" w:cs="宋体"/>
          <w:kern w:val="0"/>
          <w:sz w:val="24"/>
        </w:rPr>
      </w:pPr>
      <w:r>
        <w:rPr>
          <w:rFonts w:hint="eastAsia" w:ascii="宋体" w:hAnsi="宋体" w:cs="宋体"/>
          <w:kern w:val="0"/>
          <w:sz w:val="24"/>
        </w:rPr>
        <w:t>8</w:t>
      </w:r>
      <w:r>
        <w:rPr>
          <w:rFonts w:ascii="宋体" w:hAnsi="宋体" w:cs="宋体"/>
          <w:kern w:val="0"/>
          <w:sz w:val="24"/>
        </w:rPr>
        <w:t>.</w:t>
      </w:r>
      <w:r>
        <w:rPr>
          <w:rFonts w:hint="eastAsia" w:ascii="宋体" w:hAnsi="宋体" w:cs="宋体"/>
          <w:kern w:val="0"/>
          <w:sz w:val="24"/>
        </w:rPr>
        <w:t>投标文件中提供虚假或失实资料的；</w:t>
      </w:r>
    </w:p>
    <w:p w14:paraId="119A3877">
      <w:pPr>
        <w:autoSpaceDE w:val="0"/>
        <w:autoSpaceDN w:val="0"/>
        <w:adjustRightInd w:val="0"/>
        <w:spacing w:line="360" w:lineRule="auto"/>
        <w:ind w:firstLine="480"/>
        <w:jc w:val="left"/>
        <w:rPr>
          <w:rFonts w:hint="eastAsia" w:ascii="宋体" w:hAnsi="宋体" w:cs="宋体"/>
          <w:kern w:val="0"/>
          <w:sz w:val="24"/>
          <w:lang w:val="zh-CN"/>
        </w:rPr>
      </w:pPr>
      <w:r>
        <w:rPr>
          <w:rFonts w:ascii="宋体" w:hAnsi="宋体" w:cs="宋体"/>
          <w:kern w:val="0"/>
          <w:sz w:val="24"/>
        </w:rPr>
        <w:t>9</w:t>
      </w:r>
      <w:r>
        <w:rPr>
          <w:rFonts w:hint="eastAsia" w:ascii="宋体" w:hAnsi="宋体" w:cs="宋体"/>
          <w:kern w:val="0"/>
          <w:sz w:val="24"/>
        </w:rPr>
        <w:t>.不符合法律、法规和招标文件中★号条款规定的</w:t>
      </w:r>
      <w:r>
        <w:rPr>
          <w:rFonts w:hint="eastAsia" w:ascii="宋体" w:hAnsi="宋体" w:cs="宋体"/>
          <w:kern w:val="0"/>
          <w:sz w:val="24"/>
          <w:lang w:val="zh-CN"/>
        </w:rPr>
        <w:t>以及其他实质性要求的。</w:t>
      </w:r>
    </w:p>
    <w:p w14:paraId="6474EEF1">
      <w:pPr>
        <w:spacing w:line="360" w:lineRule="auto"/>
        <w:rPr>
          <w:rFonts w:hint="eastAsia" w:ascii="宋体" w:hAnsi="宋体" w:cs="宋体"/>
          <w:b/>
          <w:sz w:val="24"/>
        </w:rPr>
      </w:pPr>
      <w:r>
        <w:rPr>
          <w:rFonts w:hint="eastAsia" w:ascii="宋体" w:hAnsi="宋体"/>
          <w:b/>
          <w:bCs/>
          <w:sz w:val="24"/>
        </w:rPr>
        <w:t>（2）</w:t>
      </w:r>
      <w:r>
        <w:rPr>
          <w:rFonts w:hint="eastAsia" w:ascii="宋体" w:hAnsi="宋体" w:cs="宋体"/>
          <w:b/>
          <w:sz w:val="24"/>
        </w:rPr>
        <w:t>评标过程中投标文件</w:t>
      </w:r>
      <w:r>
        <w:rPr>
          <w:rFonts w:hint="eastAsia" w:ascii="宋体" w:hAnsi="宋体"/>
          <w:b/>
          <w:sz w:val="24"/>
        </w:rPr>
        <w:t>出现下列情况之一时，对该投标文件作废标处理：</w:t>
      </w:r>
    </w:p>
    <w:p w14:paraId="430A8D5F">
      <w:pPr>
        <w:spacing w:line="360" w:lineRule="auto"/>
        <w:rPr>
          <w:sz w:val="24"/>
        </w:rPr>
      </w:pPr>
      <w:r>
        <w:rPr>
          <w:sz w:val="24"/>
        </w:rPr>
        <w:t>1）供应商以他人的名义投标、串通投标、以行贿手段谋取中标或者以其他弄虚作假方式投标的；具体情形如下：</w:t>
      </w:r>
    </w:p>
    <w:p w14:paraId="00656CAE">
      <w:pPr>
        <w:spacing w:line="360" w:lineRule="auto"/>
        <w:ind w:firstLine="480" w:firstLineChars="200"/>
        <w:rPr>
          <w:sz w:val="24"/>
        </w:rPr>
      </w:pPr>
      <w:r>
        <w:rPr>
          <w:sz w:val="24"/>
        </w:rPr>
        <w:t>a）不同投标人的投标文件由同一单位或者个人编制；</w:t>
      </w:r>
    </w:p>
    <w:p w14:paraId="25AAF4E3">
      <w:pPr>
        <w:spacing w:line="360" w:lineRule="auto"/>
        <w:ind w:firstLine="480" w:firstLineChars="200"/>
        <w:rPr>
          <w:sz w:val="24"/>
        </w:rPr>
      </w:pPr>
      <w:r>
        <w:rPr>
          <w:sz w:val="24"/>
        </w:rPr>
        <w:t>b）不同投标人委托同一单位或者个人办理投标事宜；</w:t>
      </w:r>
    </w:p>
    <w:p w14:paraId="5598897D">
      <w:pPr>
        <w:spacing w:line="360" w:lineRule="auto"/>
        <w:ind w:firstLine="480" w:firstLineChars="200"/>
        <w:rPr>
          <w:sz w:val="24"/>
        </w:rPr>
      </w:pPr>
      <w:r>
        <w:rPr>
          <w:sz w:val="24"/>
        </w:rPr>
        <w:t>c）不同投标人的投标文件载明的项目管理成员或者联系人员为同一人；</w:t>
      </w:r>
    </w:p>
    <w:p w14:paraId="7A82E7B1">
      <w:pPr>
        <w:spacing w:line="360" w:lineRule="auto"/>
        <w:ind w:firstLine="480" w:firstLineChars="200"/>
        <w:rPr>
          <w:sz w:val="24"/>
        </w:rPr>
      </w:pPr>
      <w:r>
        <w:rPr>
          <w:sz w:val="24"/>
        </w:rPr>
        <w:t>d）不同投标人的投标文件异常一致或者投标报价呈规律性差异；</w:t>
      </w:r>
    </w:p>
    <w:p w14:paraId="1C006D09">
      <w:pPr>
        <w:spacing w:line="360" w:lineRule="auto"/>
        <w:ind w:firstLine="480" w:firstLineChars="200"/>
        <w:rPr>
          <w:sz w:val="24"/>
        </w:rPr>
      </w:pPr>
      <w:r>
        <w:rPr>
          <w:sz w:val="24"/>
        </w:rPr>
        <w:t>e）不同投标人的投标文件相互混装；</w:t>
      </w:r>
    </w:p>
    <w:p w14:paraId="14FC701A">
      <w:pPr>
        <w:spacing w:line="360" w:lineRule="auto"/>
        <w:ind w:firstLine="480" w:firstLineChars="200"/>
        <w:rPr>
          <w:sz w:val="24"/>
        </w:rPr>
      </w:pPr>
      <w:r>
        <w:rPr>
          <w:sz w:val="24"/>
        </w:rPr>
        <w:t>f）不同投标人的投标保证金由同一个账号汇出。</w:t>
      </w:r>
    </w:p>
    <w:p w14:paraId="7A380644">
      <w:pPr>
        <w:spacing w:line="360" w:lineRule="auto"/>
        <w:rPr>
          <w:sz w:val="24"/>
        </w:rPr>
      </w:pPr>
      <w:r>
        <w:rPr>
          <w:sz w:val="24"/>
        </w:rPr>
        <w:t>2）</w:t>
      </w:r>
      <w:r>
        <w:rPr>
          <w:rFonts w:hint="eastAsia"/>
          <w:sz w:val="24"/>
        </w:rPr>
        <w:t>依据《关于推动解决政府采购异常低价问题的通知》（财库〔2026〕2号）启动</w:t>
      </w:r>
      <w:r>
        <w:rPr>
          <w:rFonts w:hint="eastAsia" w:ascii="宋体" w:hAnsi="宋体" w:cs="宋体"/>
          <w:color w:val="383838"/>
          <w:sz w:val="24"/>
          <w:shd w:val="clear" w:color="auto" w:fill="FFFFFF"/>
        </w:rPr>
        <w:t>异常低价审查如下：</w:t>
      </w:r>
    </w:p>
    <w:p w14:paraId="29ED2D25">
      <w:pPr>
        <w:widowControl/>
        <w:shd w:val="clear" w:color="auto" w:fill="FFFFFF"/>
        <w:spacing w:line="480" w:lineRule="atLeast"/>
        <w:ind w:firstLine="640"/>
        <w:textAlignment w:val="baseline"/>
        <w:rPr>
          <w:rFonts w:ascii="Calibri" w:hAnsi="Calibri" w:cs="Calibri"/>
          <w:color w:val="383838"/>
          <w:szCs w:val="21"/>
        </w:rPr>
      </w:pPr>
      <w:r>
        <w:rPr>
          <w:rFonts w:hint="eastAsia"/>
          <w:sz w:val="24"/>
        </w:rPr>
        <w:t>a）</w:t>
      </w:r>
      <w:r>
        <w:rPr>
          <w:rFonts w:hint="eastAsia" w:ascii="宋体" w:hAnsi="宋体" w:cs="宋体"/>
          <w:color w:val="383838"/>
          <w:kern w:val="0"/>
          <w:sz w:val="24"/>
          <w:shd w:val="clear" w:color="auto" w:fill="FFFFFF"/>
          <w:lang w:bidi="ar"/>
        </w:rPr>
        <w:t>政府采购评审中出现下列情形之一的，评审委员会应当启动异常低价投标（响应）审查程序：</w:t>
      </w:r>
    </w:p>
    <w:p w14:paraId="4FAD0A59">
      <w:pPr>
        <w:widowControl/>
        <w:shd w:val="clear" w:color="auto" w:fill="FFFFFF"/>
        <w:spacing w:line="480" w:lineRule="atLeast"/>
        <w:ind w:firstLine="640"/>
        <w:textAlignment w:val="baseline"/>
        <w:rPr>
          <w:rFonts w:ascii="Calibri" w:hAnsi="Calibri" w:cs="Calibri"/>
          <w:color w:val="383838"/>
          <w:szCs w:val="21"/>
        </w:rPr>
      </w:pPr>
      <w:r>
        <w:rPr>
          <w:rFonts w:hint="eastAsia" w:ascii="宋体" w:hAnsi="宋体" w:cs="宋体"/>
          <w:color w:val="383838"/>
          <w:kern w:val="0"/>
          <w:sz w:val="24"/>
          <w:shd w:val="clear" w:color="auto" w:fill="FFFFFF"/>
          <w:lang w:bidi="ar"/>
        </w:rPr>
        <w:t>1.投标（响应）报价低于全部通过符合性审查供应商投标（响应）报价平均值65%的，即投标（响应）报价&lt;全部通过符合性审查供应商投标（响应）报价平均值×65%；</w:t>
      </w:r>
    </w:p>
    <w:p w14:paraId="1FF051DF">
      <w:pPr>
        <w:widowControl/>
        <w:shd w:val="clear" w:color="auto" w:fill="FFFFFF"/>
        <w:spacing w:line="480" w:lineRule="atLeast"/>
        <w:ind w:firstLine="640"/>
        <w:textAlignment w:val="baseline"/>
        <w:rPr>
          <w:rFonts w:ascii="Calibri" w:hAnsi="Calibri" w:cs="Calibri"/>
          <w:color w:val="383838"/>
          <w:szCs w:val="21"/>
        </w:rPr>
      </w:pPr>
      <w:r>
        <w:rPr>
          <w:rFonts w:hint="eastAsia" w:ascii="宋体" w:hAnsi="宋体" w:cs="宋体"/>
          <w:color w:val="383838"/>
          <w:kern w:val="0"/>
          <w:sz w:val="24"/>
          <w:shd w:val="clear" w:color="auto" w:fill="FFFFFF"/>
          <w:lang w:bidi="ar"/>
        </w:rPr>
        <w:t>2.投标（响应）报价低于通过符合性审查的次低报价供应商投标（响应）报价65%的，即投标（响应）报价&lt;通过符合性审查的次低报价供应商投标（响应）报价×65%；</w:t>
      </w:r>
    </w:p>
    <w:p w14:paraId="14F2C4F5">
      <w:pPr>
        <w:widowControl/>
        <w:shd w:val="clear" w:color="auto" w:fill="FFFFFF"/>
        <w:spacing w:line="480" w:lineRule="atLeast"/>
        <w:ind w:firstLine="640"/>
        <w:textAlignment w:val="baseline"/>
        <w:rPr>
          <w:rFonts w:ascii="Calibri" w:hAnsi="Calibri" w:cs="Calibri"/>
          <w:color w:val="383838"/>
          <w:szCs w:val="21"/>
        </w:rPr>
      </w:pPr>
      <w:r>
        <w:rPr>
          <w:rFonts w:hint="eastAsia" w:ascii="宋体" w:hAnsi="宋体" w:cs="宋体"/>
          <w:color w:val="383838"/>
          <w:kern w:val="0"/>
          <w:sz w:val="24"/>
          <w:shd w:val="clear" w:color="auto" w:fill="FFFFFF"/>
          <w:lang w:bidi="ar"/>
        </w:rPr>
        <w:t>3.投标（响应）报价低于采购项目最高限价</w:t>
      </w:r>
      <w:r>
        <w:rPr>
          <w:rFonts w:hint="eastAsia" w:ascii="宋体" w:hAnsi="宋体" w:cs="宋体"/>
          <w:color w:val="383838"/>
          <w:kern w:val="0"/>
          <w:sz w:val="24"/>
          <w:shd w:val="clear" w:color="auto" w:fill="FFFFFF"/>
          <w:lang w:val="en-US" w:eastAsia="zh-CN" w:bidi="ar"/>
        </w:rPr>
        <w:t>6</w:t>
      </w:r>
      <w:r>
        <w:rPr>
          <w:rFonts w:hint="eastAsia" w:ascii="宋体" w:hAnsi="宋体" w:cs="宋体"/>
          <w:color w:val="383838"/>
          <w:kern w:val="0"/>
          <w:sz w:val="24"/>
          <w:shd w:val="clear" w:color="auto" w:fill="FFFFFF"/>
          <w:lang w:bidi="ar"/>
        </w:rPr>
        <w:t>5%的，即投标（响应）报价&lt;采购项目最高限价×</w:t>
      </w:r>
      <w:r>
        <w:rPr>
          <w:rFonts w:hint="eastAsia" w:ascii="宋体" w:hAnsi="宋体" w:cs="宋体"/>
          <w:color w:val="383838"/>
          <w:kern w:val="0"/>
          <w:sz w:val="24"/>
          <w:shd w:val="clear" w:color="auto" w:fill="FFFFFF"/>
          <w:lang w:val="en-US" w:eastAsia="zh-CN" w:bidi="ar"/>
        </w:rPr>
        <w:t>6</w:t>
      </w:r>
      <w:r>
        <w:rPr>
          <w:rFonts w:hint="eastAsia" w:ascii="宋体" w:hAnsi="宋体" w:cs="宋体"/>
          <w:color w:val="383838"/>
          <w:kern w:val="0"/>
          <w:sz w:val="24"/>
          <w:shd w:val="clear" w:color="auto" w:fill="FFFFFF"/>
          <w:lang w:bidi="ar"/>
        </w:rPr>
        <w:t>5%；</w:t>
      </w:r>
    </w:p>
    <w:p w14:paraId="4DB46EAA">
      <w:pPr>
        <w:widowControl/>
        <w:shd w:val="clear" w:color="auto" w:fill="FFFFFF"/>
        <w:spacing w:line="480" w:lineRule="atLeast"/>
        <w:ind w:firstLine="640"/>
        <w:textAlignment w:val="baseline"/>
        <w:rPr>
          <w:rFonts w:ascii="Calibri" w:hAnsi="Calibri" w:cs="Calibri"/>
          <w:color w:val="383838"/>
          <w:szCs w:val="21"/>
        </w:rPr>
      </w:pPr>
      <w:r>
        <w:rPr>
          <w:rFonts w:hint="eastAsia" w:ascii="宋体" w:hAnsi="宋体" w:cs="宋体"/>
          <w:color w:val="383838"/>
          <w:kern w:val="0"/>
          <w:sz w:val="24"/>
          <w:shd w:val="clear" w:color="auto" w:fill="FFFFFF"/>
          <w:lang w:bidi="ar"/>
        </w:rPr>
        <w:t>4.评审委员会基于专业判断，认为供应商报价过低，有可能影响产品质量或者不能诚信履约的其他情形。</w:t>
      </w:r>
    </w:p>
    <w:p w14:paraId="2490BEF1">
      <w:pPr>
        <w:widowControl/>
        <w:shd w:val="clear" w:color="auto" w:fill="FFFFFF"/>
        <w:spacing w:line="480" w:lineRule="atLeast"/>
        <w:ind w:firstLine="640"/>
        <w:textAlignment w:val="baseline"/>
        <w:rPr>
          <w:rFonts w:ascii="Calibri" w:hAnsi="Calibri" w:cs="Calibri"/>
          <w:color w:val="383838"/>
          <w:szCs w:val="21"/>
        </w:rPr>
      </w:pPr>
      <w:r>
        <w:rPr>
          <w:rFonts w:hint="eastAsia" w:ascii="宋体" w:hAnsi="宋体" w:cs="宋体"/>
          <w:color w:val="383838"/>
          <w:kern w:val="0"/>
          <w:sz w:val="24"/>
          <w:shd w:val="clear" w:color="auto" w:fill="FFFFFF"/>
          <w:lang w:bidi="ar"/>
        </w:rPr>
        <w:t>采购人可以结合具体项目实际情况，提高上述第1项至第3项中启动异常低价投标（响应）审查的数值标准，但是最高不得超过65%。</w:t>
      </w:r>
    </w:p>
    <w:p w14:paraId="6F895852">
      <w:pPr>
        <w:widowControl/>
        <w:shd w:val="clear" w:color="auto" w:fill="FFFFFF"/>
        <w:spacing w:line="480" w:lineRule="atLeast"/>
        <w:ind w:firstLine="640"/>
        <w:textAlignment w:val="baseline"/>
        <w:rPr>
          <w:rFonts w:ascii="Calibri" w:hAnsi="Calibri" w:cs="Calibri"/>
          <w:color w:val="383838"/>
          <w:szCs w:val="21"/>
        </w:rPr>
      </w:pPr>
      <w:r>
        <w:rPr>
          <w:rFonts w:hint="eastAsia" w:ascii="宋体" w:hAnsi="宋体" w:cs="宋体"/>
          <w:color w:val="383838"/>
          <w:kern w:val="0"/>
          <w:sz w:val="24"/>
          <w:shd w:val="clear" w:color="auto" w:fill="FFFFFF"/>
          <w:lang w:bidi="ar"/>
        </w:rPr>
        <w:t>相关法律法规对供应商报价有规定的，从其规定。</w:t>
      </w:r>
    </w:p>
    <w:p w14:paraId="5F53059F">
      <w:pPr>
        <w:widowControl/>
        <w:shd w:val="clear" w:color="auto" w:fill="FFFFFF"/>
        <w:spacing w:line="480" w:lineRule="atLeast"/>
        <w:ind w:firstLine="640"/>
        <w:textAlignment w:val="baseline"/>
        <w:rPr>
          <w:rFonts w:ascii="Calibri" w:hAnsi="Calibri" w:cs="Calibri"/>
          <w:color w:val="383838"/>
          <w:szCs w:val="21"/>
        </w:rPr>
      </w:pPr>
      <w:r>
        <w:rPr>
          <w:rFonts w:hint="eastAsia" w:ascii="宋体" w:hAnsi="宋体" w:cs="宋体"/>
          <w:color w:val="383838"/>
          <w:kern w:val="0"/>
          <w:sz w:val="24"/>
          <w:shd w:val="clear" w:color="auto" w:fill="FFFFFF"/>
          <w:lang w:bidi="ar"/>
        </w:rPr>
        <w:t>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BE72D37">
      <w:pPr>
        <w:widowControl/>
        <w:shd w:val="clear" w:color="auto" w:fill="FFFFFF"/>
        <w:spacing w:line="480" w:lineRule="atLeast"/>
        <w:ind w:firstLine="640"/>
        <w:textAlignment w:val="baseline"/>
        <w:rPr>
          <w:rFonts w:ascii="Calibri" w:hAnsi="Calibri" w:cs="Calibri"/>
          <w:color w:val="383838"/>
          <w:szCs w:val="21"/>
        </w:rPr>
      </w:pPr>
      <w:r>
        <w:rPr>
          <w:rFonts w:hint="eastAsia" w:ascii="宋体" w:hAnsi="宋体" w:cs="宋体"/>
          <w:color w:val="383838"/>
          <w:kern w:val="0"/>
          <w:sz w:val="24"/>
          <w:shd w:val="clear" w:color="auto" w:fill="FFFFFF"/>
          <w:lang w:bidi="ar"/>
        </w:rPr>
        <w:t>评审委员会依据专业经验，参考同类项目中标（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32760F8">
      <w:pPr>
        <w:widowControl/>
        <w:shd w:val="clear" w:color="auto" w:fill="FFFFFF"/>
        <w:spacing w:line="480" w:lineRule="atLeast"/>
        <w:ind w:firstLine="640"/>
        <w:textAlignment w:val="baseline"/>
        <w:rPr>
          <w:rFonts w:ascii="Calibri" w:hAnsi="Calibri" w:cs="Calibri"/>
          <w:color w:val="383838"/>
          <w:szCs w:val="21"/>
        </w:rPr>
      </w:pPr>
      <w:r>
        <w:rPr>
          <w:rFonts w:hint="eastAsia" w:ascii="宋体" w:hAnsi="宋体" w:cs="宋体"/>
          <w:color w:val="383838"/>
          <w:kern w:val="0"/>
          <w:sz w:val="24"/>
          <w:shd w:val="clear" w:color="auto" w:fill="FFFFFF"/>
          <w:lang w:bidi="ar"/>
        </w:rPr>
        <w:t>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A7ED168">
      <w:pPr>
        <w:widowControl/>
        <w:shd w:val="clear" w:color="auto" w:fill="FFFFFF"/>
        <w:spacing w:line="480" w:lineRule="atLeast"/>
        <w:ind w:firstLine="640"/>
        <w:textAlignment w:val="baseline"/>
        <w:rPr>
          <w:sz w:val="24"/>
        </w:rPr>
      </w:pPr>
      <w:r>
        <w:rPr>
          <w:rFonts w:hint="eastAsia" w:ascii="宋体" w:hAnsi="宋体" w:cs="宋体"/>
          <w:color w:val="383838"/>
          <w:kern w:val="0"/>
          <w:sz w:val="24"/>
          <w:shd w:val="clear" w:color="auto" w:fill="FFFFFF"/>
          <w:lang w:bidi="ar"/>
        </w:rPr>
        <w:t>异常低价投标（响应）审查的启动原因、审查意见和审查结果应当在评审报告中记录，并随供应商提供的相关书面说明及证明材料，以及评审委员会有关互联网浏览、查询历史一并归档。</w:t>
      </w:r>
    </w:p>
    <w:p w14:paraId="2E3A2987">
      <w:pPr>
        <w:spacing w:line="360" w:lineRule="auto"/>
        <w:ind w:firstLine="480" w:firstLineChars="200"/>
      </w:pPr>
      <w:r>
        <w:rPr>
          <w:sz w:val="24"/>
        </w:rPr>
        <w:t>被评委会确定为投标文件无效标或废标的，其投标文件即被视为不能通过资格、符合性审查，不得参与技术、商务和价格的评审。</w:t>
      </w:r>
    </w:p>
    <w:p w14:paraId="7C5368D3">
      <w:pPr>
        <w:spacing w:line="360" w:lineRule="auto"/>
        <w:ind w:firstLine="420" w:firstLineChars="200"/>
      </w:pPr>
    </w:p>
    <w:p w14:paraId="3A23D789">
      <w:pPr>
        <w:pStyle w:val="16"/>
        <w:spacing w:line="360" w:lineRule="auto"/>
        <w:ind w:left="0" w:leftChars="0"/>
        <w:rPr>
          <w:rFonts w:ascii="宋体"/>
          <w:b/>
          <w:bCs/>
          <w:sz w:val="24"/>
        </w:rPr>
      </w:pPr>
      <w:bookmarkStart w:id="156" w:name="_Toc107383646"/>
      <w:bookmarkStart w:id="157" w:name="_Toc61327439"/>
      <w:r>
        <w:rPr>
          <w:rFonts w:hint="eastAsia" w:ascii="宋体"/>
          <w:b/>
          <w:bCs/>
          <w:sz w:val="24"/>
        </w:rPr>
        <w:t>5.2.3 投标文件详细评审</w:t>
      </w:r>
      <w:bookmarkEnd w:id="156"/>
      <w:bookmarkEnd w:id="157"/>
      <w:r>
        <w:rPr>
          <w:rFonts w:hint="eastAsia" w:ascii="宋体"/>
          <w:b/>
          <w:bCs/>
          <w:sz w:val="24"/>
        </w:rPr>
        <w:t>（详见技术、商务、价格评审表）</w:t>
      </w:r>
    </w:p>
    <w:p w14:paraId="0C106F80">
      <w:pPr>
        <w:spacing w:line="360" w:lineRule="auto"/>
        <w:ind w:firstLine="480" w:firstLineChars="200"/>
        <w:rPr>
          <w:rFonts w:hint="eastAsia" w:ascii="宋体" w:hAnsi="宋体"/>
          <w:bCs/>
          <w:sz w:val="24"/>
        </w:rPr>
      </w:pPr>
      <w:r>
        <w:rPr>
          <w:rFonts w:hint="eastAsia" w:ascii="宋体" w:hAnsi="宋体"/>
          <w:bCs/>
          <w:sz w:val="24"/>
        </w:rPr>
        <w:t>（1）在资格审查、符合性检查时，未能通过资格、符合性审查被认定为无效投标，只有全部满足《资格审查表》和《符合性审查表》所列各项要求的投标才是有效投标，只要不满足资格、符合性条款中所列各项要求之一的，将被认定为无效投标。</w:t>
      </w:r>
    </w:p>
    <w:p w14:paraId="6D9234F9">
      <w:pPr>
        <w:spacing w:line="360" w:lineRule="auto"/>
        <w:ind w:firstLine="480" w:firstLineChars="200"/>
        <w:rPr>
          <w:rFonts w:hint="eastAsia" w:ascii="宋体" w:hAnsi="宋体"/>
          <w:sz w:val="24"/>
        </w:rPr>
      </w:pPr>
      <w:r>
        <w:rPr>
          <w:rFonts w:hint="eastAsia" w:ascii="宋体" w:hAnsi="宋体"/>
          <w:bCs/>
          <w:sz w:val="24"/>
        </w:rPr>
        <w:t>（2）</w:t>
      </w:r>
      <w:r>
        <w:rPr>
          <w:rFonts w:hint="eastAsia" w:ascii="宋体" w:hAnsi="宋体"/>
          <w:sz w:val="24"/>
        </w:rPr>
        <w:t>当通过</w:t>
      </w:r>
      <w:r>
        <w:rPr>
          <w:rFonts w:hint="eastAsia" w:ascii="宋体" w:hAnsi="宋体"/>
          <w:bCs/>
          <w:sz w:val="24"/>
        </w:rPr>
        <w:t>资格审查、符合性检查</w:t>
      </w:r>
      <w:r>
        <w:rPr>
          <w:rFonts w:hint="eastAsia" w:ascii="宋体" w:hAnsi="宋体"/>
          <w:sz w:val="24"/>
        </w:rPr>
        <w:t>的投标人多于或等于三家时，按照评标程序的规定和依据评分标准以及各项权重、符合性审查结果，各位评委单独就每个投标人的技术、商务、价格进行评审和比较，评出其技术评分、商务评分和价格评分。将技术得分、商务得分和价格得分相加得出总分，并按总分高低排出名次。评标委员会依据得分情况推荐出第一中标侯选人一名，第二中标侯选人一名，第三中标侯选人一名。</w:t>
      </w:r>
    </w:p>
    <w:p w14:paraId="1D072C7F">
      <w:pPr>
        <w:spacing w:line="360" w:lineRule="auto"/>
        <w:ind w:right="-195" w:rightChars="-93" w:firstLine="480" w:firstLineChars="200"/>
        <w:rPr>
          <w:rFonts w:hint="eastAsia" w:ascii="宋体" w:hAnsi="宋体"/>
          <w:sz w:val="24"/>
        </w:rPr>
      </w:pPr>
      <w:r>
        <w:rPr>
          <w:rFonts w:hint="eastAsia" w:ascii="宋体" w:hAnsi="宋体"/>
          <w:bCs/>
          <w:sz w:val="24"/>
        </w:rPr>
        <w:t>（3）</w:t>
      </w:r>
      <w:r>
        <w:rPr>
          <w:rFonts w:hint="eastAsia" w:ascii="宋体" w:hAnsi="宋体"/>
          <w:sz w:val="24"/>
        </w:rPr>
        <w:t>当通过</w:t>
      </w:r>
      <w:r>
        <w:rPr>
          <w:rFonts w:hint="eastAsia" w:ascii="宋体" w:hAnsi="宋体"/>
          <w:bCs/>
          <w:sz w:val="24"/>
        </w:rPr>
        <w:t>资格审查</w:t>
      </w:r>
      <w:r>
        <w:rPr>
          <w:rFonts w:hint="eastAsia" w:ascii="宋体" w:hAnsi="宋体"/>
          <w:sz w:val="24"/>
        </w:rPr>
        <w:t>的投标人少于三家时，评标委员会否决所有投标文件，提请依法重新招标。</w:t>
      </w:r>
    </w:p>
    <w:p w14:paraId="3742B750">
      <w:pPr>
        <w:spacing w:line="360" w:lineRule="auto"/>
        <w:ind w:firstLine="480" w:firstLineChars="200"/>
        <w:rPr>
          <w:rFonts w:hint="eastAsia" w:ascii="宋体" w:hAnsi="宋体"/>
          <w:kern w:val="0"/>
          <w:sz w:val="24"/>
        </w:rPr>
      </w:pPr>
      <w:r>
        <w:rPr>
          <w:rFonts w:hint="eastAsia" w:ascii="宋体" w:hAnsi="宋体"/>
          <w:kern w:val="0"/>
          <w:sz w:val="24"/>
        </w:rPr>
        <w:t>（4）</w:t>
      </w:r>
      <w:r>
        <w:rPr>
          <w:rFonts w:ascii="宋体" w:hAnsi="宋体"/>
          <w:kern w:val="0"/>
          <w:sz w:val="24"/>
        </w:rPr>
        <w:t>提供相同品牌产品且通过资格审查、符合性审查的不同投标人参加同一合同项下同一项</w:t>
      </w:r>
      <w:r>
        <w:rPr>
          <w:rFonts w:hint="eastAsia" w:ascii="宋体" w:hAnsi="宋体"/>
          <w:kern w:val="0"/>
          <w:sz w:val="24"/>
        </w:rPr>
        <w:t>目包</w:t>
      </w:r>
      <w:r>
        <w:rPr>
          <w:rFonts w:ascii="宋体" w:hAnsi="宋体"/>
          <w:kern w:val="0"/>
          <w:sz w:val="24"/>
        </w:rPr>
        <w:t>投标的，按一家投标人计算，评审后得分最高的同品牌投标人获得中标人推荐资格；评审得分相同的，</w:t>
      </w:r>
      <w:r>
        <w:rPr>
          <w:rFonts w:hint="eastAsia" w:ascii="宋体" w:hAnsi="宋体"/>
          <w:kern w:val="0"/>
          <w:sz w:val="24"/>
        </w:rPr>
        <w:t>按投标报价排列，报价最低的</w:t>
      </w:r>
      <w:r>
        <w:rPr>
          <w:rFonts w:ascii="宋体" w:hAnsi="宋体"/>
          <w:kern w:val="0"/>
          <w:sz w:val="24"/>
        </w:rPr>
        <w:t>投标人获得中标人推荐资格</w:t>
      </w:r>
      <w:r>
        <w:rPr>
          <w:rFonts w:hint="eastAsia" w:ascii="宋体" w:hAnsi="宋体"/>
          <w:kern w:val="0"/>
          <w:sz w:val="24"/>
        </w:rPr>
        <w:t>；得分与投标报价均相同的，按技术指标优劣排列，技术得分最高的</w:t>
      </w:r>
      <w:r>
        <w:rPr>
          <w:rFonts w:ascii="宋体" w:hAnsi="宋体"/>
          <w:kern w:val="0"/>
          <w:sz w:val="24"/>
        </w:rPr>
        <w:t>投标人获得中标人推荐资格</w:t>
      </w:r>
      <w:r>
        <w:rPr>
          <w:rFonts w:hint="eastAsia" w:ascii="宋体" w:hAnsi="宋体"/>
          <w:kern w:val="0"/>
          <w:sz w:val="24"/>
        </w:rPr>
        <w:t>。</w:t>
      </w:r>
    </w:p>
    <w:p w14:paraId="157F543A">
      <w:pPr>
        <w:pStyle w:val="4"/>
        <w:spacing w:after="0" w:line="360" w:lineRule="auto"/>
        <w:rPr>
          <w:sz w:val="28"/>
          <w:szCs w:val="28"/>
        </w:rPr>
      </w:pPr>
      <w:bookmarkStart w:id="158" w:name="_Toc61327440"/>
      <w:bookmarkStart w:id="159" w:name="_Toc277154674"/>
      <w:bookmarkStart w:id="160" w:name="_Toc479325600"/>
      <w:bookmarkStart w:id="161" w:name="_Toc107460010"/>
      <w:bookmarkStart w:id="162" w:name="_Toc25938569"/>
      <w:bookmarkStart w:id="163" w:name="_Toc109467930"/>
      <w:bookmarkStart w:id="164" w:name="_Toc122420765"/>
      <w:bookmarkStart w:id="165" w:name="_Toc438513742"/>
      <w:bookmarkStart w:id="166" w:name="_Toc422162000"/>
      <w:bookmarkStart w:id="167" w:name="_Toc416208494"/>
      <w:bookmarkStart w:id="168" w:name="_Toc267904314"/>
      <w:bookmarkStart w:id="169" w:name="_Toc418023341"/>
      <w:bookmarkStart w:id="170" w:name="_Toc116924487"/>
      <w:bookmarkStart w:id="171" w:name="_Toc425347670"/>
      <w:bookmarkStart w:id="172" w:name="_Toc116976131"/>
      <w:bookmarkStart w:id="173" w:name="_Toc438722138"/>
      <w:bookmarkStart w:id="174" w:name="_Toc498035135"/>
      <w:bookmarkStart w:id="175" w:name="_Toc107385317"/>
      <w:bookmarkStart w:id="176" w:name="_Toc369081826"/>
      <w:bookmarkStart w:id="177" w:name="_Toc107383647"/>
      <w:bookmarkStart w:id="178" w:name="_Toc272394437"/>
      <w:bookmarkStart w:id="179" w:name="_Toc116981031"/>
      <w:bookmarkStart w:id="180" w:name="_Toc422865429"/>
      <w:bookmarkStart w:id="181" w:name="_Toc265700489"/>
      <w:bookmarkStart w:id="182" w:name="_Toc262564644"/>
      <w:bookmarkStart w:id="183" w:name="_Toc458635604"/>
      <w:bookmarkStart w:id="184" w:name="_Toc439513453"/>
      <w:bookmarkStart w:id="185" w:name="_Toc479340797"/>
      <w:bookmarkStart w:id="186" w:name="_Toc494812267"/>
      <w:bookmarkStart w:id="187" w:name="_Toc439679276"/>
      <w:bookmarkStart w:id="188" w:name="_Toc439513169"/>
      <w:bookmarkStart w:id="189" w:name="_Toc73979864"/>
      <w:bookmarkStart w:id="190" w:name="_Toc358307755"/>
      <w:bookmarkStart w:id="191" w:name="_Toc487044260"/>
      <w:bookmarkStart w:id="192" w:name="_Toc23008"/>
      <w:bookmarkStart w:id="193" w:name="_Toc477879848"/>
      <w:bookmarkStart w:id="194" w:name="_Toc414510788"/>
      <w:bookmarkStart w:id="195" w:name="_Toc470184449"/>
      <w:bookmarkStart w:id="196" w:name="_Toc438508605"/>
      <w:bookmarkStart w:id="197" w:name="_Toc458980401"/>
      <w:bookmarkStart w:id="198" w:name="_Toc330545478"/>
      <w:bookmarkStart w:id="199" w:name="_Toc486969387"/>
      <w:r>
        <w:rPr>
          <w:rFonts w:hint="eastAsia"/>
          <w:sz w:val="28"/>
          <w:szCs w:val="28"/>
        </w:rPr>
        <w:t>六、评分标准和权重</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50CEF894">
      <w:pPr>
        <w:spacing w:line="360" w:lineRule="auto"/>
        <w:rPr>
          <w:b/>
          <w:bCs/>
        </w:rPr>
      </w:pPr>
      <w:bookmarkStart w:id="200" w:name="_Toc61327441"/>
      <w:r>
        <w:rPr>
          <w:rFonts w:hint="eastAsia" w:ascii="宋体" w:hAnsi="宋体"/>
          <w:b/>
          <w:bCs/>
          <w:sz w:val="24"/>
        </w:rPr>
        <w:t>6.1 评分标准</w:t>
      </w:r>
      <w:bookmarkEnd w:id="200"/>
    </w:p>
    <w:p w14:paraId="2F2338DB">
      <w:pPr>
        <w:spacing w:line="360" w:lineRule="auto"/>
        <w:jc w:val="left"/>
        <w:rPr>
          <w:rFonts w:hint="eastAsia" w:ascii="宋体" w:hAnsi="宋体"/>
          <w:bCs/>
          <w:sz w:val="24"/>
        </w:rPr>
      </w:pPr>
      <w:r>
        <w:rPr>
          <w:rFonts w:hint="eastAsia" w:ascii="宋体" w:hAnsi="宋体"/>
          <w:bCs/>
          <w:sz w:val="24"/>
        </w:rPr>
        <w:t>评委对投标文件的技术及商务响应情况进行评分。评分采用量化方法。</w:t>
      </w:r>
    </w:p>
    <w:p w14:paraId="75490365">
      <w:pPr>
        <w:spacing w:line="360" w:lineRule="auto"/>
        <w:jc w:val="left"/>
        <w:rPr>
          <w:rFonts w:hint="eastAsia" w:ascii="宋体" w:hAnsi="宋体"/>
          <w:sz w:val="24"/>
        </w:rPr>
      </w:pPr>
      <w:r>
        <w:rPr>
          <w:rFonts w:hint="eastAsia" w:ascii="宋体" w:hAnsi="宋体"/>
          <w:sz w:val="24"/>
        </w:rPr>
        <w:t>技术、商务、价格评分应分别考虑下列因素：</w:t>
      </w:r>
    </w:p>
    <w:p w14:paraId="0D1431BB">
      <w:pPr>
        <w:spacing w:line="360" w:lineRule="auto"/>
        <w:outlineLvl w:val="3"/>
        <w:rPr>
          <w:rFonts w:hint="eastAsia" w:ascii="宋体" w:hAnsi="宋体"/>
          <w:sz w:val="24"/>
        </w:rPr>
      </w:pPr>
      <w:r>
        <w:rPr>
          <w:rFonts w:hint="eastAsia" w:ascii="宋体" w:hAnsi="宋体"/>
          <w:sz w:val="24"/>
        </w:rPr>
        <w:t>6.1.1 技术、商务评审</w:t>
      </w:r>
    </w:p>
    <w:p w14:paraId="5AC4861C">
      <w:pPr>
        <w:spacing w:line="360" w:lineRule="auto"/>
        <w:ind w:firstLine="480" w:firstLineChars="200"/>
        <w:rPr>
          <w:rFonts w:hint="eastAsia" w:ascii="宋体" w:hAnsi="宋体"/>
          <w:bCs/>
          <w:sz w:val="24"/>
        </w:rPr>
      </w:pPr>
      <w:r>
        <w:rPr>
          <w:rFonts w:hint="eastAsia" w:ascii="宋体" w:hAnsi="宋体"/>
          <w:bCs/>
          <w:sz w:val="24"/>
        </w:rPr>
        <w:t>评审内容详见技术（商务）响应评审表</w:t>
      </w:r>
    </w:p>
    <w:p w14:paraId="4059BC55">
      <w:pPr>
        <w:spacing w:line="360" w:lineRule="auto"/>
        <w:ind w:left="420" w:leftChars="200" w:firstLine="523" w:firstLineChars="218"/>
        <w:jc w:val="left"/>
        <w:rPr>
          <w:rFonts w:hint="eastAsia" w:ascii="宋体" w:hAnsi="宋体"/>
          <w:bCs/>
          <w:sz w:val="24"/>
        </w:rPr>
      </w:pPr>
      <w:r>
        <w:rPr>
          <w:rFonts w:hint="eastAsia" w:ascii="宋体" w:hAnsi="宋体"/>
          <w:bCs/>
          <w:sz w:val="24"/>
        </w:rPr>
        <w:t>计算公式（四舍五入保留两位小数）：</w:t>
      </w:r>
    </w:p>
    <w:p w14:paraId="4D9AF2C1">
      <w:pPr>
        <w:spacing w:line="360" w:lineRule="auto"/>
        <w:ind w:left="420" w:leftChars="200" w:firstLine="523" w:firstLineChars="218"/>
        <w:jc w:val="left"/>
        <w:rPr>
          <w:rFonts w:hint="eastAsia" w:ascii="宋体" w:hAnsi="宋体"/>
          <w:bCs/>
          <w:sz w:val="24"/>
        </w:rPr>
      </w:pPr>
      <w:r>
        <w:rPr>
          <w:rFonts w:hint="eastAsia" w:ascii="宋体" w:hAnsi="宋体"/>
          <w:bCs/>
          <w:sz w:val="24"/>
        </w:rPr>
        <w:t>子项评分</w:t>
      </w:r>
      <w:r>
        <w:rPr>
          <w:rFonts w:ascii="宋体" w:hAnsi="宋体"/>
          <w:bCs/>
          <w:sz w:val="24"/>
        </w:rPr>
        <w:t>=</w:t>
      </w:r>
      <w:r>
        <w:rPr>
          <w:rFonts w:hint="eastAsia" w:ascii="宋体" w:hAnsi="宋体"/>
          <w:bCs/>
          <w:sz w:val="24"/>
        </w:rPr>
        <w:t>各评委子项评分总和</w:t>
      </w:r>
    </w:p>
    <w:p w14:paraId="4C5FA2D7">
      <w:pPr>
        <w:spacing w:line="360" w:lineRule="auto"/>
        <w:ind w:left="420" w:leftChars="200" w:firstLine="523" w:firstLineChars="218"/>
        <w:jc w:val="left"/>
        <w:rPr>
          <w:rFonts w:hint="eastAsia" w:ascii="宋体" w:hAnsi="宋体"/>
          <w:bCs/>
          <w:sz w:val="24"/>
        </w:rPr>
      </w:pPr>
      <w:r>
        <w:rPr>
          <w:rFonts w:hint="eastAsia" w:ascii="宋体" w:hAnsi="宋体"/>
          <w:bCs/>
          <w:sz w:val="24"/>
        </w:rPr>
        <w:t>技术（商务）得分</w:t>
      </w:r>
      <w:r>
        <w:rPr>
          <w:rFonts w:ascii="宋体" w:hAnsi="宋体"/>
          <w:bCs/>
          <w:sz w:val="24"/>
        </w:rPr>
        <w:t>=</w:t>
      </w:r>
      <w:r>
        <w:rPr>
          <w:rFonts w:hint="eastAsia" w:ascii="宋体" w:hAnsi="宋体"/>
          <w:bCs/>
          <w:sz w:val="24"/>
        </w:rPr>
        <w:t>各子项得分之和</w:t>
      </w:r>
    </w:p>
    <w:p w14:paraId="0BF6EBF3">
      <w:pPr>
        <w:spacing w:line="360" w:lineRule="auto"/>
        <w:outlineLvl w:val="3"/>
        <w:rPr>
          <w:rFonts w:hint="eastAsia" w:ascii="宋体" w:hAnsi="宋体" w:cs="宋体"/>
          <w:bCs/>
          <w:sz w:val="24"/>
        </w:rPr>
      </w:pPr>
      <w:r>
        <w:rPr>
          <w:rFonts w:hint="eastAsia" w:ascii="宋体" w:hAnsi="宋体" w:cs="宋体"/>
          <w:bCs/>
          <w:sz w:val="24"/>
        </w:rPr>
        <w:t>6.1.2 节能环保评审</w:t>
      </w:r>
    </w:p>
    <w:p w14:paraId="1AC67497">
      <w:pPr>
        <w:pStyle w:val="36"/>
        <w:spacing w:line="360" w:lineRule="auto"/>
        <w:ind w:firstLine="480"/>
        <w:rPr>
          <w:rFonts w:hint="eastAsia" w:ascii="宋体" w:hAnsi="宋体" w:eastAsiaTheme="minorEastAsia"/>
          <w:bCs/>
          <w:sz w:val="24"/>
        </w:rPr>
      </w:pPr>
      <w:r>
        <w:rPr>
          <w:rFonts w:hint="eastAsia" w:ascii="宋体" w:hAnsi="宋体" w:eastAsiaTheme="minorEastAsia"/>
          <w:bCs/>
          <w:sz w:val="24"/>
        </w:rPr>
        <w:t>评审内容详见节能环保响应评审表</w:t>
      </w:r>
    </w:p>
    <w:p w14:paraId="4A7377E2">
      <w:pPr>
        <w:spacing w:line="360" w:lineRule="auto"/>
        <w:outlineLvl w:val="3"/>
        <w:rPr>
          <w:rFonts w:hint="eastAsia" w:ascii="宋体" w:hAnsi="宋体"/>
          <w:bCs/>
          <w:sz w:val="24"/>
        </w:rPr>
      </w:pPr>
      <w:bookmarkStart w:id="201" w:name="_Toc61327442"/>
      <w:r>
        <w:rPr>
          <w:rFonts w:hint="eastAsia" w:ascii="宋体" w:hAnsi="宋体"/>
          <w:bCs/>
          <w:sz w:val="24"/>
        </w:rPr>
        <w:t>6</w:t>
      </w:r>
      <w:r>
        <w:rPr>
          <w:rFonts w:ascii="宋体" w:hAnsi="宋体"/>
          <w:bCs/>
          <w:sz w:val="24"/>
        </w:rPr>
        <w:t xml:space="preserve">.1.3 </w:t>
      </w:r>
      <w:r>
        <w:rPr>
          <w:rFonts w:hint="eastAsia" w:ascii="宋体" w:hAnsi="宋体"/>
          <w:bCs/>
          <w:sz w:val="24"/>
        </w:rPr>
        <w:t>价格的开启、核准和评分</w:t>
      </w:r>
    </w:p>
    <w:p w14:paraId="4ACAE754">
      <w:pPr>
        <w:tabs>
          <w:tab w:val="left" w:pos="930"/>
        </w:tabs>
        <w:spacing w:line="360" w:lineRule="auto"/>
        <w:rPr>
          <w:rFonts w:hint="eastAsia" w:ascii="宋体" w:hAnsi="宋体"/>
          <w:bCs/>
          <w:sz w:val="24"/>
        </w:rPr>
      </w:pPr>
      <w:r>
        <w:rPr>
          <w:rFonts w:ascii="宋体" w:hAnsi="宋体"/>
          <w:bCs/>
          <w:sz w:val="24"/>
        </w:rPr>
        <w:t xml:space="preserve">6.1.3.1 </w:t>
      </w:r>
      <w:r>
        <w:rPr>
          <w:rFonts w:hint="eastAsia" w:ascii="宋体" w:hAnsi="宋体"/>
          <w:bCs/>
          <w:sz w:val="24"/>
        </w:rPr>
        <w:t>评标委员会详细分析、核准价格表，检查其是否存在计算上或累加上的算术错误，修正错误的原则如下：</w:t>
      </w:r>
    </w:p>
    <w:p w14:paraId="65194D44">
      <w:pPr>
        <w:tabs>
          <w:tab w:val="left" w:pos="1050"/>
        </w:tabs>
        <w:spacing w:line="360" w:lineRule="auto"/>
        <w:ind w:firstLine="480" w:firstLineChars="200"/>
        <w:rPr>
          <w:rFonts w:hint="eastAsia" w:ascii="宋体" w:hAnsi="宋体"/>
          <w:bCs/>
          <w:sz w:val="24"/>
        </w:rPr>
      </w:pPr>
      <w:r>
        <w:rPr>
          <w:rFonts w:hint="eastAsia" w:ascii="宋体" w:hAnsi="宋体"/>
          <w:bCs/>
          <w:sz w:val="24"/>
        </w:rPr>
        <w:t>a) 投标文件中投标一览表（报价表）内容与投标文件中相应内容不一致的，以投标一览表（报价表）为准；</w:t>
      </w:r>
    </w:p>
    <w:p w14:paraId="16B61C0C">
      <w:pPr>
        <w:tabs>
          <w:tab w:val="left" w:pos="1050"/>
        </w:tabs>
        <w:spacing w:line="360" w:lineRule="auto"/>
        <w:ind w:left="420"/>
        <w:rPr>
          <w:rFonts w:hint="eastAsia" w:ascii="宋体" w:hAnsi="宋体"/>
          <w:bCs/>
          <w:sz w:val="24"/>
        </w:rPr>
      </w:pPr>
      <w:r>
        <w:rPr>
          <w:rFonts w:hint="eastAsia" w:ascii="宋体" w:hAnsi="宋体"/>
          <w:bCs/>
          <w:sz w:val="24"/>
        </w:rPr>
        <w:t>b) 大写金额和小写金额不一致的，以大写金额为准；</w:t>
      </w:r>
    </w:p>
    <w:p w14:paraId="635EB2E0">
      <w:pPr>
        <w:tabs>
          <w:tab w:val="left" w:pos="1050"/>
        </w:tabs>
        <w:spacing w:line="360" w:lineRule="auto"/>
        <w:ind w:firstLine="480" w:firstLineChars="200"/>
        <w:rPr>
          <w:rFonts w:hint="eastAsia" w:ascii="宋体" w:hAnsi="宋体"/>
          <w:bCs/>
          <w:sz w:val="24"/>
        </w:rPr>
      </w:pPr>
      <w:r>
        <w:rPr>
          <w:rFonts w:hint="eastAsia" w:ascii="宋体" w:hAnsi="宋体"/>
          <w:bCs/>
          <w:sz w:val="24"/>
        </w:rPr>
        <w:t>c) 单价金额小数点或者百分比有明显错位的，以开标一览表的总价为准，并修改单价；</w:t>
      </w:r>
    </w:p>
    <w:p w14:paraId="43013642">
      <w:pPr>
        <w:tabs>
          <w:tab w:val="left" w:pos="1050"/>
        </w:tabs>
        <w:spacing w:line="360" w:lineRule="auto"/>
        <w:ind w:left="420"/>
        <w:rPr>
          <w:rFonts w:hint="eastAsia" w:ascii="宋体" w:hAnsi="宋体"/>
          <w:bCs/>
          <w:sz w:val="24"/>
        </w:rPr>
      </w:pPr>
      <w:r>
        <w:rPr>
          <w:rFonts w:hint="eastAsia" w:ascii="宋体" w:hAnsi="宋体"/>
          <w:bCs/>
          <w:sz w:val="24"/>
        </w:rPr>
        <w:t>d）总价金额与按单价汇总金额不一致的，以单价金额计算结果为准；</w:t>
      </w:r>
    </w:p>
    <w:p w14:paraId="208B579F">
      <w:pPr>
        <w:tabs>
          <w:tab w:val="left" w:pos="1050"/>
        </w:tabs>
        <w:spacing w:line="360" w:lineRule="auto"/>
        <w:ind w:firstLine="480" w:firstLineChars="200"/>
        <w:rPr>
          <w:rFonts w:hint="eastAsia" w:ascii="宋体" w:hAnsi="宋体" w:cs="宋体"/>
          <w:kern w:val="0"/>
          <w:sz w:val="24"/>
        </w:rPr>
      </w:pPr>
      <w:r>
        <w:rPr>
          <w:rFonts w:hint="eastAsia" w:ascii="宋体" w:hAnsi="宋体" w:cs="宋体"/>
          <w:kern w:val="0"/>
          <w:sz w:val="24"/>
        </w:rPr>
        <w:t>同时出现两种以上不一致的，按照前款规定的顺序修正。修正后的报价按照投标人的澄清、说明或者补正应当采用书面形式，并加盖公章，或者由法定代表人或其授权的代表签字。投标人的澄清、说明或者补正不得超出投标文件的范围或者改变投标文件的实质性内容。经投标人确认后产生约束力，投标人不确认的，其投标无效。</w:t>
      </w:r>
    </w:p>
    <w:p w14:paraId="1CAD39D8">
      <w:pPr>
        <w:tabs>
          <w:tab w:val="left" w:pos="930"/>
        </w:tabs>
        <w:spacing w:line="360" w:lineRule="auto"/>
        <w:rPr>
          <w:rFonts w:hint="eastAsia" w:ascii="宋体" w:hAnsi="宋体"/>
          <w:bCs/>
          <w:sz w:val="24"/>
        </w:rPr>
      </w:pPr>
      <w:r>
        <w:rPr>
          <w:rFonts w:ascii="宋体" w:hAnsi="宋体"/>
          <w:bCs/>
          <w:sz w:val="24"/>
        </w:rPr>
        <w:t xml:space="preserve">6.1.3.2 </w:t>
      </w:r>
      <w:r>
        <w:rPr>
          <w:rFonts w:hint="eastAsia" w:ascii="宋体" w:hAnsi="宋体"/>
          <w:bCs/>
          <w:sz w:val="24"/>
        </w:rPr>
        <w:t>服务范围（包括设备和服务）缺漏项的调整，其调整价格为该项在其他有效投标中的最高报价。</w:t>
      </w:r>
    </w:p>
    <w:p w14:paraId="3C90C718">
      <w:pPr>
        <w:tabs>
          <w:tab w:val="left" w:pos="930"/>
        </w:tabs>
        <w:spacing w:line="360" w:lineRule="auto"/>
        <w:rPr>
          <w:rFonts w:hint="eastAsia" w:ascii="宋体" w:hAnsi="宋体"/>
          <w:bCs/>
          <w:sz w:val="24"/>
        </w:rPr>
      </w:pPr>
      <w:r>
        <w:rPr>
          <w:rFonts w:ascii="宋体" w:hAnsi="宋体"/>
          <w:bCs/>
          <w:sz w:val="24"/>
        </w:rPr>
        <w:t xml:space="preserve">6.1.3.3 </w:t>
      </w:r>
      <w:r>
        <w:rPr>
          <w:rFonts w:hint="eastAsia" w:ascii="宋体" w:hAnsi="宋体"/>
          <w:bCs/>
          <w:sz w:val="24"/>
        </w:rPr>
        <w:t>评标委员会将按照上述修正错误的方法调整投标文件中投标报价，调整后的价格对投标人具有约束力。如果投标人不接受修正后的投标价格，则其投标将被拒绝。</w:t>
      </w:r>
    </w:p>
    <w:p w14:paraId="1932C354">
      <w:pPr>
        <w:tabs>
          <w:tab w:val="left" w:pos="930"/>
        </w:tabs>
        <w:spacing w:line="360" w:lineRule="auto"/>
        <w:rPr>
          <w:rFonts w:hint="eastAsia" w:ascii="宋体" w:hAnsi="宋体"/>
          <w:bCs/>
          <w:sz w:val="24"/>
        </w:rPr>
      </w:pPr>
      <w:r>
        <w:rPr>
          <w:rFonts w:ascii="宋体" w:hAnsi="宋体"/>
          <w:bCs/>
          <w:sz w:val="24"/>
        </w:rPr>
        <w:t xml:space="preserve">6.1.3.4 </w:t>
      </w:r>
      <w:r>
        <w:rPr>
          <w:rFonts w:hint="eastAsia" w:ascii="宋体" w:hAnsi="宋体"/>
          <w:bCs/>
          <w:sz w:val="24"/>
        </w:rPr>
        <w:t>政策价格扣除</w:t>
      </w:r>
    </w:p>
    <w:p w14:paraId="4B7C3EAA">
      <w:pPr>
        <w:tabs>
          <w:tab w:val="left" w:pos="0"/>
        </w:tabs>
        <w:spacing w:line="360" w:lineRule="auto"/>
        <w:rPr>
          <w:rFonts w:hint="eastAsia" w:ascii="宋体" w:hAnsi="宋体"/>
          <w:sz w:val="24"/>
        </w:rPr>
      </w:pPr>
      <w:r>
        <w:rPr>
          <w:rFonts w:ascii="宋体" w:hAnsi="宋体"/>
          <w:sz w:val="24"/>
        </w:rPr>
        <w:t xml:space="preserve">6.1.3.4.1 </w:t>
      </w:r>
      <w:r>
        <w:rPr>
          <w:rFonts w:hint="eastAsia" w:ascii="宋体" w:hAnsi="宋体"/>
          <w:sz w:val="24"/>
        </w:rPr>
        <w:t>小型和微型企业产品价格扣除</w:t>
      </w:r>
    </w:p>
    <w:p w14:paraId="787CCEBB">
      <w:pPr>
        <w:tabs>
          <w:tab w:val="left" w:pos="1050"/>
        </w:tabs>
        <w:spacing w:line="360" w:lineRule="auto"/>
        <w:ind w:firstLine="480" w:firstLineChars="200"/>
        <w:rPr>
          <w:rFonts w:hint="eastAsia" w:ascii="宋体" w:hAnsi="宋体"/>
          <w:bCs/>
          <w:sz w:val="24"/>
        </w:rPr>
      </w:pPr>
      <w:r>
        <w:rPr>
          <w:rFonts w:hint="eastAsia" w:ascii="宋体" w:hAnsi="宋体"/>
          <w:bCs/>
          <w:sz w:val="24"/>
        </w:rPr>
        <w:t>a)根据财政部、工业和信息化部印发的《政府采购促进中小企业发展管理办法》（财库﹝2020﹞46号）的规定，服务全部由符合政策要求的小型、微型企业承接的，对小型和微型企业的价格给予</w:t>
      </w:r>
      <w:r>
        <w:rPr>
          <w:rFonts w:ascii="宋体" w:hAnsi="宋体"/>
          <w:bCs/>
          <w:sz w:val="24"/>
        </w:rPr>
        <w:t>10</w:t>
      </w:r>
      <w:r>
        <w:rPr>
          <w:rFonts w:hint="eastAsia" w:ascii="宋体" w:hAnsi="宋体"/>
          <w:bCs/>
          <w:sz w:val="24"/>
        </w:rPr>
        <w:t>%的扣除，联合体一方为小型、微型企业且小型、微型企业协议合同金额占联合体协议合同总金额30%以上的对联合体总金额扣除</w:t>
      </w:r>
      <w:r>
        <w:rPr>
          <w:rFonts w:ascii="宋体" w:hAnsi="宋体"/>
          <w:bCs/>
          <w:sz w:val="24"/>
        </w:rPr>
        <w:t>4</w:t>
      </w:r>
      <w:r>
        <w:rPr>
          <w:rFonts w:hint="eastAsia" w:ascii="宋体" w:hAnsi="宋体"/>
          <w:bCs/>
          <w:sz w:val="24"/>
        </w:rPr>
        <w:t>%，用扣除后的价格参与评审。</w:t>
      </w:r>
    </w:p>
    <w:p w14:paraId="6713C701">
      <w:pPr>
        <w:tabs>
          <w:tab w:val="left" w:pos="1050"/>
        </w:tabs>
        <w:spacing w:line="360" w:lineRule="auto"/>
        <w:ind w:firstLine="480" w:firstLineChars="200"/>
        <w:rPr>
          <w:rFonts w:hint="eastAsia" w:ascii="宋体" w:hAnsi="宋体"/>
          <w:bCs/>
          <w:sz w:val="24"/>
        </w:rPr>
      </w:pPr>
      <w:r>
        <w:rPr>
          <w:rFonts w:hint="eastAsia" w:ascii="宋体" w:hAnsi="宋体"/>
          <w:bCs/>
          <w:sz w:val="24"/>
        </w:rPr>
        <w:t>b)《政府采购促进中小企业发展管理办法》所称中小企业（含中型、小型、微型企业，下同）应当同时符合以下条件：</w:t>
      </w:r>
    </w:p>
    <w:p w14:paraId="7CC660EE">
      <w:pPr>
        <w:spacing w:line="360" w:lineRule="auto"/>
        <w:ind w:left="630" w:firstLine="480" w:firstLineChars="200"/>
        <w:rPr>
          <w:rFonts w:hint="eastAsia" w:ascii="宋体" w:hAnsi="宋体"/>
          <w:bCs/>
          <w:sz w:val="24"/>
        </w:rPr>
      </w:pPr>
      <w:r>
        <w:rPr>
          <w:rFonts w:hint="eastAsia" w:ascii="宋体" w:hAnsi="宋体"/>
          <w:bCs/>
          <w:sz w:val="24"/>
        </w:rPr>
        <w:t>①符合中小企业划分标准；</w:t>
      </w:r>
    </w:p>
    <w:p w14:paraId="6181760E">
      <w:pPr>
        <w:spacing w:line="360" w:lineRule="auto"/>
        <w:ind w:left="630" w:firstLine="480"/>
        <w:rPr>
          <w:rFonts w:hint="eastAsia" w:ascii="宋体" w:hAnsi="宋体"/>
          <w:bCs/>
          <w:sz w:val="24"/>
        </w:rPr>
      </w:pPr>
      <w:r>
        <w:rPr>
          <w:rFonts w:hint="eastAsia" w:ascii="宋体" w:hAnsi="宋体"/>
          <w:bCs/>
          <w:sz w:val="24"/>
        </w:rPr>
        <w:t>②提供本企业制造的货物、承担的工程或者服务，或者提供其他中小企业制造的货物。本项所称货物不包括使用大型企业注册商标的货物。</w:t>
      </w:r>
    </w:p>
    <w:p w14:paraId="3E9AF0FF">
      <w:pPr>
        <w:spacing w:line="360" w:lineRule="auto"/>
        <w:ind w:left="630" w:firstLine="480"/>
        <w:rPr>
          <w:rFonts w:hint="eastAsia" w:ascii="宋体" w:hAnsi="宋体"/>
          <w:bCs/>
          <w:sz w:val="24"/>
        </w:rPr>
      </w:pPr>
      <w:r>
        <w:rPr>
          <w:rFonts w:hint="eastAsia" w:ascii="宋体" w:hAnsi="宋体"/>
          <w:bCs/>
          <w:sz w:val="24"/>
        </w:rPr>
        <w:t>中小企业划分标准以《工业和信息化部、国家统计局、国家发展和改革委员会、财政部关于印发中小企业划型标准的通知》（工信部联企业﹝2011﹞300号）规定的划分标准为准。小型、微型企业提供中型企业制造的货物的，视同为中型企业。</w:t>
      </w:r>
    </w:p>
    <w:p w14:paraId="591C2E6B">
      <w:pPr>
        <w:spacing w:line="360" w:lineRule="auto"/>
        <w:ind w:left="630" w:firstLine="480"/>
        <w:rPr>
          <w:rFonts w:hint="eastAsia" w:ascii="宋体" w:hAnsi="宋体"/>
          <w:bCs/>
          <w:sz w:val="24"/>
        </w:rPr>
      </w:pPr>
      <w:r>
        <w:rPr>
          <w:rFonts w:hint="eastAsia" w:ascii="宋体" w:hAnsi="宋体"/>
          <w:bCs/>
          <w:sz w:val="24"/>
        </w:rPr>
        <w:t>③参加政府采购活动的中小企业应当提供《中小企业声明函》</w:t>
      </w:r>
    </w:p>
    <w:p w14:paraId="292D9929">
      <w:pPr>
        <w:tabs>
          <w:tab w:val="left" w:pos="0"/>
        </w:tabs>
        <w:spacing w:line="360" w:lineRule="auto"/>
        <w:rPr>
          <w:rFonts w:hint="eastAsia" w:ascii="宋体" w:hAnsi="宋体"/>
          <w:sz w:val="24"/>
        </w:rPr>
      </w:pPr>
      <w:r>
        <w:rPr>
          <w:rFonts w:ascii="宋体" w:hAnsi="宋体"/>
          <w:sz w:val="24"/>
        </w:rPr>
        <w:t xml:space="preserve">6.1.3.4.2 </w:t>
      </w:r>
      <w:r>
        <w:rPr>
          <w:rFonts w:hint="eastAsia" w:ascii="宋体" w:hAnsi="宋体"/>
          <w:sz w:val="24"/>
        </w:rPr>
        <w:t>监狱企业产品价格扣除</w:t>
      </w:r>
    </w:p>
    <w:p w14:paraId="55598F03">
      <w:pPr>
        <w:tabs>
          <w:tab w:val="left" w:pos="1050"/>
        </w:tabs>
        <w:spacing w:line="360" w:lineRule="auto"/>
        <w:ind w:firstLine="480" w:firstLineChars="200"/>
        <w:rPr>
          <w:rFonts w:hint="eastAsia" w:ascii="宋体" w:hAnsi="宋体"/>
          <w:bCs/>
          <w:sz w:val="24"/>
        </w:rPr>
      </w:pPr>
      <w:r>
        <w:rPr>
          <w:rFonts w:hint="eastAsia" w:ascii="宋体" w:hAnsi="宋体"/>
          <w:bCs/>
          <w:sz w:val="24"/>
        </w:rPr>
        <w:t>a）监狱企业视同小型、微型企业，按上述4.1的a)条款享受评审中价格扣除。</w:t>
      </w:r>
    </w:p>
    <w:p w14:paraId="67D04D1D">
      <w:pPr>
        <w:tabs>
          <w:tab w:val="left" w:pos="1050"/>
        </w:tabs>
        <w:spacing w:line="360" w:lineRule="auto"/>
        <w:ind w:firstLine="480" w:firstLineChars="200"/>
        <w:rPr>
          <w:rFonts w:hint="eastAsia" w:ascii="宋体" w:hAnsi="宋体"/>
          <w:bCs/>
          <w:sz w:val="24"/>
        </w:rPr>
      </w:pPr>
      <w:r>
        <w:rPr>
          <w:rFonts w:hint="eastAsia" w:ascii="宋体" w:hAnsi="宋体"/>
          <w:bCs/>
          <w:sz w:val="24"/>
        </w:rPr>
        <w:t>b)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D2B485F">
      <w:pPr>
        <w:tabs>
          <w:tab w:val="left" w:pos="1050"/>
        </w:tabs>
        <w:spacing w:line="360" w:lineRule="auto"/>
        <w:ind w:firstLine="480" w:firstLineChars="200"/>
        <w:rPr>
          <w:rFonts w:hint="eastAsia" w:ascii="宋体" w:hAnsi="宋体"/>
          <w:bCs/>
          <w:sz w:val="24"/>
        </w:rPr>
      </w:pPr>
      <w:r>
        <w:rPr>
          <w:rFonts w:hint="eastAsia" w:ascii="宋体" w:hAnsi="宋体"/>
          <w:bCs/>
          <w:sz w:val="24"/>
        </w:rPr>
        <w:t>c)监狱企业参加政府采购活动时，应当提供由省级以上监狱管理局、戒毒管理局（含新疆生产建设兵团）出具的属于监狱企业的证明文件，否则不予认可。</w:t>
      </w:r>
    </w:p>
    <w:p w14:paraId="4084417F">
      <w:pPr>
        <w:tabs>
          <w:tab w:val="left" w:pos="0"/>
        </w:tabs>
        <w:spacing w:line="360" w:lineRule="auto"/>
        <w:rPr>
          <w:rFonts w:hint="eastAsia" w:ascii="宋体" w:hAnsi="宋体"/>
          <w:sz w:val="24"/>
        </w:rPr>
      </w:pPr>
      <w:r>
        <w:rPr>
          <w:rFonts w:ascii="宋体" w:hAnsi="宋体"/>
          <w:sz w:val="24"/>
        </w:rPr>
        <w:t xml:space="preserve">6.1.3.4.3 </w:t>
      </w:r>
      <w:r>
        <w:rPr>
          <w:rFonts w:hint="eastAsia" w:ascii="宋体" w:hAnsi="宋体"/>
          <w:sz w:val="24"/>
        </w:rPr>
        <w:t>残疾人福利性单位产品价格扣除</w:t>
      </w:r>
    </w:p>
    <w:p w14:paraId="2CD18EF0">
      <w:pPr>
        <w:tabs>
          <w:tab w:val="left" w:pos="1050"/>
        </w:tabs>
        <w:spacing w:line="360" w:lineRule="auto"/>
        <w:ind w:firstLine="480" w:firstLineChars="200"/>
        <w:rPr>
          <w:rFonts w:hint="eastAsia" w:ascii="宋体" w:hAnsi="宋体"/>
          <w:bCs/>
          <w:sz w:val="24"/>
        </w:rPr>
      </w:pPr>
      <w:r>
        <w:rPr>
          <w:rFonts w:hint="eastAsia" w:ascii="宋体" w:hAnsi="宋体"/>
          <w:bCs/>
          <w:sz w:val="24"/>
        </w:rPr>
        <w:t>a)残疾人福利性单位视同小型、微型企业，按上述4.1的a)条款享受评审中价格扣除。</w:t>
      </w:r>
    </w:p>
    <w:p w14:paraId="7E6552F1">
      <w:pPr>
        <w:tabs>
          <w:tab w:val="left" w:pos="1050"/>
        </w:tabs>
        <w:spacing w:line="360" w:lineRule="auto"/>
        <w:ind w:firstLine="480" w:firstLineChars="200"/>
        <w:rPr>
          <w:rFonts w:hint="eastAsia" w:ascii="宋体" w:hAnsi="宋体"/>
          <w:bCs/>
          <w:sz w:val="24"/>
        </w:rPr>
      </w:pPr>
      <w:r>
        <w:rPr>
          <w:rFonts w:hint="eastAsia" w:ascii="宋体" w:hAnsi="宋体"/>
          <w:bCs/>
          <w:sz w:val="24"/>
        </w:rPr>
        <w:t>b)根据财政部、民政部、中国残疾人联合会印发的《关于促进残疾人就业政府采购政策的通知》（财库〔2017〕141号）的规定，符合条件的残疾人福利性单位在参加政府采购活动时，应当提供该通知规定的《残疾人福利性单位声明函》（格式见第六章投标文件格式），并对声明的真实性负责。一旦中标将在中标公告中公告其声明函，接受社会监督。投标人提供的《残疾人福利性单位声明函》与事实不符的，依照《政府采购法》第七十七条第一款的规定追究法律责任。</w:t>
      </w:r>
    </w:p>
    <w:p w14:paraId="102BEBE1">
      <w:pPr>
        <w:tabs>
          <w:tab w:val="left" w:pos="0"/>
        </w:tabs>
        <w:spacing w:line="360" w:lineRule="auto"/>
        <w:rPr>
          <w:rFonts w:hint="eastAsia" w:ascii="宋体" w:hAnsi="宋体"/>
          <w:sz w:val="24"/>
        </w:rPr>
      </w:pPr>
      <w:r>
        <w:rPr>
          <w:rFonts w:ascii="宋体" w:hAnsi="宋体"/>
          <w:sz w:val="24"/>
        </w:rPr>
        <w:t xml:space="preserve">6.1.3.4.4 </w:t>
      </w:r>
      <w:r>
        <w:rPr>
          <w:rFonts w:hint="eastAsia" w:ascii="宋体" w:hAnsi="宋体"/>
          <w:sz w:val="24"/>
        </w:rPr>
        <w:t>投标人同时为小型、微型企业、监狱企业和残疾人福利性单位任两种或以</w:t>
      </w:r>
    </w:p>
    <w:p w14:paraId="0004C1D4">
      <w:pPr>
        <w:tabs>
          <w:tab w:val="left" w:pos="0"/>
        </w:tabs>
        <w:spacing w:line="360" w:lineRule="auto"/>
        <w:rPr>
          <w:rFonts w:hint="eastAsia" w:ascii="宋体" w:hAnsi="宋体"/>
          <w:sz w:val="24"/>
        </w:rPr>
      </w:pPr>
      <w:r>
        <w:rPr>
          <w:rFonts w:hint="eastAsia" w:ascii="宋体" w:hAnsi="宋体"/>
          <w:sz w:val="24"/>
        </w:rPr>
        <w:t>上情况的，评审中只享受一次价格扣除。不重复进行价格扣除。</w:t>
      </w:r>
    </w:p>
    <w:p w14:paraId="409F0B2E">
      <w:pPr>
        <w:spacing w:line="360" w:lineRule="auto"/>
        <w:rPr>
          <w:sz w:val="24"/>
        </w:rPr>
      </w:pPr>
      <w:r>
        <w:rPr>
          <w:rFonts w:ascii="宋体" w:hAnsi="宋体"/>
          <w:sz w:val="24"/>
        </w:rPr>
        <w:t>6.1.3.4.</w:t>
      </w:r>
      <w:r>
        <w:rPr>
          <w:rFonts w:hint="eastAsia" w:ascii="宋体" w:hAnsi="宋体"/>
          <w:sz w:val="24"/>
        </w:rPr>
        <w:t xml:space="preserve">5 </w:t>
      </w:r>
      <w:r>
        <w:rPr>
          <w:sz w:val="24"/>
        </w:rPr>
        <w:t>本国产品</w:t>
      </w:r>
      <w:r>
        <w:rPr>
          <w:rFonts w:hint="eastAsia"/>
          <w:sz w:val="24"/>
        </w:rPr>
        <w:t>支持政策：</w:t>
      </w:r>
    </w:p>
    <w:p w14:paraId="105F8016">
      <w:pPr>
        <w:spacing w:line="360" w:lineRule="auto"/>
        <w:ind w:firstLine="480" w:firstLineChars="200"/>
        <w:rPr>
          <w:sz w:val="24"/>
        </w:rPr>
      </w:pPr>
      <w:r>
        <w:rPr>
          <w:rFonts w:hint="eastAsia" w:ascii="宋体" w:hAnsi="宋体" w:cs="宋体"/>
          <w:sz w:val="24"/>
        </w:rPr>
        <w:t>符合《国务院办公厅关于在政府采购中实施本国产品标准及相关政策的通知》（国办发〔2025〕34号）（以下简称《通知》）规定的本国产品情形的，可享受的本国产品的支持政策，用扣除后的价格参加评审。</w:t>
      </w:r>
    </w:p>
    <w:p w14:paraId="41E74E1C">
      <w:pPr>
        <w:spacing w:line="360" w:lineRule="auto"/>
        <w:ind w:firstLine="480" w:firstLineChars="200"/>
        <w:rPr>
          <w:rFonts w:hint="eastAsia" w:ascii="宋体" w:hAnsi="宋体" w:cs="宋体"/>
          <w:sz w:val="24"/>
        </w:rPr>
      </w:pPr>
      <w:r>
        <w:rPr>
          <w:rFonts w:hint="eastAsia"/>
          <w:sz w:val="24"/>
        </w:rPr>
        <w:t xml:space="preserve">1. </w:t>
      </w:r>
      <w:r>
        <w:rPr>
          <w:sz w:val="24"/>
        </w:rPr>
        <w:t>供应商提供符合本国产品标准的产品参加政府采购活动的，应当提供《关于符合本国产品标准的声明函》（格式见</w:t>
      </w:r>
      <w:r>
        <w:rPr>
          <w:rFonts w:hint="eastAsia"/>
          <w:sz w:val="24"/>
        </w:rPr>
        <w:t>招标文件</w:t>
      </w:r>
      <w:r>
        <w:rPr>
          <w:sz w:val="24"/>
        </w:rPr>
        <w:t>第</w:t>
      </w:r>
      <w:r>
        <w:rPr>
          <w:rFonts w:hint="eastAsia"/>
          <w:sz w:val="24"/>
        </w:rPr>
        <w:t>六部分</w:t>
      </w:r>
      <w:r>
        <w:rPr>
          <w:sz w:val="24"/>
        </w:rPr>
        <w:t>）或财政部会同有关部门规定的有关证明文件。出具符合要求的《关于符合本国产品标准的声明函》</w:t>
      </w:r>
      <w:r>
        <w:rPr>
          <w:rFonts w:hint="eastAsia"/>
          <w:sz w:val="24"/>
        </w:rPr>
        <w:t>（以下简称《声明函》）</w:t>
      </w:r>
      <w:r>
        <w:rPr>
          <w:sz w:val="24"/>
        </w:rPr>
        <w:t>或有关证明文件的，该产品视为本国产品。</w:t>
      </w:r>
    </w:p>
    <w:p w14:paraId="1DCC6541">
      <w:pPr>
        <w:spacing w:line="360" w:lineRule="auto"/>
        <w:ind w:firstLine="472" w:firstLineChars="200"/>
        <w:rPr>
          <w:rFonts w:hint="eastAsia" w:ascii="宋体" w:hAnsi="宋体" w:cs="宋体"/>
          <w:sz w:val="24"/>
        </w:rPr>
      </w:pPr>
      <w:r>
        <w:rPr>
          <w:rFonts w:hint="eastAsia" w:ascii="宋体" w:hAnsi="宋体" w:cs="宋体"/>
          <w:color w:val="333333"/>
          <w:spacing w:val="-2"/>
          <w:kern w:val="0"/>
          <w:sz w:val="24"/>
          <w:shd w:val="clear" w:color="auto" w:fill="FFFFFF"/>
          <w:lang w:bidi="ar"/>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sz w:val="24"/>
        </w:rPr>
        <w:t>。</w:t>
      </w:r>
    </w:p>
    <w:p w14:paraId="6B011C37">
      <w:pPr>
        <w:spacing w:line="360" w:lineRule="auto"/>
        <w:ind w:firstLine="480" w:firstLineChars="200"/>
        <w:rPr>
          <w:rFonts w:hint="eastAsia" w:ascii="宋体" w:hAnsi="宋体" w:cs="宋体"/>
          <w:sz w:val="24"/>
        </w:rPr>
      </w:pPr>
      <w:r>
        <w:rPr>
          <w:rFonts w:hint="eastAsia" w:ascii="宋体" w:hAnsi="宋体" w:cs="宋体"/>
          <w:sz w:val="24"/>
        </w:rPr>
        <w:t>供应商未出具《声明函》或出具的</w:t>
      </w:r>
      <w:r>
        <w:rPr>
          <w:rFonts w:hint="eastAsia" w:ascii="宋体" w:hAnsi="宋体" w:cs="宋体"/>
          <w:color w:val="333333"/>
          <w:spacing w:val="-2"/>
          <w:kern w:val="0"/>
          <w:sz w:val="24"/>
          <w:shd w:val="clear" w:color="auto" w:fill="FFFFFF"/>
          <w:lang w:bidi="ar"/>
        </w:rPr>
        <w:t>《声明函》不符合《通知》规定要求的</w:t>
      </w:r>
      <w:r>
        <w:rPr>
          <w:rFonts w:hint="eastAsia" w:ascii="宋体" w:hAnsi="宋体" w:cs="宋体"/>
          <w:sz w:val="24"/>
        </w:rPr>
        <w:t>，不享受对本国产品的政府采购支持政策。</w:t>
      </w:r>
    </w:p>
    <w:p w14:paraId="7213B217">
      <w:pPr>
        <w:spacing w:line="360" w:lineRule="auto"/>
        <w:ind w:firstLine="480" w:firstLineChars="200"/>
        <w:rPr>
          <w:rFonts w:hint="eastAsia" w:ascii="宋体" w:hAnsi="宋体" w:cs="宋体"/>
          <w:sz w:val="24"/>
        </w:rPr>
      </w:pPr>
      <w:r>
        <w:rPr>
          <w:rFonts w:hint="eastAsia"/>
          <w:sz w:val="24"/>
        </w:rPr>
        <w:t xml:space="preserve">2. </w:t>
      </w:r>
      <w:r>
        <w:rPr>
          <w:sz w:val="24"/>
          <w:lang w:bidi="ar"/>
        </w:rPr>
        <w:t>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511C08DE">
      <w:pPr>
        <w:spacing w:line="360" w:lineRule="auto"/>
        <w:ind w:firstLine="480" w:firstLineChars="200"/>
        <w:rPr>
          <w:rFonts w:hint="eastAsia" w:ascii="宋体" w:hAnsi="宋体"/>
          <w:sz w:val="24"/>
        </w:rPr>
      </w:pPr>
      <w:r>
        <w:rPr>
          <w:rFonts w:hint="eastAsia"/>
          <w:sz w:val="24"/>
        </w:rPr>
        <w:t xml:space="preserve">3. </w:t>
      </w:r>
      <w:r>
        <w:rPr>
          <w:sz w:val="24"/>
          <w:lang w:bidi="ar"/>
        </w:rPr>
        <w:t>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w:t>
      </w:r>
      <w:r>
        <w:rPr>
          <w:sz w:val="24"/>
        </w:rPr>
        <w:t>（格式见</w:t>
      </w:r>
      <w:r>
        <w:rPr>
          <w:rFonts w:hint="eastAsia"/>
          <w:sz w:val="24"/>
        </w:rPr>
        <w:t>招标文件</w:t>
      </w:r>
      <w:r>
        <w:rPr>
          <w:sz w:val="24"/>
        </w:rPr>
        <w:t>第</w:t>
      </w:r>
      <w:r>
        <w:rPr>
          <w:rFonts w:hint="eastAsia"/>
          <w:sz w:val="24"/>
        </w:rPr>
        <w:t>六部分</w:t>
      </w:r>
      <w:r>
        <w:rPr>
          <w:sz w:val="24"/>
        </w:rPr>
        <w:t>）</w:t>
      </w:r>
      <w:r>
        <w:rPr>
          <w:sz w:val="24"/>
          <w:lang w:bidi="ar"/>
        </w:rPr>
        <w:t>，则依法对该供应商提供的全部产品给予价格评审优惠，即对该供应商提供的全部产品的总报价给予20%的价格扣除，用扣除后的价格参与评审。全部产品是指货物或服务采购项目或采购包中包含的全部货物、服务产品。</w:t>
      </w:r>
      <w:r>
        <w:rPr>
          <w:rFonts w:hint="eastAsia"/>
          <w:sz w:val="24"/>
          <w:lang w:bidi="ar"/>
        </w:rPr>
        <w:t>未提供相关承诺的，</w:t>
      </w:r>
      <w:r>
        <w:rPr>
          <w:rFonts w:hint="eastAsia" w:ascii="宋体" w:hAnsi="宋体" w:cs="宋体"/>
          <w:sz w:val="24"/>
        </w:rPr>
        <w:t>不享受对本国产品的政府采购支持政策。</w:t>
      </w:r>
    </w:p>
    <w:p w14:paraId="518C8023">
      <w:pPr>
        <w:spacing w:line="360" w:lineRule="auto"/>
        <w:jc w:val="left"/>
        <w:rPr>
          <w:rFonts w:hint="eastAsia" w:ascii="宋体" w:hAnsi="宋体"/>
          <w:b/>
          <w:bCs/>
          <w:sz w:val="24"/>
        </w:rPr>
      </w:pPr>
      <w:r>
        <w:rPr>
          <w:rFonts w:ascii="宋体" w:hAnsi="宋体"/>
          <w:b/>
          <w:bCs/>
          <w:sz w:val="24"/>
        </w:rPr>
        <w:t xml:space="preserve">6.2 </w:t>
      </w:r>
      <w:r>
        <w:rPr>
          <w:rFonts w:hint="eastAsia" w:ascii="宋体" w:hAnsi="宋体"/>
          <w:b/>
          <w:bCs/>
          <w:sz w:val="24"/>
        </w:rPr>
        <w:t>价格分采用低价优先法计算。</w:t>
      </w:r>
    </w:p>
    <w:p w14:paraId="161C994F">
      <w:pPr>
        <w:tabs>
          <w:tab w:val="left" w:pos="1050"/>
        </w:tabs>
        <w:spacing w:line="360" w:lineRule="auto"/>
        <w:rPr>
          <w:rFonts w:hint="eastAsia" w:ascii="宋体" w:hAnsi="宋体"/>
          <w:b/>
          <w:bCs/>
          <w:sz w:val="24"/>
        </w:rPr>
      </w:pPr>
      <w:r>
        <w:rPr>
          <w:rFonts w:hint="eastAsia" w:ascii="宋体" w:hAnsi="宋体"/>
          <w:sz w:val="24"/>
        </w:rPr>
        <w:t>即满足招标文件要求且投标价格最低的投标报价为评标基准价，其价格分为满分。其它投标人的价格分统一按下列公式计算：投标报价得分=（评标基准价/投标报价）×权重×100；计算结果保留至小数点后两位。</w:t>
      </w:r>
    </w:p>
    <w:p w14:paraId="62321DD3">
      <w:pPr>
        <w:spacing w:line="360" w:lineRule="auto"/>
        <w:rPr>
          <w:b/>
          <w:bCs/>
        </w:rPr>
      </w:pPr>
      <w:r>
        <w:rPr>
          <w:rFonts w:ascii="宋体" w:hAnsi="宋体"/>
          <w:b/>
          <w:bCs/>
          <w:sz w:val="24"/>
        </w:rPr>
        <w:t xml:space="preserve">6.3 </w:t>
      </w:r>
      <w:r>
        <w:rPr>
          <w:rFonts w:hint="eastAsia" w:ascii="宋体" w:hAnsi="宋体"/>
          <w:b/>
          <w:bCs/>
          <w:sz w:val="24"/>
        </w:rPr>
        <w:t>权重分配</w:t>
      </w:r>
      <w:bookmarkEnd w:id="201"/>
      <w:r>
        <w:rPr>
          <w:rFonts w:hint="eastAsia" w:ascii="宋体" w:hAnsi="宋体"/>
          <w:b/>
          <w:bCs/>
          <w:sz w:val="24"/>
        </w:rPr>
        <w:t>（详见评标标准）</w:t>
      </w:r>
    </w:p>
    <w:p w14:paraId="37AF1559">
      <w:pPr>
        <w:spacing w:line="360" w:lineRule="auto"/>
        <w:rPr>
          <w:rFonts w:hint="eastAsia" w:ascii="宋体" w:hAnsi="宋体"/>
          <w:sz w:val="24"/>
        </w:rPr>
      </w:pPr>
      <w:r>
        <w:rPr>
          <w:rFonts w:hint="eastAsia" w:ascii="宋体" w:hAnsi="宋体"/>
          <w:sz w:val="24"/>
        </w:rPr>
        <w:t>综合得分=价格得分</w:t>
      </w:r>
      <w:r>
        <w:rPr>
          <w:rFonts w:ascii="宋体" w:hAnsi="宋体"/>
          <w:sz w:val="24"/>
        </w:rPr>
        <w:t>+</w:t>
      </w:r>
      <w:r>
        <w:rPr>
          <w:rFonts w:hint="eastAsia" w:ascii="宋体" w:hAnsi="宋体"/>
          <w:sz w:val="24"/>
        </w:rPr>
        <w:t>商务得分+技术得分</w:t>
      </w:r>
    </w:p>
    <w:p w14:paraId="52D2CE2C">
      <w:pPr>
        <w:spacing w:line="360" w:lineRule="auto"/>
        <w:rPr>
          <w:rFonts w:hint="eastAsia" w:ascii="宋体" w:hAnsi="宋体"/>
          <w:sz w:val="24"/>
        </w:rPr>
      </w:pPr>
      <w:r>
        <w:rPr>
          <w:rFonts w:hint="eastAsia" w:ascii="宋体" w:hAnsi="宋体"/>
          <w:sz w:val="24"/>
        </w:rPr>
        <w:t>评标委员会根据投标人最终得分高低排定名次。</w:t>
      </w:r>
    </w:p>
    <w:p w14:paraId="56B0D8D9">
      <w:pPr>
        <w:spacing w:line="360" w:lineRule="auto"/>
        <w:rPr>
          <w:rFonts w:hint="eastAsia" w:ascii="宋体" w:hAnsi="宋体"/>
          <w:b/>
          <w:bCs/>
          <w:sz w:val="24"/>
        </w:rPr>
      </w:pPr>
      <w:r>
        <w:rPr>
          <w:rFonts w:hint="eastAsia" w:ascii="宋体" w:hAnsi="宋体"/>
          <w:b/>
          <w:bCs/>
          <w:sz w:val="24"/>
        </w:rPr>
        <w:t>6.4 异常低价审查</w:t>
      </w:r>
    </w:p>
    <w:p w14:paraId="05BC183D">
      <w:pPr>
        <w:widowControl/>
        <w:spacing w:line="360" w:lineRule="auto"/>
        <w:ind w:firstLine="480" w:firstLineChars="200"/>
        <w:jc w:val="left"/>
        <w:rPr>
          <w:rFonts w:hint="eastAsia" w:ascii="宋体" w:hAnsi="宋体" w:cs="宋体"/>
          <w:color w:val="383838"/>
          <w:kern w:val="0"/>
          <w:sz w:val="24"/>
          <w:shd w:val="clear" w:color="auto" w:fill="FFFFFF"/>
          <w:lang w:bidi="ar"/>
        </w:rPr>
      </w:pPr>
      <w:r>
        <w:rPr>
          <w:rFonts w:hint="eastAsia" w:ascii="宋体" w:hAnsi="宋体" w:cs="宋体"/>
          <w:color w:val="383838"/>
          <w:kern w:val="0"/>
          <w:sz w:val="24"/>
          <w:shd w:val="clear" w:color="auto" w:fill="FFFFFF"/>
          <w:lang w:bidi="ar"/>
        </w:rPr>
        <w:t>1. 评审中出现下列情形之一的，评标委员会应当启动异常低价投标（响应）审查程序：</w:t>
      </w:r>
    </w:p>
    <w:p w14:paraId="48FEC8DF">
      <w:pPr>
        <w:widowControl/>
        <w:spacing w:line="360" w:lineRule="auto"/>
        <w:ind w:firstLine="480" w:firstLineChars="200"/>
        <w:jc w:val="left"/>
        <w:rPr>
          <w:rFonts w:hint="eastAsia" w:ascii="宋体" w:hAnsi="宋体" w:cs="宋体"/>
          <w:color w:val="383838"/>
          <w:kern w:val="0"/>
          <w:sz w:val="24"/>
          <w:shd w:val="clear" w:color="auto" w:fill="FFFFFF"/>
          <w:lang w:bidi="ar"/>
        </w:rPr>
      </w:pPr>
      <w:r>
        <w:rPr>
          <w:rFonts w:hint="eastAsia" w:ascii="宋体" w:hAnsi="宋体" w:cs="宋体"/>
          <w:color w:val="383838"/>
          <w:kern w:val="0"/>
          <w:sz w:val="24"/>
          <w:shd w:val="clear" w:color="auto" w:fill="FFFFFF"/>
          <w:lang w:bidi="ar"/>
        </w:rPr>
        <w:t>（1）投标（响应）报价低于全部通过符合性审查供应商投标（响应）报价平均值50%的，即投标（响应）报价&lt;全部通过符合性审查供应商投标（响应）报价平均值×50%；</w:t>
      </w:r>
    </w:p>
    <w:p w14:paraId="36077570">
      <w:pPr>
        <w:widowControl/>
        <w:spacing w:line="360" w:lineRule="auto"/>
        <w:ind w:firstLine="480" w:firstLineChars="200"/>
        <w:jc w:val="left"/>
        <w:rPr>
          <w:rFonts w:hint="eastAsia" w:ascii="宋体" w:hAnsi="宋体" w:cs="宋体"/>
          <w:color w:val="383838"/>
          <w:kern w:val="0"/>
          <w:sz w:val="24"/>
          <w:shd w:val="clear" w:color="auto" w:fill="FFFFFF"/>
          <w:lang w:bidi="ar"/>
        </w:rPr>
      </w:pPr>
      <w:r>
        <w:rPr>
          <w:rFonts w:hint="eastAsia" w:ascii="宋体" w:hAnsi="宋体" w:cs="宋体"/>
          <w:color w:val="383838"/>
          <w:kern w:val="0"/>
          <w:sz w:val="24"/>
          <w:shd w:val="clear" w:color="auto" w:fill="FFFFFF"/>
          <w:lang w:bidi="ar"/>
        </w:rPr>
        <w:t>（2）投标（响应）报价低于通过符合性审查的次低报价供应商投标（响应）报价50%的，即投标（响应）报价&lt;通过符合性审查的次低报价供应商投标（响应）报价×50%；</w:t>
      </w:r>
    </w:p>
    <w:p w14:paraId="46966CDC">
      <w:pPr>
        <w:widowControl/>
        <w:spacing w:line="360" w:lineRule="auto"/>
        <w:ind w:firstLine="480" w:firstLineChars="200"/>
        <w:jc w:val="left"/>
        <w:rPr>
          <w:rFonts w:hint="eastAsia" w:ascii="宋体" w:hAnsi="宋体" w:cs="宋体"/>
          <w:color w:val="383838"/>
          <w:kern w:val="0"/>
          <w:sz w:val="24"/>
          <w:shd w:val="clear" w:color="auto" w:fill="FFFFFF"/>
          <w:lang w:bidi="ar"/>
        </w:rPr>
      </w:pPr>
      <w:r>
        <w:rPr>
          <w:rFonts w:hint="eastAsia" w:ascii="宋体" w:hAnsi="宋体" w:cs="宋体"/>
          <w:color w:val="383838"/>
          <w:kern w:val="0"/>
          <w:sz w:val="24"/>
          <w:shd w:val="clear" w:color="auto" w:fill="FFFFFF"/>
          <w:lang w:bidi="ar"/>
        </w:rPr>
        <w:t>（3）投标（响应）报价低于采购项目最高限价45%的，即投标（响应）报价&lt;采购项目最高限价×45%；</w:t>
      </w:r>
    </w:p>
    <w:p w14:paraId="489EE2BC">
      <w:pPr>
        <w:spacing w:line="360" w:lineRule="auto"/>
        <w:ind w:firstLine="480" w:firstLineChars="200"/>
        <w:rPr>
          <w:rFonts w:hint="eastAsia" w:ascii="宋体" w:hAnsi="宋体" w:cs="宋体"/>
          <w:color w:val="383838"/>
          <w:kern w:val="0"/>
          <w:sz w:val="24"/>
          <w:shd w:val="clear" w:color="auto" w:fill="FFFFFF"/>
          <w:lang w:bidi="ar"/>
        </w:rPr>
      </w:pPr>
      <w:r>
        <w:rPr>
          <w:rFonts w:hint="eastAsia" w:ascii="宋体" w:hAnsi="宋体" w:cs="宋体"/>
          <w:color w:val="383838"/>
          <w:kern w:val="0"/>
          <w:sz w:val="24"/>
          <w:shd w:val="clear" w:color="auto" w:fill="FFFFFF"/>
          <w:lang w:bidi="ar"/>
        </w:rPr>
        <w:t>（4）评标委员会基于专业判断，认为供应商报价过低，有可能影响产品质量或者不能诚信履约的其他情形。</w:t>
      </w:r>
    </w:p>
    <w:p w14:paraId="3BD7C4F1">
      <w:pPr>
        <w:widowControl/>
        <w:spacing w:line="360" w:lineRule="auto"/>
        <w:ind w:firstLine="480" w:firstLineChars="200"/>
        <w:jc w:val="left"/>
        <w:rPr>
          <w:rFonts w:hint="eastAsia" w:ascii="宋体" w:hAnsi="宋体" w:cs="宋体"/>
          <w:color w:val="383838"/>
          <w:kern w:val="0"/>
          <w:sz w:val="24"/>
          <w:shd w:val="clear" w:color="auto" w:fill="FFFFFF"/>
          <w:lang w:bidi="ar"/>
        </w:rPr>
      </w:pPr>
      <w:r>
        <w:rPr>
          <w:rFonts w:hint="eastAsia" w:ascii="宋体" w:hAnsi="宋体" w:cs="宋体"/>
          <w:color w:val="383838"/>
          <w:kern w:val="0"/>
          <w:sz w:val="24"/>
          <w:shd w:val="clear" w:color="auto" w:fill="FFFFFF"/>
          <w:lang w:bidi="ar"/>
        </w:rPr>
        <w:t>相关法律法规对供应商报价有规定的，从其规定。</w:t>
      </w:r>
    </w:p>
    <w:p w14:paraId="70B7F6B7">
      <w:pPr>
        <w:widowControl/>
        <w:spacing w:line="360" w:lineRule="auto"/>
        <w:ind w:firstLine="480" w:firstLineChars="200"/>
        <w:jc w:val="left"/>
        <w:rPr>
          <w:rFonts w:ascii="Calibri" w:hAnsi="Calibri" w:cs="Calibri"/>
          <w:szCs w:val="21"/>
        </w:rPr>
      </w:pPr>
      <w:r>
        <w:rPr>
          <w:rFonts w:hint="eastAsia" w:ascii="宋体" w:hAnsi="宋体" w:cs="宋体"/>
          <w:color w:val="383838"/>
          <w:kern w:val="0"/>
          <w:sz w:val="24"/>
          <w:shd w:val="clear" w:color="auto" w:fill="FFFFFF"/>
          <w:lang w:bidi="ar"/>
        </w:rPr>
        <w:t>2. 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BB2D5E4">
      <w:pPr>
        <w:spacing w:line="360" w:lineRule="auto"/>
        <w:ind w:firstLine="480" w:firstLineChars="200"/>
        <w:rPr>
          <w:rFonts w:hint="eastAsia" w:ascii="宋体" w:hAnsi="宋体" w:cs="宋体"/>
          <w:color w:val="383838"/>
          <w:kern w:val="0"/>
          <w:sz w:val="24"/>
          <w:shd w:val="clear" w:color="auto" w:fill="FFFFFF"/>
          <w:lang w:bidi="ar"/>
        </w:rPr>
      </w:pPr>
      <w:r>
        <w:rPr>
          <w:rFonts w:hint="eastAsia" w:ascii="宋体" w:hAnsi="宋体" w:cs="宋体"/>
          <w:color w:val="383838"/>
          <w:kern w:val="0"/>
          <w:sz w:val="24"/>
          <w:shd w:val="clear" w:color="auto" w:fill="FFFFFF"/>
          <w:lang w:bidi="ar"/>
        </w:rPr>
        <w:t>评标委员会依据专业经验，参考同类项目中标（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61283921">
      <w:pPr>
        <w:widowControl/>
        <w:spacing w:line="360" w:lineRule="auto"/>
        <w:ind w:firstLine="480" w:firstLineChars="200"/>
        <w:jc w:val="left"/>
        <w:rPr>
          <w:rFonts w:hint="eastAsia" w:ascii="宋体" w:hAnsi="宋体" w:cs="宋体"/>
          <w:color w:val="383838"/>
          <w:kern w:val="0"/>
          <w:sz w:val="24"/>
          <w:shd w:val="clear" w:color="auto" w:fill="FFFFFF"/>
          <w:lang w:bidi="ar"/>
        </w:rPr>
      </w:pPr>
      <w:r>
        <w:rPr>
          <w:rFonts w:hint="eastAsia" w:ascii="宋体" w:hAnsi="宋体" w:cs="宋体"/>
          <w:color w:val="383838"/>
          <w:kern w:val="0"/>
          <w:sz w:val="24"/>
          <w:shd w:val="clear" w:color="auto" w:fill="FFFFFF"/>
          <w:lang w:bidi="ar"/>
        </w:rPr>
        <w:t>采购人、采购代理机构应当为评标委员会在评审现场及时获取同类项目中标（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1EF963B6">
      <w:pPr>
        <w:spacing w:line="360" w:lineRule="auto"/>
        <w:ind w:firstLine="480" w:firstLineChars="200"/>
        <w:rPr>
          <w:rFonts w:hint="eastAsia" w:ascii="宋体" w:hAnsi="宋体"/>
          <w:sz w:val="24"/>
        </w:rPr>
      </w:pPr>
      <w:r>
        <w:rPr>
          <w:rFonts w:hint="eastAsia" w:ascii="宋体" w:hAnsi="宋体" w:cs="宋体"/>
          <w:color w:val="383838"/>
          <w:kern w:val="0"/>
          <w:sz w:val="24"/>
          <w:shd w:val="clear" w:color="auto" w:fill="FFFFFF"/>
          <w:lang w:bidi="ar"/>
        </w:rPr>
        <w:t>异常低价投标（响应）审查的启动原因、审查意见和审查结果应当在评审报告中记录，并随供应商提供的相关书面说明及证明材料，以及评标委员会有关互联网浏览、查询历史一并归档。</w:t>
      </w:r>
    </w:p>
    <w:p w14:paraId="7C3C5BD3">
      <w:pPr>
        <w:pStyle w:val="4"/>
        <w:spacing w:after="0" w:line="360" w:lineRule="auto"/>
        <w:rPr>
          <w:sz w:val="28"/>
          <w:szCs w:val="28"/>
        </w:rPr>
      </w:pPr>
      <w:r>
        <w:rPr>
          <w:rFonts w:hint="eastAsia"/>
          <w:sz w:val="28"/>
          <w:szCs w:val="28"/>
        </w:rPr>
        <w:t>七、确定中标</w:t>
      </w:r>
    </w:p>
    <w:p w14:paraId="329BB8CC">
      <w:pPr>
        <w:spacing w:line="360" w:lineRule="auto"/>
        <w:outlineLvl w:val="3"/>
        <w:rPr>
          <w:rFonts w:hint="eastAsia" w:ascii="宋体" w:hAnsi="宋体" w:cs="宋体"/>
          <w:b/>
          <w:bCs/>
          <w:sz w:val="24"/>
        </w:rPr>
      </w:pPr>
      <w:r>
        <w:rPr>
          <w:rFonts w:hint="eastAsia" w:ascii="宋体" w:hAnsi="宋体" w:cs="宋体"/>
          <w:b/>
          <w:bCs/>
          <w:sz w:val="24"/>
        </w:rPr>
        <w:t>7.1 确定中标候选人</w:t>
      </w:r>
    </w:p>
    <w:p w14:paraId="1B0D296D">
      <w:pPr>
        <w:spacing w:line="360" w:lineRule="auto"/>
        <w:rPr>
          <w:rFonts w:hint="eastAsia" w:ascii="宋体" w:hAnsi="宋体" w:cs="宋体"/>
          <w:sz w:val="24"/>
        </w:rPr>
      </w:pPr>
      <w:r>
        <w:rPr>
          <w:rFonts w:hint="eastAsia" w:ascii="宋体" w:hAnsi="宋体" w:cs="宋体"/>
          <w:sz w:val="24"/>
        </w:rPr>
        <w:t>评标委员会将根据评标标准，按综合评价得分排名确定。</w:t>
      </w:r>
    </w:p>
    <w:p w14:paraId="62FB00BB">
      <w:pPr>
        <w:spacing w:line="360" w:lineRule="auto"/>
        <w:outlineLvl w:val="3"/>
        <w:rPr>
          <w:rFonts w:hint="eastAsia" w:ascii="宋体" w:hAnsi="宋体" w:cs="宋体"/>
          <w:b/>
          <w:bCs/>
          <w:sz w:val="24"/>
        </w:rPr>
      </w:pPr>
      <w:bookmarkStart w:id="202" w:name="_Toc89569868"/>
      <w:bookmarkStart w:id="203" w:name="_Toc520356172"/>
      <w:r>
        <w:rPr>
          <w:rFonts w:ascii="宋体" w:hAnsi="宋体" w:cs="宋体"/>
          <w:b/>
          <w:bCs/>
          <w:sz w:val="24"/>
        </w:rPr>
        <w:t>7.2</w:t>
      </w:r>
      <w:bookmarkEnd w:id="202"/>
      <w:bookmarkEnd w:id="203"/>
      <w:r>
        <w:rPr>
          <w:rFonts w:hint="eastAsia" w:ascii="宋体" w:hAnsi="宋体" w:cs="宋体"/>
          <w:b/>
          <w:bCs/>
          <w:sz w:val="24"/>
        </w:rPr>
        <w:t xml:space="preserve"> 确定中标人</w:t>
      </w:r>
    </w:p>
    <w:p w14:paraId="5257E05F">
      <w:pPr>
        <w:spacing w:before="120" w:line="360" w:lineRule="auto"/>
        <w:rPr>
          <w:rFonts w:hint="eastAsia" w:ascii="宋体" w:hAnsi="宋体"/>
          <w:sz w:val="24"/>
        </w:rPr>
      </w:pPr>
      <w:r>
        <w:rPr>
          <w:rFonts w:hint="eastAsia" w:ascii="宋体" w:hAnsi="宋体" w:cs="仿宋_GB2312"/>
          <w:sz w:val="24"/>
        </w:rPr>
        <w:t>评标委员会将根据评标标准，推荐评标排序，或根据采购人的委托，直接确定中标人。</w:t>
      </w:r>
    </w:p>
    <w:p w14:paraId="10477F92">
      <w:pPr>
        <w:spacing w:line="360" w:lineRule="auto"/>
        <w:outlineLvl w:val="3"/>
        <w:rPr>
          <w:rFonts w:hint="eastAsia" w:ascii="宋体" w:hAnsi="宋体" w:cs="宋体"/>
          <w:b/>
          <w:bCs/>
          <w:sz w:val="24"/>
        </w:rPr>
      </w:pPr>
      <w:r>
        <w:rPr>
          <w:rFonts w:hint="eastAsia" w:ascii="宋体" w:hAnsi="宋体" w:cs="宋体"/>
          <w:b/>
          <w:bCs/>
          <w:sz w:val="24"/>
        </w:rPr>
        <w:t>7.</w:t>
      </w:r>
      <w:r>
        <w:rPr>
          <w:rFonts w:ascii="宋体" w:hAnsi="宋体" w:cs="宋体"/>
          <w:b/>
          <w:bCs/>
          <w:sz w:val="24"/>
        </w:rPr>
        <w:t>3</w:t>
      </w:r>
      <w:r>
        <w:rPr>
          <w:rFonts w:hint="eastAsia" w:ascii="宋体" w:hAnsi="宋体" w:cs="宋体"/>
          <w:b/>
          <w:bCs/>
          <w:sz w:val="24"/>
        </w:rPr>
        <w:t xml:space="preserve"> 中标通知书</w:t>
      </w:r>
    </w:p>
    <w:p w14:paraId="21F5BC76">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3</w:t>
      </w:r>
      <w:r>
        <w:rPr>
          <w:rFonts w:hint="eastAsia" w:ascii="宋体" w:hAnsi="宋体" w:cs="宋体"/>
          <w:sz w:val="24"/>
        </w:rPr>
        <w:t>.1中标供应商确定后，采购代理机构将在规定的发布信息媒体(中国政府采购网（http://www.ccgp.gov.cn/）)上发布中标结果公告。投标人可通过相关发布媒体查询评标结果。投标人对中标结果提出质疑的，应当在中标公告期限届满之日起七个工作日内，以书面形式向采购代理机构一次性提出质疑，但需对质疑内容的真实性承担责任及后果，并提交相应的证明材料。</w:t>
      </w:r>
    </w:p>
    <w:p w14:paraId="6B4BCC16">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3</w:t>
      </w:r>
      <w:r>
        <w:rPr>
          <w:rFonts w:hint="eastAsia" w:ascii="宋体" w:hAnsi="宋体" w:cs="宋体"/>
          <w:sz w:val="24"/>
        </w:rPr>
        <w:t>.2在投标有效期内，中标人确定后，采购代理机构以书面形式向中标人发出中标通知书。</w:t>
      </w:r>
    </w:p>
    <w:p w14:paraId="55E1644C">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3</w:t>
      </w:r>
      <w:r>
        <w:rPr>
          <w:rFonts w:hint="eastAsia" w:ascii="宋体" w:hAnsi="宋体" w:cs="宋体"/>
          <w:sz w:val="24"/>
        </w:rPr>
        <w:t>.3中标通知书是合同的组成部分。</w:t>
      </w:r>
    </w:p>
    <w:p w14:paraId="42D19EA3">
      <w:pPr>
        <w:spacing w:before="120" w:line="360" w:lineRule="auto"/>
        <w:rPr>
          <w:rFonts w:hint="eastAsia" w:ascii="宋体" w:hAnsi="宋体"/>
          <w:sz w:val="24"/>
        </w:rPr>
      </w:pPr>
      <w:r>
        <w:rPr>
          <w:rFonts w:ascii="宋体" w:hAnsi="宋体" w:cs="仿宋_GB2312"/>
          <w:sz w:val="24"/>
        </w:rPr>
        <w:t>7.3.4</w:t>
      </w:r>
      <w:r>
        <w:rPr>
          <w:rFonts w:hint="eastAsia" w:ascii="宋体" w:hAnsi="宋体" w:cs="仿宋_GB2312"/>
          <w:sz w:val="24"/>
        </w:rPr>
        <w:t>采购代理机构将向其他投标人发出招标结果通知书，并退还投标保证金。</w:t>
      </w:r>
    </w:p>
    <w:p w14:paraId="7EBFA3AF">
      <w:pPr>
        <w:spacing w:line="360" w:lineRule="auto"/>
        <w:outlineLvl w:val="3"/>
        <w:rPr>
          <w:rFonts w:hint="eastAsia" w:ascii="宋体" w:hAnsi="宋体" w:cs="宋体"/>
          <w:b/>
          <w:bCs/>
          <w:sz w:val="24"/>
        </w:rPr>
      </w:pPr>
      <w:r>
        <w:rPr>
          <w:rFonts w:hint="eastAsia" w:ascii="宋体" w:hAnsi="宋体" w:cs="宋体"/>
          <w:b/>
          <w:bCs/>
          <w:sz w:val="24"/>
        </w:rPr>
        <w:t>7.</w:t>
      </w:r>
      <w:r>
        <w:rPr>
          <w:rFonts w:ascii="宋体" w:hAnsi="宋体" w:cs="宋体"/>
          <w:b/>
          <w:bCs/>
          <w:sz w:val="24"/>
        </w:rPr>
        <w:t>4</w:t>
      </w:r>
      <w:r>
        <w:rPr>
          <w:rFonts w:hint="eastAsia" w:ascii="宋体" w:hAnsi="宋体" w:cs="宋体"/>
          <w:b/>
          <w:bCs/>
          <w:sz w:val="24"/>
        </w:rPr>
        <w:t xml:space="preserve"> 签订合同</w:t>
      </w:r>
    </w:p>
    <w:p w14:paraId="18F773ED">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4</w:t>
      </w:r>
      <w:r>
        <w:rPr>
          <w:rFonts w:hint="eastAsia" w:ascii="宋体" w:hAnsi="宋体" w:cs="宋体"/>
          <w:sz w:val="24"/>
        </w:rPr>
        <w:t>.1采购人、中标人应当自中标通知书发出之日起30日内，按照中标人投标文件和招标文件的约定，签订书面合同。</w:t>
      </w:r>
    </w:p>
    <w:p w14:paraId="68270E9B">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4</w:t>
      </w:r>
      <w:r>
        <w:rPr>
          <w:rFonts w:hint="eastAsia" w:ascii="宋体" w:hAnsi="宋体" w:cs="宋体"/>
          <w:sz w:val="24"/>
        </w:rPr>
        <w:t>.2中标人的投标文件、招标文件及其澄清文件等，均为签订合同的依据。</w:t>
      </w:r>
    </w:p>
    <w:p w14:paraId="3D684366">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4</w:t>
      </w:r>
      <w:r>
        <w:rPr>
          <w:rFonts w:hint="eastAsia" w:ascii="宋体" w:hAnsi="宋体" w:cs="宋体"/>
          <w:sz w:val="24"/>
        </w:rPr>
        <w:t>.3 如果中标人没有按照上述第7.</w:t>
      </w:r>
      <w:r>
        <w:rPr>
          <w:rFonts w:ascii="宋体" w:hAnsi="宋体" w:cs="宋体"/>
          <w:sz w:val="24"/>
        </w:rPr>
        <w:t>4</w:t>
      </w:r>
      <w:r>
        <w:rPr>
          <w:rFonts w:hint="eastAsia" w:ascii="宋体" w:hAnsi="宋体" w:cs="宋体"/>
          <w:sz w:val="24"/>
        </w:rPr>
        <w:t>.1条与采购人签约，采购人将有充分理由取消该中标决定。在此情况下采购人可将标授予下一个最高综合评分的投标人或重新招标。</w:t>
      </w:r>
    </w:p>
    <w:p w14:paraId="63EE79E4">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4</w:t>
      </w:r>
      <w:r>
        <w:rPr>
          <w:rFonts w:hint="eastAsia" w:ascii="宋体" w:hAnsi="宋体" w:cs="宋体"/>
          <w:sz w:val="24"/>
        </w:rPr>
        <w:t>.4 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4EC717DD">
      <w:pPr>
        <w:spacing w:line="360" w:lineRule="auto"/>
        <w:outlineLvl w:val="3"/>
        <w:rPr>
          <w:rFonts w:hint="eastAsia" w:ascii="宋体" w:hAnsi="宋体" w:cs="宋体"/>
          <w:b/>
          <w:bCs/>
          <w:sz w:val="24"/>
        </w:rPr>
      </w:pPr>
      <w:r>
        <w:rPr>
          <w:rFonts w:hint="eastAsia" w:ascii="宋体" w:hAnsi="宋体" w:cs="宋体"/>
          <w:b/>
          <w:bCs/>
          <w:sz w:val="24"/>
        </w:rPr>
        <w:t>7.</w:t>
      </w:r>
      <w:r>
        <w:rPr>
          <w:rFonts w:ascii="宋体" w:hAnsi="宋体" w:cs="宋体"/>
          <w:b/>
          <w:bCs/>
          <w:sz w:val="24"/>
        </w:rPr>
        <w:t>5</w:t>
      </w:r>
      <w:r>
        <w:rPr>
          <w:rFonts w:hint="eastAsia" w:ascii="宋体" w:hAnsi="宋体" w:cs="宋体"/>
          <w:b/>
          <w:bCs/>
          <w:sz w:val="24"/>
        </w:rPr>
        <w:t xml:space="preserve"> 履约保证金</w:t>
      </w:r>
    </w:p>
    <w:p w14:paraId="46EB52AD">
      <w:pPr>
        <w:pStyle w:val="36"/>
        <w:spacing w:line="360" w:lineRule="auto"/>
        <w:ind w:left="0" w:leftChars="0" w:firstLine="0" w:firstLineChars="0"/>
        <w:rPr>
          <w:rFonts w:hint="eastAsia" w:ascii="宋体" w:hAnsi="宋体" w:cs="宋体"/>
          <w:sz w:val="24"/>
        </w:rPr>
      </w:pPr>
      <w:r>
        <w:rPr>
          <w:rFonts w:ascii="宋体" w:hAnsi="宋体" w:cs="宋体"/>
          <w:sz w:val="24"/>
        </w:rPr>
        <w:t>7.5</w:t>
      </w:r>
      <w:r>
        <w:rPr>
          <w:rFonts w:hint="eastAsia" w:ascii="宋体" w:hAnsi="宋体" w:cs="宋体"/>
          <w:sz w:val="24"/>
        </w:rPr>
        <w:t>.1中标人应按第二章“资料表”中的规定的时间、金额、有效期，并按照招标文件中提供的履约保证金保函格式或买方可以接受的其他形式向买方提交履约保证金。</w:t>
      </w:r>
    </w:p>
    <w:p w14:paraId="4CCF8513">
      <w:pPr>
        <w:pStyle w:val="36"/>
        <w:spacing w:line="360" w:lineRule="auto"/>
        <w:ind w:left="0" w:leftChars="0" w:firstLine="0" w:firstLineChars="0"/>
        <w:rPr>
          <w:sz w:val="24"/>
        </w:rPr>
      </w:pPr>
      <w:r>
        <w:rPr>
          <w:rFonts w:ascii="宋体" w:hAnsi="宋体" w:cs="宋体"/>
          <w:sz w:val="24"/>
        </w:rPr>
        <w:t>7.5</w:t>
      </w:r>
      <w:r>
        <w:rPr>
          <w:rFonts w:hint="eastAsia" w:ascii="宋体" w:hAnsi="宋体" w:cs="宋体"/>
          <w:sz w:val="24"/>
        </w:rPr>
        <w:t>.2如果中标人没有按照上述第</w:t>
      </w:r>
      <w:r>
        <w:rPr>
          <w:rFonts w:ascii="宋体" w:hAnsi="宋体" w:cs="宋体"/>
          <w:sz w:val="24"/>
        </w:rPr>
        <w:t>7.4</w:t>
      </w:r>
      <w:r>
        <w:rPr>
          <w:rFonts w:hint="eastAsia" w:ascii="宋体" w:hAnsi="宋体" w:cs="宋体"/>
          <w:sz w:val="24"/>
        </w:rPr>
        <w:t>条或</w:t>
      </w:r>
      <w:r>
        <w:rPr>
          <w:rFonts w:ascii="宋体" w:hAnsi="宋体" w:cs="宋体"/>
          <w:sz w:val="24"/>
        </w:rPr>
        <w:t>7.5</w:t>
      </w:r>
      <w:r>
        <w:rPr>
          <w:rFonts w:hint="eastAsia" w:ascii="宋体" w:hAnsi="宋体" w:cs="宋体"/>
          <w:sz w:val="24"/>
        </w:rPr>
        <w:t>.1条的规定执行，采购人和采购代理机构将取消该中标决定，该中标人的投标保证金不予返还，同时将结果报上级主管部门备案。</w:t>
      </w:r>
    </w:p>
    <w:p w14:paraId="5030F5A7">
      <w:pPr>
        <w:pStyle w:val="36"/>
        <w:spacing w:line="360" w:lineRule="auto"/>
      </w:pPr>
      <w:r>
        <w:br w:type="page"/>
      </w:r>
    </w:p>
    <w:p w14:paraId="014CFA03">
      <w:pPr>
        <w:pStyle w:val="36"/>
        <w:spacing w:line="360" w:lineRule="auto"/>
        <w:ind w:left="0" w:leftChars="0" w:firstLine="0" w:firstLineChars="0"/>
        <w:jc w:val="center"/>
        <w:outlineLvl w:val="0"/>
        <w:rPr>
          <w:rFonts w:hint="eastAsia" w:ascii="宋体" w:hAnsi="宋体" w:eastAsiaTheme="minorEastAsia"/>
          <w:b/>
          <w:bCs/>
          <w:sz w:val="44"/>
          <w:szCs w:val="44"/>
        </w:rPr>
      </w:pPr>
      <w:r>
        <w:rPr>
          <w:rFonts w:hint="eastAsia" w:ascii="宋体" w:hAnsi="宋体" w:eastAsiaTheme="minorEastAsia"/>
          <w:b/>
          <w:bCs/>
          <w:sz w:val="44"/>
          <w:szCs w:val="44"/>
        </w:rPr>
        <w:t>附表：评标标准</w:t>
      </w:r>
    </w:p>
    <w:p w14:paraId="011FFF9D">
      <w:pPr>
        <w:autoSpaceDE w:val="0"/>
        <w:autoSpaceDN w:val="0"/>
        <w:adjustRightInd w:val="0"/>
        <w:spacing w:line="360" w:lineRule="auto"/>
        <w:rPr>
          <w:rFonts w:hint="eastAsia" w:ascii="宋体" w:hAnsi="宋体"/>
          <w:b/>
          <w:bCs/>
          <w:kern w:val="0"/>
          <w:sz w:val="28"/>
          <w:szCs w:val="28"/>
        </w:rPr>
      </w:pPr>
      <w:r>
        <w:rPr>
          <w:rFonts w:hint="eastAsia" w:ascii="宋体" w:hAnsi="宋体"/>
          <w:b/>
          <w:bCs/>
          <w:kern w:val="0"/>
          <w:sz w:val="28"/>
          <w:szCs w:val="28"/>
        </w:rPr>
        <w:t>一、投标文件的初审：</w:t>
      </w:r>
    </w:p>
    <w:p w14:paraId="439DD831">
      <w:pPr>
        <w:spacing w:line="360" w:lineRule="auto"/>
        <w:ind w:firstLine="480" w:firstLineChars="200"/>
        <w:rPr>
          <w:rFonts w:hint="eastAsia" w:ascii="宋体" w:hAnsi="宋体" w:cs="宋体"/>
          <w:kern w:val="0"/>
          <w:sz w:val="24"/>
        </w:rPr>
      </w:pPr>
      <w:r>
        <w:rPr>
          <w:rFonts w:hint="eastAsia" w:ascii="宋体" w:hAnsi="宋体" w:cs="宋体"/>
          <w:sz w:val="24"/>
        </w:rPr>
        <w:t>本次评标采用综合评价打分法，即在</w:t>
      </w:r>
      <w:r>
        <w:rPr>
          <w:rFonts w:hint="eastAsia" w:ascii="宋体" w:hAnsi="宋体" w:cs="宋体"/>
          <w:kern w:val="0"/>
          <w:sz w:val="24"/>
        </w:rPr>
        <w:t>投标文件满足招标文件全部实质性要求</w:t>
      </w:r>
      <w:r>
        <w:rPr>
          <w:rFonts w:hint="eastAsia" w:ascii="宋体" w:hAnsi="宋体" w:cs="宋体"/>
          <w:sz w:val="24"/>
        </w:rPr>
        <w:t>前提下，根据招标文件中规定的各项因素及权重（分值），评标委员会每位成员分别对每个通过初审的投标人进行综合评审后，</w:t>
      </w:r>
      <w:r>
        <w:rPr>
          <w:rFonts w:hint="eastAsia" w:ascii="宋体" w:hAnsi="宋体" w:cs="宋体"/>
          <w:kern w:val="0"/>
          <w:sz w:val="24"/>
        </w:rPr>
        <w:t>评审得分最高的投标人为中标候选人的评标方法。</w:t>
      </w:r>
    </w:p>
    <w:p w14:paraId="197BB0F2">
      <w:pPr>
        <w:spacing w:line="360" w:lineRule="auto"/>
        <w:ind w:firstLine="482" w:firstLineChars="200"/>
        <w:rPr>
          <w:rFonts w:hint="eastAsia" w:ascii="宋体" w:hAnsi="宋体"/>
          <w:b/>
          <w:sz w:val="24"/>
        </w:rPr>
      </w:pPr>
      <w:r>
        <w:rPr>
          <w:rFonts w:hint="eastAsia" w:ascii="宋体" w:hAnsi="宋体"/>
          <w:b/>
          <w:sz w:val="24"/>
        </w:rPr>
        <w:t>1、资格检查</w:t>
      </w:r>
    </w:p>
    <w:tbl>
      <w:tblPr>
        <w:tblStyle w:val="37"/>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296"/>
        <w:gridCol w:w="6482"/>
      </w:tblGrid>
      <w:tr w14:paraId="6E8E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001" w:type="dxa"/>
            <w:shd w:val="clear" w:color="auto" w:fill="FFFFFF"/>
            <w:vAlign w:val="center"/>
          </w:tcPr>
          <w:p w14:paraId="393FF6AD">
            <w:pPr>
              <w:spacing w:line="360" w:lineRule="auto"/>
              <w:jc w:val="center"/>
              <w:rPr>
                <w:rFonts w:hint="eastAsia" w:ascii="宋体" w:hAnsi="宋体" w:cs="宋体"/>
                <w:b/>
                <w:bCs/>
                <w:sz w:val="24"/>
              </w:rPr>
            </w:pPr>
            <w:r>
              <w:rPr>
                <w:rFonts w:hint="eastAsia" w:ascii="宋体" w:hAnsi="宋体" w:cs="宋体"/>
                <w:b/>
                <w:bCs/>
                <w:sz w:val="24"/>
              </w:rPr>
              <w:t>序号</w:t>
            </w:r>
          </w:p>
        </w:tc>
        <w:tc>
          <w:tcPr>
            <w:tcW w:w="8778" w:type="dxa"/>
            <w:gridSpan w:val="2"/>
            <w:shd w:val="clear" w:color="auto" w:fill="FFFFFF"/>
            <w:vAlign w:val="center"/>
          </w:tcPr>
          <w:p w14:paraId="65E71E9E">
            <w:pPr>
              <w:spacing w:line="360" w:lineRule="auto"/>
              <w:ind w:right="-124" w:rightChars="-59"/>
              <w:jc w:val="center"/>
              <w:rPr>
                <w:rFonts w:hint="eastAsia" w:ascii="宋体" w:hAnsi="宋体" w:cs="宋体"/>
                <w:b/>
                <w:bCs/>
                <w:sz w:val="24"/>
              </w:rPr>
            </w:pPr>
            <w:r>
              <w:rPr>
                <w:rFonts w:hint="eastAsia" w:ascii="宋体" w:hAnsi="宋体" w:cs="宋体"/>
                <w:b/>
                <w:bCs/>
                <w:sz w:val="24"/>
              </w:rPr>
              <w:t>评审内容</w:t>
            </w:r>
          </w:p>
        </w:tc>
      </w:tr>
      <w:tr w14:paraId="2A8F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restart"/>
            <w:vAlign w:val="center"/>
          </w:tcPr>
          <w:p w14:paraId="696EC9EA">
            <w:pPr>
              <w:spacing w:line="360" w:lineRule="auto"/>
              <w:jc w:val="center"/>
              <w:rPr>
                <w:rFonts w:hint="eastAsia" w:ascii="宋体" w:hAnsi="宋体" w:cs="Tahoma"/>
                <w:sz w:val="24"/>
              </w:rPr>
            </w:pPr>
            <w:r>
              <w:rPr>
                <w:rFonts w:hint="eastAsia" w:ascii="宋体" w:hAnsi="宋体" w:cs="Tahoma"/>
                <w:sz w:val="24"/>
              </w:rPr>
              <w:t>1</w:t>
            </w:r>
          </w:p>
        </w:tc>
        <w:tc>
          <w:tcPr>
            <w:tcW w:w="2296" w:type="dxa"/>
            <w:vMerge w:val="restart"/>
            <w:vAlign w:val="center"/>
          </w:tcPr>
          <w:p w14:paraId="5A45129D">
            <w:pPr>
              <w:spacing w:line="360" w:lineRule="auto"/>
              <w:rPr>
                <w:rFonts w:hint="eastAsia" w:ascii="宋体" w:hAnsi="宋体" w:cs="Tahoma"/>
                <w:sz w:val="24"/>
              </w:rPr>
            </w:pPr>
            <w:r>
              <w:rPr>
                <w:rFonts w:hint="eastAsia" w:ascii="宋体" w:hAnsi="宋体" w:cs="Tahoma"/>
                <w:kern w:val="28"/>
                <w:sz w:val="24"/>
              </w:rPr>
              <w:t>具备《</w:t>
            </w:r>
            <w:bookmarkStart w:id="204" w:name="OLE_LINK11"/>
            <w:r>
              <w:rPr>
                <w:rFonts w:hint="eastAsia" w:ascii="宋体" w:hAnsi="宋体" w:cs="Tahoma"/>
                <w:kern w:val="28"/>
                <w:sz w:val="24"/>
              </w:rPr>
              <w:t>政府采购法</w:t>
            </w:r>
            <w:bookmarkEnd w:id="204"/>
            <w:r>
              <w:rPr>
                <w:rFonts w:hint="eastAsia" w:ascii="宋体" w:hAnsi="宋体" w:cs="Tahoma"/>
                <w:kern w:val="28"/>
                <w:sz w:val="24"/>
              </w:rPr>
              <w:t>》第二十二条投标人资格条件</w:t>
            </w:r>
          </w:p>
        </w:tc>
        <w:tc>
          <w:tcPr>
            <w:tcW w:w="6482" w:type="dxa"/>
            <w:vAlign w:val="center"/>
          </w:tcPr>
          <w:p w14:paraId="26E7ED80">
            <w:pPr>
              <w:spacing w:line="360" w:lineRule="auto"/>
              <w:rPr>
                <w:rFonts w:hint="eastAsia" w:ascii="宋体" w:hAnsi="宋体" w:cs="Tahoma"/>
                <w:sz w:val="24"/>
              </w:rPr>
            </w:pPr>
            <w:r>
              <w:rPr>
                <w:rFonts w:hint="eastAsia" w:ascii="宋体" w:hAnsi="宋体" w:cs="Tahoma"/>
                <w:sz w:val="24"/>
              </w:rPr>
              <w:t>具有独立承担民事责任的能力；</w:t>
            </w:r>
          </w:p>
        </w:tc>
      </w:tr>
      <w:tr w14:paraId="1CC8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4B13D0EC">
            <w:pPr>
              <w:spacing w:line="360" w:lineRule="auto"/>
              <w:jc w:val="center"/>
              <w:rPr>
                <w:rFonts w:hint="eastAsia" w:ascii="宋体" w:hAnsi="宋体" w:cs="Tahoma"/>
                <w:kern w:val="28"/>
                <w:sz w:val="24"/>
              </w:rPr>
            </w:pPr>
          </w:p>
        </w:tc>
        <w:tc>
          <w:tcPr>
            <w:tcW w:w="2296" w:type="dxa"/>
            <w:vMerge w:val="continue"/>
            <w:vAlign w:val="center"/>
          </w:tcPr>
          <w:p w14:paraId="5242C912">
            <w:pPr>
              <w:spacing w:line="360" w:lineRule="auto"/>
              <w:rPr>
                <w:rFonts w:hint="eastAsia" w:ascii="宋体" w:hAnsi="宋体" w:cs="Tahoma"/>
                <w:kern w:val="28"/>
                <w:sz w:val="24"/>
              </w:rPr>
            </w:pPr>
          </w:p>
        </w:tc>
        <w:tc>
          <w:tcPr>
            <w:tcW w:w="6482" w:type="dxa"/>
            <w:vAlign w:val="center"/>
          </w:tcPr>
          <w:p w14:paraId="6728A17C">
            <w:pPr>
              <w:spacing w:line="360" w:lineRule="auto"/>
              <w:rPr>
                <w:rFonts w:hint="eastAsia" w:ascii="宋体" w:hAnsi="宋体" w:cs="Tahoma"/>
                <w:sz w:val="24"/>
              </w:rPr>
            </w:pPr>
            <w:r>
              <w:rPr>
                <w:rFonts w:hint="eastAsia" w:ascii="宋体" w:hAnsi="宋体" w:cs="Tahoma"/>
                <w:sz w:val="24"/>
              </w:rPr>
              <w:t xml:space="preserve">具有良好的商业信誉和健全的财务会计制度； </w:t>
            </w:r>
          </w:p>
        </w:tc>
      </w:tr>
      <w:tr w14:paraId="677DF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41853D87">
            <w:pPr>
              <w:spacing w:line="360" w:lineRule="auto"/>
              <w:jc w:val="center"/>
              <w:rPr>
                <w:rFonts w:hint="eastAsia" w:ascii="宋体" w:hAnsi="宋体" w:cs="Tahoma"/>
                <w:kern w:val="28"/>
                <w:sz w:val="24"/>
              </w:rPr>
            </w:pPr>
          </w:p>
        </w:tc>
        <w:tc>
          <w:tcPr>
            <w:tcW w:w="2296" w:type="dxa"/>
            <w:vMerge w:val="continue"/>
            <w:vAlign w:val="center"/>
          </w:tcPr>
          <w:p w14:paraId="2F963617">
            <w:pPr>
              <w:spacing w:line="360" w:lineRule="auto"/>
              <w:rPr>
                <w:rFonts w:hint="eastAsia" w:ascii="宋体" w:hAnsi="宋体" w:cs="Tahoma"/>
                <w:kern w:val="28"/>
                <w:sz w:val="24"/>
              </w:rPr>
            </w:pPr>
          </w:p>
        </w:tc>
        <w:tc>
          <w:tcPr>
            <w:tcW w:w="6482" w:type="dxa"/>
            <w:vAlign w:val="center"/>
          </w:tcPr>
          <w:p w14:paraId="30A5E639">
            <w:pPr>
              <w:spacing w:line="360" w:lineRule="auto"/>
              <w:rPr>
                <w:rFonts w:hint="eastAsia" w:ascii="宋体" w:hAnsi="宋体" w:cs="Tahoma"/>
                <w:sz w:val="24"/>
              </w:rPr>
            </w:pPr>
            <w:r>
              <w:rPr>
                <w:rFonts w:hint="eastAsia" w:ascii="宋体" w:hAnsi="宋体" w:cs="Tahoma"/>
                <w:sz w:val="24"/>
              </w:rPr>
              <w:t xml:space="preserve">具有履行合同所必需的设备和专业技术能力； </w:t>
            </w:r>
          </w:p>
        </w:tc>
      </w:tr>
      <w:tr w14:paraId="21C2A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66BA6BED">
            <w:pPr>
              <w:spacing w:line="360" w:lineRule="auto"/>
              <w:jc w:val="center"/>
              <w:rPr>
                <w:rFonts w:hint="eastAsia" w:ascii="宋体" w:hAnsi="宋体" w:cs="Tahoma"/>
                <w:kern w:val="28"/>
                <w:sz w:val="24"/>
              </w:rPr>
            </w:pPr>
          </w:p>
        </w:tc>
        <w:tc>
          <w:tcPr>
            <w:tcW w:w="2296" w:type="dxa"/>
            <w:vMerge w:val="continue"/>
            <w:vAlign w:val="center"/>
          </w:tcPr>
          <w:p w14:paraId="18CB43D5">
            <w:pPr>
              <w:spacing w:line="360" w:lineRule="auto"/>
              <w:rPr>
                <w:rFonts w:hint="eastAsia" w:ascii="宋体" w:hAnsi="宋体" w:cs="Tahoma"/>
                <w:kern w:val="28"/>
                <w:sz w:val="24"/>
              </w:rPr>
            </w:pPr>
          </w:p>
        </w:tc>
        <w:tc>
          <w:tcPr>
            <w:tcW w:w="6482" w:type="dxa"/>
            <w:vAlign w:val="center"/>
          </w:tcPr>
          <w:p w14:paraId="48F608F6">
            <w:pPr>
              <w:spacing w:line="360" w:lineRule="auto"/>
              <w:rPr>
                <w:rFonts w:hint="eastAsia" w:ascii="宋体" w:hAnsi="宋体" w:cs="Tahoma"/>
                <w:sz w:val="24"/>
              </w:rPr>
            </w:pPr>
            <w:r>
              <w:rPr>
                <w:rFonts w:hint="eastAsia" w:ascii="宋体" w:hAnsi="宋体" w:cs="Tahoma"/>
                <w:sz w:val="24"/>
              </w:rPr>
              <w:t xml:space="preserve">有依法缴纳税收和社会保障资金的良好记录； </w:t>
            </w:r>
          </w:p>
        </w:tc>
      </w:tr>
      <w:tr w14:paraId="5D540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42FDBEF1">
            <w:pPr>
              <w:spacing w:line="360" w:lineRule="auto"/>
              <w:jc w:val="center"/>
              <w:rPr>
                <w:rFonts w:hint="eastAsia" w:ascii="宋体" w:hAnsi="宋体" w:cs="Tahoma"/>
                <w:kern w:val="28"/>
                <w:sz w:val="24"/>
              </w:rPr>
            </w:pPr>
          </w:p>
        </w:tc>
        <w:tc>
          <w:tcPr>
            <w:tcW w:w="2296" w:type="dxa"/>
            <w:vMerge w:val="continue"/>
            <w:vAlign w:val="center"/>
          </w:tcPr>
          <w:p w14:paraId="1B930496">
            <w:pPr>
              <w:spacing w:line="360" w:lineRule="auto"/>
              <w:rPr>
                <w:rFonts w:hint="eastAsia" w:ascii="宋体" w:hAnsi="宋体" w:cs="Tahoma"/>
                <w:kern w:val="28"/>
                <w:sz w:val="24"/>
              </w:rPr>
            </w:pPr>
          </w:p>
        </w:tc>
        <w:tc>
          <w:tcPr>
            <w:tcW w:w="6482" w:type="dxa"/>
            <w:vAlign w:val="center"/>
          </w:tcPr>
          <w:p w14:paraId="7223AA95">
            <w:pPr>
              <w:spacing w:line="360" w:lineRule="auto"/>
              <w:rPr>
                <w:rFonts w:hint="eastAsia" w:ascii="宋体" w:hAnsi="宋体" w:cs="Tahoma"/>
                <w:sz w:val="24"/>
              </w:rPr>
            </w:pPr>
            <w:r>
              <w:rPr>
                <w:rFonts w:hint="eastAsia" w:ascii="宋体" w:hAnsi="宋体" w:cs="Tahoma"/>
                <w:sz w:val="24"/>
              </w:rPr>
              <w:t xml:space="preserve">参加招标投标活动前三年内，在经营活动中没有重大违法记录； </w:t>
            </w:r>
          </w:p>
        </w:tc>
      </w:tr>
      <w:tr w14:paraId="4B176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7C0C6217">
            <w:pPr>
              <w:spacing w:line="360" w:lineRule="auto"/>
              <w:jc w:val="center"/>
              <w:rPr>
                <w:rFonts w:hint="eastAsia" w:ascii="宋体" w:hAnsi="宋体" w:cs="Tahoma"/>
                <w:kern w:val="28"/>
                <w:sz w:val="24"/>
              </w:rPr>
            </w:pPr>
          </w:p>
        </w:tc>
        <w:tc>
          <w:tcPr>
            <w:tcW w:w="2296" w:type="dxa"/>
            <w:vMerge w:val="continue"/>
            <w:vAlign w:val="center"/>
          </w:tcPr>
          <w:p w14:paraId="021C0CA3">
            <w:pPr>
              <w:spacing w:line="360" w:lineRule="auto"/>
              <w:rPr>
                <w:rFonts w:hint="eastAsia" w:ascii="宋体" w:hAnsi="宋体" w:cs="Tahoma"/>
                <w:kern w:val="28"/>
                <w:sz w:val="24"/>
              </w:rPr>
            </w:pPr>
          </w:p>
        </w:tc>
        <w:tc>
          <w:tcPr>
            <w:tcW w:w="6482" w:type="dxa"/>
            <w:vAlign w:val="center"/>
          </w:tcPr>
          <w:p w14:paraId="091D7B7F">
            <w:pPr>
              <w:spacing w:line="360" w:lineRule="auto"/>
              <w:rPr>
                <w:rFonts w:hint="eastAsia" w:ascii="宋体" w:hAnsi="宋体" w:cs="Tahoma"/>
                <w:sz w:val="24"/>
              </w:rPr>
            </w:pPr>
            <w:r>
              <w:rPr>
                <w:rFonts w:hint="eastAsia" w:ascii="宋体" w:hAnsi="宋体" w:cs="Tahoma"/>
                <w:sz w:val="24"/>
              </w:rPr>
              <w:t>法律、行政法规规定的其他条件</w:t>
            </w:r>
          </w:p>
        </w:tc>
      </w:tr>
      <w:tr w14:paraId="3BCBF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5BB29997">
            <w:pPr>
              <w:spacing w:line="360" w:lineRule="auto"/>
              <w:jc w:val="center"/>
              <w:rPr>
                <w:rFonts w:hint="eastAsia" w:ascii="宋体" w:hAnsi="宋体" w:cs="Tahoma"/>
                <w:kern w:val="28"/>
                <w:sz w:val="24"/>
              </w:rPr>
            </w:pPr>
            <w:r>
              <w:rPr>
                <w:rFonts w:hint="eastAsia" w:ascii="宋体" w:hAnsi="宋体" w:cs="Tahoma"/>
                <w:kern w:val="28"/>
                <w:sz w:val="24"/>
              </w:rPr>
              <w:t>2</w:t>
            </w:r>
          </w:p>
        </w:tc>
        <w:tc>
          <w:tcPr>
            <w:tcW w:w="8778" w:type="dxa"/>
            <w:gridSpan w:val="2"/>
            <w:vAlign w:val="center"/>
          </w:tcPr>
          <w:p w14:paraId="6DBB0C18">
            <w:pPr>
              <w:spacing w:line="360" w:lineRule="auto"/>
              <w:rPr>
                <w:rFonts w:hint="eastAsia" w:ascii="宋体" w:hAnsi="宋体" w:cs="Tahoma"/>
                <w:sz w:val="24"/>
              </w:rPr>
            </w:pPr>
            <w:r>
              <w:rPr>
                <w:rFonts w:hint="eastAsia" w:ascii="宋体" w:hAnsi="宋体" w:cs="宋体"/>
                <w:kern w:val="0"/>
                <w:sz w:val="24"/>
              </w:rPr>
              <w:t>在中华人民共和国境内依法注册的，具有独立承担民事责任能力，遵守国家法律法规，具有良好信誉，具有履行合同能力和良好的履行合同的记录，具有良好资金、财务状况的法人实体（供应商为企业（包括合伙企业）的，应提供有效的“营业执照”；供应商为事业单位的，应提供有效的“事业单位法人证书”）</w:t>
            </w:r>
          </w:p>
        </w:tc>
      </w:tr>
      <w:tr w14:paraId="550EA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001" w:type="dxa"/>
            <w:vAlign w:val="center"/>
          </w:tcPr>
          <w:p w14:paraId="2D8E3D62">
            <w:pPr>
              <w:spacing w:line="360" w:lineRule="auto"/>
              <w:jc w:val="center"/>
              <w:rPr>
                <w:rFonts w:hint="eastAsia" w:ascii="宋体" w:hAnsi="宋体" w:cs="Tahoma"/>
                <w:kern w:val="28"/>
                <w:sz w:val="24"/>
              </w:rPr>
            </w:pPr>
            <w:r>
              <w:rPr>
                <w:rFonts w:hint="eastAsia" w:ascii="宋体" w:hAnsi="宋体" w:cs="Tahoma"/>
                <w:kern w:val="28"/>
                <w:sz w:val="24"/>
              </w:rPr>
              <w:t>3</w:t>
            </w:r>
          </w:p>
        </w:tc>
        <w:tc>
          <w:tcPr>
            <w:tcW w:w="8778" w:type="dxa"/>
            <w:gridSpan w:val="2"/>
            <w:vAlign w:val="center"/>
          </w:tcPr>
          <w:p w14:paraId="44D5B1B1">
            <w:pPr>
              <w:spacing w:line="360" w:lineRule="auto"/>
              <w:rPr>
                <w:rFonts w:hint="eastAsia" w:ascii="宋体" w:hAnsi="宋体" w:cs="Tahoma"/>
                <w:sz w:val="24"/>
              </w:rPr>
            </w:pPr>
            <w:r>
              <w:rPr>
                <w:rFonts w:hint="eastAsia" w:ascii="宋体" w:hAnsi="宋体" w:cs="Tahoma"/>
                <w:sz w:val="24"/>
              </w:rPr>
              <w:t>开标日前3个月内银行出具盖章的资信证明文件或投标人</w:t>
            </w:r>
            <w:r>
              <w:rPr>
                <w:rFonts w:hint="eastAsia" w:ascii="宋体" w:hAnsi="宋体" w:cs="Tahoma"/>
                <w:sz w:val="24"/>
                <w:lang w:eastAsia="zh-CN"/>
              </w:rPr>
              <w:t>2025年度</w:t>
            </w:r>
            <w:r>
              <w:rPr>
                <w:rFonts w:hint="eastAsia" w:ascii="宋体" w:hAnsi="宋体" w:cs="Tahoma"/>
                <w:sz w:val="24"/>
              </w:rPr>
              <w:t>经会计师事务所盖章审计的财务审计报告（投标人必须提供，但由专业担保机构已出具投标担保函的除外）</w:t>
            </w:r>
          </w:p>
        </w:tc>
      </w:tr>
      <w:tr w14:paraId="29EE0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01" w:type="dxa"/>
            <w:vAlign w:val="center"/>
          </w:tcPr>
          <w:p w14:paraId="2EE9F1B1">
            <w:pPr>
              <w:spacing w:line="360" w:lineRule="auto"/>
              <w:jc w:val="center"/>
              <w:rPr>
                <w:rFonts w:hint="eastAsia" w:ascii="宋体" w:hAnsi="宋体" w:cs="Tahoma"/>
                <w:kern w:val="28"/>
                <w:sz w:val="24"/>
              </w:rPr>
            </w:pPr>
            <w:r>
              <w:rPr>
                <w:rFonts w:hint="eastAsia" w:ascii="宋体" w:hAnsi="宋体" w:cs="Tahoma"/>
                <w:kern w:val="28"/>
                <w:sz w:val="24"/>
              </w:rPr>
              <w:t>4</w:t>
            </w:r>
          </w:p>
        </w:tc>
        <w:tc>
          <w:tcPr>
            <w:tcW w:w="8778" w:type="dxa"/>
            <w:gridSpan w:val="2"/>
            <w:vAlign w:val="center"/>
          </w:tcPr>
          <w:p w14:paraId="5FE9DDC7">
            <w:pPr>
              <w:tabs>
                <w:tab w:val="left" w:pos="5580"/>
              </w:tabs>
              <w:adjustRightInd w:val="0"/>
              <w:snapToGrid w:val="0"/>
              <w:spacing w:line="360" w:lineRule="auto"/>
              <w:rPr>
                <w:rFonts w:hint="eastAsia" w:ascii="宋体" w:hAnsi="宋体" w:cs="Tahoma"/>
                <w:sz w:val="24"/>
              </w:rPr>
            </w:pPr>
            <w:r>
              <w:rPr>
                <w:rFonts w:hint="eastAsia" w:ascii="宋体" w:hAnsi="宋体" w:cs="宋体"/>
                <w:sz w:val="24"/>
              </w:rPr>
              <w:t>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tc>
      </w:tr>
      <w:tr w14:paraId="546BE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001" w:type="dxa"/>
            <w:vAlign w:val="center"/>
          </w:tcPr>
          <w:p w14:paraId="2C0C868E">
            <w:pPr>
              <w:spacing w:line="360" w:lineRule="auto"/>
              <w:jc w:val="center"/>
              <w:rPr>
                <w:rFonts w:hint="eastAsia" w:ascii="宋体" w:hAnsi="宋体" w:cs="Tahoma"/>
                <w:sz w:val="24"/>
              </w:rPr>
            </w:pPr>
            <w:r>
              <w:rPr>
                <w:rFonts w:hint="eastAsia" w:ascii="宋体" w:hAnsi="宋体" w:cs="Tahoma"/>
                <w:sz w:val="24"/>
              </w:rPr>
              <w:t>5</w:t>
            </w:r>
          </w:p>
        </w:tc>
        <w:tc>
          <w:tcPr>
            <w:tcW w:w="8778" w:type="dxa"/>
            <w:gridSpan w:val="2"/>
            <w:vAlign w:val="center"/>
          </w:tcPr>
          <w:p w14:paraId="7792C3BC">
            <w:pPr>
              <w:spacing w:line="360" w:lineRule="auto"/>
              <w:jc w:val="left"/>
              <w:rPr>
                <w:rFonts w:hint="eastAsia" w:ascii="宋体" w:hAnsi="宋体" w:cs="Tahoma"/>
                <w:sz w:val="24"/>
              </w:rPr>
            </w:pPr>
            <w:r>
              <w:rPr>
                <w:rFonts w:hint="eastAsia" w:ascii="宋体" w:hAnsi="宋体" w:cs="Tahoma"/>
                <w:sz w:val="24"/>
              </w:rPr>
              <w:t>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tc>
      </w:tr>
      <w:tr w14:paraId="64064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71F7E3FD">
            <w:pPr>
              <w:spacing w:line="360" w:lineRule="auto"/>
              <w:jc w:val="center"/>
              <w:rPr>
                <w:rFonts w:hint="eastAsia" w:ascii="宋体" w:hAnsi="宋体" w:cs="Tahoma"/>
                <w:sz w:val="24"/>
              </w:rPr>
            </w:pPr>
            <w:r>
              <w:rPr>
                <w:rFonts w:hint="eastAsia" w:ascii="宋体" w:hAnsi="宋体" w:cs="Tahoma"/>
                <w:sz w:val="24"/>
              </w:rPr>
              <w:t>6</w:t>
            </w:r>
          </w:p>
        </w:tc>
        <w:tc>
          <w:tcPr>
            <w:tcW w:w="8778" w:type="dxa"/>
            <w:gridSpan w:val="2"/>
            <w:vAlign w:val="center"/>
          </w:tcPr>
          <w:p w14:paraId="159C3FBB">
            <w:pPr>
              <w:spacing w:line="360" w:lineRule="auto"/>
              <w:jc w:val="left"/>
              <w:rPr>
                <w:rFonts w:hint="eastAsia" w:ascii="宋体" w:hAnsi="宋体" w:cs="Tahoma"/>
                <w:sz w:val="24"/>
              </w:rPr>
            </w:pPr>
            <w:r>
              <w:rPr>
                <w:rFonts w:hint="eastAsia" w:ascii="宋体" w:hAnsi="宋体" w:cs="Tahoma"/>
                <w:sz w:val="24"/>
              </w:rPr>
              <w:t>投标人资格声明书</w:t>
            </w:r>
          </w:p>
        </w:tc>
      </w:tr>
      <w:tr w14:paraId="7639C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5F6B41C9">
            <w:pPr>
              <w:spacing w:line="360" w:lineRule="auto"/>
              <w:jc w:val="center"/>
              <w:rPr>
                <w:rFonts w:hint="eastAsia" w:ascii="宋体" w:hAnsi="宋体" w:cs="Tahoma"/>
                <w:sz w:val="24"/>
              </w:rPr>
            </w:pPr>
            <w:r>
              <w:rPr>
                <w:rFonts w:hint="eastAsia" w:ascii="宋体" w:hAnsi="宋体" w:cs="Tahoma"/>
                <w:sz w:val="24"/>
              </w:rPr>
              <w:t>7</w:t>
            </w:r>
          </w:p>
        </w:tc>
        <w:tc>
          <w:tcPr>
            <w:tcW w:w="8778" w:type="dxa"/>
            <w:gridSpan w:val="2"/>
            <w:vAlign w:val="center"/>
          </w:tcPr>
          <w:p w14:paraId="30C7A60B">
            <w:pPr>
              <w:spacing w:line="360" w:lineRule="auto"/>
              <w:jc w:val="left"/>
              <w:rPr>
                <w:rFonts w:hint="eastAsia" w:ascii="宋体" w:hAnsi="宋体" w:cs="Tahoma"/>
                <w:sz w:val="24"/>
              </w:rPr>
            </w:pPr>
            <w:r>
              <w:rPr>
                <w:rFonts w:hint="eastAsia" w:ascii="宋体" w:hAnsi="宋体"/>
                <w:sz w:val="24"/>
              </w:rPr>
              <w:t>按本投标邀请的规定获取招标文件</w:t>
            </w:r>
          </w:p>
        </w:tc>
      </w:tr>
      <w:tr w14:paraId="21C9C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22B9FAFE">
            <w:pPr>
              <w:spacing w:line="360" w:lineRule="auto"/>
              <w:jc w:val="center"/>
              <w:rPr>
                <w:rFonts w:hint="eastAsia" w:ascii="宋体" w:hAnsi="宋体" w:cs="Tahoma"/>
                <w:sz w:val="24"/>
              </w:rPr>
            </w:pPr>
            <w:r>
              <w:rPr>
                <w:rFonts w:hint="eastAsia" w:ascii="宋体" w:hAnsi="宋体" w:cs="Tahoma"/>
                <w:sz w:val="24"/>
              </w:rPr>
              <w:t>8</w:t>
            </w:r>
          </w:p>
        </w:tc>
        <w:tc>
          <w:tcPr>
            <w:tcW w:w="8778" w:type="dxa"/>
            <w:gridSpan w:val="2"/>
            <w:vAlign w:val="center"/>
          </w:tcPr>
          <w:p w14:paraId="53DEB4C5">
            <w:pPr>
              <w:spacing w:line="360" w:lineRule="auto"/>
              <w:jc w:val="left"/>
              <w:rPr>
                <w:rFonts w:hint="eastAsia" w:ascii="宋体" w:hAnsi="宋体"/>
                <w:sz w:val="24"/>
              </w:rPr>
            </w:pPr>
            <w:r>
              <w:rPr>
                <w:rFonts w:hint="eastAsia" w:ascii="宋体" w:hAnsi="宋体"/>
                <w:sz w:val="24"/>
              </w:rPr>
              <w:t>本项目不接受联合体投标</w:t>
            </w:r>
          </w:p>
        </w:tc>
      </w:tr>
      <w:tr w14:paraId="77691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54461F5C">
            <w:pPr>
              <w:spacing w:line="360" w:lineRule="auto"/>
              <w:jc w:val="center"/>
              <w:rPr>
                <w:rFonts w:hint="eastAsia" w:ascii="宋体" w:hAnsi="宋体" w:cs="Tahoma"/>
                <w:kern w:val="28"/>
                <w:sz w:val="24"/>
              </w:rPr>
            </w:pPr>
            <w:r>
              <w:rPr>
                <w:rFonts w:hint="eastAsia" w:ascii="宋体" w:hAnsi="宋体" w:cs="Tahoma"/>
                <w:sz w:val="24"/>
              </w:rPr>
              <w:t>9</w:t>
            </w:r>
          </w:p>
        </w:tc>
        <w:tc>
          <w:tcPr>
            <w:tcW w:w="8778" w:type="dxa"/>
            <w:gridSpan w:val="2"/>
            <w:vAlign w:val="center"/>
          </w:tcPr>
          <w:p w14:paraId="212DDC4C">
            <w:pPr>
              <w:spacing w:line="360" w:lineRule="auto"/>
              <w:rPr>
                <w:rFonts w:hint="eastAsia" w:ascii="宋体" w:hAnsi="宋体" w:cs="Tahoma"/>
                <w:sz w:val="24"/>
              </w:rPr>
            </w:pPr>
            <w:r>
              <w:rPr>
                <w:rFonts w:hint="eastAsia"/>
                <w:sz w:val="24"/>
              </w:rPr>
              <w:t>投标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采购代理机构于投标截止日当天在“信用中国”网站（www.creditchina.gov.cn）、中国政府采购网（http://www.ccgp.gov.cn）查询结果为准，如相关失信记录已失效，投标人需提供相关证明资料）。</w:t>
            </w:r>
          </w:p>
        </w:tc>
      </w:tr>
      <w:tr w14:paraId="0E8A6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779" w:type="dxa"/>
            <w:gridSpan w:val="3"/>
            <w:vAlign w:val="center"/>
          </w:tcPr>
          <w:p w14:paraId="1645CB06">
            <w:pPr>
              <w:spacing w:line="360" w:lineRule="auto"/>
              <w:jc w:val="center"/>
              <w:rPr>
                <w:rFonts w:hint="eastAsia" w:ascii="宋体" w:hAnsi="宋体" w:cs="Tahoma"/>
                <w:sz w:val="24"/>
              </w:rPr>
            </w:pPr>
            <w:r>
              <w:rPr>
                <w:rFonts w:hint="eastAsia" w:ascii="宋体" w:hAnsi="宋体" w:cs="Tahoma"/>
                <w:sz w:val="24"/>
              </w:rPr>
              <w:t>结论</w:t>
            </w:r>
          </w:p>
        </w:tc>
      </w:tr>
    </w:tbl>
    <w:p w14:paraId="6EC25C51">
      <w:pPr>
        <w:spacing w:line="360" w:lineRule="auto"/>
        <w:ind w:firstLine="480" w:firstLineChars="200"/>
        <w:rPr>
          <w:rFonts w:hint="eastAsia" w:ascii="time of new roman" w:hAnsi="time of new roman"/>
          <w:sz w:val="24"/>
        </w:rPr>
      </w:pPr>
    </w:p>
    <w:p w14:paraId="315C927A">
      <w:pPr>
        <w:spacing w:line="360" w:lineRule="auto"/>
        <w:ind w:firstLine="480" w:firstLineChars="200"/>
        <w:rPr>
          <w:rFonts w:hint="eastAsia" w:ascii="宋体" w:hAnsi="宋体"/>
          <w:sz w:val="24"/>
        </w:rPr>
      </w:pPr>
      <w:r>
        <w:rPr>
          <w:rFonts w:hint="eastAsia" w:ascii="time of new roman" w:hAnsi="time of new roman"/>
          <w:sz w:val="24"/>
        </w:rPr>
        <w:t>注：</w:t>
      </w:r>
      <w:r>
        <w:rPr>
          <w:rFonts w:hint="eastAsia" w:ascii="宋体" w:hAnsi="宋体"/>
          <w:sz w:val="24"/>
        </w:rPr>
        <w:t>结论栏中填写“合格”表示该投标人投标文件符合招标文件的资格要求，“不合格”表示该投标人投标文件不符合招标文件的资格要求。</w:t>
      </w:r>
    </w:p>
    <w:p w14:paraId="476C2052">
      <w:pPr>
        <w:spacing w:line="360" w:lineRule="auto"/>
        <w:ind w:firstLine="480" w:firstLineChars="200"/>
        <w:rPr>
          <w:rFonts w:hint="eastAsia" w:ascii="宋体" w:hAnsi="宋体"/>
          <w:sz w:val="24"/>
        </w:rPr>
      </w:pPr>
    </w:p>
    <w:p w14:paraId="1A20C701">
      <w:pPr>
        <w:spacing w:line="360" w:lineRule="auto"/>
        <w:ind w:firstLine="482" w:firstLineChars="200"/>
        <w:rPr>
          <w:rFonts w:hint="eastAsia" w:ascii="宋体" w:hAnsi="宋体"/>
          <w:b/>
          <w:sz w:val="24"/>
        </w:rPr>
      </w:pPr>
      <w:r>
        <w:rPr>
          <w:rFonts w:hint="eastAsia" w:ascii="宋体" w:hAnsi="宋体"/>
          <w:b/>
          <w:sz w:val="24"/>
        </w:rPr>
        <w:t>2、符合性检查</w:t>
      </w:r>
    </w:p>
    <w:tbl>
      <w:tblPr>
        <w:tblStyle w:val="37"/>
        <w:tblW w:w="9781" w:type="dxa"/>
        <w:tblInd w:w="16" w:type="dxa"/>
        <w:tblLayout w:type="fixed"/>
        <w:tblCellMar>
          <w:top w:w="0" w:type="dxa"/>
          <w:left w:w="0" w:type="dxa"/>
          <w:bottom w:w="0" w:type="dxa"/>
          <w:right w:w="0" w:type="dxa"/>
        </w:tblCellMar>
      </w:tblPr>
      <w:tblGrid>
        <w:gridCol w:w="735"/>
        <w:gridCol w:w="9046"/>
      </w:tblGrid>
      <w:tr w14:paraId="4FC3EF05">
        <w:tblPrEx>
          <w:tblCellMar>
            <w:top w:w="0" w:type="dxa"/>
            <w:left w:w="0" w:type="dxa"/>
            <w:bottom w:w="0" w:type="dxa"/>
            <w:right w:w="0" w:type="dxa"/>
          </w:tblCellMar>
        </w:tblPrEx>
        <w:trPr>
          <w:cantSplit/>
          <w:trHeight w:val="468" w:hRule="atLeast"/>
        </w:trPr>
        <w:tc>
          <w:tcPr>
            <w:tcW w:w="735"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767F2356">
            <w:pPr>
              <w:spacing w:line="360" w:lineRule="auto"/>
              <w:ind w:right="-120" w:rightChars="-57"/>
              <w:jc w:val="center"/>
              <w:rPr>
                <w:rFonts w:hint="eastAsia" w:ascii="宋体" w:hAnsi="宋体"/>
                <w:sz w:val="24"/>
              </w:rPr>
            </w:pPr>
            <w:r>
              <w:rPr>
                <w:rFonts w:hint="eastAsia" w:ascii="宋体" w:hAnsi="宋体"/>
                <w:sz w:val="24"/>
              </w:rPr>
              <w:t>序号</w:t>
            </w:r>
          </w:p>
        </w:tc>
        <w:tc>
          <w:tcPr>
            <w:tcW w:w="9046" w:type="dxa"/>
            <w:vMerge w:val="restart"/>
            <w:tcBorders>
              <w:top w:val="single" w:color="auto" w:sz="4" w:space="0"/>
              <w:left w:val="single" w:color="auto" w:sz="4" w:space="0"/>
              <w:bottom w:val="single" w:color="000000" w:sz="4" w:space="0"/>
              <w:right w:val="single" w:color="000000" w:sz="4" w:space="0"/>
            </w:tcBorders>
            <w:vAlign w:val="center"/>
          </w:tcPr>
          <w:p w14:paraId="067BA05E">
            <w:pPr>
              <w:spacing w:line="360" w:lineRule="auto"/>
              <w:ind w:right="-120" w:rightChars="-57"/>
              <w:jc w:val="center"/>
              <w:rPr>
                <w:rFonts w:hint="eastAsia" w:ascii="宋体" w:hAnsi="宋体"/>
                <w:sz w:val="24"/>
              </w:rPr>
            </w:pPr>
            <w:r>
              <w:rPr>
                <w:rFonts w:hint="eastAsia" w:ascii="宋体" w:hAnsi="宋体"/>
                <w:sz w:val="24"/>
              </w:rPr>
              <w:t>评审内容</w:t>
            </w:r>
          </w:p>
        </w:tc>
      </w:tr>
      <w:tr w14:paraId="6FDC5A52">
        <w:tblPrEx>
          <w:tblCellMar>
            <w:top w:w="0" w:type="dxa"/>
            <w:left w:w="0" w:type="dxa"/>
            <w:bottom w:w="0" w:type="dxa"/>
            <w:right w:w="0" w:type="dxa"/>
          </w:tblCellMar>
        </w:tblPrEx>
        <w:trPr>
          <w:cantSplit/>
          <w:trHeight w:val="468" w:hRule="atLeast"/>
        </w:trPr>
        <w:tc>
          <w:tcPr>
            <w:tcW w:w="735" w:type="dxa"/>
            <w:vMerge w:val="continue"/>
            <w:tcBorders>
              <w:top w:val="single" w:color="auto" w:sz="4" w:space="0"/>
              <w:left w:val="single" w:color="auto" w:sz="4" w:space="0"/>
              <w:bottom w:val="single" w:color="000000" w:sz="4" w:space="0"/>
              <w:right w:val="single" w:color="auto" w:sz="4" w:space="0"/>
            </w:tcBorders>
            <w:vAlign w:val="center"/>
          </w:tcPr>
          <w:p w14:paraId="2AB5677D">
            <w:pPr>
              <w:spacing w:line="360" w:lineRule="auto"/>
              <w:rPr>
                <w:rFonts w:hint="eastAsia" w:ascii="宋体" w:hAnsi="宋体"/>
                <w:sz w:val="24"/>
              </w:rPr>
            </w:pPr>
          </w:p>
        </w:tc>
        <w:tc>
          <w:tcPr>
            <w:tcW w:w="9046" w:type="dxa"/>
            <w:vMerge w:val="continue"/>
            <w:tcBorders>
              <w:top w:val="single" w:color="auto" w:sz="4" w:space="0"/>
              <w:left w:val="single" w:color="auto" w:sz="4" w:space="0"/>
              <w:bottom w:val="single" w:color="000000" w:sz="4" w:space="0"/>
              <w:right w:val="single" w:color="000000" w:sz="4" w:space="0"/>
            </w:tcBorders>
            <w:vAlign w:val="center"/>
          </w:tcPr>
          <w:p w14:paraId="0C4FE3A1">
            <w:pPr>
              <w:spacing w:line="360" w:lineRule="auto"/>
              <w:rPr>
                <w:rFonts w:hint="eastAsia" w:ascii="宋体" w:hAnsi="宋体"/>
                <w:sz w:val="24"/>
              </w:rPr>
            </w:pPr>
          </w:p>
        </w:tc>
      </w:tr>
      <w:tr w14:paraId="21BFC3F0">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7381FCE3">
            <w:pPr>
              <w:spacing w:line="360" w:lineRule="auto"/>
              <w:jc w:val="center"/>
              <w:rPr>
                <w:rFonts w:hint="eastAsia" w:ascii="宋体" w:hAnsi="宋体"/>
                <w:sz w:val="24"/>
              </w:rPr>
            </w:pPr>
            <w:r>
              <w:rPr>
                <w:rFonts w:hint="eastAsia" w:ascii="宋体" w:hAnsi="宋体"/>
                <w:sz w:val="24"/>
              </w:rPr>
              <w:t>1</w:t>
            </w:r>
          </w:p>
        </w:tc>
        <w:tc>
          <w:tcPr>
            <w:tcW w:w="9046" w:type="dxa"/>
            <w:tcBorders>
              <w:top w:val="nil"/>
              <w:left w:val="single" w:color="auto" w:sz="4" w:space="0"/>
              <w:bottom w:val="single" w:color="auto" w:sz="4" w:space="0"/>
              <w:right w:val="single" w:color="auto" w:sz="4" w:space="0"/>
            </w:tcBorders>
            <w:vAlign w:val="center"/>
          </w:tcPr>
          <w:p w14:paraId="5CCF8F78">
            <w:pPr>
              <w:spacing w:line="360" w:lineRule="auto"/>
              <w:rPr>
                <w:rFonts w:hint="eastAsia" w:ascii="宋体" w:hAnsi="宋体"/>
                <w:sz w:val="24"/>
              </w:rPr>
            </w:pPr>
            <w:r>
              <w:rPr>
                <w:rFonts w:hint="eastAsia" w:ascii="宋体" w:hAnsi="宋体"/>
                <w:kern w:val="0"/>
                <w:sz w:val="24"/>
              </w:rPr>
              <w:t>是否由法人代表或授权代表有效签署</w:t>
            </w:r>
          </w:p>
        </w:tc>
      </w:tr>
      <w:tr w14:paraId="751D1199">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54CCA3C1">
            <w:pPr>
              <w:spacing w:line="360" w:lineRule="auto"/>
              <w:jc w:val="center"/>
              <w:rPr>
                <w:rFonts w:hint="eastAsia" w:ascii="宋体" w:hAnsi="宋体"/>
                <w:sz w:val="24"/>
              </w:rPr>
            </w:pPr>
            <w:r>
              <w:rPr>
                <w:rFonts w:hint="eastAsia" w:ascii="宋体" w:hAnsi="宋体"/>
                <w:sz w:val="24"/>
              </w:rPr>
              <w:t>2</w:t>
            </w:r>
          </w:p>
        </w:tc>
        <w:tc>
          <w:tcPr>
            <w:tcW w:w="9046" w:type="dxa"/>
            <w:tcBorders>
              <w:top w:val="nil"/>
              <w:left w:val="single" w:color="auto" w:sz="4" w:space="0"/>
              <w:bottom w:val="single" w:color="auto" w:sz="4" w:space="0"/>
              <w:right w:val="single" w:color="auto" w:sz="4" w:space="0"/>
            </w:tcBorders>
            <w:vAlign w:val="center"/>
          </w:tcPr>
          <w:p w14:paraId="49B30D96">
            <w:pPr>
              <w:spacing w:line="360" w:lineRule="auto"/>
              <w:rPr>
                <w:rFonts w:hint="eastAsia" w:ascii="宋体" w:hAnsi="宋体"/>
                <w:kern w:val="0"/>
                <w:sz w:val="24"/>
              </w:rPr>
            </w:pPr>
            <w:r>
              <w:rPr>
                <w:rFonts w:hint="eastAsia" w:ascii="宋体" w:hAnsi="宋体"/>
                <w:kern w:val="0"/>
                <w:sz w:val="24"/>
              </w:rPr>
              <w:t>是否按招标文件规定提供法人代表授权书（如适用）</w:t>
            </w:r>
          </w:p>
        </w:tc>
      </w:tr>
      <w:tr w14:paraId="0738A1C4">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000000" w:sz="4" w:space="0"/>
              <w:right w:val="single" w:color="auto" w:sz="4" w:space="0"/>
            </w:tcBorders>
            <w:vAlign w:val="center"/>
          </w:tcPr>
          <w:p w14:paraId="7739202D">
            <w:pPr>
              <w:spacing w:line="360" w:lineRule="auto"/>
              <w:jc w:val="center"/>
              <w:rPr>
                <w:rFonts w:hint="eastAsia" w:ascii="宋体" w:hAnsi="宋体"/>
                <w:sz w:val="24"/>
              </w:rPr>
            </w:pPr>
            <w:r>
              <w:rPr>
                <w:rFonts w:hint="eastAsia" w:ascii="宋体" w:hAnsi="宋体"/>
                <w:sz w:val="24"/>
              </w:rPr>
              <w:t>3</w:t>
            </w:r>
          </w:p>
        </w:tc>
        <w:tc>
          <w:tcPr>
            <w:tcW w:w="9046" w:type="dxa"/>
            <w:tcBorders>
              <w:top w:val="single" w:color="auto" w:sz="4" w:space="0"/>
              <w:left w:val="single" w:color="auto" w:sz="4" w:space="0"/>
              <w:bottom w:val="single" w:color="000000" w:sz="4" w:space="0"/>
              <w:right w:val="single" w:color="000000" w:sz="4" w:space="0"/>
            </w:tcBorders>
            <w:vAlign w:val="center"/>
          </w:tcPr>
          <w:p w14:paraId="65945974">
            <w:pPr>
              <w:spacing w:line="360" w:lineRule="auto"/>
              <w:rPr>
                <w:rFonts w:hint="eastAsia" w:ascii="宋体" w:hAnsi="宋体"/>
                <w:sz w:val="24"/>
              </w:rPr>
            </w:pPr>
            <w:r>
              <w:rPr>
                <w:rFonts w:hint="eastAsia" w:ascii="宋体" w:hAnsi="宋体"/>
                <w:sz w:val="24"/>
              </w:rPr>
              <w:t>是否按招标文件规定要求密封、签署、盖章</w:t>
            </w:r>
          </w:p>
        </w:tc>
      </w:tr>
      <w:tr w14:paraId="513355EC">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22A2A1E3">
            <w:pPr>
              <w:spacing w:line="360" w:lineRule="auto"/>
              <w:jc w:val="center"/>
              <w:rPr>
                <w:rFonts w:hint="eastAsia" w:ascii="宋体" w:hAnsi="宋体"/>
                <w:sz w:val="24"/>
              </w:rPr>
            </w:pPr>
            <w:r>
              <w:rPr>
                <w:rFonts w:hint="eastAsia" w:ascii="宋体" w:hAnsi="宋体"/>
                <w:sz w:val="24"/>
              </w:rPr>
              <w:t>4</w:t>
            </w:r>
          </w:p>
        </w:tc>
        <w:tc>
          <w:tcPr>
            <w:tcW w:w="9046" w:type="dxa"/>
            <w:tcBorders>
              <w:top w:val="single" w:color="auto" w:sz="4" w:space="0"/>
              <w:left w:val="single" w:color="auto" w:sz="4" w:space="0"/>
              <w:bottom w:val="single" w:color="auto" w:sz="4" w:space="0"/>
              <w:right w:val="single" w:color="000000" w:sz="4" w:space="0"/>
            </w:tcBorders>
            <w:vAlign w:val="center"/>
          </w:tcPr>
          <w:p w14:paraId="54295875">
            <w:pPr>
              <w:spacing w:line="360" w:lineRule="auto"/>
              <w:rPr>
                <w:rFonts w:hint="eastAsia" w:ascii="宋体" w:hAnsi="宋体"/>
                <w:sz w:val="24"/>
              </w:rPr>
            </w:pPr>
            <w:r>
              <w:rPr>
                <w:rFonts w:hint="eastAsia" w:ascii="宋体" w:hAnsi="宋体"/>
                <w:sz w:val="24"/>
              </w:rPr>
              <w:t>投标有效期是否满足招标文件（不少于90个日历日）</w:t>
            </w:r>
          </w:p>
        </w:tc>
      </w:tr>
      <w:tr w14:paraId="5EB4435B">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9741B46">
            <w:pPr>
              <w:spacing w:line="360" w:lineRule="auto"/>
              <w:jc w:val="center"/>
              <w:rPr>
                <w:rFonts w:hint="eastAsia" w:ascii="宋体" w:hAnsi="宋体"/>
                <w:sz w:val="24"/>
              </w:rPr>
            </w:pPr>
            <w:r>
              <w:rPr>
                <w:rFonts w:hint="eastAsia" w:ascii="宋体" w:hAnsi="宋体"/>
                <w:sz w:val="24"/>
              </w:rPr>
              <w:t>5</w:t>
            </w:r>
          </w:p>
        </w:tc>
        <w:tc>
          <w:tcPr>
            <w:tcW w:w="9046" w:type="dxa"/>
            <w:tcBorders>
              <w:top w:val="single" w:color="auto" w:sz="4" w:space="0"/>
              <w:left w:val="single" w:color="auto" w:sz="4" w:space="0"/>
              <w:bottom w:val="single" w:color="auto" w:sz="4" w:space="0"/>
              <w:right w:val="single" w:color="000000" w:sz="4" w:space="0"/>
            </w:tcBorders>
            <w:vAlign w:val="center"/>
          </w:tcPr>
          <w:p w14:paraId="36470C6B">
            <w:pPr>
              <w:spacing w:line="360" w:lineRule="auto"/>
              <w:rPr>
                <w:rFonts w:hint="eastAsia" w:ascii="宋体" w:hAnsi="宋体"/>
                <w:sz w:val="24"/>
              </w:rPr>
            </w:pPr>
            <w:r>
              <w:rPr>
                <w:rFonts w:hint="eastAsia" w:ascii="宋体" w:hAnsi="宋体"/>
                <w:kern w:val="0"/>
                <w:sz w:val="24"/>
              </w:rPr>
              <w:t>是否按招标文件规定提交足额投标保证金</w:t>
            </w:r>
          </w:p>
        </w:tc>
      </w:tr>
      <w:tr w14:paraId="052E11BB">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488D5C5">
            <w:pPr>
              <w:spacing w:line="360" w:lineRule="auto"/>
              <w:jc w:val="center"/>
              <w:rPr>
                <w:rFonts w:hint="eastAsia" w:ascii="宋体" w:hAnsi="宋体"/>
                <w:sz w:val="24"/>
              </w:rPr>
            </w:pPr>
            <w:r>
              <w:rPr>
                <w:rFonts w:hint="eastAsia" w:ascii="宋体" w:hAnsi="宋体"/>
                <w:sz w:val="24"/>
              </w:rPr>
              <w:t>6</w:t>
            </w:r>
          </w:p>
        </w:tc>
        <w:tc>
          <w:tcPr>
            <w:tcW w:w="9046" w:type="dxa"/>
            <w:tcBorders>
              <w:top w:val="single" w:color="auto" w:sz="4" w:space="0"/>
              <w:left w:val="single" w:color="auto" w:sz="4" w:space="0"/>
              <w:bottom w:val="single" w:color="auto" w:sz="4" w:space="0"/>
              <w:right w:val="single" w:color="000000" w:sz="4" w:space="0"/>
            </w:tcBorders>
            <w:vAlign w:val="center"/>
          </w:tcPr>
          <w:p w14:paraId="507DCCFE">
            <w:pPr>
              <w:spacing w:line="360" w:lineRule="auto"/>
              <w:rPr>
                <w:rFonts w:hint="eastAsia" w:ascii="宋体" w:hAnsi="宋体"/>
                <w:kern w:val="0"/>
                <w:sz w:val="24"/>
              </w:rPr>
            </w:pPr>
            <w:r>
              <w:rPr>
                <w:rFonts w:hint="eastAsia" w:ascii="宋体" w:hAnsi="宋体"/>
                <w:kern w:val="0"/>
                <w:sz w:val="24"/>
              </w:rPr>
              <w:t>投标保证金的有效期是否满足招标文件（同投标有效期）</w:t>
            </w:r>
          </w:p>
        </w:tc>
      </w:tr>
      <w:tr w14:paraId="49F59198">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36AE429">
            <w:pPr>
              <w:spacing w:line="360" w:lineRule="auto"/>
              <w:jc w:val="center"/>
              <w:rPr>
                <w:rFonts w:hint="eastAsia" w:ascii="宋体" w:hAnsi="宋体"/>
                <w:sz w:val="24"/>
              </w:rPr>
            </w:pPr>
            <w:r>
              <w:rPr>
                <w:rFonts w:hint="eastAsia" w:ascii="宋体" w:hAnsi="宋体"/>
                <w:sz w:val="24"/>
              </w:rPr>
              <w:t>7</w:t>
            </w:r>
          </w:p>
        </w:tc>
        <w:tc>
          <w:tcPr>
            <w:tcW w:w="9046" w:type="dxa"/>
            <w:tcBorders>
              <w:top w:val="single" w:color="auto" w:sz="4" w:space="0"/>
              <w:left w:val="single" w:color="auto" w:sz="4" w:space="0"/>
              <w:bottom w:val="single" w:color="auto" w:sz="4" w:space="0"/>
              <w:right w:val="single" w:color="000000" w:sz="4" w:space="0"/>
            </w:tcBorders>
            <w:vAlign w:val="center"/>
          </w:tcPr>
          <w:p w14:paraId="46BFDFB2">
            <w:pPr>
              <w:spacing w:line="360" w:lineRule="auto"/>
              <w:rPr>
                <w:rFonts w:hint="eastAsia" w:ascii="宋体" w:hAnsi="宋体"/>
                <w:sz w:val="24"/>
              </w:rPr>
            </w:pPr>
            <w:r>
              <w:rPr>
                <w:rFonts w:ascii="宋体" w:hAnsi="宋体"/>
                <w:sz w:val="24"/>
              </w:rPr>
              <w:t>投标</w:t>
            </w:r>
            <w:r>
              <w:rPr>
                <w:rFonts w:hint="eastAsia" w:ascii="宋体" w:hAnsi="宋体"/>
                <w:sz w:val="24"/>
              </w:rPr>
              <w:t>报价是否固定唯一，</w:t>
            </w:r>
            <w:r>
              <w:rPr>
                <w:rFonts w:hint="eastAsia" w:ascii="宋体" w:hAnsi="宋体" w:cs="宋体"/>
                <w:sz w:val="24"/>
              </w:rPr>
              <w:t>投标报价</w:t>
            </w:r>
            <w:r>
              <w:rPr>
                <w:rFonts w:hint="eastAsia" w:ascii="宋体" w:hAnsi="宋体"/>
                <w:sz w:val="24"/>
              </w:rPr>
              <w:t>是否</w:t>
            </w:r>
            <w:r>
              <w:rPr>
                <w:rFonts w:hint="eastAsia" w:ascii="宋体" w:hAnsi="宋体" w:cs="宋体"/>
                <w:sz w:val="24"/>
              </w:rPr>
              <w:t>超过采购预算（设置最高限价的，以最高限价为准）</w:t>
            </w:r>
          </w:p>
        </w:tc>
      </w:tr>
      <w:tr w14:paraId="60EA8917">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CDF5D91">
            <w:pPr>
              <w:spacing w:line="360" w:lineRule="auto"/>
              <w:jc w:val="center"/>
              <w:rPr>
                <w:rFonts w:hint="eastAsia" w:ascii="宋体" w:hAnsi="宋体"/>
                <w:sz w:val="24"/>
              </w:rPr>
            </w:pPr>
            <w:r>
              <w:rPr>
                <w:rFonts w:hint="eastAsia" w:ascii="宋体" w:hAnsi="宋体"/>
                <w:sz w:val="24"/>
              </w:rPr>
              <w:t>8</w:t>
            </w:r>
          </w:p>
        </w:tc>
        <w:tc>
          <w:tcPr>
            <w:tcW w:w="9046" w:type="dxa"/>
            <w:tcBorders>
              <w:top w:val="single" w:color="auto" w:sz="4" w:space="0"/>
              <w:left w:val="single" w:color="auto" w:sz="4" w:space="0"/>
              <w:bottom w:val="single" w:color="auto" w:sz="4" w:space="0"/>
              <w:right w:val="single" w:color="000000" w:sz="4" w:space="0"/>
            </w:tcBorders>
            <w:vAlign w:val="center"/>
          </w:tcPr>
          <w:p w14:paraId="50156C5A">
            <w:pPr>
              <w:spacing w:line="360" w:lineRule="auto"/>
              <w:jc w:val="left"/>
              <w:rPr>
                <w:rFonts w:hint="eastAsia" w:ascii="宋体" w:hAnsi="宋体"/>
                <w:sz w:val="24"/>
              </w:rPr>
            </w:pPr>
            <w:r>
              <w:rPr>
                <w:rFonts w:hint="eastAsia" w:ascii="宋体" w:hAnsi="宋体"/>
                <w:sz w:val="24"/>
              </w:rPr>
              <w:t>如评审委员会启动异常低价投标（响应）审查后，投标（响应）供应商不能提供书面说明、证明材料，或者提供的书面说明、证明材料不能证明其报价合理性的，评审委员会应当将其作为无效投标（响应）处理</w:t>
            </w:r>
          </w:p>
        </w:tc>
      </w:tr>
      <w:tr w14:paraId="1098A6BB">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209A33BD">
            <w:pPr>
              <w:spacing w:line="360" w:lineRule="auto"/>
              <w:jc w:val="center"/>
              <w:rPr>
                <w:rFonts w:hint="eastAsia" w:ascii="宋体" w:hAnsi="宋体"/>
                <w:sz w:val="24"/>
              </w:rPr>
            </w:pPr>
            <w:r>
              <w:rPr>
                <w:rFonts w:ascii="宋体" w:hAnsi="宋体"/>
                <w:sz w:val="24"/>
              </w:rPr>
              <w:t>9</w:t>
            </w:r>
          </w:p>
        </w:tc>
        <w:tc>
          <w:tcPr>
            <w:tcW w:w="9046" w:type="dxa"/>
            <w:tcBorders>
              <w:top w:val="single" w:color="auto" w:sz="4" w:space="0"/>
              <w:left w:val="single" w:color="auto" w:sz="4" w:space="0"/>
              <w:bottom w:val="single" w:color="auto" w:sz="4" w:space="0"/>
              <w:right w:val="single" w:color="000000" w:sz="4" w:space="0"/>
            </w:tcBorders>
            <w:vAlign w:val="center"/>
          </w:tcPr>
          <w:p w14:paraId="56BFA137">
            <w:pPr>
              <w:spacing w:line="360" w:lineRule="auto"/>
              <w:rPr>
                <w:rFonts w:hint="eastAsia" w:ascii="宋体" w:hAnsi="宋体"/>
                <w:sz w:val="24"/>
              </w:rPr>
            </w:pPr>
            <w:r>
              <w:rPr>
                <w:rFonts w:hint="eastAsia" w:ascii="宋体" w:hAnsi="宋体"/>
                <w:sz w:val="24"/>
              </w:rPr>
              <w:t>招标文件中明确规定不接受进口产品的，投标人是否提供了进口产品</w:t>
            </w:r>
          </w:p>
        </w:tc>
      </w:tr>
      <w:tr w14:paraId="72C1142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B410F0D">
            <w:pPr>
              <w:spacing w:line="360" w:lineRule="auto"/>
              <w:jc w:val="center"/>
              <w:rPr>
                <w:rFonts w:hint="eastAsia" w:ascii="宋体" w:hAnsi="宋体"/>
                <w:sz w:val="24"/>
              </w:rPr>
            </w:pPr>
            <w:r>
              <w:rPr>
                <w:rFonts w:ascii="宋体" w:hAnsi="宋体"/>
                <w:sz w:val="24"/>
              </w:rPr>
              <w:t>10</w:t>
            </w:r>
          </w:p>
        </w:tc>
        <w:tc>
          <w:tcPr>
            <w:tcW w:w="9046" w:type="dxa"/>
            <w:tcBorders>
              <w:top w:val="single" w:color="auto" w:sz="4" w:space="0"/>
              <w:left w:val="single" w:color="auto" w:sz="4" w:space="0"/>
              <w:bottom w:val="single" w:color="auto" w:sz="4" w:space="0"/>
              <w:right w:val="single" w:color="000000" w:sz="4" w:space="0"/>
            </w:tcBorders>
            <w:vAlign w:val="center"/>
          </w:tcPr>
          <w:p w14:paraId="19EB4BA1">
            <w:pPr>
              <w:spacing w:line="360" w:lineRule="auto"/>
              <w:rPr>
                <w:rFonts w:hint="eastAsia" w:ascii="宋体" w:hAnsi="宋体"/>
                <w:sz w:val="24"/>
              </w:rPr>
            </w:pPr>
            <w:r>
              <w:rPr>
                <w:rFonts w:hint="eastAsia" w:ascii="宋体" w:hAnsi="宋体"/>
                <w:sz w:val="24"/>
              </w:rPr>
              <w:t>是否符合招标文件规定的其它实质性要求</w:t>
            </w:r>
            <w:r>
              <w:rPr>
                <w:rFonts w:hint="eastAsia" w:ascii="宋体" w:hAnsi="宋体" w:cs="宋体"/>
                <w:kern w:val="1"/>
                <w:sz w:val="24"/>
              </w:rPr>
              <w:t>（须</w:t>
            </w:r>
            <w:r>
              <w:rPr>
                <w:rFonts w:hint="eastAsia" w:ascii="宋体" w:hAnsi="宋体"/>
                <w:sz w:val="24"/>
              </w:rPr>
              <w:t>满足带★条款</w:t>
            </w:r>
            <w:r>
              <w:rPr>
                <w:rFonts w:hint="eastAsia" w:ascii="宋体" w:hAnsi="宋体" w:cs="宋体"/>
                <w:kern w:val="1"/>
                <w:sz w:val="24"/>
              </w:rPr>
              <w:t>）</w:t>
            </w:r>
          </w:p>
        </w:tc>
      </w:tr>
      <w:tr w14:paraId="5523557C">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742F5D55">
            <w:pPr>
              <w:spacing w:line="360" w:lineRule="auto"/>
              <w:jc w:val="center"/>
              <w:rPr>
                <w:rFonts w:hint="eastAsia" w:ascii="宋体" w:hAnsi="宋体"/>
                <w:sz w:val="24"/>
              </w:rPr>
            </w:pPr>
            <w:r>
              <w:rPr>
                <w:rFonts w:ascii="宋体" w:hAnsi="宋体"/>
                <w:sz w:val="24"/>
              </w:rPr>
              <w:t>11</w:t>
            </w:r>
          </w:p>
        </w:tc>
        <w:tc>
          <w:tcPr>
            <w:tcW w:w="9046" w:type="dxa"/>
            <w:tcBorders>
              <w:top w:val="single" w:color="auto" w:sz="4" w:space="0"/>
              <w:left w:val="single" w:color="auto" w:sz="4" w:space="0"/>
              <w:bottom w:val="single" w:color="auto" w:sz="4" w:space="0"/>
              <w:right w:val="single" w:color="000000" w:sz="4" w:space="0"/>
            </w:tcBorders>
            <w:vAlign w:val="center"/>
          </w:tcPr>
          <w:p w14:paraId="581C6A35">
            <w:pPr>
              <w:spacing w:line="360" w:lineRule="auto"/>
              <w:rPr>
                <w:rFonts w:hint="eastAsia" w:ascii="宋体" w:hAnsi="宋体"/>
                <w:sz w:val="24"/>
              </w:rPr>
            </w:pPr>
            <w:r>
              <w:rPr>
                <w:rFonts w:hint="eastAsia" w:ascii="宋体" w:hAnsi="宋体" w:cs="宋体"/>
                <w:sz w:val="24"/>
              </w:rPr>
              <w:t>投标文件</w:t>
            </w:r>
            <w:r>
              <w:rPr>
                <w:rFonts w:ascii="宋体" w:hAnsi="宋体"/>
                <w:sz w:val="24"/>
              </w:rPr>
              <w:t>是否</w:t>
            </w:r>
            <w:r>
              <w:rPr>
                <w:rFonts w:hint="eastAsia" w:ascii="宋体" w:hAnsi="宋体" w:cs="宋体"/>
                <w:sz w:val="24"/>
              </w:rPr>
              <w:t>有招标文件中规定的其它无效投标条款</w:t>
            </w:r>
          </w:p>
        </w:tc>
      </w:tr>
      <w:tr w14:paraId="7A2D2078">
        <w:tblPrEx>
          <w:tblCellMar>
            <w:top w:w="0" w:type="dxa"/>
            <w:left w:w="0" w:type="dxa"/>
            <w:bottom w:w="0" w:type="dxa"/>
            <w:right w:w="0" w:type="dxa"/>
          </w:tblCellMar>
        </w:tblPrEx>
        <w:trPr>
          <w:trHeight w:val="617" w:hRule="atLeast"/>
        </w:trPr>
        <w:tc>
          <w:tcPr>
            <w:tcW w:w="9781" w:type="dxa"/>
            <w:gridSpan w:val="2"/>
            <w:tcBorders>
              <w:top w:val="single" w:color="auto" w:sz="4" w:space="0"/>
              <w:left w:val="single" w:color="auto" w:sz="4" w:space="0"/>
              <w:bottom w:val="single" w:color="auto" w:sz="4" w:space="0"/>
              <w:right w:val="single" w:color="000000" w:sz="4" w:space="0"/>
            </w:tcBorders>
            <w:tcMar>
              <w:top w:w="16" w:type="dxa"/>
              <w:left w:w="16" w:type="dxa"/>
              <w:bottom w:w="0" w:type="dxa"/>
              <w:right w:w="16" w:type="dxa"/>
            </w:tcMar>
            <w:vAlign w:val="center"/>
          </w:tcPr>
          <w:p w14:paraId="479354E8">
            <w:pPr>
              <w:spacing w:line="360" w:lineRule="auto"/>
              <w:jc w:val="center"/>
              <w:rPr>
                <w:rFonts w:hint="eastAsia" w:ascii="宋体" w:hAnsi="宋体"/>
                <w:sz w:val="24"/>
              </w:rPr>
            </w:pPr>
            <w:r>
              <w:rPr>
                <w:rFonts w:hint="eastAsia" w:ascii="宋体" w:hAnsi="宋体"/>
                <w:sz w:val="24"/>
              </w:rPr>
              <w:t>结    论</w:t>
            </w:r>
          </w:p>
        </w:tc>
      </w:tr>
    </w:tbl>
    <w:p w14:paraId="304393C8">
      <w:pPr>
        <w:spacing w:line="360" w:lineRule="auto"/>
        <w:rPr>
          <w:rFonts w:hint="eastAsia" w:ascii="time of new roman" w:hAnsi="time of new roman"/>
          <w:szCs w:val="21"/>
        </w:rPr>
      </w:pPr>
    </w:p>
    <w:p w14:paraId="2B89209F">
      <w:pPr>
        <w:spacing w:line="360" w:lineRule="auto"/>
        <w:ind w:firstLine="480"/>
        <w:rPr>
          <w:rFonts w:hint="eastAsia" w:ascii="宋体" w:hAnsi="宋体"/>
          <w:sz w:val="24"/>
        </w:rPr>
      </w:pPr>
      <w:r>
        <w:rPr>
          <w:rFonts w:hint="eastAsia" w:ascii="time of new roman" w:hAnsi="time of new roman"/>
          <w:sz w:val="24"/>
        </w:rPr>
        <w:t>注：</w:t>
      </w:r>
      <w:r>
        <w:rPr>
          <w:rFonts w:hint="eastAsia" w:ascii="宋体" w:hAnsi="宋体"/>
          <w:sz w:val="24"/>
        </w:rPr>
        <w:t>结论栏中填写“合格”表示该投标人投标文件满足招标文件的符合性要求，“不合格”表示该投标人投标文件不满足招标文件的符合性要求。</w:t>
      </w:r>
    </w:p>
    <w:p w14:paraId="46B539BF">
      <w:pPr>
        <w:spacing w:line="360" w:lineRule="auto"/>
        <w:ind w:firstLine="480"/>
        <w:rPr>
          <w:rFonts w:hint="eastAsia" w:ascii="宋体" w:hAnsi="宋体"/>
          <w:sz w:val="24"/>
        </w:rPr>
      </w:pPr>
    </w:p>
    <w:p w14:paraId="317520E4">
      <w:pPr>
        <w:spacing w:line="360" w:lineRule="auto"/>
        <w:ind w:firstLine="480"/>
        <w:rPr>
          <w:rFonts w:hint="eastAsia" w:ascii="宋体" w:hAnsi="宋体"/>
          <w:sz w:val="24"/>
        </w:rPr>
      </w:pPr>
    </w:p>
    <w:p w14:paraId="757B8FC2">
      <w:pPr>
        <w:spacing w:line="360" w:lineRule="auto"/>
        <w:ind w:firstLine="480" w:firstLineChars="200"/>
        <w:rPr>
          <w:rFonts w:hint="eastAsia" w:ascii="宋体" w:hAnsi="宋体"/>
          <w:sz w:val="24"/>
        </w:rPr>
      </w:pPr>
      <w:r>
        <w:rPr>
          <w:rFonts w:hint="eastAsia" w:ascii="宋体" w:hAnsi="宋体"/>
          <w:sz w:val="24"/>
        </w:rPr>
        <w:t>资格检查和符合性检查均“合格”的，通过投标文件的初审，进入下一步具体评分环节；否则，其投标无效。</w:t>
      </w:r>
    </w:p>
    <w:p w14:paraId="204709E1">
      <w:pPr>
        <w:spacing w:line="360" w:lineRule="auto"/>
        <w:rPr>
          <w:rFonts w:hint="eastAsia" w:ascii="宋体" w:hAnsi="宋体" w:cs="宋体"/>
          <w:b/>
          <w:sz w:val="24"/>
        </w:rPr>
      </w:pPr>
    </w:p>
    <w:p w14:paraId="6052AEB7">
      <w:pPr>
        <w:spacing w:line="360" w:lineRule="auto"/>
        <w:rPr>
          <w:rFonts w:hint="eastAsia" w:ascii="宋体" w:hAnsi="宋体" w:cs="宋体"/>
          <w:b/>
          <w:sz w:val="28"/>
          <w:szCs w:val="28"/>
        </w:rPr>
      </w:pPr>
      <w:r>
        <w:rPr>
          <w:rFonts w:hint="eastAsia" w:ascii="宋体" w:hAnsi="宋体" w:cs="宋体"/>
          <w:b/>
          <w:sz w:val="28"/>
          <w:szCs w:val="28"/>
        </w:rPr>
        <w:t>二、具体评分标准（满分为100分）</w:t>
      </w:r>
    </w:p>
    <w:p w14:paraId="77DA40D0">
      <w:pPr>
        <w:spacing w:line="360" w:lineRule="auto"/>
        <w:jc w:val="center"/>
        <w:outlineLvl w:val="1"/>
        <w:rPr>
          <w:rFonts w:hint="eastAsia" w:ascii="宋体" w:hAnsi="宋体" w:cs="宋体"/>
          <w:b/>
          <w:sz w:val="28"/>
          <w:szCs w:val="28"/>
        </w:rPr>
      </w:pPr>
      <w:r>
        <w:rPr>
          <w:rFonts w:hint="eastAsia" w:ascii="宋体" w:hAnsi="宋体" w:cs="宋体"/>
          <w:b/>
          <w:sz w:val="28"/>
          <w:szCs w:val="28"/>
        </w:rPr>
        <w:t>第一包  植物环境动态监测站、植物原位生长水势测量仪</w:t>
      </w:r>
    </w:p>
    <w:tbl>
      <w:tblPr>
        <w:tblStyle w:val="37"/>
        <w:tblW w:w="47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6"/>
        <w:gridCol w:w="6199"/>
        <w:gridCol w:w="1106"/>
      </w:tblGrid>
      <w:tr w14:paraId="4E8B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92" w:type="pct"/>
            <w:tcBorders>
              <w:top w:val="single" w:color="auto" w:sz="4" w:space="0"/>
              <w:left w:val="single" w:color="auto" w:sz="4" w:space="0"/>
              <w:bottom w:val="single" w:color="auto" w:sz="4" w:space="0"/>
              <w:right w:val="single" w:color="auto" w:sz="4" w:space="0"/>
            </w:tcBorders>
            <w:vAlign w:val="center"/>
          </w:tcPr>
          <w:p w14:paraId="5F05823D">
            <w:pPr>
              <w:snapToGrid w:val="0"/>
              <w:spacing w:line="360" w:lineRule="auto"/>
              <w:jc w:val="center"/>
              <w:rPr>
                <w:rFonts w:hint="eastAsia" w:ascii="宋体" w:hAnsi="宋体"/>
                <w:b/>
                <w:sz w:val="24"/>
              </w:rPr>
            </w:pPr>
            <w:r>
              <w:rPr>
                <w:rFonts w:ascii="宋体" w:hAnsi="宋体"/>
                <w:b/>
                <w:sz w:val="24"/>
              </w:rPr>
              <w:t>评分项目</w:t>
            </w:r>
          </w:p>
        </w:tc>
        <w:tc>
          <w:tcPr>
            <w:tcW w:w="3569" w:type="pct"/>
            <w:tcBorders>
              <w:top w:val="single" w:color="auto" w:sz="4" w:space="0"/>
              <w:left w:val="single" w:color="auto" w:sz="4" w:space="0"/>
              <w:bottom w:val="single" w:color="auto" w:sz="4" w:space="0"/>
              <w:right w:val="single" w:color="auto" w:sz="4" w:space="0"/>
            </w:tcBorders>
            <w:vAlign w:val="center"/>
          </w:tcPr>
          <w:p w14:paraId="71623D3E">
            <w:pPr>
              <w:spacing w:line="360" w:lineRule="auto"/>
              <w:jc w:val="center"/>
              <w:rPr>
                <w:rFonts w:hint="eastAsia" w:ascii="宋体" w:hAnsi="宋体"/>
                <w:b/>
                <w:sz w:val="24"/>
              </w:rPr>
            </w:pPr>
            <w:r>
              <w:rPr>
                <w:rFonts w:ascii="宋体" w:hAnsi="宋体"/>
                <w:b/>
                <w:sz w:val="24"/>
              </w:rPr>
              <w:t>评分细则</w:t>
            </w:r>
          </w:p>
        </w:tc>
        <w:tc>
          <w:tcPr>
            <w:tcW w:w="637" w:type="pct"/>
            <w:tcBorders>
              <w:top w:val="single" w:color="auto" w:sz="4" w:space="0"/>
              <w:left w:val="single" w:color="auto" w:sz="4" w:space="0"/>
              <w:bottom w:val="single" w:color="auto" w:sz="4" w:space="0"/>
              <w:right w:val="single" w:color="auto" w:sz="4" w:space="0"/>
            </w:tcBorders>
            <w:vAlign w:val="center"/>
          </w:tcPr>
          <w:p w14:paraId="60D4609E">
            <w:pPr>
              <w:spacing w:line="360" w:lineRule="auto"/>
              <w:jc w:val="center"/>
              <w:rPr>
                <w:rFonts w:hint="eastAsia" w:ascii="宋体" w:hAnsi="宋体"/>
                <w:b/>
                <w:sz w:val="24"/>
              </w:rPr>
            </w:pPr>
            <w:r>
              <w:rPr>
                <w:rFonts w:ascii="宋体" w:hAnsi="宋体"/>
                <w:b/>
                <w:sz w:val="24"/>
              </w:rPr>
              <w:t>分值</w:t>
            </w:r>
          </w:p>
        </w:tc>
      </w:tr>
      <w:tr w14:paraId="126D9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trPr>
        <w:tc>
          <w:tcPr>
            <w:tcW w:w="792" w:type="pct"/>
            <w:tcBorders>
              <w:top w:val="single" w:color="auto" w:sz="4" w:space="0"/>
              <w:left w:val="single" w:color="auto" w:sz="4" w:space="0"/>
              <w:bottom w:val="single" w:color="auto" w:sz="4" w:space="0"/>
              <w:right w:val="single" w:color="auto" w:sz="4" w:space="0"/>
            </w:tcBorders>
            <w:vAlign w:val="center"/>
          </w:tcPr>
          <w:p w14:paraId="57B641CB">
            <w:pPr>
              <w:snapToGrid w:val="0"/>
              <w:spacing w:line="360" w:lineRule="auto"/>
              <w:jc w:val="center"/>
              <w:rPr>
                <w:rFonts w:hint="eastAsia" w:ascii="宋体" w:hAnsi="宋体"/>
                <w:sz w:val="24"/>
              </w:rPr>
            </w:pPr>
            <w:r>
              <w:rPr>
                <w:rFonts w:ascii="宋体" w:hAnsi="宋体"/>
                <w:sz w:val="24"/>
              </w:rPr>
              <w:t>价格</w:t>
            </w:r>
          </w:p>
          <w:p w14:paraId="0606EA88">
            <w:pPr>
              <w:snapToGrid w:val="0"/>
              <w:spacing w:line="360" w:lineRule="auto"/>
              <w:jc w:val="center"/>
              <w:rPr>
                <w:rFonts w:hint="eastAsia" w:ascii="宋体" w:hAnsi="宋体"/>
                <w:sz w:val="24"/>
              </w:rPr>
            </w:pPr>
            <w:r>
              <w:rPr>
                <w:rFonts w:ascii="宋体" w:hAnsi="宋体"/>
                <w:sz w:val="24"/>
              </w:rPr>
              <w:t>部分</w:t>
            </w:r>
          </w:p>
          <w:p w14:paraId="52601874">
            <w:pPr>
              <w:snapToGrid w:val="0"/>
              <w:spacing w:line="360" w:lineRule="auto"/>
              <w:jc w:val="center"/>
              <w:rPr>
                <w:rFonts w:hint="eastAsia" w:ascii="宋体" w:hAnsi="宋体"/>
                <w:sz w:val="24"/>
              </w:rPr>
            </w:pPr>
            <w:r>
              <w:rPr>
                <w:rFonts w:ascii="宋体" w:hAnsi="宋体"/>
                <w:sz w:val="24"/>
              </w:rPr>
              <w:t>（30分）</w:t>
            </w:r>
          </w:p>
        </w:tc>
        <w:tc>
          <w:tcPr>
            <w:tcW w:w="3569" w:type="pct"/>
            <w:tcBorders>
              <w:top w:val="single" w:color="auto" w:sz="4" w:space="0"/>
              <w:left w:val="single" w:color="auto" w:sz="4" w:space="0"/>
              <w:bottom w:val="single" w:color="auto" w:sz="4" w:space="0"/>
              <w:right w:val="single" w:color="auto" w:sz="4" w:space="0"/>
            </w:tcBorders>
            <w:vAlign w:val="center"/>
          </w:tcPr>
          <w:p w14:paraId="4B970B0F">
            <w:pPr>
              <w:spacing w:line="360" w:lineRule="auto"/>
              <w:rPr>
                <w:rFonts w:hint="eastAsia" w:ascii="宋体" w:hAnsi="宋体"/>
                <w:sz w:val="24"/>
              </w:rPr>
            </w:pPr>
            <w:r>
              <w:rPr>
                <w:rFonts w:ascii="宋体" w:hAnsi="宋体"/>
                <w:sz w:val="24"/>
              </w:rPr>
              <w:t xml:space="preserve">   </w:t>
            </w:r>
            <w:r>
              <w:rPr>
                <w:rFonts w:hint="eastAsia" w:ascii="宋体" w:hAnsi="宋体"/>
                <w:sz w:val="24"/>
              </w:rPr>
              <w:t>根据《政府采购货物和服务招标投标管理办法》（财政部令第87号）的规定，本次价格评分统一采用低价优先法计算，即满足招标文件要求且投标价格最低的投标报价为评标基准价，其价格分为满分。其他供应商的价格评分统一按照下列公式计算：</w:t>
            </w:r>
          </w:p>
          <w:p w14:paraId="7C900E05">
            <w:pPr>
              <w:spacing w:line="360" w:lineRule="auto"/>
              <w:ind w:firstLine="405"/>
              <w:rPr>
                <w:rFonts w:hint="eastAsia" w:ascii="宋体" w:hAnsi="宋体"/>
                <w:sz w:val="24"/>
              </w:rPr>
            </w:pPr>
            <w:r>
              <w:rPr>
                <w:rFonts w:hint="eastAsia" w:ascii="宋体" w:hAnsi="宋体"/>
                <w:sz w:val="24"/>
              </w:rPr>
              <w:t>价格评分 =（评标基准价/投标报价）×30</w:t>
            </w:r>
          </w:p>
        </w:tc>
        <w:tc>
          <w:tcPr>
            <w:tcW w:w="637" w:type="pct"/>
            <w:tcBorders>
              <w:top w:val="single" w:color="auto" w:sz="4" w:space="0"/>
              <w:left w:val="single" w:color="auto" w:sz="4" w:space="0"/>
              <w:bottom w:val="single" w:color="auto" w:sz="4" w:space="0"/>
              <w:right w:val="single" w:color="auto" w:sz="4" w:space="0"/>
            </w:tcBorders>
            <w:vAlign w:val="center"/>
          </w:tcPr>
          <w:p w14:paraId="3D76D246">
            <w:pPr>
              <w:spacing w:line="360" w:lineRule="auto"/>
              <w:jc w:val="center"/>
              <w:rPr>
                <w:rFonts w:hint="eastAsia" w:ascii="宋体" w:hAnsi="宋体"/>
                <w:sz w:val="24"/>
              </w:rPr>
            </w:pPr>
            <w:r>
              <w:rPr>
                <w:rFonts w:hint="eastAsia" w:ascii="宋体" w:hAnsi="宋体"/>
                <w:sz w:val="24"/>
              </w:rPr>
              <w:t>30</w:t>
            </w:r>
          </w:p>
        </w:tc>
      </w:tr>
      <w:tr w14:paraId="2A9DC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792" w:type="pct"/>
            <w:vMerge w:val="restart"/>
            <w:tcBorders>
              <w:left w:val="single" w:color="auto" w:sz="4" w:space="0"/>
              <w:right w:val="single" w:color="auto" w:sz="4" w:space="0"/>
            </w:tcBorders>
            <w:vAlign w:val="center"/>
          </w:tcPr>
          <w:p w14:paraId="11217924">
            <w:pPr>
              <w:snapToGrid w:val="0"/>
              <w:spacing w:line="360" w:lineRule="auto"/>
              <w:jc w:val="center"/>
              <w:rPr>
                <w:rFonts w:hint="eastAsia" w:ascii="宋体" w:hAnsi="宋体" w:cs="宋体"/>
                <w:sz w:val="24"/>
              </w:rPr>
            </w:pPr>
            <w:r>
              <w:rPr>
                <w:rFonts w:hint="eastAsia" w:ascii="宋体" w:hAnsi="宋体" w:cs="宋体"/>
                <w:sz w:val="24"/>
              </w:rPr>
              <w:t>商务</w:t>
            </w:r>
          </w:p>
          <w:p w14:paraId="4C311173">
            <w:pPr>
              <w:snapToGrid w:val="0"/>
              <w:spacing w:line="360" w:lineRule="auto"/>
              <w:jc w:val="center"/>
              <w:rPr>
                <w:rFonts w:hint="eastAsia" w:ascii="宋体" w:hAnsi="宋体" w:cs="宋体"/>
                <w:sz w:val="24"/>
              </w:rPr>
            </w:pPr>
            <w:r>
              <w:rPr>
                <w:rFonts w:hint="eastAsia" w:ascii="宋体" w:hAnsi="宋体" w:cs="宋体"/>
                <w:sz w:val="24"/>
              </w:rPr>
              <w:t>部分</w:t>
            </w:r>
          </w:p>
          <w:p w14:paraId="11774B89">
            <w:pPr>
              <w:snapToGrid w:val="0"/>
              <w:spacing w:line="360" w:lineRule="auto"/>
              <w:jc w:val="center"/>
              <w:rPr>
                <w:rFonts w:hint="eastAsia" w:ascii="宋体" w:hAnsi="宋体"/>
                <w:sz w:val="24"/>
              </w:rPr>
            </w:pPr>
            <w:r>
              <w:rPr>
                <w:rFonts w:hint="eastAsia" w:ascii="宋体" w:hAnsi="宋体" w:cs="宋体"/>
                <w:sz w:val="24"/>
              </w:rPr>
              <w:t>（</w:t>
            </w:r>
            <w:r>
              <w:rPr>
                <w:rFonts w:hint="eastAsia" w:ascii="宋体" w:hAnsi="宋体" w:cs="宋体"/>
                <w:sz w:val="24"/>
                <w:lang w:val="en-US" w:eastAsia="zh-CN"/>
              </w:rPr>
              <w:t>9</w:t>
            </w:r>
            <w:r>
              <w:rPr>
                <w:rFonts w:hint="eastAsia" w:ascii="宋体" w:hAnsi="宋体" w:cs="宋体"/>
                <w:sz w:val="24"/>
              </w:rPr>
              <w:t>分）</w:t>
            </w:r>
          </w:p>
        </w:tc>
        <w:tc>
          <w:tcPr>
            <w:tcW w:w="3569" w:type="pct"/>
            <w:tcBorders>
              <w:top w:val="single" w:color="auto" w:sz="4" w:space="0"/>
              <w:left w:val="single" w:color="auto" w:sz="4" w:space="0"/>
              <w:bottom w:val="single" w:color="auto" w:sz="4" w:space="0"/>
              <w:right w:val="single" w:color="auto" w:sz="4" w:space="0"/>
            </w:tcBorders>
            <w:vAlign w:val="center"/>
          </w:tcPr>
          <w:p w14:paraId="289989AF">
            <w:pPr>
              <w:spacing w:line="360" w:lineRule="auto"/>
              <w:rPr>
                <w:sz w:val="24"/>
              </w:rPr>
            </w:pPr>
            <w:r>
              <w:rPr>
                <w:rFonts w:hint="eastAsia" w:ascii="宋体" w:hAnsi="宋体"/>
                <w:sz w:val="24"/>
              </w:rPr>
              <w:t>1、商务条款应答响应情况</w:t>
            </w:r>
            <w:r>
              <w:rPr>
                <w:sz w:val="24"/>
              </w:rPr>
              <w:t>：</w:t>
            </w:r>
          </w:p>
          <w:p w14:paraId="2543B9EB">
            <w:pPr>
              <w:spacing w:line="360" w:lineRule="auto"/>
              <w:rPr>
                <w:rFonts w:hint="eastAsia" w:ascii="宋体" w:hAnsi="宋体"/>
                <w:sz w:val="24"/>
              </w:rPr>
            </w:pPr>
            <w:r>
              <w:rPr>
                <w:rFonts w:hint="eastAsia" w:ascii="宋体" w:hAnsi="宋体"/>
                <w:sz w:val="24"/>
              </w:rPr>
              <w:t>标记为“★”的是关键商务条款，正偏离不加分，如不满足其投标予以拒绝。</w:t>
            </w:r>
          </w:p>
          <w:p w14:paraId="324040D1">
            <w:pPr>
              <w:spacing w:line="360" w:lineRule="auto"/>
              <w:rPr>
                <w:rFonts w:hint="eastAsia" w:ascii="宋体" w:hAnsi="宋体"/>
                <w:sz w:val="24"/>
              </w:rPr>
            </w:pPr>
            <w:r>
              <w:rPr>
                <w:rFonts w:hint="eastAsia" w:ascii="宋体" w:hAnsi="宋体"/>
                <w:sz w:val="24"/>
              </w:rPr>
              <w:t>其他非“★”的商务条款：应答有负偏离得0分，应答全部无偏离得</w:t>
            </w:r>
            <w:r>
              <w:rPr>
                <w:rFonts w:ascii="宋体" w:hAnsi="宋体"/>
                <w:sz w:val="24"/>
              </w:rPr>
              <w:t>1</w:t>
            </w:r>
            <w:r>
              <w:rPr>
                <w:rFonts w:hint="eastAsia" w:ascii="宋体" w:hAnsi="宋体"/>
                <w:sz w:val="24"/>
              </w:rPr>
              <w:t>分，应答有正偏离得</w:t>
            </w:r>
            <w:r>
              <w:rPr>
                <w:rFonts w:ascii="宋体" w:hAnsi="宋体"/>
                <w:sz w:val="24"/>
              </w:rPr>
              <w:t>2</w:t>
            </w:r>
            <w:r>
              <w:rPr>
                <w:rFonts w:hint="eastAsia" w:ascii="宋体" w:hAnsi="宋体"/>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66036099">
            <w:pPr>
              <w:spacing w:line="360" w:lineRule="auto"/>
              <w:jc w:val="center"/>
              <w:rPr>
                <w:rFonts w:hint="eastAsia" w:ascii="宋体" w:hAnsi="宋体"/>
                <w:sz w:val="24"/>
              </w:rPr>
            </w:pPr>
            <w:r>
              <w:rPr>
                <w:rFonts w:hint="eastAsia" w:ascii="宋体" w:hAnsi="宋体"/>
                <w:sz w:val="24"/>
              </w:rPr>
              <w:t>2</w:t>
            </w:r>
          </w:p>
        </w:tc>
      </w:tr>
      <w:tr w14:paraId="315DC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792" w:type="pct"/>
            <w:vMerge w:val="continue"/>
            <w:tcBorders>
              <w:left w:val="single" w:color="auto" w:sz="4" w:space="0"/>
              <w:right w:val="single" w:color="auto" w:sz="4" w:space="0"/>
            </w:tcBorders>
            <w:vAlign w:val="center"/>
          </w:tcPr>
          <w:p w14:paraId="01543C0F">
            <w:pPr>
              <w:snapToGrid w:val="0"/>
              <w:spacing w:line="360" w:lineRule="auto"/>
              <w:jc w:val="center"/>
              <w:rPr>
                <w:rFonts w:hint="eastAsia" w:ascii="宋体" w:hAnsi="宋体"/>
                <w:sz w:val="24"/>
              </w:rPr>
            </w:pPr>
          </w:p>
        </w:tc>
        <w:tc>
          <w:tcPr>
            <w:tcW w:w="3569" w:type="pct"/>
            <w:tcBorders>
              <w:top w:val="single" w:color="auto" w:sz="4" w:space="0"/>
              <w:left w:val="single" w:color="auto" w:sz="4" w:space="0"/>
              <w:bottom w:val="single" w:color="auto" w:sz="4" w:space="0"/>
              <w:right w:val="single" w:color="auto" w:sz="4" w:space="0"/>
            </w:tcBorders>
            <w:vAlign w:val="center"/>
          </w:tcPr>
          <w:p w14:paraId="1790C838">
            <w:pPr>
              <w:spacing w:line="360" w:lineRule="auto"/>
              <w:rPr>
                <w:rFonts w:hint="eastAsia" w:asciiTheme="minorEastAsia" w:hAnsiTheme="minorEastAsia" w:eastAsiaTheme="minorEastAsia" w:cstheme="minorEastAsia"/>
                <w:sz w:val="24"/>
              </w:rPr>
            </w:pPr>
            <w:r>
              <w:rPr>
                <w:rFonts w:hint="eastAsia" w:ascii="宋体" w:hAnsi="宋体" w:cs="宋体"/>
                <w:sz w:val="24"/>
              </w:rPr>
              <w:t>2、提供投标</w:t>
            </w:r>
            <w:r>
              <w:rPr>
                <w:rFonts w:hint="eastAsia" w:ascii="宋体" w:hAnsi="宋体" w:cs="宋体"/>
                <w:color w:val="auto"/>
                <w:sz w:val="24"/>
                <w:highlight w:val="none"/>
              </w:rPr>
              <w:t>人</w:t>
            </w:r>
            <w:r>
              <w:rPr>
                <w:rFonts w:hint="eastAsia"/>
                <w:color w:val="auto"/>
                <w:sz w:val="24"/>
                <w:highlight w:val="none"/>
              </w:rPr>
              <w:t>植物环境动态监测站或</w:t>
            </w:r>
            <w:r>
              <w:rPr>
                <w:rFonts w:ascii="宋体" w:hAnsi="宋体" w:cs="宋体"/>
                <w:color w:val="auto"/>
                <w:sz w:val="24"/>
                <w:highlight w:val="none"/>
              </w:rPr>
              <w:t>植物原位生长水势测量仪</w:t>
            </w:r>
            <w:r>
              <w:rPr>
                <w:rFonts w:hint="eastAsia" w:ascii="宋体" w:hAnsi="宋体" w:cs="宋体"/>
                <w:color w:val="auto"/>
                <w:sz w:val="24"/>
                <w:highlight w:val="none"/>
              </w:rPr>
              <w:t>其一</w:t>
            </w:r>
            <w:r>
              <w:rPr>
                <w:rFonts w:hint="eastAsia" w:ascii="宋体" w:hAnsi="宋体" w:cs="宋体"/>
                <w:color w:val="auto"/>
                <w:sz w:val="24"/>
                <w:szCs w:val="22"/>
                <w:highlight w:val="none"/>
              </w:rPr>
              <w:t>业绩【（每提供一个业绩在2024年1月1日至投标截止日的相同产品项目合同案例加2分，最高不超过6分，案例以提供的合同时间为准，要求必须提供签订的合同首页、合同金额所在页、签字盖章页复印件作为证明）】</w:t>
            </w:r>
          </w:p>
        </w:tc>
        <w:tc>
          <w:tcPr>
            <w:tcW w:w="637" w:type="pct"/>
            <w:tcBorders>
              <w:top w:val="single" w:color="auto" w:sz="4" w:space="0"/>
              <w:left w:val="single" w:color="auto" w:sz="4" w:space="0"/>
              <w:bottom w:val="single" w:color="auto" w:sz="4" w:space="0"/>
              <w:right w:val="single" w:color="auto" w:sz="4" w:space="0"/>
            </w:tcBorders>
            <w:vAlign w:val="center"/>
          </w:tcPr>
          <w:p w14:paraId="285DCBBC">
            <w:pPr>
              <w:spacing w:line="360" w:lineRule="auto"/>
              <w:jc w:val="center"/>
              <w:rPr>
                <w:rFonts w:hint="eastAsia" w:asciiTheme="minorEastAsia" w:hAnsiTheme="minorEastAsia" w:eastAsiaTheme="minorEastAsia" w:cstheme="minorEastAsia"/>
                <w:sz w:val="24"/>
                <w:lang w:eastAsia="zh-CN"/>
              </w:rPr>
            </w:pPr>
            <w:r>
              <w:rPr>
                <w:rFonts w:hint="eastAsia" w:ascii="宋体" w:hAnsi="宋体" w:cs="宋体"/>
                <w:sz w:val="24"/>
                <w:szCs w:val="22"/>
              </w:rPr>
              <w:t>6</w:t>
            </w:r>
          </w:p>
        </w:tc>
      </w:tr>
      <w:tr w14:paraId="0FE4F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792" w:type="pct"/>
            <w:vMerge w:val="continue"/>
            <w:tcBorders>
              <w:left w:val="single" w:color="auto" w:sz="4" w:space="0"/>
              <w:right w:val="single" w:color="auto" w:sz="4" w:space="0"/>
            </w:tcBorders>
            <w:vAlign w:val="center"/>
          </w:tcPr>
          <w:p w14:paraId="6586648F">
            <w:pPr>
              <w:snapToGrid w:val="0"/>
              <w:spacing w:line="360" w:lineRule="auto"/>
              <w:jc w:val="center"/>
              <w:rPr>
                <w:rFonts w:hint="eastAsia" w:ascii="宋体" w:hAnsi="宋体"/>
                <w:sz w:val="24"/>
              </w:rPr>
            </w:pPr>
          </w:p>
        </w:tc>
        <w:tc>
          <w:tcPr>
            <w:tcW w:w="3569" w:type="pct"/>
            <w:tcBorders>
              <w:top w:val="single" w:color="auto" w:sz="4" w:space="0"/>
              <w:left w:val="single" w:color="auto" w:sz="4" w:space="0"/>
              <w:bottom w:val="single" w:color="auto" w:sz="4" w:space="0"/>
              <w:right w:val="single" w:color="auto" w:sz="4" w:space="0"/>
            </w:tcBorders>
            <w:vAlign w:val="center"/>
          </w:tcPr>
          <w:p w14:paraId="6C403A27">
            <w:pPr>
              <w:spacing w:line="360" w:lineRule="auto"/>
              <w:rPr>
                <w:rFonts w:hint="eastAsia" w:ascii="宋体" w:hAnsi="宋体" w:cs="宋体"/>
                <w:sz w:val="24"/>
              </w:rPr>
            </w:pPr>
            <w:r>
              <w:rPr>
                <w:rFonts w:hint="eastAsia" w:ascii="宋体" w:hAnsi="宋体" w:cs="宋体"/>
                <w:sz w:val="24"/>
                <w:lang w:val="en-US" w:eastAsia="zh-CN"/>
              </w:rPr>
              <w:t>3、</w:t>
            </w:r>
            <w:r>
              <w:rPr>
                <w:rFonts w:ascii="宋体" w:hAnsi="宋体" w:cs="宋体"/>
                <w:sz w:val="24"/>
              </w:rPr>
              <w:t>投标人提供系统云</w:t>
            </w:r>
            <w:r>
              <w:rPr>
                <w:rFonts w:ascii="宋体" w:hAnsi="宋体" w:cs="宋体"/>
                <w:color w:val="auto"/>
                <w:sz w:val="24"/>
              </w:rPr>
              <w:t>平台计算机软件著作权登记证书，植物相关专利证书，产品商标注册证书</w:t>
            </w:r>
            <w:r>
              <w:rPr>
                <w:rFonts w:hint="eastAsia" w:ascii="宋体" w:hAnsi="宋体" w:cs="宋体"/>
                <w:color w:val="auto"/>
                <w:sz w:val="24"/>
              </w:rPr>
              <w:t>三者缺一不可</w:t>
            </w:r>
            <w:r>
              <w:rPr>
                <w:rFonts w:ascii="宋体" w:hAnsi="宋体" w:cs="宋体"/>
                <w:color w:val="auto"/>
                <w:sz w:val="24"/>
              </w:rPr>
              <w:t>，</w:t>
            </w:r>
            <w:r>
              <w:rPr>
                <w:rFonts w:hint="eastAsia" w:ascii="宋体" w:hAnsi="宋体" w:cs="宋体"/>
                <w:color w:val="auto"/>
                <w:sz w:val="24"/>
              </w:rPr>
              <w:t>具有的得1分。</w:t>
            </w:r>
            <w:r>
              <w:rPr>
                <w:rFonts w:ascii="宋体" w:hAnsi="宋体" w:cs="宋体"/>
                <w:color w:val="auto"/>
                <w:sz w:val="24"/>
              </w:rPr>
              <w:t>注：须提供相关证书复印件加盖投标人公章，未提供的不得分。</w:t>
            </w:r>
          </w:p>
        </w:tc>
        <w:tc>
          <w:tcPr>
            <w:tcW w:w="637" w:type="pct"/>
            <w:tcBorders>
              <w:top w:val="single" w:color="auto" w:sz="4" w:space="0"/>
              <w:left w:val="single" w:color="auto" w:sz="4" w:space="0"/>
              <w:bottom w:val="single" w:color="auto" w:sz="4" w:space="0"/>
              <w:right w:val="single" w:color="auto" w:sz="4" w:space="0"/>
            </w:tcBorders>
            <w:vAlign w:val="center"/>
          </w:tcPr>
          <w:p w14:paraId="318D727F">
            <w:pPr>
              <w:spacing w:line="360" w:lineRule="auto"/>
              <w:jc w:val="center"/>
              <w:rPr>
                <w:rFonts w:hint="eastAsia" w:ascii="宋体" w:hAnsi="宋体" w:cs="宋体"/>
                <w:sz w:val="24"/>
                <w:szCs w:val="22"/>
              </w:rPr>
            </w:pPr>
            <w:r>
              <w:rPr>
                <w:rFonts w:hint="eastAsia" w:ascii="宋体" w:hAnsi="宋体" w:cs="宋体"/>
                <w:sz w:val="24"/>
                <w:szCs w:val="22"/>
              </w:rPr>
              <w:t>1</w:t>
            </w:r>
          </w:p>
        </w:tc>
      </w:tr>
      <w:tr w14:paraId="1F32A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92" w:type="pct"/>
            <w:vMerge w:val="restart"/>
            <w:tcBorders>
              <w:top w:val="single" w:color="auto" w:sz="4" w:space="0"/>
              <w:left w:val="single" w:color="auto" w:sz="4" w:space="0"/>
              <w:right w:val="single" w:color="auto" w:sz="4" w:space="0"/>
            </w:tcBorders>
            <w:vAlign w:val="center"/>
          </w:tcPr>
          <w:p w14:paraId="75313385">
            <w:pPr>
              <w:snapToGrid w:val="0"/>
              <w:spacing w:line="360" w:lineRule="auto"/>
              <w:jc w:val="center"/>
              <w:rPr>
                <w:rFonts w:hint="eastAsia" w:ascii="宋体" w:hAnsi="宋体"/>
                <w:sz w:val="24"/>
              </w:rPr>
            </w:pPr>
            <w:r>
              <w:rPr>
                <w:rFonts w:ascii="宋体" w:hAnsi="宋体"/>
                <w:sz w:val="24"/>
              </w:rPr>
              <w:t>技术</w:t>
            </w:r>
          </w:p>
          <w:p w14:paraId="7B925928">
            <w:pPr>
              <w:snapToGrid w:val="0"/>
              <w:spacing w:line="360" w:lineRule="auto"/>
              <w:jc w:val="center"/>
              <w:rPr>
                <w:rFonts w:hint="eastAsia" w:ascii="宋体" w:hAnsi="宋体"/>
                <w:sz w:val="24"/>
              </w:rPr>
            </w:pPr>
            <w:r>
              <w:rPr>
                <w:rFonts w:ascii="宋体" w:hAnsi="宋体"/>
                <w:sz w:val="24"/>
              </w:rPr>
              <w:t>部分</w:t>
            </w:r>
          </w:p>
          <w:p w14:paraId="3873420D">
            <w:pPr>
              <w:snapToGrid w:val="0"/>
              <w:spacing w:line="360" w:lineRule="auto"/>
              <w:jc w:val="center"/>
              <w:rPr>
                <w:rFonts w:hint="eastAsia" w:ascii="宋体" w:hAnsi="宋体"/>
                <w:sz w:val="24"/>
              </w:rPr>
            </w:pPr>
            <w:r>
              <w:rPr>
                <w:rFonts w:ascii="宋体" w:hAnsi="宋体"/>
                <w:sz w:val="24"/>
              </w:rPr>
              <w:t>（</w:t>
            </w:r>
            <w:r>
              <w:rPr>
                <w:rFonts w:hint="eastAsia" w:ascii="宋体" w:hAnsi="宋体"/>
                <w:sz w:val="24"/>
                <w:lang w:val="en-US" w:eastAsia="zh-CN"/>
              </w:rPr>
              <w:t>60</w:t>
            </w:r>
            <w:r>
              <w:rPr>
                <w:rFonts w:ascii="宋体" w:hAnsi="宋体"/>
                <w:sz w:val="24"/>
              </w:rPr>
              <w:t>分）</w:t>
            </w:r>
          </w:p>
        </w:tc>
        <w:tc>
          <w:tcPr>
            <w:tcW w:w="3569" w:type="pct"/>
            <w:tcBorders>
              <w:top w:val="single" w:color="auto" w:sz="4" w:space="0"/>
              <w:left w:val="single" w:color="auto" w:sz="4" w:space="0"/>
              <w:bottom w:val="single" w:color="auto" w:sz="4" w:space="0"/>
              <w:right w:val="single" w:color="auto" w:sz="4" w:space="0"/>
            </w:tcBorders>
            <w:vAlign w:val="center"/>
          </w:tcPr>
          <w:p w14:paraId="0E908AD9">
            <w:pPr>
              <w:spacing w:line="360" w:lineRule="auto"/>
              <w:rPr>
                <w:rFonts w:hint="eastAsia" w:ascii="宋体" w:hAnsi="宋体" w:cs="宋体"/>
                <w:sz w:val="24"/>
              </w:rPr>
            </w:pPr>
            <w:r>
              <w:rPr>
                <w:rFonts w:hint="eastAsia" w:ascii="宋体" w:hAnsi="宋体" w:cs="宋体"/>
                <w:sz w:val="24"/>
              </w:rPr>
              <w:t>1、技术指标条款响应情况</w:t>
            </w:r>
          </w:p>
          <w:p w14:paraId="5B78AD08">
            <w:pPr>
              <w:snapToGrid w:val="0"/>
              <w:spacing w:line="360" w:lineRule="auto"/>
              <w:rPr>
                <w:rFonts w:hint="eastAsia" w:ascii="宋体" w:hAnsi="宋体" w:cs="宋体"/>
                <w:b/>
                <w:bCs/>
                <w:sz w:val="24"/>
              </w:rPr>
            </w:pPr>
            <w:r>
              <w:rPr>
                <w:rFonts w:hint="eastAsia" w:ascii="宋体" w:hAnsi="宋体" w:cs="宋体"/>
                <w:b/>
                <w:bCs/>
                <w:sz w:val="24"/>
              </w:rPr>
              <w:t>（1）技术偏离表须依据招标文件项目需求逐条响应，否则视为未实质性响应招标文件, 其投标予以拒绝；</w:t>
            </w:r>
          </w:p>
          <w:p w14:paraId="31F59D98">
            <w:pPr>
              <w:snapToGrid w:val="0"/>
              <w:spacing w:line="360" w:lineRule="auto"/>
              <w:rPr>
                <w:rFonts w:hint="eastAsia" w:ascii="宋体" w:hAnsi="宋体" w:cs="宋体"/>
                <w:sz w:val="24"/>
              </w:rPr>
            </w:pPr>
            <w:r>
              <w:rPr>
                <w:rFonts w:hint="eastAsia" w:ascii="宋体" w:hAnsi="宋体" w:cs="宋体"/>
                <w:sz w:val="24"/>
              </w:rPr>
              <w:t>（2）技术指标评审基准分为</w:t>
            </w:r>
            <w:r>
              <w:rPr>
                <w:rFonts w:hint="eastAsia" w:ascii="宋体" w:hAnsi="宋体" w:cs="宋体"/>
                <w:sz w:val="24"/>
                <w:lang w:val="en-US" w:eastAsia="zh-CN"/>
              </w:rPr>
              <w:t>48</w:t>
            </w:r>
            <w:r>
              <w:rPr>
                <w:rFonts w:hint="eastAsia" w:ascii="宋体" w:hAnsi="宋体" w:cs="宋体"/>
                <w:sz w:val="24"/>
              </w:rPr>
              <w:t xml:space="preserve">分，评委可根据技术指标的正负偏离情况进行评分； </w:t>
            </w:r>
          </w:p>
          <w:p w14:paraId="41E1A4DC">
            <w:pPr>
              <w:snapToGrid w:val="0"/>
              <w:spacing w:line="360" w:lineRule="auto"/>
              <w:rPr>
                <w:rFonts w:hint="eastAsia" w:ascii="宋体" w:hAnsi="宋体" w:cs="宋体"/>
                <w:bCs/>
                <w:sz w:val="24"/>
              </w:rPr>
            </w:pPr>
            <w:r>
              <w:rPr>
                <w:rFonts w:hint="eastAsia" w:ascii="宋体" w:hAnsi="宋体" w:cs="宋体"/>
                <w:bCs/>
                <w:sz w:val="24"/>
              </w:rPr>
              <w:t>（3）标记为“</w:t>
            </w:r>
            <w:r>
              <w:rPr>
                <w:rFonts w:hint="eastAsia" w:ascii="宋体" w:hAnsi="宋体" w:cs="宋体"/>
                <w:sz w:val="24"/>
              </w:rPr>
              <w:t>★</w:t>
            </w:r>
            <w:r>
              <w:rPr>
                <w:rFonts w:hint="eastAsia" w:ascii="宋体" w:hAnsi="宋体" w:cs="宋体"/>
                <w:bCs/>
                <w:sz w:val="24"/>
              </w:rPr>
              <w:t>”的指标是关键技术条款，</w:t>
            </w:r>
            <w:r>
              <w:rPr>
                <w:rFonts w:hint="eastAsia" w:ascii="宋体" w:hAnsi="宋体" w:cs="宋体"/>
                <w:sz w:val="24"/>
              </w:rPr>
              <w:t>正偏离不加分，</w:t>
            </w:r>
            <w:r>
              <w:rPr>
                <w:rFonts w:hint="eastAsia" w:ascii="宋体" w:hAnsi="宋体" w:cs="宋体"/>
                <w:bCs/>
                <w:sz w:val="24"/>
              </w:rPr>
              <w:t>如不满足其投标予以拒绝；</w:t>
            </w:r>
          </w:p>
          <w:p w14:paraId="183D0A92">
            <w:pPr>
              <w:snapToGrid w:val="0"/>
              <w:spacing w:line="360" w:lineRule="auto"/>
              <w:rPr>
                <w:rFonts w:hint="eastAsia" w:ascii="宋体" w:hAnsi="宋体" w:cs="宋体"/>
                <w:bCs/>
                <w:sz w:val="24"/>
              </w:rPr>
            </w:pPr>
            <w:r>
              <w:rPr>
                <w:rFonts w:hint="eastAsia" w:ascii="宋体" w:hAnsi="宋体" w:cs="宋体"/>
                <w:bCs/>
                <w:sz w:val="24"/>
              </w:rPr>
              <w:t>（4）标记为“▲”的指标为重要技术条款，总分为</w:t>
            </w:r>
            <w:r>
              <w:rPr>
                <w:rFonts w:hint="eastAsia" w:ascii="宋体" w:hAnsi="宋体" w:cs="宋体"/>
                <w:bCs/>
                <w:sz w:val="24"/>
                <w:lang w:val="en-US" w:eastAsia="zh-CN"/>
              </w:rPr>
              <w:t>33</w:t>
            </w:r>
            <w:r>
              <w:rPr>
                <w:rFonts w:hint="eastAsia" w:ascii="宋体" w:hAnsi="宋体" w:cs="宋体"/>
                <w:bCs/>
                <w:sz w:val="24"/>
              </w:rPr>
              <w:t>分。正偏离不加分，负偏离每项减</w:t>
            </w:r>
            <w:r>
              <w:rPr>
                <w:rFonts w:hint="eastAsia" w:ascii="宋体" w:hAnsi="宋体" w:cs="宋体"/>
                <w:bCs/>
                <w:sz w:val="24"/>
                <w:lang w:val="en-US" w:eastAsia="zh-CN"/>
              </w:rPr>
              <w:t>3</w:t>
            </w:r>
            <w:r>
              <w:rPr>
                <w:rFonts w:hint="eastAsia" w:ascii="宋体" w:hAnsi="宋体" w:cs="宋体"/>
                <w:bCs/>
                <w:sz w:val="24"/>
              </w:rPr>
              <w:t>分，超过</w:t>
            </w:r>
            <w:r>
              <w:rPr>
                <w:rFonts w:hint="eastAsia" w:ascii="宋体" w:hAnsi="宋体" w:cs="宋体"/>
                <w:bCs/>
                <w:sz w:val="24"/>
                <w:lang w:val="en-US" w:eastAsia="zh-CN"/>
              </w:rPr>
              <w:t>11</w:t>
            </w:r>
            <w:r>
              <w:rPr>
                <w:rFonts w:hint="eastAsia" w:ascii="宋体" w:hAnsi="宋体" w:cs="宋体"/>
                <w:bCs/>
                <w:sz w:val="24"/>
              </w:rPr>
              <w:t>项（含）负偏离不得分。</w:t>
            </w:r>
          </w:p>
          <w:p w14:paraId="25C497F3">
            <w:pPr>
              <w:snapToGrid w:val="0"/>
              <w:spacing w:line="360" w:lineRule="auto"/>
              <w:rPr>
                <w:rFonts w:hint="eastAsia" w:ascii="宋体" w:hAnsi="宋体" w:cs="宋体"/>
                <w:bCs/>
                <w:sz w:val="24"/>
              </w:rPr>
            </w:pPr>
            <w:r>
              <w:rPr>
                <w:rFonts w:hint="eastAsia" w:ascii="宋体" w:hAnsi="宋体" w:cs="宋体"/>
                <w:bCs/>
                <w:sz w:val="24"/>
              </w:rPr>
              <w:t>（5）无标记的指标是一般技术条款，总分为</w:t>
            </w:r>
            <w:r>
              <w:rPr>
                <w:rFonts w:hint="eastAsia" w:ascii="宋体" w:hAnsi="宋体" w:cs="宋体"/>
                <w:bCs/>
                <w:sz w:val="24"/>
                <w:lang w:val="en-US" w:eastAsia="zh-CN"/>
              </w:rPr>
              <w:t>15</w:t>
            </w:r>
            <w:r>
              <w:rPr>
                <w:rFonts w:hint="eastAsia" w:ascii="宋体" w:hAnsi="宋体" w:cs="宋体"/>
                <w:bCs/>
                <w:sz w:val="24"/>
              </w:rPr>
              <w:t>分。正偏离不加分，负偏离每项减</w:t>
            </w:r>
            <w:r>
              <w:rPr>
                <w:rFonts w:hint="eastAsia" w:ascii="宋体" w:hAnsi="宋体" w:cs="宋体"/>
                <w:bCs/>
                <w:sz w:val="24"/>
                <w:lang w:val="en-US" w:eastAsia="zh-CN"/>
              </w:rPr>
              <w:t>0.5</w:t>
            </w:r>
            <w:r>
              <w:rPr>
                <w:rFonts w:hint="eastAsia" w:ascii="宋体" w:hAnsi="宋体" w:cs="宋体"/>
                <w:bCs/>
                <w:sz w:val="24"/>
              </w:rPr>
              <w:t>分，超</w:t>
            </w:r>
            <w:r>
              <w:rPr>
                <w:rFonts w:hint="eastAsia" w:ascii="宋体" w:hAnsi="宋体" w:cs="宋体"/>
                <w:bCs/>
                <w:sz w:val="24"/>
                <w:lang w:val="en-US" w:eastAsia="zh-CN"/>
              </w:rPr>
              <w:t>30</w:t>
            </w:r>
            <w:r>
              <w:rPr>
                <w:rFonts w:hint="eastAsia" w:ascii="宋体" w:hAnsi="宋体" w:cs="宋体"/>
                <w:bCs/>
                <w:sz w:val="24"/>
              </w:rPr>
              <w:t>项（含）负偏离不得分。</w:t>
            </w:r>
          </w:p>
          <w:p w14:paraId="4097D1E8">
            <w:pPr>
              <w:snapToGrid w:val="0"/>
              <w:spacing w:line="360" w:lineRule="auto"/>
              <w:rPr>
                <w:rFonts w:hint="eastAsia" w:ascii="宋体" w:hAnsi="宋体"/>
                <w:sz w:val="24"/>
              </w:rPr>
            </w:pPr>
            <w:r>
              <w:rPr>
                <w:rFonts w:hint="eastAsia" w:ascii="宋体" w:hAnsi="宋体" w:cs="宋体"/>
                <w:bCs/>
                <w:sz w:val="24"/>
              </w:rPr>
              <w:t>（6）凡标有最低一级序号的指标项即为一项技术条款，无论是否隶属于上一级编号。</w:t>
            </w:r>
          </w:p>
        </w:tc>
        <w:tc>
          <w:tcPr>
            <w:tcW w:w="637" w:type="pct"/>
            <w:tcBorders>
              <w:top w:val="single" w:color="auto" w:sz="4" w:space="0"/>
              <w:left w:val="single" w:color="auto" w:sz="4" w:space="0"/>
              <w:bottom w:val="single" w:color="auto" w:sz="4" w:space="0"/>
              <w:right w:val="single" w:color="auto" w:sz="4" w:space="0"/>
            </w:tcBorders>
            <w:vAlign w:val="center"/>
          </w:tcPr>
          <w:p w14:paraId="07428D48">
            <w:pPr>
              <w:spacing w:line="360" w:lineRule="auto"/>
              <w:jc w:val="center"/>
              <w:rPr>
                <w:rFonts w:hint="default" w:ascii="宋体" w:hAnsi="宋体" w:eastAsia="宋体"/>
                <w:sz w:val="24"/>
                <w:lang w:val="en-US" w:eastAsia="zh-CN"/>
              </w:rPr>
            </w:pPr>
            <w:r>
              <w:rPr>
                <w:rFonts w:hint="eastAsia" w:ascii="宋体" w:hAnsi="宋体"/>
                <w:sz w:val="24"/>
                <w:lang w:val="en-US" w:eastAsia="zh-CN"/>
              </w:rPr>
              <w:t>48</w:t>
            </w:r>
          </w:p>
        </w:tc>
      </w:tr>
      <w:tr w14:paraId="6EC14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792" w:type="pct"/>
            <w:vMerge w:val="continue"/>
            <w:tcBorders>
              <w:left w:val="single" w:color="auto" w:sz="4" w:space="0"/>
              <w:right w:val="single" w:color="auto" w:sz="4" w:space="0"/>
            </w:tcBorders>
            <w:vAlign w:val="center"/>
          </w:tcPr>
          <w:p w14:paraId="57DFFFCC">
            <w:pPr>
              <w:widowControl/>
              <w:spacing w:line="360" w:lineRule="auto"/>
              <w:jc w:val="center"/>
              <w:rPr>
                <w:rFonts w:hint="eastAsia" w:ascii="宋体" w:hAnsi="宋体"/>
                <w:sz w:val="24"/>
              </w:rPr>
            </w:pPr>
          </w:p>
        </w:tc>
        <w:tc>
          <w:tcPr>
            <w:tcW w:w="3569" w:type="pct"/>
            <w:tcBorders>
              <w:top w:val="single" w:color="auto" w:sz="4" w:space="0"/>
              <w:left w:val="single" w:color="auto" w:sz="4" w:space="0"/>
              <w:bottom w:val="single" w:color="auto" w:sz="4" w:space="0"/>
              <w:right w:val="single" w:color="auto" w:sz="4" w:space="0"/>
            </w:tcBorders>
            <w:vAlign w:val="center"/>
          </w:tcPr>
          <w:p w14:paraId="49C3DE74">
            <w:pPr>
              <w:spacing w:line="360" w:lineRule="auto"/>
              <w:rPr>
                <w:rFonts w:hint="eastAsia" w:ascii="宋体" w:hAnsi="宋体" w:cs="宋体"/>
                <w:sz w:val="24"/>
              </w:rPr>
            </w:pPr>
            <w:r>
              <w:rPr>
                <w:rFonts w:hint="eastAsia" w:ascii="宋体" w:hAnsi="宋体" w:cs="宋体"/>
                <w:sz w:val="24"/>
              </w:rPr>
              <w:t>2、售后服务方案、应急方案。投标人对本项目的售后服务方案和应急方案，包括但不限于维修响应时间、质保期承诺、安装调试验收安排、突发事件的处理措施、应急预案等进行综合评价：</w:t>
            </w:r>
          </w:p>
          <w:p w14:paraId="03DAA813">
            <w:pPr>
              <w:spacing w:line="360" w:lineRule="auto"/>
              <w:rPr>
                <w:rFonts w:hint="eastAsia" w:ascii="宋体" w:hAnsi="宋体" w:cs="宋体"/>
                <w:sz w:val="24"/>
              </w:rPr>
            </w:pPr>
            <w:r>
              <w:rPr>
                <w:rFonts w:hint="eastAsia" w:ascii="宋体" w:hAnsi="宋体" w:cs="宋体"/>
                <w:sz w:val="24"/>
                <w:szCs w:val="24"/>
              </w:rPr>
              <w:t>（1）售后服务方案完善，针对本项目提出合理、可行的服务方案，突发事件的处理措施和应急预案非常详细切合实际，并能提供</w:t>
            </w:r>
            <w:r>
              <w:rPr>
                <w:rFonts w:hint="eastAsia" w:ascii="宋体" w:hAnsi="宋体" w:eastAsia="宋体"/>
                <w:sz w:val="24"/>
                <w:szCs w:val="24"/>
              </w:rPr>
              <w:t>提供最近2年2种不同树木的生长季的植物原位水势测量曲线对比数据图。</w:t>
            </w:r>
            <w:r>
              <w:rPr>
                <w:rFonts w:hint="eastAsia" w:ascii="宋体" w:hAnsi="宋体" w:cs="宋体"/>
                <w:sz w:val="24"/>
                <w:szCs w:val="24"/>
              </w:rPr>
              <w:t>得6分</w:t>
            </w:r>
            <w:r>
              <w:rPr>
                <w:rFonts w:hint="eastAsia" w:ascii="宋体" w:hAnsi="宋体" w:cs="宋体"/>
                <w:sz w:val="24"/>
              </w:rPr>
              <w:t>；</w:t>
            </w:r>
          </w:p>
          <w:p w14:paraId="4CA716B4">
            <w:pPr>
              <w:spacing w:line="360" w:lineRule="auto"/>
              <w:rPr>
                <w:rFonts w:hint="eastAsia" w:ascii="宋体" w:hAnsi="宋体" w:cs="宋体"/>
                <w:sz w:val="24"/>
              </w:rPr>
            </w:pPr>
            <w:r>
              <w:rPr>
                <w:rFonts w:hint="eastAsia" w:ascii="宋体" w:hAnsi="宋体" w:cs="宋体"/>
                <w:sz w:val="24"/>
              </w:rPr>
              <w:t>（2）售后服务方案较完善，针对本项目突发事件的处理措施和应急预案较详细较切合实际得</w:t>
            </w:r>
            <w:r>
              <w:rPr>
                <w:rFonts w:hint="eastAsia" w:ascii="宋体" w:hAnsi="宋体" w:cs="宋体"/>
                <w:sz w:val="24"/>
                <w:lang w:val="en-US" w:eastAsia="zh-CN"/>
              </w:rPr>
              <w:t>3</w:t>
            </w:r>
            <w:r>
              <w:rPr>
                <w:rFonts w:hint="eastAsia" w:ascii="宋体" w:hAnsi="宋体" w:cs="宋体"/>
                <w:sz w:val="24"/>
              </w:rPr>
              <w:t>分；</w:t>
            </w:r>
          </w:p>
          <w:p w14:paraId="5E8E0AD0">
            <w:pPr>
              <w:spacing w:line="360" w:lineRule="auto"/>
              <w:rPr>
                <w:rFonts w:hint="eastAsia" w:ascii="宋体" w:hAnsi="宋体" w:cs="宋体"/>
                <w:sz w:val="24"/>
              </w:rPr>
            </w:pPr>
            <w:r>
              <w:rPr>
                <w:rFonts w:hint="eastAsia" w:ascii="宋体" w:hAnsi="宋体" w:cs="宋体"/>
                <w:sz w:val="24"/>
              </w:rPr>
              <w:t>（3）售后服务方案不够完善，针对本项目突发事件的处理措施和应急预案不够详细，不够切合实际得</w:t>
            </w:r>
            <w:r>
              <w:rPr>
                <w:rFonts w:hint="eastAsia" w:ascii="宋体" w:hAnsi="宋体" w:cs="宋体"/>
                <w:sz w:val="24"/>
                <w:lang w:val="en-US" w:eastAsia="zh-CN"/>
              </w:rPr>
              <w:t>1</w:t>
            </w:r>
            <w:r>
              <w:rPr>
                <w:rFonts w:hint="eastAsia" w:ascii="宋体" w:hAnsi="宋体" w:cs="宋体"/>
                <w:sz w:val="24"/>
              </w:rPr>
              <w:t>分；</w:t>
            </w:r>
          </w:p>
          <w:p w14:paraId="7E1FD6D4">
            <w:pPr>
              <w:spacing w:line="360" w:lineRule="auto"/>
              <w:jc w:val="left"/>
              <w:rPr>
                <w:rFonts w:hint="eastAsia" w:ascii="宋体" w:hAnsi="宋体"/>
                <w:sz w:val="24"/>
              </w:rPr>
            </w:pPr>
            <w:r>
              <w:rPr>
                <w:rFonts w:hint="eastAsia" w:ascii="宋体" w:hAnsi="宋体" w:cs="宋体"/>
                <w:sz w:val="24"/>
              </w:rPr>
              <w:t>（4）未提供方案或提供了但是完全脱离实际，0</w:t>
            </w:r>
            <w:r>
              <w:rPr>
                <w:rFonts w:hint="eastAsia" w:ascii="宋体" w:hAnsi="宋体" w:cs="宋体"/>
                <w:spacing w:val="-59"/>
                <w:sz w:val="24"/>
              </w:rPr>
              <w:t xml:space="preserve"> </w:t>
            </w:r>
            <w:r>
              <w:rPr>
                <w:rFonts w:hint="eastAsia" w:ascii="宋体" w:hAnsi="宋体" w:cs="宋体"/>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7D7E3B98">
            <w:pPr>
              <w:snapToGrid w:val="0"/>
              <w:spacing w:line="360" w:lineRule="auto"/>
              <w:ind w:left="-3" w:leftChars="0"/>
              <w:jc w:val="center"/>
              <w:rPr>
                <w:rFonts w:hint="eastAsia" w:ascii="宋体" w:hAnsi="宋体" w:eastAsia="宋体"/>
                <w:sz w:val="24"/>
                <w:lang w:eastAsia="zh-CN"/>
              </w:rPr>
            </w:pPr>
            <w:r>
              <w:rPr>
                <w:rFonts w:hint="eastAsia" w:ascii="宋体" w:hAnsi="宋体" w:cs="宋体"/>
                <w:sz w:val="24"/>
              </w:rPr>
              <w:t>6</w:t>
            </w:r>
          </w:p>
        </w:tc>
      </w:tr>
      <w:tr w14:paraId="313BE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792" w:type="pct"/>
            <w:vMerge w:val="continue"/>
            <w:tcBorders>
              <w:left w:val="single" w:color="auto" w:sz="4" w:space="0"/>
              <w:bottom w:val="single" w:color="auto" w:sz="4" w:space="0"/>
              <w:right w:val="single" w:color="auto" w:sz="4" w:space="0"/>
            </w:tcBorders>
            <w:vAlign w:val="center"/>
          </w:tcPr>
          <w:p w14:paraId="076566FC">
            <w:pPr>
              <w:widowControl/>
              <w:spacing w:line="360" w:lineRule="auto"/>
              <w:jc w:val="center"/>
              <w:rPr>
                <w:rFonts w:hint="eastAsia" w:ascii="宋体" w:hAnsi="宋体"/>
                <w:sz w:val="24"/>
              </w:rPr>
            </w:pPr>
          </w:p>
        </w:tc>
        <w:tc>
          <w:tcPr>
            <w:tcW w:w="3569" w:type="pct"/>
            <w:tcBorders>
              <w:top w:val="single" w:color="auto" w:sz="4" w:space="0"/>
              <w:left w:val="single" w:color="auto" w:sz="4" w:space="0"/>
              <w:bottom w:val="single" w:color="auto" w:sz="4" w:space="0"/>
              <w:right w:val="single" w:color="auto" w:sz="4" w:space="0"/>
            </w:tcBorders>
            <w:vAlign w:val="center"/>
          </w:tcPr>
          <w:p w14:paraId="5C1DA634">
            <w:pPr>
              <w:snapToGrid w:val="0"/>
              <w:spacing w:line="360" w:lineRule="auto"/>
              <w:rPr>
                <w:rFonts w:hint="eastAsia" w:ascii="宋体" w:hAnsi="宋体" w:cs="宋体"/>
                <w:sz w:val="24"/>
              </w:rPr>
            </w:pPr>
            <w:r>
              <w:rPr>
                <w:rFonts w:hint="eastAsia" w:ascii="宋体" w:hAnsi="宋体" w:cs="宋体"/>
                <w:sz w:val="24"/>
              </w:rPr>
              <w:t>3、培训方案，包括具体培训计划、具体安排、时间规划、培训内容及培训效果评价、培训质量保证等进行综合评价：</w:t>
            </w:r>
          </w:p>
          <w:p w14:paraId="5E25FBFC">
            <w:pPr>
              <w:snapToGrid w:val="0"/>
              <w:spacing w:line="360" w:lineRule="auto"/>
              <w:rPr>
                <w:rFonts w:hint="eastAsia" w:ascii="宋体" w:hAnsi="宋体" w:cs="宋体"/>
                <w:sz w:val="24"/>
              </w:rPr>
            </w:pPr>
            <w:r>
              <w:rPr>
                <w:rFonts w:hint="eastAsia" w:ascii="宋体" w:hAnsi="宋体" w:cs="宋体"/>
                <w:sz w:val="24"/>
              </w:rPr>
              <w:t>（1）方案全面、具体，可行性强，并提供</w:t>
            </w:r>
            <w:r>
              <w:rPr>
                <w:rFonts w:hint="eastAsia" w:ascii="宋体" w:hAnsi="宋体" w:eastAsia="宋体"/>
                <w:sz w:val="24"/>
                <w:szCs w:val="24"/>
              </w:rPr>
              <w:t>和植物树干水分传感器针对不同树木品目的标定方法</w:t>
            </w:r>
            <w:r>
              <w:rPr>
                <w:rFonts w:hint="eastAsia" w:ascii="宋体" w:hAnsi="宋体" w:cs="宋体"/>
                <w:sz w:val="24"/>
              </w:rPr>
              <w:t>得6分；</w:t>
            </w:r>
          </w:p>
          <w:p w14:paraId="327EB420">
            <w:pPr>
              <w:snapToGrid w:val="0"/>
              <w:spacing w:line="360" w:lineRule="auto"/>
              <w:rPr>
                <w:rFonts w:hint="eastAsia" w:ascii="宋体" w:hAnsi="宋体" w:cs="宋体"/>
                <w:sz w:val="24"/>
              </w:rPr>
            </w:pPr>
            <w:r>
              <w:rPr>
                <w:rFonts w:hint="eastAsia" w:ascii="宋体" w:hAnsi="宋体" w:cs="宋体"/>
                <w:sz w:val="24"/>
              </w:rPr>
              <w:t>（2）方案比较全面、具体，可行性较强得</w:t>
            </w:r>
            <w:r>
              <w:rPr>
                <w:rFonts w:hint="eastAsia" w:ascii="宋体" w:hAnsi="宋体" w:cs="宋体"/>
                <w:sz w:val="24"/>
                <w:lang w:val="en-US" w:eastAsia="zh-CN"/>
              </w:rPr>
              <w:t>3</w:t>
            </w:r>
            <w:r>
              <w:rPr>
                <w:rFonts w:hint="eastAsia" w:ascii="宋体" w:hAnsi="宋体" w:cs="宋体"/>
                <w:sz w:val="24"/>
              </w:rPr>
              <w:t>分；</w:t>
            </w:r>
          </w:p>
          <w:p w14:paraId="4A319E84">
            <w:pPr>
              <w:snapToGrid w:val="0"/>
              <w:spacing w:line="360" w:lineRule="auto"/>
              <w:rPr>
                <w:rFonts w:hint="eastAsia" w:ascii="宋体" w:hAnsi="宋体" w:cs="宋体"/>
                <w:sz w:val="24"/>
              </w:rPr>
            </w:pPr>
            <w:r>
              <w:rPr>
                <w:rFonts w:hint="eastAsia" w:ascii="宋体" w:hAnsi="宋体" w:cs="宋体"/>
                <w:sz w:val="24"/>
              </w:rPr>
              <w:t>（3）方案不全面，不具体，可行性一般得</w:t>
            </w:r>
            <w:r>
              <w:rPr>
                <w:rFonts w:hint="eastAsia" w:ascii="宋体" w:hAnsi="宋体" w:cs="宋体"/>
                <w:sz w:val="24"/>
                <w:lang w:val="en-US" w:eastAsia="zh-CN"/>
              </w:rPr>
              <w:t>1</w:t>
            </w:r>
            <w:r>
              <w:rPr>
                <w:rFonts w:hint="eastAsia" w:ascii="宋体" w:hAnsi="宋体" w:cs="宋体"/>
                <w:sz w:val="24"/>
              </w:rPr>
              <w:t xml:space="preserve">分； </w:t>
            </w:r>
          </w:p>
          <w:p w14:paraId="3DC15A61">
            <w:pPr>
              <w:spacing w:line="360" w:lineRule="auto"/>
              <w:jc w:val="left"/>
              <w:rPr>
                <w:rFonts w:hint="eastAsia" w:ascii="宋体" w:hAnsi="宋体"/>
                <w:sz w:val="24"/>
              </w:rPr>
            </w:pPr>
            <w:r>
              <w:rPr>
                <w:rFonts w:hint="eastAsia" w:ascii="宋体" w:hAnsi="宋体" w:cs="宋体"/>
                <w:sz w:val="24"/>
              </w:rPr>
              <w:t>（4）未提供方案或提供了但是完全脱离实际，0</w:t>
            </w:r>
            <w:r>
              <w:rPr>
                <w:rFonts w:hint="eastAsia" w:ascii="宋体" w:hAnsi="宋体" w:cs="宋体"/>
                <w:spacing w:val="-59"/>
                <w:sz w:val="24"/>
              </w:rPr>
              <w:t xml:space="preserve"> </w:t>
            </w:r>
            <w:r>
              <w:rPr>
                <w:rFonts w:hint="eastAsia" w:ascii="宋体" w:hAnsi="宋体" w:cs="宋体"/>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184F31F3">
            <w:pPr>
              <w:snapToGrid w:val="0"/>
              <w:spacing w:line="360" w:lineRule="auto"/>
              <w:ind w:left="-3" w:leftChars="0"/>
              <w:jc w:val="center"/>
              <w:rPr>
                <w:rFonts w:hint="eastAsia" w:ascii="宋体" w:hAnsi="宋体" w:eastAsia="宋体"/>
                <w:sz w:val="24"/>
                <w:lang w:eastAsia="zh-CN"/>
              </w:rPr>
            </w:pPr>
            <w:r>
              <w:rPr>
                <w:rFonts w:hint="eastAsia" w:ascii="宋体" w:hAnsi="宋体" w:cs="宋体"/>
                <w:sz w:val="24"/>
              </w:rPr>
              <w:t>6</w:t>
            </w:r>
          </w:p>
        </w:tc>
      </w:tr>
      <w:tr w14:paraId="2C592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92" w:type="pct"/>
            <w:tcBorders>
              <w:top w:val="single" w:color="auto" w:sz="4" w:space="0"/>
              <w:left w:val="single" w:color="auto" w:sz="4" w:space="0"/>
              <w:bottom w:val="single" w:color="auto" w:sz="4" w:space="0"/>
              <w:right w:val="single" w:color="auto" w:sz="4" w:space="0"/>
            </w:tcBorders>
            <w:vAlign w:val="center"/>
          </w:tcPr>
          <w:p w14:paraId="63507848">
            <w:pPr>
              <w:widowControl/>
              <w:spacing w:line="360" w:lineRule="auto"/>
              <w:jc w:val="center"/>
              <w:rPr>
                <w:rFonts w:hint="eastAsia" w:ascii="宋体" w:hAnsi="宋体"/>
                <w:sz w:val="24"/>
              </w:rPr>
            </w:pPr>
            <w:r>
              <w:rPr>
                <w:rFonts w:ascii="宋体" w:hAnsi="宋体"/>
                <w:sz w:val="24"/>
              </w:rPr>
              <w:t>其他</w:t>
            </w:r>
          </w:p>
          <w:p w14:paraId="21235912">
            <w:pPr>
              <w:widowControl/>
              <w:spacing w:line="360" w:lineRule="auto"/>
              <w:jc w:val="center"/>
              <w:rPr>
                <w:rFonts w:hint="eastAsia" w:ascii="宋体" w:hAnsi="宋体"/>
                <w:sz w:val="24"/>
              </w:rPr>
            </w:pPr>
            <w:r>
              <w:rPr>
                <w:rFonts w:ascii="宋体" w:hAnsi="宋体"/>
                <w:sz w:val="24"/>
              </w:rPr>
              <w:t>(</w:t>
            </w:r>
            <w:r>
              <w:rPr>
                <w:rFonts w:hint="eastAsia" w:ascii="宋体" w:hAnsi="宋体"/>
                <w:sz w:val="24"/>
                <w:lang w:val="en-US" w:eastAsia="zh-CN"/>
              </w:rPr>
              <w:t>1</w:t>
            </w:r>
            <w:r>
              <w:rPr>
                <w:rFonts w:ascii="宋体" w:hAnsi="宋体"/>
                <w:sz w:val="24"/>
              </w:rPr>
              <w:t>分)</w:t>
            </w:r>
          </w:p>
        </w:tc>
        <w:tc>
          <w:tcPr>
            <w:tcW w:w="3569" w:type="pct"/>
            <w:tcBorders>
              <w:top w:val="single" w:color="auto" w:sz="4" w:space="0"/>
              <w:left w:val="single" w:color="auto" w:sz="4" w:space="0"/>
              <w:bottom w:val="single" w:color="auto" w:sz="4" w:space="0"/>
              <w:right w:val="single" w:color="auto" w:sz="4" w:space="0"/>
            </w:tcBorders>
            <w:vAlign w:val="center"/>
          </w:tcPr>
          <w:p w14:paraId="641CC521">
            <w:pPr>
              <w:snapToGrid w:val="0"/>
              <w:spacing w:line="360" w:lineRule="auto"/>
              <w:rPr>
                <w:rFonts w:hint="eastAsia" w:ascii="宋体" w:hAnsi="宋体"/>
                <w:sz w:val="24"/>
              </w:rPr>
            </w:pPr>
            <w:r>
              <w:rPr>
                <w:rFonts w:ascii="宋体" w:hAnsi="宋体"/>
                <w:sz w:val="24"/>
              </w:rPr>
              <w:t>供应商所投产品获得相关节能、环保产品认证情况：</w:t>
            </w:r>
          </w:p>
          <w:p w14:paraId="3EC368AB">
            <w:pPr>
              <w:snapToGrid w:val="0"/>
              <w:spacing w:line="360" w:lineRule="auto"/>
              <w:rPr>
                <w:rFonts w:hint="eastAsia" w:ascii="宋体" w:hAnsi="宋体"/>
                <w:sz w:val="24"/>
              </w:rPr>
            </w:pPr>
            <w:r>
              <w:rPr>
                <w:rFonts w:ascii="宋体" w:hAnsi="宋体"/>
                <w:sz w:val="24"/>
              </w:rPr>
              <w:t>（1）节能产品：投标产品属于财政部和国家发改委最新公布的节能产品政府采购品目清单的，需提供市场监管总局发布参与实施政府采购节能产品、环境标志产品认证机构出具的认证证书复印件并加盖公章，且在有效截止日期内，得</w:t>
            </w:r>
            <w:r>
              <w:rPr>
                <w:rFonts w:hint="eastAsia" w:ascii="宋体" w:hAnsi="宋体"/>
                <w:sz w:val="24"/>
                <w:lang w:val="en-US" w:eastAsia="zh-CN"/>
              </w:rPr>
              <w:t>0.5</w:t>
            </w:r>
            <w:r>
              <w:rPr>
                <w:rFonts w:ascii="宋体" w:hAnsi="宋体"/>
                <w:sz w:val="24"/>
              </w:rPr>
              <w:t>分；否则0分。</w:t>
            </w:r>
          </w:p>
          <w:p w14:paraId="69932E40">
            <w:pPr>
              <w:snapToGrid w:val="0"/>
              <w:spacing w:line="360" w:lineRule="auto"/>
              <w:rPr>
                <w:rFonts w:hint="eastAsia" w:ascii="宋体" w:hAnsi="宋体"/>
                <w:sz w:val="24"/>
              </w:rPr>
            </w:pPr>
            <w:r>
              <w:rPr>
                <w:rFonts w:ascii="宋体" w:hAnsi="宋体"/>
                <w:sz w:val="24"/>
              </w:rPr>
              <w:t>（2）环境标志产品：投标产品属于财政部和生态环境部最新公布的环境标志产品政府采购品目清单的，供应商需提供市场监管总局发布参与实施政府采购节能产品、环境标志产品认证机构出具的认证证书复印件并加盖公章，且在有效截止日期内，得</w:t>
            </w:r>
            <w:r>
              <w:rPr>
                <w:rFonts w:hint="eastAsia" w:ascii="宋体" w:hAnsi="宋体"/>
                <w:sz w:val="24"/>
                <w:lang w:val="en-US" w:eastAsia="zh-CN"/>
              </w:rPr>
              <w:t>0.5</w:t>
            </w:r>
            <w:r>
              <w:rPr>
                <w:rFonts w:ascii="宋体" w:hAnsi="宋体"/>
                <w:sz w:val="24"/>
              </w:rPr>
              <w:t>分；否则0分。</w:t>
            </w:r>
          </w:p>
        </w:tc>
        <w:tc>
          <w:tcPr>
            <w:tcW w:w="637" w:type="pct"/>
            <w:tcBorders>
              <w:top w:val="single" w:color="auto" w:sz="4" w:space="0"/>
              <w:left w:val="single" w:color="auto" w:sz="4" w:space="0"/>
              <w:bottom w:val="single" w:color="auto" w:sz="4" w:space="0"/>
              <w:right w:val="single" w:color="auto" w:sz="4" w:space="0"/>
            </w:tcBorders>
            <w:vAlign w:val="center"/>
          </w:tcPr>
          <w:p w14:paraId="4E624E0D">
            <w:pPr>
              <w:snapToGrid w:val="0"/>
              <w:spacing w:line="360" w:lineRule="auto"/>
              <w:jc w:val="center"/>
              <w:rPr>
                <w:rFonts w:hint="eastAsia" w:ascii="宋体" w:hAnsi="宋体" w:eastAsia="宋体"/>
                <w:sz w:val="24"/>
                <w:lang w:eastAsia="zh-CN"/>
              </w:rPr>
            </w:pPr>
            <w:r>
              <w:rPr>
                <w:rFonts w:hint="eastAsia" w:ascii="宋体" w:hAnsi="宋体"/>
                <w:sz w:val="24"/>
                <w:lang w:val="en-US" w:eastAsia="zh-CN"/>
              </w:rPr>
              <w:t>1</w:t>
            </w:r>
          </w:p>
        </w:tc>
      </w:tr>
    </w:tbl>
    <w:p w14:paraId="63EC6EFC">
      <w:pPr>
        <w:spacing w:line="360" w:lineRule="auto"/>
        <w:rPr>
          <w:rFonts w:hint="eastAsia" w:ascii="宋体" w:hAnsi="宋体" w:cs="宋体"/>
          <w:b/>
          <w:sz w:val="24"/>
        </w:rPr>
      </w:pPr>
    </w:p>
    <w:p w14:paraId="17D4547D">
      <w:pPr>
        <w:spacing w:line="360" w:lineRule="auto"/>
        <w:jc w:val="center"/>
        <w:outlineLvl w:val="1"/>
        <w:rPr>
          <w:rFonts w:hint="eastAsia" w:ascii="宋体" w:hAnsi="宋体" w:cs="宋体"/>
          <w:b/>
          <w:sz w:val="28"/>
          <w:szCs w:val="28"/>
        </w:rPr>
      </w:pPr>
      <w:r>
        <w:rPr>
          <w:rFonts w:hint="eastAsia" w:ascii="宋体" w:hAnsi="宋体" w:cs="宋体"/>
          <w:b/>
          <w:sz w:val="28"/>
          <w:szCs w:val="28"/>
        </w:rPr>
        <w:t>第二包  超高分辨率光谱仪</w:t>
      </w:r>
    </w:p>
    <w:tbl>
      <w:tblPr>
        <w:tblStyle w:val="37"/>
        <w:tblW w:w="47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4"/>
        <w:gridCol w:w="6201"/>
        <w:gridCol w:w="1106"/>
      </w:tblGrid>
      <w:tr w14:paraId="32679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91" w:type="pct"/>
            <w:tcBorders>
              <w:top w:val="single" w:color="auto" w:sz="4" w:space="0"/>
              <w:left w:val="single" w:color="auto" w:sz="4" w:space="0"/>
              <w:bottom w:val="single" w:color="auto" w:sz="4" w:space="0"/>
              <w:right w:val="single" w:color="auto" w:sz="4" w:space="0"/>
            </w:tcBorders>
            <w:vAlign w:val="center"/>
          </w:tcPr>
          <w:p w14:paraId="2047ED8A">
            <w:pPr>
              <w:snapToGrid w:val="0"/>
              <w:spacing w:line="360" w:lineRule="auto"/>
              <w:jc w:val="center"/>
              <w:rPr>
                <w:rFonts w:hint="eastAsia" w:ascii="宋体" w:hAnsi="宋体"/>
                <w:b/>
                <w:sz w:val="24"/>
              </w:rPr>
            </w:pPr>
            <w:r>
              <w:rPr>
                <w:rFonts w:ascii="宋体" w:hAnsi="宋体"/>
                <w:b/>
                <w:sz w:val="24"/>
              </w:rPr>
              <w:t>评分项目</w:t>
            </w:r>
          </w:p>
        </w:tc>
        <w:tc>
          <w:tcPr>
            <w:tcW w:w="3571" w:type="pct"/>
            <w:tcBorders>
              <w:top w:val="single" w:color="auto" w:sz="4" w:space="0"/>
              <w:left w:val="single" w:color="auto" w:sz="4" w:space="0"/>
              <w:bottom w:val="single" w:color="auto" w:sz="4" w:space="0"/>
              <w:right w:val="single" w:color="auto" w:sz="4" w:space="0"/>
            </w:tcBorders>
            <w:vAlign w:val="center"/>
          </w:tcPr>
          <w:p w14:paraId="6E053706">
            <w:pPr>
              <w:spacing w:line="360" w:lineRule="auto"/>
              <w:jc w:val="center"/>
              <w:rPr>
                <w:rFonts w:hint="eastAsia" w:ascii="宋体" w:hAnsi="宋体"/>
                <w:b/>
                <w:sz w:val="24"/>
              </w:rPr>
            </w:pPr>
            <w:r>
              <w:rPr>
                <w:rFonts w:ascii="宋体" w:hAnsi="宋体"/>
                <w:b/>
                <w:sz w:val="24"/>
              </w:rPr>
              <w:t>评分细则</w:t>
            </w:r>
          </w:p>
        </w:tc>
        <w:tc>
          <w:tcPr>
            <w:tcW w:w="637" w:type="pct"/>
            <w:tcBorders>
              <w:top w:val="single" w:color="auto" w:sz="4" w:space="0"/>
              <w:left w:val="single" w:color="auto" w:sz="4" w:space="0"/>
              <w:bottom w:val="single" w:color="auto" w:sz="4" w:space="0"/>
              <w:right w:val="single" w:color="auto" w:sz="4" w:space="0"/>
            </w:tcBorders>
            <w:vAlign w:val="center"/>
          </w:tcPr>
          <w:p w14:paraId="00E5150B">
            <w:pPr>
              <w:spacing w:line="360" w:lineRule="auto"/>
              <w:jc w:val="center"/>
              <w:rPr>
                <w:rFonts w:hint="eastAsia" w:ascii="宋体" w:hAnsi="宋体"/>
                <w:b/>
                <w:sz w:val="24"/>
              </w:rPr>
            </w:pPr>
            <w:r>
              <w:rPr>
                <w:rFonts w:ascii="宋体" w:hAnsi="宋体"/>
                <w:b/>
                <w:sz w:val="24"/>
              </w:rPr>
              <w:t>分值</w:t>
            </w:r>
          </w:p>
        </w:tc>
      </w:tr>
      <w:tr w14:paraId="7D53C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trPr>
        <w:tc>
          <w:tcPr>
            <w:tcW w:w="791" w:type="pct"/>
            <w:tcBorders>
              <w:top w:val="single" w:color="auto" w:sz="4" w:space="0"/>
              <w:left w:val="single" w:color="auto" w:sz="4" w:space="0"/>
              <w:bottom w:val="single" w:color="auto" w:sz="4" w:space="0"/>
              <w:right w:val="single" w:color="auto" w:sz="4" w:space="0"/>
            </w:tcBorders>
            <w:vAlign w:val="center"/>
          </w:tcPr>
          <w:p w14:paraId="5BF47462">
            <w:pPr>
              <w:snapToGrid w:val="0"/>
              <w:spacing w:line="360" w:lineRule="auto"/>
              <w:jc w:val="center"/>
              <w:rPr>
                <w:rFonts w:hint="eastAsia" w:ascii="宋体" w:hAnsi="宋体"/>
                <w:sz w:val="24"/>
              </w:rPr>
            </w:pPr>
            <w:r>
              <w:rPr>
                <w:rFonts w:ascii="宋体" w:hAnsi="宋体"/>
                <w:sz w:val="24"/>
              </w:rPr>
              <w:t>价格</w:t>
            </w:r>
          </w:p>
          <w:p w14:paraId="7689CFE1">
            <w:pPr>
              <w:snapToGrid w:val="0"/>
              <w:spacing w:line="360" w:lineRule="auto"/>
              <w:jc w:val="center"/>
              <w:rPr>
                <w:rFonts w:hint="eastAsia" w:ascii="宋体" w:hAnsi="宋体"/>
                <w:sz w:val="24"/>
              </w:rPr>
            </w:pPr>
            <w:r>
              <w:rPr>
                <w:rFonts w:ascii="宋体" w:hAnsi="宋体"/>
                <w:sz w:val="24"/>
              </w:rPr>
              <w:t>部分</w:t>
            </w:r>
          </w:p>
          <w:p w14:paraId="0C07B556">
            <w:pPr>
              <w:snapToGrid w:val="0"/>
              <w:spacing w:line="360" w:lineRule="auto"/>
              <w:jc w:val="center"/>
              <w:rPr>
                <w:rFonts w:hint="eastAsia" w:ascii="宋体" w:hAnsi="宋体"/>
                <w:sz w:val="24"/>
              </w:rPr>
            </w:pPr>
            <w:r>
              <w:rPr>
                <w:rFonts w:ascii="宋体" w:hAnsi="宋体"/>
                <w:sz w:val="24"/>
              </w:rPr>
              <w:t>（30分）</w:t>
            </w:r>
          </w:p>
        </w:tc>
        <w:tc>
          <w:tcPr>
            <w:tcW w:w="3571" w:type="pct"/>
            <w:tcBorders>
              <w:top w:val="single" w:color="auto" w:sz="4" w:space="0"/>
              <w:left w:val="single" w:color="auto" w:sz="4" w:space="0"/>
              <w:bottom w:val="single" w:color="auto" w:sz="4" w:space="0"/>
              <w:right w:val="single" w:color="auto" w:sz="4" w:space="0"/>
            </w:tcBorders>
            <w:vAlign w:val="center"/>
          </w:tcPr>
          <w:p w14:paraId="514C5ED9">
            <w:pPr>
              <w:spacing w:line="360" w:lineRule="auto"/>
              <w:rPr>
                <w:rFonts w:hint="eastAsia" w:ascii="宋体" w:hAnsi="宋体"/>
                <w:sz w:val="24"/>
              </w:rPr>
            </w:pPr>
            <w:r>
              <w:rPr>
                <w:rFonts w:ascii="宋体" w:hAnsi="宋体"/>
                <w:sz w:val="24"/>
              </w:rPr>
              <w:t xml:space="preserve">   </w:t>
            </w:r>
            <w:r>
              <w:rPr>
                <w:rFonts w:hint="eastAsia" w:ascii="宋体" w:hAnsi="宋体"/>
                <w:sz w:val="24"/>
              </w:rPr>
              <w:t>根据《政府采购货物和服务招标投标管理办法》（财政部令第87号）的规定，本次价格评分统一采用低价优先法计算，即满足招标文件要求且投标价格最低的投标报价为评标基准价，其价格分为满分。其他供应商的价格评分统一按照下列公式计算：</w:t>
            </w:r>
          </w:p>
          <w:p w14:paraId="1A6994EA">
            <w:pPr>
              <w:spacing w:line="360" w:lineRule="auto"/>
              <w:ind w:firstLine="405"/>
              <w:rPr>
                <w:rFonts w:hint="eastAsia" w:ascii="宋体" w:hAnsi="宋体"/>
                <w:sz w:val="24"/>
              </w:rPr>
            </w:pPr>
            <w:r>
              <w:rPr>
                <w:rFonts w:hint="eastAsia" w:ascii="宋体" w:hAnsi="宋体"/>
                <w:sz w:val="24"/>
              </w:rPr>
              <w:t>价格评分 =（评标基准价/投标报价）×30</w:t>
            </w:r>
          </w:p>
        </w:tc>
        <w:tc>
          <w:tcPr>
            <w:tcW w:w="637" w:type="pct"/>
            <w:tcBorders>
              <w:top w:val="single" w:color="auto" w:sz="4" w:space="0"/>
              <w:left w:val="single" w:color="auto" w:sz="4" w:space="0"/>
              <w:bottom w:val="single" w:color="auto" w:sz="4" w:space="0"/>
              <w:right w:val="single" w:color="auto" w:sz="4" w:space="0"/>
            </w:tcBorders>
            <w:vAlign w:val="center"/>
          </w:tcPr>
          <w:p w14:paraId="4E0E2798">
            <w:pPr>
              <w:spacing w:line="360" w:lineRule="auto"/>
              <w:jc w:val="center"/>
              <w:rPr>
                <w:rFonts w:hint="eastAsia" w:ascii="宋体" w:hAnsi="宋体"/>
                <w:sz w:val="24"/>
              </w:rPr>
            </w:pPr>
            <w:r>
              <w:rPr>
                <w:rFonts w:hint="eastAsia" w:ascii="宋体" w:hAnsi="宋体"/>
                <w:sz w:val="24"/>
              </w:rPr>
              <w:t>30</w:t>
            </w:r>
          </w:p>
        </w:tc>
      </w:tr>
      <w:tr w14:paraId="05959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791" w:type="pct"/>
            <w:vMerge w:val="restart"/>
            <w:tcBorders>
              <w:left w:val="single" w:color="auto" w:sz="4" w:space="0"/>
              <w:right w:val="single" w:color="auto" w:sz="4" w:space="0"/>
            </w:tcBorders>
            <w:vAlign w:val="center"/>
          </w:tcPr>
          <w:p w14:paraId="3FF6C568">
            <w:pPr>
              <w:snapToGrid w:val="0"/>
              <w:spacing w:line="360" w:lineRule="auto"/>
              <w:jc w:val="center"/>
              <w:rPr>
                <w:rFonts w:hint="eastAsia" w:ascii="宋体" w:hAnsi="宋体" w:cs="宋体"/>
                <w:sz w:val="24"/>
              </w:rPr>
            </w:pPr>
            <w:r>
              <w:rPr>
                <w:rFonts w:hint="eastAsia" w:ascii="宋体" w:hAnsi="宋体" w:cs="宋体"/>
                <w:sz w:val="24"/>
              </w:rPr>
              <w:t>商务</w:t>
            </w:r>
          </w:p>
          <w:p w14:paraId="4282A263">
            <w:pPr>
              <w:snapToGrid w:val="0"/>
              <w:spacing w:line="360" w:lineRule="auto"/>
              <w:jc w:val="center"/>
              <w:rPr>
                <w:rFonts w:hint="eastAsia" w:ascii="宋体" w:hAnsi="宋体" w:cs="宋体"/>
                <w:sz w:val="24"/>
              </w:rPr>
            </w:pPr>
            <w:r>
              <w:rPr>
                <w:rFonts w:hint="eastAsia" w:ascii="宋体" w:hAnsi="宋体" w:cs="宋体"/>
                <w:sz w:val="24"/>
              </w:rPr>
              <w:t>部分</w:t>
            </w:r>
          </w:p>
          <w:p w14:paraId="5DBC214A">
            <w:pPr>
              <w:snapToGrid w:val="0"/>
              <w:spacing w:line="360" w:lineRule="auto"/>
              <w:jc w:val="center"/>
              <w:rPr>
                <w:rFonts w:hint="eastAsia" w:ascii="宋体" w:hAnsi="宋体"/>
                <w:sz w:val="24"/>
              </w:rPr>
            </w:pP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分）</w:t>
            </w:r>
          </w:p>
        </w:tc>
        <w:tc>
          <w:tcPr>
            <w:tcW w:w="3571" w:type="pct"/>
            <w:tcBorders>
              <w:top w:val="single" w:color="auto" w:sz="4" w:space="0"/>
              <w:left w:val="single" w:color="auto" w:sz="4" w:space="0"/>
              <w:bottom w:val="single" w:color="auto" w:sz="4" w:space="0"/>
              <w:right w:val="single" w:color="auto" w:sz="4" w:space="0"/>
            </w:tcBorders>
            <w:vAlign w:val="center"/>
          </w:tcPr>
          <w:p w14:paraId="2F817555">
            <w:pPr>
              <w:spacing w:line="360" w:lineRule="auto"/>
              <w:rPr>
                <w:sz w:val="24"/>
              </w:rPr>
            </w:pPr>
            <w:r>
              <w:rPr>
                <w:rFonts w:hint="eastAsia" w:ascii="宋体" w:hAnsi="宋体"/>
                <w:sz w:val="24"/>
              </w:rPr>
              <w:t>1、商务条款应答响应情况</w:t>
            </w:r>
            <w:r>
              <w:rPr>
                <w:sz w:val="24"/>
              </w:rPr>
              <w:t>：</w:t>
            </w:r>
          </w:p>
          <w:p w14:paraId="303C2EC4">
            <w:pPr>
              <w:spacing w:line="360" w:lineRule="auto"/>
              <w:rPr>
                <w:rFonts w:hint="eastAsia" w:ascii="宋体" w:hAnsi="宋体"/>
                <w:sz w:val="24"/>
              </w:rPr>
            </w:pPr>
            <w:r>
              <w:rPr>
                <w:rFonts w:hint="eastAsia" w:ascii="宋体" w:hAnsi="宋体"/>
                <w:sz w:val="24"/>
              </w:rPr>
              <w:t>标记为“★”的是关键商务条款，正偏离不加分，如不满足其投标予以拒绝。</w:t>
            </w:r>
          </w:p>
          <w:p w14:paraId="1401624C">
            <w:pPr>
              <w:spacing w:line="360" w:lineRule="auto"/>
              <w:rPr>
                <w:rFonts w:hint="eastAsia" w:ascii="宋体" w:hAnsi="宋体"/>
                <w:sz w:val="24"/>
              </w:rPr>
            </w:pPr>
            <w:r>
              <w:rPr>
                <w:rFonts w:hint="eastAsia" w:ascii="宋体" w:hAnsi="宋体"/>
                <w:sz w:val="24"/>
              </w:rPr>
              <w:t>其他非“★”的商务条款：应答有负偏离得0分，应答全部无偏离得</w:t>
            </w:r>
            <w:r>
              <w:rPr>
                <w:rFonts w:ascii="宋体" w:hAnsi="宋体"/>
                <w:sz w:val="24"/>
              </w:rPr>
              <w:t>1</w:t>
            </w:r>
            <w:r>
              <w:rPr>
                <w:rFonts w:hint="eastAsia" w:ascii="宋体" w:hAnsi="宋体"/>
                <w:sz w:val="24"/>
              </w:rPr>
              <w:t>分，应答有正偏离得</w:t>
            </w:r>
            <w:r>
              <w:rPr>
                <w:rFonts w:ascii="宋体" w:hAnsi="宋体"/>
                <w:sz w:val="24"/>
              </w:rPr>
              <w:t>2</w:t>
            </w:r>
            <w:r>
              <w:rPr>
                <w:rFonts w:hint="eastAsia" w:ascii="宋体" w:hAnsi="宋体"/>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15E374A3">
            <w:pPr>
              <w:spacing w:line="360" w:lineRule="auto"/>
              <w:jc w:val="center"/>
              <w:rPr>
                <w:rFonts w:hint="eastAsia" w:ascii="宋体" w:hAnsi="宋体"/>
                <w:sz w:val="24"/>
              </w:rPr>
            </w:pPr>
            <w:r>
              <w:rPr>
                <w:rFonts w:hint="eastAsia" w:ascii="宋体" w:hAnsi="宋体"/>
                <w:sz w:val="24"/>
              </w:rPr>
              <w:t>2</w:t>
            </w:r>
          </w:p>
        </w:tc>
      </w:tr>
      <w:tr w14:paraId="1B15E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791" w:type="pct"/>
            <w:vMerge w:val="continue"/>
            <w:tcBorders>
              <w:left w:val="single" w:color="auto" w:sz="4" w:space="0"/>
              <w:right w:val="single" w:color="auto" w:sz="4" w:space="0"/>
            </w:tcBorders>
            <w:vAlign w:val="center"/>
          </w:tcPr>
          <w:p w14:paraId="1150E86F">
            <w:pPr>
              <w:snapToGrid w:val="0"/>
              <w:spacing w:line="360" w:lineRule="auto"/>
              <w:jc w:val="center"/>
              <w:rPr>
                <w:rFonts w:hint="eastAsia" w:ascii="宋体" w:hAnsi="宋体"/>
                <w:sz w:val="24"/>
              </w:rPr>
            </w:pPr>
          </w:p>
        </w:tc>
        <w:tc>
          <w:tcPr>
            <w:tcW w:w="3571" w:type="pct"/>
            <w:tcBorders>
              <w:top w:val="single" w:color="auto" w:sz="4" w:space="0"/>
              <w:left w:val="single" w:color="auto" w:sz="4" w:space="0"/>
              <w:bottom w:val="single" w:color="auto" w:sz="4" w:space="0"/>
              <w:right w:val="single" w:color="auto" w:sz="4" w:space="0"/>
            </w:tcBorders>
            <w:vAlign w:val="center"/>
          </w:tcPr>
          <w:p w14:paraId="263E1DA6">
            <w:pPr>
              <w:spacing w:line="360" w:lineRule="auto"/>
              <w:rPr>
                <w:rFonts w:hint="eastAsia" w:asciiTheme="minorEastAsia" w:hAnsiTheme="minorEastAsia" w:eastAsiaTheme="minorEastAsia" w:cstheme="minorEastAsia"/>
                <w:sz w:val="24"/>
              </w:rPr>
            </w:pPr>
            <w:r>
              <w:rPr>
                <w:rFonts w:hint="eastAsia" w:ascii="宋体" w:hAnsi="宋体" w:cs="宋体"/>
                <w:sz w:val="24"/>
              </w:rPr>
              <w:t>2、提供投标人高分辨率地物光谱仪业绩【（每提供一个业绩在2023年7月1日至投标截止日的相同产品项目合同案例加1分，最高不超过3分，案例以提供的合同时间为准，要求必须提供签订的合同首页、合同金额所在页、签字盖章页复印件作为证明）】</w:t>
            </w:r>
          </w:p>
        </w:tc>
        <w:tc>
          <w:tcPr>
            <w:tcW w:w="637" w:type="pct"/>
            <w:tcBorders>
              <w:top w:val="single" w:color="auto" w:sz="4" w:space="0"/>
              <w:left w:val="single" w:color="auto" w:sz="4" w:space="0"/>
              <w:bottom w:val="single" w:color="auto" w:sz="4" w:space="0"/>
              <w:right w:val="single" w:color="auto" w:sz="4" w:space="0"/>
            </w:tcBorders>
            <w:vAlign w:val="center"/>
          </w:tcPr>
          <w:p w14:paraId="6D8FEADF">
            <w:pPr>
              <w:spacing w:line="360" w:lineRule="auto"/>
              <w:jc w:val="center"/>
              <w:rPr>
                <w:rFonts w:hint="eastAsia" w:asciiTheme="minorEastAsia" w:hAnsiTheme="minorEastAsia" w:eastAsiaTheme="minorEastAsia" w:cstheme="minorEastAsia"/>
                <w:sz w:val="24"/>
                <w:lang w:eastAsia="zh-CN"/>
              </w:rPr>
            </w:pPr>
            <w:r>
              <w:rPr>
                <w:rFonts w:hint="eastAsia" w:ascii="宋体" w:hAnsi="宋体" w:cs="宋体" w:eastAsiaTheme="minorEastAsia"/>
                <w:sz w:val="24"/>
                <w:szCs w:val="22"/>
                <w:lang w:val="en-US" w:eastAsia="zh-CN"/>
              </w:rPr>
              <w:t>3</w:t>
            </w:r>
          </w:p>
        </w:tc>
      </w:tr>
      <w:tr w14:paraId="1A04E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791" w:type="pct"/>
            <w:vMerge w:val="continue"/>
            <w:tcBorders>
              <w:left w:val="single" w:color="auto" w:sz="4" w:space="0"/>
              <w:right w:val="single" w:color="auto" w:sz="4" w:space="0"/>
            </w:tcBorders>
            <w:vAlign w:val="center"/>
          </w:tcPr>
          <w:p w14:paraId="5FBC90A6">
            <w:pPr>
              <w:snapToGrid w:val="0"/>
              <w:spacing w:line="360" w:lineRule="auto"/>
              <w:jc w:val="center"/>
              <w:rPr>
                <w:rFonts w:hint="eastAsia" w:ascii="宋体" w:hAnsi="宋体"/>
                <w:sz w:val="24"/>
              </w:rPr>
            </w:pPr>
          </w:p>
        </w:tc>
        <w:tc>
          <w:tcPr>
            <w:tcW w:w="3571" w:type="pct"/>
            <w:tcBorders>
              <w:top w:val="single" w:color="auto" w:sz="4" w:space="0"/>
              <w:left w:val="single" w:color="auto" w:sz="4" w:space="0"/>
              <w:bottom w:val="single" w:color="auto" w:sz="4" w:space="0"/>
              <w:right w:val="single" w:color="auto" w:sz="4" w:space="0"/>
            </w:tcBorders>
            <w:vAlign w:val="center"/>
          </w:tcPr>
          <w:p w14:paraId="51F3EC5E">
            <w:pPr>
              <w:spacing w:line="360" w:lineRule="auto"/>
              <w:rPr>
                <w:rFonts w:hint="eastAsia" w:ascii="宋体" w:hAnsi="宋体" w:cs="宋体"/>
                <w:sz w:val="24"/>
                <w:lang w:val="en-US" w:eastAsia="zh-CN"/>
              </w:rPr>
            </w:pPr>
            <w:r>
              <w:rPr>
                <w:rFonts w:hint="eastAsia" w:ascii="宋体" w:hAnsi="宋体" w:cs="宋体"/>
                <w:sz w:val="24"/>
                <w:lang w:val="en-US" w:eastAsia="zh-CN"/>
              </w:rPr>
              <w:t>3、人员团队：</w:t>
            </w:r>
          </w:p>
          <w:p w14:paraId="572D6A75">
            <w:pPr>
              <w:spacing w:line="360" w:lineRule="auto"/>
              <w:rPr>
                <w:rFonts w:hint="eastAsia" w:ascii="宋体" w:hAnsi="宋体" w:cs="宋体"/>
                <w:sz w:val="24"/>
                <w:lang w:val="en-US" w:eastAsia="zh-CN"/>
              </w:rPr>
            </w:pPr>
            <w:r>
              <w:rPr>
                <w:rFonts w:hint="eastAsia" w:ascii="宋体" w:hAnsi="宋体" w:cs="宋体"/>
                <w:sz w:val="24"/>
                <w:lang w:val="en-US" w:eastAsia="zh-CN"/>
              </w:rPr>
              <w:t>（1）项目服务团队配置齐全，人员结构合理，具备丰富的同类项目实施经验、专业资质完善，人员稳定、分工明确，得3分；</w:t>
            </w:r>
          </w:p>
          <w:p w14:paraId="22AE8787">
            <w:pPr>
              <w:spacing w:line="360" w:lineRule="auto"/>
              <w:rPr>
                <w:rFonts w:hint="eastAsia" w:ascii="宋体" w:hAnsi="宋体" w:cs="宋体"/>
                <w:sz w:val="24"/>
                <w:lang w:val="en-US" w:eastAsia="zh-CN"/>
              </w:rPr>
            </w:pPr>
            <w:r>
              <w:rPr>
                <w:rFonts w:hint="eastAsia" w:ascii="宋体" w:hAnsi="宋体" w:cs="宋体"/>
                <w:sz w:val="24"/>
                <w:lang w:val="en-US" w:eastAsia="zh-CN"/>
              </w:rPr>
              <w:t>（2）团队配置简单，人员资质、经验一般，专业性较弱，得1.5分；</w:t>
            </w:r>
          </w:p>
          <w:p w14:paraId="096D150D">
            <w:pPr>
              <w:spacing w:line="360" w:lineRule="auto"/>
              <w:rPr>
                <w:rFonts w:hint="eastAsia" w:ascii="宋体" w:hAnsi="宋体" w:eastAsia="宋体" w:cs="宋体"/>
                <w:sz w:val="24"/>
                <w:lang w:val="en-US" w:eastAsia="zh-CN"/>
              </w:rPr>
            </w:pPr>
            <w:r>
              <w:rPr>
                <w:rFonts w:hint="eastAsia" w:ascii="宋体" w:hAnsi="宋体" w:cs="宋体"/>
                <w:sz w:val="24"/>
                <w:lang w:val="en-US" w:eastAsia="zh-CN"/>
              </w:rPr>
              <w:t>（3）未提供项目团队相关资料，得0分。</w:t>
            </w:r>
          </w:p>
        </w:tc>
        <w:tc>
          <w:tcPr>
            <w:tcW w:w="637" w:type="pct"/>
            <w:tcBorders>
              <w:top w:val="single" w:color="auto" w:sz="4" w:space="0"/>
              <w:left w:val="single" w:color="auto" w:sz="4" w:space="0"/>
              <w:bottom w:val="single" w:color="auto" w:sz="4" w:space="0"/>
              <w:right w:val="single" w:color="auto" w:sz="4" w:space="0"/>
            </w:tcBorders>
            <w:vAlign w:val="center"/>
          </w:tcPr>
          <w:p w14:paraId="37EB9A93">
            <w:pPr>
              <w:spacing w:line="360" w:lineRule="auto"/>
              <w:jc w:val="center"/>
              <w:rPr>
                <w:rFonts w:hint="default" w:ascii="宋体" w:hAnsi="宋体" w:cs="宋体"/>
                <w:sz w:val="24"/>
                <w:szCs w:val="22"/>
                <w:lang w:val="en-US" w:eastAsia="zh-CN"/>
              </w:rPr>
            </w:pPr>
            <w:r>
              <w:rPr>
                <w:rFonts w:hint="eastAsia" w:ascii="宋体" w:hAnsi="宋体" w:cs="宋体"/>
                <w:sz w:val="24"/>
                <w:szCs w:val="22"/>
                <w:lang w:val="en-US" w:eastAsia="zh-CN"/>
              </w:rPr>
              <w:t>3</w:t>
            </w:r>
          </w:p>
        </w:tc>
      </w:tr>
      <w:tr w14:paraId="455EC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91" w:type="pct"/>
            <w:vMerge w:val="restart"/>
            <w:tcBorders>
              <w:top w:val="single" w:color="auto" w:sz="4" w:space="0"/>
              <w:left w:val="single" w:color="auto" w:sz="4" w:space="0"/>
              <w:right w:val="single" w:color="auto" w:sz="4" w:space="0"/>
            </w:tcBorders>
            <w:vAlign w:val="center"/>
          </w:tcPr>
          <w:p w14:paraId="2C1320DD">
            <w:pPr>
              <w:snapToGrid w:val="0"/>
              <w:spacing w:line="360" w:lineRule="auto"/>
              <w:jc w:val="center"/>
              <w:rPr>
                <w:rFonts w:hint="eastAsia" w:ascii="宋体" w:hAnsi="宋体"/>
                <w:sz w:val="24"/>
              </w:rPr>
            </w:pPr>
            <w:r>
              <w:rPr>
                <w:rFonts w:ascii="宋体" w:hAnsi="宋体"/>
                <w:sz w:val="24"/>
              </w:rPr>
              <w:t>技术</w:t>
            </w:r>
          </w:p>
          <w:p w14:paraId="37C3A55A">
            <w:pPr>
              <w:snapToGrid w:val="0"/>
              <w:spacing w:line="360" w:lineRule="auto"/>
              <w:jc w:val="center"/>
              <w:rPr>
                <w:rFonts w:hint="eastAsia" w:ascii="宋体" w:hAnsi="宋体"/>
                <w:sz w:val="24"/>
              </w:rPr>
            </w:pPr>
            <w:r>
              <w:rPr>
                <w:rFonts w:ascii="宋体" w:hAnsi="宋体"/>
                <w:sz w:val="24"/>
              </w:rPr>
              <w:t>部分</w:t>
            </w:r>
          </w:p>
          <w:p w14:paraId="61F4AFF5">
            <w:pPr>
              <w:snapToGrid w:val="0"/>
              <w:spacing w:line="360" w:lineRule="auto"/>
              <w:jc w:val="center"/>
              <w:rPr>
                <w:rFonts w:hint="eastAsia" w:ascii="宋体" w:hAnsi="宋体"/>
                <w:sz w:val="24"/>
              </w:rPr>
            </w:pPr>
            <w:r>
              <w:rPr>
                <w:rFonts w:ascii="宋体" w:hAnsi="宋体"/>
                <w:sz w:val="24"/>
              </w:rPr>
              <w:t>（</w:t>
            </w:r>
            <w:r>
              <w:rPr>
                <w:rFonts w:hint="eastAsia" w:ascii="宋体" w:hAnsi="宋体"/>
                <w:sz w:val="24"/>
                <w:lang w:val="en-US" w:eastAsia="zh-CN"/>
              </w:rPr>
              <w:t>61</w:t>
            </w:r>
            <w:r>
              <w:rPr>
                <w:rFonts w:ascii="宋体" w:hAnsi="宋体"/>
                <w:sz w:val="24"/>
              </w:rPr>
              <w:t>分）</w:t>
            </w:r>
          </w:p>
        </w:tc>
        <w:tc>
          <w:tcPr>
            <w:tcW w:w="3571" w:type="pct"/>
            <w:tcBorders>
              <w:top w:val="single" w:color="auto" w:sz="4" w:space="0"/>
              <w:left w:val="single" w:color="auto" w:sz="4" w:space="0"/>
              <w:bottom w:val="single" w:color="auto" w:sz="4" w:space="0"/>
              <w:right w:val="single" w:color="auto" w:sz="4" w:space="0"/>
            </w:tcBorders>
            <w:vAlign w:val="center"/>
          </w:tcPr>
          <w:p w14:paraId="0D3DAF06">
            <w:pPr>
              <w:spacing w:line="360" w:lineRule="auto"/>
              <w:rPr>
                <w:rFonts w:hint="eastAsia" w:ascii="宋体" w:hAnsi="宋体" w:cs="宋体"/>
                <w:sz w:val="24"/>
              </w:rPr>
            </w:pPr>
            <w:r>
              <w:rPr>
                <w:rFonts w:hint="eastAsia" w:ascii="宋体" w:hAnsi="宋体" w:cs="宋体"/>
                <w:sz w:val="24"/>
              </w:rPr>
              <w:t>1、技术指标条款响应情况</w:t>
            </w:r>
          </w:p>
          <w:p w14:paraId="3180A81C">
            <w:pPr>
              <w:snapToGrid w:val="0"/>
              <w:spacing w:line="360" w:lineRule="auto"/>
              <w:rPr>
                <w:rFonts w:hint="eastAsia" w:ascii="宋体" w:hAnsi="宋体" w:cs="宋体"/>
                <w:b/>
                <w:bCs/>
                <w:sz w:val="24"/>
              </w:rPr>
            </w:pPr>
            <w:r>
              <w:rPr>
                <w:rFonts w:hint="eastAsia" w:ascii="宋体" w:hAnsi="宋体" w:cs="宋体"/>
                <w:b/>
                <w:bCs/>
                <w:sz w:val="24"/>
              </w:rPr>
              <w:t>（1）技术偏离表须依据招标文件项目需求逐条响应，否则视为未实质性响应招标文件, 其投标予以拒绝；</w:t>
            </w:r>
          </w:p>
          <w:p w14:paraId="2107E993">
            <w:pPr>
              <w:snapToGrid w:val="0"/>
              <w:spacing w:line="360" w:lineRule="auto"/>
              <w:rPr>
                <w:rFonts w:hint="eastAsia" w:ascii="宋体" w:hAnsi="宋体" w:cs="宋体"/>
                <w:sz w:val="24"/>
              </w:rPr>
            </w:pPr>
            <w:r>
              <w:rPr>
                <w:rFonts w:hint="eastAsia" w:ascii="宋体" w:hAnsi="宋体" w:cs="宋体"/>
                <w:sz w:val="24"/>
              </w:rPr>
              <w:t>（2）技术指标评审基准分为</w:t>
            </w:r>
            <w:r>
              <w:rPr>
                <w:rFonts w:hint="eastAsia" w:ascii="宋体" w:hAnsi="宋体" w:cs="宋体"/>
                <w:sz w:val="24"/>
                <w:lang w:val="en-US" w:eastAsia="zh-CN"/>
              </w:rPr>
              <w:t>43</w:t>
            </w:r>
            <w:r>
              <w:rPr>
                <w:rFonts w:hint="eastAsia" w:ascii="宋体" w:hAnsi="宋体" w:cs="宋体"/>
                <w:sz w:val="24"/>
              </w:rPr>
              <w:t xml:space="preserve">分，评委可根据技术指标的正负偏离情况进行评分； </w:t>
            </w:r>
          </w:p>
          <w:p w14:paraId="4AE3D16D">
            <w:pPr>
              <w:snapToGrid w:val="0"/>
              <w:spacing w:line="360" w:lineRule="auto"/>
              <w:rPr>
                <w:rFonts w:hint="eastAsia" w:ascii="宋体" w:hAnsi="宋体" w:cs="宋体"/>
                <w:bCs/>
                <w:sz w:val="24"/>
              </w:rPr>
            </w:pPr>
            <w:r>
              <w:rPr>
                <w:rFonts w:hint="eastAsia" w:ascii="宋体" w:hAnsi="宋体" w:cs="宋体"/>
                <w:bCs/>
                <w:sz w:val="24"/>
              </w:rPr>
              <w:t>（3）标记为“</w:t>
            </w:r>
            <w:r>
              <w:rPr>
                <w:rFonts w:hint="eastAsia" w:ascii="宋体" w:hAnsi="宋体" w:cs="宋体"/>
                <w:sz w:val="24"/>
              </w:rPr>
              <w:t>★</w:t>
            </w:r>
            <w:r>
              <w:rPr>
                <w:rFonts w:hint="eastAsia" w:ascii="宋体" w:hAnsi="宋体" w:cs="宋体"/>
                <w:bCs/>
                <w:sz w:val="24"/>
              </w:rPr>
              <w:t>”的指标是关键技术条款，</w:t>
            </w:r>
            <w:r>
              <w:rPr>
                <w:rFonts w:hint="eastAsia" w:ascii="宋体" w:hAnsi="宋体" w:cs="宋体"/>
                <w:sz w:val="24"/>
              </w:rPr>
              <w:t>正偏离不加分，</w:t>
            </w:r>
            <w:r>
              <w:rPr>
                <w:rFonts w:hint="eastAsia" w:ascii="宋体" w:hAnsi="宋体" w:cs="宋体"/>
                <w:bCs/>
                <w:sz w:val="24"/>
              </w:rPr>
              <w:t>如不满足其投标予以拒绝；</w:t>
            </w:r>
          </w:p>
          <w:p w14:paraId="608AA1BE">
            <w:pPr>
              <w:snapToGrid w:val="0"/>
              <w:spacing w:line="360" w:lineRule="auto"/>
              <w:rPr>
                <w:rFonts w:hint="eastAsia" w:ascii="宋体" w:hAnsi="宋体" w:cs="宋体"/>
                <w:bCs/>
                <w:sz w:val="24"/>
              </w:rPr>
            </w:pPr>
            <w:r>
              <w:rPr>
                <w:rFonts w:hint="eastAsia" w:ascii="宋体" w:hAnsi="宋体" w:cs="宋体"/>
                <w:bCs/>
                <w:sz w:val="24"/>
              </w:rPr>
              <w:t>（4）标记为“▲”的指标为重要技术条款，总分为</w:t>
            </w:r>
            <w:r>
              <w:rPr>
                <w:rFonts w:hint="eastAsia" w:ascii="宋体" w:hAnsi="宋体" w:cs="宋体"/>
                <w:bCs/>
                <w:sz w:val="24"/>
                <w:lang w:val="en-US" w:eastAsia="zh-CN"/>
              </w:rPr>
              <w:t>30</w:t>
            </w:r>
            <w:r>
              <w:rPr>
                <w:rFonts w:hint="eastAsia" w:ascii="宋体" w:hAnsi="宋体" w:cs="宋体"/>
                <w:bCs/>
                <w:sz w:val="24"/>
              </w:rPr>
              <w:t>分。正偏离不加分，负偏离每项减</w:t>
            </w:r>
            <w:r>
              <w:rPr>
                <w:rFonts w:hint="eastAsia" w:ascii="宋体" w:hAnsi="宋体" w:cs="宋体"/>
                <w:bCs/>
                <w:sz w:val="24"/>
                <w:lang w:val="en-US" w:eastAsia="zh-CN"/>
              </w:rPr>
              <w:t>5</w:t>
            </w:r>
            <w:r>
              <w:rPr>
                <w:rFonts w:hint="eastAsia" w:ascii="宋体" w:hAnsi="宋体" w:cs="宋体"/>
                <w:bCs/>
                <w:sz w:val="24"/>
              </w:rPr>
              <w:t>分，超过</w:t>
            </w:r>
            <w:r>
              <w:rPr>
                <w:rFonts w:hint="eastAsia" w:ascii="宋体" w:hAnsi="宋体" w:cs="宋体"/>
                <w:bCs/>
                <w:sz w:val="24"/>
                <w:lang w:val="en-US" w:eastAsia="zh-CN"/>
              </w:rPr>
              <w:t>6</w:t>
            </w:r>
            <w:r>
              <w:rPr>
                <w:rFonts w:hint="eastAsia" w:ascii="宋体" w:hAnsi="宋体" w:cs="宋体"/>
                <w:bCs/>
                <w:sz w:val="24"/>
              </w:rPr>
              <w:t>项（含）负偏离不得分。</w:t>
            </w:r>
          </w:p>
          <w:p w14:paraId="0BC209A8">
            <w:pPr>
              <w:snapToGrid w:val="0"/>
              <w:spacing w:line="360" w:lineRule="auto"/>
              <w:rPr>
                <w:rFonts w:hint="eastAsia" w:ascii="宋体" w:hAnsi="宋体" w:cs="宋体"/>
                <w:bCs/>
                <w:sz w:val="24"/>
              </w:rPr>
            </w:pPr>
            <w:r>
              <w:rPr>
                <w:rFonts w:hint="eastAsia" w:ascii="宋体" w:hAnsi="宋体" w:cs="宋体"/>
                <w:bCs/>
                <w:sz w:val="24"/>
              </w:rPr>
              <w:t>（5）无标记的指标是一般技术条款，总分为</w:t>
            </w:r>
            <w:r>
              <w:rPr>
                <w:rFonts w:hint="eastAsia" w:ascii="宋体" w:hAnsi="宋体" w:cs="宋体"/>
                <w:bCs/>
                <w:sz w:val="24"/>
                <w:lang w:val="en-US" w:eastAsia="zh-CN"/>
              </w:rPr>
              <w:t>13</w:t>
            </w:r>
            <w:r>
              <w:rPr>
                <w:rFonts w:hint="eastAsia" w:ascii="宋体" w:hAnsi="宋体" w:cs="宋体"/>
                <w:bCs/>
                <w:sz w:val="24"/>
              </w:rPr>
              <w:t>分。正偏离不加分，负偏离每项减</w:t>
            </w:r>
            <w:r>
              <w:rPr>
                <w:rFonts w:hint="eastAsia" w:ascii="宋体" w:hAnsi="宋体" w:cs="宋体"/>
                <w:bCs/>
                <w:sz w:val="24"/>
                <w:lang w:val="en-US" w:eastAsia="zh-CN"/>
              </w:rPr>
              <w:t>1</w:t>
            </w:r>
            <w:r>
              <w:rPr>
                <w:rFonts w:hint="eastAsia" w:ascii="宋体" w:hAnsi="宋体" w:cs="宋体"/>
                <w:bCs/>
                <w:sz w:val="24"/>
              </w:rPr>
              <w:t>分，超</w:t>
            </w:r>
            <w:r>
              <w:rPr>
                <w:rFonts w:hint="eastAsia" w:ascii="宋体" w:hAnsi="宋体" w:cs="宋体"/>
                <w:bCs/>
                <w:sz w:val="24"/>
                <w:lang w:val="en-US" w:eastAsia="zh-CN"/>
              </w:rPr>
              <w:t>13</w:t>
            </w:r>
            <w:r>
              <w:rPr>
                <w:rFonts w:hint="eastAsia" w:ascii="宋体" w:hAnsi="宋体" w:cs="宋体"/>
                <w:bCs/>
                <w:sz w:val="24"/>
              </w:rPr>
              <w:t>项（含）负偏离不得分。</w:t>
            </w:r>
          </w:p>
          <w:p w14:paraId="750736E7">
            <w:pPr>
              <w:snapToGrid w:val="0"/>
              <w:spacing w:line="360" w:lineRule="auto"/>
              <w:rPr>
                <w:rFonts w:hint="eastAsia" w:ascii="宋体" w:hAnsi="宋体"/>
                <w:sz w:val="24"/>
              </w:rPr>
            </w:pPr>
            <w:r>
              <w:rPr>
                <w:rFonts w:hint="eastAsia" w:ascii="宋体" w:hAnsi="宋体" w:cs="宋体"/>
                <w:bCs/>
                <w:sz w:val="24"/>
              </w:rPr>
              <w:t>（6）凡标有最低一级序号的指标项即为一项技术条款，无论是否隶属于上一级编号。</w:t>
            </w:r>
          </w:p>
        </w:tc>
        <w:tc>
          <w:tcPr>
            <w:tcW w:w="637" w:type="pct"/>
            <w:tcBorders>
              <w:top w:val="single" w:color="auto" w:sz="4" w:space="0"/>
              <w:left w:val="single" w:color="auto" w:sz="4" w:space="0"/>
              <w:bottom w:val="single" w:color="auto" w:sz="4" w:space="0"/>
              <w:right w:val="single" w:color="auto" w:sz="4" w:space="0"/>
            </w:tcBorders>
            <w:vAlign w:val="center"/>
          </w:tcPr>
          <w:p w14:paraId="3A0BB352">
            <w:pPr>
              <w:spacing w:line="360" w:lineRule="auto"/>
              <w:jc w:val="center"/>
              <w:rPr>
                <w:rFonts w:hint="default" w:ascii="宋体" w:hAnsi="宋体" w:eastAsia="宋体"/>
                <w:sz w:val="24"/>
                <w:lang w:val="en-US" w:eastAsia="zh-CN"/>
              </w:rPr>
            </w:pPr>
            <w:r>
              <w:rPr>
                <w:rFonts w:hint="eastAsia" w:ascii="宋体" w:hAnsi="宋体"/>
                <w:sz w:val="24"/>
                <w:lang w:val="en-US" w:eastAsia="zh-CN"/>
              </w:rPr>
              <w:t>43</w:t>
            </w:r>
          </w:p>
        </w:tc>
      </w:tr>
      <w:tr w14:paraId="7F41B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91" w:type="pct"/>
            <w:vMerge w:val="continue"/>
            <w:tcBorders>
              <w:left w:val="single" w:color="auto" w:sz="4" w:space="0"/>
              <w:right w:val="single" w:color="auto" w:sz="4" w:space="0"/>
            </w:tcBorders>
            <w:vAlign w:val="center"/>
          </w:tcPr>
          <w:p w14:paraId="17C254EB">
            <w:pPr>
              <w:snapToGrid w:val="0"/>
              <w:spacing w:line="360" w:lineRule="auto"/>
              <w:jc w:val="center"/>
              <w:rPr>
                <w:rFonts w:ascii="宋体" w:hAnsi="宋体"/>
                <w:sz w:val="24"/>
              </w:rPr>
            </w:pPr>
          </w:p>
        </w:tc>
        <w:tc>
          <w:tcPr>
            <w:tcW w:w="3571" w:type="pct"/>
            <w:tcBorders>
              <w:top w:val="single" w:color="auto" w:sz="4" w:space="0"/>
              <w:left w:val="single" w:color="auto" w:sz="4" w:space="0"/>
              <w:bottom w:val="single" w:color="auto" w:sz="4" w:space="0"/>
              <w:right w:val="single" w:color="auto" w:sz="4" w:space="0"/>
            </w:tcBorders>
            <w:vAlign w:val="center"/>
          </w:tcPr>
          <w:p w14:paraId="5ED0E642">
            <w:pPr>
              <w:snapToGrid w:val="0"/>
              <w:spacing w:line="360" w:lineRule="auto"/>
              <w:rPr>
                <w:rFonts w:hint="eastAsia" w:ascii="宋体" w:hAnsi="宋体" w:cs="宋体"/>
                <w:bCs/>
                <w:sz w:val="24"/>
                <w:lang w:val="en-US" w:eastAsia="zh-CN"/>
              </w:rPr>
            </w:pPr>
            <w:r>
              <w:rPr>
                <w:rFonts w:hint="eastAsia" w:ascii="宋体" w:hAnsi="宋体" w:cs="宋体"/>
                <w:bCs/>
                <w:sz w:val="24"/>
                <w:lang w:val="en-US" w:eastAsia="zh-CN"/>
              </w:rPr>
              <w:t>2、项目供货方案</w:t>
            </w:r>
            <w:r>
              <w:rPr>
                <w:rFonts w:hint="eastAsia" w:ascii="宋体" w:hAnsi="宋体" w:cs="宋体"/>
                <w:sz w:val="24"/>
              </w:rPr>
              <w:t>、应急方案</w:t>
            </w:r>
          </w:p>
          <w:p w14:paraId="770A47EE">
            <w:pPr>
              <w:snapToGrid w:val="0"/>
              <w:spacing w:line="360" w:lineRule="auto"/>
              <w:rPr>
                <w:rFonts w:hint="eastAsia" w:ascii="宋体" w:hAnsi="宋体" w:cs="宋体"/>
                <w:bCs/>
                <w:sz w:val="24"/>
                <w:lang w:val="en-US" w:eastAsia="zh-CN"/>
              </w:rPr>
            </w:pPr>
            <w:r>
              <w:rPr>
                <w:rFonts w:hint="eastAsia" w:ascii="宋体" w:hAnsi="宋体" w:cs="宋体"/>
                <w:bCs/>
                <w:sz w:val="24"/>
                <w:lang w:val="en-US" w:eastAsia="zh-CN"/>
              </w:rPr>
              <w:t>（1）项目供货方案、</w:t>
            </w:r>
            <w:r>
              <w:rPr>
                <w:rFonts w:hint="eastAsia" w:ascii="宋体" w:hAnsi="宋体" w:cs="宋体"/>
                <w:sz w:val="24"/>
              </w:rPr>
              <w:t>应急方案</w:t>
            </w:r>
            <w:r>
              <w:rPr>
                <w:rFonts w:hint="eastAsia" w:ascii="宋体" w:hAnsi="宋体" w:cs="宋体"/>
                <w:bCs/>
                <w:sz w:val="24"/>
                <w:lang w:val="en-US" w:eastAsia="zh-CN"/>
              </w:rPr>
              <w:t>完善，针对本项目提出合理、可行的供货方案，突发事件的处理措施和应急预案非常详细切合实际得6分；</w:t>
            </w:r>
          </w:p>
          <w:p w14:paraId="6D890B9E">
            <w:pPr>
              <w:snapToGrid w:val="0"/>
              <w:spacing w:line="360" w:lineRule="auto"/>
              <w:rPr>
                <w:rFonts w:hint="eastAsia" w:ascii="宋体" w:hAnsi="宋体" w:cs="宋体"/>
                <w:bCs/>
                <w:sz w:val="24"/>
                <w:lang w:val="en-US" w:eastAsia="zh-CN"/>
              </w:rPr>
            </w:pPr>
            <w:r>
              <w:rPr>
                <w:rFonts w:hint="eastAsia" w:ascii="宋体" w:hAnsi="宋体" w:cs="宋体"/>
                <w:bCs/>
                <w:sz w:val="24"/>
                <w:lang w:val="en-US" w:eastAsia="zh-CN"/>
              </w:rPr>
              <w:t>（2）项目供货方案</w:t>
            </w:r>
            <w:r>
              <w:rPr>
                <w:rFonts w:hint="eastAsia" w:ascii="宋体" w:hAnsi="宋体" w:cs="宋体"/>
                <w:sz w:val="24"/>
              </w:rPr>
              <w:t>、应急方案</w:t>
            </w:r>
            <w:r>
              <w:rPr>
                <w:rFonts w:hint="eastAsia" w:ascii="宋体" w:hAnsi="宋体" w:cs="宋体"/>
                <w:bCs/>
                <w:sz w:val="24"/>
                <w:lang w:val="en-US" w:eastAsia="zh-CN"/>
              </w:rPr>
              <w:t>较完善，针对本项目突发事件的处理措施和应急预案较详细较切合实际得3分；</w:t>
            </w:r>
          </w:p>
          <w:p w14:paraId="2C67D5BF">
            <w:pPr>
              <w:snapToGrid w:val="0"/>
              <w:spacing w:line="360" w:lineRule="auto"/>
              <w:rPr>
                <w:rFonts w:hint="eastAsia" w:ascii="宋体" w:hAnsi="宋体" w:cs="宋体"/>
                <w:bCs/>
                <w:sz w:val="24"/>
                <w:lang w:val="en-US" w:eastAsia="zh-CN"/>
              </w:rPr>
            </w:pPr>
            <w:r>
              <w:rPr>
                <w:rFonts w:hint="eastAsia" w:ascii="宋体" w:hAnsi="宋体" w:cs="宋体"/>
                <w:bCs/>
                <w:sz w:val="24"/>
                <w:lang w:val="en-US" w:eastAsia="zh-CN"/>
              </w:rPr>
              <w:t>（3）项目供货方案</w:t>
            </w:r>
            <w:r>
              <w:rPr>
                <w:rFonts w:hint="eastAsia" w:ascii="宋体" w:hAnsi="宋体" w:cs="宋体"/>
                <w:sz w:val="24"/>
              </w:rPr>
              <w:t>、应急方案</w:t>
            </w:r>
            <w:r>
              <w:rPr>
                <w:rFonts w:hint="eastAsia" w:ascii="宋体" w:hAnsi="宋体" w:cs="宋体"/>
                <w:bCs/>
                <w:sz w:val="24"/>
                <w:lang w:val="en-US" w:eastAsia="zh-CN"/>
              </w:rPr>
              <w:t>不够完善，针对本项目突发事件的处理措施和应急预案不够详细，不够切合实际得1分；</w:t>
            </w:r>
          </w:p>
          <w:p w14:paraId="7E126DBA">
            <w:pPr>
              <w:snapToGrid w:val="0"/>
              <w:spacing w:line="360" w:lineRule="auto"/>
              <w:rPr>
                <w:rFonts w:hint="default" w:ascii="宋体" w:hAnsi="宋体" w:eastAsia="宋体" w:cs="宋体"/>
                <w:bCs/>
                <w:sz w:val="24"/>
                <w:lang w:val="en-US" w:eastAsia="zh-CN"/>
              </w:rPr>
            </w:pPr>
            <w:r>
              <w:rPr>
                <w:rFonts w:hint="eastAsia" w:ascii="宋体" w:hAnsi="宋体" w:cs="宋体"/>
                <w:bCs/>
                <w:sz w:val="24"/>
                <w:lang w:val="en-US" w:eastAsia="zh-CN"/>
              </w:rPr>
              <w:t>（4）未提供方案或提供了但是完全脱离实际，0 分。</w:t>
            </w:r>
          </w:p>
        </w:tc>
        <w:tc>
          <w:tcPr>
            <w:tcW w:w="637" w:type="pct"/>
            <w:tcBorders>
              <w:top w:val="single" w:color="auto" w:sz="4" w:space="0"/>
              <w:left w:val="single" w:color="auto" w:sz="4" w:space="0"/>
              <w:bottom w:val="single" w:color="auto" w:sz="4" w:space="0"/>
              <w:right w:val="single" w:color="auto" w:sz="4" w:space="0"/>
            </w:tcBorders>
            <w:vAlign w:val="center"/>
          </w:tcPr>
          <w:p w14:paraId="6794E9CD">
            <w:pPr>
              <w:spacing w:line="360" w:lineRule="auto"/>
              <w:jc w:val="center"/>
              <w:rPr>
                <w:rFonts w:hint="default" w:ascii="宋体" w:hAnsi="宋体"/>
                <w:sz w:val="24"/>
                <w:lang w:val="en-US" w:eastAsia="zh-CN"/>
              </w:rPr>
            </w:pPr>
            <w:r>
              <w:rPr>
                <w:rFonts w:hint="eastAsia" w:ascii="宋体" w:hAnsi="宋体"/>
                <w:sz w:val="24"/>
                <w:lang w:val="en-US" w:eastAsia="zh-CN"/>
              </w:rPr>
              <w:t>6</w:t>
            </w:r>
          </w:p>
        </w:tc>
      </w:tr>
      <w:tr w14:paraId="0CE18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791" w:type="pct"/>
            <w:vMerge w:val="continue"/>
            <w:tcBorders>
              <w:left w:val="single" w:color="auto" w:sz="4" w:space="0"/>
              <w:right w:val="single" w:color="auto" w:sz="4" w:space="0"/>
            </w:tcBorders>
            <w:vAlign w:val="center"/>
          </w:tcPr>
          <w:p w14:paraId="2CB4DF0E">
            <w:pPr>
              <w:widowControl/>
              <w:spacing w:line="360" w:lineRule="auto"/>
              <w:jc w:val="center"/>
              <w:rPr>
                <w:rFonts w:hint="eastAsia" w:ascii="宋体" w:hAnsi="宋体"/>
                <w:sz w:val="24"/>
              </w:rPr>
            </w:pPr>
          </w:p>
        </w:tc>
        <w:tc>
          <w:tcPr>
            <w:tcW w:w="3571" w:type="pct"/>
            <w:tcBorders>
              <w:top w:val="single" w:color="auto" w:sz="4" w:space="0"/>
              <w:left w:val="single" w:color="auto" w:sz="4" w:space="0"/>
              <w:bottom w:val="single" w:color="auto" w:sz="4" w:space="0"/>
              <w:right w:val="single" w:color="auto" w:sz="4" w:space="0"/>
            </w:tcBorders>
            <w:vAlign w:val="center"/>
          </w:tcPr>
          <w:p w14:paraId="7CEB3B67">
            <w:pPr>
              <w:spacing w:line="360" w:lineRule="auto"/>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rPr>
              <w:t>、售后服务方案。供应商对本项目的售后服务方案和应急方案，包括但不限于维修投标时间、质保期承诺、安装调试验收安排等进行综合评价：</w:t>
            </w:r>
          </w:p>
          <w:p w14:paraId="00311225">
            <w:pPr>
              <w:spacing w:line="360" w:lineRule="auto"/>
              <w:rPr>
                <w:rFonts w:hint="eastAsia" w:ascii="宋体" w:hAnsi="宋体" w:cs="宋体"/>
                <w:sz w:val="24"/>
              </w:rPr>
            </w:pPr>
            <w:r>
              <w:rPr>
                <w:rFonts w:hint="eastAsia" w:ascii="宋体" w:hAnsi="宋体" w:cs="宋体"/>
                <w:sz w:val="24"/>
              </w:rPr>
              <w:t>（1）售后服务方案完善，针对本项目提出的服务方案合理、可行，非常详细切合实际得</w:t>
            </w:r>
            <w:r>
              <w:rPr>
                <w:rFonts w:hint="eastAsia" w:ascii="宋体" w:hAnsi="宋体" w:cs="宋体"/>
                <w:sz w:val="24"/>
                <w:lang w:val="en-US" w:eastAsia="zh-CN"/>
              </w:rPr>
              <w:t>6</w:t>
            </w:r>
            <w:r>
              <w:rPr>
                <w:rFonts w:hint="eastAsia" w:ascii="宋体" w:hAnsi="宋体" w:cs="宋体"/>
                <w:sz w:val="24"/>
              </w:rPr>
              <w:t>分；</w:t>
            </w:r>
          </w:p>
          <w:p w14:paraId="45AFAEF8">
            <w:pPr>
              <w:spacing w:line="360" w:lineRule="auto"/>
              <w:rPr>
                <w:rFonts w:hint="eastAsia" w:ascii="宋体" w:hAnsi="宋体" w:cs="宋体"/>
                <w:sz w:val="24"/>
              </w:rPr>
            </w:pPr>
            <w:r>
              <w:rPr>
                <w:rFonts w:hint="eastAsia" w:ascii="宋体" w:hAnsi="宋体" w:cs="宋体"/>
                <w:sz w:val="24"/>
              </w:rPr>
              <w:t>（2）售后服务方案较完善，针对本项目提出的服务方案较合理、可行,较详细较切合实际得</w:t>
            </w:r>
            <w:r>
              <w:rPr>
                <w:rFonts w:hint="eastAsia" w:ascii="宋体" w:hAnsi="宋体" w:cs="宋体"/>
                <w:sz w:val="24"/>
                <w:lang w:val="en-US" w:eastAsia="zh-CN"/>
              </w:rPr>
              <w:t>3</w:t>
            </w:r>
            <w:r>
              <w:rPr>
                <w:rFonts w:hint="eastAsia" w:ascii="宋体" w:hAnsi="宋体" w:cs="宋体"/>
                <w:sz w:val="24"/>
              </w:rPr>
              <w:t>分；</w:t>
            </w:r>
          </w:p>
          <w:p w14:paraId="3D3D00F9">
            <w:pPr>
              <w:snapToGrid w:val="0"/>
              <w:spacing w:line="360" w:lineRule="auto"/>
              <w:rPr>
                <w:rFonts w:hint="eastAsia" w:ascii="宋体" w:hAnsi="宋体" w:cs="宋体"/>
                <w:sz w:val="24"/>
              </w:rPr>
            </w:pPr>
            <w:r>
              <w:rPr>
                <w:rFonts w:hint="eastAsia" w:ascii="宋体" w:hAnsi="宋体" w:cs="宋体"/>
                <w:sz w:val="24"/>
              </w:rPr>
              <w:t>（3）售后服务方案不够完善，针对本项目提出的服务方案不够合理、可行,不够详细，不够切合实际得1分；</w:t>
            </w:r>
          </w:p>
          <w:p w14:paraId="66DD40DA">
            <w:pPr>
              <w:snapToGrid w:val="0"/>
              <w:spacing w:line="360" w:lineRule="auto"/>
              <w:rPr>
                <w:rFonts w:hint="eastAsia" w:ascii="宋体" w:hAnsi="宋体"/>
                <w:sz w:val="24"/>
              </w:rPr>
            </w:pPr>
            <w:r>
              <w:rPr>
                <w:rFonts w:hint="eastAsia" w:ascii="宋体" w:hAnsi="宋体" w:cs="宋体"/>
                <w:sz w:val="24"/>
              </w:rPr>
              <w:t>（4）未提供方案或提供了但是完全脱离实际，0</w:t>
            </w:r>
            <w:r>
              <w:rPr>
                <w:rFonts w:hint="eastAsia" w:ascii="宋体" w:hAnsi="宋体" w:cs="宋体"/>
                <w:spacing w:val="-59"/>
                <w:sz w:val="24"/>
              </w:rPr>
              <w:t xml:space="preserve"> </w:t>
            </w:r>
            <w:r>
              <w:rPr>
                <w:rFonts w:hint="eastAsia" w:ascii="宋体" w:hAnsi="宋体" w:cs="宋体"/>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6F205110">
            <w:pPr>
              <w:spacing w:line="360" w:lineRule="auto"/>
              <w:jc w:val="center"/>
              <w:rPr>
                <w:rFonts w:hint="eastAsia" w:ascii="宋体" w:hAnsi="宋体" w:eastAsia="宋体"/>
                <w:sz w:val="24"/>
                <w:lang w:eastAsia="zh-CN"/>
              </w:rPr>
            </w:pPr>
            <w:r>
              <w:rPr>
                <w:rFonts w:hint="eastAsia" w:ascii="宋体" w:hAnsi="宋体"/>
                <w:sz w:val="24"/>
                <w:lang w:val="en-US" w:eastAsia="zh-CN"/>
              </w:rPr>
              <w:t>6</w:t>
            </w:r>
          </w:p>
        </w:tc>
      </w:tr>
      <w:tr w14:paraId="7761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791" w:type="pct"/>
            <w:vMerge w:val="continue"/>
            <w:tcBorders>
              <w:left w:val="single" w:color="auto" w:sz="4" w:space="0"/>
              <w:bottom w:val="single" w:color="auto" w:sz="4" w:space="0"/>
              <w:right w:val="single" w:color="auto" w:sz="4" w:space="0"/>
            </w:tcBorders>
            <w:vAlign w:val="center"/>
          </w:tcPr>
          <w:p w14:paraId="44648EA8">
            <w:pPr>
              <w:widowControl/>
              <w:spacing w:line="360" w:lineRule="auto"/>
              <w:jc w:val="center"/>
              <w:rPr>
                <w:rFonts w:hint="eastAsia" w:ascii="宋体" w:hAnsi="宋体"/>
                <w:sz w:val="24"/>
              </w:rPr>
            </w:pPr>
          </w:p>
        </w:tc>
        <w:tc>
          <w:tcPr>
            <w:tcW w:w="3571" w:type="pct"/>
            <w:tcBorders>
              <w:top w:val="single" w:color="auto" w:sz="4" w:space="0"/>
              <w:left w:val="single" w:color="auto" w:sz="4" w:space="0"/>
              <w:bottom w:val="single" w:color="auto" w:sz="4" w:space="0"/>
              <w:right w:val="single" w:color="auto" w:sz="4" w:space="0"/>
            </w:tcBorders>
            <w:vAlign w:val="center"/>
          </w:tcPr>
          <w:p w14:paraId="174211A2">
            <w:pPr>
              <w:snapToGrid w:val="0"/>
              <w:spacing w:line="360" w:lineRule="auto"/>
              <w:rPr>
                <w:sz w:val="24"/>
              </w:rPr>
            </w:pPr>
            <w:r>
              <w:rPr>
                <w:rFonts w:hint="eastAsia"/>
                <w:sz w:val="24"/>
                <w:lang w:val="en-US" w:eastAsia="zh-CN"/>
              </w:rPr>
              <w:t>4</w:t>
            </w:r>
            <w:r>
              <w:rPr>
                <w:sz w:val="24"/>
              </w:rPr>
              <w:t>、培训方案，包括具体培训计划、具体安排、时间规划、培训内容及培训效果评价、培训质量保证等进行综合评价：</w:t>
            </w:r>
          </w:p>
          <w:p w14:paraId="1A51D5ED">
            <w:pPr>
              <w:snapToGrid w:val="0"/>
              <w:spacing w:line="360" w:lineRule="auto"/>
              <w:rPr>
                <w:sz w:val="24"/>
              </w:rPr>
            </w:pPr>
            <w:r>
              <w:rPr>
                <w:sz w:val="24"/>
              </w:rPr>
              <w:t>（1）方案全面、具体，可行性强得</w:t>
            </w:r>
            <w:r>
              <w:rPr>
                <w:rFonts w:hint="eastAsia"/>
                <w:sz w:val="24"/>
                <w:lang w:val="en-US" w:eastAsia="zh-CN"/>
              </w:rPr>
              <w:t>6</w:t>
            </w:r>
            <w:r>
              <w:rPr>
                <w:sz w:val="24"/>
              </w:rPr>
              <w:t>分；</w:t>
            </w:r>
          </w:p>
          <w:p w14:paraId="0E82B48B">
            <w:pPr>
              <w:snapToGrid w:val="0"/>
              <w:spacing w:line="360" w:lineRule="auto"/>
              <w:rPr>
                <w:sz w:val="24"/>
              </w:rPr>
            </w:pPr>
            <w:r>
              <w:rPr>
                <w:sz w:val="24"/>
              </w:rPr>
              <w:t>（2）方案比较全面、具体，可行性较强得</w:t>
            </w:r>
            <w:r>
              <w:rPr>
                <w:rFonts w:hint="eastAsia"/>
                <w:sz w:val="24"/>
                <w:lang w:val="en-US" w:eastAsia="zh-CN"/>
              </w:rPr>
              <w:t>3</w:t>
            </w:r>
            <w:r>
              <w:rPr>
                <w:sz w:val="24"/>
              </w:rPr>
              <w:t>分；</w:t>
            </w:r>
          </w:p>
          <w:p w14:paraId="236F5177">
            <w:pPr>
              <w:snapToGrid w:val="0"/>
              <w:spacing w:line="360" w:lineRule="auto"/>
              <w:rPr>
                <w:sz w:val="24"/>
              </w:rPr>
            </w:pPr>
            <w:r>
              <w:rPr>
                <w:sz w:val="24"/>
              </w:rPr>
              <w:t>（3）方案不全面，不具体，可行性一般得</w:t>
            </w:r>
            <w:r>
              <w:rPr>
                <w:rFonts w:hint="eastAsia"/>
                <w:sz w:val="24"/>
              </w:rPr>
              <w:t>1</w:t>
            </w:r>
            <w:r>
              <w:rPr>
                <w:sz w:val="24"/>
              </w:rPr>
              <w:t xml:space="preserve">分； </w:t>
            </w:r>
          </w:p>
          <w:p w14:paraId="41CE26AC">
            <w:pPr>
              <w:spacing w:line="360" w:lineRule="auto"/>
              <w:jc w:val="left"/>
              <w:rPr>
                <w:rFonts w:hint="eastAsia" w:ascii="宋体" w:hAnsi="宋体"/>
                <w:sz w:val="24"/>
              </w:rPr>
            </w:pPr>
            <w:r>
              <w:rPr>
                <w:sz w:val="24"/>
              </w:rPr>
              <w:t>（4）未提供方案或提供了但是完全脱离实际，0</w:t>
            </w:r>
            <w:r>
              <w:rPr>
                <w:spacing w:val="-59"/>
                <w:sz w:val="24"/>
              </w:rPr>
              <w:t xml:space="preserve"> </w:t>
            </w:r>
            <w:r>
              <w:rPr>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06909B2C">
            <w:pPr>
              <w:snapToGrid w:val="0"/>
              <w:spacing w:line="360" w:lineRule="auto"/>
              <w:ind w:left="-3" w:leftChars="0"/>
              <w:jc w:val="center"/>
              <w:rPr>
                <w:rFonts w:hint="eastAsia" w:ascii="宋体" w:hAnsi="宋体" w:eastAsia="宋体"/>
                <w:sz w:val="24"/>
                <w:lang w:eastAsia="zh-CN"/>
              </w:rPr>
            </w:pPr>
            <w:r>
              <w:rPr>
                <w:rFonts w:hint="eastAsia"/>
                <w:sz w:val="24"/>
                <w:lang w:val="en-US" w:eastAsia="zh-CN"/>
              </w:rPr>
              <w:t>6</w:t>
            </w:r>
          </w:p>
        </w:tc>
      </w:tr>
      <w:tr w14:paraId="510C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91" w:type="pct"/>
            <w:tcBorders>
              <w:top w:val="single" w:color="auto" w:sz="4" w:space="0"/>
              <w:left w:val="single" w:color="auto" w:sz="4" w:space="0"/>
              <w:bottom w:val="single" w:color="auto" w:sz="4" w:space="0"/>
              <w:right w:val="single" w:color="auto" w:sz="4" w:space="0"/>
            </w:tcBorders>
            <w:vAlign w:val="center"/>
          </w:tcPr>
          <w:p w14:paraId="7809123D">
            <w:pPr>
              <w:widowControl/>
              <w:spacing w:line="360" w:lineRule="auto"/>
              <w:jc w:val="center"/>
              <w:rPr>
                <w:rFonts w:hint="eastAsia" w:ascii="宋体" w:hAnsi="宋体"/>
                <w:sz w:val="24"/>
              </w:rPr>
            </w:pPr>
            <w:r>
              <w:rPr>
                <w:rFonts w:ascii="宋体" w:hAnsi="宋体"/>
                <w:sz w:val="24"/>
              </w:rPr>
              <w:t>其他</w:t>
            </w:r>
          </w:p>
          <w:p w14:paraId="26B994D4">
            <w:pPr>
              <w:widowControl/>
              <w:spacing w:line="360" w:lineRule="auto"/>
              <w:jc w:val="center"/>
              <w:rPr>
                <w:rFonts w:hint="eastAsia" w:ascii="宋体" w:hAnsi="宋体"/>
                <w:sz w:val="24"/>
              </w:rPr>
            </w:pPr>
            <w:r>
              <w:rPr>
                <w:rFonts w:ascii="宋体" w:hAnsi="宋体"/>
                <w:sz w:val="24"/>
              </w:rPr>
              <w:t>(</w:t>
            </w:r>
            <w:r>
              <w:rPr>
                <w:rFonts w:hint="eastAsia" w:ascii="宋体" w:hAnsi="宋体"/>
                <w:sz w:val="24"/>
                <w:lang w:val="en-US" w:eastAsia="zh-CN"/>
              </w:rPr>
              <w:t>1</w:t>
            </w:r>
            <w:r>
              <w:rPr>
                <w:rFonts w:ascii="宋体" w:hAnsi="宋体"/>
                <w:sz w:val="24"/>
              </w:rPr>
              <w:t>分)</w:t>
            </w:r>
          </w:p>
        </w:tc>
        <w:tc>
          <w:tcPr>
            <w:tcW w:w="3571" w:type="pct"/>
            <w:tcBorders>
              <w:top w:val="single" w:color="auto" w:sz="4" w:space="0"/>
              <w:left w:val="single" w:color="auto" w:sz="4" w:space="0"/>
              <w:bottom w:val="single" w:color="auto" w:sz="4" w:space="0"/>
              <w:right w:val="single" w:color="auto" w:sz="4" w:space="0"/>
            </w:tcBorders>
            <w:vAlign w:val="center"/>
          </w:tcPr>
          <w:p w14:paraId="10845C8A">
            <w:pPr>
              <w:snapToGrid w:val="0"/>
              <w:spacing w:line="360" w:lineRule="auto"/>
              <w:rPr>
                <w:rFonts w:hint="eastAsia" w:ascii="宋体" w:hAnsi="宋体"/>
                <w:sz w:val="24"/>
              </w:rPr>
            </w:pPr>
            <w:r>
              <w:rPr>
                <w:rFonts w:ascii="宋体" w:hAnsi="宋体"/>
                <w:sz w:val="24"/>
              </w:rPr>
              <w:t>供应商所投产品获得相关节能、环保产品认证情况：</w:t>
            </w:r>
          </w:p>
          <w:p w14:paraId="7A508801">
            <w:pPr>
              <w:snapToGrid w:val="0"/>
              <w:spacing w:line="360" w:lineRule="auto"/>
              <w:rPr>
                <w:rFonts w:hint="eastAsia" w:ascii="宋体" w:hAnsi="宋体"/>
                <w:sz w:val="24"/>
              </w:rPr>
            </w:pPr>
            <w:r>
              <w:rPr>
                <w:rFonts w:ascii="宋体" w:hAnsi="宋体"/>
                <w:sz w:val="24"/>
              </w:rPr>
              <w:t>（1）节能产品：投标产品属于财政部和国家发改委最新公布的节能产品政府采购品目清单的，需提供市场监管总局发布参与实施政府采购节能产品、环境标志产品认证机构出具的认证证书复印件并加盖公章，且在有效截止日期内，得</w:t>
            </w:r>
            <w:r>
              <w:rPr>
                <w:rFonts w:hint="eastAsia" w:ascii="宋体" w:hAnsi="宋体"/>
                <w:sz w:val="24"/>
                <w:lang w:val="en-US" w:eastAsia="zh-CN"/>
              </w:rPr>
              <w:t>0.5</w:t>
            </w:r>
            <w:r>
              <w:rPr>
                <w:rFonts w:ascii="宋体" w:hAnsi="宋体"/>
                <w:sz w:val="24"/>
              </w:rPr>
              <w:t>分；否则0分。</w:t>
            </w:r>
          </w:p>
          <w:p w14:paraId="65EC658B">
            <w:pPr>
              <w:snapToGrid w:val="0"/>
              <w:spacing w:line="360" w:lineRule="auto"/>
              <w:rPr>
                <w:rFonts w:hint="eastAsia" w:ascii="宋体" w:hAnsi="宋体"/>
                <w:sz w:val="24"/>
              </w:rPr>
            </w:pPr>
            <w:r>
              <w:rPr>
                <w:rFonts w:ascii="宋体" w:hAnsi="宋体"/>
                <w:sz w:val="24"/>
              </w:rPr>
              <w:t>（2）环境标志产品：投标产品属于财政部和生态环境部最新公布的环境标志产品政府采购品目清单的，供应商需提供市场监管总局发布参与实施政府采购节能产品、环境标志产品认证机构出具的认证证书复印件并加盖公章，且在有效截止日期内，得</w:t>
            </w:r>
            <w:r>
              <w:rPr>
                <w:rFonts w:hint="eastAsia" w:ascii="宋体" w:hAnsi="宋体"/>
                <w:sz w:val="24"/>
                <w:lang w:val="en-US" w:eastAsia="zh-CN"/>
              </w:rPr>
              <w:t>0.5</w:t>
            </w:r>
            <w:r>
              <w:rPr>
                <w:rFonts w:ascii="宋体" w:hAnsi="宋体"/>
                <w:sz w:val="24"/>
              </w:rPr>
              <w:t>分；否则0分。</w:t>
            </w:r>
          </w:p>
        </w:tc>
        <w:tc>
          <w:tcPr>
            <w:tcW w:w="637" w:type="pct"/>
            <w:tcBorders>
              <w:top w:val="single" w:color="auto" w:sz="4" w:space="0"/>
              <w:left w:val="single" w:color="auto" w:sz="4" w:space="0"/>
              <w:bottom w:val="single" w:color="auto" w:sz="4" w:space="0"/>
              <w:right w:val="single" w:color="auto" w:sz="4" w:space="0"/>
            </w:tcBorders>
            <w:vAlign w:val="center"/>
          </w:tcPr>
          <w:p w14:paraId="5B54A34B">
            <w:pPr>
              <w:snapToGrid w:val="0"/>
              <w:spacing w:line="360" w:lineRule="auto"/>
              <w:jc w:val="center"/>
              <w:rPr>
                <w:rFonts w:hint="eastAsia" w:ascii="宋体" w:hAnsi="宋体" w:eastAsia="宋体"/>
                <w:sz w:val="24"/>
                <w:lang w:eastAsia="zh-CN"/>
              </w:rPr>
            </w:pPr>
            <w:r>
              <w:rPr>
                <w:rFonts w:hint="eastAsia" w:ascii="宋体" w:hAnsi="宋体"/>
                <w:sz w:val="24"/>
                <w:lang w:val="en-US" w:eastAsia="zh-CN"/>
              </w:rPr>
              <w:t>1</w:t>
            </w:r>
          </w:p>
        </w:tc>
      </w:tr>
    </w:tbl>
    <w:p w14:paraId="7C9D4723">
      <w:pPr>
        <w:spacing w:line="360" w:lineRule="auto"/>
        <w:jc w:val="center"/>
        <w:outlineLvl w:val="1"/>
        <w:rPr>
          <w:rFonts w:hint="eastAsia" w:ascii="宋体" w:hAnsi="宋体" w:eastAsia="宋体" w:cs="宋体"/>
          <w:b/>
          <w:sz w:val="28"/>
          <w:szCs w:val="28"/>
        </w:rPr>
      </w:pPr>
      <w:r>
        <w:rPr>
          <w:rFonts w:hint="eastAsia" w:ascii="宋体" w:hAnsi="宋体" w:eastAsia="宋体" w:cs="宋体"/>
          <w:b/>
          <w:sz w:val="28"/>
          <w:szCs w:val="28"/>
        </w:rPr>
        <w:t>第三包  土壤碳通量测量系统</w:t>
      </w:r>
    </w:p>
    <w:tbl>
      <w:tblPr>
        <w:tblStyle w:val="37"/>
        <w:tblW w:w="47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1"/>
        <w:gridCol w:w="6144"/>
        <w:gridCol w:w="1106"/>
      </w:tblGrid>
      <w:tr w14:paraId="6E0E0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824" w:type="pct"/>
            <w:tcBorders>
              <w:top w:val="single" w:color="auto" w:sz="4" w:space="0"/>
              <w:left w:val="single" w:color="auto" w:sz="4" w:space="0"/>
              <w:bottom w:val="single" w:color="auto" w:sz="4" w:space="0"/>
              <w:right w:val="single" w:color="auto" w:sz="4" w:space="0"/>
            </w:tcBorders>
            <w:vAlign w:val="center"/>
          </w:tcPr>
          <w:p w14:paraId="26245F69">
            <w:pPr>
              <w:snapToGrid w:val="0"/>
              <w:spacing w:line="360" w:lineRule="auto"/>
              <w:jc w:val="center"/>
              <w:rPr>
                <w:rFonts w:hint="eastAsia" w:ascii="宋体" w:hAnsi="宋体"/>
                <w:b/>
                <w:sz w:val="24"/>
              </w:rPr>
            </w:pPr>
            <w:bookmarkStart w:id="205" w:name="_Toc178672500"/>
            <w:bookmarkEnd w:id="205"/>
            <w:bookmarkStart w:id="206" w:name="OLE_LINK1"/>
            <w:bookmarkEnd w:id="206"/>
            <w:r>
              <w:rPr>
                <w:rFonts w:ascii="宋体" w:hAnsi="宋体"/>
                <w:b/>
                <w:sz w:val="24"/>
              </w:rPr>
              <w:t>评分项目</w:t>
            </w:r>
          </w:p>
        </w:tc>
        <w:tc>
          <w:tcPr>
            <w:tcW w:w="3538" w:type="pct"/>
            <w:tcBorders>
              <w:top w:val="single" w:color="auto" w:sz="4" w:space="0"/>
              <w:left w:val="single" w:color="auto" w:sz="4" w:space="0"/>
              <w:bottom w:val="single" w:color="auto" w:sz="4" w:space="0"/>
              <w:right w:val="single" w:color="auto" w:sz="4" w:space="0"/>
            </w:tcBorders>
            <w:vAlign w:val="center"/>
          </w:tcPr>
          <w:p w14:paraId="158404CA">
            <w:pPr>
              <w:spacing w:line="360" w:lineRule="auto"/>
              <w:jc w:val="center"/>
              <w:rPr>
                <w:rFonts w:hint="eastAsia" w:ascii="宋体" w:hAnsi="宋体"/>
                <w:b/>
                <w:sz w:val="24"/>
              </w:rPr>
            </w:pPr>
            <w:r>
              <w:rPr>
                <w:rFonts w:ascii="宋体" w:hAnsi="宋体"/>
                <w:b/>
                <w:sz w:val="24"/>
              </w:rPr>
              <w:t>评分细则</w:t>
            </w:r>
          </w:p>
        </w:tc>
        <w:tc>
          <w:tcPr>
            <w:tcW w:w="637" w:type="pct"/>
            <w:tcBorders>
              <w:top w:val="single" w:color="auto" w:sz="4" w:space="0"/>
              <w:left w:val="single" w:color="auto" w:sz="4" w:space="0"/>
              <w:bottom w:val="single" w:color="auto" w:sz="4" w:space="0"/>
              <w:right w:val="single" w:color="auto" w:sz="4" w:space="0"/>
            </w:tcBorders>
            <w:vAlign w:val="center"/>
          </w:tcPr>
          <w:p w14:paraId="558BBDDC">
            <w:pPr>
              <w:spacing w:line="360" w:lineRule="auto"/>
              <w:jc w:val="center"/>
              <w:rPr>
                <w:rFonts w:hint="eastAsia" w:ascii="宋体" w:hAnsi="宋体"/>
                <w:b/>
                <w:sz w:val="24"/>
              </w:rPr>
            </w:pPr>
            <w:r>
              <w:rPr>
                <w:rFonts w:ascii="宋体" w:hAnsi="宋体"/>
                <w:b/>
                <w:sz w:val="24"/>
              </w:rPr>
              <w:t>分值</w:t>
            </w:r>
          </w:p>
        </w:tc>
      </w:tr>
      <w:tr w14:paraId="1A80F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824" w:type="pct"/>
            <w:tcBorders>
              <w:top w:val="single" w:color="auto" w:sz="4" w:space="0"/>
              <w:left w:val="single" w:color="auto" w:sz="4" w:space="0"/>
              <w:bottom w:val="single" w:color="auto" w:sz="4" w:space="0"/>
              <w:right w:val="single" w:color="auto" w:sz="4" w:space="0"/>
            </w:tcBorders>
            <w:vAlign w:val="center"/>
          </w:tcPr>
          <w:p w14:paraId="10E3E4AE">
            <w:pPr>
              <w:snapToGrid w:val="0"/>
              <w:spacing w:line="360" w:lineRule="auto"/>
              <w:jc w:val="center"/>
              <w:rPr>
                <w:rFonts w:hint="eastAsia" w:ascii="宋体" w:hAnsi="宋体"/>
                <w:sz w:val="24"/>
              </w:rPr>
            </w:pPr>
            <w:r>
              <w:rPr>
                <w:rFonts w:ascii="宋体" w:hAnsi="宋体"/>
                <w:sz w:val="24"/>
              </w:rPr>
              <w:t>价格</w:t>
            </w:r>
          </w:p>
          <w:p w14:paraId="496EA989">
            <w:pPr>
              <w:snapToGrid w:val="0"/>
              <w:spacing w:line="360" w:lineRule="auto"/>
              <w:jc w:val="center"/>
              <w:rPr>
                <w:rFonts w:hint="eastAsia" w:ascii="宋体" w:hAnsi="宋体"/>
                <w:sz w:val="24"/>
              </w:rPr>
            </w:pPr>
            <w:r>
              <w:rPr>
                <w:rFonts w:ascii="宋体" w:hAnsi="宋体"/>
                <w:sz w:val="24"/>
              </w:rPr>
              <w:t>部分</w:t>
            </w:r>
          </w:p>
          <w:p w14:paraId="1D32A244">
            <w:pPr>
              <w:snapToGrid w:val="0"/>
              <w:spacing w:line="360" w:lineRule="auto"/>
              <w:jc w:val="center"/>
              <w:rPr>
                <w:rFonts w:hint="eastAsia" w:ascii="宋体" w:hAnsi="宋体"/>
                <w:sz w:val="24"/>
              </w:rPr>
            </w:pPr>
            <w:r>
              <w:rPr>
                <w:rFonts w:ascii="宋体" w:hAnsi="宋体"/>
                <w:sz w:val="24"/>
              </w:rPr>
              <w:t>（30分）</w:t>
            </w:r>
          </w:p>
        </w:tc>
        <w:tc>
          <w:tcPr>
            <w:tcW w:w="3538" w:type="pct"/>
            <w:tcBorders>
              <w:top w:val="single" w:color="auto" w:sz="4" w:space="0"/>
              <w:left w:val="single" w:color="auto" w:sz="4" w:space="0"/>
              <w:bottom w:val="single" w:color="auto" w:sz="4" w:space="0"/>
              <w:right w:val="single" w:color="auto" w:sz="4" w:space="0"/>
            </w:tcBorders>
            <w:vAlign w:val="center"/>
          </w:tcPr>
          <w:p w14:paraId="50A74FDD">
            <w:pPr>
              <w:spacing w:line="360" w:lineRule="auto"/>
              <w:rPr>
                <w:rFonts w:hint="eastAsia" w:ascii="宋体" w:hAnsi="宋体"/>
                <w:sz w:val="24"/>
              </w:rPr>
            </w:pPr>
            <w:r>
              <w:rPr>
                <w:rFonts w:ascii="宋体" w:hAnsi="宋体"/>
                <w:sz w:val="24"/>
              </w:rPr>
              <w:t xml:space="preserve">   </w:t>
            </w:r>
            <w:r>
              <w:rPr>
                <w:rFonts w:hint="eastAsia" w:ascii="宋体" w:hAnsi="宋体"/>
                <w:sz w:val="24"/>
              </w:rPr>
              <w:t>根据《政府采购货物和服务招标投标管理办法》（财政部令第87号）的规定，本次价格评分统一采用低价优先法计算，即满足招标文件要求且投标价格最低的投标报价为评标基准价，其价格分为满分。其他供应商的价格评分统一按照下列公式计算：</w:t>
            </w:r>
          </w:p>
          <w:p w14:paraId="345D2130">
            <w:pPr>
              <w:spacing w:line="360" w:lineRule="auto"/>
              <w:ind w:firstLine="405"/>
              <w:rPr>
                <w:rFonts w:hint="eastAsia" w:ascii="宋体" w:hAnsi="宋体"/>
                <w:sz w:val="24"/>
              </w:rPr>
            </w:pPr>
            <w:r>
              <w:rPr>
                <w:rFonts w:hint="eastAsia" w:ascii="宋体" w:hAnsi="宋体"/>
                <w:sz w:val="24"/>
              </w:rPr>
              <w:t>价格评分 =（评标基准价/投标报价）×30</w:t>
            </w:r>
          </w:p>
        </w:tc>
        <w:tc>
          <w:tcPr>
            <w:tcW w:w="637" w:type="pct"/>
            <w:tcBorders>
              <w:top w:val="single" w:color="auto" w:sz="4" w:space="0"/>
              <w:left w:val="single" w:color="auto" w:sz="4" w:space="0"/>
              <w:bottom w:val="single" w:color="auto" w:sz="4" w:space="0"/>
              <w:right w:val="single" w:color="auto" w:sz="4" w:space="0"/>
            </w:tcBorders>
            <w:vAlign w:val="center"/>
          </w:tcPr>
          <w:p w14:paraId="46702379">
            <w:pPr>
              <w:spacing w:line="360" w:lineRule="auto"/>
              <w:jc w:val="center"/>
              <w:rPr>
                <w:rFonts w:hint="eastAsia" w:ascii="宋体" w:hAnsi="宋体"/>
                <w:sz w:val="24"/>
              </w:rPr>
            </w:pPr>
            <w:r>
              <w:rPr>
                <w:rFonts w:hint="eastAsia" w:ascii="宋体" w:hAnsi="宋体"/>
                <w:sz w:val="24"/>
              </w:rPr>
              <w:t>30</w:t>
            </w:r>
          </w:p>
        </w:tc>
      </w:tr>
      <w:tr w14:paraId="69F8D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24" w:type="pct"/>
            <w:vMerge w:val="restart"/>
            <w:tcBorders>
              <w:left w:val="single" w:color="auto" w:sz="4" w:space="0"/>
              <w:right w:val="single" w:color="auto" w:sz="4" w:space="0"/>
            </w:tcBorders>
            <w:vAlign w:val="center"/>
          </w:tcPr>
          <w:p w14:paraId="34C4CDCC">
            <w:pPr>
              <w:snapToGrid w:val="0"/>
              <w:spacing w:line="360" w:lineRule="auto"/>
              <w:jc w:val="center"/>
              <w:rPr>
                <w:rFonts w:hint="eastAsia" w:ascii="宋体" w:hAnsi="宋体" w:cs="宋体"/>
                <w:sz w:val="24"/>
              </w:rPr>
            </w:pPr>
            <w:r>
              <w:rPr>
                <w:rFonts w:hint="eastAsia" w:ascii="宋体" w:hAnsi="宋体" w:cs="宋体"/>
                <w:sz w:val="24"/>
              </w:rPr>
              <w:t>商务</w:t>
            </w:r>
          </w:p>
          <w:p w14:paraId="6242B1E3">
            <w:pPr>
              <w:snapToGrid w:val="0"/>
              <w:spacing w:line="360" w:lineRule="auto"/>
              <w:jc w:val="center"/>
              <w:rPr>
                <w:rFonts w:hint="eastAsia" w:ascii="宋体" w:hAnsi="宋体" w:cs="宋体"/>
                <w:sz w:val="24"/>
              </w:rPr>
            </w:pPr>
            <w:r>
              <w:rPr>
                <w:rFonts w:hint="eastAsia" w:ascii="宋体" w:hAnsi="宋体" w:cs="宋体"/>
                <w:sz w:val="24"/>
              </w:rPr>
              <w:t>部分</w:t>
            </w:r>
          </w:p>
          <w:p w14:paraId="63334987">
            <w:pPr>
              <w:snapToGrid w:val="0"/>
              <w:spacing w:line="360" w:lineRule="auto"/>
              <w:jc w:val="center"/>
              <w:rPr>
                <w:rFonts w:hint="eastAsia" w:ascii="宋体" w:hAnsi="宋体"/>
                <w:sz w:val="24"/>
              </w:rPr>
            </w:pP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分）</w:t>
            </w:r>
          </w:p>
        </w:tc>
        <w:tc>
          <w:tcPr>
            <w:tcW w:w="3538" w:type="pct"/>
            <w:tcBorders>
              <w:top w:val="single" w:color="auto" w:sz="4" w:space="0"/>
              <w:left w:val="single" w:color="auto" w:sz="4" w:space="0"/>
              <w:bottom w:val="single" w:color="auto" w:sz="4" w:space="0"/>
              <w:right w:val="single" w:color="auto" w:sz="4" w:space="0"/>
            </w:tcBorders>
            <w:vAlign w:val="center"/>
          </w:tcPr>
          <w:p w14:paraId="036769F1">
            <w:pPr>
              <w:spacing w:line="360" w:lineRule="auto"/>
              <w:rPr>
                <w:sz w:val="24"/>
              </w:rPr>
            </w:pPr>
            <w:r>
              <w:rPr>
                <w:rFonts w:hint="eastAsia" w:ascii="宋体" w:hAnsi="宋体"/>
                <w:sz w:val="24"/>
              </w:rPr>
              <w:t>1、商务条款应答响应情况</w:t>
            </w:r>
            <w:r>
              <w:rPr>
                <w:sz w:val="24"/>
              </w:rPr>
              <w:t>：</w:t>
            </w:r>
          </w:p>
          <w:p w14:paraId="4D902DCE">
            <w:pPr>
              <w:spacing w:line="360" w:lineRule="auto"/>
              <w:rPr>
                <w:rFonts w:hint="eastAsia" w:ascii="宋体" w:hAnsi="宋体"/>
                <w:sz w:val="24"/>
              </w:rPr>
            </w:pPr>
            <w:r>
              <w:rPr>
                <w:rFonts w:hint="eastAsia" w:ascii="宋体" w:hAnsi="宋体"/>
                <w:sz w:val="24"/>
              </w:rPr>
              <w:t>标记为“★”的是关键商务条款，正偏离不加分，如不满足其投标予以拒绝。</w:t>
            </w:r>
          </w:p>
          <w:p w14:paraId="13F33432">
            <w:pPr>
              <w:spacing w:line="360" w:lineRule="auto"/>
              <w:rPr>
                <w:rFonts w:hint="eastAsia" w:ascii="宋体" w:hAnsi="宋体"/>
                <w:sz w:val="24"/>
              </w:rPr>
            </w:pPr>
            <w:r>
              <w:rPr>
                <w:rFonts w:hint="eastAsia" w:ascii="宋体" w:hAnsi="宋体"/>
                <w:sz w:val="24"/>
              </w:rPr>
              <w:t>其他非“★”的商务条款：应答有负偏离得0分，应答全部无偏离得</w:t>
            </w:r>
            <w:r>
              <w:rPr>
                <w:rFonts w:ascii="宋体" w:hAnsi="宋体"/>
                <w:sz w:val="24"/>
              </w:rPr>
              <w:t>1</w:t>
            </w:r>
            <w:r>
              <w:rPr>
                <w:rFonts w:hint="eastAsia" w:ascii="宋体" w:hAnsi="宋体"/>
                <w:sz w:val="24"/>
              </w:rPr>
              <w:t>分，应答有正偏离得</w:t>
            </w:r>
            <w:r>
              <w:rPr>
                <w:rFonts w:ascii="宋体" w:hAnsi="宋体"/>
                <w:sz w:val="24"/>
              </w:rPr>
              <w:t>2</w:t>
            </w:r>
            <w:r>
              <w:rPr>
                <w:rFonts w:hint="eastAsia" w:ascii="宋体" w:hAnsi="宋体"/>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5B2DA0E9">
            <w:pPr>
              <w:spacing w:line="360" w:lineRule="auto"/>
              <w:jc w:val="center"/>
              <w:rPr>
                <w:rFonts w:hint="eastAsia" w:ascii="宋体" w:hAnsi="宋体"/>
                <w:sz w:val="24"/>
              </w:rPr>
            </w:pPr>
            <w:r>
              <w:rPr>
                <w:rFonts w:hint="eastAsia" w:ascii="宋体" w:hAnsi="宋体"/>
                <w:sz w:val="24"/>
              </w:rPr>
              <w:t>2</w:t>
            </w:r>
          </w:p>
        </w:tc>
      </w:tr>
      <w:tr w14:paraId="2573D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824" w:type="pct"/>
            <w:vMerge w:val="continue"/>
            <w:tcBorders>
              <w:left w:val="single" w:color="auto" w:sz="4" w:space="0"/>
              <w:right w:val="single" w:color="auto" w:sz="4" w:space="0"/>
            </w:tcBorders>
            <w:vAlign w:val="center"/>
          </w:tcPr>
          <w:p w14:paraId="2C8CCACB">
            <w:pPr>
              <w:snapToGrid w:val="0"/>
              <w:spacing w:line="360" w:lineRule="auto"/>
              <w:jc w:val="center"/>
              <w:rPr>
                <w:rFonts w:hint="eastAsia" w:ascii="宋体" w:hAnsi="宋体"/>
                <w:sz w:val="24"/>
              </w:rPr>
            </w:pPr>
          </w:p>
        </w:tc>
        <w:tc>
          <w:tcPr>
            <w:tcW w:w="3538" w:type="pct"/>
            <w:tcBorders>
              <w:top w:val="single" w:color="auto" w:sz="4" w:space="0"/>
              <w:left w:val="single" w:color="auto" w:sz="4" w:space="0"/>
              <w:bottom w:val="single" w:color="auto" w:sz="4" w:space="0"/>
              <w:right w:val="single" w:color="auto" w:sz="4" w:space="0"/>
            </w:tcBorders>
            <w:vAlign w:val="center"/>
          </w:tcPr>
          <w:p w14:paraId="4C52366A">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2、提供投标人分析仪器类设备同类项目业绩【（每提供一个业绩在20</w:t>
            </w:r>
            <w:r>
              <w:rPr>
                <w:rFonts w:hint="eastAsia" w:asciiTheme="minorEastAsia" w:hAnsiTheme="minorEastAsia" w:eastAsiaTheme="minorEastAsia" w:cstheme="minorEastAsia"/>
                <w:sz w:val="24"/>
                <w:lang w:val="en-US" w:eastAsia="zh-CN"/>
              </w:rPr>
              <w:t>23</w:t>
            </w:r>
            <w:r>
              <w:rPr>
                <w:rFonts w:hint="eastAsia" w:asciiTheme="minorEastAsia" w:hAnsiTheme="minorEastAsia" w:eastAsiaTheme="minorEastAsia" w:cstheme="minorEastAsia"/>
                <w:sz w:val="24"/>
              </w:rPr>
              <w:t>年7月1日至投标截止日的同类项目合同案例加2分，最高不超过6分，案例以提供的合同时间为准，要求必须提供签订的合同首页、合同金额所在页、签字盖章页复印件作为证明）】</w:t>
            </w:r>
          </w:p>
        </w:tc>
        <w:tc>
          <w:tcPr>
            <w:tcW w:w="637" w:type="pct"/>
            <w:tcBorders>
              <w:top w:val="single" w:color="auto" w:sz="4" w:space="0"/>
              <w:left w:val="single" w:color="auto" w:sz="4" w:space="0"/>
              <w:bottom w:val="single" w:color="auto" w:sz="4" w:space="0"/>
              <w:right w:val="single" w:color="auto" w:sz="4" w:space="0"/>
            </w:tcBorders>
            <w:vAlign w:val="center"/>
          </w:tcPr>
          <w:p w14:paraId="7F3647B6">
            <w:pPr>
              <w:spacing w:line="360" w:lineRule="auto"/>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szCs w:val="22"/>
                <w:lang w:val="en-US" w:eastAsia="zh-CN"/>
              </w:rPr>
              <w:t>6</w:t>
            </w:r>
          </w:p>
        </w:tc>
      </w:tr>
      <w:tr w14:paraId="1064A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24" w:type="pct"/>
            <w:vMerge w:val="restart"/>
            <w:tcBorders>
              <w:top w:val="single" w:color="auto" w:sz="4" w:space="0"/>
              <w:left w:val="single" w:color="auto" w:sz="4" w:space="0"/>
              <w:right w:val="single" w:color="auto" w:sz="4" w:space="0"/>
            </w:tcBorders>
            <w:vAlign w:val="center"/>
          </w:tcPr>
          <w:p w14:paraId="3C5112B3">
            <w:pPr>
              <w:snapToGrid w:val="0"/>
              <w:spacing w:line="360" w:lineRule="auto"/>
              <w:jc w:val="center"/>
              <w:rPr>
                <w:rFonts w:hint="eastAsia" w:ascii="宋体" w:hAnsi="宋体"/>
                <w:sz w:val="24"/>
              </w:rPr>
            </w:pPr>
            <w:r>
              <w:rPr>
                <w:rFonts w:ascii="宋体" w:hAnsi="宋体"/>
                <w:sz w:val="24"/>
              </w:rPr>
              <w:t>技术</w:t>
            </w:r>
          </w:p>
          <w:p w14:paraId="26EAC025">
            <w:pPr>
              <w:snapToGrid w:val="0"/>
              <w:spacing w:line="360" w:lineRule="auto"/>
              <w:jc w:val="center"/>
              <w:rPr>
                <w:rFonts w:hint="eastAsia" w:ascii="宋体" w:hAnsi="宋体"/>
                <w:sz w:val="24"/>
              </w:rPr>
            </w:pPr>
            <w:r>
              <w:rPr>
                <w:rFonts w:ascii="宋体" w:hAnsi="宋体"/>
                <w:sz w:val="24"/>
              </w:rPr>
              <w:t>部分</w:t>
            </w:r>
          </w:p>
          <w:p w14:paraId="6DA103FF">
            <w:pPr>
              <w:snapToGrid w:val="0"/>
              <w:spacing w:line="360" w:lineRule="auto"/>
              <w:jc w:val="center"/>
              <w:rPr>
                <w:rFonts w:hint="eastAsia" w:ascii="宋体" w:hAnsi="宋体"/>
                <w:sz w:val="24"/>
              </w:rPr>
            </w:pPr>
            <w:r>
              <w:rPr>
                <w:rFonts w:ascii="宋体" w:hAnsi="宋体"/>
                <w:sz w:val="24"/>
              </w:rPr>
              <w:t>（</w:t>
            </w:r>
            <w:r>
              <w:rPr>
                <w:rFonts w:hint="eastAsia" w:ascii="宋体" w:hAnsi="宋体"/>
                <w:sz w:val="24"/>
                <w:lang w:val="en-US" w:eastAsia="zh-CN"/>
              </w:rPr>
              <w:t>61</w:t>
            </w:r>
            <w:r>
              <w:rPr>
                <w:rFonts w:ascii="宋体" w:hAnsi="宋体"/>
                <w:sz w:val="24"/>
              </w:rPr>
              <w:t>分）</w:t>
            </w:r>
          </w:p>
        </w:tc>
        <w:tc>
          <w:tcPr>
            <w:tcW w:w="3538" w:type="pct"/>
            <w:tcBorders>
              <w:top w:val="single" w:color="auto" w:sz="4" w:space="0"/>
              <w:left w:val="single" w:color="auto" w:sz="4" w:space="0"/>
              <w:bottom w:val="single" w:color="auto" w:sz="4" w:space="0"/>
              <w:right w:val="single" w:color="auto" w:sz="4" w:space="0"/>
            </w:tcBorders>
            <w:vAlign w:val="center"/>
          </w:tcPr>
          <w:p w14:paraId="38D386C3">
            <w:pPr>
              <w:spacing w:line="360" w:lineRule="auto"/>
              <w:rPr>
                <w:rFonts w:hint="eastAsia" w:ascii="宋体" w:hAnsi="宋体" w:cs="宋体"/>
                <w:sz w:val="24"/>
              </w:rPr>
            </w:pPr>
            <w:r>
              <w:rPr>
                <w:rFonts w:hint="eastAsia" w:ascii="宋体" w:hAnsi="宋体" w:cs="宋体"/>
                <w:sz w:val="24"/>
              </w:rPr>
              <w:t>1、技术指标条款响应情况</w:t>
            </w:r>
          </w:p>
          <w:p w14:paraId="2884402C">
            <w:pPr>
              <w:snapToGrid w:val="0"/>
              <w:spacing w:line="360" w:lineRule="auto"/>
              <w:rPr>
                <w:rFonts w:hint="eastAsia" w:ascii="宋体" w:hAnsi="宋体" w:cs="宋体"/>
                <w:b/>
                <w:bCs/>
                <w:sz w:val="24"/>
              </w:rPr>
            </w:pPr>
            <w:r>
              <w:rPr>
                <w:rFonts w:hint="eastAsia" w:ascii="宋体" w:hAnsi="宋体" w:cs="宋体"/>
                <w:b/>
                <w:bCs/>
                <w:sz w:val="24"/>
              </w:rPr>
              <w:t>（1）技术偏离表须依据招标文件项目需求逐条响应，否则视为未实质性响应招标文件, 其投标予以拒绝；</w:t>
            </w:r>
          </w:p>
          <w:p w14:paraId="5A11B368">
            <w:pPr>
              <w:snapToGrid w:val="0"/>
              <w:spacing w:line="360" w:lineRule="auto"/>
              <w:rPr>
                <w:rFonts w:hint="eastAsia" w:ascii="宋体" w:hAnsi="宋体" w:cs="宋体"/>
                <w:sz w:val="24"/>
              </w:rPr>
            </w:pPr>
            <w:r>
              <w:rPr>
                <w:rFonts w:hint="eastAsia" w:ascii="宋体" w:hAnsi="宋体" w:cs="宋体"/>
                <w:sz w:val="24"/>
              </w:rPr>
              <w:t>（2）技术指标评审基准分为</w:t>
            </w:r>
            <w:r>
              <w:rPr>
                <w:rFonts w:hint="eastAsia" w:ascii="宋体" w:hAnsi="宋体" w:cs="宋体"/>
                <w:sz w:val="24"/>
                <w:lang w:val="en-US" w:eastAsia="zh-CN"/>
              </w:rPr>
              <w:t>50</w:t>
            </w:r>
            <w:r>
              <w:rPr>
                <w:rFonts w:hint="eastAsia" w:ascii="宋体" w:hAnsi="宋体" w:cs="宋体"/>
                <w:sz w:val="24"/>
              </w:rPr>
              <w:t xml:space="preserve">分，评委可根据技术指标的正负偏离情况进行评分； </w:t>
            </w:r>
          </w:p>
          <w:p w14:paraId="76868919">
            <w:pPr>
              <w:snapToGrid w:val="0"/>
              <w:spacing w:line="360" w:lineRule="auto"/>
              <w:rPr>
                <w:rFonts w:hint="eastAsia" w:ascii="宋体" w:hAnsi="宋体" w:cs="宋体"/>
                <w:bCs/>
                <w:sz w:val="24"/>
              </w:rPr>
            </w:pPr>
            <w:r>
              <w:rPr>
                <w:rFonts w:hint="eastAsia" w:ascii="宋体" w:hAnsi="宋体" w:cs="宋体"/>
                <w:bCs/>
                <w:sz w:val="24"/>
              </w:rPr>
              <w:t>（3）标记为“</w:t>
            </w:r>
            <w:r>
              <w:rPr>
                <w:rFonts w:hint="eastAsia" w:ascii="宋体" w:hAnsi="宋体" w:cs="宋体"/>
                <w:sz w:val="24"/>
              </w:rPr>
              <w:t>★</w:t>
            </w:r>
            <w:r>
              <w:rPr>
                <w:rFonts w:hint="eastAsia" w:ascii="宋体" w:hAnsi="宋体" w:cs="宋体"/>
                <w:bCs/>
                <w:sz w:val="24"/>
              </w:rPr>
              <w:t>”的指标是关键技术条款，</w:t>
            </w:r>
            <w:r>
              <w:rPr>
                <w:rFonts w:hint="eastAsia" w:ascii="宋体" w:hAnsi="宋体" w:cs="宋体"/>
                <w:sz w:val="24"/>
              </w:rPr>
              <w:t>正偏离不加分，</w:t>
            </w:r>
            <w:r>
              <w:rPr>
                <w:rFonts w:hint="eastAsia" w:ascii="宋体" w:hAnsi="宋体" w:cs="宋体"/>
                <w:bCs/>
                <w:sz w:val="24"/>
              </w:rPr>
              <w:t>如不满足其投标予以拒绝；</w:t>
            </w:r>
          </w:p>
          <w:p w14:paraId="48B58E12">
            <w:pPr>
              <w:snapToGrid w:val="0"/>
              <w:spacing w:line="360" w:lineRule="auto"/>
              <w:rPr>
                <w:rFonts w:hint="eastAsia" w:ascii="宋体" w:hAnsi="宋体" w:cs="宋体"/>
                <w:bCs/>
                <w:sz w:val="24"/>
              </w:rPr>
            </w:pPr>
            <w:r>
              <w:rPr>
                <w:rFonts w:hint="eastAsia" w:ascii="宋体" w:hAnsi="宋体" w:cs="宋体"/>
                <w:bCs/>
                <w:sz w:val="24"/>
              </w:rPr>
              <w:t>（4）标记为“▲”的指标为重要技术条款，总分为</w:t>
            </w:r>
            <w:r>
              <w:rPr>
                <w:rFonts w:hint="eastAsia" w:ascii="宋体" w:hAnsi="宋体" w:cs="宋体"/>
                <w:bCs/>
                <w:sz w:val="24"/>
                <w:lang w:val="en-US" w:eastAsia="zh-CN"/>
              </w:rPr>
              <w:t>30</w:t>
            </w:r>
            <w:r>
              <w:rPr>
                <w:rFonts w:hint="eastAsia" w:ascii="宋体" w:hAnsi="宋体" w:cs="宋体"/>
                <w:bCs/>
                <w:sz w:val="24"/>
              </w:rPr>
              <w:t>分。正偏离不加分，负偏离每项减</w:t>
            </w:r>
            <w:r>
              <w:rPr>
                <w:rFonts w:hint="eastAsia" w:ascii="宋体" w:hAnsi="宋体" w:cs="宋体"/>
                <w:bCs/>
                <w:sz w:val="24"/>
                <w:lang w:val="en-US" w:eastAsia="zh-CN"/>
              </w:rPr>
              <w:t>3</w:t>
            </w:r>
            <w:r>
              <w:rPr>
                <w:rFonts w:hint="eastAsia" w:ascii="宋体" w:hAnsi="宋体" w:cs="宋体"/>
                <w:bCs/>
                <w:sz w:val="24"/>
              </w:rPr>
              <w:t>分，超过</w:t>
            </w:r>
            <w:r>
              <w:rPr>
                <w:rFonts w:hint="eastAsia" w:ascii="宋体" w:hAnsi="宋体" w:cs="宋体"/>
                <w:bCs/>
                <w:sz w:val="24"/>
                <w:lang w:val="en-US" w:eastAsia="zh-CN"/>
              </w:rPr>
              <w:t>10</w:t>
            </w:r>
            <w:r>
              <w:rPr>
                <w:rFonts w:hint="eastAsia" w:ascii="宋体" w:hAnsi="宋体" w:cs="宋体"/>
                <w:bCs/>
                <w:sz w:val="24"/>
              </w:rPr>
              <w:t>项（含）负偏离不得分。</w:t>
            </w:r>
          </w:p>
          <w:p w14:paraId="44311F87">
            <w:pPr>
              <w:snapToGrid w:val="0"/>
              <w:spacing w:line="360" w:lineRule="auto"/>
              <w:rPr>
                <w:rFonts w:hint="eastAsia" w:ascii="宋体" w:hAnsi="宋体" w:cs="宋体"/>
                <w:bCs/>
                <w:sz w:val="24"/>
              </w:rPr>
            </w:pPr>
            <w:r>
              <w:rPr>
                <w:rFonts w:hint="eastAsia" w:ascii="宋体" w:hAnsi="宋体" w:cs="宋体"/>
                <w:bCs/>
                <w:sz w:val="24"/>
              </w:rPr>
              <w:t>（5）无标记的指标是一般技术条款，总分为</w:t>
            </w:r>
            <w:r>
              <w:rPr>
                <w:rFonts w:hint="eastAsia" w:ascii="宋体" w:hAnsi="宋体" w:cs="宋体"/>
                <w:bCs/>
                <w:sz w:val="24"/>
                <w:lang w:val="en-US" w:eastAsia="zh-CN"/>
              </w:rPr>
              <w:t>20</w:t>
            </w:r>
            <w:r>
              <w:rPr>
                <w:rFonts w:hint="eastAsia" w:ascii="宋体" w:hAnsi="宋体" w:cs="宋体"/>
                <w:bCs/>
                <w:sz w:val="24"/>
              </w:rPr>
              <w:t>分。正偏离不加分，负偏离每项减</w:t>
            </w:r>
            <w:r>
              <w:rPr>
                <w:rFonts w:hint="eastAsia" w:ascii="宋体" w:hAnsi="宋体" w:cs="宋体"/>
                <w:bCs/>
                <w:sz w:val="24"/>
                <w:lang w:val="en-US" w:eastAsia="zh-CN"/>
              </w:rPr>
              <w:t>2</w:t>
            </w:r>
            <w:r>
              <w:rPr>
                <w:rFonts w:hint="eastAsia" w:ascii="宋体" w:hAnsi="宋体" w:cs="宋体"/>
                <w:bCs/>
                <w:sz w:val="24"/>
              </w:rPr>
              <w:t>分，超</w:t>
            </w:r>
            <w:r>
              <w:rPr>
                <w:rFonts w:hint="eastAsia" w:ascii="宋体" w:hAnsi="宋体" w:cs="宋体"/>
                <w:bCs/>
                <w:sz w:val="24"/>
                <w:lang w:val="en-US" w:eastAsia="zh-CN"/>
              </w:rPr>
              <w:t>10</w:t>
            </w:r>
            <w:r>
              <w:rPr>
                <w:rFonts w:hint="eastAsia" w:ascii="宋体" w:hAnsi="宋体" w:cs="宋体"/>
                <w:bCs/>
                <w:sz w:val="24"/>
              </w:rPr>
              <w:t>项（含）负偏离不得分。</w:t>
            </w:r>
          </w:p>
          <w:p w14:paraId="2992EAF2">
            <w:pPr>
              <w:snapToGrid w:val="0"/>
              <w:spacing w:line="360" w:lineRule="auto"/>
              <w:rPr>
                <w:rFonts w:hint="eastAsia" w:ascii="宋体" w:hAnsi="宋体"/>
                <w:sz w:val="24"/>
              </w:rPr>
            </w:pPr>
            <w:r>
              <w:rPr>
                <w:rFonts w:hint="eastAsia" w:ascii="宋体" w:hAnsi="宋体" w:cs="宋体"/>
                <w:bCs/>
                <w:sz w:val="24"/>
              </w:rPr>
              <w:t>（6）凡标有最低一级序号的指标项即为一项技术条款，无论是否隶属于上一级编号。</w:t>
            </w:r>
          </w:p>
        </w:tc>
        <w:tc>
          <w:tcPr>
            <w:tcW w:w="637" w:type="pct"/>
            <w:tcBorders>
              <w:top w:val="single" w:color="auto" w:sz="4" w:space="0"/>
              <w:left w:val="single" w:color="auto" w:sz="4" w:space="0"/>
              <w:bottom w:val="single" w:color="auto" w:sz="4" w:space="0"/>
              <w:right w:val="single" w:color="auto" w:sz="4" w:space="0"/>
            </w:tcBorders>
            <w:vAlign w:val="center"/>
          </w:tcPr>
          <w:p w14:paraId="42B8A5F2">
            <w:pPr>
              <w:spacing w:line="360" w:lineRule="auto"/>
              <w:jc w:val="center"/>
              <w:rPr>
                <w:rFonts w:hint="default" w:ascii="宋体" w:hAnsi="宋体" w:eastAsia="宋体"/>
                <w:sz w:val="24"/>
                <w:lang w:val="en-US" w:eastAsia="zh-CN"/>
              </w:rPr>
            </w:pPr>
            <w:r>
              <w:rPr>
                <w:rFonts w:hint="eastAsia" w:ascii="宋体" w:hAnsi="宋体"/>
                <w:sz w:val="24"/>
                <w:lang w:val="en-US" w:eastAsia="zh-CN"/>
              </w:rPr>
              <w:t>50</w:t>
            </w:r>
          </w:p>
        </w:tc>
      </w:tr>
      <w:tr w14:paraId="145C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824" w:type="pct"/>
            <w:vMerge w:val="continue"/>
            <w:tcBorders>
              <w:left w:val="single" w:color="auto" w:sz="4" w:space="0"/>
              <w:right w:val="single" w:color="auto" w:sz="4" w:space="0"/>
            </w:tcBorders>
            <w:vAlign w:val="center"/>
          </w:tcPr>
          <w:p w14:paraId="6ECD02FA">
            <w:pPr>
              <w:widowControl/>
              <w:spacing w:line="360" w:lineRule="auto"/>
              <w:jc w:val="center"/>
              <w:rPr>
                <w:rFonts w:hint="eastAsia" w:ascii="宋体" w:hAnsi="宋体"/>
                <w:sz w:val="24"/>
              </w:rPr>
            </w:pPr>
          </w:p>
        </w:tc>
        <w:tc>
          <w:tcPr>
            <w:tcW w:w="3538" w:type="pct"/>
            <w:tcBorders>
              <w:top w:val="single" w:color="auto" w:sz="4" w:space="0"/>
              <w:left w:val="single" w:color="auto" w:sz="4" w:space="0"/>
              <w:bottom w:val="single" w:color="auto" w:sz="4" w:space="0"/>
              <w:right w:val="single" w:color="auto" w:sz="4" w:space="0"/>
            </w:tcBorders>
            <w:vAlign w:val="center"/>
          </w:tcPr>
          <w:p w14:paraId="1505F5C6">
            <w:pPr>
              <w:spacing w:line="360" w:lineRule="auto"/>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、售后服务方案、应急方案。供应商对本项目的售后服务方案和应急方案，包括但不限于维修投标时间、质保期承诺、安装调试验收安排、突发事件的处理措施、应急预案等进行综合评价：</w:t>
            </w:r>
          </w:p>
          <w:p w14:paraId="0DA58387">
            <w:pPr>
              <w:spacing w:line="360" w:lineRule="auto"/>
              <w:rPr>
                <w:rFonts w:hint="eastAsia" w:ascii="宋体" w:hAnsi="宋体" w:cs="宋体"/>
                <w:sz w:val="24"/>
              </w:rPr>
            </w:pPr>
            <w:r>
              <w:rPr>
                <w:rFonts w:hint="eastAsia" w:ascii="宋体" w:hAnsi="宋体" w:cs="宋体"/>
                <w:sz w:val="24"/>
              </w:rPr>
              <w:t>（1）售后服务方案完善，针对本项目提出的服务方案合理、可行，突发事件的处理措施和应急预案非常详细切合实际得</w:t>
            </w:r>
            <w:r>
              <w:rPr>
                <w:rFonts w:hint="eastAsia" w:ascii="宋体" w:hAnsi="宋体" w:cs="宋体"/>
                <w:sz w:val="24"/>
                <w:lang w:val="en-US" w:eastAsia="zh-CN"/>
              </w:rPr>
              <w:t>6</w:t>
            </w:r>
            <w:r>
              <w:rPr>
                <w:rFonts w:hint="eastAsia" w:ascii="宋体" w:hAnsi="宋体" w:cs="宋体"/>
                <w:sz w:val="24"/>
              </w:rPr>
              <w:t>分；</w:t>
            </w:r>
          </w:p>
          <w:p w14:paraId="6545B62E">
            <w:pPr>
              <w:spacing w:line="360" w:lineRule="auto"/>
              <w:rPr>
                <w:rFonts w:hint="eastAsia" w:ascii="宋体" w:hAnsi="宋体" w:cs="宋体"/>
                <w:sz w:val="24"/>
              </w:rPr>
            </w:pPr>
            <w:r>
              <w:rPr>
                <w:rFonts w:hint="eastAsia" w:ascii="宋体" w:hAnsi="宋体" w:cs="宋体"/>
                <w:sz w:val="24"/>
              </w:rPr>
              <w:t>（2）售后服务方案较完善，针对本项目提出的服务方案较合理、可行,突发事件的处理措施和应急预案较详细较切合实际得</w:t>
            </w:r>
            <w:r>
              <w:rPr>
                <w:rFonts w:hint="eastAsia" w:ascii="宋体" w:hAnsi="宋体" w:cs="宋体"/>
                <w:sz w:val="24"/>
                <w:lang w:val="en-US" w:eastAsia="zh-CN"/>
              </w:rPr>
              <w:t>3</w:t>
            </w:r>
            <w:r>
              <w:rPr>
                <w:rFonts w:hint="eastAsia" w:ascii="宋体" w:hAnsi="宋体" w:cs="宋体"/>
                <w:sz w:val="24"/>
              </w:rPr>
              <w:t>分；</w:t>
            </w:r>
          </w:p>
          <w:p w14:paraId="315979A3">
            <w:pPr>
              <w:snapToGrid w:val="0"/>
              <w:spacing w:line="360" w:lineRule="auto"/>
              <w:rPr>
                <w:rFonts w:hint="eastAsia" w:ascii="宋体" w:hAnsi="宋体" w:cs="宋体"/>
                <w:sz w:val="24"/>
              </w:rPr>
            </w:pPr>
            <w:r>
              <w:rPr>
                <w:rFonts w:hint="eastAsia" w:ascii="宋体" w:hAnsi="宋体" w:cs="宋体"/>
                <w:sz w:val="24"/>
              </w:rPr>
              <w:t>（3）售后服务方案不够完善，针对本项目提出的服务方案不够合理、可行,突发事件的处理措施和应急预案不够详细，不够切合实际得1分；</w:t>
            </w:r>
          </w:p>
          <w:p w14:paraId="2939340C">
            <w:pPr>
              <w:snapToGrid w:val="0"/>
              <w:spacing w:line="360" w:lineRule="auto"/>
              <w:rPr>
                <w:rFonts w:hint="eastAsia" w:ascii="宋体" w:hAnsi="宋体"/>
                <w:sz w:val="24"/>
              </w:rPr>
            </w:pPr>
            <w:r>
              <w:rPr>
                <w:rFonts w:hint="eastAsia" w:ascii="宋体" w:hAnsi="宋体" w:cs="宋体"/>
                <w:sz w:val="24"/>
              </w:rPr>
              <w:t>（4）未提供方案或提供了但是完全脱离实际，0</w:t>
            </w:r>
            <w:r>
              <w:rPr>
                <w:rFonts w:hint="eastAsia" w:ascii="宋体" w:hAnsi="宋体" w:cs="宋体"/>
                <w:spacing w:val="-59"/>
                <w:sz w:val="24"/>
              </w:rPr>
              <w:t xml:space="preserve"> </w:t>
            </w:r>
            <w:r>
              <w:rPr>
                <w:rFonts w:hint="eastAsia" w:ascii="宋体" w:hAnsi="宋体" w:cs="宋体"/>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78A790C2">
            <w:pPr>
              <w:spacing w:line="360" w:lineRule="auto"/>
              <w:jc w:val="center"/>
              <w:rPr>
                <w:rFonts w:hint="eastAsia" w:ascii="宋体" w:hAnsi="宋体" w:eastAsia="宋体"/>
                <w:sz w:val="24"/>
                <w:lang w:eastAsia="zh-CN"/>
              </w:rPr>
            </w:pPr>
            <w:r>
              <w:rPr>
                <w:rFonts w:hint="eastAsia" w:ascii="宋体" w:hAnsi="宋体"/>
                <w:sz w:val="24"/>
                <w:lang w:val="en-US" w:eastAsia="zh-CN"/>
              </w:rPr>
              <w:t>6</w:t>
            </w:r>
          </w:p>
        </w:tc>
      </w:tr>
      <w:tr w14:paraId="15630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824" w:type="pct"/>
            <w:vMerge w:val="continue"/>
            <w:tcBorders>
              <w:left w:val="single" w:color="auto" w:sz="4" w:space="0"/>
              <w:bottom w:val="single" w:color="auto" w:sz="4" w:space="0"/>
              <w:right w:val="single" w:color="auto" w:sz="4" w:space="0"/>
            </w:tcBorders>
            <w:vAlign w:val="center"/>
          </w:tcPr>
          <w:p w14:paraId="79F1E794">
            <w:pPr>
              <w:widowControl/>
              <w:spacing w:line="360" w:lineRule="auto"/>
              <w:jc w:val="center"/>
              <w:rPr>
                <w:rFonts w:hint="eastAsia" w:ascii="宋体" w:hAnsi="宋体"/>
                <w:sz w:val="24"/>
              </w:rPr>
            </w:pPr>
          </w:p>
        </w:tc>
        <w:tc>
          <w:tcPr>
            <w:tcW w:w="3538" w:type="pct"/>
            <w:tcBorders>
              <w:top w:val="single" w:color="auto" w:sz="4" w:space="0"/>
              <w:left w:val="single" w:color="auto" w:sz="4" w:space="0"/>
              <w:bottom w:val="single" w:color="auto" w:sz="4" w:space="0"/>
              <w:right w:val="single" w:color="auto" w:sz="4" w:space="0"/>
            </w:tcBorders>
            <w:vAlign w:val="center"/>
          </w:tcPr>
          <w:p w14:paraId="5AD719A6">
            <w:pPr>
              <w:snapToGrid w:val="0"/>
              <w:spacing w:line="360" w:lineRule="auto"/>
              <w:rPr>
                <w:sz w:val="24"/>
              </w:rPr>
            </w:pPr>
            <w:r>
              <w:rPr>
                <w:rFonts w:hint="eastAsia"/>
                <w:sz w:val="24"/>
                <w:lang w:val="en-US" w:eastAsia="zh-CN"/>
              </w:rPr>
              <w:t>3</w:t>
            </w:r>
            <w:r>
              <w:rPr>
                <w:sz w:val="24"/>
              </w:rPr>
              <w:t>、培训方案，包括具体培训计划、具体安排、时间规划、培训内容及培训效果评价、培训质量保证等进行综合评价：</w:t>
            </w:r>
          </w:p>
          <w:p w14:paraId="1A20C45A">
            <w:pPr>
              <w:snapToGrid w:val="0"/>
              <w:spacing w:line="360" w:lineRule="auto"/>
              <w:rPr>
                <w:sz w:val="24"/>
              </w:rPr>
            </w:pPr>
            <w:r>
              <w:rPr>
                <w:sz w:val="24"/>
              </w:rPr>
              <w:t>（1）方案全面、具体，可行性强得</w:t>
            </w:r>
            <w:r>
              <w:rPr>
                <w:rFonts w:hint="eastAsia"/>
                <w:sz w:val="24"/>
                <w:lang w:val="en-US" w:eastAsia="zh-CN"/>
              </w:rPr>
              <w:t>5</w:t>
            </w:r>
            <w:r>
              <w:rPr>
                <w:sz w:val="24"/>
              </w:rPr>
              <w:t>分；</w:t>
            </w:r>
          </w:p>
          <w:p w14:paraId="467258B5">
            <w:pPr>
              <w:snapToGrid w:val="0"/>
              <w:spacing w:line="360" w:lineRule="auto"/>
              <w:rPr>
                <w:sz w:val="24"/>
              </w:rPr>
            </w:pPr>
            <w:r>
              <w:rPr>
                <w:sz w:val="24"/>
              </w:rPr>
              <w:t>（2）方案比较全面、具体，可行性较强得</w:t>
            </w:r>
            <w:r>
              <w:rPr>
                <w:rFonts w:hint="eastAsia"/>
                <w:sz w:val="24"/>
                <w:lang w:val="en-US" w:eastAsia="zh-CN"/>
              </w:rPr>
              <w:t>2</w:t>
            </w:r>
            <w:r>
              <w:rPr>
                <w:sz w:val="24"/>
              </w:rPr>
              <w:t>分；</w:t>
            </w:r>
          </w:p>
          <w:p w14:paraId="1825BB96">
            <w:pPr>
              <w:snapToGrid w:val="0"/>
              <w:spacing w:line="360" w:lineRule="auto"/>
              <w:rPr>
                <w:sz w:val="24"/>
              </w:rPr>
            </w:pPr>
            <w:r>
              <w:rPr>
                <w:sz w:val="24"/>
              </w:rPr>
              <w:t>（3）方案不全面，不具体，可行性一般得</w:t>
            </w:r>
            <w:r>
              <w:rPr>
                <w:rFonts w:hint="eastAsia"/>
                <w:sz w:val="24"/>
              </w:rPr>
              <w:t>1</w:t>
            </w:r>
            <w:r>
              <w:rPr>
                <w:sz w:val="24"/>
              </w:rPr>
              <w:t xml:space="preserve">分； </w:t>
            </w:r>
          </w:p>
          <w:p w14:paraId="11A6E265">
            <w:pPr>
              <w:spacing w:line="360" w:lineRule="auto"/>
              <w:jc w:val="left"/>
              <w:rPr>
                <w:rFonts w:hint="eastAsia" w:ascii="宋体" w:hAnsi="宋体"/>
                <w:sz w:val="24"/>
              </w:rPr>
            </w:pPr>
            <w:r>
              <w:rPr>
                <w:sz w:val="24"/>
              </w:rPr>
              <w:t>（4）未提供方案或提供了但是完全脱离实际，0</w:t>
            </w:r>
            <w:r>
              <w:rPr>
                <w:spacing w:val="-59"/>
                <w:sz w:val="24"/>
              </w:rPr>
              <w:t xml:space="preserve"> </w:t>
            </w:r>
            <w:r>
              <w:rPr>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466C05D5">
            <w:pPr>
              <w:snapToGrid w:val="0"/>
              <w:spacing w:line="360" w:lineRule="auto"/>
              <w:ind w:left="-3"/>
              <w:jc w:val="center"/>
              <w:rPr>
                <w:rFonts w:hint="default" w:ascii="宋体" w:hAnsi="宋体" w:eastAsia="宋体"/>
                <w:sz w:val="24"/>
                <w:lang w:val="en-US" w:eastAsia="zh-CN"/>
              </w:rPr>
            </w:pPr>
            <w:r>
              <w:rPr>
                <w:rFonts w:hint="eastAsia" w:ascii="宋体" w:hAnsi="宋体" w:eastAsia="宋体"/>
                <w:sz w:val="24"/>
                <w:lang w:val="en-US" w:eastAsia="zh-CN"/>
              </w:rPr>
              <w:t>5</w:t>
            </w:r>
          </w:p>
        </w:tc>
      </w:tr>
      <w:tr w14:paraId="7F436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824" w:type="pct"/>
            <w:tcBorders>
              <w:top w:val="single" w:color="auto" w:sz="4" w:space="0"/>
              <w:left w:val="single" w:color="auto" w:sz="4" w:space="0"/>
              <w:bottom w:val="single" w:color="auto" w:sz="4" w:space="0"/>
              <w:right w:val="single" w:color="auto" w:sz="4" w:space="0"/>
            </w:tcBorders>
            <w:vAlign w:val="center"/>
          </w:tcPr>
          <w:p w14:paraId="7D742E23">
            <w:pPr>
              <w:widowControl/>
              <w:spacing w:line="360" w:lineRule="auto"/>
              <w:jc w:val="center"/>
              <w:rPr>
                <w:rFonts w:hint="eastAsia" w:ascii="宋体" w:hAnsi="宋体"/>
                <w:sz w:val="24"/>
              </w:rPr>
            </w:pPr>
            <w:r>
              <w:rPr>
                <w:rFonts w:ascii="宋体" w:hAnsi="宋体"/>
                <w:sz w:val="24"/>
              </w:rPr>
              <w:t>其他</w:t>
            </w:r>
          </w:p>
          <w:p w14:paraId="3CF66BB6">
            <w:pPr>
              <w:widowControl/>
              <w:spacing w:line="360" w:lineRule="auto"/>
              <w:jc w:val="center"/>
              <w:rPr>
                <w:rFonts w:hint="eastAsia" w:ascii="宋体" w:hAnsi="宋体"/>
                <w:sz w:val="24"/>
              </w:rPr>
            </w:pPr>
            <w:r>
              <w:rPr>
                <w:rFonts w:ascii="宋体" w:hAnsi="宋体"/>
                <w:sz w:val="24"/>
              </w:rPr>
              <w:t>(</w:t>
            </w:r>
            <w:r>
              <w:rPr>
                <w:rFonts w:hint="eastAsia" w:ascii="宋体" w:hAnsi="宋体"/>
                <w:sz w:val="24"/>
                <w:lang w:val="en-US" w:eastAsia="zh-CN"/>
              </w:rPr>
              <w:t>1</w:t>
            </w:r>
            <w:r>
              <w:rPr>
                <w:rFonts w:ascii="宋体" w:hAnsi="宋体"/>
                <w:sz w:val="24"/>
              </w:rPr>
              <w:t>分)</w:t>
            </w:r>
          </w:p>
        </w:tc>
        <w:tc>
          <w:tcPr>
            <w:tcW w:w="3538" w:type="pct"/>
            <w:tcBorders>
              <w:top w:val="single" w:color="auto" w:sz="4" w:space="0"/>
              <w:left w:val="single" w:color="auto" w:sz="4" w:space="0"/>
              <w:bottom w:val="single" w:color="auto" w:sz="4" w:space="0"/>
              <w:right w:val="single" w:color="auto" w:sz="4" w:space="0"/>
            </w:tcBorders>
            <w:vAlign w:val="center"/>
          </w:tcPr>
          <w:p w14:paraId="63240945">
            <w:pPr>
              <w:snapToGrid w:val="0"/>
              <w:spacing w:line="360" w:lineRule="auto"/>
              <w:rPr>
                <w:rFonts w:hint="eastAsia" w:ascii="宋体" w:hAnsi="宋体"/>
                <w:sz w:val="24"/>
              </w:rPr>
            </w:pPr>
            <w:r>
              <w:rPr>
                <w:rFonts w:ascii="宋体" w:hAnsi="宋体"/>
                <w:sz w:val="24"/>
              </w:rPr>
              <w:t>供应商所投产品获得相关节能、环保产品认证情况：</w:t>
            </w:r>
          </w:p>
          <w:p w14:paraId="5DFB3E83">
            <w:pPr>
              <w:snapToGrid w:val="0"/>
              <w:spacing w:line="360" w:lineRule="auto"/>
              <w:rPr>
                <w:rFonts w:hint="eastAsia" w:ascii="宋体" w:hAnsi="宋体"/>
                <w:sz w:val="24"/>
              </w:rPr>
            </w:pPr>
            <w:r>
              <w:rPr>
                <w:rFonts w:ascii="宋体" w:hAnsi="宋体"/>
                <w:sz w:val="24"/>
              </w:rPr>
              <w:t>（1）节能产品：投标产品属于财政部和国家发改委最新公布的节能产品政府采购品目清单的，需提供市场监管总局发布参与实施政府采购节能产品、环境标志产品认证机构出具的认证证书复印件并加盖公章，且在有效截止日期内，得</w:t>
            </w:r>
            <w:r>
              <w:rPr>
                <w:rFonts w:hint="eastAsia" w:ascii="宋体" w:hAnsi="宋体"/>
                <w:sz w:val="24"/>
                <w:lang w:val="en-US" w:eastAsia="zh-CN"/>
              </w:rPr>
              <w:t>0.5</w:t>
            </w:r>
            <w:r>
              <w:rPr>
                <w:rFonts w:ascii="宋体" w:hAnsi="宋体"/>
                <w:sz w:val="24"/>
              </w:rPr>
              <w:t>分；否则0分。</w:t>
            </w:r>
          </w:p>
          <w:p w14:paraId="55BE5CBC">
            <w:pPr>
              <w:snapToGrid w:val="0"/>
              <w:spacing w:line="360" w:lineRule="auto"/>
              <w:rPr>
                <w:rFonts w:hint="eastAsia" w:ascii="宋体" w:hAnsi="宋体"/>
                <w:sz w:val="24"/>
              </w:rPr>
            </w:pPr>
            <w:r>
              <w:rPr>
                <w:rFonts w:ascii="宋体" w:hAnsi="宋体"/>
                <w:sz w:val="24"/>
              </w:rPr>
              <w:t>（2）环境标志产品：投标产品属于财政部和生态环境部最新公布的环境标志产品政府采购品目清单的，供应商需提供市场监管总局发布参与实施政府采购节能产品、环境标志产品认证机构出具的认证证书复印件并加盖公章，且在有效截止日期内，得</w:t>
            </w:r>
            <w:r>
              <w:rPr>
                <w:rFonts w:hint="eastAsia" w:ascii="宋体" w:hAnsi="宋体"/>
                <w:sz w:val="24"/>
                <w:lang w:val="en-US" w:eastAsia="zh-CN"/>
              </w:rPr>
              <w:t>0.5</w:t>
            </w:r>
            <w:r>
              <w:rPr>
                <w:rFonts w:ascii="宋体" w:hAnsi="宋体"/>
                <w:sz w:val="24"/>
              </w:rPr>
              <w:t>分；否则0分。</w:t>
            </w:r>
          </w:p>
        </w:tc>
        <w:tc>
          <w:tcPr>
            <w:tcW w:w="637" w:type="pct"/>
            <w:tcBorders>
              <w:top w:val="single" w:color="auto" w:sz="4" w:space="0"/>
              <w:left w:val="single" w:color="auto" w:sz="4" w:space="0"/>
              <w:bottom w:val="single" w:color="auto" w:sz="4" w:space="0"/>
              <w:right w:val="single" w:color="auto" w:sz="4" w:space="0"/>
            </w:tcBorders>
            <w:vAlign w:val="center"/>
          </w:tcPr>
          <w:p w14:paraId="4F377819">
            <w:pPr>
              <w:snapToGrid w:val="0"/>
              <w:spacing w:line="360" w:lineRule="auto"/>
              <w:jc w:val="center"/>
              <w:rPr>
                <w:rFonts w:hint="eastAsia" w:ascii="宋体" w:hAnsi="宋体" w:eastAsia="宋体"/>
                <w:sz w:val="24"/>
                <w:lang w:eastAsia="zh-CN"/>
              </w:rPr>
            </w:pPr>
            <w:r>
              <w:rPr>
                <w:rFonts w:hint="eastAsia" w:ascii="宋体" w:hAnsi="宋体"/>
                <w:sz w:val="24"/>
                <w:lang w:val="en-US" w:eastAsia="zh-CN"/>
              </w:rPr>
              <w:t>1</w:t>
            </w:r>
          </w:p>
        </w:tc>
      </w:tr>
    </w:tbl>
    <w:p w14:paraId="2945F15B">
      <w:pPr>
        <w:spacing w:line="360" w:lineRule="auto"/>
        <w:jc w:val="center"/>
        <w:outlineLvl w:val="1"/>
        <w:rPr>
          <w:rFonts w:hint="eastAsia" w:ascii="宋体" w:hAnsi="宋体" w:eastAsia="宋体" w:cs="宋体"/>
          <w:b/>
          <w:sz w:val="28"/>
          <w:szCs w:val="28"/>
        </w:rPr>
      </w:pPr>
      <w:r>
        <w:rPr>
          <w:rFonts w:hint="eastAsia" w:ascii="宋体" w:hAnsi="宋体" w:eastAsia="宋体" w:cs="宋体"/>
          <w:b/>
          <w:sz w:val="28"/>
          <w:szCs w:val="28"/>
          <w:lang w:val="zh-CN"/>
        </w:rPr>
        <w:t>第四包  多通道长期监测荧光仪</w:t>
      </w:r>
    </w:p>
    <w:tbl>
      <w:tblPr>
        <w:tblStyle w:val="37"/>
        <w:tblW w:w="47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1"/>
        <w:gridCol w:w="6144"/>
        <w:gridCol w:w="1106"/>
      </w:tblGrid>
      <w:tr w14:paraId="01F2C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824" w:type="pct"/>
            <w:tcBorders>
              <w:top w:val="single" w:color="auto" w:sz="4" w:space="0"/>
              <w:left w:val="single" w:color="auto" w:sz="4" w:space="0"/>
              <w:bottom w:val="single" w:color="auto" w:sz="4" w:space="0"/>
              <w:right w:val="single" w:color="auto" w:sz="4" w:space="0"/>
            </w:tcBorders>
            <w:vAlign w:val="center"/>
          </w:tcPr>
          <w:p w14:paraId="3D49D455">
            <w:pPr>
              <w:snapToGrid w:val="0"/>
              <w:spacing w:line="360" w:lineRule="auto"/>
              <w:jc w:val="center"/>
              <w:rPr>
                <w:rFonts w:hint="eastAsia" w:ascii="宋体" w:hAnsi="宋体"/>
                <w:b/>
                <w:sz w:val="24"/>
              </w:rPr>
            </w:pPr>
            <w:r>
              <w:rPr>
                <w:rFonts w:ascii="宋体" w:hAnsi="宋体"/>
                <w:b/>
                <w:sz w:val="24"/>
              </w:rPr>
              <w:t>评分项目</w:t>
            </w:r>
          </w:p>
        </w:tc>
        <w:tc>
          <w:tcPr>
            <w:tcW w:w="3538" w:type="pct"/>
            <w:tcBorders>
              <w:top w:val="single" w:color="auto" w:sz="4" w:space="0"/>
              <w:left w:val="single" w:color="auto" w:sz="4" w:space="0"/>
              <w:bottom w:val="single" w:color="auto" w:sz="4" w:space="0"/>
              <w:right w:val="single" w:color="auto" w:sz="4" w:space="0"/>
            </w:tcBorders>
            <w:vAlign w:val="center"/>
          </w:tcPr>
          <w:p w14:paraId="21A095DD">
            <w:pPr>
              <w:spacing w:line="360" w:lineRule="auto"/>
              <w:jc w:val="center"/>
              <w:rPr>
                <w:rFonts w:hint="eastAsia" w:ascii="宋体" w:hAnsi="宋体"/>
                <w:b/>
                <w:sz w:val="24"/>
              </w:rPr>
            </w:pPr>
            <w:r>
              <w:rPr>
                <w:rFonts w:ascii="宋体" w:hAnsi="宋体"/>
                <w:b/>
                <w:sz w:val="24"/>
              </w:rPr>
              <w:t>评分细则</w:t>
            </w:r>
          </w:p>
        </w:tc>
        <w:tc>
          <w:tcPr>
            <w:tcW w:w="637" w:type="pct"/>
            <w:tcBorders>
              <w:top w:val="single" w:color="auto" w:sz="4" w:space="0"/>
              <w:left w:val="single" w:color="auto" w:sz="4" w:space="0"/>
              <w:bottom w:val="single" w:color="auto" w:sz="4" w:space="0"/>
              <w:right w:val="single" w:color="auto" w:sz="4" w:space="0"/>
            </w:tcBorders>
            <w:vAlign w:val="center"/>
          </w:tcPr>
          <w:p w14:paraId="5798E7C3">
            <w:pPr>
              <w:spacing w:line="360" w:lineRule="auto"/>
              <w:jc w:val="center"/>
              <w:rPr>
                <w:rFonts w:hint="eastAsia" w:ascii="宋体" w:hAnsi="宋体"/>
                <w:b/>
                <w:sz w:val="24"/>
              </w:rPr>
            </w:pPr>
            <w:r>
              <w:rPr>
                <w:rFonts w:ascii="宋体" w:hAnsi="宋体"/>
                <w:b/>
                <w:sz w:val="24"/>
              </w:rPr>
              <w:t>分值</w:t>
            </w:r>
          </w:p>
        </w:tc>
      </w:tr>
      <w:tr w14:paraId="6FEEF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824" w:type="pct"/>
            <w:tcBorders>
              <w:top w:val="single" w:color="auto" w:sz="4" w:space="0"/>
              <w:left w:val="single" w:color="auto" w:sz="4" w:space="0"/>
              <w:bottom w:val="single" w:color="auto" w:sz="4" w:space="0"/>
              <w:right w:val="single" w:color="auto" w:sz="4" w:space="0"/>
            </w:tcBorders>
            <w:vAlign w:val="center"/>
          </w:tcPr>
          <w:p w14:paraId="24455BA4">
            <w:pPr>
              <w:snapToGrid w:val="0"/>
              <w:spacing w:line="360" w:lineRule="auto"/>
              <w:jc w:val="center"/>
              <w:rPr>
                <w:rFonts w:hint="eastAsia" w:ascii="宋体" w:hAnsi="宋体"/>
                <w:sz w:val="24"/>
              </w:rPr>
            </w:pPr>
            <w:r>
              <w:rPr>
                <w:rFonts w:ascii="宋体" w:hAnsi="宋体"/>
                <w:sz w:val="24"/>
              </w:rPr>
              <w:t>价格</w:t>
            </w:r>
          </w:p>
          <w:p w14:paraId="50EF81CF">
            <w:pPr>
              <w:snapToGrid w:val="0"/>
              <w:spacing w:line="360" w:lineRule="auto"/>
              <w:jc w:val="center"/>
              <w:rPr>
                <w:rFonts w:hint="eastAsia" w:ascii="宋体" w:hAnsi="宋体"/>
                <w:sz w:val="24"/>
              </w:rPr>
            </w:pPr>
            <w:r>
              <w:rPr>
                <w:rFonts w:ascii="宋体" w:hAnsi="宋体"/>
                <w:sz w:val="24"/>
              </w:rPr>
              <w:t>部分</w:t>
            </w:r>
          </w:p>
          <w:p w14:paraId="74F373E9">
            <w:pPr>
              <w:snapToGrid w:val="0"/>
              <w:spacing w:line="360" w:lineRule="auto"/>
              <w:jc w:val="center"/>
              <w:rPr>
                <w:rFonts w:hint="eastAsia" w:ascii="宋体" w:hAnsi="宋体"/>
                <w:sz w:val="24"/>
              </w:rPr>
            </w:pPr>
            <w:r>
              <w:rPr>
                <w:rFonts w:ascii="宋体" w:hAnsi="宋体"/>
                <w:sz w:val="24"/>
              </w:rPr>
              <w:t>（30分）</w:t>
            </w:r>
          </w:p>
        </w:tc>
        <w:tc>
          <w:tcPr>
            <w:tcW w:w="3538" w:type="pct"/>
            <w:tcBorders>
              <w:top w:val="single" w:color="auto" w:sz="4" w:space="0"/>
              <w:left w:val="single" w:color="auto" w:sz="4" w:space="0"/>
              <w:bottom w:val="single" w:color="auto" w:sz="4" w:space="0"/>
              <w:right w:val="single" w:color="auto" w:sz="4" w:space="0"/>
            </w:tcBorders>
            <w:vAlign w:val="center"/>
          </w:tcPr>
          <w:p w14:paraId="1892F768">
            <w:pPr>
              <w:spacing w:line="360" w:lineRule="auto"/>
              <w:rPr>
                <w:rFonts w:hint="eastAsia" w:ascii="宋体" w:hAnsi="宋体"/>
                <w:sz w:val="24"/>
              </w:rPr>
            </w:pPr>
            <w:r>
              <w:rPr>
                <w:rFonts w:ascii="宋体" w:hAnsi="宋体"/>
                <w:sz w:val="24"/>
              </w:rPr>
              <w:t xml:space="preserve">   </w:t>
            </w:r>
            <w:r>
              <w:rPr>
                <w:rFonts w:hint="eastAsia" w:ascii="宋体" w:hAnsi="宋体"/>
                <w:sz w:val="24"/>
              </w:rPr>
              <w:t>根据《政府采购货物和服务招标投标管理办法》（财政部令第87号）的规定，本次价格评分统一采用低价优先法计算，即满足招标文件要求且投标价格最低的投标报价为评标基准价，其价格分为满分。其他供应商的价格评分统一按照下列公式计算：</w:t>
            </w:r>
          </w:p>
          <w:p w14:paraId="492F25A3">
            <w:pPr>
              <w:spacing w:line="360" w:lineRule="auto"/>
              <w:ind w:firstLine="405"/>
              <w:rPr>
                <w:rFonts w:hint="eastAsia" w:ascii="宋体" w:hAnsi="宋体"/>
                <w:sz w:val="24"/>
              </w:rPr>
            </w:pPr>
            <w:r>
              <w:rPr>
                <w:rFonts w:hint="eastAsia" w:ascii="宋体" w:hAnsi="宋体"/>
                <w:sz w:val="24"/>
              </w:rPr>
              <w:t>价格评分 =（评标基准价/投标报价）×30</w:t>
            </w:r>
          </w:p>
        </w:tc>
        <w:tc>
          <w:tcPr>
            <w:tcW w:w="637" w:type="pct"/>
            <w:tcBorders>
              <w:top w:val="single" w:color="auto" w:sz="4" w:space="0"/>
              <w:left w:val="single" w:color="auto" w:sz="4" w:space="0"/>
              <w:bottom w:val="single" w:color="auto" w:sz="4" w:space="0"/>
              <w:right w:val="single" w:color="auto" w:sz="4" w:space="0"/>
            </w:tcBorders>
            <w:vAlign w:val="center"/>
          </w:tcPr>
          <w:p w14:paraId="46C5055A">
            <w:pPr>
              <w:spacing w:line="360" w:lineRule="auto"/>
              <w:jc w:val="center"/>
              <w:rPr>
                <w:rFonts w:hint="eastAsia" w:ascii="宋体" w:hAnsi="宋体"/>
                <w:sz w:val="24"/>
              </w:rPr>
            </w:pPr>
            <w:r>
              <w:rPr>
                <w:rFonts w:hint="eastAsia" w:ascii="宋体" w:hAnsi="宋体"/>
                <w:sz w:val="24"/>
              </w:rPr>
              <w:t>30</w:t>
            </w:r>
          </w:p>
        </w:tc>
      </w:tr>
      <w:tr w14:paraId="74944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24" w:type="pct"/>
            <w:vMerge w:val="restart"/>
            <w:tcBorders>
              <w:left w:val="single" w:color="auto" w:sz="4" w:space="0"/>
              <w:right w:val="single" w:color="auto" w:sz="4" w:space="0"/>
            </w:tcBorders>
            <w:vAlign w:val="center"/>
          </w:tcPr>
          <w:p w14:paraId="4672E18C">
            <w:pPr>
              <w:snapToGrid w:val="0"/>
              <w:spacing w:line="360" w:lineRule="auto"/>
              <w:jc w:val="center"/>
              <w:rPr>
                <w:rFonts w:hint="eastAsia" w:ascii="宋体" w:hAnsi="宋体" w:cs="宋体"/>
                <w:sz w:val="24"/>
              </w:rPr>
            </w:pPr>
            <w:r>
              <w:rPr>
                <w:rFonts w:hint="eastAsia" w:ascii="宋体" w:hAnsi="宋体" w:cs="宋体"/>
                <w:sz w:val="24"/>
              </w:rPr>
              <w:t>商务</w:t>
            </w:r>
          </w:p>
          <w:p w14:paraId="025CD75E">
            <w:pPr>
              <w:snapToGrid w:val="0"/>
              <w:spacing w:line="360" w:lineRule="auto"/>
              <w:jc w:val="center"/>
              <w:rPr>
                <w:rFonts w:hint="eastAsia" w:ascii="宋体" w:hAnsi="宋体" w:cs="宋体"/>
                <w:sz w:val="24"/>
              </w:rPr>
            </w:pPr>
            <w:r>
              <w:rPr>
                <w:rFonts w:hint="eastAsia" w:ascii="宋体" w:hAnsi="宋体" w:cs="宋体"/>
                <w:sz w:val="24"/>
              </w:rPr>
              <w:t>部分</w:t>
            </w:r>
          </w:p>
          <w:p w14:paraId="0F02E15F">
            <w:pPr>
              <w:snapToGrid w:val="0"/>
              <w:spacing w:line="360" w:lineRule="auto"/>
              <w:jc w:val="center"/>
              <w:rPr>
                <w:rFonts w:hint="eastAsia" w:ascii="宋体" w:hAnsi="宋体"/>
                <w:sz w:val="24"/>
              </w:rPr>
            </w:pP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分）</w:t>
            </w:r>
          </w:p>
        </w:tc>
        <w:tc>
          <w:tcPr>
            <w:tcW w:w="3538" w:type="pct"/>
            <w:tcBorders>
              <w:top w:val="single" w:color="auto" w:sz="4" w:space="0"/>
              <w:left w:val="single" w:color="auto" w:sz="4" w:space="0"/>
              <w:bottom w:val="single" w:color="auto" w:sz="4" w:space="0"/>
              <w:right w:val="single" w:color="auto" w:sz="4" w:space="0"/>
            </w:tcBorders>
            <w:vAlign w:val="center"/>
          </w:tcPr>
          <w:p w14:paraId="69B1E9AC">
            <w:pPr>
              <w:spacing w:line="360" w:lineRule="auto"/>
              <w:rPr>
                <w:sz w:val="24"/>
              </w:rPr>
            </w:pPr>
            <w:r>
              <w:rPr>
                <w:rFonts w:hint="eastAsia" w:ascii="宋体" w:hAnsi="宋体"/>
                <w:sz w:val="24"/>
              </w:rPr>
              <w:t>1、商务条款应答响应情况</w:t>
            </w:r>
            <w:r>
              <w:rPr>
                <w:sz w:val="24"/>
              </w:rPr>
              <w:t>：</w:t>
            </w:r>
          </w:p>
          <w:p w14:paraId="06FE0176">
            <w:pPr>
              <w:spacing w:line="360" w:lineRule="auto"/>
              <w:rPr>
                <w:rFonts w:hint="eastAsia" w:ascii="宋体" w:hAnsi="宋体"/>
                <w:sz w:val="24"/>
              </w:rPr>
            </w:pPr>
            <w:r>
              <w:rPr>
                <w:rFonts w:hint="eastAsia" w:ascii="宋体" w:hAnsi="宋体"/>
                <w:sz w:val="24"/>
              </w:rPr>
              <w:t>标记为“★”的是关键商务条款，正偏离不加分，如不满足其投标予以拒绝。</w:t>
            </w:r>
          </w:p>
          <w:p w14:paraId="4EB8AE80">
            <w:pPr>
              <w:spacing w:line="360" w:lineRule="auto"/>
              <w:rPr>
                <w:rFonts w:hint="eastAsia" w:ascii="宋体" w:hAnsi="宋体"/>
                <w:sz w:val="24"/>
              </w:rPr>
            </w:pPr>
            <w:r>
              <w:rPr>
                <w:rFonts w:hint="eastAsia" w:ascii="宋体" w:hAnsi="宋体"/>
                <w:sz w:val="24"/>
              </w:rPr>
              <w:t>其他非“★”的商务条款：应答有负偏离得0分，应答全部无偏离得</w:t>
            </w:r>
            <w:r>
              <w:rPr>
                <w:rFonts w:ascii="宋体" w:hAnsi="宋体"/>
                <w:sz w:val="24"/>
              </w:rPr>
              <w:t>1</w:t>
            </w:r>
            <w:r>
              <w:rPr>
                <w:rFonts w:hint="eastAsia" w:ascii="宋体" w:hAnsi="宋体"/>
                <w:sz w:val="24"/>
              </w:rPr>
              <w:t>分，应答有正偏离得</w:t>
            </w:r>
            <w:r>
              <w:rPr>
                <w:rFonts w:ascii="宋体" w:hAnsi="宋体"/>
                <w:sz w:val="24"/>
              </w:rPr>
              <w:t>2</w:t>
            </w:r>
            <w:r>
              <w:rPr>
                <w:rFonts w:hint="eastAsia" w:ascii="宋体" w:hAnsi="宋体"/>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5E08D202">
            <w:pPr>
              <w:spacing w:line="360" w:lineRule="auto"/>
              <w:jc w:val="center"/>
              <w:rPr>
                <w:rFonts w:hint="eastAsia" w:ascii="宋体" w:hAnsi="宋体"/>
                <w:sz w:val="24"/>
              </w:rPr>
            </w:pPr>
            <w:r>
              <w:rPr>
                <w:rFonts w:hint="eastAsia" w:ascii="宋体" w:hAnsi="宋体"/>
                <w:sz w:val="24"/>
              </w:rPr>
              <w:t>2</w:t>
            </w:r>
          </w:p>
        </w:tc>
      </w:tr>
      <w:tr w14:paraId="3388E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824" w:type="pct"/>
            <w:vMerge w:val="continue"/>
            <w:tcBorders>
              <w:left w:val="single" w:color="auto" w:sz="4" w:space="0"/>
              <w:right w:val="single" w:color="auto" w:sz="4" w:space="0"/>
            </w:tcBorders>
            <w:vAlign w:val="center"/>
          </w:tcPr>
          <w:p w14:paraId="7CA9D3B1">
            <w:pPr>
              <w:snapToGrid w:val="0"/>
              <w:spacing w:line="360" w:lineRule="auto"/>
              <w:jc w:val="center"/>
              <w:rPr>
                <w:rFonts w:hint="eastAsia" w:ascii="宋体" w:hAnsi="宋体"/>
                <w:sz w:val="24"/>
              </w:rPr>
            </w:pPr>
          </w:p>
        </w:tc>
        <w:tc>
          <w:tcPr>
            <w:tcW w:w="3538" w:type="pct"/>
            <w:tcBorders>
              <w:top w:val="single" w:color="auto" w:sz="4" w:space="0"/>
              <w:left w:val="single" w:color="auto" w:sz="4" w:space="0"/>
              <w:bottom w:val="single" w:color="auto" w:sz="4" w:space="0"/>
              <w:right w:val="single" w:color="auto" w:sz="4" w:space="0"/>
            </w:tcBorders>
            <w:vAlign w:val="center"/>
          </w:tcPr>
          <w:p w14:paraId="006EAF3D">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2、提供投标人分析仪器类设备同类项目业绩【（每提供一个业绩在20</w:t>
            </w:r>
            <w:r>
              <w:rPr>
                <w:rFonts w:hint="eastAsia" w:asciiTheme="minorEastAsia" w:hAnsiTheme="minorEastAsia" w:eastAsiaTheme="minorEastAsia" w:cstheme="minorEastAsia"/>
                <w:sz w:val="24"/>
                <w:lang w:val="en-US" w:eastAsia="zh-CN"/>
              </w:rPr>
              <w:t>23</w:t>
            </w:r>
            <w:r>
              <w:rPr>
                <w:rFonts w:hint="eastAsia" w:asciiTheme="minorEastAsia" w:hAnsiTheme="minorEastAsia" w:eastAsiaTheme="minorEastAsia" w:cstheme="minorEastAsia"/>
                <w:sz w:val="24"/>
              </w:rPr>
              <w:t>年7月1日至投标截止日的同类项目合同案例加2分，最高不超过6分，案例以提供的合同时间为准，要求必须提供签订的合同首页、合同金额所在页、签字盖章页复印件作为证明）】</w:t>
            </w:r>
          </w:p>
        </w:tc>
        <w:tc>
          <w:tcPr>
            <w:tcW w:w="637" w:type="pct"/>
            <w:tcBorders>
              <w:top w:val="single" w:color="auto" w:sz="4" w:space="0"/>
              <w:left w:val="single" w:color="auto" w:sz="4" w:space="0"/>
              <w:bottom w:val="single" w:color="auto" w:sz="4" w:space="0"/>
              <w:right w:val="single" w:color="auto" w:sz="4" w:space="0"/>
            </w:tcBorders>
            <w:vAlign w:val="center"/>
          </w:tcPr>
          <w:p w14:paraId="7AF7301C">
            <w:pPr>
              <w:spacing w:line="360" w:lineRule="auto"/>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szCs w:val="22"/>
                <w:lang w:val="en-US" w:eastAsia="zh-CN"/>
              </w:rPr>
              <w:t>6</w:t>
            </w:r>
          </w:p>
        </w:tc>
      </w:tr>
      <w:tr w14:paraId="5856B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24" w:type="pct"/>
            <w:vMerge w:val="restart"/>
            <w:tcBorders>
              <w:top w:val="single" w:color="auto" w:sz="4" w:space="0"/>
              <w:left w:val="single" w:color="auto" w:sz="4" w:space="0"/>
              <w:right w:val="single" w:color="auto" w:sz="4" w:space="0"/>
            </w:tcBorders>
            <w:vAlign w:val="center"/>
          </w:tcPr>
          <w:p w14:paraId="59A17FE6">
            <w:pPr>
              <w:snapToGrid w:val="0"/>
              <w:spacing w:line="360" w:lineRule="auto"/>
              <w:jc w:val="center"/>
              <w:rPr>
                <w:rFonts w:hint="eastAsia" w:ascii="宋体" w:hAnsi="宋体"/>
                <w:sz w:val="24"/>
              </w:rPr>
            </w:pPr>
            <w:r>
              <w:rPr>
                <w:rFonts w:ascii="宋体" w:hAnsi="宋体"/>
                <w:sz w:val="24"/>
              </w:rPr>
              <w:t>技术</w:t>
            </w:r>
          </w:p>
          <w:p w14:paraId="37DFC78C">
            <w:pPr>
              <w:snapToGrid w:val="0"/>
              <w:spacing w:line="360" w:lineRule="auto"/>
              <w:jc w:val="center"/>
              <w:rPr>
                <w:rFonts w:hint="eastAsia" w:ascii="宋体" w:hAnsi="宋体"/>
                <w:sz w:val="24"/>
              </w:rPr>
            </w:pPr>
            <w:r>
              <w:rPr>
                <w:rFonts w:ascii="宋体" w:hAnsi="宋体"/>
                <w:sz w:val="24"/>
              </w:rPr>
              <w:t>部分</w:t>
            </w:r>
          </w:p>
          <w:p w14:paraId="3A1D8424">
            <w:pPr>
              <w:snapToGrid w:val="0"/>
              <w:spacing w:line="360" w:lineRule="auto"/>
              <w:jc w:val="center"/>
              <w:rPr>
                <w:rFonts w:hint="eastAsia" w:ascii="宋体" w:hAnsi="宋体"/>
                <w:sz w:val="24"/>
              </w:rPr>
            </w:pPr>
            <w:r>
              <w:rPr>
                <w:rFonts w:ascii="宋体" w:hAnsi="宋体"/>
                <w:sz w:val="24"/>
              </w:rPr>
              <w:t>（</w:t>
            </w:r>
            <w:r>
              <w:rPr>
                <w:rFonts w:hint="eastAsia" w:ascii="宋体" w:hAnsi="宋体"/>
                <w:sz w:val="24"/>
                <w:lang w:val="en-US" w:eastAsia="zh-CN"/>
              </w:rPr>
              <w:t>61</w:t>
            </w:r>
            <w:r>
              <w:rPr>
                <w:rFonts w:ascii="宋体" w:hAnsi="宋体"/>
                <w:sz w:val="24"/>
              </w:rPr>
              <w:t>分）</w:t>
            </w:r>
          </w:p>
        </w:tc>
        <w:tc>
          <w:tcPr>
            <w:tcW w:w="3538" w:type="pct"/>
            <w:tcBorders>
              <w:top w:val="single" w:color="auto" w:sz="4" w:space="0"/>
              <w:left w:val="single" w:color="auto" w:sz="4" w:space="0"/>
              <w:bottom w:val="single" w:color="auto" w:sz="4" w:space="0"/>
              <w:right w:val="single" w:color="auto" w:sz="4" w:space="0"/>
            </w:tcBorders>
            <w:vAlign w:val="center"/>
          </w:tcPr>
          <w:p w14:paraId="296CBA1E">
            <w:pPr>
              <w:spacing w:line="360" w:lineRule="auto"/>
              <w:rPr>
                <w:rFonts w:hint="eastAsia" w:ascii="宋体" w:hAnsi="宋体" w:cs="宋体"/>
                <w:sz w:val="24"/>
              </w:rPr>
            </w:pPr>
            <w:r>
              <w:rPr>
                <w:rFonts w:hint="eastAsia" w:ascii="宋体" w:hAnsi="宋体" w:cs="宋体"/>
                <w:sz w:val="24"/>
              </w:rPr>
              <w:t>1、技术指标条款响应情况</w:t>
            </w:r>
          </w:p>
          <w:p w14:paraId="6ED5012C">
            <w:pPr>
              <w:snapToGrid w:val="0"/>
              <w:spacing w:line="360" w:lineRule="auto"/>
              <w:rPr>
                <w:rFonts w:hint="eastAsia" w:ascii="宋体" w:hAnsi="宋体" w:cs="宋体"/>
                <w:b/>
                <w:bCs/>
                <w:sz w:val="24"/>
              </w:rPr>
            </w:pPr>
            <w:r>
              <w:rPr>
                <w:rFonts w:hint="eastAsia" w:ascii="宋体" w:hAnsi="宋体" w:cs="宋体"/>
                <w:b/>
                <w:bCs/>
                <w:sz w:val="24"/>
              </w:rPr>
              <w:t>（1）技术偏离表须依据招标文件项目需求逐条响应，否则视为未实质性响应招标文件, 其投标予以拒绝；</w:t>
            </w:r>
          </w:p>
          <w:p w14:paraId="68AAA8C4">
            <w:pPr>
              <w:snapToGrid w:val="0"/>
              <w:spacing w:line="360" w:lineRule="auto"/>
              <w:rPr>
                <w:rFonts w:hint="eastAsia" w:ascii="宋体" w:hAnsi="宋体" w:cs="宋体"/>
                <w:sz w:val="24"/>
              </w:rPr>
            </w:pPr>
            <w:r>
              <w:rPr>
                <w:rFonts w:hint="eastAsia" w:ascii="宋体" w:hAnsi="宋体" w:cs="宋体"/>
                <w:sz w:val="24"/>
              </w:rPr>
              <w:t>（2）技术指标评审基准分为</w:t>
            </w:r>
            <w:r>
              <w:rPr>
                <w:rFonts w:hint="eastAsia" w:ascii="宋体" w:hAnsi="宋体" w:cs="宋体"/>
                <w:sz w:val="24"/>
                <w:lang w:val="en-US" w:eastAsia="zh-CN"/>
              </w:rPr>
              <w:t>50</w:t>
            </w:r>
            <w:r>
              <w:rPr>
                <w:rFonts w:hint="eastAsia" w:ascii="宋体" w:hAnsi="宋体" w:cs="宋体"/>
                <w:sz w:val="24"/>
              </w:rPr>
              <w:t xml:space="preserve">分，评委可根据技术指标的正负偏离情况进行评分； </w:t>
            </w:r>
          </w:p>
          <w:p w14:paraId="49B355A9">
            <w:pPr>
              <w:snapToGrid w:val="0"/>
              <w:spacing w:line="360" w:lineRule="auto"/>
              <w:rPr>
                <w:rFonts w:hint="eastAsia" w:ascii="宋体" w:hAnsi="宋体" w:cs="宋体"/>
                <w:bCs/>
                <w:sz w:val="24"/>
              </w:rPr>
            </w:pPr>
            <w:r>
              <w:rPr>
                <w:rFonts w:hint="eastAsia" w:ascii="宋体" w:hAnsi="宋体" w:cs="宋体"/>
                <w:bCs/>
                <w:sz w:val="24"/>
              </w:rPr>
              <w:t>（3）标记为“</w:t>
            </w:r>
            <w:r>
              <w:rPr>
                <w:rFonts w:hint="eastAsia" w:ascii="宋体" w:hAnsi="宋体" w:cs="宋体"/>
                <w:sz w:val="24"/>
              </w:rPr>
              <w:t>★</w:t>
            </w:r>
            <w:r>
              <w:rPr>
                <w:rFonts w:hint="eastAsia" w:ascii="宋体" w:hAnsi="宋体" w:cs="宋体"/>
                <w:bCs/>
                <w:sz w:val="24"/>
              </w:rPr>
              <w:t>”的指标是关键技术条款，</w:t>
            </w:r>
            <w:r>
              <w:rPr>
                <w:rFonts w:hint="eastAsia" w:ascii="宋体" w:hAnsi="宋体" w:cs="宋体"/>
                <w:sz w:val="24"/>
              </w:rPr>
              <w:t>正偏离不加分，</w:t>
            </w:r>
            <w:r>
              <w:rPr>
                <w:rFonts w:hint="eastAsia" w:ascii="宋体" w:hAnsi="宋体" w:cs="宋体"/>
                <w:bCs/>
                <w:sz w:val="24"/>
              </w:rPr>
              <w:t>如不满足其投标予以拒绝；</w:t>
            </w:r>
          </w:p>
          <w:p w14:paraId="08512655">
            <w:pPr>
              <w:snapToGrid w:val="0"/>
              <w:spacing w:line="360" w:lineRule="auto"/>
              <w:rPr>
                <w:rFonts w:hint="eastAsia" w:ascii="宋体" w:hAnsi="宋体" w:cs="宋体"/>
                <w:bCs/>
                <w:sz w:val="24"/>
              </w:rPr>
            </w:pPr>
            <w:r>
              <w:rPr>
                <w:rFonts w:hint="eastAsia" w:ascii="宋体" w:hAnsi="宋体" w:cs="宋体"/>
                <w:bCs/>
                <w:sz w:val="24"/>
              </w:rPr>
              <w:t>（4）标记为“▲”的指标为重要技术条款，总分为</w:t>
            </w:r>
            <w:r>
              <w:rPr>
                <w:rFonts w:hint="eastAsia" w:ascii="宋体" w:hAnsi="宋体" w:cs="宋体"/>
                <w:bCs/>
                <w:sz w:val="24"/>
                <w:lang w:val="en-US" w:eastAsia="zh-CN"/>
              </w:rPr>
              <w:t>20</w:t>
            </w:r>
            <w:r>
              <w:rPr>
                <w:rFonts w:hint="eastAsia" w:ascii="宋体" w:hAnsi="宋体" w:cs="宋体"/>
                <w:bCs/>
                <w:sz w:val="24"/>
              </w:rPr>
              <w:t>分。正偏离不加分，负偏离每项减</w:t>
            </w:r>
            <w:r>
              <w:rPr>
                <w:rFonts w:hint="eastAsia" w:ascii="宋体" w:hAnsi="宋体" w:cs="宋体"/>
                <w:bCs/>
                <w:sz w:val="24"/>
                <w:lang w:val="en-US" w:eastAsia="zh-CN"/>
              </w:rPr>
              <w:t>4</w:t>
            </w:r>
            <w:r>
              <w:rPr>
                <w:rFonts w:hint="eastAsia" w:ascii="宋体" w:hAnsi="宋体" w:cs="宋体"/>
                <w:bCs/>
                <w:sz w:val="24"/>
              </w:rPr>
              <w:t>分，超过</w:t>
            </w:r>
            <w:r>
              <w:rPr>
                <w:rFonts w:hint="eastAsia" w:ascii="宋体" w:hAnsi="宋体" w:cs="宋体"/>
                <w:bCs/>
                <w:sz w:val="24"/>
                <w:lang w:val="en-US" w:eastAsia="zh-CN"/>
              </w:rPr>
              <w:t>5</w:t>
            </w:r>
            <w:r>
              <w:rPr>
                <w:rFonts w:hint="eastAsia" w:ascii="宋体" w:hAnsi="宋体" w:cs="宋体"/>
                <w:bCs/>
                <w:sz w:val="24"/>
              </w:rPr>
              <w:t>项（含）负偏离不得分。</w:t>
            </w:r>
          </w:p>
          <w:p w14:paraId="5134163C">
            <w:pPr>
              <w:snapToGrid w:val="0"/>
              <w:spacing w:line="360" w:lineRule="auto"/>
              <w:rPr>
                <w:rFonts w:hint="eastAsia" w:ascii="宋体" w:hAnsi="宋体" w:cs="宋体"/>
                <w:bCs/>
                <w:sz w:val="24"/>
              </w:rPr>
            </w:pPr>
            <w:r>
              <w:rPr>
                <w:rFonts w:hint="eastAsia" w:ascii="宋体" w:hAnsi="宋体" w:cs="宋体"/>
                <w:bCs/>
                <w:sz w:val="24"/>
              </w:rPr>
              <w:t>（5）无标记的指标是一般技术条款，总分为</w:t>
            </w:r>
            <w:r>
              <w:rPr>
                <w:rFonts w:hint="eastAsia" w:ascii="宋体" w:hAnsi="宋体" w:cs="宋体"/>
                <w:bCs/>
                <w:sz w:val="24"/>
                <w:lang w:val="en-US" w:eastAsia="zh-CN"/>
              </w:rPr>
              <w:t>30</w:t>
            </w:r>
            <w:r>
              <w:rPr>
                <w:rFonts w:hint="eastAsia" w:ascii="宋体" w:hAnsi="宋体" w:cs="宋体"/>
                <w:bCs/>
                <w:sz w:val="24"/>
              </w:rPr>
              <w:t>分。正偏离不加分，负偏离每项减</w:t>
            </w:r>
            <w:r>
              <w:rPr>
                <w:rFonts w:hint="eastAsia" w:ascii="宋体" w:hAnsi="宋体" w:cs="宋体"/>
                <w:bCs/>
                <w:sz w:val="24"/>
                <w:lang w:val="en-US" w:eastAsia="zh-CN"/>
              </w:rPr>
              <w:t>2</w:t>
            </w:r>
            <w:r>
              <w:rPr>
                <w:rFonts w:hint="eastAsia" w:ascii="宋体" w:hAnsi="宋体" w:cs="宋体"/>
                <w:bCs/>
                <w:sz w:val="24"/>
              </w:rPr>
              <w:t>分，超</w:t>
            </w:r>
            <w:r>
              <w:rPr>
                <w:rFonts w:hint="eastAsia" w:ascii="宋体" w:hAnsi="宋体" w:cs="宋体"/>
                <w:bCs/>
                <w:sz w:val="24"/>
                <w:lang w:val="en-US" w:eastAsia="zh-CN"/>
              </w:rPr>
              <w:t>15</w:t>
            </w:r>
            <w:r>
              <w:rPr>
                <w:rFonts w:hint="eastAsia" w:ascii="宋体" w:hAnsi="宋体" w:cs="宋体"/>
                <w:bCs/>
                <w:sz w:val="24"/>
              </w:rPr>
              <w:t>项（含）负偏离不得分。</w:t>
            </w:r>
          </w:p>
          <w:p w14:paraId="4DC6F19F">
            <w:pPr>
              <w:snapToGrid w:val="0"/>
              <w:spacing w:line="360" w:lineRule="auto"/>
              <w:rPr>
                <w:rFonts w:hint="eastAsia" w:ascii="宋体" w:hAnsi="宋体"/>
                <w:sz w:val="24"/>
              </w:rPr>
            </w:pPr>
            <w:r>
              <w:rPr>
                <w:rFonts w:hint="eastAsia" w:ascii="宋体" w:hAnsi="宋体" w:cs="宋体"/>
                <w:bCs/>
                <w:sz w:val="24"/>
              </w:rPr>
              <w:t>（6）凡标有最低一级序号的指标项即为一项技术条款，无论是否隶属于上一级编号。</w:t>
            </w:r>
          </w:p>
        </w:tc>
        <w:tc>
          <w:tcPr>
            <w:tcW w:w="637" w:type="pct"/>
            <w:tcBorders>
              <w:top w:val="single" w:color="auto" w:sz="4" w:space="0"/>
              <w:left w:val="single" w:color="auto" w:sz="4" w:space="0"/>
              <w:bottom w:val="single" w:color="auto" w:sz="4" w:space="0"/>
              <w:right w:val="single" w:color="auto" w:sz="4" w:space="0"/>
            </w:tcBorders>
            <w:vAlign w:val="center"/>
          </w:tcPr>
          <w:p w14:paraId="2D7BD653">
            <w:pPr>
              <w:spacing w:line="360" w:lineRule="auto"/>
              <w:jc w:val="center"/>
              <w:rPr>
                <w:rFonts w:hint="default" w:ascii="宋体" w:hAnsi="宋体" w:eastAsia="宋体"/>
                <w:sz w:val="24"/>
                <w:lang w:val="en-US" w:eastAsia="zh-CN"/>
              </w:rPr>
            </w:pPr>
            <w:r>
              <w:rPr>
                <w:rFonts w:hint="eastAsia" w:ascii="宋体" w:hAnsi="宋体"/>
                <w:sz w:val="24"/>
                <w:lang w:val="en-US" w:eastAsia="zh-CN"/>
              </w:rPr>
              <w:t>50</w:t>
            </w:r>
          </w:p>
        </w:tc>
      </w:tr>
      <w:tr w14:paraId="0254A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824" w:type="pct"/>
            <w:vMerge w:val="continue"/>
            <w:tcBorders>
              <w:left w:val="single" w:color="auto" w:sz="4" w:space="0"/>
              <w:right w:val="single" w:color="auto" w:sz="4" w:space="0"/>
            </w:tcBorders>
            <w:vAlign w:val="center"/>
          </w:tcPr>
          <w:p w14:paraId="74B0F32C">
            <w:pPr>
              <w:widowControl/>
              <w:spacing w:line="360" w:lineRule="auto"/>
              <w:jc w:val="center"/>
              <w:rPr>
                <w:rFonts w:hint="eastAsia" w:ascii="宋体" w:hAnsi="宋体"/>
                <w:sz w:val="24"/>
              </w:rPr>
            </w:pPr>
          </w:p>
        </w:tc>
        <w:tc>
          <w:tcPr>
            <w:tcW w:w="3538" w:type="pct"/>
            <w:tcBorders>
              <w:top w:val="single" w:color="auto" w:sz="4" w:space="0"/>
              <w:left w:val="single" w:color="auto" w:sz="4" w:space="0"/>
              <w:bottom w:val="single" w:color="auto" w:sz="4" w:space="0"/>
              <w:right w:val="single" w:color="auto" w:sz="4" w:space="0"/>
            </w:tcBorders>
            <w:vAlign w:val="center"/>
          </w:tcPr>
          <w:p w14:paraId="7C0A0E98">
            <w:pPr>
              <w:spacing w:line="360" w:lineRule="auto"/>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、售后服务方案、应急方案。供应商对本项目的售后服务方案和应急方案，包括但不限于维修投标时间、质保期承诺、安装调试验收安排、突发事件的处理措施、应急预案等进行综合评价：</w:t>
            </w:r>
          </w:p>
          <w:p w14:paraId="19B988F7">
            <w:pPr>
              <w:spacing w:line="360" w:lineRule="auto"/>
              <w:rPr>
                <w:rFonts w:hint="eastAsia" w:ascii="宋体" w:hAnsi="宋体" w:cs="宋体"/>
                <w:sz w:val="24"/>
              </w:rPr>
            </w:pPr>
            <w:r>
              <w:rPr>
                <w:rFonts w:hint="eastAsia" w:ascii="宋体" w:hAnsi="宋体" w:cs="宋体"/>
                <w:sz w:val="24"/>
              </w:rPr>
              <w:t>（1）售后服务方案完善，针对本项目提出的服务方案合理、可行，突发事件的处理措施和应急预案非常详细切合实际得</w:t>
            </w:r>
            <w:r>
              <w:rPr>
                <w:rFonts w:hint="eastAsia" w:ascii="宋体" w:hAnsi="宋体" w:cs="宋体"/>
                <w:sz w:val="24"/>
                <w:lang w:val="en-US" w:eastAsia="zh-CN"/>
              </w:rPr>
              <w:t>6</w:t>
            </w:r>
            <w:r>
              <w:rPr>
                <w:rFonts w:hint="eastAsia" w:ascii="宋体" w:hAnsi="宋体" w:cs="宋体"/>
                <w:sz w:val="24"/>
              </w:rPr>
              <w:t>分；</w:t>
            </w:r>
          </w:p>
          <w:p w14:paraId="0E02262F">
            <w:pPr>
              <w:spacing w:line="360" w:lineRule="auto"/>
              <w:rPr>
                <w:rFonts w:hint="eastAsia" w:ascii="宋体" w:hAnsi="宋体" w:cs="宋体"/>
                <w:sz w:val="24"/>
              </w:rPr>
            </w:pPr>
            <w:r>
              <w:rPr>
                <w:rFonts w:hint="eastAsia" w:ascii="宋体" w:hAnsi="宋体" w:cs="宋体"/>
                <w:sz w:val="24"/>
              </w:rPr>
              <w:t>（2）售后服务方案较完善，针对本项目提出的服务方案较合理、可行,突发事件的处理措施和应急预案较详细较切合实际得</w:t>
            </w:r>
            <w:r>
              <w:rPr>
                <w:rFonts w:hint="eastAsia" w:ascii="宋体" w:hAnsi="宋体" w:cs="宋体"/>
                <w:sz w:val="24"/>
                <w:lang w:val="en-US" w:eastAsia="zh-CN"/>
              </w:rPr>
              <w:t>3</w:t>
            </w:r>
            <w:r>
              <w:rPr>
                <w:rFonts w:hint="eastAsia" w:ascii="宋体" w:hAnsi="宋体" w:cs="宋体"/>
                <w:sz w:val="24"/>
              </w:rPr>
              <w:t>分；</w:t>
            </w:r>
          </w:p>
          <w:p w14:paraId="243C2FFF">
            <w:pPr>
              <w:snapToGrid w:val="0"/>
              <w:spacing w:line="360" w:lineRule="auto"/>
              <w:rPr>
                <w:rFonts w:hint="eastAsia" w:ascii="宋体" w:hAnsi="宋体" w:cs="宋体"/>
                <w:sz w:val="24"/>
              </w:rPr>
            </w:pPr>
            <w:r>
              <w:rPr>
                <w:rFonts w:hint="eastAsia" w:ascii="宋体" w:hAnsi="宋体" w:cs="宋体"/>
                <w:sz w:val="24"/>
              </w:rPr>
              <w:t>（3）售后服务方案不够完善，针对本项目提出的服务方案不够合理、可行,突发事件的处理措施和应急预案不够详细，不够切合实际得1分；</w:t>
            </w:r>
          </w:p>
          <w:p w14:paraId="0B9182CD">
            <w:pPr>
              <w:snapToGrid w:val="0"/>
              <w:spacing w:line="360" w:lineRule="auto"/>
              <w:rPr>
                <w:rFonts w:hint="eastAsia" w:ascii="宋体" w:hAnsi="宋体"/>
                <w:sz w:val="24"/>
              </w:rPr>
            </w:pPr>
            <w:r>
              <w:rPr>
                <w:rFonts w:hint="eastAsia" w:ascii="宋体" w:hAnsi="宋体" w:cs="宋体"/>
                <w:sz w:val="24"/>
              </w:rPr>
              <w:t>（4）未提供方案或提供了但是完全脱离实际，0</w:t>
            </w:r>
            <w:r>
              <w:rPr>
                <w:rFonts w:hint="eastAsia" w:ascii="宋体" w:hAnsi="宋体" w:cs="宋体"/>
                <w:spacing w:val="-59"/>
                <w:sz w:val="24"/>
              </w:rPr>
              <w:t xml:space="preserve"> </w:t>
            </w:r>
            <w:r>
              <w:rPr>
                <w:rFonts w:hint="eastAsia" w:ascii="宋体" w:hAnsi="宋体" w:cs="宋体"/>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323646C9">
            <w:pPr>
              <w:spacing w:line="360" w:lineRule="auto"/>
              <w:jc w:val="center"/>
              <w:rPr>
                <w:rFonts w:hint="eastAsia" w:ascii="宋体" w:hAnsi="宋体" w:eastAsia="宋体"/>
                <w:sz w:val="24"/>
                <w:lang w:eastAsia="zh-CN"/>
              </w:rPr>
            </w:pPr>
            <w:r>
              <w:rPr>
                <w:rFonts w:hint="eastAsia" w:ascii="宋体" w:hAnsi="宋体"/>
                <w:sz w:val="24"/>
                <w:lang w:val="en-US" w:eastAsia="zh-CN"/>
              </w:rPr>
              <w:t>6</w:t>
            </w:r>
          </w:p>
        </w:tc>
      </w:tr>
      <w:tr w14:paraId="4714F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824" w:type="pct"/>
            <w:vMerge w:val="continue"/>
            <w:tcBorders>
              <w:left w:val="single" w:color="auto" w:sz="4" w:space="0"/>
              <w:bottom w:val="single" w:color="auto" w:sz="4" w:space="0"/>
              <w:right w:val="single" w:color="auto" w:sz="4" w:space="0"/>
            </w:tcBorders>
            <w:vAlign w:val="center"/>
          </w:tcPr>
          <w:p w14:paraId="7E07C071">
            <w:pPr>
              <w:widowControl/>
              <w:spacing w:line="360" w:lineRule="auto"/>
              <w:jc w:val="center"/>
              <w:rPr>
                <w:rFonts w:hint="eastAsia" w:ascii="宋体" w:hAnsi="宋体"/>
                <w:sz w:val="24"/>
              </w:rPr>
            </w:pPr>
          </w:p>
        </w:tc>
        <w:tc>
          <w:tcPr>
            <w:tcW w:w="3538" w:type="pct"/>
            <w:tcBorders>
              <w:top w:val="single" w:color="auto" w:sz="4" w:space="0"/>
              <w:left w:val="single" w:color="auto" w:sz="4" w:space="0"/>
              <w:bottom w:val="single" w:color="auto" w:sz="4" w:space="0"/>
              <w:right w:val="single" w:color="auto" w:sz="4" w:space="0"/>
            </w:tcBorders>
            <w:vAlign w:val="center"/>
          </w:tcPr>
          <w:p w14:paraId="30E2E08B">
            <w:pPr>
              <w:snapToGrid w:val="0"/>
              <w:spacing w:line="360" w:lineRule="auto"/>
              <w:rPr>
                <w:sz w:val="24"/>
              </w:rPr>
            </w:pPr>
            <w:r>
              <w:rPr>
                <w:rFonts w:hint="eastAsia"/>
                <w:sz w:val="24"/>
                <w:lang w:val="en-US" w:eastAsia="zh-CN"/>
              </w:rPr>
              <w:t>3</w:t>
            </w:r>
            <w:r>
              <w:rPr>
                <w:sz w:val="24"/>
              </w:rPr>
              <w:t>、培训方案，包括具体培训计划、具体安排、时间规划、培训内容及培训效果评价、培训质量保证等进行综合评价：</w:t>
            </w:r>
          </w:p>
          <w:p w14:paraId="608384A5">
            <w:pPr>
              <w:snapToGrid w:val="0"/>
              <w:spacing w:line="360" w:lineRule="auto"/>
              <w:rPr>
                <w:sz w:val="24"/>
              </w:rPr>
            </w:pPr>
            <w:r>
              <w:rPr>
                <w:sz w:val="24"/>
              </w:rPr>
              <w:t>（1）方案全面、具体，可行性强得</w:t>
            </w:r>
            <w:r>
              <w:rPr>
                <w:rFonts w:hint="eastAsia"/>
                <w:sz w:val="24"/>
                <w:lang w:val="en-US" w:eastAsia="zh-CN"/>
              </w:rPr>
              <w:t>5</w:t>
            </w:r>
            <w:r>
              <w:rPr>
                <w:sz w:val="24"/>
              </w:rPr>
              <w:t>分；</w:t>
            </w:r>
          </w:p>
          <w:p w14:paraId="0C8D4354">
            <w:pPr>
              <w:snapToGrid w:val="0"/>
              <w:spacing w:line="360" w:lineRule="auto"/>
              <w:rPr>
                <w:sz w:val="24"/>
              </w:rPr>
            </w:pPr>
            <w:r>
              <w:rPr>
                <w:sz w:val="24"/>
              </w:rPr>
              <w:t>（2）方案比较全面、具体，可行性较强得</w:t>
            </w:r>
            <w:r>
              <w:rPr>
                <w:rFonts w:hint="eastAsia"/>
                <w:sz w:val="24"/>
                <w:lang w:val="en-US" w:eastAsia="zh-CN"/>
              </w:rPr>
              <w:t>2</w:t>
            </w:r>
            <w:r>
              <w:rPr>
                <w:sz w:val="24"/>
              </w:rPr>
              <w:t>分；</w:t>
            </w:r>
          </w:p>
          <w:p w14:paraId="7EF15BF8">
            <w:pPr>
              <w:snapToGrid w:val="0"/>
              <w:spacing w:line="360" w:lineRule="auto"/>
              <w:rPr>
                <w:sz w:val="24"/>
              </w:rPr>
            </w:pPr>
            <w:r>
              <w:rPr>
                <w:sz w:val="24"/>
              </w:rPr>
              <w:t>（3）方案不全面，不具体，可行性一般得</w:t>
            </w:r>
            <w:r>
              <w:rPr>
                <w:rFonts w:hint="eastAsia"/>
                <w:sz w:val="24"/>
              </w:rPr>
              <w:t>1</w:t>
            </w:r>
            <w:r>
              <w:rPr>
                <w:sz w:val="24"/>
              </w:rPr>
              <w:t xml:space="preserve">分； </w:t>
            </w:r>
          </w:p>
          <w:p w14:paraId="3A25C81C">
            <w:pPr>
              <w:spacing w:line="360" w:lineRule="auto"/>
              <w:jc w:val="left"/>
              <w:rPr>
                <w:rFonts w:hint="eastAsia" w:ascii="宋体" w:hAnsi="宋体"/>
                <w:sz w:val="24"/>
              </w:rPr>
            </w:pPr>
            <w:r>
              <w:rPr>
                <w:sz w:val="24"/>
              </w:rPr>
              <w:t>（4）未提供方案或提供了但是完全脱离实际，0</w:t>
            </w:r>
            <w:r>
              <w:rPr>
                <w:spacing w:val="-59"/>
                <w:sz w:val="24"/>
              </w:rPr>
              <w:t xml:space="preserve"> </w:t>
            </w:r>
            <w:r>
              <w:rPr>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418B64E9">
            <w:pPr>
              <w:snapToGrid w:val="0"/>
              <w:spacing w:line="360" w:lineRule="auto"/>
              <w:ind w:left="-3"/>
              <w:jc w:val="center"/>
              <w:rPr>
                <w:rFonts w:hint="default" w:ascii="宋体" w:hAnsi="宋体" w:eastAsia="宋体"/>
                <w:sz w:val="24"/>
                <w:lang w:val="en-US" w:eastAsia="zh-CN"/>
              </w:rPr>
            </w:pPr>
            <w:r>
              <w:rPr>
                <w:rFonts w:hint="eastAsia" w:ascii="宋体" w:hAnsi="宋体" w:eastAsia="宋体"/>
                <w:sz w:val="24"/>
                <w:lang w:val="en-US" w:eastAsia="zh-CN"/>
              </w:rPr>
              <w:t>5</w:t>
            </w:r>
          </w:p>
        </w:tc>
      </w:tr>
      <w:tr w14:paraId="5265E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824" w:type="pct"/>
            <w:tcBorders>
              <w:top w:val="single" w:color="auto" w:sz="4" w:space="0"/>
              <w:left w:val="single" w:color="auto" w:sz="4" w:space="0"/>
              <w:bottom w:val="single" w:color="auto" w:sz="4" w:space="0"/>
              <w:right w:val="single" w:color="auto" w:sz="4" w:space="0"/>
            </w:tcBorders>
            <w:vAlign w:val="center"/>
          </w:tcPr>
          <w:p w14:paraId="1CE69CC9">
            <w:pPr>
              <w:widowControl/>
              <w:spacing w:line="360" w:lineRule="auto"/>
              <w:jc w:val="center"/>
              <w:rPr>
                <w:rFonts w:hint="eastAsia" w:ascii="宋体" w:hAnsi="宋体"/>
                <w:sz w:val="24"/>
              </w:rPr>
            </w:pPr>
            <w:r>
              <w:rPr>
                <w:rFonts w:ascii="宋体" w:hAnsi="宋体"/>
                <w:sz w:val="24"/>
              </w:rPr>
              <w:t>其他</w:t>
            </w:r>
          </w:p>
          <w:p w14:paraId="68F56968">
            <w:pPr>
              <w:widowControl/>
              <w:spacing w:line="360" w:lineRule="auto"/>
              <w:jc w:val="center"/>
              <w:rPr>
                <w:rFonts w:hint="eastAsia" w:ascii="宋体" w:hAnsi="宋体"/>
                <w:sz w:val="24"/>
              </w:rPr>
            </w:pPr>
            <w:r>
              <w:rPr>
                <w:rFonts w:ascii="宋体" w:hAnsi="宋体"/>
                <w:sz w:val="24"/>
              </w:rPr>
              <w:t>(</w:t>
            </w:r>
            <w:r>
              <w:rPr>
                <w:rFonts w:hint="eastAsia" w:ascii="宋体" w:hAnsi="宋体"/>
                <w:sz w:val="24"/>
                <w:lang w:val="en-US" w:eastAsia="zh-CN"/>
              </w:rPr>
              <w:t>1</w:t>
            </w:r>
            <w:r>
              <w:rPr>
                <w:rFonts w:ascii="宋体" w:hAnsi="宋体"/>
                <w:sz w:val="24"/>
              </w:rPr>
              <w:t>分)</w:t>
            </w:r>
          </w:p>
        </w:tc>
        <w:tc>
          <w:tcPr>
            <w:tcW w:w="3538" w:type="pct"/>
            <w:tcBorders>
              <w:top w:val="single" w:color="auto" w:sz="4" w:space="0"/>
              <w:left w:val="single" w:color="auto" w:sz="4" w:space="0"/>
              <w:bottom w:val="single" w:color="auto" w:sz="4" w:space="0"/>
              <w:right w:val="single" w:color="auto" w:sz="4" w:space="0"/>
            </w:tcBorders>
            <w:vAlign w:val="center"/>
          </w:tcPr>
          <w:p w14:paraId="7AEC6BF8">
            <w:pPr>
              <w:snapToGrid w:val="0"/>
              <w:spacing w:line="360" w:lineRule="auto"/>
              <w:rPr>
                <w:rFonts w:hint="eastAsia" w:ascii="宋体" w:hAnsi="宋体"/>
                <w:sz w:val="24"/>
              </w:rPr>
            </w:pPr>
            <w:r>
              <w:rPr>
                <w:rFonts w:ascii="宋体" w:hAnsi="宋体"/>
                <w:sz w:val="24"/>
              </w:rPr>
              <w:t>供应商所投产品获得相关节能、环保产品认证情况：</w:t>
            </w:r>
          </w:p>
          <w:p w14:paraId="0C95DEBE">
            <w:pPr>
              <w:snapToGrid w:val="0"/>
              <w:spacing w:line="360" w:lineRule="auto"/>
              <w:rPr>
                <w:rFonts w:hint="eastAsia" w:ascii="宋体" w:hAnsi="宋体"/>
                <w:sz w:val="24"/>
              </w:rPr>
            </w:pPr>
            <w:r>
              <w:rPr>
                <w:rFonts w:ascii="宋体" w:hAnsi="宋体"/>
                <w:sz w:val="24"/>
              </w:rPr>
              <w:t>（1）节能产品：投标产品属于财政部和国家发改委最新公布的节能产品政府采购品目清单的，需提供市场监管总局发布参与实施政府采购节能产品、环境标志产品认证机构出具的认证证书复印件并加盖公章，且在有效截止日期内，得</w:t>
            </w:r>
            <w:r>
              <w:rPr>
                <w:rFonts w:hint="eastAsia" w:ascii="宋体" w:hAnsi="宋体"/>
                <w:sz w:val="24"/>
                <w:lang w:val="en-US" w:eastAsia="zh-CN"/>
              </w:rPr>
              <w:t>0.5</w:t>
            </w:r>
            <w:r>
              <w:rPr>
                <w:rFonts w:ascii="宋体" w:hAnsi="宋体"/>
                <w:sz w:val="24"/>
              </w:rPr>
              <w:t>分；否则0分。</w:t>
            </w:r>
          </w:p>
          <w:p w14:paraId="631D6892">
            <w:pPr>
              <w:snapToGrid w:val="0"/>
              <w:spacing w:line="360" w:lineRule="auto"/>
              <w:rPr>
                <w:rFonts w:hint="eastAsia" w:ascii="宋体" w:hAnsi="宋体"/>
                <w:sz w:val="24"/>
              </w:rPr>
            </w:pPr>
            <w:r>
              <w:rPr>
                <w:rFonts w:ascii="宋体" w:hAnsi="宋体"/>
                <w:sz w:val="24"/>
              </w:rPr>
              <w:t>（2）环境标志产品：投标产品属于财政部和生态环境部最新公布的环境标志产品政府采购品目清单的，供应商需提供市场监管总局发布参与实施政府采购节能产品、环境标志产品认证机构出具的认证证书复印件并加盖公章，且在有效截止日期内，得</w:t>
            </w:r>
            <w:r>
              <w:rPr>
                <w:rFonts w:hint="eastAsia" w:ascii="宋体" w:hAnsi="宋体"/>
                <w:sz w:val="24"/>
                <w:lang w:val="en-US" w:eastAsia="zh-CN"/>
              </w:rPr>
              <w:t>0.5</w:t>
            </w:r>
            <w:r>
              <w:rPr>
                <w:rFonts w:ascii="宋体" w:hAnsi="宋体"/>
                <w:sz w:val="24"/>
              </w:rPr>
              <w:t>分；否则0分。</w:t>
            </w:r>
          </w:p>
        </w:tc>
        <w:tc>
          <w:tcPr>
            <w:tcW w:w="637" w:type="pct"/>
            <w:tcBorders>
              <w:top w:val="single" w:color="auto" w:sz="4" w:space="0"/>
              <w:left w:val="single" w:color="auto" w:sz="4" w:space="0"/>
              <w:bottom w:val="single" w:color="auto" w:sz="4" w:space="0"/>
              <w:right w:val="single" w:color="auto" w:sz="4" w:space="0"/>
            </w:tcBorders>
            <w:vAlign w:val="center"/>
          </w:tcPr>
          <w:p w14:paraId="57BC2690">
            <w:pPr>
              <w:snapToGrid w:val="0"/>
              <w:spacing w:line="360" w:lineRule="auto"/>
              <w:jc w:val="center"/>
              <w:rPr>
                <w:rFonts w:hint="eastAsia" w:ascii="宋体" w:hAnsi="宋体" w:eastAsia="宋体"/>
                <w:sz w:val="24"/>
                <w:lang w:eastAsia="zh-CN"/>
              </w:rPr>
            </w:pPr>
            <w:r>
              <w:rPr>
                <w:rFonts w:hint="eastAsia" w:ascii="宋体" w:hAnsi="宋体"/>
                <w:sz w:val="24"/>
                <w:lang w:val="en-US" w:eastAsia="zh-CN"/>
              </w:rPr>
              <w:t>1</w:t>
            </w:r>
          </w:p>
        </w:tc>
      </w:tr>
    </w:tbl>
    <w:p w14:paraId="6EE154CC">
      <w:pPr>
        <w:pStyle w:val="36"/>
        <w:spacing w:line="360" w:lineRule="auto"/>
        <w:ind w:left="0" w:leftChars="0" w:firstLine="0" w:firstLineChars="0"/>
        <w:rPr>
          <w:rFonts w:hint="eastAsia"/>
          <w:b/>
          <w:bCs/>
          <w:sz w:val="24"/>
          <w:shd w:val="clear" w:color="auto" w:fill="FFFFFF"/>
          <w:lang w:val="en-US" w:eastAsia="zh-CN"/>
        </w:rPr>
      </w:pPr>
      <w:bookmarkStart w:id="207" w:name="_Hlk141717439"/>
      <w:r>
        <w:rPr>
          <w:rFonts w:hint="eastAsia"/>
          <w:b/>
          <w:bCs/>
          <w:sz w:val="24"/>
          <w:shd w:val="clear" w:color="auto" w:fill="FFFFFF"/>
          <w:lang w:val="en-US" w:eastAsia="zh-CN"/>
        </w:rPr>
        <w:t>注：</w:t>
      </w:r>
    </w:p>
    <w:p w14:paraId="7B48F0A5">
      <w:pPr>
        <w:pStyle w:val="36"/>
        <w:spacing w:line="360" w:lineRule="auto"/>
        <w:ind w:left="0" w:leftChars="0" w:firstLine="0" w:firstLineChars="0"/>
        <w:rPr>
          <w:b/>
          <w:bCs/>
          <w:sz w:val="24"/>
          <w:shd w:val="clear" w:color="auto" w:fill="FFFFFF"/>
        </w:rPr>
      </w:pPr>
      <w:r>
        <w:rPr>
          <w:rFonts w:hint="eastAsia"/>
          <w:b/>
          <w:bCs/>
          <w:sz w:val="24"/>
          <w:shd w:val="clear" w:color="auto" w:fill="FFFFFF"/>
        </w:rPr>
        <w:t>★1、对于所投货物的数量作为实质性要求，不满足将被视为无效投标。</w:t>
      </w:r>
    </w:p>
    <w:p w14:paraId="29183992">
      <w:pPr>
        <w:spacing w:line="360" w:lineRule="auto"/>
        <w:rPr>
          <w:sz w:val="24"/>
        </w:rPr>
      </w:pPr>
      <w:r>
        <w:rPr>
          <w:rFonts w:hint="eastAsia"/>
          <w:sz w:val="24"/>
        </w:rPr>
        <w:t>2、</w:t>
      </w:r>
      <w:r>
        <w:rPr>
          <w:sz w:val="24"/>
        </w:rPr>
        <w:t>非专门面向中小企业采购的采购项目，根据财政部、工业和信息化部发布的《</w:t>
      </w:r>
      <w:r>
        <w:rPr>
          <w:sz w:val="24"/>
          <w:shd w:val="clear" w:color="auto" w:fill="FFFFFF"/>
        </w:rPr>
        <w:t>政府采购促进中小企业发展管理办法</w:t>
      </w:r>
      <w:r>
        <w:rPr>
          <w:sz w:val="24"/>
        </w:rPr>
        <w:t>》、财政部、司法部发布的《关于政府采购支持监狱企业发展有关问题的通知》及财政部、民政部、中国残疾人联合会发布的《三部门联合发布关于促进残疾人就业政府采购政策的通知》的规定，如投标产品被认定为小微型企业或监狱企业或残疾人福利性单位制造的产品（须提供相关证明文件，小微企业提供《中小企业声明函》，监狱企业提供由省级以上监狱管理局、戒毒管理局(含新疆生产建设兵团)出具的属于监狱企业的证明文件，残疾人福利性单位提供《残疾人福利性单位声明函》），可在上述第1项价格评分中，对该包的价格给予10%的扣除，并用扣除后的价格计算价格评分。</w:t>
      </w:r>
      <w:r>
        <w:rPr>
          <w:rFonts w:hint="eastAsia"/>
          <w:sz w:val="24"/>
        </w:rPr>
        <w:t xml:space="preserve">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w:t>
      </w:r>
    </w:p>
    <w:p w14:paraId="5F313A37">
      <w:pPr>
        <w:spacing w:line="360" w:lineRule="auto"/>
        <w:rPr>
          <w:sz w:val="24"/>
        </w:rPr>
      </w:pPr>
      <w:r>
        <w:rPr>
          <w:sz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677568A1">
      <w:pPr>
        <w:spacing w:line="360" w:lineRule="auto"/>
        <w:rPr>
          <w:kern w:val="0"/>
          <w:sz w:val="24"/>
        </w:rPr>
      </w:pPr>
      <w:r>
        <w:rPr>
          <w:sz w:val="24"/>
        </w:rPr>
        <w:t>3、</w:t>
      </w:r>
      <w:r>
        <w:rPr>
          <w:kern w:val="0"/>
          <w:sz w:val="24"/>
        </w:rPr>
        <w:t>提供相同品牌产品且通过资格审查、符合性审查的不同投标人参加同一合同项下同一项目包投标的，按一家投标人计算，评审后得分最高的同品牌投标人获得中标人推荐资格；评审得分相同的，按投标报价排列，报价最低的投标人获得中标人推荐资格；得分与投标报价均相同的，按技术指标优劣排列，技术得分最高的投标人获得中标人推荐资格。</w:t>
      </w:r>
      <w:r>
        <w:rPr>
          <w:rFonts w:hint="eastAsia" w:ascii="宋体" w:hAnsi="宋体"/>
          <w:sz w:val="24"/>
        </w:rPr>
        <w:t>（注：</w:t>
      </w:r>
      <w:r>
        <w:rPr>
          <w:rFonts w:hint="eastAsia" w:ascii="宋体" w:hAnsi="宋体" w:cs="宋体"/>
          <w:color w:val="000000"/>
          <w:kern w:val="0"/>
          <w:sz w:val="24"/>
          <w:lang w:bidi="ar"/>
        </w:rPr>
        <w:t>为扶持不发达地区和少数民族地区，得分且投标报价相同的，评标委员会优先推荐企业注册地在不发达地区和少数民族地区的投标人。</w:t>
      </w:r>
      <w:r>
        <w:rPr>
          <w:rFonts w:ascii="宋体" w:hAnsi="宋体" w:cs="宋体"/>
          <w:sz w:val="24"/>
        </w:rPr>
        <w:t>不发达地区或少数民族地区的供应商需提供属于不发达地区或少数民族地区企业的相关证明材料，或供应商注册地为少数民族地区的相关证明材料</w:t>
      </w:r>
      <w:r>
        <w:rPr>
          <w:rFonts w:hint="eastAsia" w:ascii="宋体" w:hAnsi="宋体" w:cs="宋体"/>
          <w:sz w:val="24"/>
        </w:rPr>
        <w:t>）。</w:t>
      </w:r>
    </w:p>
    <w:p w14:paraId="1E3BD403">
      <w:pPr>
        <w:spacing w:line="360" w:lineRule="auto"/>
        <w:rPr>
          <w:kern w:val="0"/>
          <w:sz w:val="24"/>
        </w:rPr>
      </w:pPr>
      <w:r>
        <w:rPr>
          <w:kern w:val="0"/>
          <w:sz w:val="24"/>
        </w:rPr>
        <w:t>4、对非单一产品采购的项目包，在各包中确定核心产品，多家投标人提供的核心产品品牌相同的，按前款规定处理。</w:t>
      </w:r>
    </w:p>
    <w:p w14:paraId="784143AA">
      <w:pPr>
        <w:spacing w:line="360" w:lineRule="auto"/>
        <w:rPr>
          <w:sz w:val="24"/>
        </w:rPr>
      </w:pPr>
      <w:r>
        <w:rPr>
          <w:sz w:val="24"/>
        </w:rPr>
        <w:t>5、评分分值计算保留小数点后两位，第三位四舍五入。</w:t>
      </w:r>
    </w:p>
    <w:p w14:paraId="7ACDC305">
      <w:pPr>
        <w:pStyle w:val="36"/>
        <w:spacing w:line="360" w:lineRule="auto"/>
        <w:ind w:left="0" w:leftChars="0" w:firstLine="0" w:firstLineChars="0"/>
        <w:rPr>
          <w:sz w:val="24"/>
        </w:rPr>
      </w:pPr>
      <w:r>
        <w:rPr>
          <w:sz w:val="24"/>
        </w:rPr>
        <w:t>6</w:t>
      </w:r>
      <w:r>
        <w:rPr>
          <w:rFonts w:hint="eastAsia"/>
          <w:sz w:val="24"/>
        </w:rPr>
        <w:t>、举例说明：投标截止日若为2023年8月1日，则“自投标截止日起近3年内”、“近3年内”为2020年8月1日至2023年8月1日期间（含首尾），以此类推。</w:t>
      </w:r>
    </w:p>
    <w:bookmarkEnd w:id="207"/>
    <w:p w14:paraId="4E53ADCB">
      <w:pPr>
        <w:spacing w:line="360" w:lineRule="auto"/>
        <w:rPr>
          <w:rFonts w:hint="eastAsia" w:ascii="宋体" w:hAnsi="宋体"/>
          <w:b/>
          <w:sz w:val="24"/>
        </w:rPr>
      </w:pPr>
      <w:bookmarkStart w:id="208" w:name="_GoBack"/>
      <w:bookmarkEnd w:id="208"/>
    </w:p>
    <w:sectPr>
      <w:pgSz w:w="11906" w:h="16838"/>
      <w:pgMar w:top="1418" w:right="1418" w:bottom="1418" w:left="1418"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Wingdings 2">
    <w:altName w:val="Wingdings"/>
    <w:panose1 w:val="05020102010507070707"/>
    <w:charset w:val="02"/>
    <w:family w:val="roman"/>
    <w:pitch w:val="default"/>
    <w:sig w:usb0="00000000" w:usb1="00000000" w:usb2="00000000" w:usb3="00000000" w:csb0="80000000" w:csb1="00000000"/>
  </w:font>
  <w:font w:name="inherit">
    <w:altName w:val="Times New Roman"/>
    <w:panose1 w:val="00000000000000000000"/>
    <w:charset w:val="00"/>
    <w:family w:val="roman"/>
    <w:pitch w:val="default"/>
    <w:sig w:usb0="00000000" w:usb1="00000000" w:usb2="00000000" w:usb3="00000000" w:csb0="00000000" w:csb1="00000000"/>
  </w:font>
  <w:font w:name="Bookman Old Style">
    <w:altName w:val="Segoe Print"/>
    <w:panose1 w:val="02050604050505020204"/>
    <w:charset w:val="00"/>
    <w:family w:val="roman"/>
    <w:pitch w:val="default"/>
    <w:sig w:usb0="00000000" w:usb1="00000000" w:usb2="00000000" w:usb3="00000000" w:csb0="2000009F" w:csb1="DFD70000"/>
  </w:font>
  <w:font w:name="Cambria Math">
    <w:panose1 w:val="02040503050406030204"/>
    <w:charset w:val="00"/>
    <w:family w:val="roman"/>
    <w:pitch w:val="default"/>
    <w:sig w:usb0="E00006FF" w:usb1="420024FF" w:usb2="02000000" w:usb3="00000000" w:csb0="2000019F" w:csb1="00000000"/>
  </w:font>
  <w:font w:name="time of new roman">
    <w:altName w:val="Times New Roman"/>
    <w:panose1 w:val="00000000000000000000"/>
    <w:charset w:val="00"/>
    <w:family w:val="roman"/>
    <w:pitch w:val="default"/>
    <w:sig w:usb0="00000000" w:usb1="00000000" w:usb2="00000000" w:usb3="00000000" w:csb0="00040001" w:csb1="0000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F9487">
    <w:pPr>
      <w:pStyle w:val="2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83F22">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451E9BF">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3451E9BF">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11138">
    <w:pPr>
      <w:pStyle w:val="2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25C8BB9">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125C8BB9">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02863">
    <w:pPr>
      <w:pStyle w:val="24"/>
      <w:ind w:firstLine="4140" w:firstLineChars="2300"/>
      <w:jc w:val="both"/>
    </w:pPr>
    <w:r>
      <w:rPr>
        <w:rFonts w:hint="eastAsia"/>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0B18F3"/>
    <w:multiLevelType w:val="multilevel"/>
    <w:tmpl w:val="810B18F3"/>
    <w:lvl w:ilvl="0" w:tentative="0">
      <w:start w:val="1"/>
      <w:numFmt w:val="chineseCounting"/>
      <w:lvlText w:val="%1、"/>
      <w:lvlJc w:val="left"/>
      <w:pPr>
        <w:ind w:left="1047" w:hanging="420"/>
      </w:pPr>
      <w:rPr>
        <w:rFonts w:hint="eastAsia"/>
      </w:rPr>
    </w:lvl>
    <w:lvl w:ilvl="1" w:tentative="0">
      <w:start w:val="1"/>
      <w:numFmt w:val="lowerLetter"/>
      <w:lvlText w:val="%2)"/>
      <w:lvlJc w:val="left"/>
      <w:pPr>
        <w:ind w:left="1467" w:hanging="420"/>
      </w:pPr>
    </w:lvl>
    <w:lvl w:ilvl="2" w:tentative="0">
      <w:start w:val="1"/>
      <w:numFmt w:val="lowerRoman"/>
      <w:lvlText w:val="%3."/>
      <w:lvlJc w:val="right"/>
      <w:pPr>
        <w:ind w:left="1887" w:hanging="420"/>
      </w:pPr>
    </w:lvl>
    <w:lvl w:ilvl="3" w:tentative="0">
      <w:start w:val="1"/>
      <w:numFmt w:val="decimal"/>
      <w:lvlText w:val="%4."/>
      <w:lvlJc w:val="left"/>
      <w:pPr>
        <w:ind w:left="2307" w:hanging="420"/>
      </w:pPr>
    </w:lvl>
    <w:lvl w:ilvl="4" w:tentative="0">
      <w:start w:val="1"/>
      <w:numFmt w:val="lowerLetter"/>
      <w:lvlText w:val="%5)"/>
      <w:lvlJc w:val="left"/>
      <w:pPr>
        <w:ind w:left="2727" w:hanging="420"/>
      </w:pPr>
    </w:lvl>
    <w:lvl w:ilvl="5" w:tentative="0">
      <w:start w:val="1"/>
      <w:numFmt w:val="lowerRoman"/>
      <w:lvlText w:val="%6."/>
      <w:lvlJc w:val="right"/>
      <w:pPr>
        <w:ind w:left="3147" w:hanging="420"/>
      </w:pPr>
    </w:lvl>
    <w:lvl w:ilvl="6" w:tentative="0">
      <w:start w:val="1"/>
      <w:numFmt w:val="decimal"/>
      <w:lvlText w:val="%7."/>
      <w:lvlJc w:val="left"/>
      <w:pPr>
        <w:ind w:left="3567" w:hanging="420"/>
      </w:pPr>
    </w:lvl>
    <w:lvl w:ilvl="7" w:tentative="0">
      <w:start w:val="1"/>
      <w:numFmt w:val="lowerLetter"/>
      <w:lvlText w:val="%8)"/>
      <w:lvlJc w:val="left"/>
      <w:pPr>
        <w:ind w:left="3987" w:hanging="420"/>
      </w:pPr>
    </w:lvl>
    <w:lvl w:ilvl="8" w:tentative="0">
      <w:start w:val="1"/>
      <w:numFmt w:val="lowerRoman"/>
      <w:lvlText w:val="%9."/>
      <w:lvlJc w:val="right"/>
      <w:pPr>
        <w:ind w:left="4407" w:hanging="420"/>
      </w:pPr>
    </w:lvl>
  </w:abstractNum>
  <w:abstractNum w:abstractNumId="1">
    <w:nsid w:val="9EA75153"/>
    <w:multiLevelType w:val="singleLevel"/>
    <w:tmpl w:val="9EA75153"/>
    <w:lvl w:ilvl="0" w:tentative="0">
      <w:start w:val="1"/>
      <w:numFmt w:val="decimal"/>
      <w:suff w:val="nothing"/>
      <w:lvlText w:val="%1、"/>
      <w:lvlJc w:val="left"/>
    </w:lvl>
  </w:abstractNum>
  <w:abstractNum w:abstractNumId="2">
    <w:nsid w:val="A4B1A668"/>
    <w:multiLevelType w:val="singleLevel"/>
    <w:tmpl w:val="A4B1A668"/>
    <w:lvl w:ilvl="0" w:tentative="0">
      <w:start w:val="1"/>
      <w:numFmt w:val="decimal"/>
      <w:lvlText w:val="%1."/>
      <w:lvlJc w:val="left"/>
      <w:pPr>
        <w:ind w:left="425" w:hanging="425"/>
      </w:pPr>
      <w:rPr>
        <w:rFonts w:hint="default"/>
        <w:b/>
        <w:bCs/>
      </w:rPr>
    </w:lvl>
  </w:abstractNum>
  <w:abstractNum w:abstractNumId="3">
    <w:nsid w:val="A9757ED3"/>
    <w:multiLevelType w:val="singleLevel"/>
    <w:tmpl w:val="A9757ED3"/>
    <w:lvl w:ilvl="0" w:tentative="0">
      <w:start w:val="1"/>
      <w:numFmt w:val="decimal"/>
      <w:suff w:val="nothing"/>
      <w:lvlText w:val="%1）"/>
      <w:lvlJc w:val="left"/>
    </w:lvl>
  </w:abstractNum>
  <w:abstractNum w:abstractNumId="4">
    <w:nsid w:val="B82125E3"/>
    <w:multiLevelType w:val="multilevel"/>
    <w:tmpl w:val="B82125E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C1428C60"/>
    <w:multiLevelType w:val="singleLevel"/>
    <w:tmpl w:val="C1428C60"/>
    <w:lvl w:ilvl="0" w:tentative="0">
      <w:start w:val="1"/>
      <w:numFmt w:val="decimal"/>
      <w:lvlText w:val="%1."/>
      <w:lvlJc w:val="left"/>
      <w:pPr>
        <w:ind w:left="425" w:hanging="425"/>
      </w:pPr>
      <w:rPr>
        <w:rFonts w:hint="default"/>
        <w:b/>
        <w:bCs/>
      </w:rPr>
    </w:lvl>
  </w:abstractNum>
  <w:abstractNum w:abstractNumId="6">
    <w:nsid w:val="D7E96364"/>
    <w:multiLevelType w:val="singleLevel"/>
    <w:tmpl w:val="D7E96364"/>
    <w:lvl w:ilvl="0" w:tentative="0">
      <w:start w:val="1"/>
      <w:numFmt w:val="decimal"/>
      <w:suff w:val="nothing"/>
      <w:lvlText w:val="%1、"/>
      <w:lvlJc w:val="left"/>
    </w:lvl>
  </w:abstractNum>
  <w:abstractNum w:abstractNumId="7">
    <w:nsid w:val="DEF0A677"/>
    <w:multiLevelType w:val="multilevel"/>
    <w:tmpl w:val="DEF0A67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EE922809"/>
    <w:multiLevelType w:val="singleLevel"/>
    <w:tmpl w:val="EE922809"/>
    <w:lvl w:ilvl="0" w:tentative="0">
      <w:start w:val="3"/>
      <w:numFmt w:val="decimal"/>
      <w:suff w:val="nothing"/>
      <w:lvlText w:val="%1）"/>
      <w:lvlJc w:val="left"/>
    </w:lvl>
  </w:abstractNum>
  <w:abstractNum w:abstractNumId="9">
    <w:nsid w:val="F10717A1"/>
    <w:multiLevelType w:val="multilevel"/>
    <w:tmpl w:val="F10717A1"/>
    <w:lvl w:ilvl="0" w:tentative="0">
      <w:start w:val="1"/>
      <w:numFmt w:val="chineseCounting"/>
      <w:lvlText w:val="%1、"/>
      <w:lvlJc w:val="left"/>
      <w:pPr>
        <w:ind w:left="1047" w:hanging="420"/>
      </w:pPr>
      <w:rPr>
        <w:rFonts w:hint="eastAsia"/>
      </w:rPr>
    </w:lvl>
    <w:lvl w:ilvl="1" w:tentative="0">
      <w:start w:val="1"/>
      <w:numFmt w:val="lowerLetter"/>
      <w:lvlText w:val="%2)"/>
      <w:lvlJc w:val="left"/>
      <w:pPr>
        <w:ind w:left="1467" w:hanging="420"/>
      </w:pPr>
    </w:lvl>
    <w:lvl w:ilvl="2" w:tentative="0">
      <w:start w:val="1"/>
      <w:numFmt w:val="lowerRoman"/>
      <w:lvlText w:val="%3."/>
      <w:lvlJc w:val="right"/>
      <w:pPr>
        <w:ind w:left="1887" w:hanging="420"/>
      </w:pPr>
    </w:lvl>
    <w:lvl w:ilvl="3" w:tentative="0">
      <w:start w:val="1"/>
      <w:numFmt w:val="decimal"/>
      <w:lvlText w:val="%4."/>
      <w:lvlJc w:val="left"/>
      <w:pPr>
        <w:ind w:left="2307" w:hanging="420"/>
      </w:pPr>
    </w:lvl>
    <w:lvl w:ilvl="4" w:tentative="0">
      <w:start w:val="1"/>
      <w:numFmt w:val="lowerLetter"/>
      <w:lvlText w:val="%5)"/>
      <w:lvlJc w:val="left"/>
      <w:pPr>
        <w:ind w:left="2727" w:hanging="420"/>
      </w:pPr>
    </w:lvl>
    <w:lvl w:ilvl="5" w:tentative="0">
      <w:start w:val="1"/>
      <w:numFmt w:val="lowerRoman"/>
      <w:lvlText w:val="%6."/>
      <w:lvlJc w:val="right"/>
      <w:pPr>
        <w:ind w:left="3147" w:hanging="420"/>
      </w:pPr>
    </w:lvl>
    <w:lvl w:ilvl="6" w:tentative="0">
      <w:start w:val="1"/>
      <w:numFmt w:val="decimal"/>
      <w:lvlText w:val="%7."/>
      <w:lvlJc w:val="left"/>
      <w:pPr>
        <w:ind w:left="3567" w:hanging="420"/>
      </w:pPr>
    </w:lvl>
    <w:lvl w:ilvl="7" w:tentative="0">
      <w:start w:val="1"/>
      <w:numFmt w:val="lowerLetter"/>
      <w:lvlText w:val="%8)"/>
      <w:lvlJc w:val="left"/>
      <w:pPr>
        <w:ind w:left="3987" w:hanging="420"/>
      </w:pPr>
    </w:lvl>
    <w:lvl w:ilvl="8" w:tentative="0">
      <w:start w:val="1"/>
      <w:numFmt w:val="lowerRoman"/>
      <w:lvlText w:val="%9."/>
      <w:lvlJc w:val="right"/>
      <w:pPr>
        <w:ind w:left="4407" w:hanging="420"/>
      </w:pPr>
    </w:lvl>
  </w:abstractNum>
  <w:abstractNum w:abstractNumId="10">
    <w:nsid w:val="04986757"/>
    <w:multiLevelType w:val="singleLevel"/>
    <w:tmpl w:val="04986757"/>
    <w:lvl w:ilvl="0" w:tentative="0">
      <w:start w:val="1"/>
      <w:numFmt w:val="decimal"/>
      <w:lvlText w:val="%1)"/>
      <w:lvlJc w:val="left"/>
      <w:pPr>
        <w:ind w:left="425" w:hanging="425"/>
      </w:pPr>
      <w:rPr>
        <w:rFonts w:hint="default"/>
      </w:rPr>
    </w:lvl>
  </w:abstractNum>
  <w:abstractNum w:abstractNumId="11">
    <w:nsid w:val="0C7E6219"/>
    <w:multiLevelType w:val="multilevel"/>
    <w:tmpl w:val="0C7E6219"/>
    <w:lvl w:ilvl="0" w:tentative="0">
      <w:start w:val="1"/>
      <w:numFmt w:val="decimal"/>
      <w:lvlText w:val="（%1）"/>
      <w:lvlJc w:val="left"/>
      <w:pPr>
        <w:tabs>
          <w:tab w:val="left" w:pos="1140"/>
        </w:tabs>
        <w:ind w:left="1140" w:hanging="720"/>
      </w:pPr>
      <w:rPr>
        <w:rFonts w:cs="仿宋_GB2312"/>
        <w:strike w:val="0"/>
        <w:dstrike w:val="0"/>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2">
    <w:nsid w:val="10BD8468"/>
    <w:multiLevelType w:val="singleLevel"/>
    <w:tmpl w:val="10BD8468"/>
    <w:lvl w:ilvl="0" w:tentative="0">
      <w:start w:val="6"/>
      <w:numFmt w:val="decimal"/>
      <w:suff w:val="nothing"/>
      <w:lvlText w:val="%1、"/>
      <w:lvlJc w:val="left"/>
    </w:lvl>
  </w:abstractNum>
  <w:abstractNum w:abstractNumId="13">
    <w:nsid w:val="151FF907"/>
    <w:multiLevelType w:val="multilevel"/>
    <w:tmpl w:val="151FF90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96D2C15"/>
    <w:multiLevelType w:val="multilevel"/>
    <w:tmpl w:val="196D2C15"/>
    <w:lvl w:ilvl="0" w:tentative="0">
      <w:start w:val="1"/>
      <w:numFmt w:val="decimal"/>
      <w:lvlText w:val="%1．"/>
      <w:lvlJc w:val="left"/>
      <w:pPr>
        <w:tabs>
          <w:tab w:val="left" w:pos="768"/>
        </w:tabs>
        <w:ind w:left="768" w:hanging="360"/>
      </w:pPr>
    </w:lvl>
    <w:lvl w:ilvl="1" w:tentative="0">
      <w:start w:val="1"/>
      <w:numFmt w:val="decimal"/>
      <w:lvlText w:val="%2、"/>
      <w:lvlJc w:val="left"/>
      <w:pPr>
        <w:tabs>
          <w:tab w:val="left" w:pos="1410"/>
        </w:tabs>
        <w:ind w:left="1410" w:hanging="360"/>
      </w:p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5">
    <w:nsid w:val="284F8797"/>
    <w:multiLevelType w:val="singleLevel"/>
    <w:tmpl w:val="284F8797"/>
    <w:lvl w:ilvl="0" w:tentative="0">
      <w:start w:val="1"/>
      <w:numFmt w:val="decimal"/>
      <w:suff w:val="nothing"/>
      <w:lvlText w:val="%1）"/>
      <w:lvlJc w:val="left"/>
      <w:pPr>
        <w:ind w:left="-480"/>
      </w:pPr>
    </w:lvl>
  </w:abstractNum>
  <w:abstractNum w:abstractNumId="16">
    <w:nsid w:val="29765FEA"/>
    <w:multiLevelType w:val="multilevel"/>
    <w:tmpl w:val="29765FEA"/>
    <w:lvl w:ilvl="0" w:tentative="0">
      <w:start w:val="1"/>
      <w:numFmt w:val="chineseCounting"/>
      <w:lvlText w:val="%1、"/>
      <w:lvlJc w:val="left"/>
      <w:pPr>
        <w:ind w:left="1047" w:hanging="420"/>
      </w:pPr>
      <w:rPr>
        <w:rFonts w:hint="eastAsia"/>
      </w:rPr>
    </w:lvl>
    <w:lvl w:ilvl="1" w:tentative="0">
      <w:start w:val="1"/>
      <w:numFmt w:val="lowerLetter"/>
      <w:lvlText w:val="%2)"/>
      <w:lvlJc w:val="left"/>
      <w:pPr>
        <w:ind w:left="1467" w:hanging="420"/>
      </w:pPr>
    </w:lvl>
    <w:lvl w:ilvl="2" w:tentative="0">
      <w:start w:val="1"/>
      <w:numFmt w:val="lowerRoman"/>
      <w:lvlText w:val="%3."/>
      <w:lvlJc w:val="right"/>
      <w:pPr>
        <w:ind w:left="1887" w:hanging="420"/>
      </w:pPr>
    </w:lvl>
    <w:lvl w:ilvl="3" w:tentative="0">
      <w:start w:val="1"/>
      <w:numFmt w:val="decimal"/>
      <w:lvlText w:val="%4."/>
      <w:lvlJc w:val="left"/>
      <w:pPr>
        <w:ind w:left="2307" w:hanging="420"/>
      </w:pPr>
    </w:lvl>
    <w:lvl w:ilvl="4" w:tentative="0">
      <w:start w:val="1"/>
      <w:numFmt w:val="lowerLetter"/>
      <w:lvlText w:val="%5)"/>
      <w:lvlJc w:val="left"/>
      <w:pPr>
        <w:ind w:left="2727" w:hanging="420"/>
      </w:pPr>
    </w:lvl>
    <w:lvl w:ilvl="5" w:tentative="0">
      <w:start w:val="1"/>
      <w:numFmt w:val="lowerRoman"/>
      <w:lvlText w:val="%6."/>
      <w:lvlJc w:val="right"/>
      <w:pPr>
        <w:ind w:left="3147" w:hanging="420"/>
      </w:pPr>
    </w:lvl>
    <w:lvl w:ilvl="6" w:tentative="0">
      <w:start w:val="1"/>
      <w:numFmt w:val="decimal"/>
      <w:lvlText w:val="%7."/>
      <w:lvlJc w:val="left"/>
      <w:pPr>
        <w:ind w:left="3567" w:hanging="420"/>
      </w:pPr>
    </w:lvl>
    <w:lvl w:ilvl="7" w:tentative="0">
      <w:start w:val="1"/>
      <w:numFmt w:val="lowerLetter"/>
      <w:lvlText w:val="%8)"/>
      <w:lvlJc w:val="left"/>
      <w:pPr>
        <w:ind w:left="3987" w:hanging="420"/>
      </w:pPr>
    </w:lvl>
    <w:lvl w:ilvl="8" w:tentative="0">
      <w:start w:val="1"/>
      <w:numFmt w:val="lowerRoman"/>
      <w:lvlText w:val="%9."/>
      <w:lvlJc w:val="right"/>
      <w:pPr>
        <w:ind w:left="4407" w:hanging="420"/>
      </w:pPr>
    </w:lvl>
  </w:abstractNum>
  <w:abstractNum w:abstractNumId="17">
    <w:nsid w:val="2D845DD0"/>
    <w:multiLevelType w:val="multilevel"/>
    <w:tmpl w:val="2D845DD0"/>
    <w:lvl w:ilvl="0" w:tentative="0">
      <w:start w:val="1"/>
      <w:numFmt w:val="decimal"/>
      <w:lvlText w:val="%1、"/>
      <w:lvlJc w:val="left"/>
      <w:pPr>
        <w:ind w:left="720" w:hanging="720"/>
      </w:pPr>
      <w:rPr>
        <w:rFonts w:hint="default" w:ascii="宋体" w:hAnsi="宋体" w:cs="宋体"/>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3A213A75"/>
    <w:multiLevelType w:val="singleLevel"/>
    <w:tmpl w:val="3A213A75"/>
    <w:lvl w:ilvl="0" w:tentative="0">
      <w:start w:val="1"/>
      <w:numFmt w:val="decimal"/>
      <w:lvlText w:val="%1."/>
      <w:lvlJc w:val="left"/>
      <w:pPr>
        <w:tabs>
          <w:tab w:val="left" w:pos="636"/>
        </w:tabs>
        <w:ind w:left="636" w:hanging="216"/>
      </w:pPr>
      <w:rPr>
        <w:rFonts w:hint="eastAsia"/>
      </w:rPr>
    </w:lvl>
  </w:abstractNum>
  <w:abstractNum w:abstractNumId="19">
    <w:nsid w:val="46E949B1"/>
    <w:multiLevelType w:val="singleLevel"/>
    <w:tmpl w:val="46E949B1"/>
    <w:lvl w:ilvl="0" w:tentative="0">
      <w:start w:val="1"/>
      <w:numFmt w:val="decimal"/>
      <w:suff w:val="nothing"/>
      <w:lvlText w:val="%1）"/>
      <w:lvlJc w:val="left"/>
    </w:lvl>
  </w:abstractNum>
  <w:abstractNum w:abstractNumId="20">
    <w:nsid w:val="536A2953"/>
    <w:multiLevelType w:val="singleLevel"/>
    <w:tmpl w:val="536A2953"/>
    <w:lvl w:ilvl="0" w:tentative="0">
      <w:start w:val="1"/>
      <w:numFmt w:val="decimal"/>
      <w:lvlText w:val="%1."/>
      <w:lvlJc w:val="left"/>
      <w:pPr>
        <w:ind w:left="425" w:hanging="425"/>
      </w:pPr>
      <w:rPr>
        <w:rFonts w:hint="default"/>
        <w:b/>
        <w:bCs/>
      </w:rPr>
    </w:lvl>
  </w:abstractNum>
  <w:abstractNum w:abstractNumId="21">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2">
    <w:nsid w:val="5C3AF17F"/>
    <w:multiLevelType w:val="singleLevel"/>
    <w:tmpl w:val="5C3AF17F"/>
    <w:lvl w:ilvl="0" w:tentative="0">
      <w:start w:val="3"/>
      <w:numFmt w:val="chineseCounting"/>
      <w:suff w:val="nothing"/>
      <w:lvlText w:val="%1、"/>
      <w:lvlJc w:val="left"/>
      <w:rPr>
        <w:rFonts w:hint="eastAsia"/>
      </w:rPr>
    </w:lvl>
  </w:abstractNum>
  <w:abstractNum w:abstractNumId="23">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4">
    <w:nsid w:val="6E2E2083"/>
    <w:multiLevelType w:val="multilevel"/>
    <w:tmpl w:val="6E2E2083"/>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5">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0C68EB4"/>
    <w:multiLevelType w:val="singleLevel"/>
    <w:tmpl w:val="70C68EB4"/>
    <w:lvl w:ilvl="0" w:tentative="0">
      <w:start w:val="1"/>
      <w:numFmt w:val="decimal"/>
      <w:lvlText w:val="%1)"/>
      <w:lvlJc w:val="left"/>
      <w:pPr>
        <w:tabs>
          <w:tab w:val="left" w:pos="312"/>
        </w:tabs>
      </w:pPr>
    </w:lvl>
  </w:abstractNum>
  <w:abstractNum w:abstractNumId="27">
    <w:nsid w:val="77960C54"/>
    <w:multiLevelType w:val="multilevel"/>
    <w:tmpl w:val="77960C54"/>
    <w:lvl w:ilvl="0" w:tentative="0">
      <w:start w:val="1"/>
      <w:numFmt w:val="chineseCounting"/>
      <w:lvlText w:val="%1、"/>
      <w:lvlJc w:val="left"/>
      <w:pPr>
        <w:ind w:left="1047" w:hanging="420"/>
      </w:pPr>
      <w:rPr>
        <w:rFonts w:hint="eastAsia"/>
      </w:rPr>
    </w:lvl>
    <w:lvl w:ilvl="1" w:tentative="0">
      <w:start w:val="1"/>
      <w:numFmt w:val="lowerLetter"/>
      <w:lvlText w:val="%2)"/>
      <w:lvlJc w:val="left"/>
      <w:pPr>
        <w:ind w:left="1467" w:hanging="420"/>
      </w:pPr>
    </w:lvl>
    <w:lvl w:ilvl="2" w:tentative="0">
      <w:start w:val="1"/>
      <w:numFmt w:val="lowerRoman"/>
      <w:lvlText w:val="%3."/>
      <w:lvlJc w:val="right"/>
      <w:pPr>
        <w:ind w:left="1887" w:hanging="420"/>
      </w:pPr>
    </w:lvl>
    <w:lvl w:ilvl="3" w:tentative="0">
      <w:start w:val="1"/>
      <w:numFmt w:val="decimal"/>
      <w:lvlText w:val="%4."/>
      <w:lvlJc w:val="left"/>
      <w:pPr>
        <w:ind w:left="2307" w:hanging="420"/>
      </w:pPr>
    </w:lvl>
    <w:lvl w:ilvl="4" w:tentative="0">
      <w:start w:val="1"/>
      <w:numFmt w:val="lowerLetter"/>
      <w:lvlText w:val="%5)"/>
      <w:lvlJc w:val="left"/>
      <w:pPr>
        <w:ind w:left="2727" w:hanging="420"/>
      </w:pPr>
    </w:lvl>
    <w:lvl w:ilvl="5" w:tentative="0">
      <w:start w:val="1"/>
      <w:numFmt w:val="lowerRoman"/>
      <w:lvlText w:val="%6."/>
      <w:lvlJc w:val="right"/>
      <w:pPr>
        <w:ind w:left="3147" w:hanging="420"/>
      </w:pPr>
    </w:lvl>
    <w:lvl w:ilvl="6" w:tentative="0">
      <w:start w:val="1"/>
      <w:numFmt w:val="decimal"/>
      <w:lvlText w:val="%7."/>
      <w:lvlJc w:val="left"/>
      <w:pPr>
        <w:ind w:left="3567" w:hanging="420"/>
      </w:pPr>
    </w:lvl>
    <w:lvl w:ilvl="7" w:tentative="0">
      <w:start w:val="1"/>
      <w:numFmt w:val="lowerLetter"/>
      <w:lvlText w:val="%8)"/>
      <w:lvlJc w:val="left"/>
      <w:pPr>
        <w:ind w:left="3987" w:hanging="420"/>
      </w:pPr>
    </w:lvl>
    <w:lvl w:ilvl="8" w:tentative="0">
      <w:start w:val="1"/>
      <w:numFmt w:val="lowerRoman"/>
      <w:lvlText w:val="%9."/>
      <w:lvlJc w:val="right"/>
      <w:pPr>
        <w:ind w:left="4407" w:hanging="420"/>
      </w:pPr>
    </w:lvl>
  </w:abstractNum>
  <w:abstractNum w:abstractNumId="28">
    <w:nsid w:val="79615ADC"/>
    <w:multiLevelType w:val="singleLevel"/>
    <w:tmpl w:val="79615ADC"/>
    <w:lvl w:ilvl="0" w:tentative="0">
      <w:start w:val="1"/>
      <w:numFmt w:val="decimal"/>
      <w:lvlText w:val="（%1）"/>
      <w:lvlJc w:val="left"/>
      <w:pPr>
        <w:tabs>
          <w:tab w:val="left" w:pos="750"/>
        </w:tabs>
        <w:ind w:left="750" w:hanging="750"/>
      </w:pPr>
      <w:rPr>
        <w:rFonts w:hint="default"/>
      </w:rPr>
    </w:lvl>
  </w:abstractNum>
  <w:abstractNum w:abstractNumId="29">
    <w:nsid w:val="7AE1256C"/>
    <w:multiLevelType w:val="singleLevel"/>
    <w:tmpl w:val="7AE1256C"/>
    <w:lvl w:ilvl="0" w:tentative="0">
      <w:start w:val="1"/>
      <w:numFmt w:val="decimal"/>
      <w:lvlText w:val="%1."/>
      <w:lvlJc w:val="left"/>
      <w:pPr>
        <w:ind w:left="425" w:hanging="425"/>
      </w:pPr>
      <w:rPr>
        <w:rFonts w:hint="default"/>
        <w:b/>
        <w:bCs/>
      </w:rPr>
    </w:lvl>
  </w:abstractNum>
  <w:num w:numId="1">
    <w:abstractNumId w:val="17"/>
  </w:num>
  <w:num w:numId="2">
    <w:abstractNumId w:val="8"/>
  </w:num>
  <w:num w:numId="3">
    <w:abstractNumId w:val="1"/>
  </w:num>
  <w:num w:numId="4">
    <w:abstractNumId w:val="12"/>
  </w:num>
  <w:num w:numId="5">
    <w:abstractNumId w:val="22"/>
  </w:num>
  <w:num w:numId="6">
    <w:abstractNumId w:val="27"/>
  </w:num>
  <w:num w:numId="7">
    <w:abstractNumId w:val="29"/>
  </w:num>
  <w:num w:numId="8">
    <w:abstractNumId w:val="26"/>
  </w:num>
  <w:num w:numId="9">
    <w:abstractNumId w:val="21"/>
  </w:num>
  <w:num w:numId="10">
    <w:abstractNumId w:val="24"/>
  </w:num>
  <w:num w:numId="11">
    <w:abstractNumId w:val="10"/>
  </w:num>
  <w:num w:numId="12">
    <w:abstractNumId w:val="25"/>
  </w:num>
  <w:num w:numId="13">
    <w:abstractNumId w:val="9"/>
  </w:num>
  <w:num w:numId="14">
    <w:abstractNumId w:val="2"/>
  </w:num>
  <w:num w:numId="15">
    <w:abstractNumId w:val="3"/>
  </w:num>
  <w:num w:numId="16">
    <w:abstractNumId w:val="13"/>
  </w:num>
  <w:num w:numId="17">
    <w:abstractNumId w:val="16"/>
  </w:num>
  <w:num w:numId="18">
    <w:abstractNumId w:val="20"/>
  </w:num>
  <w:num w:numId="19">
    <w:abstractNumId w:val="19"/>
  </w:num>
  <w:num w:numId="20">
    <w:abstractNumId w:val="4"/>
  </w:num>
  <w:num w:numId="21">
    <w:abstractNumId w:val="0"/>
  </w:num>
  <w:num w:numId="22">
    <w:abstractNumId w:val="5"/>
  </w:num>
  <w:num w:numId="23">
    <w:abstractNumId w:val="15"/>
  </w:num>
  <w:num w:numId="24">
    <w:abstractNumId w:val="7"/>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6"/>
  </w:num>
  <w:num w:numId="29">
    <w:abstractNumId w:val="23"/>
  </w:num>
  <w:num w:numId="30">
    <w:abstractNumId w:val="18"/>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Q0tDQ2MjU0Mzc2NDNV0lEKTi0uzszPAykwqgUAVFWE4ywAAAA="/>
    <w:docVar w:name="commondata" w:val="eyJoZGlkIjoiM2M5ZGIyMzIxOTdkOTkyYzNmZGFhY2ZhMTY2YWVmNmUifQ=="/>
  </w:docVars>
  <w:rsids>
    <w:rsidRoot w:val="00FA3835"/>
    <w:rsid w:val="00000E09"/>
    <w:rsid w:val="00000ECD"/>
    <w:rsid w:val="000032CF"/>
    <w:rsid w:val="000045AA"/>
    <w:rsid w:val="000046FB"/>
    <w:rsid w:val="00004F1D"/>
    <w:rsid w:val="000050A2"/>
    <w:rsid w:val="00006D15"/>
    <w:rsid w:val="00007165"/>
    <w:rsid w:val="00012D1E"/>
    <w:rsid w:val="00013063"/>
    <w:rsid w:val="000151C1"/>
    <w:rsid w:val="00015B7D"/>
    <w:rsid w:val="00016BFE"/>
    <w:rsid w:val="00020F07"/>
    <w:rsid w:val="00021958"/>
    <w:rsid w:val="00021BB0"/>
    <w:rsid w:val="00024CCA"/>
    <w:rsid w:val="000257C3"/>
    <w:rsid w:val="00026E05"/>
    <w:rsid w:val="0002754B"/>
    <w:rsid w:val="00027C8D"/>
    <w:rsid w:val="000312CF"/>
    <w:rsid w:val="00033603"/>
    <w:rsid w:val="00040005"/>
    <w:rsid w:val="000403C5"/>
    <w:rsid w:val="0004168B"/>
    <w:rsid w:val="00042166"/>
    <w:rsid w:val="000426B6"/>
    <w:rsid w:val="000444F7"/>
    <w:rsid w:val="00044E88"/>
    <w:rsid w:val="000460A1"/>
    <w:rsid w:val="00046CA0"/>
    <w:rsid w:val="00047E9E"/>
    <w:rsid w:val="00050231"/>
    <w:rsid w:val="00051ACC"/>
    <w:rsid w:val="000543E7"/>
    <w:rsid w:val="00054D52"/>
    <w:rsid w:val="000551C4"/>
    <w:rsid w:val="00056E76"/>
    <w:rsid w:val="0006010D"/>
    <w:rsid w:val="00061B80"/>
    <w:rsid w:val="000632D4"/>
    <w:rsid w:val="0006396F"/>
    <w:rsid w:val="000668DC"/>
    <w:rsid w:val="00066CC9"/>
    <w:rsid w:val="000675D7"/>
    <w:rsid w:val="000676A9"/>
    <w:rsid w:val="000744B1"/>
    <w:rsid w:val="00075288"/>
    <w:rsid w:val="00077AF8"/>
    <w:rsid w:val="00080096"/>
    <w:rsid w:val="00080663"/>
    <w:rsid w:val="00080D5E"/>
    <w:rsid w:val="00081ADD"/>
    <w:rsid w:val="0008298E"/>
    <w:rsid w:val="00083889"/>
    <w:rsid w:val="00084C57"/>
    <w:rsid w:val="00086FDD"/>
    <w:rsid w:val="00090EDA"/>
    <w:rsid w:val="00094E9C"/>
    <w:rsid w:val="00095B56"/>
    <w:rsid w:val="000969BB"/>
    <w:rsid w:val="000973D2"/>
    <w:rsid w:val="000A4972"/>
    <w:rsid w:val="000B00CF"/>
    <w:rsid w:val="000B0AE3"/>
    <w:rsid w:val="000B12EC"/>
    <w:rsid w:val="000B1604"/>
    <w:rsid w:val="000B3D98"/>
    <w:rsid w:val="000B4672"/>
    <w:rsid w:val="000B636A"/>
    <w:rsid w:val="000C00ED"/>
    <w:rsid w:val="000C14C9"/>
    <w:rsid w:val="000C1F98"/>
    <w:rsid w:val="000C325D"/>
    <w:rsid w:val="000C39FF"/>
    <w:rsid w:val="000C3BBC"/>
    <w:rsid w:val="000C3D32"/>
    <w:rsid w:val="000C436D"/>
    <w:rsid w:val="000C4A74"/>
    <w:rsid w:val="000C505C"/>
    <w:rsid w:val="000D0B32"/>
    <w:rsid w:val="000D1A3C"/>
    <w:rsid w:val="000D52B3"/>
    <w:rsid w:val="000E03DE"/>
    <w:rsid w:val="000E0B0C"/>
    <w:rsid w:val="000E14A0"/>
    <w:rsid w:val="000E17D4"/>
    <w:rsid w:val="000E3F59"/>
    <w:rsid w:val="000E4DA9"/>
    <w:rsid w:val="000E5E86"/>
    <w:rsid w:val="000E605D"/>
    <w:rsid w:val="000E7425"/>
    <w:rsid w:val="000E7974"/>
    <w:rsid w:val="000E7B1F"/>
    <w:rsid w:val="000F0512"/>
    <w:rsid w:val="000F146B"/>
    <w:rsid w:val="000F2292"/>
    <w:rsid w:val="000F452B"/>
    <w:rsid w:val="000F4571"/>
    <w:rsid w:val="000F5684"/>
    <w:rsid w:val="000F63A7"/>
    <w:rsid w:val="000F713F"/>
    <w:rsid w:val="0010013B"/>
    <w:rsid w:val="001024C4"/>
    <w:rsid w:val="00103352"/>
    <w:rsid w:val="00104348"/>
    <w:rsid w:val="00106B3B"/>
    <w:rsid w:val="00107111"/>
    <w:rsid w:val="00107AF4"/>
    <w:rsid w:val="00111E11"/>
    <w:rsid w:val="001140D0"/>
    <w:rsid w:val="001145C9"/>
    <w:rsid w:val="001153AA"/>
    <w:rsid w:val="00116929"/>
    <w:rsid w:val="0011760F"/>
    <w:rsid w:val="00120A5A"/>
    <w:rsid w:val="00120DF4"/>
    <w:rsid w:val="00121CA1"/>
    <w:rsid w:val="001235CA"/>
    <w:rsid w:val="00123D11"/>
    <w:rsid w:val="00124488"/>
    <w:rsid w:val="00125861"/>
    <w:rsid w:val="00125A2F"/>
    <w:rsid w:val="00125B02"/>
    <w:rsid w:val="00125EC8"/>
    <w:rsid w:val="001301F5"/>
    <w:rsid w:val="00135707"/>
    <w:rsid w:val="00137D93"/>
    <w:rsid w:val="00144505"/>
    <w:rsid w:val="00144DDA"/>
    <w:rsid w:val="0014761F"/>
    <w:rsid w:val="00150265"/>
    <w:rsid w:val="001526F0"/>
    <w:rsid w:val="001537C7"/>
    <w:rsid w:val="00153ADA"/>
    <w:rsid w:val="00153F11"/>
    <w:rsid w:val="00154036"/>
    <w:rsid w:val="00154F47"/>
    <w:rsid w:val="00155351"/>
    <w:rsid w:val="00155979"/>
    <w:rsid w:val="00155A34"/>
    <w:rsid w:val="001572D4"/>
    <w:rsid w:val="0016157A"/>
    <w:rsid w:val="00162475"/>
    <w:rsid w:val="0016350B"/>
    <w:rsid w:val="00164D7A"/>
    <w:rsid w:val="00164E27"/>
    <w:rsid w:val="00166A3C"/>
    <w:rsid w:val="001673FD"/>
    <w:rsid w:val="001709E2"/>
    <w:rsid w:val="0017112E"/>
    <w:rsid w:val="0017129D"/>
    <w:rsid w:val="00171E49"/>
    <w:rsid w:val="001734DE"/>
    <w:rsid w:val="00173C58"/>
    <w:rsid w:val="00174256"/>
    <w:rsid w:val="00175BB2"/>
    <w:rsid w:val="00175BE3"/>
    <w:rsid w:val="00177BC8"/>
    <w:rsid w:val="001823CE"/>
    <w:rsid w:val="001862B7"/>
    <w:rsid w:val="00186D42"/>
    <w:rsid w:val="001921CA"/>
    <w:rsid w:val="0019297F"/>
    <w:rsid w:val="00194900"/>
    <w:rsid w:val="0019523F"/>
    <w:rsid w:val="001956C9"/>
    <w:rsid w:val="001961C2"/>
    <w:rsid w:val="0019775D"/>
    <w:rsid w:val="001A0E56"/>
    <w:rsid w:val="001A1EC1"/>
    <w:rsid w:val="001A29B5"/>
    <w:rsid w:val="001A38DC"/>
    <w:rsid w:val="001A6D9C"/>
    <w:rsid w:val="001A6E63"/>
    <w:rsid w:val="001A7810"/>
    <w:rsid w:val="001B195C"/>
    <w:rsid w:val="001B2993"/>
    <w:rsid w:val="001B34D2"/>
    <w:rsid w:val="001B62CC"/>
    <w:rsid w:val="001B66E1"/>
    <w:rsid w:val="001B6E57"/>
    <w:rsid w:val="001C3594"/>
    <w:rsid w:val="001C45E7"/>
    <w:rsid w:val="001C6E68"/>
    <w:rsid w:val="001C7E3E"/>
    <w:rsid w:val="001D1371"/>
    <w:rsid w:val="001D193C"/>
    <w:rsid w:val="001D4EB4"/>
    <w:rsid w:val="001D5245"/>
    <w:rsid w:val="001D7301"/>
    <w:rsid w:val="001D7974"/>
    <w:rsid w:val="001D7FB8"/>
    <w:rsid w:val="001E0015"/>
    <w:rsid w:val="001E1467"/>
    <w:rsid w:val="001E152C"/>
    <w:rsid w:val="001E19AC"/>
    <w:rsid w:val="001E2197"/>
    <w:rsid w:val="001E3480"/>
    <w:rsid w:val="001E4965"/>
    <w:rsid w:val="001F18B7"/>
    <w:rsid w:val="001F1D2B"/>
    <w:rsid w:val="001F4F59"/>
    <w:rsid w:val="001F53AC"/>
    <w:rsid w:val="001F5526"/>
    <w:rsid w:val="001F5FAD"/>
    <w:rsid w:val="001F6AA3"/>
    <w:rsid w:val="001F6C1F"/>
    <w:rsid w:val="001F6EF8"/>
    <w:rsid w:val="001F79B6"/>
    <w:rsid w:val="0020054B"/>
    <w:rsid w:val="002024C7"/>
    <w:rsid w:val="00202705"/>
    <w:rsid w:val="0020325E"/>
    <w:rsid w:val="00204096"/>
    <w:rsid w:val="0020579B"/>
    <w:rsid w:val="00205DF4"/>
    <w:rsid w:val="00206639"/>
    <w:rsid w:val="002107D1"/>
    <w:rsid w:val="00211C1F"/>
    <w:rsid w:val="002123E7"/>
    <w:rsid w:val="0021259E"/>
    <w:rsid w:val="00213C28"/>
    <w:rsid w:val="00214280"/>
    <w:rsid w:val="00214D55"/>
    <w:rsid w:val="002158D5"/>
    <w:rsid w:val="00215A18"/>
    <w:rsid w:val="00216495"/>
    <w:rsid w:val="00216542"/>
    <w:rsid w:val="00216C6A"/>
    <w:rsid w:val="002209C0"/>
    <w:rsid w:val="00224FE7"/>
    <w:rsid w:val="00225777"/>
    <w:rsid w:val="00226458"/>
    <w:rsid w:val="002264B5"/>
    <w:rsid w:val="00233C8A"/>
    <w:rsid w:val="00233D83"/>
    <w:rsid w:val="002368BA"/>
    <w:rsid w:val="0023775D"/>
    <w:rsid w:val="00237806"/>
    <w:rsid w:val="00237F58"/>
    <w:rsid w:val="00240E7B"/>
    <w:rsid w:val="0024162A"/>
    <w:rsid w:val="00241AEB"/>
    <w:rsid w:val="0024213C"/>
    <w:rsid w:val="00244167"/>
    <w:rsid w:val="002441BC"/>
    <w:rsid w:val="00246BDE"/>
    <w:rsid w:val="00247ED0"/>
    <w:rsid w:val="00250DA2"/>
    <w:rsid w:val="00251DB7"/>
    <w:rsid w:val="00252150"/>
    <w:rsid w:val="00252460"/>
    <w:rsid w:val="00252A42"/>
    <w:rsid w:val="0025304E"/>
    <w:rsid w:val="0025385D"/>
    <w:rsid w:val="00257662"/>
    <w:rsid w:val="00260465"/>
    <w:rsid w:val="00261063"/>
    <w:rsid w:val="00270BE1"/>
    <w:rsid w:val="00271428"/>
    <w:rsid w:val="002737D8"/>
    <w:rsid w:val="00273BA9"/>
    <w:rsid w:val="00274760"/>
    <w:rsid w:val="00274A97"/>
    <w:rsid w:val="00275598"/>
    <w:rsid w:val="002761A3"/>
    <w:rsid w:val="0028097D"/>
    <w:rsid w:val="0028124D"/>
    <w:rsid w:val="00282A80"/>
    <w:rsid w:val="00282F14"/>
    <w:rsid w:val="002859D3"/>
    <w:rsid w:val="0028710C"/>
    <w:rsid w:val="0029054E"/>
    <w:rsid w:val="00290E17"/>
    <w:rsid w:val="002917A2"/>
    <w:rsid w:val="00292E0B"/>
    <w:rsid w:val="002972FB"/>
    <w:rsid w:val="00297868"/>
    <w:rsid w:val="002A7C19"/>
    <w:rsid w:val="002B1F8B"/>
    <w:rsid w:val="002B31E3"/>
    <w:rsid w:val="002B44BD"/>
    <w:rsid w:val="002B59A2"/>
    <w:rsid w:val="002B6E7A"/>
    <w:rsid w:val="002B7380"/>
    <w:rsid w:val="002B7CA4"/>
    <w:rsid w:val="002C088D"/>
    <w:rsid w:val="002C0A76"/>
    <w:rsid w:val="002C56CC"/>
    <w:rsid w:val="002C6796"/>
    <w:rsid w:val="002D0ADE"/>
    <w:rsid w:val="002D1B5C"/>
    <w:rsid w:val="002D266D"/>
    <w:rsid w:val="002D5C47"/>
    <w:rsid w:val="002D69D3"/>
    <w:rsid w:val="002D7CCC"/>
    <w:rsid w:val="002E01C1"/>
    <w:rsid w:val="002E03AA"/>
    <w:rsid w:val="002E6A76"/>
    <w:rsid w:val="002F1704"/>
    <w:rsid w:val="002F2325"/>
    <w:rsid w:val="002F2385"/>
    <w:rsid w:val="002F3BAC"/>
    <w:rsid w:val="002F6FCA"/>
    <w:rsid w:val="002F7A51"/>
    <w:rsid w:val="002F7ECF"/>
    <w:rsid w:val="002F7EF8"/>
    <w:rsid w:val="00301191"/>
    <w:rsid w:val="003017C0"/>
    <w:rsid w:val="0030180B"/>
    <w:rsid w:val="00304016"/>
    <w:rsid w:val="0030447D"/>
    <w:rsid w:val="00306948"/>
    <w:rsid w:val="003075D4"/>
    <w:rsid w:val="003113E7"/>
    <w:rsid w:val="00311C86"/>
    <w:rsid w:val="00322611"/>
    <w:rsid w:val="0032401C"/>
    <w:rsid w:val="003248D5"/>
    <w:rsid w:val="003268AF"/>
    <w:rsid w:val="00326D72"/>
    <w:rsid w:val="0033154D"/>
    <w:rsid w:val="0033189B"/>
    <w:rsid w:val="00334BF9"/>
    <w:rsid w:val="00336B4C"/>
    <w:rsid w:val="00336C31"/>
    <w:rsid w:val="00340797"/>
    <w:rsid w:val="00340A6D"/>
    <w:rsid w:val="00341C03"/>
    <w:rsid w:val="0034364A"/>
    <w:rsid w:val="0034392E"/>
    <w:rsid w:val="003442AE"/>
    <w:rsid w:val="0034443A"/>
    <w:rsid w:val="003474B8"/>
    <w:rsid w:val="00347F4D"/>
    <w:rsid w:val="00350A82"/>
    <w:rsid w:val="00353724"/>
    <w:rsid w:val="00353E66"/>
    <w:rsid w:val="00354D8E"/>
    <w:rsid w:val="003558BE"/>
    <w:rsid w:val="00357C16"/>
    <w:rsid w:val="00357FCE"/>
    <w:rsid w:val="00360012"/>
    <w:rsid w:val="0036016E"/>
    <w:rsid w:val="0036333D"/>
    <w:rsid w:val="003637C6"/>
    <w:rsid w:val="003638C3"/>
    <w:rsid w:val="00370B3D"/>
    <w:rsid w:val="00370CF6"/>
    <w:rsid w:val="00370D3A"/>
    <w:rsid w:val="003732CC"/>
    <w:rsid w:val="00373B63"/>
    <w:rsid w:val="00374F9A"/>
    <w:rsid w:val="00382C0C"/>
    <w:rsid w:val="0038709F"/>
    <w:rsid w:val="00390263"/>
    <w:rsid w:val="00392DCA"/>
    <w:rsid w:val="00393182"/>
    <w:rsid w:val="00397462"/>
    <w:rsid w:val="00397F24"/>
    <w:rsid w:val="003A298A"/>
    <w:rsid w:val="003A3845"/>
    <w:rsid w:val="003A3F0E"/>
    <w:rsid w:val="003A4380"/>
    <w:rsid w:val="003A5795"/>
    <w:rsid w:val="003B4098"/>
    <w:rsid w:val="003B4F45"/>
    <w:rsid w:val="003B5181"/>
    <w:rsid w:val="003B6193"/>
    <w:rsid w:val="003B656F"/>
    <w:rsid w:val="003C172D"/>
    <w:rsid w:val="003C176C"/>
    <w:rsid w:val="003C5A62"/>
    <w:rsid w:val="003C7092"/>
    <w:rsid w:val="003C785A"/>
    <w:rsid w:val="003C7C83"/>
    <w:rsid w:val="003C7F36"/>
    <w:rsid w:val="003D2B81"/>
    <w:rsid w:val="003E2EFC"/>
    <w:rsid w:val="003E5596"/>
    <w:rsid w:val="003E64B2"/>
    <w:rsid w:val="003F28E8"/>
    <w:rsid w:val="003F54AA"/>
    <w:rsid w:val="003F5F7A"/>
    <w:rsid w:val="003F6EE5"/>
    <w:rsid w:val="003F7440"/>
    <w:rsid w:val="00400986"/>
    <w:rsid w:val="00400C22"/>
    <w:rsid w:val="00403510"/>
    <w:rsid w:val="00403ED4"/>
    <w:rsid w:val="004043A2"/>
    <w:rsid w:val="00404627"/>
    <w:rsid w:val="00404EA5"/>
    <w:rsid w:val="00415144"/>
    <w:rsid w:val="00417B93"/>
    <w:rsid w:val="00420D92"/>
    <w:rsid w:val="0042297A"/>
    <w:rsid w:val="004231C7"/>
    <w:rsid w:val="004233AC"/>
    <w:rsid w:val="004238B1"/>
    <w:rsid w:val="004246D7"/>
    <w:rsid w:val="00424F5E"/>
    <w:rsid w:val="00425E5A"/>
    <w:rsid w:val="00426B52"/>
    <w:rsid w:val="004279D6"/>
    <w:rsid w:val="00427FAF"/>
    <w:rsid w:val="00430D2A"/>
    <w:rsid w:val="00434923"/>
    <w:rsid w:val="004362C7"/>
    <w:rsid w:val="00437082"/>
    <w:rsid w:val="0044106E"/>
    <w:rsid w:val="004416A8"/>
    <w:rsid w:val="004421E1"/>
    <w:rsid w:val="00442597"/>
    <w:rsid w:val="004426EA"/>
    <w:rsid w:val="00446E68"/>
    <w:rsid w:val="00447503"/>
    <w:rsid w:val="00447967"/>
    <w:rsid w:val="00452602"/>
    <w:rsid w:val="00454D3F"/>
    <w:rsid w:val="00455AA2"/>
    <w:rsid w:val="0046038A"/>
    <w:rsid w:val="00461D8B"/>
    <w:rsid w:val="004629B7"/>
    <w:rsid w:val="00462FD2"/>
    <w:rsid w:val="00463ACE"/>
    <w:rsid w:val="00465260"/>
    <w:rsid w:val="00467580"/>
    <w:rsid w:val="0047008A"/>
    <w:rsid w:val="00471176"/>
    <w:rsid w:val="004719CA"/>
    <w:rsid w:val="00473490"/>
    <w:rsid w:val="004756C1"/>
    <w:rsid w:val="00477B07"/>
    <w:rsid w:val="004805DB"/>
    <w:rsid w:val="00483EED"/>
    <w:rsid w:val="00484FF8"/>
    <w:rsid w:val="00485709"/>
    <w:rsid w:val="00490B57"/>
    <w:rsid w:val="00490C4B"/>
    <w:rsid w:val="00494470"/>
    <w:rsid w:val="00495866"/>
    <w:rsid w:val="00496274"/>
    <w:rsid w:val="00496FF1"/>
    <w:rsid w:val="004A0EB1"/>
    <w:rsid w:val="004A2980"/>
    <w:rsid w:val="004A3B49"/>
    <w:rsid w:val="004A58A0"/>
    <w:rsid w:val="004A5C14"/>
    <w:rsid w:val="004A60F1"/>
    <w:rsid w:val="004A7409"/>
    <w:rsid w:val="004A7C79"/>
    <w:rsid w:val="004B16E9"/>
    <w:rsid w:val="004B19EB"/>
    <w:rsid w:val="004B23DA"/>
    <w:rsid w:val="004B2AC9"/>
    <w:rsid w:val="004B36B8"/>
    <w:rsid w:val="004B41FA"/>
    <w:rsid w:val="004B42F6"/>
    <w:rsid w:val="004B4914"/>
    <w:rsid w:val="004B4B50"/>
    <w:rsid w:val="004B4E86"/>
    <w:rsid w:val="004B66C5"/>
    <w:rsid w:val="004B6D6C"/>
    <w:rsid w:val="004C1D42"/>
    <w:rsid w:val="004C2A82"/>
    <w:rsid w:val="004C30AF"/>
    <w:rsid w:val="004C34C8"/>
    <w:rsid w:val="004C37C3"/>
    <w:rsid w:val="004C387C"/>
    <w:rsid w:val="004C45A2"/>
    <w:rsid w:val="004C6643"/>
    <w:rsid w:val="004C6DB3"/>
    <w:rsid w:val="004C74BE"/>
    <w:rsid w:val="004C774D"/>
    <w:rsid w:val="004D0466"/>
    <w:rsid w:val="004D0AB9"/>
    <w:rsid w:val="004D0F53"/>
    <w:rsid w:val="004D24F4"/>
    <w:rsid w:val="004D5E2B"/>
    <w:rsid w:val="004D7599"/>
    <w:rsid w:val="004D764B"/>
    <w:rsid w:val="004D78D2"/>
    <w:rsid w:val="004D7B59"/>
    <w:rsid w:val="004E042A"/>
    <w:rsid w:val="004E0C9D"/>
    <w:rsid w:val="004E0EFE"/>
    <w:rsid w:val="004E4EFE"/>
    <w:rsid w:val="004E5D9F"/>
    <w:rsid w:val="004E7B34"/>
    <w:rsid w:val="004F02A4"/>
    <w:rsid w:val="004F0DD1"/>
    <w:rsid w:val="004F0FDE"/>
    <w:rsid w:val="004F1B89"/>
    <w:rsid w:val="004F22FA"/>
    <w:rsid w:val="004F3D7B"/>
    <w:rsid w:val="004F3DE9"/>
    <w:rsid w:val="004F3E07"/>
    <w:rsid w:val="004F5A49"/>
    <w:rsid w:val="004F7D9F"/>
    <w:rsid w:val="00500CD5"/>
    <w:rsid w:val="00501FA5"/>
    <w:rsid w:val="005024DE"/>
    <w:rsid w:val="00504B0A"/>
    <w:rsid w:val="00504FD3"/>
    <w:rsid w:val="005069D7"/>
    <w:rsid w:val="00510DF0"/>
    <w:rsid w:val="00510FA5"/>
    <w:rsid w:val="00512882"/>
    <w:rsid w:val="00513931"/>
    <w:rsid w:val="005143FF"/>
    <w:rsid w:val="0051533F"/>
    <w:rsid w:val="00516FEB"/>
    <w:rsid w:val="00517CFA"/>
    <w:rsid w:val="00517E14"/>
    <w:rsid w:val="00521783"/>
    <w:rsid w:val="00522620"/>
    <w:rsid w:val="0052369C"/>
    <w:rsid w:val="005244F5"/>
    <w:rsid w:val="00524665"/>
    <w:rsid w:val="00524CA6"/>
    <w:rsid w:val="005360EE"/>
    <w:rsid w:val="00536C32"/>
    <w:rsid w:val="005373E1"/>
    <w:rsid w:val="00541BF7"/>
    <w:rsid w:val="00541E71"/>
    <w:rsid w:val="00543C0A"/>
    <w:rsid w:val="0054523A"/>
    <w:rsid w:val="0054699B"/>
    <w:rsid w:val="005515EB"/>
    <w:rsid w:val="0055226E"/>
    <w:rsid w:val="0055299C"/>
    <w:rsid w:val="00552E7C"/>
    <w:rsid w:val="00554455"/>
    <w:rsid w:val="005601D0"/>
    <w:rsid w:val="00560D4D"/>
    <w:rsid w:val="005613B2"/>
    <w:rsid w:val="0056304A"/>
    <w:rsid w:val="00565099"/>
    <w:rsid w:val="005654CE"/>
    <w:rsid w:val="005676E5"/>
    <w:rsid w:val="0057066D"/>
    <w:rsid w:val="00572671"/>
    <w:rsid w:val="00572CB2"/>
    <w:rsid w:val="00574071"/>
    <w:rsid w:val="005740C5"/>
    <w:rsid w:val="00574E2C"/>
    <w:rsid w:val="0058105E"/>
    <w:rsid w:val="00586670"/>
    <w:rsid w:val="00586F93"/>
    <w:rsid w:val="00590480"/>
    <w:rsid w:val="00591688"/>
    <w:rsid w:val="005916DF"/>
    <w:rsid w:val="005927C5"/>
    <w:rsid w:val="00593579"/>
    <w:rsid w:val="00595627"/>
    <w:rsid w:val="00595BF8"/>
    <w:rsid w:val="00595D3F"/>
    <w:rsid w:val="00595EAC"/>
    <w:rsid w:val="0059797A"/>
    <w:rsid w:val="00597D57"/>
    <w:rsid w:val="005A0444"/>
    <w:rsid w:val="005A0FB6"/>
    <w:rsid w:val="005A2F5B"/>
    <w:rsid w:val="005A52D6"/>
    <w:rsid w:val="005A688E"/>
    <w:rsid w:val="005B3EFA"/>
    <w:rsid w:val="005B7562"/>
    <w:rsid w:val="005C0CF6"/>
    <w:rsid w:val="005C3539"/>
    <w:rsid w:val="005C3EBD"/>
    <w:rsid w:val="005C5645"/>
    <w:rsid w:val="005C574A"/>
    <w:rsid w:val="005D09A0"/>
    <w:rsid w:val="005D23AE"/>
    <w:rsid w:val="005D3014"/>
    <w:rsid w:val="005D352C"/>
    <w:rsid w:val="005D40FA"/>
    <w:rsid w:val="005D479D"/>
    <w:rsid w:val="005E1C22"/>
    <w:rsid w:val="005E39DF"/>
    <w:rsid w:val="005E3E35"/>
    <w:rsid w:val="005E562A"/>
    <w:rsid w:val="005E7A21"/>
    <w:rsid w:val="005E7F59"/>
    <w:rsid w:val="005F03E2"/>
    <w:rsid w:val="005F055E"/>
    <w:rsid w:val="005F24B2"/>
    <w:rsid w:val="005F395F"/>
    <w:rsid w:val="005F3DC0"/>
    <w:rsid w:val="005F4D7C"/>
    <w:rsid w:val="005F740D"/>
    <w:rsid w:val="006007EB"/>
    <w:rsid w:val="0060103A"/>
    <w:rsid w:val="00601422"/>
    <w:rsid w:val="00602911"/>
    <w:rsid w:val="00602A7A"/>
    <w:rsid w:val="00602B37"/>
    <w:rsid w:val="00602EC8"/>
    <w:rsid w:val="00603E85"/>
    <w:rsid w:val="0060509A"/>
    <w:rsid w:val="00606800"/>
    <w:rsid w:val="006079BC"/>
    <w:rsid w:val="00607B4B"/>
    <w:rsid w:val="00612180"/>
    <w:rsid w:val="006125F5"/>
    <w:rsid w:val="006126BC"/>
    <w:rsid w:val="00612A9B"/>
    <w:rsid w:val="00614D00"/>
    <w:rsid w:val="00615266"/>
    <w:rsid w:val="00617BEC"/>
    <w:rsid w:val="00620A9B"/>
    <w:rsid w:val="00621C21"/>
    <w:rsid w:val="006225E2"/>
    <w:rsid w:val="00622BC5"/>
    <w:rsid w:val="00623CAF"/>
    <w:rsid w:val="0062443D"/>
    <w:rsid w:val="0062664A"/>
    <w:rsid w:val="0062676A"/>
    <w:rsid w:val="00630085"/>
    <w:rsid w:val="00630EAD"/>
    <w:rsid w:val="00632D17"/>
    <w:rsid w:val="00633D7A"/>
    <w:rsid w:val="00633F73"/>
    <w:rsid w:val="00634172"/>
    <w:rsid w:val="00640DB1"/>
    <w:rsid w:val="006416E9"/>
    <w:rsid w:val="0064216B"/>
    <w:rsid w:val="0064545D"/>
    <w:rsid w:val="00646106"/>
    <w:rsid w:val="00646C82"/>
    <w:rsid w:val="00647CD5"/>
    <w:rsid w:val="006548A6"/>
    <w:rsid w:val="00655478"/>
    <w:rsid w:val="00656F27"/>
    <w:rsid w:val="00657522"/>
    <w:rsid w:val="00660E7D"/>
    <w:rsid w:val="0066313E"/>
    <w:rsid w:val="00664D7F"/>
    <w:rsid w:val="006653A6"/>
    <w:rsid w:val="00665466"/>
    <w:rsid w:val="006657AA"/>
    <w:rsid w:val="00667796"/>
    <w:rsid w:val="00667E1F"/>
    <w:rsid w:val="00670258"/>
    <w:rsid w:val="00671481"/>
    <w:rsid w:val="00671ED7"/>
    <w:rsid w:val="006749DF"/>
    <w:rsid w:val="00677A73"/>
    <w:rsid w:val="00681D27"/>
    <w:rsid w:val="00690D88"/>
    <w:rsid w:val="006932CB"/>
    <w:rsid w:val="00695948"/>
    <w:rsid w:val="00695F05"/>
    <w:rsid w:val="00696844"/>
    <w:rsid w:val="0069690A"/>
    <w:rsid w:val="00696DBA"/>
    <w:rsid w:val="006A377B"/>
    <w:rsid w:val="006A4E9B"/>
    <w:rsid w:val="006B0930"/>
    <w:rsid w:val="006B21C7"/>
    <w:rsid w:val="006B4043"/>
    <w:rsid w:val="006B43FA"/>
    <w:rsid w:val="006B4F71"/>
    <w:rsid w:val="006C3E24"/>
    <w:rsid w:val="006C4384"/>
    <w:rsid w:val="006C4EC6"/>
    <w:rsid w:val="006C5135"/>
    <w:rsid w:val="006C546E"/>
    <w:rsid w:val="006C6811"/>
    <w:rsid w:val="006D04D2"/>
    <w:rsid w:val="006D1A7C"/>
    <w:rsid w:val="006D3781"/>
    <w:rsid w:val="006D53E2"/>
    <w:rsid w:val="006D7573"/>
    <w:rsid w:val="006E0995"/>
    <w:rsid w:val="006E2DE0"/>
    <w:rsid w:val="006E33EB"/>
    <w:rsid w:val="006E386C"/>
    <w:rsid w:val="006E5A8E"/>
    <w:rsid w:val="006E6991"/>
    <w:rsid w:val="006E73BC"/>
    <w:rsid w:val="006F0A0C"/>
    <w:rsid w:val="006F0BE5"/>
    <w:rsid w:val="006F0D66"/>
    <w:rsid w:val="006F4919"/>
    <w:rsid w:val="006F4CA5"/>
    <w:rsid w:val="006F4E2B"/>
    <w:rsid w:val="0070081C"/>
    <w:rsid w:val="00701061"/>
    <w:rsid w:val="00701985"/>
    <w:rsid w:val="00702C91"/>
    <w:rsid w:val="007046E5"/>
    <w:rsid w:val="00704803"/>
    <w:rsid w:val="007104F5"/>
    <w:rsid w:val="00710FD0"/>
    <w:rsid w:val="00716156"/>
    <w:rsid w:val="0071653B"/>
    <w:rsid w:val="0071661B"/>
    <w:rsid w:val="007207F5"/>
    <w:rsid w:val="0072105C"/>
    <w:rsid w:val="00721985"/>
    <w:rsid w:val="007238F0"/>
    <w:rsid w:val="0072403A"/>
    <w:rsid w:val="007242C6"/>
    <w:rsid w:val="00724552"/>
    <w:rsid w:val="00724C84"/>
    <w:rsid w:val="007252A8"/>
    <w:rsid w:val="00725C0A"/>
    <w:rsid w:val="00725C57"/>
    <w:rsid w:val="00725D3B"/>
    <w:rsid w:val="007260B4"/>
    <w:rsid w:val="0072719E"/>
    <w:rsid w:val="007273B1"/>
    <w:rsid w:val="00730D4D"/>
    <w:rsid w:val="00730E3A"/>
    <w:rsid w:val="0073119D"/>
    <w:rsid w:val="0073199C"/>
    <w:rsid w:val="00735A8A"/>
    <w:rsid w:val="007376B0"/>
    <w:rsid w:val="007400AB"/>
    <w:rsid w:val="00740508"/>
    <w:rsid w:val="00742A41"/>
    <w:rsid w:val="00743776"/>
    <w:rsid w:val="00746DA8"/>
    <w:rsid w:val="00750464"/>
    <w:rsid w:val="00751428"/>
    <w:rsid w:val="007516F0"/>
    <w:rsid w:val="00751D53"/>
    <w:rsid w:val="0075528F"/>
    <w:rsid w:val="0075674B"/>
    <w:rsid w:val="00756955"/>
    <w:rsid w:val="00761DC4"/>
    <w:rsid w:val="00761E4D"/>
    <w:rsid w:val="00761F2B"/>
    <w:rsid w:val="00762884"/>
    <w:rsid w:val="00763B74"/>
    <w:rsid w:val="00763E05"/>
    <w:rsid w:val="007672FC"/>
    <w:rsid w:val="00767952"/>
    <w:rsid w:val="00767C7C"/>
    <w:rsid w:val="00770251"/>
    <w:rsid w:val="007731D0"/>
    <w:rsid w:val="007739AB"/>
    <w:rsid w:val="0077455C"/>
    <w:rsid w:val="00774843"/>
    <w:rsid w:val="00775B16"/>
    <w:rsid w:val="00782559"/>
    <w:rsid w:val="007835A5"/>
    <w:rsid w:val="00785A0A"/>
    <w:rsid w:val="007878B6"/>
    <w:rsid w:val="00791D0B"/>
    <w:rsid w:val="0079549D"/>
    <w:rsid w:val="007967F8"/>
    <w:rsid w:val="00797FFB"/>
    <w:rsid w:val="007A004D"/>
    <w:rsid w:val="007A2511"/>
    <w:rsid w:val="007A374D"/>
    <w:rsid w:val="007A3772"/>
    <w:rsid w:val="007A472F"/>
    <w:rsid w:val="007A4808"/>
    <w:rsid w:val="007A51B4"/>
    <w:rsid w:val="007B6038"/>
    <w:rsid w:val="007C2696"/>
    <w:rsid w:val="007C48DC"/>
    <w:rsid w:val="007C4C31"/>
    <w:rsid w:val="007C5A9F"/>
    <w:rsid w:val="007C5EA5"/>
    <w:rsid w:val="007C6C8B"/>
    <w:rsid w:val="007D0D09"/>
    <w:rsid w:val="007D1992"/>
    <w:rsid w:val="007D381E"/>
    <w:rsid w:val="007D3EE2"/>
    <w:rsid w:val="007D55DD"/>
    <w:rsid w:val="007D5C0D"/>
    <w:rsid w:val="007D77AD"/>
    <w:rsid w:val="007E03CA"/>
    <w:rsid w:val="007E48AF"/>
    <w:rsid w:val="007E6193"/>
    <w:rsid w:val="007F1F14"/>
    <w:rsid w:val="007F2F97"/>
    <w:rsid w:val="007F387D"/>
    <w:rsid w:val="007F3990"/>
    <w:rsid w:val="007F56BB"/>
    <w:rsid w:val="007F5E08"/>
    <w:rsid w:val="007F7152"/>
    <w:rsid w:val="00800FC5"/>
    <w:rsid w:val="0080130C"/>
    <w:rsid w:val="00801379"/>
    <w:rsid w:val="00801548"/>
    <w:rsid w:val="00803136"/>
    <w:rsid w:val="008039C3"/>
    <w:rsid w:val="00807630"/>
    <w:rsid w:val="00807CE5"/>
    <w:rsid w:val="00811264"/>
    <w:rsid w:val="0081242A"/>
    <w:rsid w:val="00814795"/>
    <w:rsid w:val="00816543"/>
    <w:rsid w:val="00817F77"/>
    <w:rsid w:val="008203E6"/>
    <w:rsid w:val="00820F41"/>
    <w:rsid w:val="00821130"/>
    <w:rsid w:val="00822633"/>
    <w:rsid w:val="00822964"/>
    <w:rsid w:val="00825A60"/>
    <w:rsid w:val="00830107"/>
    <w:rsid w:val="0083072B"/>
    <w:rsid w:val="00830DD9"/>
    <w:rsid w:val="00831AB2"/>
    <w:rsid w:val="00831B02"/>
    <w:rsid w:val="00831CBC"/>
    <w:rsid w:val="00831F97"/>
    <w:rsid w:val="00833174"/>
    <w:rsid w:val="00837AF1"/>
    <w:rsid w:val="00840976"/>
    <w:rsid w:val="00843337"/>
    <w:rsid w:val="00843EB0"/>
    <w:rsid w:val="00844764"/>
    <w:rsid w:val="00846033"/>
    <w:rsid w:val="008465B0"/>
    <w:rsid w:val="00846609"/>
    <w:rsid w:val="00846A33"/>
    <w:rsid w:val="008472D2"/>
    <w:rsid w:val="00847DE1"/>
    <w:rsid w:val="00852958"/>
    <w:rsid w:val="0085300D"/>
    <w:rsid w:val="00853A52"/>
    <w:rsid w:val="00856C7C"/>
    <w:rsid w:val="008571F6"/>
    <w:rsid w:val="00861644"/>
    <w:rsid w:val="00861821"/>
    <w:rsid w:val="00862289"/>
    <w:rsid w:val="008630B3"/>
    <w:rsid w:val="00863176"/>
    <w:rsid w:val="0086447D"/>
    <w:rsid w:val="008649FB"/>
    <w:rsid w:val="00864F77"/>
    <w:rsid w:val="0086586A"/>
    <w:rsid w:val="00865A50"/>
    <w:rsid w:val="008661F8"/>
    <w:rsid w:val="008674FA"/>
    <w:rsid w:val="008712FA"/>
    <w:rsid w:val="00873E90"/>
    <w:rsid w:val="00874B84"/>
    <w:rsid w:val="00876AA9"/>
    <w:rsid w:val="00876EFF"/>
    <w:rsid w:val="008773FD"/>
    <w:rsid w:val="00877F63"/>
    <w:rsid w:val="008802D9"/>
    <w:rsid w:val="008803B4"/>
    <w:rsid w:val="008806D1"/>
    <w:rsid w:val="00881FB6"/>
    <w:rsid w:val="00883AB2"/>
    <w:rsid w:val="00883B5F"/>
    <w:rsid w:val="008850E9"/>
    <w:rsid w:val="00885455"/>
    <w:rsid w:val="008861B2"/>
    <w:rsid w:val="00890690"/>
    <w:rsid w:val="0089088A"/>
    <w:rsid w:val="008944D9"/>
    <w:rsid w:val="0089507A"/>
    <w:rsid w:val="00895584"/>
    <w:rsid w:val="00896377"/>
    <w:rsid w:val="00896CFF"/>
    <w:rsid w:val="008A09F5"/>
    <w:rsid w:val="008A40B9"/>
    <w:rsid w:val="008A4B18"/>
    <w:rsid w:val="008A5274"/>
    <w:rsid w:val="008A738C"/>
    <w:rsid w:val="008B0970"/>
    <w:rsid w:val="008B0D57"/>
    <w:rsid w:val="008B1D72"/>
    <w:rsid w:val="008B2645"/>
    <w:rsid w:val="008B2ABE"/>
    <w:rsid w:val="008B4DCD"/>
    <w:rsid w:val="008C07ED"/>
    <w:rsid w:val="008C36D3"/>
    <w:rsid w:val="008C3C3B"/>
    <w:rsid w:val="008C3D3F"/>
    <w:rsid w:val="008C5F7A"/>
    <w:rsid w:val="008C6DDA"/>
    <w:rsid w:val="008D0675"/>
    <w:rsid w:val="008D1425"/>
    <w:rsid w:val="008D3BC8"/>
    <w:rsid w:val="008D3F53"/>
    <w:rsid w:val="008D6F23"/>
    <w:rsid w:val="008E04FC"/>
    <w:rsid w:val="008E5EB5"/>
    <w:rsid w:val="008E615D"/>
    <w:rsid w:val="008E6301"/>
    <w:rsid w:val="008E64A6"/>
    <w:rsid w:val="008F04C7"/>
    <w:rsid w:val="008F1B97"/>
    <w:rsid w:val="008F21A5"/>
    <w:rsid w:val="008F2440"/>
    <w:rsid w:val="008F61FF"/>
    <w:rsid w:val="008F7988"/>
    <w:rsid w:val="00900551"/>
    <w:rsid w:val="00900D98"/>
    <w:rsid w:val="00902669"/>
    <w:rsid w:val="00902C2A"/>
    <w:rsid w:val="0090300D"/>
    <w:rsid w:val="009043AA"/>
    <w:rsid w:val="00904C3D"/>
    <w:rsid w:val="00906799"/>
    <w:rsid w:val="00907760"/>
    <w:rsid w:val="00911D6B"/>
    <w:rsid w:val="00914619"/>
    <w:rsid w:val="00914925"/>
    <w:rsid w:val="00915C70"/>
    <w:rsid w:val="00916E88"/>
    <w:rsid w:val="009202C8"/>
    <w:rsid w:val="00920411"/>
    <w:rsid w:val="009204EF"/>
    <w:rsid w:val="00922FBE"/>
    <w:rsid w:val="009244C1"/>
    <w:rsid w:val="009246BA"/>
    <w:rsid w:val="00925945"/>
    <w:rsid w:val="009262DD"/>
    <w:rsid w:val="009264FC"/>
    <w:rsid w:val="00930CDE"/>
    <w:rsid w:val="009318C4"/>
    <w:rsid w:val="00935AA1"/>
    <w:rsid w:val="00936619"/>
    <w:rsid w:val="00942E72"/>
    <w:rsid w:val="009451DC"/>
    <w:rsid w:val="00945536"/>
    <w:rsid w:val="009467F2"/>
    <w:rsid w:val="009468AD"/>
    <w:rsid w:val="00947583"/>
    <w:rsid w:val="00952212"/>
    <w:rsid w:val="00952FBA"/>
    <w:rsid w:val="009534B9"/>
    <w:rsid w:val="009557D4"/>
    <w:rsid w:val="00955B86"/>
    <w:rsid w:val="0095655E"/>
    <w:rsid w:val="00961267"/>
    <w:rsid w:val="00961EF5"/>
    <w:rsid w:val="009647C3"/>
    <w:rsid w:val="00965C51"/>
    <w:rsid w:val="00966661"/>
    <w:rsid w:val="00966B27"/>
    <w:rsid w:val="00967827"/>
    <w:rsid w:val="00970814"/>
    <w:rsid w:val="00970B63"/>
    <w:rsid w:val="009718ED"/>
    <w:rsid w:val="0097297B"/>
    <w:rsid w:val="00977B9A"/>
    <w:rsid w:val="0098154C"/>
    <w:rsid w:val="00983B21"/>
    <w:rsid w:val="0098549E"/>
    <w:rsid w:val="009857EF"/>
    <w:rsid w:val="009908EA"/>
    <w:rsid w:val="00993D99"/>
    <w:rsid w:val="009941D8"/>
    <w:rsid w:val="00996454"/>
    <w:rsid w:val="00997B4F"/>
    <w:rsid w:val="00997E00"/>
    <w:rsid w:val="00997EF4"/>
    <w:rsid w:val="009A2573"/>
    <w:rsid w:val="009A288E"/>
    <w:rsid w:val="009A2BB3"/>
    <w:rsid w:val="009A2C18"/>
    <w:rsid w:val="009A32DE"/>
    <w:rsid w:val="009A3C5F"/>
    <w:rsid w:val="009A3F0A"/>
    <w:rsid w:val="009A4BF8"/>
    <w:rsid w:val="009A71F7"/>
    <w:rsid w:val="009A7201"/>
    <w:rsid w:val="009A7C47"/>
    <w:rsid w:val="009B0A51"/>
    <w:rsid w:val="009B2A4D"/>
    <w:rsid w:val="009B3845"/>
    <w:rsid w:val="009B64A0"/>
    <w:rsid w:val="009B6BC8"/>
    <w:rsid w:val="009B7B47"/>
    <w:rsid w:val="009C0A0B"/>
    <w:rsid w:val="009C0DE4"/>
    <w:rsid w:val="009C14BD"/>
    <w:rsid w:val="009C2867"/>
    <w:rsid w:val="009C4746"/>
    <w:rsid w:val="009C486D"/>
    <w:rsid w:val="009C6742"/>
    <w:rsid w:val="009D100C"/>
    <w:rsid w:val="009D1A4C"/>
    <w:rsid w:val="009D1AF8"/>
    <w:rsid w:val="009D3AD5"/>
    <w:rsid w:val="009E0FA5"/>
    <w:rsid w:val="009E12CB"/>
    <w:rsid w:val="009E1C84"/>
    <w:rsid w:val="009E201C"/>
    <w:rsid w:val="009E32D4"/>
    <w:rsid w:val="009E4080"/>
    <w:rsid w:val="009E4DCB"/>
    <w:rsid w:val="009E580F"/>
    <w:rsid w:val="009E5F9E"/>
    <w:rsid w:val="009F29B9"/>
    <w:rsid w:val="009F3932"/>
    <w:rsid w:val="009F4593"/>
    <w:rsid w:val="009F5A6A"/>
    <w:rsid w:val="009F6F73"/>
    <w:rsid w:val="00A0205F"/>
    <w:rsid w:val="00A022F7"/>
    <w:rsid w:val="00A03645"/>
    <w:rsid w:val="00A04E9D"/>
    <w:rsid w:val="00A0532C"/>
    <w:rsid w:val="00A06893"/>
    <w:rsid w:val="00A10948"/>
    <w:rsid w:val="00A10993"/>
    <w:rsid w:val="00A112D5"/>
    <w:rsid w:val="00A127E7"/>
    <w:rsid w:val="00A1722B"/>
    <w:rsid w:val="00A1769E"/>
    <w:rsid w:val="00A21886"/>
    <w:rsid w:val="00A22AEB"/>
    <w:rsid w:val="00A23532"/>
    <w:rsid w:val="00A23AC8"/>
    <w:rsid w:val="00A25682"/>
    <w:rsid w:val="00A25840"/>
    <w:rsid w:val="00A25875"/>
    <w:rsid w:val="00A25F44"/>
    <w:rsid w:val="00A2638C"/>
    <w:rsid w:val="00A27417"/>
    <w:rsid w:val="00A27A0B"/>
    <w:rsid w:val="00A27AFD"/>
    <w:rsid w:val="00A30524"/>
    <w:rsid w:val="00A32A95"/>
    <w:rsid w:val="00A348E2"/>
    <w:rsid w:val="00A354A8"/>
    <w:rsid w:val="00A35B3F"/>
    <w:rsid w:val="00A4031E"/>
    <w:rsid w:val="00A42BAB"/>
    <w:rsid w:val="00A44886"/>
    <w:rsid w:val="00A44B49"/>
    <w:rsid w:val="00A45CE4"/>
    <w:rsid w:val="00A46F60"/>
    <w:rsid w:val="00A50710"/>
    <w:rsid w:val="00A5109C"/>
    <w:rsid w:val="00A5251D"/>
    <w:rsid w:val="00A5282F"/>
    <w:rsid w:val="00A52FAE"/>
    <w:rsid w:val="00A53234"/>
    <w:rsid w:val="00A53283"/>
    <w:rsid w:val="00A57F47"/>
    <w:rsid w:val="00A63002"/>
    <w:rsid w:val="00A638A2"/>
    <w:rsid w:val="00A640D0"/>
    <w:rsid w:val="00A67D18"/>
    <w:rsid w:val="00A67D58"/>
    <w:rsid w:val="00A720C2"/>
    <w:rsid w:val="00A810EB"/>
    <w:rsid w:val="00A829BF"/>
    <w:rsid w:val="00A835CD"/>
    <w:rsid w:val="00A85020"/>
    <w:rsid w:val="00A85D31"/>
    <w:rsid w:val="00A86A91"/>
    <w:rsid w:val="00A86E8E"/>
    <w:rsid w:val="00A8746A"/>
    <w:rsid w:val="00A877F7"/>
    <w:rsid w:val="00A87C98"/>
    <w:rsid w:val="00A902D6"/>
    <w:rsid w:val="00A9054C"/>
    <w:rsid w:val="00A90CDE"/>
    <w:rsid w:val="00A92E6C"/>
    <w:rsid w:val="00A94CAB"/>
    <w:rsid w:val="00A963CF"/>
    <w:rsid w:val="00AA1CBB"/>
    <w:rsid w:val="00AA5AF0"/>
    <w:rsid w:val="00AA5D56"/>
    <w:rsid w:val="00AA71E1"/>
    <w:rsid w:val="00AA78E4"/>
    <w:rsid w:val="00AA7A0D"/>
    <w:rsid w:val="00AB0277"/>
    <w:rsid w:val="00AB07D6"/>
    <w:rsid w:val="00AB0921"/>
    <w:rsid w:val="00AB113B"/>
    <w:rsid w:val="00AB1264"/>
    <w:rsid w:val="00AB1812"/>
    <w:rsid w:val="00AB326D"/>
    <w:rsid w:val="00AB57FE"/>
    <w:rsid w:val="00AB7A64"/>
    <w:rsid w:val="00AC2D21"/>
    <w:rsid w:val="00AC2F70"/>
    <w:rsid w:val="00AC762B"/>
    <w:rsid w:val="00AD2FD2"/>
    <w:rsid w:val="00AD4040"/>
    <w:rsid w:val="00AD41E6"/>
    <w:rsid w:val="00AD4ECF"/>
    <w:rsid w:val="00AD621A"/>
    <w:rsid w:val="00AD70C8"/>
    <w:rsid w:val="00AE009B"/>
    <w:rsid w:val="00AE0720"/>
    <w:rsid w:val="00AE0C7B"/>
    <w:rsid w:val="00AE1CC2"/>
    <w:rsid w:val="00AE3DD5"/>
    <w:rsid w:val="00AE58C5"/>
    <w:rsid w:val="00AE79C3"/>
    <w:rsid w:val="00AF0A2A"/>
    <w:rsid w:val="00AF0DCA"/>
    <w:rsid w:val="00AF113B"/>
    <w:rsid w:val="00AF1302"/>
    <w:rsid w:val="00AF29C5"/>
    <w:rsid w:val="00AF6067"/>
    <w:rsid w:val="00AF7845"/>
    <w:rsid w:val="00B0078A"/>
    <w:rsid w:val="00B02A7D"/>
    <w:rsid w:val="00B04495"/>
    <w:rsid w:val="00B05A07"/>
    <w:rsid w:val="00B07107"/>
    <w:rsid w:val="00B07AAD"/>
    <w:rsid w:val="00B11553"/>
    <w:rsid w:val="00B124B0"/>
    <w:rsid w:val="00B13FB6"/>
    <w:rsid w:val="00B15273"/>
    <w:rsid w:val="00B16887"/>
    <w:rsid w:val="00B1746F"/>
    <w:rsid w:val="00B2059C"/>
    <w:rsid w:val="00B223A3"/>
    <w:rsid w:val="00B226ED"/>
    <w:rsid w:val="00B25BD1"/>
    <w:rsid w:val="00B267A5"/>
    <w:rsid w:val="00B27A2B"/>
    <w:rsid w:val="00B31F00"/>
    <w:rsid w:val="00B329C8"/>
    <w:rsid w:val="00B32A62"/>
    <w:rsid w:val="00B32EE6"/>
    <w:rsid w:val="00B3395E"/>
    <w:rsid w:val="00B351A2"/>
    <w:rsid w:val="00B356A9"/>
    <w:rsid w:val="00B41959"/>
    <w:rsid w:val="00B41A1D"/>
    <w:rsid w:val="00B42C18"/>
    <w:rsid w:val="00B433EA"/>
    <w:rsid w:val="00B43BB2"/>
    <w:rsid w:val="00B43CF7"/>
    <w:rsid w:val="00B44327"/>
    <w:rsid w:val="00B44CEE"/>
    <w:rsid w:val="00B45305"/>
    <w:rsid w:val="00B4566D"/>
    <w:rsid w:val="00B45CD0"/>
    <w:rsid w:val="00B47361"/>
    <w:rsid w:val="00B5022A"/>
    <w:rsid w:val="00B505D2"/>
    <w:rsid w:val="00B506CB"/>
    <w:rsid w:val="00B5192D"/>
    <w:rsid w:val="00B52DDC"/>
    <w:rsid w:val="00B53944"/>
    <w:rsid w:val="00B548C7"/>
    <w:rsid w:val="00B54FB5"/>
    <w:rsid w:val="00B5575A"/>
    <w:rsid w:val="00B560F2"/>
    <w:rsid w:val="00B6088A"/>
    <w:rsid w:val="00B614AE"/>
    <w:rsid w:val="00B61FDD"/>
    <w:rsid w:val="00B64AF7"/>
    <w:rsid w:val="00B656A0"/>
    <w:rsid w:val="00B674FE"/>
    <w:rsid w:val="00B7216F"/>
    <w:rsid w:val="00B723BA"/>
    <w:rsid w:val="00B72E94"/>
    <w:rsid w:val="00B75B80"/>
    <w:rsid w:val="00B75E84"/>
    <w:rsid w:val="00B81149"/>
    <w:rsid w:val="00B816A2"/>
    <w:rsid w:val="00B857A7"/>
    <w:rsid w:val="00B8672D"/>
    <w:rsid w:val="00B86E02"/>
    <w:rsid w:val="00B94FB1"/>
    <w:rsid w:val="00B96EC1"/>
    <w:rsid w:val="00BA10AE"/>
    <w:rsid w:val="00BA2627"/>
    <w:rsid w:val="00BA484E"/>
    <w:rsid w:val="00BA7228"/>
    <w:rsid w:val="00BA7352"/>
    <w:rsid w:val="00BA7679"/>
    <w:rsid w:val="00BB00D9"/>
    <w:rsid w:val="00BB0D3E"/>
    <w:rsid w:val="00BB1E8A"/>
    <w:rsid w:val="00BB2303"/>
    <w:rsid w:val="00BB76A0"/>
    <w:rsid w:val="00BC0350"/>
    <w:rsid w:val="00BC36E8"/>
    <w:rsid w:val="00BC3BD0"/>
    <w:rsid w:val="00BC4A6D"/>
    <w:rsid w:val="00BC4DF2"/>
    <w:rsid w:val="00BC5552"/>
    <w:rsid w:val="00BC57CD"/>
    <w:rsid w:val="00BC66C8"/>
    <w:rsid w:val="00BC7FBC"/>
    <w:rsid w:val="00BD11D6"/>
    <w:rsid w:val="00BD2A3B"/>
    <w:rsid w:val="00BD646D"/>
    <w:rsid w:val="00BD6A33"/>
    <w:rsid w:val="00BD763B"/>
    <w:rsid w:val="00BD7ED0"/>
    <w:rsid w:val="00BE3138"/>
    <w:rsid w:val="00BE3A68"/>
    <w:rsid w:val="00BE5E06"/>
    <w:rsid w:val="00BE643E"/>
    <w:rsid w:val="00BE790F"/>
    <w:rsid w:val="00BE7CED"/>
    <w:rsid w:val="00BF2815"/>
    <w:rsid w:val="00BF59BF"/>
    <w:rsid w:val="00C03060"/>
    <w:rsid w:val="00C034A8"/>
    <w:rsid w:val="00C04277"/>
    <w:rsid w:val="00C056B5"/>
    <w:rsid w:val="00C07F2A"/>
    <w:rsid w:val="00C10630"/>
    <w:rsid w:val="00C114BE"/>
    <w:rsid w:val="00C12939"/>
    <w:rsid w:val="00C14E3B"/>
    <w:rsid w:val="00C21C8D"/>
    <w:rsid w:val="00C22B28"/>
    <w:rsid w:val="00C23BA4"/>
    <w:rsid w:val="00C241B2"/>
    <w:rsid w:val="00C25274"/>
    <w:rsid w:val="00C25DCA"/>
    <w:rsid w:val="00C26683"/>
    <w:rsid w:val="00C27A14"/>
    <w:rsid w:val="00C30117"/>
    <w:rsid w:val="00C303EC"/>
    <w:rsid w:val="00C34485"/>
    <w:rsid w:val="00C34F47"/>
    <w:rsid w:val="00C369C1"/>
    <w:rsid w:val="00C40AB3"/>
    <w:rsid w:val="00C41C60"/>
    <w:rsid w:val="00C4355D"/>
    <w:rsid w:val="00C435F3"/>
    <w:rsid w:val="00C43805"/>
    <w:rsid w:val="00C43E24"/>
    <w:rsid w:val="00C441CE"/>
    <w:rsid w:val="00C44232"/>
    <w:rsid w:val="00C44B9A"/>
    <w:rsid w:val="00C45235"/>
    <w:rsid w:val="00C45D8C"/>
    <w:rsid w:val="00C51E14"/>
    <w:rsid w:val="00C53780"/>
    <w:rsid w:val="00C54496"/>
    <w:rsid w:val="00C54E79"/>
    <w:rsid w:val="00C54F5A"/>
    <w:rsid w:val="00C55CB4"/>
    <w:rsid w:val="00C57CCD"/>
    <w:rsid w:val="00C60EF2"/>
    <w:rsid w:val="00C615B2"/>
    <w:rsid w:val="00C63A87"/>
    <w:rsid w:val="00C66656"/>
    <w:rsid w:val="00C70003"/>
    <w:rsid w:val="00C702F0"/>
    <w:rsid w:val="00C71CFC"/>
    <w:rsid w:val="00C74553"/>
    <w:rsid w:val="00C8112C"/>
    <w:rsid w:val="00C82A80"/>
    <w:rsid w:val="00C861F8"/>
    <w:rsid w:val="00C86D2A"/>
    <w:rsid w:val="00C87EF4"/>
    <w:rsid w:val="00C91C79"/>
    <w:rsid w:val="00C94AEF"/>
    <w:rsid w:val="00C96CC8"/>
    <w:rsid w:val="00C96CCB"/>
    <w:rsid w:val="00C97500"/>
    <w:rsid w:val="00C97846"/>
    <w:rsid w:val="00CA1B1D"/>
    <w:rsid w:val="00CA623E"/>
    <w:rsid w:val="00CA630F"/>
    <w:rsid w:val="00CA7917"/>
    <w:rsid w:val="00CB1339"/>
    <w:rsid w:val="00CB1C01"/>
    <w:rsid w:val="00CB24E7"/>
    <w:rsid w:val="00CB4EB2"/>
    <w:rsid w:val="00CB60B3"/>
    <w:rsid w:val="00CB6EA9"/>
    <w:rsid w:val="00CB7A41"/>
    <w:rsid w:val="00CC1AFD"/>
    <w:rsid w:val="00CC466B"/>
    <w:rsid w:val="00CC6342"/>
    <w:rsid w:val="00CC67A5"/>
    <w:rsid w:val="00CC7A0B"/>
    <w:rsid w:val="00CD49D8"/>
    <w:rsid w:val="00CD4AC1"/>
    <w:rsid w:val="00CD4E70"/>
    <w:rsid w:val="00CD64CD"/>
    <w:rsid w:val="00CE0223"/>
    <w:rsid w:val="00CE2041"/>
    <w:rsid w:val="00CE3059"/>
    <w:rsid w:val="00CE4960"/>
    <w:rsid w:val="00CE56FA"/>
    <w:rsid w:val="00CE591F"/>
    <w:rsid w:val="00CE5D84"/>
    <w:rsid w:val="00CE6430"/>
    <w:rsid w:val="00CE748E"/>
    <w:rsid w:val="00CF04FC"/>
    <w:rsid w:val="00CF08F5"/>
    <w:rsid w:val="00CF0912"/>
    <w:rsid w:val="00CF793C"/>
    <w:rsid w:val="00D0060C"/>
    <w:rsid w:val="00D00B3C"/>
    <w:rsid w:val="00D017EF"/>
    <w:rsid w:val="00D027B8"/>
    <w:rsid w:val="00D04134"/>
    <w:rsid w:val="00D04B11"/>
    <w:rsid w:val="00D0571C"/>
    <w:rsid w:val="00D0679B"/>
    <w:rsid w:val="00D069F8"/>
    <w:rsid w:val="00D07F6F"/>
    <w:rsid w:val="00D1089D"/>
    <w:rsid w:val="00D11879"/>
    <w:rsid w:val="00D11D40"/>
    <w:rsid w:val="00D12547"/>
    <w:rsid w:val="00D131F6"/>
    <w:rsid w:val="00D13529"/>
    <w:rsid w:val="00D15A2F"/>
    <w:rsid w:val="00D20516"/>
    <w:rsid w:val="00D205E6"/>
    <w:rsid w:val="00D214AB"/>
    <w:rsid w:val="00D22D44"/>
    <w:rsid w:val="00D23885"/>
    <w:rsid w:val="00D258AB"/>
    <w:rsid w:val="00D26248"/>
    <w:rsid w:val="00D265A3"/>
    <w:rsid w:val="00D27AC7"/>
    <w:rsid w:val="00D32B4F"/>
    <w:rsid w:val="00D378BA"/>
    <w:rsid w:val="00D40668"/>
    <w:rsid w:val="00D409EC"/>
    <w:rsid w:val="00D40B14"/>
    <w:rsid w:val="00D4294C"/>
    <w:rsid w:val="00D46529"/>
    <w:rsid w:val="00D474E3"/>
    <w:rsid w:val="00D50944"/>
    <w:rsid w:val="00D51150"/>
    <w:rsid w:val="00D51475"/>
    <w:rsid w:val="00D5443B"/>
    <w:rsid w:val="00D5552A"/>
    <w:rsid w:val="00D56DC5"/>
    <w:rsid w:val="00D57E00"/>
    <w:rsid w:val="00D61B4D"/>
    <w:rsid w:val="00D6263A"/>
    <w:rsid w:val="00D62B2C"/>
    <w:rsid w:val="00D63B8B"/>
    <w:rsid w:val="00D645DA"/>
    <w:rsid w:val="00D67C14"/>
    <w:rsid w:val="00D76A95"/>
    <w:rsid w:val="00D7760C"/>
    <w:rsid w:val="00D778D7"/>
    <w:rsid w:val="00D83934"/>
    <w:rsid w:val="00D83F95"/>
    <w:rsid w:val="00D840B6"/>
    <w:rsid w:val="00D85345"/>
    <w:rsid w:val="00D861C3"/>
    <w:rsid w:val="00D86FAC"/>
    <w:rsid w:val="00D86FCA"/>
    <w:rsid w:val="00D91706"/>
    <w:rsid w:val="00D91A0C"/>
    <w:rsid w:val="00D9239C"/>
    <w:rsid w:val="00D92B3E"/>
    <w:rsid w:val="00D9385C"/>
    <w:rsid w:val="00D942B8"/>
    <w:rsid w:val="00D94B94"/>
    <w:rsid w:val="00D94E99"/>
    <w:rsid w:val="00D95955"/>
    <w:rsid w:val="00D979AB"/>
    <w:rsid w:val="00DA0F80"/>
    <w:rsid w:val="00DA3864"/>
    <w:rsid w:val="00DA4BDF"/>
    <w:rsid w:val="00DA590C"/>
    <w:rsid w:val="00DA5DDF"/>
    <w:rsid w:val="00DA619F"/>
    <w:rsid w:val="00DA67F9"/>
    <w:rsid w:val="00DA703D"/>
    <w:rsid w:val="00DB2322"/>
    <w:rsid w:val="00DB33E9"/>
    <w:rsid w:val="00DB3698"/>
    <w:rsid w:val="00DB388A"/>
    <w:rsid w:val="00DB3D5E"/>
    <w:rsid w:val="00DB4737"/>
    <w:rsid w:val="00DB51DE"/>
    <w:rsid w:val="00DB538C"/>
    <w:rsid w:val="00DB54CF"/>
    <w:rsid w:val="00DB6DFA"/>
    <w:rsid w:val="00DB79D7"/>
    <w:rsid w:val="00DC03E0"/>
    <w:rsid w:val="00DC1546"/>
    <w:rsid w:val="00DC2F8E"/>
    <w:rsid w:val="00DC37D3"/>
    <w:rsid w:val="00DC4938"/>
    <w:rsid w:val="00DC4E1C"/>
    <w:rsid w:val="00DC5E6F"/>
    <w:rsid w:val="00DC7761"/>
    <w:rsid w:val="00DD20A6"/>
    <w:rsid w:val="00DD2172"/>
    <w:rsid w:val="00DD368F"/>
    <w:rsid w:val="00DD4A09"/>
    <w:rsid w:val="00DD5CDD"/>
    <w:rsid w:val="00DD6A1F"/>
    <w:rsid w:val="00DE042A"/>
    <w:rsid w:val="00DE4C00"/>
    <w:rsid w:val="00DE5C67"/>
    <w:rsid w:val="00DE7C3E"/>
    <w:rsid w:val="00DE7E30"/>
    <w:rsid w:val="00DF1B09"/>
    <w:rsid w:val="00DF1E41"/>
    <w:rsid w:val="00DF2449"/>
    <w:rsid w:val="00DF34A1"/>
    <w:rsid w:val="00DF3CFD"/>
    <w:rsid w:val="00DF55CE"/>
    <w:rsid w:val="00DF6711"/>
    <w:rsid w:val="00DF7306"/>
    <w:rsid w:val="00DF7ACF"/>
    <w:rsid w:val="00E004CA"/>
    <w:rsid w:val="00E00D30"/>
    <w:rsid w:val="00E03391"/>
    <w:rsid w:val="00E0373B"/>
    <w:rsid w:val="00E04128"/>
    <w:rsid w:val="00E049D8"/>
    <w:rsid w:val="00E05199"/>
    <w:rsid w:val="00E07308"/>
    <w:rsid w:val="00E112FC"/>
    <w:rsid w:val="00E12B5F"/>
    <w:rsid w:val="00E13B27"/>
    <w:rsid w:val="00E13CBC"/>
    <w:rsid w:val="00E14003"/>
    <w:rsid w:val="00E14CD9"/>
    <w:rsid w:val="00E14CF0"/>
    <w:rsid w:val="00E16DA2"/>
    <w:rsid w:val="00E179B5"/>
    <w:rsid w:val="00E215CA"/>
    <w:rsid w:val="00E21651"/>
    <w:rsid w:val="00E26286"/>
    <w:rsid w:val="00E30AC2"/>
    <w:rsid w:val="00E30EC7"/>
    <w:rsid w:val="00E312C8"/>
    <w:rsid w:val="00E33D84"/>
    <w:rsid w:val="00E34813"/>
    <w:rsid w:val="00E356D2"/>
    <w:rsid w:val="00E360CB"/>
    <w:rsid w:val="00E36BCF"/>
    <w:rsid w:val="00E371FE"/>
    <w:rsid w:val="00E401B3"/>
    <w:rsid w:val="00E4152C"/>
    <w:rsid w:val="00E4171B"/>
    <w:rsid w:val="00E42053"/>
    <w:rsid w:val="00E42DAE"/>
    <w:rsid w:val="00E458DA"/>
    <w:rsid w:val="00E466F2"/>
    <w:rsid w:val="00E52742"/>
    <w:rsid w:val="00E52F76"/>
    <w:rsid w:val="00E54D24"/>
    <w:rsid w:val="00E55AA5"/>
    <w:rsid w:val="00E566B6"/>
    <w:rsid w:val="00E5687E"/>
    <w:rsid w:val="00E571E1"/>
    <w:rsid w:val="00E62A55"/>
    <w:rsid w:val="00E639CC"/>
    <w:rsid w:val="00E63D5B"/>
    <w:rsid w:val="00E63FC9"/>
    <w:rsid w:val="00E65939"/>
    <w:rsid w:val="00E671AD"/>
    <w:rsid w:val="00E67436"/>
    <w:rsid w:val="00E71B04"/>
    <w:rsid w:val="00E72B07"/>
    <w:rsid w:val="00E72FFA"/>
    <w:rsid w:val="00E74B65"/>
    <w:rsid w:val="00E75BB8"/>
    <w:rsid w:val="00E76A94"/>
    <w:rsid w:val="00E76E99"/>
    <w:rsid w:val="00E82C4F"/>
    <w:rsid w:val="00E83E40"/>
    <w:rsid w:val="00E853A2"/>
    <w:rsid w:val="00E857B8"/>
    <w:rsid w:val="00E85CC6"/>
    <w:rsid w:val="00E86797"/>
    <w:rsid w:val="00E87A4C"/>
    <w:rsid w:val="00E907E5"/>
    <w:rsid w:val="00E92210"/>
    <w:rsid w:val="00E933B8"/>
    <w:rsid w:val="00E943B8"/>
    <w:rsid w:val="00E94B94"/>
    <w:rsid w:val="00E95D05"/>
    <w:rsid w:val="00E971E4"/>
    <w:rsid w:val="00E97ECE"/>
    <w:rsid w:val="00EA11F7"/>
    <w:rsid w:val="00EA1DF4"/>
    <w:rsid w:val="00EA1FF0"/>
    <w:rsid w:val="00EA20B9"/>
    <w:rsid w:val="00EA2ECC"/>
    <w:rsid w:val="00EA4549"/>
    <w:rsid w:val="00EA4843"/>
    <w:rsid w:val="00EA70BF"/>
    <w:rsid w:val="00EB2C3C"/>
    <w:rsid w:val="00EB40D6"/>
    <w:rsid w:val="00EB44C8"/>
    <w:rsid w:val="00EC221F"/>
    <w:rsid w:val="00EC2653"/>
    <w:rsid w:val="00ED058C"/>
    <w:rsid w:val="00ED0B37"/>
    <w:rsid w:val="00ED155D"/>
    <w:rsid w:val="00ED22DF"/>
    <w:rsid w:val="00ED2C08"/>
    <w:rsid w:val="00ED4C66"/>
    <w:rsid w:val="00ED5716"/>
    <w:rsid w:val="00ED587F"/>
    <w:rsid w:val="00ED5B1C"/>
    <w:rsid w:val="00ED5EBC"/>
    <w:rsid w:val="00ED6781"/>
    <w:rsid w:val="00ED6A5B"/>
    <w:rsid w:val="00ED72D7"/>
    <w:rsid w:val="00EE3412"/>
    <w:rsid w:val="00EE3CCD"/>
    <w:rsid w:val="00EE6A96"/>
    <w:rsid w:val="00EE7DF4"/>
    <w:rsid w:val="00EF02C2"/>
    <w:rsid w:val="00EF3487"/>
    <w:rsid w:val="00EF48EE"/>
    <w:rsid w:val="00EF5BA0"/>
    <w:rsid w:val="00EF5E7B"/>
    <w:rsid w:val="00EF68EA"/>
    <w:rsid w:val="00EF7E6E"/>
    <w:rsid w:val="00F02B21"/>
    <w:rsid w:val="00F06308"/>
    <w:rsid w:val="00F07643"/>
    <w:rsid w:val="00F079ED"/>
    <w:rsid w:val="00F13600"/>
    <w:rsid w:val="00F15FC0"/>
    <w:rsid w:val="00F16112"/>
    <w:rsid w:val="00F17042"/>
    <w:rsid w:val="00F175D1"/>
    <w:rsid w:val="00F17DB9"/>
    <w:rsid w:val="00F21DA9"/>
    <w:rsid w:val="00F22A75"/>
    <w:rsid w:val="00F244F3"/>
    <w:rsid w:val="00F2573A"/>
    <w:rsid w:val="00F30C1E"/>
    <w:rsid w:val="00F30EDE"/>
    <w:rsid w:val="00F310B1"/>
    <w:rsid w:val="00F3185D"/>
    <w:rsid w:val="00F31966"/>
    <w:rsid w:val="00F31B82"/>
    <w:rsid w:val="00F326F2"/>
    <w:rsid w:val="00F335A5"/>
    <w:rsid w:val="00F35217"/>
    <w:rsid w:val="00F35840"/>
    <w:rsid w:val="00F35C50"/>
    <w:rsid w:val="00F40380"/>
    <w:rsid w:val="00F42D68"/>
    <w:rsid w:val="00F436FE"/>
    <w:rsid w:val="00F46030"/>
    <w:rsid w:val="00F46914"/>
    <w:rsid w:val="00F500D2"/>
    <w:rsid w:val="00F50F4A"/>
    <w:rsid w:val="00F51717"/>
    <w:rsid w:val="00F51A9D"/>
    <w:rsid w:val="00F545A9"/>
    <w:rsid w:val="00F545DD"/>
    <w:rsid w:val="00F546D3"/>
    <w:rsid w:val="00F54AC3"/>
    <w:rsid w:val="00F56861"/>
    <w:rsid w:val="00F573B4"/>
    <w:rsid w:val="00F57792"/>
    <w:rsid w:val="00F60048"/>
    <w:rsid w:val="00F6185A"/>
    <w:rsid w:val="00F62125"/>
    <w:rsid w:val="00F669A1"/>
    <w:rsid w:val="00F72446"/>
    <w:rsid w:val="00F73FE2"/>
    <w:rsid w:val="00F74944"/>
    <w:rsid w:val="00F77A6B"/>
    <w:rsid w:val="00F80F3D"/>
    <w:rsid w:val="00F82ADC"/>
    <w:rsid w:val="00F82F43"/>
    <w:rsid w:val="00F830F3"/>
    <w:rsid w:val="00F83831"/>
    <w:rsid w:val="00F8497C"/>
    <w:rsid w:val="00F84C90"/>
    <w:rsid w:val="00F867CA"/>
    <w:rsid w:val="00F86C0F"/>
    <w:rsid w:val="00F872F2"/>
    <w:rsid w:val="00F8789E"/>
    <w:rsid w:val="00F91E41"/>
    <w:rsid w:val="00F93C8E"/>
    <w:rsid w:val="00F93ECC"/>
    <w:rsid w:val="00F9476E"/>
    <w:rsid w:val="00F953B4"/>
    <w:rsid w:val="00F95DF3"/>
    <w:rsid w:val="00F96E50"/>
    <w:rsid w:val="00F97059"/>
    <w:rsid w:val="00FA238D"/>
    <w:rsid w:val="00FA372D"/>
    <w:rsid w:val="00FA3835"/>
    <w:rsid w:val="00FA3CEC"/>
    <w:rsid w:val="00FA5F05"/>
    <w:rsid w:val="00FA6816"/>
    <w:rsid w:val="00FB17AB"/>
    <w:rsid w:val="00FB3CE1"/>
    <w:rsid w:val="00FB4853"/>
    <w:rsid w:val="00FB4A72"/>
    <w:rsid w:val="00FB4CA7"/>
    <w:rsid w:val="00FB54B4"/>
    <w:rsid w:val="00FB5B67"/>
    <w:rsid w:val="00FB5D79"/>
    <w:rsid w:val="00FC0748"/>
    <w:rsid w:val="00FC0794"/>
    <w:rsid w:val="00FC0C21"/>
    <w:rsid w:val="00FC209B"/>
    <w:rsid w:val="00FC226E"/>
    <w:rsid w:val="00FC2CD9"/>
    <w:rsid w:val="00FC5568"/>
    <w:rsid w:val="00FD03DA"/>
    <w:rsid w:val="00FD0421"/>
    <w:rsid w:val="00FD093F"/>
    <w:rsid w:val="00FD2CE4"/>
    <w:rsid w:val="00FD47DB"/>
    <w:rsid w:val="00FD4DBE"/>
    <w:rsid w:val="00FD7D6E"/>
    <w:rsid w:val="00FE1983"/>
    <w:rsid w:val="00FE30C3"/>
    <w:rsid w:val="00FE3D73"/>
    <w:rsid w:val="00FE3D91"/>
    <w:rsid w:val="00FE55D2"/>
    <w:rsid w:val="00FF02DC"/>
    <w:rsid w:val="00FF0809"/>
    <w:rsid w:val="00FF2955"/>
    <w:rsid w:val="00FF56BA"/>
    <w:rsid w:val="00FF5F95"/>
    <w:rsid w:val="00FF5FB2"/>
    <w:rsid w:val="00FF67F9"/>
    <w:rsid w:val="00FF728E"/>
    <w:rsid w:val="01066BBC"/>
    <w:rsid w:val="011C44BE"/>
    <w:rsid w:val="011D2710"/>
    <w:rsid w:val="012375FA"/>
    <w:rsid w:val="01282E62"/>
    <w:rsid w:val="012B444D"/>
    <w:rsid w:val="01303C24"/>
    <w:rsid w:val="0132783D"/>
    <w:rsid w:val="0136732D"/>
    <w:rsid w:val="014A17C7"/>
    <w:rsid w:val="01510F5A"/>
    <w:rsid w:val="016C0FA1"/>
    <w:rsid w:val="01714809"/>
    <w:rsid w:val="0183453D"/>
    <w:rsid w:val="01853E11"/>
    <w:rsid w:val="0187402D"/>
    <w:rsid w:val="019D115B"/>
    <w:rsid w:val="01A61CC2"/>
    <w:rsid w:val="01B14C06"/>
    <w:rsid w:val="01B3097E"/>
    <w:rsid w:val="01B446F6"/>
    <w:rsid w:val="01B464A4"/>
    <w:rsid w:val="01C16785"/>
    <w:rsid w:val="01DD3C4D"/>
    <w:rsid w:val="01E4322D"/>
    <w:rsid w:val="01EF572E"/>
    <w:rsid w:val="01FB0577"/>
    <w:rsid w:val="020C008E"/>
    <w:rsid w:val="0213345C"/>
    <w:rsid w:val="02184C85"/>
    <w:rsid w:val="021F4265"/>
    <w:rsid w:val="02251150"/>
    <w:rsid w:val="022A16E3"/>
    <w:rsid w:val="02385327"/>
    <w:rsid w:val="023A4BFB"/>
    <w:rsid w:val="024912E2"/>
    <w:rsid w:val="02535CBD"/>
    <w:rsid w:val="0261487E"/>
    <w:rsid w:val="02654786"/>
    <w:rsid w:val="026954E1"/>
    <w:rsid w:val="02704AC1"/>
    <w:rsid w:val="02857679"/>
    <w:rsid w:val="02900CBF"/>
    <w:rsid w:val="02936A01"/>
    <w:rsid w:val="02A23A3C"/>
    <w:rsid w:val="02A62291"/>
    <w:rsid w:val="02B40E52"/>
    <w:rsid w:val="02B71517"/>
    <w:rsid w:val="02C95F7F"/>
    <w:rsid w:val="02C97591"/>
    <w:rsid w:val="02CB7F49"/>
    <w:rsid w:val="02D84414"/>
    <w:rsid w:val="02DA055C"/>
    <w:rsid w:val="02F0175E"/>
    <w:rsid w:val="02FA082F"/>
    <w:rsid w:val="03015719"/>
    <w:rsid w:val="031C251B"/>
    <w:rsid w:val="032338E1"/>
    <w:rsid w:val="03333B32"/>
    <w:rsid w:val="033F6241"/>
    <w:rsid w:val="03416B9B"/>
    <w:rsid w:val="0350044F"/>
    <w:rsid w:val="035F55FC"/>
    <w:rsid w:val="037708D0"/>
    <w:rsid w:val="037863C5"/>
    <w:rsid w:val="037D56E7"/>
    <w:rsid w:val="0381685A"/>
    <w:rsid w:val="0385634A"/>
    <w:rsid w:val="038A1970"/>
    <w:rsid w:val="03984C22"/>
    <w:rsid w:val="03993BA4"/>
    <w:rsid w:val="039D18E6"/>
    <w:rsid w:val="03A52548"/>
    <w:rsid w:val="03AF33C7"/>
    <w:rsid w:val="03B15391"/>
    <w:rsid w:val="03BB1D6C"/>
    <w:rsid w:val="03C54999"/>
    <w:rsid w:val="03C70711"/>
    <w:rsid w:val="03CC21CB"/>
    <w:rsid w:val="03CC5D27"/>
    <w:rsid w:val="03D62FA5"/>
    <w:rsid w:val="03DB41BC"/>
    <w:rsid w:val="03E61C06"/>
    <w:rsid w:val="03E72B61"/>
    <w:rsid w:val="03F359AA"/>
    <w:rsid w:val="03F37758"/>
    <w:rsid w:val="03FE7EAB"/>
    <w:rsid w:val="040556DD"/>
    <w:rsid w:val="040A684F"/>
    <w:rsid w:val="040F3E66"/>
    <w:rsid w:val="041476CE"/>
    <w:rsid w:val="04180F6C"/>
    <w:rsid w:val="04185410"/>
    <w:rsid w:val="041F054D"/>
    <w:rsid w:val="04294F27"/>
    <w:rsid w:val="042B5143"/>
    <w:rsid w:val="04365896"/>
    <w:rsid w:val="043930E0"/>
    <w:rsid w:val="043A5387"/>
    <w:rsid w:val="043E6F87"/>
    <w:rsid w:val="04446205"/>
    <w:rsid w:val="044F0706"/>
    <w:rsid w:val="045F408F"/>
    <w:rsid w:val="046917C8"/>
    <w:rsid w:val="046B19E4"/>
    <w:rsid w:val="046E5030"/>
    <w:rsid w:val="046F1BE0"/>
    <w:rsid w:val="047A1C27"/>
    <w:rsid w:val="047F723D"/>
    <w:rsid w:val="04812FB5"/>
    <w:rsid w:val="0482288A"/>
    <w:rsid w:val="04826437"/>
    <w:rsid w:val="04874E25"/>
    <w:rsid w:val="048760F2"/>
    <w:rsid w:val="04877EA0"/>
    <w:rsid w:val="048B3E34"/>
    <w:rsid w:val="04910D1F"/>
    <w:rsid w:val="04967EB1"/>
    <w:rsid w:val="04AC7907"/>
    <w:rsid w:val="04B073F7"/>
    <w:rsid w:val="04C11604"/>
    <w:rsid w:val="04C12C9C"/>
    <w:rsid w:val="04C74740"/>
    <w:rsid w:val="04C9566C"/>
    <w:rsid w:val="04D53E34"/>
    <w:rsid w:val="04D550AF"/>
    <w:rsid w:val="04DC4690"/>
    <w:rsid w:val="04E377CC"/>
    <w:rsid w:val="04EA6DAD"/>
    <w:rsid w:val="04EC217A"/>
    <w:rsid w:val="04F75026"/>
    <w:rsid w:val="04F939B1"/>
    <w:rsid w:val="05015EA4"/>
    <w:rsid w:val="05017C52"/>
    <w:rsid w:val="05087233"/>
    <w:rsid w:val="050B0AD1"/>
    <w:rsid w:val="050B6D23"/>
    <w:rsid w:val="050D4849"/>
    <w:rsid w:val="050E50E5"/>
    <w:rsid w:val="0519526F"/>
    <w:rsid w:val="052D0A47"/>
    <w:rsid w:val="054364BD"/>
    <w:rsid w:val="05544226"/>
    <w:rsid w:val="055A7161"/>
    <w:rsid w:val="055B3806"/>
    <w:rsid w:val="05681A7F"/>
    <w:rsid w:val="056E51C3"/>
    <w:rsid w:val="05780BC2"/>
    <w:rsid w:val="05793C8D"/>
    <w:rsid w:val="05812B41"/>
    <w:rsid w:val="05962A91"/>
    <w:rsid w:val="05AA2098"/>
    <w:rsid w:val="05AA653C"/>
    <w:rsid w:val="05B253F0"/>
    <w:rsid w:val="05B3770F"/>
    <w:rsid w:val="05BE041F"/>
    <w:rsid w:val="05BE5B43"/>
    <w:rsid w:val="05C70E9C"/>
    <w:rsid w:val="05CB200E"/>
    <w:rsid w:val="05E41A4E"/>
    <w:rsid w:val="05E76E48"/>
    <w:rsid w:val="05EA2DDC"/>
    <w:rsid w:val="05EF21A1"/>
    <w:rsid w:val="05F006DD"/>
    <w:rsid w:val="05F96B7B"/>
    <w:rsid w:val="05FF3934"/>
    <w:rsid w:val="060B6CA6"/>
    <w:rsid w:val="060F45F1"/>
    <w:rsid w:val="060F639F"/>
    <w:rsid w:val="06127C3D"/>
    <w:rsid w:val="06190FCC"/>
    <w:rsid w:val="061E4834"/>
    <w:rsid w:val="062260D2"/>
    <w:rsid w:val="06226965"/>
    <w:rsid w:val="06274B5B"/>
    <w:rsid w:val="062753B4"/>
    <w:rsid w:val="063353A5"/>
    <w:rsid w:val="063876A4"/>
    <w:rsid w:val="063B3638"/>
    <w:rsid w:val="064029FC"/>
    <w:rsid w:val="06420522"/>
    <w:rsid w:val="06440B1C"/>
    <w:rsid w:val="06471FDD"/>
    <w:rsid w:val="06604E4C"/>
    <w:rsid w:val="06605F0F"/>
    <w:rsid w:val="06637BA6"/>
    <w:rsid w:val="067803E8"/>
    <w:rsid w:val="06840B3B"/>
    <w:rsid w:val="06893E96"/>
    <w:rsid w:val="069B7C33"/>
    <w:rsid w:val="069D1BFD"/>
    <w:rsid w:val="06A14ABD"/>
    <w:rsid w:val="06A66D03"/>
    <w:rsid w:val="06B036DE"/>
    <w:rsid w:val="06B55198"/>
    <w:rsid w:val="06BC55A9"/>
    <w:rsid w:val="06BC6527"/>
    <w:rsid w:val="06C07699"/>
    <w:rsid w:val="06D05B2E"/>
    <w:rsid w:val="06D3561E"/>
    <w:rsid w:val="06D422E1"/>
    <w:rsid w:val="06D82C35"/>
    <w:rsid w:val="06DD024B"/>
    <w:rsid w:val="06E415DA"/>
    <w:rsid w:val="06EF3008"/>
    <w:rsid w:val="06FC4B75"/>
    <w:rsid w:val="07017849"/>
    <w:rsid w:val="070822A2"/>
    <w:rsid w:val="070A64CF"/>
    <w:rsid w:val="070B6B66"/>
    <w:rsid w:val="071015E4"/>
    <w:rsid w:val="07123D8D"/>
    <w:rsid w:val="07133C6D"/>
    <w:rsid w:val="071E0F8F"/>
    <w:rsid w:val="07245E7A"/>
    <w:rsid w:val="07283BBC"/>
    <w:rsid w:val="07287718"/>
    <w:rsid w:val="0730481F"/>
    <w:rsid w:val="073562D9"/>
    <w:rsid w:val="073836D3"/>
    <w:rsid w:val="073D0CEA"/>
    <w:rsid w:val="0744651C"/>
    <w:rsid w:val="07470380"/>
    <w:rsid w:val="074F739B"/>
    <w:rsid w:val="0756524D"/>
    <w:rsid w:val="075C73C2"/>
    <w:rsid w:val="075E3268"/>
    <w:rsid w:val="076A5F83"/>
    <w:rsid w:val="076D15CF"/>
    <w:rsid w:val="077961C6"/>
    <w:rsid w:val="07797F74"/>
    <w:rsid w:val="079072D0"/>
    <w:rsid w:val="07943000"/>
    <w:rsid w:val="079C0106"/>
    <w:rsid w:val="07A019A5"/>
    <w:rsid w:val="07A1396F"/>
    <w:rsid w:val="07A4456D"/>
    <w:rsid w:val="07B13FA0"/>
    <w:rsid w:val="07B23486"/>
    <w:rsid w:val="07D26499"/>
    <w:rsid w:val="07D653C6"/>
    <w:rsid w:val="07DD5FE8"/>
    <w:rsid w:val="07E16200"/>
    <w:rsid w:val="07E850FA"/>
    <w:rsid w:val="07F615C4"/>
    <w:rsid w:val="07F817E1"/>
    <w:rsid w:val="07F9230B"/>
    <w:rsid w:val="07F97307"/>
    <w:rsid w:val="08053EFD"/>
    <w:rsid w:val="080D7397"/>
    <w:rsid w:val="08332819"/>
    <w:rsid w:val="083E2F6B"/>
    <w:rsid w:val="08400A92"/>
    <w:rsid w:val="08485B98"/>
    <w:rsid w:val="084D31AF"/>
    <w:rsid w:val="08585DDB"/>
    <w:rsid w:val="086E55FF"/>
    <w:rsid w:val="08752E31"/>
    <w:rsid w:val="087F780C"/>
    <w:rsid w:val="088A7F5F"/>
    <w:rsid w:val="08935065"/>
    <w:rsid w:val="089A509C"/>
    <w:rsid w:val="089B216C"/>
    <w:rsid w:val="089B6610"/>
    <w:rsid w:val="08A2799E"/>
    <w:rsid w:val="08B12270"/>
    <w:rsid w:val="08C416C3"/>
    <w:rsid w:val="08C72F61"/>
    <w:rsid w:val="08CA47FF"/>
    <w:rsid w:val="08CE609D"/>
    <w:rsid w:val="08D40B58"/>
    <w:rsid w:val="08D4742C"/>
    <w:rsid w:val="08EE6740"/>
    <w:rsid w:val="08EE6E9A"/>
    <w:rsid w:val="08FA3336"/>
    <w:rsid w:val="0902043D"/>
    <w:rsid w:val="09025EC2"/>
    <w:rsid w:val="090A5711"/>
    <w:rsid w:val="090B5543"/>
    <w:rsid w:val="092D54BA"/>
    <w:rsid w:val="092E2FE0"/>
    <w:rsid w:val="09300B06"/>
    <w:rsid w:val="09306D58"/>
    <w:rsid w:val="093A1985"/>
    <w:rsid w:val="093C56FD"/>
    <w:rsid w:val="093C74AB"/>
    <w:rsid w:val="0942019B"/>
    <w:rsid w:val="09491BC8"/>
    <w:rsid w:val="095D5673"/>
    <w:rsid w:val="09615163"/>
    <w:rsid w:val="09641A27"/>
    <w:rsid w:val="09682DE1"/>
    <w:rsid w:val="096A04BC"/>
    <w:rsid w:val="096B5FE2"/>
    <w:rsid w:val="09756E61"/>
    <w:rsid w:val="09772BD9"/>
    <w:rsid w:val="097906FF"/>
    <w:rsid w:val="09823FA4"/>
    <w:rsid w:val="09840E52"/>
    <w:rsid w:val="098D5F59"/>
    <w:rsid w:val="099866AB"/>
    <w:rsid w:val="09B47989"/>
    <w:rsid w:val="09B65A31"/>
    <w:rsid w:val="09B90AFC"/>
    <w:rsid w:val="09BE6112"/>
    <w:rsid w:val="09C86F91"/>
    <w:rsid w:val="09CD45A7"/>
    <w:rsid w:val="09D2513F"/>
    <w:rsid w:val="09DB4F16"/>
    <w:rsid w:val="09E162A4"/>
    <w:rsid w:val="09EF77CC"/>
    <w:rsid w:val="09F2400E"/>
    <w:rsid w:val="09F45FD8"/>
    <w:rsid w:val="0A051D81"/>
    <w:rsid w:val="0A053D41"/>
    <w:rsid w:val="0A0C1573"/>
    <w:rsid w:val="0A116B8A"/>
    <w:rsid w:val="0A283ED3"/>
    <w:rsid w:val="0A382368"/>
    <w:rsid w:val="0A3A0CB1"/>
    <w:rsid w:val="0A3B3C06"/>
    <w:rsid w:val="0A426D43"/>
    <w:rsid w:val="0A432ABB"/>
    <w:rsid w:val="0A4F1460"/>
    <w:rsid w:val="0A546A76"/>
    <w:rsid w:val="0A590531"/>
    <w:rsid w:val="0A6273E5"/>
    <w:rsid w:val="0A652A31"/>
    <w:rsid w:val="0A7669ED"/>
    <w:rsid w:val="0A7F0613"/>
    <w:rsid w:val="0A8530D4"/>
    <w:rsid w:val="0A8E30E2"/>
    <w:rsid w:val="0A8F5D00"/>
    <w:rsid w:val="0AA55524"/>
    <w:rsid w:val="0AAC240E"/>
    <w:rsid w:val="0AB80DB3"/>
    <w:rsid w:val="0ABB4D47"/>
    <w:rsid w:val="0AC0235E"/>
    <w:rsid w:val="0AD11E75"/>
    <w:rsid w:val="0AD57BB7"/>
    <w:rsid w:val="0AE24082"/>
    <w:rsid w:val="0AF67B2D"/>
    <w:rsid w:val="0AF81AF7"/>
    <w:rsid w:val="0AFE0548"/>
    <w:rsid w:val="0B0B0336"/>
    <w:rsid w:val="0B1A7CC0"/>
    <w:rsid w:val="0B1B1342"/>
    <w:rsid w:val="0B1D330C"/>
    <w:rsid w:val="0B2B3C7B"/>
    <w:rsid w:val="0B2C354F"/>
    <w:rsid w:val="0B3443DF"/>
    <w:rsid w:val="0B5807E8"/>
    <w:rsid w:val="0B73117E"/>
    <w:rsid w:val="0B732F2C"/>
    <w:rsid w:val="0B772A1C"/>
    <w:rsid w:val="0B776EC0"/>
    <w:rsid w:val="0B860EB1"/>
    <w:rsid w:val="0B867103"/>
    <w:rsid w:val="0B882E7B"/>
    <w:rsid w:val="0B8D0851"/>
    <w:rsid w:val="0B9176F8"/>
    <w:rsid w:val="0B971310"/>
    <w:rsid w:val="0B9A495D"/>
    <w:rsid w:val="0B9A6334"/>
    <w:rsid w:val="0BA13F3D"/>
    <w:rsid w:val="0BA31A63"/>
    <w:rsid w:val="0BA96923"/>
    <w:rsid w:val="0BB377CC"/>
    <w:rsid w:val="0BB51797"/>
    <w:rsid w:val="0BB73761"/>
    <w:rsid w:val="0BCA5242"/>
    <w:rsid w:val="0BCD6AE0"/>
    <w:rsid w:val="0BDD7AC5"/>
    <w:rsid w:val="0BE107DE"/>
    <w:rsid w:val="0BE5207C"/>
    <w:rsid w:val="0BE800E8"/>
    <w:rsid w:val="0BF00A21"/>
    <w:rsid w:val="0C013622"/>
    <w:rsid w:val="0C061FF2"/>
    <w:rsid w:val="0C177D5B"/>
    <w:rsid w:val="0C22507E"/>
    <w:rsid w:val="0C2A3F33"/>
    <w:rsid w:val="0C321039"/>
    <w:rsid w:val="0C396787"/>
    <w:rsid w:val="0C3E353A"/>
    <w:rsid w:val="0C4E091A"/>
    <w:rsid w:val="0C50326D"/>
    <w:rsid w:val="0C5965C6"/>
    <w:rsid w:val="0C5C4B7B"/>
    <w:rsid w:val="0C5E1E2E"/>
    <w:rsid w:val="0C6C454B"/>
    <w:rsid w:val="0C776A4C"/>
    <w:rsid w:val="0C79253B"/>
    <w:rsid w:val="0C7B4653"/>
    <w:rsid w:val="0C915D60"/>
    <w:rsid w:val="0CA27F6D"/>
    <w:rsid w:val="0CAA5073"/>
    <w:rsid w:val="0CAC2B9A"/>
    <w:rsid w:val="0CAD246E"/>
    <w:rsid w:val="0CAF61E6"/>
    <w:rsid w:val="0CB16402"/>
    <w:rsid w:val="0CB63A18"/>
    <w:rsid w:val="0CBF0B1F"/>
    <w:rsid w:val="0CC06645"/>
    <w:rsid w:val="0CD619C5"/>
    <w:rsid w:val="0CD72BBB"/>
    <w:rsid w:val="0CE753C3"/>
    <w:rsid w:val="0CF12CA2"/>
    <w:rsid w:val="0CF4009D"/>
    <w:rsid w:val="0CFD51A3"/>
    <w:rsid w:val="0D006A41"/>
    <w:rsid w:val="0D0429D6"/>
    <w:rsid w:val="0D0C188A"/>
    <w:rsid w:val="0D0E115E"/>
    <w:rsid w:val="0D18022F"/>
    <w:rsid w:val="0D186481"/>
    <w:rsid w:val="0D1C7D1F"/>
    <w:rsid w:val="0D215336"/>
    <w:rsid w:val="0D2564A8"/>
    <w:rsid w:val="0D266934"/>
    <w:rsid w:val="0D374B59"/>
    <w:rsid w:val="0D3D37F2"/>
    <w:rsid w:val="0D4252AC"/>
    <w:rsid w:val="0D442DD2"/>
    <w:rsid w:val="0D470B14"/>
    <w:rsid w:val="0D6443EA"/>
    <w:rsid w:val="0D6A180A"/>
    <w:rsid w:val="0D6D057B"/>
    <w:rsid w:val="0D7A11E1"/>
    <w:rsid w:val="0D814026"/>
    <w:rsid w:val="0D9A50E8"/>
    <w:rsid w:val="0DA252ED"/>
    <w:rsid w:val="0DA87805"/>
    <w:rsid w:val="0DA94E4B"/>
    <w:rsid w:val="0DB25F8E"/>
    <w:rsid w:val="0DB367A1"/>
    <w:rsid w:val="0DBA12E6"/>
    <w:rsid w:val="0DCB34F3"/>
    <w:rsid w:val="0DCD2DC7"/>
    <w:rsid w:val="0DD04666"/>
    <w:rsid w:val="0DD759F4"/>
    <w:rsid w:val="0DDC125D"/>
    <w:rsid w:val="0DE916F2"/>
    <w:rsid w:val="0DEC0073"/>
    <w:rsid w:val="0DF26CD2"/>
    <w:rsid w:val="0DF465A6"/>
    <w:rsid w:val="0DF50570"/>
    <w:rsid w:val="0DF5231E"/>
    <w:rsid w:val="0DFC545B"/>
    <w:rsid w:val="0E1079C0"/>
    <w:rsid w:val="0E1409F6"/>
    <w:rsid w:val="0E1529C0"/>
    <w:rsid w:val="0E1E1875"/>
    <w:rsid w:val="0E1E3623"/>
    <w:rsid w:val="0E2A1FC8"/>
    <w:rsid w:val="0E2B3F92"/>
    <w:rsid w:val="0E2D3866"/>
    <w:rsid w:val="0E325320"/>
    <w:rsid w:val="0E3A5F83"/>
    <w:rsid w:val="0E3E1F17"/>
    <w:rsid w:val="0E5057A7"/>
    <w:rsid w:val="0E590AFF"/>
    <w:rsid w:val="0E76345F"/>
    <w:rsid w:val="0E794CFD"/>
    <w:rsid w:val="0E8B67DF"/>
    <w:rsid w:val="0E912047"/>
    <w:rsid w:val="0E963B01"/>
    <w:rsid w:val="0E975183"/>
    <w:rsid w:val="0EA224A6"/>
    <w:rsid w:val="0EA24254"/>
    <w:rsid w:val="0EA63619"/>
    <w:rsid w:val="0EA85E0C"/>
    <w:rsid w:val="0EAA135B"/>
    <w:rsid w:val="0EAD2BF9"/>
    <w:rsid w:val="0EB2020F"/>
    <w:rsid w:val="0EBC753C"/>
    <w:rsid w:val="0EBE4E06"/>
    <w:rsid w:val="0EC05843"/>
    <w:rsid w:val="0ED14B39"/>
    <w:rsid w:val="0ED2440E"/>
    <w:rsid w:val="0EDB7766"/>
    <w:rsid w:val="0EEC3721"/>
    <w:rsid w:val="0EEE7499"/>
    <w:rsid w:val="0EEF6D6E"/>
    <w:rsid w:val="0EF24286"/>
    <w:rsid w:val="0EF645A0"/>
    <w:rsid w:val="0EF7056F"/>
    <w:rsid w:val="0F052A35"/>
    <w:rsid w:val="0F0767AD"/>
    <w:rsid w:val="0F0942D3"/>
    <w:rsid w:val="0F0F6F17"/>
    <w:rsid w:val="0F114F36"/>
    <w:rsid w:val="0F135152"/>
    <w:rsid w:val="0F16079E"/>
    <w:rsid w:val="0F1A22AD"/>
    <w:rsid w:val="0F1D7D7F"/>
    <w:rsid w:val="0F4470B9"/>
    <w:rsid w:val="0F5337A0"/>
    <w:rsid w:val="0F543075"/>
    <w:rsid w:val="0F566DED"/>
    <w:rsid w:val="0F5A4B2F"/>
    <w:rsid w:val="0F5A68DD"/>
    <w:rsid w:val="0F67724C"/>
    <w:rsid w:val="0F683055"/>
    <w:rsid w:val="0F7A6F7F"/>
    <w:rsid w:val="0F865924"/>
    <w:rsid w:val="0F8676D2"/>
    <w:rsid w:val="0F8A6A96"/>
    <w:rsid w:val="0F9242C9"/>
    <w:rsid w:val="0F9928EF"/>
    <w:rsid w:val="0FA61B22"/>
    <w:rsid w:val="0FB863AE"/>
    <w:rsid w:val="0FCF40FE"/>
    <w:rsid w:val="0FD3668F"/>
    <w:rsid w:val="0FE16FFE"/>
    <w:rsid w:val="0FE465E3"/>
    <w:rsid w:val="0FF7237E"/>
    <w:rsid w:val="0FFC1519"/>
    <w:rsid w:val="0FFF1232"/>
    <w:rsid w:val="10030D22"/>
    <w:rsid w:val="1005677B"/>
    <w:rsid w:val="100A0A21"/>
    <w:rsid w:val="10101691"/>
    <w:rsid w:val="1017657C"/>
    <w:rsid w:val="1019485D"/>
    <w:rsid w:val="101A2510"/>
    <w:rsid w:val="101C3B92"/>
    <w:rsid w:val="1021389E"/>
    <w:rsid w:val="10294501"/>
    <w:rsid w:val="10376513"/>
    <w:rsid w:val="103A226A"/>
    <w:rsid w:val="103E61FE"/>
    <w:rsid w:val="10401F77"/>
    <w:rsid w:val="104906FF"/>
    <w:rsid w:val="104B26C9"/>
    <w:rsid w:val="105477D0"/>
    <w:rsid w:val="1068327B"/>
    <w:rsid w:val="106F460A"/>
    <w:rsid w:val="10763205"/>
    <w:rsid w:val="1081433D"/>
    <w:rsid w:val="108E1041"/>
    <w:rsid w:val="10991687"/>
    <w:rsid w:val="10A87B1C"/>
    <w:rsid w:val="10AA5642"/>
    <w:rsid w:val="10C422CA"/>
    <w:rsid w:val="10CF662A"/>
    <w:rsid w:val="10D206F5"/>
    <w:rsid w:val="10D25671"/>
    <w:rsid w:val="10D40911"/>
    <w:rsid w:val="10D73F5D"/>
    <w:rsid w:val="10DE709A"/>
    <w:rsid w:val="10E16B8A"/>
    <w:rsid w:val="10E36DA6"/>
    <w:rsid w:val="10E675D1"/>
    <w:rsid w:val="10EF12A7"/>
    <w:rsid w:val="10F03EEC"/>
    <w:rsid w:val="110E3A9D"/>
    <w:rsid w:val="11124F95"/>
    <w:rsid w:val="11196324"/>
    <w:rsid w:val="111E5A3E"/>
    <w:rsid w:val="11292A0B"/>
    <w:rsid w:val="113B44EC"/>
    <w:rsid w:val="113D64B6"/>
    <w:rsid w:val="114A2981"/>
    <w:rsid w:val="114B1291"/>
    <w:rsid w:val="115D26B4"/>
    <w:rsid w:val="11627CCB"/>
    <w:rsid w:val="116A6B7F"/>
    <w:rsid w:val="116E48C1"/>
    <w:rsid w:val="1170063A"/>
    <w:rsid w:val="11717F0E"/>
    <w:rsid w:val="1178173A"/>
    <w:rsid w:val="11875983"/>
    <w:rsid w:val="11895257"/>
    <w:rsid w:val="118E286E"/>
    <w:rsid w:val="1191235E"/>
    <w:rsid w:val="11916802"/>
    <w:rsid w:val="119836EC"/>
    <w:rsid w:val="119D51A7"/>
    <w:rsid w:val="11A958FA"/>
    <w:rsid w:val="11AC0F46"/>
    <w:rsid w:val="11AD38A1"/>
    <w:rsid w:val="11B236E4"/>
    <w:rsid w:val="11B81FE1"/>
    <w:rsid w:val="11BB562D"/>
    <w:rsid w:val="11C73FD2"/>
    <w:rsid w:val="11C75D80"/>
    <w:rsid w:val="11EB5F12"/>
    <w:rsid w:val="12006C2A"/>
    <w:rsid w:val="1202325C"/>
    <w:rsid w:val="12076395"/>
    <w:rsid w:val="120B0362"/>
    <w:rsid w:val="120E39AF"/>
    <w:rsid w:val="121305A8"/>
    <w:rsid w:val="12137217"/>
    <w:rsid w:val="12193338"/>
    <w:rsid w:val="121D0DB5"/>
    <w:rsid w:val="121E62E8"/>
    <w:rsid w:val="122230E5"/>
    <w:rsid w:val="122E4051"/>
    <w:rsid w:val="123A47A4"/>
    <w:rsid w:val="123F22E5"/>
    <w:rsid w:val="12483364"/>
    <w:rsid w:val="12661A3D"/>
    <w:rsid w:val="12687563"/>
    <w:rsid w:val="126D4B79"/>
    <w:rsid w:val="1281351C"/>
    <w:rsid w:val="1283614B"/>
    <w:rsid w:val="128D40E6"/>
    <w:rsid w:val="1293001F"/>
    <w:rsid w:val="129B7938"/>
    <w:rsid w:val="12AB744F"/>
    <w:rsid w:val="12C34799"/>
    <w:rsid w:val="12C63E26"/>
    <w:rsid w:val="12CB49B0"/>
    <w:rsid w:val="12CF1390"/>
    <w:rsid w:val="12DE15D3"/>
    <w:rsid w:val="12E36BE9"/>
    <w:rsid w:val="12EA61CA"/>
    <w:rsid w:val="12F40DF6"/>
    <w:rsid w:val="12FB2185"/>
    <w:rsid w:val="13095934"/>
    <w:rsid w:val="130A686C"/>
    <w:rsid w:val="130E627A"/>
    <w:rsid w:val="13165211"/>
    <w:rsid w:val="13225CF8"/>
    <w:rsid w:val="13347445"/>
    <w:rsid w:val="13464EA3"/>
    <w:rsid w:val="135D4BEE"/>
    <w:rsid w:val="13623FB2"/>
    <w:rsid w:val="13651CF4"/>
    <w:rsid w:val="136E6DFB"/>
    <w:rsid w:val="137F2DB6"/>
    <w:rsid w:val="13906D71"/>
    <w:rsid w:val="13954387"/>
    <w:rsid w:val="139B3968"/>
    <w:rsid w:val="139C2A90"/>
    <w:rsid w:val="139E2CE4"/>
    <w:rsid w:val="13A20852"/>
    <w:rsid w:val="13A50343"/>
    <w:rsid w:val="13AA5959"/>
    <w:rsid w:val="13AD455F"/>
    <w:rsid w:val="13B3480E"/>
    <w:rsid w:val="13C62793"/>
    <w:rsid w:val="13C94031"/>
    <w:rsid w:val="13CF716E"/>
    <w:rsid w:val="13D6674E"/>
    <w:rsid w:val="13DF5603"/>
    <w:rsid w:val="14011A1D"/>
    <w:rsid w:val="140908D1"/>
    <w:rsid w:val="14092680"/>
    <w:rsid w:val="140B289C"/>
    <w:rsid w:val="140F5630"/>
    <w:rsid w:val="14131750"/>
    <w:rsid w:val="14133190"/>
    <w:rsid w:val="14137AAD"/>
    <w:rsid w:val="14151024"/>
    <w:rsid w:val="14184FB8"/>
    <w:rsid w:val="141E7655"/>
    <w:rsid w:val="141F6347"/>
    <w:rsid w:val="14213E6D"/>
    <w:rsid w:val="14223741"/>
    <w:rsid w:val="142E0338"/>
    <w:rsid w:val="144578B8"/>
    <w:rsid w:val="1457788F"/>
    <w:rsid w:val="145853B5"/>
    <w:rsid w:val="145A112D"/>
    <w:rsid w:val="14641FAC"/>
    <w:rsid w:val="14757D15"/>
    <w:rsid w:val="148166BA"/>
    <w:rsid w:val="14832432"/>
    <w:rsid w:val="14863420"/>
    <w:rsid w:val="148A7C64"/>
    <w:rsid w:val="1493417A"/>
    <w:rsid w:val="149E726C"/>
    <w:rsid w:val="149F2FE4"/>
    <w:rsid w:val="14A01236"/>
    <w:rsid w:val="14A405FA"/>
    <w:rsid w:val="14A423A8"/>
    <w:rsid w:val="14A625C4"/>
    <w:rsid w:val="14A81E98"/>
    <w:rsid w:val="14AD5701"/>
    <w:rsid w:val="14B20F69"/>
    <w:rsid w:val="14C10DBF"/>
    <w:rsid w:val="14C447F8"/>
    <w:rsid w:val="14C52A4A"/>
    <w:rsid w:val="14C546A3"/>
    <w:rsid w:val="14C60571"/>
    <w:rsid w:val="14C8078D"/>
    <w:rsid w:val="14CB5B87"/>
    <w:rsid w:val="14CF38C9"/>
    <w:rsid w:val="14D26F15"/>
    <w:rsid w:val="14D93AB7"/>
    <w:rsid w:val="14D964F6"/>
    <w:rsid w:val="14DE58BA"/>
    <w:rsid w:val="14E1184E"/>
    <w:rsid w:val="14EF3F6B"/>
    <w:rsid w:val="14FB646C"/>
    <w:rsid w:val="14FC0436"/>
    <w:rsid w:val="14FE7D0A"/>
    <w:rsid w:val="15064E11"/>
    <w:rsid w:val="151439D2"/>
    <w:rsid w:val="15170DCC"/>
    <w:rsid w:val="15175270"/>
    <w:rsid w:val="15192D96"/>
    <w:rsid w:val="15194B44"/>
    <w:rsid w:val="152D6842"/>
    <w:rsid w:val="153B4ABB"/>
    <w:rsid w:val="153D4CD7"/>
    <w:rsid w:val="15436065"/>
    <w:rsid w:val="154A11A2"/>
    <w:rsid w:val="154F4A0A"/>
    <w:rsid w:val="155362A8"/>
    <w:rsid w:val="15595889"/>
    <w:rsid w:val="155E2E9F"/>
    <w:rsid w:val="15673B02"/>
    <w:rsid w:val="15675CC7"/>
    <w:rsid w:val="156D7216"/>
    <w:rsid w:val="157306F8"/>
    <w:rsid w:val="15746B8D"/>
    <w:rsid w:val="157B57FF"/>
    <w:rsid w:val="157E709D"/>
    <w:rsid w:val="15806971"/>
    <w:rsid w:val="15842905"/>
    <w:rsid w:val="158D108E"/>
    <w:rsid w:val="158E1F67"/>
    <w:rsid w:val="159D5775"/>
    <w:rsid w:val="15A24B3A"/>
    <w:rsid w:val="15A46B04"/>
    <w:rsid w:val="15A72150"/>
    <w:rsid w:val="15AF54A9"/>
    <w:rsid w:val="15B42ABF"/>
    <w:rsid w:val="15C01464"/>
    <w:rsid w:val="15C058AB"/>
    <w:rsid w:val="15C2342E"/>
    <w:rsid w:val="15C5361A"/>
    <w:rsid w:val="15DB44F0"/>
    <w:rsid w:val="15DE18EA"/>
    <w:rsid w:val="15E21104"/>
    <w:rsid w:val="15F01D49"/>
    <w:rsid w:val="15FB06EE"/>
    <w:rsid w:val="15FB249C"/>
    <w:rsid w:val="15FC6940"/>
    <w:rsid w:val="15FF3D3A"/>
    <w:rsid w:val="16041350"/>
    <w:rsid w:val="16114E0F"/>
    <w:rsid w:val="161672D6"/>
    <w:rsid w:val="161B15A8"/>
    <w:rsid w:val="16257519"/>
    <w:rsid w:val="162B4B2F"/>
    <w:rsid w:val="162E0AC3"/>
    <w:rsid w:val="162E2871"/>
    <w:rsid w:val="1633267B"/>
    <w:rsid w:val="163376F8"/>
    <w:rsid w:val="16353C00"/>
    <w:rsid w:val="164200CB"/>
    <w:rsid w:val="164C2CF7"/>
    <w:rsid w:val="16500A3A"/>
    <w:rsid w:val="165247B2"/>
    <w:rsid w:val="16526560"/>
    <w:rsid w:val="16534086"/>
    <w:rsid w:val="16551BAC"/>
    <w:rsid w:val="16575097"/>
    <w:rsid w:val="166B756E"/>
    <w:rsid w:val="16707CBC"/>
    <w:rsid w:val="16743D06"/>
    <w:rsid w:val="1675224E"/>
    <w:rsid w:val="16783AEC"/>
    <w:rsid w:val="167B46FA"/>
    <w:rsid w:val="16816E45"/>
    <w:rsid w:val="168406E3"/>
    <w:rsid w:val="16893F4C"/>
    <w:rsid w:val="1699418F"/>
    <w:rsid w:val="16A10D7E"/>
    <w:rsid w:val="16A82624"/>
    <w:rsid w:val="16B56AEF"/>
    <w:rsid w:val="16BC7326"/>
    <w:rsid w:val="16CF5E02"/>
    <w:rsid w:val="16D03928"/>
    <w:rsid w:val="16D276A1"/>
    <w:rsid w:val="16D451C7"/>
    <w:rsid w:val="16D52CED"/>
    <w:rsid w:val="16DC407B"/>
    <w:rsid w:val="16DD14A6"/>
    <w:rsid w:val="16DF3B6C"/>
    <w:rsid w:val="16E15B36"/>
    <w:rsid w:val="16E6314C"/>
    <w:rsid w:val="16E82A20"/>
    <w:rsid w:val="16EA49EA"/>
    <w:rsid w:val="16EB42BE"/>
    <w:rsid w:val="16F2389F"/>
    <w:rsid w:val="16F92E7F"/>
    <w:rsid w:val="16FA09A5"/>
    <w:rsid w:val="17011D34"/>
    <w:rsid w:val="172333F2"/>
    <w:rsid w:val="17375756"/>
    <w:rsid w:val="173C0FBE"/>
    <w:rsid w:val="17463BEB"/>
    <w:rsid w:val="17485BB5"/>
    <w:rsid w:val="174B2FAF"/>
    <w:rsid w:val="175400B6"/>
    <w:rsid w:val="175B1444"/>
    <w:rsid w:val="17606A5A"/>
    <w:rsid w:val="17680005"/>
    <w:rsid w:val="176E561B"/>
    <w:rsid w:val="1772678E"/>
    <w:rsid w:val="1776002C"/>
    <w:rsid w:val="177B05E0"/>
    <w:rsid w:val="17966920"/>
    <w:rsid w:val="179D7CAF"/>
    <w:rsid w:val="17A64699"/>
    <w:rsid w:val="17AA5F28"/>
    <w:rsid w:val="17AC1CA0"/>
    <w:rsid w:val="17B02605"/>
    <w:rsid w:val="17B172B6"/>
    <w:rsid w:val="17B2302E"/>
    <w:rsid w:val="17B434B7"/>
    <w:rsid w:val="17B9260F"/>
    <w:rsid w:val="17B971BA"/>
    <w:rsid w:val="17BD5C5B"/>
    <w:rsid w:val="17C74D2B"/>
    <w:rsid w:val="17E9379C"/>
    <w:rsid w:val="17F04282"/>
    <w:rsid w:val="17F35B20"/>
    <w:rsid w:val="17F51899"/>
    <w:rsid w:val="17F92A0B"/>
    <w:rsid w:val="18023FB5"/>
    <w:rsid w:val="18041ADC"/>
    <w:rsid w:val="180970F2"/>
    <w:rsid w:val="180B10BC"/>
    <w:rsid w:val="181810E3"/>
    <w:rsid w:val="18243F2C"/>
    <w:rsid w:val="18252F5E"/>
    <w:rsid w:val="182D59F2"/>
    <w:rsid w:val="184A3267"/>
    <w:rsid w:val="18562F63"/>
    <w:rsid w:val="185A07A3"/>
    <w:rsid w:val="185A794E"/>
    <w:rsid w:val="185F4F64"/>
    <w:rsid w:val="186500A0"/>
    <w:rsid w:val="186802BC"/>
    <w:rsid w:val="18693423"/>
    <w:rsid w:val="186B1B5B"/>
    <w:rsid w:val="186E33F9"/>
    <w:rsid w:val="18786026"/>
    <w:rsid w:val="188579DA"/>
    <w:rsid w:val="18890233"/>
    <w:rsid w:val="18980476"/>
    <w:rsid w:val="189B3AC2"/>
    <w:rsid w:val="18A312F5"/>
    <w:rsid w:val="18A62B93"/>
    <w:rsid w:val="18A94431"/>
    <w:rsid w:val="18B232E6"/>
    <w:rsid w:val="18B43502"/>
    <w:rsid w:val="18BF1EA7"/>
    <w:rsid w:val="18C474BD"/>
    <w:rsid w:val="18CE5C46"/>
    <w:rsid w:val="18D3325C"/>
    <w:rsid w:val="18E30ED9"/>
    <w:rsid w:val="18F71640"/>
    <w:rsid w:val="191A5124"/>
    <w:rsid w:val="191E4E1F"/>
    <w:rsid w:val="19397AAF"/>
    <w:rsid w:val="193D0238"/>
    <w:rsid w:val="194859F8"/>
    <w:rsid w:val="194D1260"/>
    <w:rsid w:val="19516FA3"/>
    <w:rsid w:val="195425EF"/>
    <w:rsid w:val="195B397D"/>
    <w:rsid w:val="195C14A3"/>
    <w:rsid w:val="195F5C15"/>
    <w:rsid w:val="196115E4"/>
    <w:rsid w:val="19670574"/>
    <w:rsid w:val="196D36B1"/>
    <w:rsid w:val="197607B7"/>
    <w:rsid w:val="1977452F"/>
    <w:rsid w:val="19830BC5"/>
    <w:rsid w:val="198F0AA3"/>
    <w:rsid w:val="199649B5"/>
    <w:rsid w:val="199B1FCC"/>
    <w:rsid w:val="19A30E80"/>
    <w:rsid w:val="19B25567"/>
    <w:rsid w:val="19B4308D"/>
    <w:rsid w:val="19B66E06"/>
    <w:rsid w:val="19B968F6"/>
    <w:rsid w:val="19BD7325"/>
    <w:rsid w:val="19C57049"/>
    <w:rsid w:val="19C808E7"/>
    <w:rsid w:val="19DB2D10"/>
    <w:rsid w:val="19DE010A"/>
    <w:rsid w:val="19EC2827"/>
    <w:rsid w:val="19F3005A"/>
    <w:rsid w:val="19FF69FF"/>
    <w:rsid w:val="1A0148B8"/>
    <w:rsid w:val="1A147FD0"/>
    <w:rsid w:val="1A1D0C33"/>
    <w:rsid w:val="1A204BC7"/>
    <w:rsid w:val="1A293A7B"/>
    <w:rsid w:val="1A2A6467"/>
    <w:rsid w:val="1A3F504D"/>
    <w:rsid w:val="1A402B73"/>
    <w:rsid w:val="1A411D4B"/>
    <w:rsid w:val="1A491A28"/>
    <w:rsid w:val="1A4A39F2"/>
    <w:rsid w:val="1A514D80"/>
    <w:rsid w:val="1A616E2C"/>
    <w:rsid w:val="1A703458"/>
    <w:rsid w:val="1A710F7F"/>
    <w:rsid w:val="1A750A6F"/>
    <w:rsid w:val="1A850C04"/>
    <w:rsid w:val="1A8F2369"/>
    <w:rsid w:val="1A98475D"/>
    <w:rsid w:val="1AA650CC"/>
    <w:rsid w:val="1AA749A0"/>
    <w:rsid w:val="1AAF72BA"/>
    <w:rsid w:val="1AB86BAD"/>
    <w:rsid w:val="1AC1090C"/>
    <w:rsid w:val="1AD2177C"/>
    <w:rsid w:val="1ADF676A"/>
    <w:rsid w:val="1AEC2D5F"/>
    <w:rsid w:val="1AF21F11"/>
    <w:rsid w:val="1AFC2F3E"/>
    <w:rsid w:val="1AFE6CB6"/>
    <w:rsid w:val="1B041DF3"/>
    <w:rsid w:val="1B065B6B"/>
    <w:rsid w:val="1B0818E3"/>
    <w:rsid w:val="1B0B4F2F"/>
    <w:rsid w:val="1B214753"/>
    <w:rsid w:val="1B3E70B3"/>
    <w:rsid w:val="1B46240B"/>
    <w:rsid w:val="1B4641B9"/>
    <w:rsid w:val="1B480A88"/>
    <w:rsid w:val="1B4B17D0"/>
    <w:rsid w:val="1B570174"/>
    <w:rsid w:val="1B654F02"/>
    <w:rsid w:val="1B721452"/>
    <w:rsid w:val="1B742AD4"/>
    <w:rsid w:val="1B754A9E"/>
    <w:rsid w:val="1B776A68"/>
    <w:rsid w:val="1B79633D"/>
    <w:rsid w:val="1B7F1479"/>
    <w:rsid w:val="1B8B6070"/>
    <w:rsid w:val="1B8F3DB2"/>
    <w:rsid w:val="1B8F5B60"/>
    <w:rsid w:val="1B950C9D"/>
    <w:rsid w:val="1BA23AE5"/>
    <w:rsid w:val="1BA3160C"/>
    <w:rsid w:val="1BB11F7A"/>
    <w:rsid w:val="1BB50748"/>
    <w:rsid w:val="1BB73068"/>
    <w:rsid w:val="1BC9004E"/>
    <w:rsid w:val="1BCC0B62"/>
    <w:rsid w:val="1BD25A4D"/>
    <w:rsid w:val="1BD417C5"/>
    <w:rsid w:val="1BDD4B1E"/>
    <w:rsid w:val="1BE56D27"/>
    <w:rsid w:val="1BF34341"/>
    <w:rsid w:val="1BF41E67"/>
    <w:rsid w:val="1BF63E31"/>
    <w:rsid w:val="1BF754B3"/>
    <w:rsid w:val="1C02560E"/>
    <w:rsid w:val="1C0A3439"/>
    <w:rsid w:val="1C2D7127"/>
    <w:rsid w:val="1C395ACC"/>
    <w:rsid w:val="1C3B1844"/>
    <w:rsid w:val="1C4306F9"/>
    <w:rsid w:val="1C44694B"/>
    <w:rsid w:val="1C5841A4"/>
    <w:rsid w:val="1C5C1EBC"/>
    <w:rsid w:val="1C5D5C5E"/>
    <w:rsid w:val="1C6568C1"/>
    <w:rsid w:val="1C672639"/>
    <w:rsid w:val="1C6E5776"/>
    <w:rsid w:val="1C7276E6"/>
    <w:rsid w:val="1C7E65D9"/>
    <w:rsid w:val="1C837C6F"/>
    <w:rsid w:val="1C876837"/>
    <w:rsid w:val="1C8C20A0"/>
    <w:rsid w:val="1C8E5E18"/>
    <w:rsid w:val="1CA06E00"/>
    <w:rsid w:val="1CAC44F0"/>
    <w:rsid w:val="1CB05D8E"/>
    <w:rsid w:val="1CB66772"/>
    <w:rsid w:val="1CBA04E3"/>
    <w:rsid w:val="1CC21F65"/>
    <w:rsid w:val="1CCC4B92"/>
    <w:rsid w:val="1CCE26B8"/>
    <w:rsid w:val="1CD001DE"/>
    <w:rsid w:val="1CD221A8"/>
    <w:rsid w:val="1CDF6673"/>
    <w:rsid w:val="1CF245F9"/>
    <w:rsid w:val="1D01013A"/>
    <w:rsid w:val="1D01483C"/>
    <w:rsid w:val="1D1D719C"/>
    <w:rsid w:val="1D293D92"/>
    <w:rsid w:val="1D37025D"/>
    <w:rsid w:val="1D3F5364"/>
    <w:rsid w:val="1D4B1F5B"/>
    <w:rsid w:val="1D4B34D5"/>
    <w:rsid w:val="1D5829E8"/>
    <w:rsid w:val="1D6628F1"/>
    <w:rsid w:val="1D682B0D"/>
    <w:rsid w:val="1D6B7F07"/>
    <w:rsid w:val="1D7274E7"/>
    <w:rsid w:val="1D7A639C"/>
    <w:rsid w:val="1D81675B"/>
    <w:rsid w:val="1D844829"/>
    <w:rsid w:val="1D85546D"/>
    <w:rsid w:val="1D8C2C2E"/>
    <w:rsid w:val="1D8D60CF"/>
    <w:rsid w:val="1D921938"/>
    <w:rsid w:val="1D9456B0"/>
    <w:rsid w:val="1D9C27B6"/>
    <w:rsid w:val="1D9E02DC"/>
    <w:rsid w:val="1D9E208B"/>
    <w:rsid w:val="1DA67191"/>
    <w:rsid w:val="1DAD5FFC"/>
    <w:rsid w:val="1DBF6941"/>
    <w:rsid w:val="1DC15D79"/>
    <w:rsid w:val="1DD2442A"/>
    <w:rsid w:val="1DD73294"/>
    <w:rsid w:val="1DE101C9"/>
    <w:rsid w:val="1DE41A3B"/>
    <w:rsid w:val="1DE81558"/>
    <w:rsid w:val="1E0068A1"/>
    <w:rsid w:val="1E01086B"/>
    <w:rsid w:val="1E0565AE"/>
    <w:rsid w:val="1E0C16EA"/>
    <w:rsid w:val="1E114F52"/>
    <w:rsid w:val="1E172165"/>
    <w:rsid w:val="1E205195"/>
    <w:rsid w:val="1E256308"/>
    <w:rsid w:val="1E262080"/>
    <w:rsid w:val="1E2C58E8"/>
    <w:rsid w:val="1E2F7187"/>
    <w:rsid w:val="1E360515"/>
    <w:rsid w:val="1E3649B9"/>
    <w:rsid w:val="1E37603B"/>
    <w:rsid w:val="1E3B67A6"/>
    <w:rsid w:val="1E3F6651"/>
    <w:rsid w:val="1E450758"/>
    <w:rsid w:val="1E4A3FC0"/>
    <w:rsid w:val="1E4C5FEA"/>
    <w:rsid w:val="1E4D585F"/>
    <w:rsid w:val="1E561241"/>
    <w:rsid w:val="1E566E09"/>
    <w:rsid w:val="1E62130A"/>
    <w:rsid w:val="1E6A2FD8"/>
    <w:rsid w:val="1E704248"/>
    <w:rsid w:val="1E71154D"/>
    <w:rsid w:val="1E7159F1"/>
    <w:rsid w:val="1E851BB1"/>
    <w:rsid w:val="1EAA4A5F"/>
    <w:rsid w:val="1EAC4C7B"/>
    <w:rsid w:val="1EB2002F"/>
    <w:rsid w:val="1EBB4EBE"/>
    <w:rsid w:val="1EBF675C"/>
    <w:rsid w:val="1EC07BE3"/>
    <w:rsid w:val="1EC91389"/>
    <w:rsid w:val="1ED3727B"/>
    <w:rsid w:val="1ED85A70"/>
    <w:rsid w:val="1EDF44F4"/>
    <w:rsid w:val="1EE14925"/>
    <w:rsid w:val="1EE75517"/>
    <w:rsid w:val="1EE95587"/>
    <w:rsid w:val="1EEC5078"/>
    <w:rsid w:val="1EF36406"/>
    <w:rsid w:val="1EFA1543"/>
    <w:rsid w:val="1F022AED"/>
    <w:rsid w:val="1F157B10"/>
    <w:rsid w:val="1F185E6D"/>
    <w:rsid w:val="1F2760B0"/>
    <w:rsid w:val="1F3031B6"/>
    <w:rsid w:val="1F3142EA"/>
    <w:rsid w:val="1F332CA6"/>
    <w:rsid w:val="1F346AB5"/>
    <w:rsid w:val="1F356A1F"/>
    <w:rsid w:val="1F3678CE"/>
    <w:rsid w:val="1F3C3740"/>
    <w:rsid w:val="1F3C4340"/>
    <w:rsid w:val="1F3D4BD0"/>
    <w:rsid w:val="1F3D58D3"/>
    <w:rsid w:val="1F42113B"/>
    <w:rsid w:val="1F5F584A"/>
    <w:rsid w:val="1F616823"/>
    <w:rsid w:val="1F6410B2"/>
    <w:rsid w:val="1F6E709D"/>
    <w:rsid w:val="1F875AC4"/>
    <w:rsid w:val="1F8D23B7"/>
    <w:rsid w:val="1FA47700"/>
    <w:rsid w:val="1FAA63F5"/>
    <w:rsid w:val="1FB02BF7"/>
    <w:rsid w:val="1FB16382"/>
    <w:rsid w:val="1FB42039"/>
    <w:rsid w:val="1FBC0EEE"/>
    <w:rsid w:val="1FBC4A4A"/>
    <w:rsid w:val="1FBF453A"/>
    <w:rsid w:val="1FCA53B9"/>
    <w:rsid w:val="1FCD300A"/>
    <w:rsid w:val="1FD4737A"/>
    <w:rsid w:val="1FDB75C6"/>
    <w:rsid w:val="1FDF698A"/>
    <w:rsid w:val="1FF02946"/>
    <w:rsid w:val="1FF13AA8"/>
    <w:rsid w:val="1FF266BE"/>
    <w:rsid w:val="1FFE5062"/>
    <w:rsid w:val="20012DA5"/>
    <w:rsid w:val="20085EE1"/>
    <w:rsid w:val="200D34F7"/>
    <w:rsid w:val="20146634"/>
    <w:rsid w:val="201725C8"/>
    <w:rsid w:val="20210D51"/>
    <w:rsid w:val="20230F6D"/>
    <w:rsid w:val="20280331"/>
    <w:rsid w:val="202C7E22"/>
    <w:rsid w:val="202D7BC4"/>
    <w:rsid w:val="20324D08"/>
    <w:rsid w:val="203767C6"/>
    <w:rsid w:val="203D63DC"/>
    <w:rsid w:val="20450EE3"/>
    <w:rsid w:val="204607B7"/>
    <w:rsid w:val="205E47E3"/>
    <w:rsid w:val="20605D1D"/>
    <w:rsid w:val="20672C08"/>
    <w:rsid w:val="207D68CF"/>
    <w:rsid w:val="208F6602"/>
    <w:rsid w:val="2096173F"/>
    <w:rsid w:val="20971013"/>
    <w:rsid w:val="209B6D55"/>
    <w:rsid w:val="20A477AF"/>
    <w:rsid w:val="20A91472"/>
    <w:rsid w:val="20AA51EA"/>
    <w:rsid w:val="20AF45AF"/>
    <w:rsid w:val="20B61F0A"/>
    <w:rsid w:val="20B83463"/>
    <w:rsid w:val="20CA3197"/>
    <w:rsid w:val="20DB53A4"/>
    <w:rsid w:val="20DB683A"/>
    <w:rsid w:val="20E22BD6"/>
    <w:rsid w:val="20E56222"/>
    <w:rsid w:val="20EB1A8B"/>
    <w:rsid w:val="20EF2BFD"/>
    <w:rsid w:val="20FC3C98"/>
    <w:rsid w:val="20FF72E4"/>
    <w:rsid w:val="210112AE"/>
    <w:rsid w:val="210448FA"/>
    <w:rsid w:val="210668C5"/>
    <w:rsid w:val="210F504D"/>
    <w:rsid w:val="2110329F"/>
    <w:rsid w:val="211B39F2"/>
    <w:rsid w:val="213276BA"/>
    <w:rsid w:val="213C22E6"/>
    <w:rsid w:val="213D1BBA"/>
    <w:rsid w:val="2142630A"/>
    <w:rsid w:val="21466CC1"/>
    <w:rsid w:val="214C7E38"/>
    <w:rsid w:val="215018EE"/>
    <w:rsid w:val="215313DE"/>
    <w:rsid w:val="215F0F70"/>
    <w:rsid w:val="215F4227"/>
    <w:rsid w:val="216361B0"/>
    <w:rsid w:val="216830DB"/>
    <w:rsid w:val="219914E7"/>
    <w:rsid w:val="219961AD"/>
    <w:rsid w:val="219C4B33"/>
    <w:rsid w:val="219F2875"/>
    <w:rsid w:val="21AF0D0A"/>
    <w:rsid w:val="21B24356"/>
    <w:rsid w:val="21B53E47"/>
    <w:rsid w:val="21C228B7"/>
    <w:rsid w:val="21C422DC"/>
    <w:rsid w:val="21C8560F"/>
    <w:rsid w:val="21CA2AE5"/>
    <w:rsid w:val="21DC7625"/>
    <w:rsid w:val="21F04E7F"/>
    <w:rsid w:val="21F11323"/>
    <w:rsid w:val="21F506E7"/>
    <w:rsid w:val="21FD2E2D"/>
    <w:rsid w:val="220821C8"/>
    <w:rsid w:val="220A23E4"/>
    <w:rsid w:val="2210107D"/>
    <w:rsid w:val="22162B37"/>
    <w:rsid w:val="22192627"/>
    <w:rsid w:val="22215E9E"/>
    <w:rsid w:val="22284619"/>
    <w:rsid w:val="22342FBD"/>
    <w:rsid w:val="22356D36"/>
    <w:rsid w:val="22372AAE"/>
    <w:rsid w:val="22396826"/>
    <w:rsid w:val="223B07F0"/>
    <w:rsid w:val="22443B73"/>
    <w:rsid w:val="224777EF"/>
    <w:rsid w:val="225C42C2"/>
    <w:rsid w:val="22623FCE"/>
    <w:rsid w:val="22644610"/>
    <w:rsid w:val="227F4849"/>
    <w:rsid w:val="22806203"/>
    <w:rsid w:val="228B6CFB"/>
    <w:rsid w:val="228D0920"/>
    <w:rsid w:val="229879F0"/>
    <w:rsid w:val="22A00653"/>
    <w:rsid w:val="22B81E40"/>
    <w:rsid w:val="22B97967"/>
    <w:rsid w:val="22CB660A"/>
    <w:rsid w:val="22CC2302"/>
    <w:rsid w:val="22D87DED"/>
    <w:rsid w:val="22DA1DB7"/>
    <w:rsid w:val="22E449E3"/>
    <w:rsid w:val="22E5250A"/>
    <w:rsid w:val="23003992"/>
    <w:rsid w:val="230C56F7"/>
    <w:rsid w:val="23405992"/>
    <w:rsid w:val="23411E36"/>
    <w:rsid w:val="234C4337"/>
    <w:rsid w:val="23515DF1"/>
    <w:rsid w:val="2355143D"/>
    <w:rsid w:val="235862AC"/>
    <w:rsid w:val="235F050E"/>
    <w:rsid w:val="23641680"/>
    <w:rsid w:val="23675615"/>
    <w:rsid w:val="23681EC9"/>
    <w:rsid w:val="2369138D"/>
    <w:rsid w:val="2378512C"/>
    <w:rsid w:val="237A7F73"/>
    <w:rsid w:val="23841D23"/>
    <w:rsid w:val="23871813"/>
    <w:rsid w:val="23887A65"/>
    <w:rsid w:val="23971A56"/>
    <w:rsid w:val="239C706C"/>
    <w:rsid w:val="239F090A"/>
    <w:rsid w:val="23D22A8E"/>
    <w:rsid w:val="23D305B4"/>
    <w:rsid w:val="23DC390D"/>
    <w:rsid w:val="23E12CD1"/>
    <w:rsid w:val="23E6478B"/>
    <w:rsid w:val="23ED1676"/>
    <w:rsid w:val="23F073B8"/>
    <w:rsid w:val="23F427B1"/>
    <w:rsid w:val="23FC281B"/>
    <w:rsid w:val="23FC3FAF"/>
    <w:rsid w:val="24013373"/>
    <w:rsid w:val="24030E99"/>
    <w:rsid w:val="240726DB"/>
    <w:rsid w:val="24284DA4"/>
    <w:rsid w:val="24294678"/>
    <w:rsid w:val="242F6132"/>
    <w:rsid w:val="2435126F"/>
    <w:rsid w:val="24381196"/>
    <w:rsid w:val="24390D5F"/>
    <w:rsid w:val="243F5C4A"/>
    <w:rsid w:val="24403DA4"/>
    <w:rsid w:val="24417C14"/>
    <w:rsid w:val="24480FA2"/>
    <w:rsid w:val="244D1AE1"/>
    <w:rsid w:val="24594F5D"/>
    <w:rsid w:val="2463402E"/>
    <w:rsid w:val="24637B8A"/>
    <w:rsid w:val="246833F2"/>
    <w:rsid w:val="24746F81"/>
    <w:rsid w:val="24816A25"/>
    <w:rsid w:val="24830B6A"/>
    <w:rsid w:val="248D10AB"/>
    <w:rsid w:val="249935AC"/>
    <w:rsid w:val="24AC1230"/>
    <w:rsid w:val="24AC1531"/>
    <w:rsid w:val="24AD567B"/>
    <w:rsid w:val="24B0459D"/>
    <w:rsid w:val="24B108F5"/>
    <w:rsid w:val="24B403E6"/>
    <w:rsid w:val="24B91EA0"/>
    <w:rsid w:val="24BA35E1"/>
    <w:rsid w:val="24BB5C18"/>
    <w:rsid w:val="24C0322E"/>
    <w:rsid w:val="24D42836"/>
    <w:rsid w:val="24D57369"/>
    <w:rsid w:val="24E72569"/>
    <w:rsid w:val="24EF141E"/>
    <w:rsid w:val="24F26C8B"/>
    <w:rsid w:val="24F829C8"/>
    <w:rsid w:val="24FB35A7"/>
    <w:rsid w:val="25002214"/>
    <w:rsid w:val="250076E0"/>
    <w:rsid w:val="25021151"/>
    <w:rsid w:val="25034EC9"/>
    <w:rsid w:val="25070E5D"/>
    <w:rsid w:val="25090731"/>
    <w:rsid w:val="25095BC1"/>
    <w:rsid w:val="25145328"/>
    <w:rsid w:val="252437BD"/>
    <w:rsid w:val="25257535"/>
    <w:rsid w:val="252A2FCC"/>
    <w:rsid w:val="253634F0"/>
    <w:rsid w:val="253D487F"/>
    <w:rsid w:val="253F05F7"/>
    <w:rsid w:val="254F010E"/>
    <w:rsid w:val="25617B36"/>
    <w:rsid w:val="257007B0"/>
    <w:rsid w:val="257138E7"/>
    <w:rsid w:val="25777D91"/>
    <w:rsid w:val="25792133"/>
    <w:rsid w:val="257F27A2"/>
    <w:rsid w:val="257F6C45"/>
    <w:rsid w:val="25861D82"/>
    <w:rsid w:val="258A1146"/>
    <w:rsid w:val="25910727"/>
    <w:rsid w:val="25A22934"/>
    <w:rsid w:val="25B12B77"/>
    <w:rsid w:val="25B14925"/>
    <w:rsid w:val="25B85CB3"/>
    <w:rsid w:val="25BF5294"/>
    <w:rsid w:val="25C26B32"/>
    <w:rsid w:val="25C36459"/>
    <w:rsid w:val="25C64874"/>
    <w:rsid w:val="25CE54D7"/>
    <w:rsid w:val="25D32AED"/>
    <w:rsid w:val="25DC7BF4"/>
    <w:rsid w:val="25DF5936"/>
    <w:rsid w:val="25DF76E4"/>
    <w:rsid w:val="25E46AA9"/>
    <w:rsid w:val="25E60A73"/>
    <w:rsid w:val="25E92311"/>
    <w:rsid w:val="25F0369F"/>
    <w:rsid w:val="25F0544D"/>
    <w:rsid w:val="25F3318F"/>
    <w:rsid w:val="25F56F08"/>
    <w:rsid w:val="25F74A2E"/>
    <w:rsid w:val="26062EC3"/>
    <w:rsid w:val="26301CEE"/>
    <w:rsid w:val="26306192"/>
    <w:rsid w:val="263273C9"/>
    <w:rsid w:val="263E08AF"/>
    <w:rsid w:val="264439EB"/>
    <w:rsid w:val="264D0AF2"/>
    <w:rsid w:val="2652435A"/>
    <w:rsid w:val="26695200"/>
    <w:rsid w:val="266A16A4"/>
    <w:rsid w:val="266A3452"/>
    <w:rsid w:val="266F2816"/>
    <w:rsid w:val="26773DC1"/>
    <w:rsid w:val="268121BE"/>
    <w:rsid w:val="268D049A"/>
    <w:rsid w:val="26906C30"/>
    <w:rsid w:val="26A050C5"/>
    <w:rsid w:val="26AF355A"/>
    <w:rsid w:val="26B80661"/>
    <w:rsid w:val="26D134D1"/>
    <w:rsid w:val="26D45E0A"/>
    <w:rsid w:val="26DC3C24"/>
    <w:rsid w:val="26DD00C8"/>
    <w:rsid w:val="26DF2F25"/>
    <w:rsid w:val="26E054C2"/>
    <w:rsid w:val="26EF7DFB"/>
    <w:rsid w:val="26F15921"/>
    <w:rsid w:val="26F92A28"/>
    <w:rsid w:val="26FD73BE"/>
    <w:rsid w:val="27007912"/>
    <w:rsid w:val="270311B0"/>
    <w:rsid w:val="2709648F"/>
    <w:rsid w:val="2714160F"/>
    <w:rsid w:val="27160EE4"/>
    <w:rsid w:val="27202600"/>
    <w:rsid w:val="272E0923"/>
    <w:rsid w:val="27325B22"/>
    <w:rsid w:val="273B094A"/>
    <w:rsid w:val="273B4DEE"/>
    <w:rsid w:val="273B6B9C"/>
    <w:rsid w:val="274719E5"/>
    <w:rsid w:val="275814FC"/>
    <w:rsid w:val="275F6D2E"/>
    <w:rsid w:val="27644345"/>
    <w:rsid w:val="27787DF0"/>
    <w:rsid w:val="277B51EB"/>
    <w:rsid w:val="27840543"/>
    <w:rsid w:val="278B013C"/>
    <w:rsid w:val="27906EE8"/>
    <w:rsid w:val="27983FEE"/>
    <w:rsid w:val="279C5792"/>
    <w:rsid w:val="27B506FD"/>
    <w:rsid w:val="27BA21B7"/>
    <w:rsid w:val="27BF5A1F"/>
    <w:rsid w:val="27C2106B"/>
    <w:rsid w:val="27C44DE4"/>
    <w:rsid w:val="27D5495C"/>
    <w:rsid w:val="27D668C5"/>
    <w:rsid w:val="27D92FAA"/>
    <w:rsid w:val="27F824B1"/>
    <w:rsid w:val="27F97CA8"/>
    <w:rsid w:val="27FE6547"/>
    <w:rsid w:val="27FF406E"/>
    <w:rsid w:val="27FF7BCA"/>
    <w:rsid w:val="28133675"/>
    <w:rsid w:val="281713B7"/>
    <w:rsid w:val="2818512F"/>
    <w:rsid w:val="28186EDD"/>
    <w:rsid w:val="28277120"/>
    <w:rsid w:val="282B6C11"/>
    <w:rsid w:val="28335AC5"/>
    <w:rsid w:val="28341F69"/>
    <w:rsid w:val="283755B5"/>
    <w:rsid w:val="28447CD2"/>
    <w:rsid w:val="284F6DA3"/>
    <w:rsid w:val="285E6FE6"/>
    <w:rsid w:val="285F4B0C"/>
    <w:rsid w:val="287265EE"/>
    <w:rsid w:val="28793E20"/>
    <w:rsid w:val="287C121A"/>
    <w:rsid w:val="287F021C"/>
    <w:rsid w:val="28885E11"/>
    <w:rsid w:val="288A7DDB"/>
    <w:rsid w:val="288D78CB"/>
    <w:rsid w:val="2890116A"/>
    <w:rsid w:val="289C7B0E"/>
    <w:rsid w:val="28A16ED3"/>
    <w:rsid w:val="28AE2CB1"/>
    <w:rsid w:val="28B54FA9"/>
    <w:rsid w:val="28BC3D0D"/>
    <w:rsid w:val="28C037FD"/>
    <w:rsid w:val="28C055AB"/>
    <w:rsid w:val="28C151B5"/>
    <w:rsid w:val="28E55011"/>
    <w:rsid w:val="29143B49"/>
    <w:rsid w:val="2915198E"/>
    <w:rsid w:val="291D0C4F"/>
    <w:rsid w:val="292E4C0A"/>
    <w:rsid w:val="293146FB"/>
    <w:rsid w:val="29323FCF"/>
    <w:rsid w:val="293935AF"/>
    <w:rsid w:val="293D309F"/>
    <w:rsid w:val="293E0BC6"/>
    <w:rsid w:val="294B4E6E"/>
    <w:rsid w:val="295126A7"/>
    <w:rsid w:val="295D104C"/>
    <w:rsid w:val="295E4DC4"/>
    <w:rsid w:val="29634188"/>
    <w:rsid w:val="2967011C"/>
    <w:rsid w:val="296E03BC"/>
    <w:rsid w:val="296F6FD1"/>
    <w:rsid w:val="297445E7"/>
    <w:rsid w:val="297C7C3F"/>
    <w:rsid w:val="29932E17"/>
    <w:rsid w:val="29934A6D"/>
    <w:rsid w:val="299B6018"/>
    <w:rsid w:val="29A053DC"/>
    <w:rsid w:val="29B2236E"/>
    <w:rsid w:val="29B50E88"/>
    <w:rsid w:val="29B669AE"/>
    <w:rsid w:val="29BB66BF"/>
    <w:rsid w:val="29BD1AEA"/>
    <w:rsid w:val="29BF1D06"/>
    <w:rsid w:val="29C235A5"/>
    <w:rsid w:val="29C27101"/>
    <w:rsid w:val="29C4095E"/>
    <w:rsid w:val="29CB06AB"/>
    <w:rsid w:val="29D12335"/>
    <w:rsid w:val="29D3130E"/>
    <w:rsid w:val="29DD3061"/>
    <w:rsid w:val="29DD3F3B"/>
    <w:rsid w:val="29E22B8D"/>
    <w:rsid w:val="29E754BD"/>
    <w:rsid w:val="29EC0622"/>
    <w:rsid w:val="29EF3C6E"/>
    <w:rsid w:val="29F527EE"/>
    <w:rsid w:val="29FC6AB7"/>
    <w:rsid w:val="2A015918"/>
    <w:rsid w:val="2A094D30"/>
    <w:rsid w:val="2A0B4F4C"/>
    <w:rsid w:val="2A133E00"/>
    <w:rsid w:val="2A1D4C7F"/>
    <w:rsid w:val="2A1F4553"/>
    <w:rsid w:val="2A224043"/>
    <w:rsid w:val="2A293624"/>
    <w:rsid w:val="2A294599"/>
    <w:rsid w:val="2A297180"/>
    <w:rsid w:val="2A314286"/>
    <w:rsid w:val="2A41096D"/>
    <w:rsid w:val="2A481CFC"/>
    <w:rsid w:val="2A4D10C0"/>
    <w:rsid w:val="2A554B8C"/>
    <w:rsid w:val="2A5561C7"/>
    <w:rsid w:val="2A614B6C"/>
    <w:rsid w:val="2A677CA8"/>
    <w:rsid w:val="2A7228D5"/>
    <w:rsid w:val="2A7E571E"/>
    <w:rsid w:val="2A7F3244"/>
    <w:rsid w:val="2A88034A"/>
    <w:rsid w:val="2A88659C"/>
    <w:rsid w:val="2A8B3997"/>
    <w:rsid w:val="2A9A1E2C"/>
    <w:rsid w:val="2A9F38E6"/>
    <w:rsid w:val="2AA9206F"/>
    <w:rsid w:val="2AAC37A1"/>
    <w:rsid w:val="2AB96756"/>
    <w:rsid w:val="2AC24A4E"/>
    <w:rsid w:val="2AC60E73"/>
    <w:rsid w:val="2ACD3FAF"/>
    <w:rsid w:val="2ACF5F79"/>
    <w:rsid w:val="2AD03A9F"/>
    <w:rsid w:val="2AD20F7F"/>
    <w:rsid w:val="2AD74E2E"/>
    <w:rsid w:val="2AE54533"/>
    <w:rsid w:val="2AE74CA7"/>
    <w:rsid w:val="2AEA2DB3"/>
    <w:rsid w:val="2AEB2687"/>
    <w:rsid w:val="2AF7727E"/>
    <w:rsid w:val="2AFD73C3"/>
    <w:rsid w:val="2B0A5203"/>
    <w:rsid w:val="2B0D0850"/>
    <w:rsid w:val="2B110340"/>
    <w:rsid w:val="2B1D67DB"/>
    <w:rsid w:val="2B2067D5"/>
    <w:rsid w:val="2B277B63"/>
    <w:rsid w:val="2B295D4C"/>
    <w:rsid w:val="2B2A1401"/>
    <w:rsid w:val="2B336ED3"/>
    <w:rsid w:val="2B3C691E"/>
    <w:rsid w:val="2B3E6C5B"/>
    <w:rsid w:val="2B4F2C16"/>
    <w:rsid w:val="2B632B65"/>
    <w:rsid w:val="2B647B3D"/>
    <w:rsid w:val="2B6B113D"/>
    <w:rsid w:val="2B726905"/>
    <w:rsid w:val="2B786611"/>
    <w:rsid w:val="2B7D59D5"/>
    <w:rsid w:val="2B852ADC"/>
    <w:rsid w:val="2B8C5C18"/>
    <w:rsid w:val="2B9E594C"/>
    <w:rsid w:val="2B9F3B9D"/>
    <w:rsid w:val="2BA70CA4"/>
    <w:rsid w:val="2BA967CA"/>
    <w:rsid w:val="2BAD5B8F"/>
    <w:rsid w:val="2BAE3DE1"/>
    <w:rsid w:val="2BB1742D"/>
    <w:rsid w:val="2BBD6041"/>
    <w:rsid w:val="2BD15D21"/>
    <w:rsid w:val="2BD63337"/>
    <w:rsid w:val="2BD733BF"/>
    <w:rsid w:val="2BEC66B7"/>
    <w:rsid w:val="2BF35C97"/>
    <w:rsid w:val="2C0564E9"/>
    <w:rsid w:val="2C063C1D"/>
    <w:rsid w:val="2C066AE0"/>
    <w:rsid w:val="2C071743"/>
    <w:rsid w:val="2C2045B2"/>
    <w:rsid w:val="2C2C2F57"/>
    <w:rsid w:val="2C3D6F12"/>
    <w:rsid w:val="2C3F2C8B"/>
    <w:rsid w:val="2C414C55"/>
    <w:rsid w:val="2C444745"/>
    <w:rsid w:val="2C4C3F30"/>
    <w:rsid w:val="2C5002AE"/>
    <w:rsid w:val="2C550700"/>
    <w:rsid w:val="2C567FD4"/>
    <w:rsid w:val="2C5801F0"/>
    <w:rsid w:val="2C5F332D"/>
    <w:rsid w:val="2C620DE5"/>
    <w:rsid w:val="2C6D5A4A"/>
    <w:rsid w:val="2C723060"/>
    <w:rsid w:val="2C815051"/>
    <w:rsid w:val="2C9254B0"/>
    <w:rsid w:val="2CA376BD"/>
    <w:rsid w:val="2CA70830"/>
    <w:rsid w:val="2CA84CD4"/>
    <w:rsid w:val="2CAD5E46"/>
    <w:rsid w:val="2CB25B52"/>
    <w:rsid w:val="2CB5119F"/>
    <w:rsid w:val="2CBC077F"/>
    <w:rsid w:val="2CC118F2"/>
    <w:rsid w:val="2CC47634"/>
    <w:rsid w:val="2CD86C3B"/>
    <w:rsid w:val="2CD94390"/>
    <w:rsid w:val="2CDE24A4"/>
    <w:rsid w:val="2CE55F6D"/>
    <w:rsid w:val="2CEE645F"/>
    <w:rsid w:val="2D0210E4"/>
    <w:rsid w:val="2D094ABE"/>
    <w:rsid w:val="2D0F4D53"/>
    <w:rsid w:val="2D1265F1"/>
    <w:rsid w:val="2D1E6D44"/>
    <w:rsid w:val="2D285E15"/>
    <w:rsid w:val="2D2E0394"/>
    <w:rsid w:val="2D3311ED"/>
    <w:rsid w:val="2D346567"/>
    <w:rsid w:val="2D4F514F"/>
    <w:rsid w:val="2D522C90"/>
    <w:rsid w:val="2D524C40"/>
    <w:rsid w:val="2D55028C"/>
    <w:rsid w:val="2D6327A4"/>
    <w:rsid w:val="2D714B55"/>
    <w:rsid w:val="2D7B0F4A"/>
    <w:rsid w:val="2D8079FF"/>
    <w:rsid w:val="2D84451D"/>
    <w:rsid w:val="2DA37249"/>
    <w:rsid w:val="2DB87198"/>
    <w:rsid w:val="2DBA1F3D"/>
    <w:rsid w:val="2DBB27E5"/>
    <w:rsid w:val="2DBD655D"/>
    <w:rsid w:val="2DC7118A"/>
    <w:rsid w:val="2DD6761F"/>
    <w:rsid w:val="2DDA0184"/>
    <w:rsid w:val="2DDB2E87"/>
    <w:rsid w:val="2DDB69E3"/>
    <w:rsid w:val="2DE0224B"/>
    <w:rsid w:val="2DE25FC3"/>
    <w:rsid w:val="2DE81100"/>
    <w:rsid w:val="2DEC6E42"/>
    <w:rsid w:val="2DFF6B75"/>
    <w:rsid w:val="2E12770B"/>
    <w:rsid w:val="2E150147"/>
    <w:rsid w:val="2E156399"/>
    <w:rsid w:val="2E1A1DF7"/>
    <w:rsid w:val="2E1F51D1"/>
    <w:rsid w:val="2E266F24"/>
    <w:rsid w:val="2E402CEA"/>
    <w:rsid w:val="2E514EF7"/>
    <w:rsid w:val="2E652751"/>
    <w:rsid w:val="2E666BF4"/>
    <w:rsid w:val="2E6C3ADF"/>
    <w:rsid w:val="2E782484"/>
    <w:rsid w:val="2E8157DC"/>
    <w:rsid w:val="2E864BA1"/>
    <w:rsid w:val="2E8928E3"/>
    <w:rsid w:val="2E8A13DC"/>
    <w:rsid w:val="2E8B665B"/>
    <w:rsid w:val="2E8C4181"/>
    <w:rsid w:val="2E951288"/>
    <w:rsid w:val="2E9574DA"/>
    <w:rsid w:val="2E980D78"/>
    <w:rsid w:val="2E9D53B9"/>
    <w:rsid w:val="2E9F5C62"/>
    <w:rsid w:val="2EA72D69"/>
    <w:rsid w:val="2EA96AE1"/>
    <w:rsid w:val="2EAB4607"/>
    <w:rsid w:val="2EAD4823"/>
    <w:rsid w:val="2EB84F76"/>
    <w:rsid w:val="2EB931C8"/>
    <w:rsid w:val="2EBC6814"/>
    <w:rsid w:val="2EBE07DF"/>
    <w:rsid w:val="2EC456C9"/>
    <w:rsid w:val="2EC92CDF"/>
    <w:rsid w:val="2ECA280E"/>
    <w:rsid w:val="2EDF5746"/>
    <w:rsid w:val="2EE63891"/>
    <w:rsid w:val="2EE675D4"/>
    <w:rsid w:val="2EF20488"/>
    <w:rsid w:val="2F032695"/>
    <w:rsid w:val="2F041F69"/>
    <w:rsid w:val="2F0F103A"/>
    <w:rsid w:val="2F120B2A"/>
    <w:rsid w:val="2F154177"/>
    <w:rsid w:val="2F17763F"/>
    <w:rsid w:val="2F1E302B"/>
    <w:rsid w:val="2F210D6D"/>
    <w:rsid w:val="2F230642"/>
    <w:rsid w:val="2F260132"/>
    <w:rsid w:val="2F2A16B5"/>
    <w:rsid w:val="2F2B18CA"/>
    <w:rsid w:val="2F383FD0"/>
    <w:rsid w:val="2F3960B7"/>
    <w:rsid w:val="2F397E65"/>
    <w:rsid w:val="2F3A3BDD"/>
    <w:rsid w:val="2F3E191F"/>
    <w:rsid w:val="2F45680A"/>
    <w:rsid w:val="2F49576C"/>
    <w:rsid w:val="2F520F27"/>
    <w:rsid w:val="2F544C9F"/>
    <w:rsid w:val="2F6B3945"/>
    <w:rsid w:val="2F77098D"/>
    <w:rsid w:val="2F777E76"/>
    <w:rsid w:val="2F7B047E"/>
    <w:rsid w:val="2F837332"/>
    <w:rsid w:val="2F8C6937"/>
    <w:rsid w:val="2F991B1C"/>
    <w:rsid w:val="2F9A7E4E"/>
    <w:rsid w:val="2F9B65C3"/>
    <w:rsid w:val="2FA17B81"/>
    <w:rsid w:val="2FA31782"/>
    <w:rsid w:val="2FA379D4"/>
    <w:rsid w:val="2FA554FB"/>
    <w:rsid w:val="2FA8323D"/>
    <w:rsid w:val="2FAA2B11"/>
    <w:rsid w:val="2FBB4D1E"/>
    <w:rsid w:val="2FBC45F2"/>
    <w:rsid w:val="2FEC073B"/>
    <w:rsid w:val="2FED1329"/>
    <w:rsid w:val="2FF30683"/>
    <w:rsid w:val="2FF65D56"/>
    <w:rsid w:val="2FF81ACD"/>
    <w:rsid w:val="2FFD70E5"/>
    <w:rsid w:val="30032221"/>
    <w:rsid w:val="30093CDB"/>
    <w:rsid w:val="30110DE2"/>
    <w:rsid w:val="3014442E"/>
    <w:rsid w:val="301663F8"/>
    <w:rsid w:val="30224D9D"/>
    <w:rsid w:val="302A3C52"/>
    <w:rsid w:val="302C79CA"/>
    <w:rsid w:val="303625F7"/>
    <w:rsid w:val="303643A5"/>
    <w:rsid w:val="30384C45"/>
    <w:rsid w:val="30393A9B"/>
    <w:rsid w:val="304A7E50"/>
    <w:rsid w:val="305D4027"/>
    <w:rsid w:val="305F3332"/>
    <w:rsid w:val="306E7FE2"/>
    <w:rsid w:val="30730583"/>
    <w:rsid w:val="3075311F"/>
    <w:rsid w:val="30760C45"/>
    <w:rsid w:val="308570DA"/>
    <w:rsid w:val="30896BCA"/>
    <w:rsid w:val="3092574C"/>
    <w:rsid w:val="30BA6D84"/>
    <w:rsid w:val="30C3032E"/>
    <w:rsid w:val="30C47C02"/>
    <w:rsid w:val="30C85944"/>
    <w:rsid w:val="30C916BD"/>
    <w:rsid w:val="30DC4F4C"/>
    <w:rsid w:val="30E20088"/>
    <w:rsid w:val="30E43E01"/>
    <w:rsid w:val="30EB1633"/>
    <w:rsid w:val="30F32296"/>
    <w:rsid w:val="30F71D86"/>
    <w:rsid w:val="31342FDA"/>
    <w:rsid w:val="314174A5"/>
    <w:rsid w:val="314309AE"/>
    <w:rsid w:val="314434FB"/>
    <w:rsid w:val="31466869"/>
    <w:rsid w:val="3148438F"/>
    <w:rsid w:val="31496359"/>
    <w:rsid w:val="31554CFE"/>
    <w:rsid w:val="315A0567"/>
    <w:rsid w:val="315C7E3B"/>
    <w:rsid w:val="31615451"/>
    <w:rsid w:val="316D3DF6"/>
    <w:rsid w:val="318A2BFA"/>
    <w:rsid w:val="319C0B7F"/>
    <w:rsid w:val="31A517E2"/>
    <w:rsid w:val="31A67308"/>
    <w:rsid w:val="31AD4B3A"/>
    <w:rsid w:val="31B47C77"/>
    <w:rsid w:val="31B732C3"/>
    <w:rsid w:val="31BE28A4"/>
    <w:rsid w:val="31C0661C"/>
    <w:rsid w:val="31C3610C"/>
    <w:rsid w:val="31DB16A7"/>
    <w:rsid w:val="31E43B70"/>
    <w:rsid w:val="31EC5663"/>
    <w:rsid w:val="31F6028F"/>
    <w:rsid w:val="32001280"/>
    <w:rsid w:val="3203418B"/>
    <w:rsid w:val="320F75A3"/>
    <w:rsid w:val="321D581C"/>
    <w:rsid w:val="322841C1"/>
    <w:rsid w:val="322E5C7B"/>
    <w:rsid w:val="322F72FD"/>
    <w:rsid w:val="32317519"/>
    <w:rsid w:val="32370D92"/>
    <w:rsid w:val="32381625"/>
    <w:rsid w:val="32382656"/>
    <w:rsid w:val="32452FC5"/>
    <w:rsid w:val="32496611"/>
    <w:rsid w:val="324C4353"/>
    <w:rsid w:val="325356E2"/>
    <w:rsid w:val="32556C13"/>
    <w:rsid w:val="32582CF8"/>
    <w:rsid w:val="325E7BE3"/>
    <w:rsid w:val="32621481"/>
    <w:rsid w:val="32652EFC"/>
    <w:rsid w:val="32676A97"/>
    <w:rsid w:val="326A5F0A"/>
    <w:rsid w:val="326E42CA"/>
    <w:rsid w:val="32713DBA"/>
    <w:rsid w:val="32747406"/>
    <w:rsid w:val="3275301D"/>
    <w:rsid w:val="3291620A"/>
    <w:rsid w:val="329266DD"/>
    <w:rsid w:val="32951856"/>
    <w:rsid w:val="32A0200E"/>
    <w:rsid w:val="32A73338"/>
    <w:rsid w:val="32AB107A"/>
    <w:rsid w:val="32AC5CBD"/>
    <w:rsid w:val="32AC6BF8"/>
    <w:rsid w:val="32AE46C6"/>
    <w:rsid w:val="32C136DC"/>
    <w:rsid w:val="32CB5278"/>
    <w:rsid w:val="32CE6B16"/>
    <w:rsid w:val="32D103B5"/>
    <w:rsid w:val="32DA195F"/>
    <w:rsid w:val="32E620B2"/>
    <w:rsid w:val="32EB1476"/>
    <w:rsid w:val="32EE71B8"/>
    <w:rsid w:val="32FA5B5D"/>
    <w:rsid w:val="32FC7B27"/>
    <w:rsid w:val="330C5891"/>
    <w:rsid w:val="33185FE3"/>
    <w:rsid w:val="3321133C"/>
    <w:rsid w:val="33274478"/>
    <w:rsid w:val="332E1CAB"/>
    <w:rsid w:val="33326F30"/>
    <w:rsid w:val="33446DD8"/>
    <w:rsid w:val="334A0F9A"/>
    <w:rsid w:val="334F40FB"/>
    <w:rsid w:val="335212C1"/>
    <w:rsid w:val="335334BF"/>
    <w:rsid w:val="33541711"/>
    <w:rsid w:val="33564A61"/>
    <w:rsid w:val="33576B0C"/>
    <w:rsid w:val="335A484E"/>
    <w:rsid w:val="3369683F"/>
    <w:rsid w:val="33704071"/>
    <w:rsid w:val="33721B98"/>
    <w:rsid w:val="33792F26"/>
    <w:rsid w:val="33955886"/>
    <w:rsid w:val="339E0BDF"/>
    <w:rsid w:val="33A04957"/>
    <w:rsid w:val="33A8380B"/>
    <w:rsid w:val="33B73A4E"/>
    <w:rsid w:val="33BA52ED"/>
    <w:rsid w:val="33C61EE3"/>
    <w:rsid w:val="33C65A3F"/>
    <w:rsid w:val="33C66680"/>
    <w:rsid w:val="33CC574C"/>
    <w:rsid w:val="33CF6FEA"/>
    <w:rsid w:val="33D26ADA"/>
    <w:rsid w:val="33D81649"/>
    <w:rsid w:val="33E32A95"/>
    <w:rsid w:val="33E5680D"/>
    <w:rsid w:val="33EA7980"/>
    <w:rsid w:val="33F95E15"/>
    <w:rsid w:val="340116DE"/>
    <w:rsid w:val="340F73E6"/>
    <w:rsid w:val="34125129"/>
    <w:rsid w:val="3421711A"/>
    <w:rsid w:val="342B06AB"/>
    <w:rsid w:val="342B1D46"/>
    <w:rsid w:val="34346E4D"/>
    <w:rsid w:val="34452E08"/>
    <w:rsid w:val="344D7F0F"/>
    <w:rsid w:val="34594B05"/>
    <w:rsid w:val="345B262C"/>
    <w:rsid w:val="345B6AD0"/>
    <w:rsid w:val="34637732"/>
    <w:rsid w:val="34670FD0"/>
    <w:rsid w:val="34692F9B"/>
    <w:rsid w:val="346B25DC"/>
    <w:rsid w:val="34727975"/>
    <w:rsid w:val="347656B7"/>
    <w:rsid w:val="347B2CCE"/>
    <w:rsid w:val="34936269"/>
    <w:rsid w:val="34943D90"/>
    <w:rsid w:val="349F69BC"/>
    <w:rsid w:val="34A71D15"/>
    <w:rsid w:val="34AE6BFF"/>
    <w:rsid w:val="34B23CAD"/>
    <w:rsid w:val="34B32468"/>
    <w:rsid w:val="34B47F8E"/>
    <w:rsid w:val="34B63D06"/>
    <w:rsid w:val="34B66FCA"/>
    <w:rsid w:val="34BF0E0C"/>
    <w:rsid w:val="34CE72A2"/>
    <w:rsid w:val="34D128EE"/>
    <w:rsid w:val="34D81ECE"/>
    <w:rsid w:val="34DB376C"/>
    <w:rsid w:val="34E02B31"/>
    <w:rsid w:val="34E95E89"/>
    <w:rsid w:val="34EA39B0"/>
    <w:rsid w:val="34F6770E"/>
    <w:rsid w:val="35111E45"/>
    <w:rsid w:val="351530B1"/>
    <w:rsid w:val="35215623"/>
    <w:rsid w:val="352769B2"/>
    <w:rsid w:val="352E7D40"/>
    <w:rsid w:val="3531125E"/>
    <w:rsid w:val="353C420B"/>
    <w:rsid w:val="353E4427"/>
    <w:rsid w:val="354A557B"/>
    <w:rsid w:val="35533E9B"/>
    <w:rsid w:val="3571067D"/>
    <w:rsid w:val="3579545F"/>
    <w:rsid w:val="357A4D33"/>
    <w:rsid w:val="357D65D2"/>
    <w:rsid w:val="358D0F0B"/>
    <w:rsid w:val="358E06D5"/>
    <w:rsid w:val="35A34C73"/>
    <w:rsid w:val="35AD5109"/>
    <w:rsid w:val="35BA15D4"/>
    <w:rsid w:val="35BB5A78"/>
    <w:rsid w:val="35C27A69"/>
    <w:rsid w:val="35C42453"/>
    <w:rsid w:val="35CD57AB"/>
    <w:rsid w:val="35ED3757"/>
    <w:rsid w:val="35F22437"/>
    <w:rsid w:val="36010FB1"/>
    <w:rsid w:val="360A60B7"/>
    <w:rsid w:val="360F1920"/>
    <w:rsid w:val="36211653"/>
    <w:rsid w:val="36266C69"/>
    <w:rsid w:val="363E0457"/>
    <w:rsid w:val="36472E3B"/>
    <w:rsid w:val="36592B9B"/>
    <w:rsid w:val="365E28A7"/>
    <w:rsid w:val="365E6932"/>
    <w:rsid w:val="36617F84"/>
    <w:rsid w:val="36631C6B"/>
    <w:rsid w:val="36657792"/>
    <w:rsid w:val="366D6646"/>
    <w:rsid w:val="36715A94"/>
    <w:rsid w:val="36826596"/>
    <w:rsid w:val="36981915"/>
    <w:rsid w:val="3699743B"/>
    <w:rsid w:val="36A24542"/>
    <w:rsid w:val="36A44DC8"/>
    <w:rsid w:val="36A93B22"/>
    <w:rsid w:val="36AE1139"/>
    <w:rsid w:val="36B6623F"/>
    <w:rsid w:val="36D466C5"/>
    <w:rsid w:val="36D93CDC"/>
    <w:rsid w:val="36DA1F2E"/>
    <w:rsid w:val="36DB7A54"/>
    <w:rsid w:val="36E36908"/>
    <w:rsid w:val="36F17277"/>
    <w:rsid w:val="36F34D34"/>
    <w:rsid w:val="36FA25D0"/>
    <w:rsid w:val="36FF7010"/>
    <w:rsid w:val="36FF7BE6"/>
    <w:rsid w:val="37103BA1"/>
    <w:rsid w:val="371A67CE"/>
    <w:rsid w:val="37217B5C"/>
    <w:rsid w:val="372E5DD5"/>
    <w:rsid w:val="375D15A6"/>
    <w:rsid w:val="37661A13"/>
    <w:rsid w:val="3768607A"/>
    <w:rsid w:val="376A5ACE"/>
    <w:rsid w:val="37704640"/>
    <w:rsid w:val="37732EE0"/>
    <w:rsid w:val="377A101B"/>
    <w:rsid w:val="377D0B0B"/>
    <w:rsid w:val="37824373"/>
    <w:rsid w:val="37873738"/>
    <w:rsid w:val="37893954"/>
    <w:rsid w:val="379C064D"/>
    <w:rsid w:val="379E41B0"/>
    <w:rsid w:val="37A34A15"/>
    <w:rsid w:val="37A8202C"/>
    <w:rsid w:val="37C24C19"/>
    <w:rsid w:val="37C8622A"/>
    <w:rsid w:val="37CA01F4"/>
    <w:rsid w:val="37DE1377"/>
    <w:rsid w:val="37DF4C71"/>
    <w:rsid w:val="37E34E12"/>
    <w:rsid w:val="37E9271E"/>
    <w:rsid w:val="37EE5143"/>
    <w:rsid w:val="37EF60B0"/>
    <w:rsid w:val="37F214F9"/>
    <w:rsid w:val="37F76B0F"/>
    <w:rsid w:val="3814146F"/>
    <w:rsid w:val="381A45AC"/>
    <w:rsid w:val="381C6576"/>
    <w:rsid w:val="381F1BC2"/>
    <w:rsid w:val="38367638"/>
    <w:rsid w:val="383B2EA0"/>
    <w:rsid w:val="38455ACD"/>
    <w:rsid w:val="384A4E91"/>
    <w:rsid w:val="385555E4"/>
    <w:rsid w:val="385C4BC4"/>
    <w:rsid w:val="38673C95"/>
    <w:rsid w:val="38765C86"/>
    <w:rsid w:val="387E2B20"/>
    <w:rsid w:val="38806B05"/>
    <w:rsid w:val="3894435E"/>
    <w:rsid w:val="38966328"/>
    <w:rsid w:val="38974E08"/>
    <w:rsid w:val="38A17AD3"/>
    <w:rsid w:val="38A50B90"/>
    <w:rsid w:val="38A70712"/>
    <w:rsid w:val="38AF73EA"/>
    <w:rsid w:val="38B92017"/>
    <w:rsid w:val="38C74734"/>
    <w:rsid w:val="38C764E2"/>
    <w:rsid w:val="38C904AC"/>
    <w:rsid w:val="38CF5396"/>
    <w:rsid w:val="38D8249D"/>
    <w:rsid w:val="38D96215"/>
    <w:rsid w:val="38DB3D3B"/>
    <w:rsid w:val="38DC1926"/>
    <w:rsid w:val="38F17A02"/>
    <w:rsid w:val="38F82B3F"/>
    <w:rsid w:val="38FA68B7"/>
    <w:rsid w:val="39033292"/>
    <w:rsid w:val="39072FBE"/>
    <w:rsid w:val="390C2146"/>
    <w:rsid w:val="391D25A6"/>
    <w:rsid w:val="391D4354"/>
    <w:rsid w:val="391D5313"/>
    <w:rsid w:val="392C0A3B"/>
    <w:rsid w:val="393B3C5A"/>
    <w:rsid w:val="39406294"/>
    <w:rsid w:val="394144E6"/>
    <w:rsid w:val="39472B23"/>
    <w:rsid w:val="3949339B"/>
    <w:rsid w:val="394A0EC1"/>
    <w:rsid w:val="395E5D8F"/>
    <w:rsid w:val="396401D4"/>
    <w:rsid w:val="3971644D"/>
    <w:rsid w:val="39761CB6"/>
    <w:rsid w:val="39842625"/>
    <w:rsid w:val="39874FB9"/>
    <w:rsid w:val="398C3287"/>
    <w:rsid w:val="39916AF0"/>
    <w:rsid w:val="39974CCC"/>
    <w:rsid w:val="39AB7BB1"/>
    <w:rsid w:val="39AC0218"/>
    <w:rsid w:val="39B051C8"/>
    <w:rsid w:val="39B5458C"/>
    <w:rsid w:val="39B747A8"/>
    <w:rsid w:val="39B8407C"/>
    <w:rsid w:val="39BD3D6E"/>
    <w:rsid w:val="39DC7D6B"/>
    <w:rsid w:val="39E3734B"/>
    <w:rsid w:val="39E44E71"/>
    <w:rsid w:val="39E9692C"/>
    <w:rsid w:val="3A085372"/>
    <w:rsid w:val="3A0E0140"/>
    <w:rsid w:val="3A1439A9"/>
    <w:rsid w:val="3A145757"/>
    <w:rsid w:val="3A175247"/>
    <w:rsid w:val="3A184B1B"/>
    <w:rsid w:val="3A2A4F7A"/>
    <w:rsid w:val="3A2D4A6A"/>
    <w:rsid w:val="3A322081"/>
    <w:rsid w:val="3A43603C"/>
    <w:rsid w:val="3A4D4307"/>
    <w:rsid w:val="3A541FF7"/>
    <w:rsid w:val="3A571AE7"/>
    <w:rsid w:val="3A614714"/>
    <w:rsid w:val="3A647D60"/>
    <w:rsid w:val="3A67225B"/>
    <w:rsid w:val="3A685AA2"/>
    <w:rsid w:val="3A7461F5"/>
    <w:rsid w:val="3A7D77A0"/>
    <w:rsid w:val="3A7F09EA"/>
    <w:rsid w:val="3A897546"/>
    <w:rsid w:val="3A8A5A19"/>
    <w:rsid w:val="3AA0523C"/>
    <w:rsid w:val="3AA82343"/>
    <w:rsid w:val="3AB900AC"/>
    <w:rsid w:val="3ABC194A"/>
    <w:rsid w:val="3AC151B3"/>
    <w:rsid w:val="3AC16BAB"/>
    <w:rsid w:val="3AC727C9"/>
    <w:rsid w:val="3ACA050B"/>
    <w:rsid w:val="3AD13648"/>
    <w:rsid w:val="3AD969A0"/>
    <w:rsid w:val="3AE27603"/>
    <w:rsid w:val="3AEF1D20"/>
    <w:rsid w:val="3B077069"/>
    <w:rsid w:val="3B0E03F8"/>
    <w:rsid w:val="3B1874C8"/>
    <w:rsid w:val="3B247C1B"/>
    <w:rsid w:val="3B2A71FC"/>
    <w:rsid w:val="3B3E6803"/>
    <w:rsid w:val="3B3F2CA7"/>
    <w:rsid w:val="3B4200A1"/>
    <w:rsid w:val="3B491E82"/>
    <w:rsid w:val="3B4E6A46"/>
    <w:rsid w:val="3B521AA4"/>
    <w:rsid w:val="3B5344E9"/>
    <w:rsid w:val="3B550268"/>
    <w:rsid w:val="3B5B1163"/>
    <w:rsid w:val="3B6224F2"/>
    <w:rsid w:val="3B637E13"/>
    <w:rsid w:val="3B653D90"/>
    <w:rsid w:val="3B675D0C"/>
    <w:rsid w:val="3B675D5A"/>
    <w:rsid w:val="3B702E61"/>
    <w:rsid w:val="3B84690C"/>
    <w:rsid w:val="3B871F58"/>
    <w:rsid w:val="3B8C57C0"/>
    <w:rsid w:val="3B9C254F"/>
    <w:rsid w:val="3B9C3C56"/>
    <w:rsid w:val="3BAB3E99"/>
    <w:rsid w:val="3BB16FD5"/>
    <w:rsid w:val="3BC1190E"/>
    <w:rsid w:val="3BC211E2"/>
    <w:rsid w:val="3BC761E8"/>
    <w:rsid w:val="3BCE7B87"/>
    <w:rsid w:val="3BD258C9"/>
    <w:rsid w:val="3BD72EE0"/>
    <w:rsid w:val="3BDD1C1F"/>
    <w:rsid w:val="3BDD601C"/>
    <w:rsid w:val="3BE178BA"/>
    <w:rsid w:val="3BEB698B"/>
    <w:rsid w:val="3BF03FA1"/>
    <w:rsid w:val="3BF05D4F"/>
    <w:rsid w:val="3BF07AFD"/>
    <w:rsid w:val="3BF25615"/>
    <w:rsid w:val="3BF55114"/>
    <w:rsid w:val="3BF70E8C"/>
    <w:rsid w:val="3BF84C04"/>
    <w:rsid w:val="3BFC07E1"/>
    <w:rsid w:val="3BFF124A"/>
    <w:rsid w:val="3C131A08"/>
    <w:rsid w:val="3C1F6635"/>
    <w:rsid w:val="3C21415B"/>
    <w:rsid w:val="3C241E9D"/>
    <w:rsid w:val="3C277297"/>
    <w:rsid w:val="3C2B6D87"/>
    <w:rsid w:val="3C2E0626"/>
    <w:rsid w:val="3C2F6B22"/>
    <w:rsid w:val="3C326368"/>
    <w:rsid w:val="3C357C06"/>
    <w:rsid w:val="3C410359"/>
    <w:rsid w:val="3C430575"/>
    <w:rsid w:val="3C487939"/>
    <w:rsid w:val="3C5502A8"/>
    <w:rsid w:val="3C636521"/>
    <w:rsid w:val="3C6F3118"/>
    <w:rsid w:val="3C770CC6"/>
    <w:rsid w:val="3C9C5ED7"/>
    <w:rsid w:val="3CAB1C76"/>
    <w:rsid w:val="3CC43E13"/>
    <w:rsid w:val="3CCB40C7"/>
    <w:rsid w:val="3CCD6091"/>
    <w:rsid w:val="3CCF6288"/>
    <w:rsid w:val="3CD25455"/>
    <w:rsid w:val="3CF47AC1"/>
    <w:rsid w:val="3CF63839"/>
    <w:rsid w:val="3CF772CF"/>
    <w:rsid w:val="3CF96E86"/>
    <w:rsid w:val="3CFA450F"/>
    <w:rsid w:val="3D033860"/>
    <w:rsid w:val="3D0A2E41"/>
    <w:rsid w:val="3D0D2931"/>
    <w:rsid w:val="3D0F0457"/>
    <w:rsid w:val="3D13347B"/>
    <w:rsid w:val="3D136199"/>
    <w:rsid w:val="3D1B32A0"/>
    <w:rsid w:val="3D2263DC"/>
    <w:rsid w:val="3D231C22"/>
    <w:rsid w:val="3D2F28A7"/>
    <w:rsid w:val="3D476359"/>
    <w:rsid w:val="3D4C3459"/>
    <w:rsid w:val="3D4E0F7F"/>
    <w:rsid w:val="3D510A70"/>
    <w:rsid w:val="3D516CC2"/>
    <w:rsid w:val="3D5A3DC8"/>
    <w:rsid w:val="3D672041"/>
    <w:rsid w:val="3D6A4D60"/>
    <w:rsid w:val="3D6D13E7"/>
    <w:rsid w:val="3D71187B"/>
    <w:rsid w:val="3D714411"/>
    <w:rsid w:val="3D7604D6"/>
    <w:rsid w:val="3D783084"/>
    <w:rsid w:val="3D7B3D3F"/>
    <w:rsid w:val="3D7D3613"/>
    <w:rsid w:val="3D7E738B"/>
    <w:rsid w:val="3D801355"/>
    <w:rsid w:val="3D842BF3"/>
    <w:rsid w:val="3D89020A"/>
    <w:rsid w:val="3D986CB9"/>
    <w:rsid w:val="3DAE1A1E"/>
    <w:rsid w:val="3DB3041B"/>
    <w:rsid w:val="3DBA6615"/>
    <w:rsid w:val="3DC2196D"/>
    <w:rsid w:val="3DC330F4"/>
    <w:rsid w:val="3DD671C7"/>
    <w:rsid w:val="3DDA0A65"/>
    <w:rsid w:val="3DE6740A"/>
    <w:rsid w:val="3DF30697"/>
    <w:rsid w:val="3DF76580"/>
    <w:rsid w:val="3DFA4C63"/>
    <w:rsid w:val="3E0F1060"/>
    <w:rsid w:val="3E135D25"/>
    <w:rsid w:val="3E164BB3"/>
    <w:rsid w:val="3E1D4DF6"/>
    <w:rsid w:val="3E1F0B6E"/>
    <w:rsid w:val="3E241CE0"/>
    <w:rsid w:val="3E247F32"/>
    <w:rsid w:val="3E2B12C1"/>
    <w:rsid w:val="3E2B7513"/>
    <w:rsid w:val="3E2E2B5F"/>
    <w:rsid w:val="3E300685"/>
    <w:rsid w:val="3E3A02BF"/>
    <w:rsid w:val="3E3C34CE"/>
    <w:rsid w:val="3E483501"/>
    <w:rsid w:val="3E506F79"/>
    <w:rsid w:val="3E587BDC"/>
    <w:rsid w:val="3E5F71BC"/>
    <w:rsid w:val="3E646581"/>
    <w:rsid w:val="3E6622F9"/>
    <w:rsid w:val="3E671E81"/>
    <w:rsid w:val="3E75020E"/>
    <w:rsid w:val="3E8135D7"/>
    <w:rsid w:val="3E90381A"/>
    <w:rsid w:val="3E94330A"/>
    <w:rsid w:val="3EA82911"/>
    <w:rsid w:val="3EAB0654"/>
    <w:rsid w:val="3EAB41B0"/>
    <w:rsid w:val="3EB5502E"/>
    <w:rsid w:val="3EBA43F3"/>
    <w:rsid w:val="3EBB0897"/>
    <w:rsid w:val="3EBE0387"/>
    <w:rsid w:val="3EC50118"/>
    <w:rsid w:val="3EC82FB3"/>
    <w:rsid w:val="3EC84D62"/>
    <w:rsid w:val="3ECD05CA"/>
    <w:rsid w:val="3ED25BE0"/>
    <w:rsid w:val="3EE80F60"/>
    <w:rsid w:val="3F06588A"/>
    <w:rsid w:val="3F0C10F2"/>
    <w:rsid w:val="3F2A77CA"/>
    <w:rsid w:val="3F2E7738"/>
    <w:rsid w:val="3F3917BB"/>
    <w:rsid w:val="3F544847"/>
    <w:rsid w:val="3F544E11"/>
    <w:rsid w:val="3F6C2EC4"/>
    <w:rsid w:val="3F6F342F"/>
    <w:rsid w:val="3F6F78D3"/>
    <w:rsid w:val="3F7E18C4"/>
    <w:rsid w:val="3F7E3672"/>
    <w:rsid w:val="3F7E498F"/>
    <w:rsid w:val="3F877201"/>
    <w:rsid w:val="3F8E1B07"/>
    <w:rsid w:val="3F964E60"/>
    <w:rsid w:val="3F9D7F9C"/>
    <w:rsid w:val="3FA0183A"/>
    <w:rsid w:val="3FAA26B9"/>
    <w:rsid w:val="3FB4123F"/>
    <w:rsid w:val="3FB53538"/>
    <w:rsid w:val="3FBD419A"/>
    <w:rsid w:val="3FC82010"/>
    <w:rsid w:val="3FC90D33"/>
    <w:rsid w:val="3FE060DB"/>
    <w:rsid w:val="3FE1257F"/>
    <w:rsid w:val="3FE30BD7"/>
    <w:rsid w:val="3FEE6A4A"/>
    <w:rsid w:val="3FF322B2"/>
    <w:rsid w:val="3FF57DD8"/>
    <w:rsid w:val="3FF73B50"/>
    <w:rsid w:val="3FFC1167"/>
    <w:rsid w:val="400133EE"/>
    <w:rsid w:val="40104C12"/>
    <w:rsid w:val="40152228"/>
    <w:rsid w:val="40161AFD"/>
    <w:rsid w:val="40186C32"/>
    <w:rsid w:val="401A4F12"/>
    <w:rsid w:val="401B7113"/>
    <w:rsid w:val="4024246B"/>
    <w:rsid w:val="40267F92"/>
    <w:rsid w:val="40307062"/>
    <w:rsid w:val="40316936"/>
    <w:rsid w:val="403703F1"/>
    <w:rsid w:val="40466C07"/>
    <w:rsid w:val="405368AD"/>
    <w:rsid w:val="405569FA"/>
    <w:rsid w:val="40567DDD"/>
    <w:rsid w:val="40615DE8"/>
    <w:rsid w:val="40646D0C"/>
    <w:rsid w:val="408D1DBF"/>
    <w:rsid w:val="408E5B37"/>
    <w:rsid w:val="40956EC5"/>
    <w:rsid w:val="40970E8F"/>
    <w:rsid w:val="40980764"/>
    <w:rsid w:val="409D5D7A"/>
    <w:rsid w:val="409F5F96"/>
    <w:rsid w:val="40AD06B3"/>
    <w:rsid w:val="40C652D1"/>
    <w:rsid w:val="40C913D4"/>
    <w:rsid w:val="40CF23D7"/>
    <w:rsid w:val="40D0614F"/>
    <w:rsid w:val="40D774DE"/>
    <w:rsid w:val="40E1210B"/>
    <w:rsid w:val="40E13F83"/>
    <w:rsid w:val="40ED0AAF"/>
    <w:rsid w:val="40EF2A79"/>
    <w:rsid w:val="40F0234E"/>
    <w:rsid w:val="40F167F2"/>
    <w:rsid w:val="40F66761"/>
    <w:rsid w:val="40F72D63"/>
    <w:rsid w:val="40FB141E"/>
    <w:rsid w:val="41013D81"/>
    <w:rsid w:val="41016309"/>
    <w:rsid w:val="41076015"/>
    <w:rsid w:val="41083B3B"/>
    <w:rsid w:val="410A1661"/>
    <w:rsid w:val="410B53D9"/>
    <w:rsid w:val="41160006"/>
    <w:rsid w:val="41175B2C"/>
    <w:rsid w:val="411E6EBB"/>
    <w:rsid w:val="412070D7"/>
    <w:rsid w:val="412F2E76"/>
    <w:rsid w:val="413466DE"/>
    <w:rsid w:val="413948D4"/>
    <w:rsid w:val="414601C0"/>
    <w:rsid w:val="414803DC"/>
    <w:rsid w:val="4148218A"/>
    <w:rsid w:val="41523008"/>
    <w:rsid w:val="41540B2E"/>
    <w:rsid w:val="41592C89"/>
    <w:rsid w:val="415E7BFF"/>
    <w:rsid w:val="416E7E42"/>
    <w:rsid w:val="41735459"/>
    <w:rsid w:val="417E3DFD"/>
    <w:rsid w:val="418238EE"/>
    <w:rsid w:val="41923405"/>
    <w:rsid w:val="41984EBF"/>
    <w:rsid w:val="41A43864"/>
    <w:rsid w:val="41A5138A"/>
    <w:rsid w:val="41A67F74"/>
    <w:rsid w:val="41B45A71"/>
    <w:rsid w:val="41C21F3C"/>
    <w:rsid w:val="41C56873"/>
    <w:rsid w:val="41CD56BC"/>
    <w:rsid w:val="41D13F2D"/>
    <w:rsid w:val="41DB4DAC"/>
    <w:rsid w:val="41DD6D76"/>
    <w:rsid w:val="41E579D9"/>
    <w:rsid w:val="41E73751"/>
    <w:rsid w:val="41EC0D67"/>
    <w:rsid w:val="41FB1123"/>
    <w:rsid w:val="41FB71FC"/>
    <w:rsid w:val="421F2EEA"/>
    <w:rsid w:val="42246C86"/>
    <w:rsid w:val="42266472"/>
    <w:rsid w:val="42276243"/>
    <w:rsid w:val="42277FF1"/>
    <w:rsid w:val="42287632"/>
    <w:rsid w:val="422C5607"/>
    <w:rsid w:val="422F6EA6"/>
    <w:rsid w:val="423A0160"/>
    <w:rsid w:val="42435353"/>
    <w:rsid w:val="425012F6"/>
    <w:rsid w:val="42613503"/>
    <w:rsid w:val="42642FF3"/>
    <w:rsid w:val="42703746"/>
    <w:rsid w:val="427174BE"/>
    <w:rsid w:val="42794CFD"/>
    <w:rsid w:val="427B20EB"/>
    <w:rsid w:val="427C033D"/>
    <w:rsid w:val="42870A90"/>
    <w:rsid w:val="428E62C2"/>
    <w:rsid w:val="42927B60"/>
    <w:rsid w:val="42AD0807"/>
    <w:rsid w:val="42AD6748"/>
    <w:rsid w:val="42AE24C0"/>
    <w:rsid w:val="42BA70B7"/>
    <w:rsid w:val="42CD2946"/>
    <w:rsid w:val="42CE66BF"/>
    <w:rsid w:val="42D00689"/>
    <w:rsid w:val="42D068DB"/>
    <w:rsid w:val="42D812EB"/>
    <w:rsid w:val="42D9753D"/>
    <w:rsid w:val="42DA3976"/>
    <w:rsid w:val="42E3660E"/>
    <w:rsid w:val="42EB101F"/>
    <w:rsid w:val="42F110E8"/>
    <w:rsid w:val="42F205FF"/>
    <w:rsid w:val="42F779C3"/>
    <w:rsid w:val="42FC76D0"/>
    <w:rsid w:val="42FF2D1C"/>
    <w:rsid w:val="43010842"/>
    <w:rsid w:val="430343A0"/>
    <w:rsid w:val="430B7913"/>
    <w:rsid w:val="43122A4F"/>
    <w:rsid w:val="431840AC"/>
    <w:rsid w:val="432509D4"/>
    <w:rsid w:val="433F258F"/>
    <w:rsid w:val="43455505"/>
    <w:rsid w:val="43572B58"/>
    <w:rsid w:val="435E59BE"/>
    <w:rsid w:val="4368266F"/>
    <w:rsid w:val="436F39FE"/>
    <w:rsid w:val="43741014"/>
    <w:rsid w:val="437D4206"/>
    <w:rsid w:val="4387343D"/>
    <w:rsid w:val="438A7056"/>
    <w:rsid w:val="438E2789"/>
    <w:rsid w:val="43994F1E"/>
    <w:rsid w:val="439B47F3"/>
    <w:rsid w:val="43A35D9D"/>
    <w:rsid w:val="43A5030D"/>
    <w:rsid w:val="43AD2778"/>
    <w:rsid w:val="43B951E1"/>
    <w:rsid w:val="43BD6E5F"/>
    <w:rsid w:val="43BE6733"/>
    <w:rsid w:val="43C27FD1"/>
    <w:rsid w:val="43C34A39"/>
    <w:rsid w:val="43CD6976"/>
    <w:rsid w:val="43E50164"/>
    <w:rsid w:val="43EE526A"/>
    <w:rsid w:val="44004F9E"/>
    <w:rsid w:val="44056110"/>
    <w:rsid w:val="440920A4"/>
    <w:rsid w:val="44134770"/>
    <w:rsid w:val="44177434"/>
    <w:rsid w:val="44187FD3"/>
    <w:rsid w:val="441F3676"/>
    <w:rsid w:val="44220648"/>
    <w:rsid w:val="4431500F"/>
    <w:rsid w:val="44332C7D"/>
    <w:rsid w:val="44393F4E"/>
    <w:rsid w:val="4441183E"/>
    <w:rsid w:val="445D2BF8"/>
    <w:rsid w:val="447514E8"/>
    <w:rsid w:val="44784B34"/>
    <w:rsid w:val="448B4867"/>
    <w:rsid w:val="44911190"/>
    <w:rsid w:val="44915BF6"/>
    <w:rsid w:val="4497145E"/>
    <w:rsid w:val="44B30262"/>
    <w:rsid w:val="44B32010"/>
    <w:rsid w:val="44B6565C"/>
    <w:rsid w:val="44B71B00"/>
    <w:rsid w:val="44BE2E8F"/>
    <w:rsid w:val="44C77869"/>
    <w:rsid w:val="44C9538F"/>
    <w:rsid w:val="44D426B2"/>
    <w:rsid w:val="44D51F86"/>
    <w:rsid w:val="44D75CFE"/>
    <w:rsid w:val="44DE1B9E"/>
    <w:rsid w:val="44E93C84"/>
    <w:rsid w:val="44EA5ED6"/>
    <w:rsid w:val="44EB3558"/>
    <w:rsid w:val="44ED5522"/>
    <w:rsid w:val="44EE3048"/>
    <w:rsid w:val="44F05012"/>
    <w:rsid w:val="44F3240C"/>
    <w:rsid w:val="451505D5"/>
    <w:rsid w:val="45217B5F"/>
    <w:rsid w:val="45260A34"/>
    <w:rsid w:val="4530540F"/>
    <w:rsid w:val="45442C68"/>
    <w:rsid w:val="45604523"/>
    <w:rsid w:val="4568104C"/>
    <w:rsid w:val="456D7315"/>
    <w:rsid w:val="456F23DB"/>
    <w:rsid w:val="457479F1"/>
    <w:rsid w:val="457C68A6"/>
    <w:rsid w:val="45863281"/>
    <w:rsid w:val="45877724"/>
    <w:rsid w:val="458B0897"/>
    <w:rsid w:val="458D460F"/>
    <w:rsid w:val="45992FB4"/>
    <w:rsid w:val="459B5129"/>
    <w:rsid w:val="45A100BA"/>
    <w:rsid w:val="45A1630C"/>
    <w:rsid w:val="45A8769B"/>
    <w:rsid w:val="45AB2CE7"/>
    <w:rsid w:val="45CA7611"/>
    <w:rsid w:val="45D24718"/>
    <w:rsid w:val="45E05087"/>
    <w:rsid w:val="45E2495B"/>
    <w:rsid w:val="45F96148"/>
    <w:rsid w:val="46003033"/>
    <w:rsid w:val="46162856"/>
    <w:rsid w:val="462F56C6"/>
    <w:rsid w:val="463B050F"/>
    <w:rsid w:val="463B406B"/>
    <w:rsid w:val="463F1DAD"/>
    <w:rsid w:val="4640345A"/>
    <w:rsid w:val="46413279"/>
    <w:rsid w:val="464C1D11"/>
    <w:rsid w:val="4662784A"/>
    <w:rsid w:val="46674673"/>
    <w:rsid w:val="46674E60"/>
    <w:rsid w:val="46773596"/>
    <w:rsid w:val="468B6928"/>
    <w:rsid w:val="468C0D6B"/>
    <w:rsid w:val="46963997"/>
    <w:rsid w:val="469C74C5"/>
    <w:rsid w:val="46A167A3"/>
    <w:rsid w:val="46A24EED"/>
    <w:rsid w:val="46A301FD"/>
    <w:rsid w:val="46A61876"/>
    <w:rsid w:val="46A936CA"/>
    <w:rsid w:val="46AA2F9F"/>
    <w:rsid w:val="46B06807"/>
    <w:rsid w:val="46B138F5"/>
    <w:rsid w:val="46B5206F"/>
    <w:rsid w:val="46B61944"/>
    <w:rsid w:val="46B8390E"/>
    <w:rsid w:val="46C04AE1"/>
    <w:rsid w:val="46C202E8"/>
    <w:rsid w:val="46C27167"/>
    <w:rsid w:val="46C93D6D"/>
    <w:rsid w:val="46CB3641"/>
    <w:rsid w:val="46CE3131"/>
    <w:rsid w:val="46D33C2E"/>
    <w:rsid w:val="46EB5A91"/>
    <w:rsid w:val="46F26E20"/>
    <w:rsid w:val="46F32B98"/>
    <w:rsid w:val="46F54B62"/>
    <w:rsid w:val="46F56138"/>
    <w:rsid w:val="46F81F5C"/>
    <w:rsid w:val="46FA2178"/>
    <w:rsid w:val="46FC1A4C"/>
    <w:rsid w:val="47024B89"/>
    <w:rsid w:val="470628CB"/>
    <w:rsid w:val="47084895"/>
    <w:rsid w:val="471843AC"/>
    <w:rsid w:val="47264D1B"/>
    <w:rsid w:val="473311E6"/>
    <w:rsid w:val="47376F28"/>
    <w:rsid w:val="473C009B"/>
    <w:rsid w:val="473F7B8B"/>
    <w:rsid w:val="474927B8"/>
    <w:rsid w:val="474F4272"/>
    <w:rsid w:val="47547694"/>
    <w:rsid w:val="475A49C5"/>
    <w:rsid w:val="4769234B"/>
    <w:rsid w:val="476E50DC"/>
    <w:rsid w:val="476F0470"/>
    <w:rsid w:val="47736C43"/>
    <w:rsid w:val="47745A86"/>
    <w:rsid w:val="47746AF3"/>
    <w:rsid w:val="477517FF"/>
    <w:rsid w:val="477E4B57"/>
    <w:rsid w:val="477F442B"/>
    <w:rsid w:val="478A52AA"/>
    <w:rsid w:val="478D6B48"/>
    <w:rsid w:val="478F466E"/>
    <w:rsid w:val="479C68A6"/>
    <w:rsid w:val="47B10A89"/>
    <w:rsid w:val="47B95B8F"/>
    <w:rsid w:val="47BA5463"/>
    <w:rsid w:val="47C839EC"/>
    <w:rsid w:val="47CD5197"/>
    <w:rsid w:val="47D2657C"/>
    <w:rsid w:val="47EB386F"/>
    <w:rsid w:val="47ED75E7"/>
    <w:rsid w:val="48013092"/>
    <w:rsid w:val="48064BDF"/>
    <w:rsid w:val="480F7FCF"/>
    <w:rsid w:val="48117779"/>
    <w:rsid w:val="48153C8D"/>
    <w:rsid w:val="48233009"/>
    <w:rsid w:val="48254FD3"/>
    <w:rsid w:val="48294CD4"/>
    <w:rsid w:val="482B21BB"/>
    <w:rsid w:val="482F5E51"/>
    <w:rsid w:val="483416BA"/>
    <w:rsid w:val="48362D3C"/>
    <w:rsid w:val="48427933"/>
    <w:rsid w:val="48531BF0"/>
    <w:rsid w:val="485A2B7D"/>
    <w:rsid w:val="485B09F4"/>
    <w:rsid w:val="4860425D"/>
    <w:rsid w:val="48785837"/>
    <w:rsid w:val="48904451"/>
    <w:rsid w:val="48934475"/>
    <w:rsid w:val="48967C7F"/>
    <w:rsid w:val="48A00AFD"/>
    <w:rsid w:val="48B85E47"/>
    <w:rsid w:val="48BB76E5"/>
    <w:rsid w:val="48C70CA7"/>
    <w:rsid w:val="48C72BD1"/>
    <w:rsid w:val="48CB5B7A"/>
    <w:rsid w:val="48D80297"/>
    <w:rsid w:val="48E72288"/>
    <w:rsid w:val="49000F55"/>
    <w:rsid w:val="490E5A67"/>
    <w:rsid w:val="4910780A"/>
    <w:rsid w:val="49107A31"/>
    <w:rsid w:val="49117305"/>
    <w:rsid w:val="491D3EFC"/>
    <w:rsid w:val="49221512"/>
    <w:rsid w:val="4925753D"/>
    <w:rsid w:val="492824E8"/>
    <w:rsid w:val="493A4AAE"/>
    <w:rsid w:val="493B32A4"/>
    <w:rsid w:val="493D00FA"/>
    <w:rsid w:val="4948541D"/>
    <w:rsid w:val="494D658F"/>
    <w:rsid w:val="49524E19"/>
    <w:rsid w:val="49570F78"/>
    <w:rsid w:val="4968161B"/>
    <w:rsid w:val="496B2021"/>
    <w:rsid w:val="496B4447"/>
    <w:rsid w:val="49793828"/>
    <w:rsid w:val="49813B63"/>
    <w:rsid w:val="49885887"/>
    <w:rsid w:val="498E2E93"/>
    <w:rsid w:val="49931424"/>
    <w:rsid w:val="49935D8F"/>
    <w:rsid w:val="49A87C69"/>
    <w:rsid w:val="49AA19C3"/>
    <w:rsid w:val="49AD5088"/>
    <w:rsid w:val="49B93C25"/>
    <w:rsid w:val="49CD36F0"/>
    <w:rsid w:val="49D56585"/>
    <w:rsid w:val="49D722FD"/>
    <w:rsid w:val="49DD7F47"/>
    <w:rsid w:val="49E35145"/>
    <w:rsid w:val="49EE37CF"/>
    <w:rsid w:val="49F25388"/>
    <w:rsid w:val="49F7474D"/>
    <w:rsid w:val="49FB2C9D"/>
    <w:rsid w:val="4A050C18"/>
    <w:rsid w:val="4A131EB5"/>
    <w:rsid w:val="4A205A52"/>
    <w:rsid w:val="4A2113C5"/>
    <w:rsid w:val="4A2117CA"/>
    <w:rsid w:val="4A273284"/>
    <w:rsid w:val="4A297FB7"/>
    <w:rsid w:val="4A2F2139"/>
    <w:rsid w:val="4A3D2AA8"/>
    <w:rsid w:val="4A3E412A"/>
    <w:rsid w:val="4A3E5EDA"/>
    <w:rsid w:val="4A45370A"/>
    <w:rsid w:val="4A4C2CEB"/>
    <w:rsid w:val="4A6718D3"/>
    <w:rsid w:val="4A677B24"/>
    <w:rsid w:val="4A7933B4"/>
    <w:rsid w:val="4A7D4C52"/>
    <w:rsid w:val="4A805AFA"/>
    <w:rsid w:val="4A8204BA"/>
    <w:rsid w:val="4A8B55E4"/>
    <w:rsid w:val="4AA96FA0"/>
    <w:rsid w:val="4AB12B4E"/>
    <w:rsid w:val="4AB32D6A"/>
    <w:rsid w:val="4AB8212E"/>
    <w:rsid w:val="4ACC3E2B"/>
    <w:rsid w:val="4ADD32B8"/>
    <w:rsid w:val="4AE72A13"/>
    <w:rsid w:val="4AEA6060"/>
    <w:rsid w:val="4AEC1DD8"/>
    <w:rsid w:val="4AF31B98"/>
    <w:rsid w:val="4AF60EA8"/>
    <w:rsid w:val="4AF97A1B"/>
    <w:rsid w:val="4AFB026D"/>
    <w:rsid w:val="4AFF7D5D"/>
    <w:rsid w:val="4B014DB7"/>
    <w:rsid w:val="4B0C247A"/>
    <w:rsid w:val="4B100586"/>
    <w:rsid w:val="4B103D18"/>
    <w:rsid w:val="4B137364"/>
    <w:rsid w:val="4B17652E"/>
    <w:rsid w:val="4B26671D"/>
    <w:rsid w:val="4B29302C"/>
    <w:rsid w:val="4B2E0642"/>
    <w:rsid w:val="4B3317B5"/>
    <w:rsid w:val="4B3519D1"/>
    <w:rsid w:val="4B375749"/>
    <w:rsid w:val="4B386DCB"/>
    <w:rsid w:val="4B425E9C"/>
    <w:rsid w:val="4B46773A"/>
    <w:rsid w:val="4B4A363C"/>
    <w:rsid w:val="4B4C358F"/>
    <w:rsid w:val="4B4E4840"/>
    <w:rsid w:val="4B553E21"/>
    <w:rsid w:val="4B555BCF"/>
    <w:rsid w:val="4B5F3196"/>
    <w:rsid w:val="4B6072FC"/>
    <w:rsid w:val="4B667DDC"/>
    <w:rsid w:val="4B6C4CC7"/>
    <w:rsid w:val="4B702A09"/>
    <w:rsid w:val="4B7C7600"/>
    <w:rsid w:val="4B7D0C82"/>
    <w:rsid w:val="4B7F2C4C"/>
    <w:rsid w:val="4B9366F7"/>
    <w:rsid w:val="4BA24A03"/>
    <w:rsid w:val="4BAB57EF"/>
    <w:rsid w:val="4BAF7A2E"/>
    <w:rsid w:val="4BB328F5"/>
    <w:rsid w:val="4BB40B47"/>
    <w:rsid w:val="4BB943B0"/>
    <w:rsid w:val="4BBC79FC"/>
    <w:rsid w:val="4BC66E74"/>
    <w:rsid w:val="4BE62CCB"/>
    <w:rsid w:val="4BEE04FE"/>
    <w:rsid w:val="4BEF1B80"/>
    <w:rsid w:val="4BF453E8"/>
    <w:rsid w:val="4BF947AC"/>
    <w:rsid w:val="4C0851C2"/>
    <w:rsid w:val="4C094FB2"/>
    <w:rsid w:val="4C0B2731"/>
    <w:rsid w:val="4C15535E"/>
    <w:rsid w:val="4C213F8C"/>
    <w:rsid w:val="4C2537F3"/>
    <w:rsid w:val="4C2F4672"/>
    <w:rsid w:val="4C303F46"/>
    <w:rsid w:val="4C325F10"/>
    <w:rsid w:val="4C373527"/>
    <w:rsid w:val="4C390AD2"/>
    <w:rsid w:val="4C3954F1"/>
    <w:rsid w:val="4C404189"/>
    <w:rsid w:val="4C4317B4"/>
    <w:rsid w:val="4C567E51"/>
    <w:rsid w:val="4C5916EF"/>
    <w:rsid w:val="4C5B5467"/>
    <w:rsid w:val="4C5E0F8E"/>
    <w:rsid w:val="4C6053BE"/>
    <w:rsid w:val="4C6C1422"/>
    <w:rsid w:val="4C7E1155"/>
    <w:rsid w:val="4C856040"/>
    <w:rsid w:val="4C8C73CE"/>
    <w:rsid w:val="4C910E89"/>
    <w:rsid w:val="4C956F44"/>
    <w:rsid w:val="4CA50490"/>
    <w:rsid w:val="4CAA3CF8"/>
    <w:rsid w:val="4CAA5AA7"/>
    <w:rsid w:val="4CB42DC9"/>
    <w:rsid w:val="4CC40401"/>
    <w:rsid w:val="4CEA67EB"/>
    <w:rsid w:val="4CEC4311"/>
    <w:rsid w:val="4CF136D5"/>
    <w:rsid w:val="4CFB27A6"/>
    <w:rsid w:val="4D027691"/>
    <w:rsid w:val="4D0310FC"/>
    <w:rsid w:val="4D0B07BB"/>
    <w:rsid w:val="4D16138E"/>
    <w:rsid w:val="4D297313"/>
    <w:rsid w:val="4D2C6E03"/>
    <w:rsid w:val="4D2E2B7B"/>
    <w:rsid w:val="4D3F6B37"/>
    <w:rsid w:val="4D4001B9"/>
    <w:rsid w:val="4D453A21"/>
    <w:rsid w:val="4D471D29"/>
    <w:rsid w:val="4D483127"/>
    <w:rsid w:val="4D491763"/>
    <w:rsid w:val="4D4D1254"/>
    <w:rsid w:val="4D59740F"/>
    <w:rsid w:val="4D673998"/>
    <w:rsid w:val="4D7F0CE1"/>
    <w:rsid w:val="4D8A04C7"/>
    <w:rsid w:val="4D9F75D5"/>
    <w:rsid w:val="4DA1334D"/>
    <w:rsid w:val="4DBC3CE3"/>
    <w:rsid w:val="4DCC2B7D"/>
    <w:rsid w:val="4DD51249"/>
    <w:rsid w:val="4DE90850"/>
    <w:rsid w:val="4DEF230B"/>
    <w:rsid w:val="4DF72F6D"/>
    <w:rsid w:val="4DFC67D6"/>
    <w:rsid w:val="4E0256F8"/>
    <w:rsid w:val="4E0538DC"/>
    <w:rsid w:val="4E0833CC"/>
    <w:rsid w:val="4E105DDD"/>
    <w:rsid w:val="4E121B55"/>
    <w:rsid w:val="4E155341"/>
    <w:rsid w:val="4E165AE9"/>
    <w:rsid w:val="4E265601"/>
    <w:rsid w:val="4E2E44B5"/>
    <w:rsid w:val="4E37780E"/>
    <w:rsid w:val="4E593C28"/>
    <w:rsid w:val="4E5A52AA"/>
    <w:rsid w:val="4E6C395B"/>
    <w:rsid w:val="4E6D1482"/>
    <w:rsid w:val="4E6F51FA"/>
    <w:rsid w:val="4E7445BE"/>
    <w:rsid w:val="4E772300"/>
    <w:rsid w:val="4E7E543D"/>
    <w:rsid w:val="4E8567CB"/>
    <w:rsid w:val="4E9702AC"/>
    <w:rsid w:val="4E970F9E"/>
    <w:rsid w:val="4E9764FE"/>
    <w:rsid w:val="4EA2112B"/>
    <w:rsid w:val="4EA508A6"/>
    <w:rsid w:val="4EA604F0"/>
    <w:rsid w:val="4EB175C0"/>
    <w:rsid w:val="4EB64BD7"/>
    <w:rsid w:val="4EB96475"/>
    <w:rsid w:val="4EC015B1"/>
    <w:rsid w:val="4EC15329"/>
    <w:rsid w:val="4ECA0742"/>
    <w:rsid w:val="4ED056C5"/>
    <w:rsid w:val="4ED60DD5"/>
    <w:rsid w:val="4ED908C5"/>
    <w:rsid w:val="4ED96B17"/>
    <w:rsid w:val="4EE74D90"/>
    <w:rsid w:val="4EEB5EF1"/>
    <w:rsid w:val="4EEF00E8"/>
    <w:rsid w:val="4EFF3FC2"/>
    <w:rsid w:val="4F043B94"/>
    <w:rsid w:val="4F073684"/>
    <w:rsid w:val="4F2002A2"/>
    <w:rsid w:val="4F344697"/>
    <w:rsid w:val="4F3855EC"/>
    <w:rsid w:val="4F3F2E1E"/>
    <w:rsid w:val="4F4641AC"/>
    <w:rsid w:val="4F471CD3"/>
    <w:rsid w:val="4F4E4E0F"/>
    <w:rsid w:val="4F530677"/>
    <w:rsid w:val="4F5D14F6"/>
    <w:rsid w:val="4F6463E1"/>
    <w:rsid w:val="4F652159"/>
    <w:rsid w:val="4F6603AB"/>
    <w:rsid w:val="4F6B314A"/>
    <w:rsid w:val="4F7A3E56"/>
    <w:rsid w:val="4F7F3277"/>
    <w:rsid w:val="4F841648"/>
    <w:rsid w:val="4FA17635"/>
    <w:rsid w:val="4FA73EB8"/>
    <w:rsid w:val="4FA964E9"/>
    <w:rsid w:val="4FAB04B3"/>
    <w:rsid w:val="4FAC0361"/>
    <w:rsid w:val="4FAD5FDA"/>
    <w:rsid w:val="4FC43323"/>
    <w:rsid w:val="4FC82E13"/>
    <w:rsid w:val="4FD712A8"/>
    <w:rsid w:val="4FDC68BF"/>
    <w:rsid w:val="4FFC5736"/>
    <w:rsid w:val="4FFE6835"/>
    <w:rsid w:val="4FFF6109"/>
    <w:rsid w:val="50025081"/>
    <w:rsid w:val="500656EA"/>
    <w:rsid w:val="50111D35"/>
    <w:rsid w:val="50131BB5"/>
    <w:rsid w:val="50137E07"/>
    <w:rsid w:val="50151DD1"/>
    <w:rsid w:val="50153B7F"/>
    <w:rsid w:val="501778F7"/>
    <w:rsid w:val="502344EE"/>
    <w:rsid w:val="50243DC2"/>
    <w:rsid w:val="502A587C"/>
    <w:rsid w:val="5032295C"/>
    <w:rsid w:val="503264DF"/>
    <w:rsid w:val="503E1327"/>
    <w:rsid w:val="503F4034"/>
    <w:rsid w:val="504448D0"/>
    <w:rsid w:val="50493828"/>
    <w:rsid w:val="504B57F2"/>
    <w:rsid w:val="504B75A0"/>
    <w:rsid w:val="505428F9"/>
    <w:rsid w:val="50546455"/>
    <w:rsid w:val="5060129E"/>
    <w:rsid w:val="5060304C"/>
    <w:rsid w:val="506D3568"/>
    <w:rsid w:val="50744D49"/>
    <w:rsid w:val="507B60D8"/>
    <w:rsid w:val="507C3BFE"/>
    <w:rsid w:val="508B7254"/>
    <w:rsid w:val="509269D5"/>
    <w:rsid w:val="50A8054F"/>
    <w:rsid w:val="50AA42C7"/>
    <w:rsid w:val="50AD486C"/>
    <w:rsid w:val="50BE68C4"/>
    <w:rsid w:val="50C51101"/>
    <w:rsid w:val="50D15CF8"/>
    <w:rsid w:val="50D650BC"/>
    <w:rsid w:val="50D92DFE"/>
    <w:rsid w:val="50DE21C3"/>
    <w:rsid w:val="50ED0658"/>
    <w:rsid w:val="50F05223"/>
    <w:rsid w:val="50F32112"/>
    <w:rsid w:val="50F97A16"/>
    <w:rsid w:val="511B6F73"/>
    <w:rsid w:val="51314791"/>
    <w:rsid w:val="513A1AEF"/>
    <w:rsid w:val="514069D9"/>
    <w:rsid w:val="51475FBA"/>
    <w:rsid w:val="514C1822"/>
    <w:rsid w:val="514E10F6"/>
    <w:rsid w:val="515626A1"/>
    <w:rsid w:val="51586419"/>
    <w:rsid w:val="515F1555"/>
    <w:rsid w:val="5164091A"/>
    <w:rsid w:val="517B61BE"/>
    <w:rsid w:val="517F5037"/>
    <w:rsid w:val="5181369F"/>
    <w:rsid w:val="5187285A"/>
    <w:rsid w:val="518E5997"/>
    <w:rsid w:val="51A2659D"/>
    <w:rsid w:val="51B3364F"/>
    <w:rsid w:val="51BA678C"/>
    <w:rsid w:val="51CF19F5"/>
    <w:rsid w:val="51D3784E"/>
    <w:rsid w:val="51DA239D"/>
    <w:rsid w:val="52075749"/>
    <w:rsid w:val="520914C1"/>
    <w:rsid w:val="52151C14"/>
    <w:rsid w:val="522B768A"/>
    <w:rsid w:val="522E0F28"/>
    <w:rsid w:val="52306A4E"/>
    <w:rsid w:val="52397FF8"/>
    <w:rsid w:val="5246001F"/>
    <w:rsid w:val="52546BE0"/>
    <w:rsid w:val="525A3ACB"/>
    <w:rsid w:val="52642B9B"/>
    <w:rsid w:val="52653D72"/>
    <w:rsid w:val="52666914"/>
    <w:rsid w:val="52666F88"/>
    <w:rsid w:val="526D4CD2"/>
    <w:rsid w:val="528B0128"/>
    <w:rsid w:val="528F5E6A"/>
    <w:rsid w:val="528F7C18"/>
    <w:rsid w:val="52923265"/>
    <w:rsid w:val="52950FA7"/>
    <w:rsid w:val="52992845"/>
    <w:rsid w:val="52A1794C"/>
    <w:rsid w:val="52A427E2"/>
    <w:rsid w:val="52AA2CA4"/>
    <w:rsid w:val="52B7716F"/>
    <w:rsid w:val="52B940B1"/>
    <w:rsid w:val="52BC7C45"/>
    <w:rsid w:val="52C00D2C"/>
    <w:rsid w:val="52C27FEE"/>
    <w:rsid w:val="52C5188C"/>
    <w:rsid w:val="52CF44B9"/>
    <w:rsid w:val="52D07F9B"/>
    <w:rsid w:val="52D41ACF"/>
    <w:rsid w:val="52D715BF"/>
    <w:rsid w:val="52D7336D"/>
    <w:rsid w:val="52DB2E5E"/>
    <w:rsid w:val="52F7756C"/>
    <w:rsid w:val="52FE6B4C"/>
    <w:rsid w:val="530C3017"/>
    <w:rsid w:val="530E3233"/>
    <w:rsid w:val="531243A6"/>
    <w:rsid w:val="53130849"/>
    <w:rsid w:val="53165C44"/>
    <w:rsid w:val="53202F66"/>
    <w:rsid w:val="53204D14"/>
    <w:rsid w:val="5322283B"/>
    <w:rsid w:val="532365B3"/>
    <w:rsid w:val="532A7941"/>
    <w:rsid w:val="53394028"/>
    <w:rsid w:val="533E33EC"/>
    <w:rsid w:val="5358625C"/>
    <w:rsid w:val="53603363"/>
    <w:rsid w:val="536746F1"/>
    <w:rsid w:val="537B63EF"/>
    <w:rsid w:val="539179C0"/>
    <w:rsid w:val="53954BFA"/>
    <w:rsid w:val="539B439B"/>
    <w:rsid w:val="53A006A3"/>
    <w:rsid w:val="53AB5652"/>
    <w:rsid w:val="53B06098"/>
    <w:rsid w:val="53C102A5"/>
    <w:rsid w:val="53C51418"/>
    <w:rsid w:val="53DF072C"/>
    <w:rsid w:val="53DF697E"/>
    <w:rsid w:val="53EE096F"/>
    <w:rsid w:val="53EF09C6"/>
    <w:rsid w:val="53F561A1"/>
    <w:rsid w:val="53FC10A2"/>
    <w:rsid w:val="53FC6986"/>
    <w:rsid w:val="540E1011"/>
    <w:rsid w:val="54196BAA"/>
    <w:rsid w:val="541A5C08"/>
    <w:rsid w:val="54324CFF"/>
    <w:rsid w:val="543C16DA"/>
    <w:rsid w:val="54442C85"/>
    <w:rsid w:val="54462AAE"/>
    <w:rsid w:val="54530D3D"/>
    <w:rsid w:val="54646E83"/>
    <w:rsid w:val="546724CF"/>
    <w:rsid w:val="546E7D01"/>
    <w:rsid w:val="547C5F7A"/>
    <w:rsid w:val="548B440F"/>
    <w:rsid w:val="548E5012"/>
    <w:rsid w:val="548F2DD8"/>
    <w:rsid w:val="549058AB"/>
    <w:rsid w:val="54907C78"/>
    <w:rsid w:val="54A83213"/>
    <w:rsid w:val="54B27BEE"/>
    <w:rsid w:val="54B716A8"/>
    <w:rsid w:val="54B73456"/>
    <w:rsid w:val="54B95421"/>
    <w:rsid w:val="54BE2A37"/>
    <w:rsid w:val="54BF1375"/>
    <w:rsid w:val="54C735ED"/>
    <w:rsid w:val="54D04518"/>
    <w:rsid w:val="54E3424B"/>
    <w:rsid w:val="54F30A12"/>
    <w:rsid w:val="54F40B54"/>
    <w:rsid w:val="54F827B1"/>
    <w:rsid w:val="550D12C8"/>
    <w:rsid w:val="55110DB9"/>
    <w:rsid w:val="55256612"/>
    <w:rsid w:val="55366A71"/>
    <w:rsid w:val="5540021F"/>
    <w:rsid w:val="55466588"/>
    <w:rsid w:val="55564A1D"/>
    <w:rsid w:val="556929E7"/>
    <w:rsid w:val="5572469F"/>
    <w:rsid w:val="55794BB0"/>
    <w:rsid w:val="55855303"/>
    <w:rsid w:val="55867CE8"/>
    <w:rsid w:val="5587107B"/>
    <w:rsid w:val="558A2919"/>
    <w:rsid w:val="558F7F2F"/>
    <w:rsid w:val="55990DAE"/>
    <w:rsid w:val="559D264C"/>
    <w:rsid w:val="559E5653"/>
    <w:rsid w:val="559F444C"/>
    <w:rsid w:val="55BB6F76"/>
    <w:rsid w:val="55BE25C3"/>
    <w:rsid w:val="55C220B3"/>
    <w:rsid w:val="55C67DF5"/>
    <w:rsid w:val="55C96AF1"/>
    <w:rsid w:val="55CC4CE0"/>
    <w:rsid w:val="55DD6EED"/>
    <w:rsid w:val="55E71B19"/>
    <w:rsid w:val="55E738C7"/>
    <w:rsid w:val="55FD30EB"/>
    <w:rsid w:val="56066443"/>
    <w:rsid w:val="560A5808"/>
    <w:rsid w:val="56114DE8"/>
    <w:rsid w:val="56222B52"/>
    <w:rsid w:val="562E599A"/>
    <w:rsid w:val="56310FE7"/>
    <w:rsid w:val="56327239"/>
    <w:rsid w:val="56350AD7"/>
    <w:rsid w:val="563665FD"/>
    <w:rsid w:val="5637484F"/>
    <w:rsid w:val="563C1E65"/>
    <w:rsid w:val="563F1955"/>
    <w:rsid w:val="56430BF0"/>
    <w:rsid w:val="564F7C22"/>
    <w:rsid w:val="56544746"/>
    <w:rsid w:val="566118CC"/>
    <w:rsid w:val="566C514E"/>
    <w:rsid w:val="567535C9"/>
    <w:rsid w:val="56786C15"/>
    <w:rsid w:val="567F1D52"/>
    <w:rsid w:val="568146C0"/>
    <w:rsid w:val="568850AA"/>
    <w:rsid w:val="5693035A"/>
    <w:rsid w:val="569469AE"/>
    <w:rsid w:val="5697353F"/>
    <w:rsid w:val="569E667C"/>
    <w:rsid w:val="56B7773E"/>
    <w:rsid w:val="56B91708"/>
    <w:rsid w:val="56BC6B02"/>
    <w:rsid w:val="56C451F9"/>
    <w:rsid w:val="56C854A7"/>
    <w:rsid w:val="56D4639E"/>
    <w:rsid w:val="56DF6C95"/>
    <w:rsid w:val="56E04EE6"/>
    <w:rsid w:val="56E803BD"/>
    <w:rsid w:val="56FD4815"/>
    <w:rsid w:val="570235A6"/>
    <w:rsid w:val="57064221"/>
    <w:rsid w:val="570B18ED"/>
    <w:rsid w:val="570D3802"/>
    <w:rsid w:val="571B7CCD"/>
    <w:rsid w:val="571E156B"/>
    <w:rsid w:val="571F7091"/>
    <w:rsid w:val="57203535"/>
    <w:rsid w:val="57340D8E"/>
    <w:rsid w:val="573B211D"/>
    <w:rsid w:val="573C7C43"/>
    <w:rsid w:val="573E39BB"/>
    <w:rsid w:val="57407733"/>
    <w:rsid w:val="57411DDB"/>
    <w:rsid w:val="576C64D8"/>
    <w:rsid w:val="576C677A"/>
    <w:rsid w:val="576F659A"/>
    <w:rsid w:val="5774562F"/>
    <w:rsid w:val="577675F9"/>
    <w:rsid w:val="57831D16"/>
    <w:rsid w:val="579E61F2"/>
    <w:rsid w:val="57A203EE"/>
    <w:rsid w:val="57AC6B77"/>
    <w:rsid w:val="57B43C7D"/>
    <w:rsid w:val="57BB500C"/>
    <w:rsid w:val="57CF0AB7"/>
    <w:rsid w:val="57D165DD"/>
    <w:rsid w:val="57E00F16"/>
    <w:rsid w:val="57E26A3C"/>
    <w:rsid w:val="57E5652D"/>
    <w:rsid w:val="57EA3B43"/>
    <w:rsid w:val="57EE718F"/>
    <w:rsid w:val="57EF1159"/>
    <w:rsid w:val="57F30C49"/>
    <w:rsid w:val="57F347A6"/>
    <w:rsid w:val="57F8000E"/>
    <w:rsid w:val="57FB7462"/>
    <w:rsid w:val="58070251"/>
    <w:rsid w:val="58095D77"/>
    <w:rsid w:val="580F7106"/>
    <w:rsid w:val="5813309A"/>
    <w:rsid w:val="58207565"/>
    <w:rsid w:val="582E1C82"/>
    <w:rsid w:val="582E3A6C"/>
    <w:rsid w:val="583A6878"/>
    <w:rsid w:val="583E1BC3"/>
    <w:rsid w:val="583E3F5E"/>
    <w:rsid w:val="584B2834"/>
    <w:rsid w:val="584E5E80"/>
    <w:rsid w:val="585B059D"/>
    <w:rsid w:val="586236D9"/>
    <w:rsid w:val="5866766D"/>
    <w:rsid w:val="58711B6E"/>
    <w:rsid w:val="58726012"/>
    <w:rsid w:val="58737694"/>
    <w:rsid w:val="58773629"/>
    <w:rsid w:val="587C0C3F"/>
    <w:rsid w:val="58831FCD"/>
    <w:rsid w:val="588E2720"/>
    <w:rsid w:val="589917F1"/>
    <w:rsid w:val="589D2963"/>
    <w:rsid w:val="58A40196"/>
    <w:rsid w:val="58A75590"/>
    <w:rsid w:val="58AD704A"/>
    <w:rsid w:val="58BA3515"/>
    <w:rsid w:val="58BE1257"/>
    <w:rsid w:val="58C06E06"/>
    <w:rsid w:val="58C85C32"/>
    <w:rsid w:val="58CB74D0"/>
    <w:rsid w:val="58E6255C"/>
    <w:rsid w:val="58EB1921"/>
    <w:rsid w:val="58F702C5"/>
    <w:rsid w:val="58F76517"/>
    <w:rsid w:val="58FF53CC"/>
    <w:rsid w:val="5900361E"/>
    <w:rsid w:val="590D1897"/>
    <w:rsid w:val="591946E0"/>
    <w:rsid w:val="591D7CF8"/>
    <w:rsid w:val="59205A6E"/>
    <w:rsid w:val="5943350B"/>
    <w:rsid w:val="594A6647"/>
    <w:rsid w:val="594F0101"/>
    <w:rsid w:val="59527BF2"/>
    <w:rsid w:val="595474C6"/>
    <w:rsid w:val="595B5841"/>
    <w:rsid w:val="595B6AA6"/>
    <w:rsid w:val="595C281E"/>
    <w:rsid w:val="595C637A"/>
    <w:rsid w:val="596D67DA"/>
    <w:rsid w:val="597436C4"/>
    <w:rsid w:val="597D4EA5"/>
    <w:rsid w:val="597E2795"/>
    <w:rsid w:val="59842DD4"/>
    <w:rsid w:val="598B6C60"/>
    <w:rsid w:val="598F3D58"/>
    <w:rsid w:val="599D70BF"/>
    <w:rsid w:val="599E4BE5"/>
    <w:rsid w:val="59A71CEC"/>
    <w:rsid w:val="59AB5672"/>
    <w:rsid w:val="59B14918"/>
    <w:rsid w:val="59B63CDD"/>
    <w:rsid w:val="59B8606C"/>
    <w:rsid w:val="59BE5287"/>
    <w:rsid w:val="59CC52AE"/>
    <w:rsid w:val="59D16D68"/>
    <w:rsid w:val="59D46859"/>
    <w:rsid w:val="59D93E6F"/>
    <w:rsid w:val="59D97C1C"/>
    <w:rsid w:val="59EA1BD8"/>
    <w:rsid w:val="59F36CDF"/>
    <w:rsid w:val="59F9006D"/>
    <w:rsid w:val="5A074538"/>
    <w:rsid w:val="5A096502"/>
    <w:rsid w:val="5A0F5099"/>
    <w:rsid w:val="5A132EDD"/>
    <w:rsid w:val="5A2C0767"/>
    <w:rsid w:val="5A315A59"/>
    <w:rsid w:val="5A3317D1"/>
    <w:rsid w:val="5A3B4B4C"/>
    <w:rsid w:val="5A4532B2"/>
    <w:rsid w:val="5A4A2677"/>
    <w:rsid w:val="5A4C2893"/>
    <w:rsid w:val="5A5534F6"/>
    <w:rsid w:val="5A5A4FB0"/>
    <w:rsid w:val="5A5D23AA"/>
    <w:rsid w:val="5A6C18A8"/>
    <w:rsid w:val="5A6C7B51"/>
    <w:rsid w:val="5A6E0A5B"/>
    <w:rsid w:val="5A7140A7"/>
    <w:rsid w:val="5A843DDB"/>
    <w:rsid w:val="5A851901"/>
    <w:rsid w:val="5A865DA5"/>
    <w:rsid w:val="5A957D96"/>
    <w:rsid w:val="5A9D549A"/>
    <w:rsid w:val="5A9F6E67"/>
    <w:rsid w:val="5AA601F5"/>
    <w:rsid w:val="5AA77AC9"/>
    <w:rsid w:val="5AA872C0"/>
    <w:rsid w:val="5AAE0E58"/>
    <w:rsid w:val="5AB126F6"/>
    <w:rsid w:val="5AD85ED5"/>
    <w:rsid w:val="5ADA39FB"/>
    <w:rsid w:val="5ADC59C5"/>
    <w:rsid w:val="5AE302FB"/>
    <w:rsid w:val="5AE34FA5"/>
    <w:rsid w:val="5AE605F2"/>
    <w:rsid w:val="5AF076C2"/>
    <w:rsid w:val="5AF116BD"/>
    <w:rsid w:val="5AFC1BC3"/>
    <w:rsid w:val="5B0166A4"/>
    <w:rsid w:val="5B0647F0"/>
    <w:rsid w:val="5B0867BA"/>
    <w:rsid w:val="5B0B0058"/>
    <w:rsid w:val="5B0D3DD0"/>
    <w:rsid w:val="5B0E18F6"/>
    <w:rsid w:val="5B1E422F"/>
    <w:rsid w:val="5B231846"/>
    <w:rsid w:val="5B296730"/>
    <w:rsid w:val="5B372BFB"/>
    <w:rsid w:val="5B3F7D02"/>
    <w:rsid w:val="5B465534"/>
    <w:rsid w:val="5B57504B"/>
    <w:rsid w:val="5B5B0FE0"/>
    <w:rsid w:val="5B5E63DA"/>
    <w:rsid w:val="5B726329"/>
    <w:rsid w:val="5B7E4CCE"/>
    <w:rsid w:val="5B7E6A7C"/>
    <w:rsid w:val="5B835E40"/>
    <w:rsid w:val="5B8D4F11"/>
    <w:rsid w:val="5B955B74"/>
    <w:rsid w:val="5BA26C0E"/>
    <w:rsid w:val="5BA477A6"/>
    <w:rsid w:val="5BA83AF9"/>
    <w:rsid w:val="5BA87F9D"/>
    <w:rsid w:val="5BAD110F"/>
    <w:rsid w:val="5BB26726"/>
    <w:rsid w:val="5BB406F0"/>
    <w:rsid w:val="5BB53EFB"/>
    <w:rsid w:val="5BBB7CD0"/>
    <w:rsid w:val="5BBE156E"/>
    <w:rsid w:val="5BC36B85"/>
    <w:rsid w:val="5BCD17B1"/>
    <w:rsid w:val="5BCF1086"/>
    <w:rsid w:val="5BD85FFE"/>
    <w:rsid w:val="5BDB135C"/>
    <w:rsid w:val="5BE10DB9"/>
    <w:rsid w:val="5BEF05B4"/>
    <w:rsid w:val="5BF46D3E"/>
    <w:rsid w:val="5BFB00CD"/>
    <w:rsid w:val="5BFD3E45"/>
    <w:rsid w:val="5C052CF9"/>
    <w:rsid w:val="5C0C620E"/>
    <w:rsid w:val="5C103962"/>
    <w:rsid w:val="5C186ED1"/>
    <w:rsid w:val="5C1A7CD3"/>
    <w:rsid w:val="5C1F025F"/>
    <w:rsid w:val="5C27405A"/>
    <w:rsid w:val="5C2A0B85"/>
    <w:rsid w:val="5C2A2760"/>
    <w:rsid w:val="5C2F421A"/>
    <w:rsid w:val="5C3435DF"/>
    <w:rsid w:val="5C594DF3"/>
    <w:rsid w:val="5C5A0E93"/>
    <w:rsid w:val="5C5D2B35"/>
    <w:rsid w:val="5C5D38DD"/>
    <w:rsid w:val="5C621EFA"/>
    <w:rsid w:val="5C6914DA"/>
    <w:rsid w:val="5C693288"/>
    <w:rsid w:val="5C6C0FCA"/>
    <w:rsid w:val="5C8A797B"/>
    <w:rsid w:val="5C8E2CEF"/>
    <w:rsid w:val="5CA40764"/>
    <w:rsid w:val="5CA73DB1"/>
    <w:rsid w:val="5CAB2674"/>
    <w:rsid w:val="5CAD62E8"/>
    <w:rsid w:val="5CB5471F"/>
    <w:rsid w:val="5CB87D6C"/>
    <w:rsid w:val="5CBD5382"/>
    <w:rsid w:val="5CC04E72"/>
    <w:rsid w:val="5CCC5BEA"/>
    <w:rsid w:val="5CD209C4"/>
    <w:rsid w:val="5CE172C2"/>
    <w:rsid w:val="5CE62B2B"/>
    <w:rsid w:val="5CE9261B"/>
    <w:rsid w:val="5CF95BBA"/>
    <w:rsid w:val="5D061C6C"/>
    <w:rsid w:val="5D064F7B"/>
    <w:rsid w:val="5D1A6C78"/>
    <w:rsid w:val="5D1C654D"/>
    <w:rsid w:val="5D2418A5"/>
    <w:rsid w:val="5D325D70"/>
    <w:rsid w:val="5D423AD9"/>
    <w:rsid w:val="5D484199"/>
    <w:rsid w:val="5D5578CC"/>
    <w:rsid w:val="5D5850AB"/>
    <w:rsid w:val="5D5E4DB7"/>
    <w:rsid w:val="5D740137"/>
    <w:rsid w:val="5D7719D5"/>
    <w:rsid w:val="5D7E0FB5"/>
    <w:rsid w:val="5D804D2D"/>
    <w:rsid w:val="5D881E34"/>
    <w:rsid w:val="5D8B5480"/>
    <w:rsid w:val="5D944335"/>
    <w:rsid w:val="5D9702C9"/>
    <w:rsid w:val="5D9E7DB7"/>
    <w:rsid w:val="5DA0717E"/>
    <w:rsid w:val="5DB04EE7"/>
    <w:rsid w:val="5DB8393B"/>
    <w:rsid w:val="5DBD6FCC"/>
    <w:rsid w:val="5DC34C1A"/>
    <w:rsid w:val="5DC664B8"/>
    <w:rsid w:val="5DD65655"/>
    <w:rsid w:val="5DDD2180"/>
    <w:rsid w:val="5DF11787"/>
    <w:rsid w:val="5DF179D9"/>
    <w:rsid w:val="5DF52528"/>
    <w:rsid w:val="5DF87BDD"/>
    <w:rsid w:val="5DF92503"/>
    <w:rsid w:val="5E007C1C"/>
    <w:rsid w:val="5E0314BA"/>
    <w:rsid w:val="5E1216FE"/>
    <w:rsid w:val="5E135BA1"/>
    <w:rsid w:val="5E2B3B29"/>
    <w:rsid w:val="5E4F64AE"/>
    <w:rsid w:val="5E510478"/>
    <w:rsid w:val="5E547F68"/>
    <w:rsid w:val="5E60690D"/>
    <w:rsid w:val="5E624433"/>
    <w:rsid w:val="5E6463D9"/>
    <w:rsid w:val="5E745F14"/>
    <w:rsid w:val="5E785A05"/>
    <w:rsid w:val="5E826883"/>
    <w:rsid w:val="5E850121"/>
    <w:rsid w:val="5E8771BA"/>
    <w:rsid w:val="5E8E5228"/>
    <w:rsid w:val="5E966CFA"/>
    <w:rsid w:val="5E9E2432"/>
    <w:rsid w:val="5E9F7435"/>
    <w:rsid w:val="5EA762EA"/>
    <w:rsid w:val="5EA8533D"/>
    <w:rsid w:val="5EB153BA"/>
    <w:rsid w:val="5EB76C25"/>
    <w:rsid w:val="5EC24ED2"/>
    <w:rsid w:val="5EC73876"/>
    <w:rsid w:val="5EC944B2"/>
    <w:rsid w:val="5EE50BC0"/>
    <w:rsid w:val="5EE975A9"/>
    <w:rsid w:val="5EEB4428"/>
    <w:rsid w:val="5EF02961"/>
    <w:rsid w:val="5EF32937"/>
    <w:rsid w:val="5EFA0B0F"/>
    <w:rsid w:val="5EFF7ED4"/>
    <w:rsid w:val="5F021772"/>
    <w:rsid w:val="5F04373C"/>
    <w:rsid w:val="5F0454EA"/>
    <w:rsid w:val="5F096FA4"/>
    <w:rsid w:val="5F0B0627"/>
    <w:rsid w:val="5F125E59"/>
    <w:rsid w:val="5F1555B0"/>
    <w:rsid w:val="5F164C85"/>
    <w:rsid w:val="5F230066"/>
    <w:rsid w:val="5F27742B"/>
    <w:rsid w:val="5F2C1951"/>
    <w:rsid w:val="5F3202A9"/>
    <w:rsid w:val="5F357D99"/>
    <w:rsid w:val="5F3E6C4E"/>
    <w:rsid w:val="5F4B79A1"/>
    <w:rsid w:val="5F4D6E91"/>
    <w:rsid w:val="5F5064A5"/>
    <w:rsid w:val="5F585836"/>
    <w:rsid w:val="5F5C5326"/>
    <w:rsid w:val="5F6966E9"/>
    <w:rsid w:val="5F6E6E08"/>
    <w:rsid w:val="5F701483"/>
    <w:rsid w:val="5F7E529D"/>
    <w:rsid w:val="5F7F7267"/>
    <w:rsid w:val="5F830B05"/>
    <w:rsid w:val="5F893C41"/>
    <w:rsid w:val="5F8D0480"/>
    <w:rsid w:val="5F925575"/>
    <w:rsid w:val="5F954394"/>
    <w:rsid w:val="5F993E84"/>
    <w:rsid w:val="5FA8056B"/>
    <w:rsid w:val="5FB52C88"/>
    <w:rsid w:val="5FBF1411"/>
    <w:rsid w:val="5FC03B07"/>
    <w:rsid w:val="5FC609F2"/>
    <w:rsid w:val="5FD24E2C"/>
    <w:rsid w:val="5FD70E51"/>
    <w:rsid w:val="5FDE4B10"/>
    <w:rsid w:val="5FE1243E"/>
    <w:rsid w:val="5FE13A7D"/>
    <w:rsid w:val="5FE61094"/>
    <w:rsid w:val="5FF67529"/>
    <w:rsid w:val="60011A2A"/>
    <w:rsid w:val="60067040"/>
    <w:rsid w:val="600A6B30"/>
    <w:rsid w:val="600B4656"/>
    <w:rsid w:val="600D03CE"/>
    <w:rsid w:val="60196D73"/>
    <w:rsid w:val="602045A6"/>
    <w:rsid w:val="60275934"/>
    <w:rsid w:val="60367925"/>
    <w:rsid w:val="603C0CB4"/>
    <w:rsid w:val="604D4C6F"/>
    <w:rsid w:val="60527752"/>
    <w:rsid w:val="60567FC7"/>
    <w:rsid w:val="606F1089"/>
    <w:rsid w:val="607641C6"/>
    <w:rsid w:val="60791F08"/>
    <w:rsid w:val="608A7C71"/>
    <w:rsid w:val="609603C4"/>
    <w:rsid w:val="609A4358"/>
    <w:rsid w:val="609D1752"/>
    <w:rsid w:val="609F5AA2"/>
    <w:rsid w:val="60A056E7"/>
    <w:rsid w:val="60A2320D"/>
    <w:rsid w:val="60AA5CA4"/>
    <w:rsid w:val="60AF76D8"/>
    <w:rsid w:val="60B30F76"/>
    <w:rsid w:val="60B52142"/>
    <w:rsid w:val="60B92304"/>
    <w:rsid w:val="60BF3DBF"/>
    <w:rsid w:val="60D64C64"/>
    <w:rsid w:val="60E3046B"/>
    <w:rsid w:val="60E63D35"/>
    <w:rsid w:val="60EA0710"/>
    <w:rsid w:val="60EF5D26"/>
    <w:rsid w:val="60F15600"/>
    <w:rsid w:val="60F17CF0"/>
    <w:rsid w:val="60FB0B6F"/>
    <w:rsid w:val="60FD0443"/>
    <w:rsid w:val="60FD48E7"/>
    <w:rsid w:val="61001CE1"/>
    <w:rsid w:val="6109503A"/>
    <w:rsid w:val="610E7EA6"/>
    <w:rsid w:val="610F0176"/>
    <w:rsid w:val="61161505"/>
    <w:rsid w:val="6129748A"/>
    <w:rsid w:val="6131633F"/>
    <w:rsid w:val="61321F75"/>
    <w:rsid w:val="613320B7"/>
    <w:rsid w:val="614C4F26"/>
    <w:rsid w:val="614E6EF1"/>
    <w:rsid w:val="615171FB"/>
    <w:rsid w:val="61563A1F"/>
    <w:rsid w:val="615A7643"/>
    <w:rsid w:val="61650B39"/>
    <w:rsid w:val="61677FB2"/>
    <w:rsid w:val="616C2131"/>
    <w:rsid w:val="617050B9"/>
    <w:rsid w:val="61705355"/>
    <w:rsid w:val="617F354E"/>
    <w:rsid w:val="618E553F"/>
    <w:rsid w:val="6195042A"/>
    <w:rsid w:val="61954B1F"/>
    <w:rsid w:val="61AF3E33"/>
    <w:rsid w:val="61B5646F"/>
    <w:rsid w:val="61BA6334"/>
    <w:rsid w:val="61BE5E24"/>
    <w:rsid w:val="61C07448"/>
    <w:rsid w:val="61C64A0E"/>
    <w:rsid w:val="61CB6793"/>
    <w:rsid w:val="61E84C4F"/>
    <w:rsid w:val="61E909C7"/>
    <w:rsid w:val="61ED6709"/>
    <w:rsid w:val="61EF2482"/>
    <w:rsid w:val="61FC06FB"/>
    <w:rsid w:val="62013F63"/>
    <w:rsid w:val="62037CDB"/>
    <w:rsid w:val="62143C96"/>
    <w:rsid w:val="621B7BF7"/>
    <w:rsid w:val="6220263B"/>
    <w:rsid w:val="623460E6"/>
    <w:rsid w:val="62353C0D"/>
    <w:rsid w:val="624D2976"/>
    <w:rsid w:val="624D71A8"/>
    <w:rsid w:val="624F4CCE"/>
    <w:rsid w:val="62586279"/>
    <w:rsid w:val="625C73EB"/>
    <w:rsid w:val="626D33A6"/>
    <w:rsid w:val="626F5370"/>
    <w:rsid w:val="627C7CFD"/>
    <w:rsid w:val="62856942"/>
    <w:rsid w:val="62881D10"/>
    <w:rsid w:val="628B71A8"/>
    <w:rsid w:val="628C7CD0"/>
    <w:rsid w:val="628F471D"/>
    <w:rsid w:val="629D3C8C"/>
    <w:rsid w:val="629F355B"/>
    <w:rsid w:val="62A52B40"/>
    <w:rsid w:val="62AF1C11"/>
    <w:rsid w:val="62B56103"/>
    <w:rsid w:val="62C16ED9"/>
    <w:rsid w:val="62C3746A"/>
    <w:rsid w:val="62D33B51"/>
    <w:rsid w:val="62D43425"/>
    <w:rsid w:val="62D67F24"/>
    <w:rsid w:val="62D96C8E"/>
    <w:rsid w:val="62DB47B4"/>
    <w:rsid w:val="62DE6052"/>
    <w:rsid w:val="62ED08B8"/>
    <w:rsid w:val="62F03CA0"/>
    <w:rsid w:val="62FC72F4"/>
    <w:rsid w:val="63116428"/>
    <w:rsid w:val="631B1054"/>
    <w:rsid w:val="631D6B7A"/>
    <w:rsid w:val="631F0B45"/>
    <w:rsid w:val="632C3261"/>
    <w:rsid w:val="632E0D88"/>
    <w:rsid w:val="634265E1"/>
    <w:rsid w:val="63464323"/>
    <w:rsid w:val="63575F86"/>
    <w:rsid w:val="63626C83"/>
    <w:rsid w:val="636429FB"/>
    <w:rsid w:val="636E387A"/>
    <w:rsid w:val="637013A0"/>
    <w:rsid w:val="63732C3E"/>
    <w:rsid w:val="638D4142"/>
    <w:rsid w:val="638E48B2"/>
    <w:rsid w:val="63926A82"/>
    <w:rsid w:val="63B219B9"/>
    <w:rsid w:val="63C45248"/>
    <w:rsid w:val="63C76EA0"/>
    <w:rsid w:val="63C86BF3"/>
    <w:rsid w:val="63C94F54"/>
    <w:rsid w:val="63E0710E"/>
    <w:rsid w:val="63EE34DF"/>
    <w:rsid w:val="63F21DB5"/>
    <w:rsid w:val="63FA6EBC"/>
    <w:rsid w:val="640A35A3"/>
    <w:rsid w:val="641E6213"/>
    <w:rsid w:val="641F230D"/>
    <w:rsid w:val="64202DC6"/>
    <w:rsid w:val="64234664"/>
    <w:rsid w:val="642A77A1"/>
    <w:rsid w:val="642F3009"/>
    <w:rsid w:val="64330225"/>
    <w:rsid w:val="643F5421"/>
    <w:rsid w:val="64414D9F"/>
    <w:rsid w:val="64462101"/>
    <w:rsid w:val="644B6B12"/>
    <w:rsid w:val="645111D2"/>
    <w:rsid w:val="64591E34"/>
    <w:rsid w:val="646031C3"/>
    <w:rsid w:val="64613005"/>
    <w:rsid w:val="646627A3"/>
    <w:rsid w:val="64682077"/>
    <w:rsid w:val="646D3B32"/>
    <w:rsid w:val="64835103"/>
    <w:rsid w:val="648F5856"/>
    <w:rsid w:val="64950FB0"/>
    <w:rsid w:val="649E1F3D"/>
    <w:rsid w:val="64B67287"/>
    <w:rsid w:val="64BB2C51"/>
    <w:rsid w:val="64C00105"/>
    <w:rsid w:val="64C86FBA"/>
    <w:rsid w:val="64CE1ADF"/>
    <w:rsid w:val="64D140C0"/>
    <w:rsid w:val="64D4770D"/>
    <w:rsid w:val="64D81563"/>
    <w:rsid w:val="64D94D23"/>
    <w:rsid w:val="64E04304"/>
    <w:rsid w:val="64E21E2A"/>
    <w:rsid w:val="64EA5D49"/>
    <w:rsid w:val="64EA6203"/>
    <w:rsid w:val="64F34037"/>
    <w:rsid w:val="64F56864"/>
    <w:rsid w:val="64F658D5"/>
    <w:rsid w:val="64F768BB"/>
    <w:rsid w:val="64FB738F"/>
    <w:rsid w:val="651641C9"/>
    <w:rsid w:val="65181CEF"/>
    <w:rsid w:val="6518584B"/>
    <w:rsid w:val="652A4208"/>
    <w:rsid w:val="652C579B"/>
    <w:rsid w:val="6530049D"/>
    <w:rsid w:val="65426D6C"/>
    <w:rsid w:val="65491EA9"/>
    <w:rsid w:val="654E5711"/>
    <w:rsid w:val="655B7E2E"/>
    <w:rsid w:val="656071F2"/>
    <w:rsid w:val="65640EC5"/>
    <w:rsid w:val="65646CE3"/>
    <w:rsid w:val="65674A25"/>
    <w:rsid w:val="6575234C"/>
    <w:rsid w:val="6578453C"/>
    <w:rsid w:val="65817895"/>
    <w:rsid w:val="65827169"/>
    <w:rsid w:val="65842EE1"/>
    <w:rsid w:val="658C6239"/>
    <w:rsid w:val="65964ABA"/>
    <w:rsid w:val="6598698C"/>
    <w:rsid w:val="659F41BF"/>
    <w:rsid w:val="65A76BCF"/>
    <w:rsid w:val="65A84CB2"/>
    <w:rsid w:val="65AE5912"/>
    <w:rsid w:val="65B03CD6"/>
    <w:rsid w:val="65C92FEA"/>
    <w:rsid w:val="65D42C8C"/>
    <w:rsid w:val="65D52E0A"/>
    <w:rsid w:val="65DD0843"/>
    <w:rsid w:val="65DD6A95"/>
    <w:rsid w:val="65EC0A86"/>
    <w:rsid w:val="65FE7137"/>
    <w:rsid w:val="661204ED"/>
    <w:rsid w:val="66187ACD"/>
    <w:rsid w:val="661E3335"/>
    <w:rsid w:val="661F2C0A"/>
    <w:rsid w:val="66316BF6"/>
    <w:rsid w:val="66372649"/>
    <w:rsid w:val="663A3EE7"/>
    <w:rsid w:val="663A5C95"/>
    <w:rsid w:val="665B6338"/>
    <w:rsid w:val="6673555F"/>
    <w:rsid w:val="66790E0E"/>
    <w:rsid w:val="667C1E0A"/>
    <w:rsid w:val="66961DF9"/>
    <w:rsid w:val="669929BC"/>
    <w:rsid w:val="669B6734"/>
    <w:rsid w:val="669C06FE"/>
    <w:rsid w:val="66A17AC3"/>
    <w:rsid w:val="66AF3F8D"/>
    <w:rsid w:val="66BB6DD6"/>
    <w:rsid w:val="66BC66AA"/>
    <w:rsid w:val="66C0263F"/>
    <w:rsid w:val="66D93700"/>
    <w:rsid w:val="66DC0AFB"/>
    <w:rsid w:val="66E53E53"/>
    <w:rsid w:val="66ED0F5A"/>
    <w:rsid w:val="66FD119D"/>
    <w:rsid w:val="66FE0144"/>
    <w:rsid w:val="67065B78"/>
    <w:rsid w:val="670A5668"/>
    <w:rsid w:val="6710229D"/>
    <w:rsid w:val="671169F6"/>
    <w:rsid w:val="6716225F"/>
    <w:rsid w:val="67206C39"/>
    <w:rsid w:val="67226E55"/>
    <w:rsid w:val="673D77EB"/>
    <w:rsid w:val="674212A6"/>
    <w:rsid w:val="67452B44"/>
    <w:rsid w:val="67472D0B"/>
    <w:rsid w:val="67544B35"/>
    <w:rsid w:val="675608AD"/>
    <w:rsid w:val="675E0250"/>
    <w:rsid w:val="675E59B4"/>
    <w:rsid w:val="67636533"/>
    <w:rsid w:val="677156E7"/>
    <w:rsid w:val="67717495"/>
    <w:rsid w:val="677F7E04"/>
    <w:rsid w:val="6784366C"/>
    <w:rsid w:val="67892A30"/>
    <w:rsid w:val="678E2A0F"/>
    <w:rsid w:val="67926C86"/>
    <w:rsid w:val="679715F1"/>
    <w:rsid w:val="67980EC5"/>
    <w:rsid w:val="679A69EC"/>
    <w:rsid w:val="67AE693B"/>
    <w:rsid w:val="67B81568"/>
    <w:rsid w:val="67B850C4"/>
    <w:rsid w:val="67BA52E0"/>
    <w:rsid w:val="67BC2E06"/>
    <w:rsid w:val="67BF6452"/>
    <w:rsid w:val="67C24194"/>
    <w:rsid w:val="67D11C12"/>
    <w:rsid w:val="67D363A2"/>
    <w:rsid w:val="67DF4D46"/>
    <w:rsid w:val="67DF69A0"/>
    <w:rsid w:val="67E67E83"/>
    <w:rsid w:val="67F13E67"/>
    <w:rsid w:val="67FA392E"/>
    <w:rsid w:val="68040309"/>
    <w:rsid w:val="680622D3"/>
    <w:rsid w:val="680B4215"/>
    <w:rsid w:val="680C4CB4"/>
    <w:rsid w:val="68103152"/>
    <w:rsid w:val="681542C4"/>
    <w:rsid w:val="681B1687"/>
    <w:rsid w:val="68232E85"/>
    <w:rsid w:val="68295FC1"/>
    <w:rsid w:val="682B7F8C"/>
    <w:rsid w:val="684D7F02"/>
    <w:rsid w:val="68525518"/>
    <w:rsid w:val="68570D81"/>
    <w:rsid w:val="685F692B"/>
    <w:rsid w:val="68637725"/>
    <w:rsid w:val="68646FFA"/>
    <w:rsid w:val="68751207"/>
    <w:rsid w:val="688D02FE"/>
    <w:rsid w:val="688E39C3"/>
    <w:rsid w:val="689340DA"/>
    <w:rsid w:val="68A1024E"/>
    <w:rsid w:val="68B166E3"/>
    <w:rsid w:val="68B84868"/>
    <w:rsid w:val="68BB130F"/>
    <w:rsid w:val="68BC2510"/>
    <w:rsid w:val="68BC5088"/>
    <w:rsid w:val="68C006D4"/>
    <w:rsid w:val="68C06926"/>
    <w:rsid w:val="68D128E1"/>
    <w:rsid w:val="68DE6DAC"/>
    <w:rsid w:val="68E53982"/>
    <w:rsid w:val="68E57D0D"/>
    <w:rsid w:val="68EF247D"/>
    <w:rsid w:val="68F77E6E"/>
    <w:rsid w:val="68FB5BB0"/>
    <w:rsid w:val="690802CD"/>
    <w:rsid w:val="690A194F"/>
    <w:rsid w:val="69110F2F"/>
    <w:rsid w:val="69140A20"/>
    <w:rsid w:val="69224EEB"/>
    <w:rsid w:val="692A3D9F"/>
    <w:rsid w:val="692C7B17"/>
    <w:rsid w:val="692F13B6"/>
    <w:rsid w:val="69390486"/>
    <w:rsid w:val="694F7CAA"/>
    <w:rsid w:val="695232F6"/>
    <w:rsid w:val="6954706E"/>
    <w:rsid w:val="695E1C9B"/>
    <w:rsid w:val="695E7EED"/>
    <w:rsid w:val="696A4AE4"/>
    <w:rsid w:val="696C43B8"/>
    <w:rsid w:val="69747710"/>
    <w:rsid w:val="697B45FB"/>
    <w:rsid w:val="69801C11"/>
    <w:rsid w:val="698060B5"/>
    <w:rsid w:val="698A2A90"/>
    <w:rsid w:val="698F039B"/>
    <w:rsid w:val="698F6943"/>
    <w:rsid w:val="699527B5"/>
    <w:rsid w:val="699B14A0"/>
    <w:rsid w:val="699F29DF"/>
    <w:rsid w:val="69A06A38"/>
    <w:rsid w:val="69C266CE"/>
    <w:rsid w:val="69CA10DE"/>
    <w:rsid w:val="69D76C03"/>
    <w:rsid w:val="69DB153D"/>
    <w:rsid w:val="69E421A0"/>
    <w:rsid w:val="69E71C90"/>
    <w:rsid w:val="69F50851"/>
    <w:rsid w:val="6A022F6E"/>
    <w:rsid w:val="6A040308"/>
    <w:rsid w:val="6A04384E"/>
    <w:rsid w:val="6A0642F8"/>
    <w:rsid w:val="6A1231B1"/>
    <w:rsid w:val="6A132A85"/>
    <w:rsid w:val="6A1A0F4D"/>
    <w:rsid w:val="6A1F0D5E"/>
    <w:rsid w:val="6A1F142A"/>
    <w:rsid w:val="6A2353BE"/>
    <w:rsid w:val="6A356EA0"/>
    <w:rsid w:val="6A3A6264"/>
    <w:rsid w:val="6A486BD3"/>
    <w:rsid w:val="6A530A85"/>
    <w:rsid w:val="6A585F47"/>
    <w:rsid w:val="6A721EA2"/>
    <w:rsid w:val="6A8501E8"/>
    <w:rsid w:val="6A890F99"/>
    <w:rsid w:val="6A9C0AB3"/>
    <w:rsid w:val="6A9E4A45"/>
    <w:rsid w:val="6AAD2EDA"/>
    <w:rsid w:val="6AAF6C52"/>
    <w:rsid w:val="6AB029CA"/>
    <w:rsid w:val="6AB06526"/>
    <w:rsid w:val="6ABF6769"/>
    <w:rsid w:val="6AD37A5E"/>
    <w:rsid w:val="6ADA17F5"/>
    <w:rsid w:val="6ADF0BB9"/>
    <w:rsid w:val="6AE23394"/>
    <w:rsid w:val="6AE53247"/>
    <w:rsid w:val="6AEA5EDC"/>
    <w:rsid w:val="6AEF34F2"/>
    <w:rsid w:val="6AFA3EE6"/>
    <w:rsid w:val="6AFB3C45"/>
    <w:rsid w:val="6AFC176B"/>
    <w:rsid w:val="6AFC5C0F"/>
    <w:rsid w:val="6AFE320E"/>
    <w:rsid w:val="6AFE7291"/>
    <w:rsid w:val="6B0845B4"/>
    <w:rsid w:val="6B144D07"/>
    <w:rsid w:val="6B1B3F64"/>
    <w:rsid w:val="6B1B7E43"/>
    <w:rsid w:val="6B2313EE"/>
    <w:rsid w:val="6B23319C"/>
    <w:rsid w:val="6B2807B2"/>
    <w:rsid w:val="6B2A62D8"/>
    <w:rsid w:val="6B2C7053"/>
    <w:rsid w:val="6B2D7B77"/>
    <w:rsid w:val="6B362ECF"/>
    <w:rsid w:val="6B3671E3"/>
    <w:rsid w:val="6B421874"/>
    <w:rsid w:val="6B59096C"/>
    <w:rsid w:val="6B64759D"/>
    <w:rsid w:val="6B75170A"/>
    <w:rsid w:val="6B7E5C45"/>
    <w:rsid w:val="6B87197D"/>
    <w:rsid w:val="6B8B20D2"/>
    <w:rsid w:val="6B8B7B2A"/>
    <w:rsid w:val="6B985938"/>
    <w:rsid w:val="6B9E2823"/>
    <w:rsid w:val="6BA918F3"/>
    <w:rsid w:val="6BB777A5"/>
    <w:rsid w:val="6BCA186A"/>
    <w:rsid w:val="6BCE135A"/>
    <w:rsid w:val="6BCE369C"/>
    <w:rsid w:val="6BDE3191"/>
    <w:rsid w:val="6BE24E05"/>
    <w:rsid w:val="6BE741CA"/>
    <w:rsid w:val="6BE91CF0"/>
    <w:rsid w:val="6BFF1513"/>
    <w:rsid w:val="6C007039"/>
    <w:rsid w:val="6C07661A"/>
    <w:rsid w:val="6C117498"/>
    <w:rsid w:val="6C1D408F"/>
    <w:rsid w:val="6C3118E9"/>
    <w:rsid w:val="6C3311BD"/>
    <w:rsid w:val="6C4258A4"/>
    <w:rsid w:val="6C4C227F"/>
    <w:rsid w:val="6C4D6722"/>
    <w:rsid w:val="6C517895"/>
    <w:rsid w:val="6C5A0E3F"/>
    <w:rsid w:val="6C5C0714"/>
    <w:rsid w:val="6C67192F"/>
    <w:rsid w:val="6C69537D"/>
    <w:rsid w:val="6C733CAF"/>
    <w:rsid w:val="6C7A3290"/>
    <w:rsid w:val="6C81017A"/>
    <w:rsid w:val="6C841A18"/>
    <w:rsid w:val="6C845EBC"/>
    <w:rsid w:val="6C8824FD"/>
    <w:rsid w:val="6C937EAD"/>
    <w:rsid w:val="6C9C6D62"/>
    <w:rsid w:val="6CA83959"/>
    <w:rsid w:val="6CAD5413"/>
    <w:rsid w:val="6CB467A2"/>
    <w:rsid w:val="6CB57E24"/>
    <w:rsid w:val="6CBA368C"/>
    <w:rsid w:val="6CBB2471"/>
    <w:rsid w:val="6CBF6EF4"/>
    <w:rsid w:val="6CC30793"/>
    <w:rsid w:val="6CCD33BF"/>
    <w:rsid w:val="6CD96208"/>
    <w:rsid w:val="6CF070AE"/>
    <w:rsid w:val="6CFB084B"/>
    <w:rsid w:val="6D090170"/>
    <w:rsid w:val="6D0A4613"/>
    <w:rsid w:val="6D0B50E1"/>
    <w:rsid w:val="6D0D7C60"/>
    <w:rsid w:val="6D196605"/>
    <w:rsid w:val="6D272963"/>
    <w:rsid w:val="6D286848"/>
    <w:rsid w:val="6D325918"/>
    <w:rsid w:val="6D3451EC"/>
    <w:rsid w:val="6D3723B5"/>
    <w:rsid w:val="6D413DAD"/>
    <w:rsid w:val="6D561607"/>
    <w:rsid w:val="6D5E670D"/>
    <w:rsid w:val="6D620248"/>
    <w:rsid w:val="6D637130"/>
    <w:rsid w:val="6D727A37"/>
    <w:rsid w:val="6D7A3B1D"/>
    <w:rsid w:val="6D7A4C58"/>
    <w:rsid w:val="6D7B72BF"/>
    <w:rsid w:val="6D8819DC"/>
    <w:rsid w:val="6D8A12B0"/>
    <w:rsid w:val="6D965EA7"/>
    <w:rsid w:val="6D966D66"/>
    <w:rsid w:val="6DB12CE1"/>
    <w:rsid w:val="6DB602F7"/>
    <w:rsid w:val="6DB620A5"/>
    <w:rsid w:val="6DC47772"/>
    <w:rsid w:val="6DCA5B51"/>
    <w:rsid w:val="6DCD73EF"/>
    <w:rsid w:val="6DCF13B9"/>
    <w:rsid w:val="6DD16EDF"/>
    <w:rsid w:val="6DD662A4"/>
    <w:rsid w:val="6DD93FE6"/>
    <w:rsid w:val="6DDB5ED7"/>
    <w:rsid w:val="6DEE183F"/>
    <w:rsid w:val="6DEE5CE3"/>
    <w:rsid w:val="6E00474B"/>
    <w:rsid w:val="6E027DEE"/>
    <w:rsid w:val="6E080427"/>
    <w:rsid w:val="6E0C43BB"/>
    <w:rsid w:val="6E0D63CB"/>
    <w:rsid w:val="6E0E1EE1"/>
    <w:rsid w:val="6E192634"/>
    <w:rsid w:val="6E254B52"/>
    <w:rsid w:val="6E272FA3"/>
    <w:rsid w:val="6E2E4332"/>
    <w:rsid w:val="6E2F3C06"/>
    <w:rsid w:val="6E386F5E"/>
    <w:rsid w:val="6E3A0F28"/>
    <w:rsid w:val="6E4678CD"/>
    <w:rsid w:val="6E49116B"/>
    <w:rsid w:val="6E582425"/>
    <w:rsid w:val="6E5D4C17"/>
    <w:rsid w:val="6E6164B5"/>
    <w:rsid w:val="6E647D53"/>
    <w:rsid w:val="6E6715F2"/>
    <w:rsid w:val="6E6E0BD2"/>
    <w:rsid w:val="6E6E2980"/>
    <w:rsid w:val="6E770199"/>
    <w:rsid w:val="6E775CD9"/>
    <w:rsid w:val="6E804461"/>
    <w:rsid w:val="6E82467D"/>
    <w:rsid w:val="6E8E3022"/>
    <w:rsid w:val="6E8E6B7E"/>
    <w:rsid w:val="6E971ED7"/>
    <w:rsid w:val="6EB56801"/>
    <w:rsid w:val="6EB8009F"/>
    <w:rsid w:val="6EC151A6"/>
    <w:rsid w:val="6EC24A7A"/>
    <w:rsid w:val="6EC90FA9"/>
    <w:rsid w:val="6EC922AC"/>
    <w:rsid w:val="6ECD6879"/>
    <w:rsid w:val="6ED053E9"/>
    <w:rsid w:val="6EDB52E8"/>
    <w:rsid w:val="6EE13A52"/>
    <w:rsid w:val="6EE77854"/>
    <w:rsid w:val="6EFA06B8"/>
    <w:rsid w:val="6F060E0B"/>
    <w:rsid w:val="6F1145BE"/>
    <w:rsid w:val="6F170ABC"/>
    <w:rsid w:val="6F23376B"/>
    <w:rsid w:val="6F26325B"/>
    <w:rsid w:val="6F377216"/>
    <w:rsid w:val="6F465337"/>
    <w:rsid w:val="6F5953DE"/>
    <w:rsid w:val="6F6C348A"/>
    <w:rsid w:val="6F7264A0"/>
    <w:rsid w:val="6F741C1C"/>
    <w:rsid w:val="6F800BBD"/>
    <w:rsid w:val="6F885A98"/>
    <w:rsid w:val="6F8D5088"/>
    <w:rsid w:val="6F9D176F"/>
    <w:rsid w:val="6FA26D85"/>
    <w:rsid w:val="6FA348AB"/>
    <w:rsid w:val="6FB35C1F"/>
    <w:rsid w:val="6FB72105"/>
    <w:rsid w:val="6FCA008A"/>
    <w:rsid w:val="6FCF38F2"/>
    <w:rsid w:val="6FD11419"/>
    <w:rsid w:val="6FE1063B"/>
    <w:rsid w:val="6FE2261D"/>
    <w:rsid w:val="6FE253D4"/>
    <w:rsid w:val="6FEF189F"/>
    <w:rsid w:val="6FFB46E7"/>
    <w:rsid w:val="70161521"/>
    <w:rsid w:val="703C3C5F"/>
    <w:rsid w:val="703D260A"/>
    <w:rsid w:val="703F52A1"/>
    <w:rsid w:val="70433998"/>
    <w:rsid w:val="70453BB5"/>
    <w:rsid w:val="705362D1"/>
    <w:rsid w:val="706A7177"/>
    <w:rsid w:val="706E6C67"/>
    <w:rsid w:val="707A385E"/>
    <w:rsid w:val="708435E7"/>
    <w:rsid w:val="70893AA1"/>
    <w:rsid w:val="709A3F00"/>
    <w:rsid w:val="70A1528F"/>
    <w:rsid w:val="70A24B63"/>
    <w:rsid w:val="70A42689"/>
    <w:rsid w:val="70A46B2D"/>
    <w:rsid w:val="70A628A5"/>
    <w:rsid w:val="70B14DA6"/>
    <w:rsid w:val="70B86135"/>
    <w:rsid w:val="70C25205"/>
    <w:rsid w:val="70CA0C85"/>
    <w:rsid w:val="70CA344A"/>
    <w:rsid w:val="70D171F6"/>
    <w:rsid w:val="70D6480D"/>
    <w:rsid w:val="70D80585"/>
    <w:rsid w:val="70E6077F"/>
    <w:rsid w:val="70F27898"/>
    <w:rsid w:val="70F57389"/>
    <w:rsid w:val="70FA04FB"/>
    <w:rsid w:val="71031AA6"/>
    <w:rsid w:val="711710AD"/>
    <w:rsid w:val="71184E25"/>
    <w:rsid w:val="711C0290"/>
    <w:rsid w:val="71235CA4"/>
    <w:rsid w:val="712706EE"/>
    <w:rsid w:val="71291C67"/>
    <w:rsid w:val="713A4D9B"/>
    <w:rsid w:val="713C6D66"/>
    <w:rsid w:val="7141612A"/>
    <w:rsid w:val="71445C1A"/>
    <w:rsid w:val="714B51FB"/>
    <w:rsid w:val="714C7F19"/>
    <w:rsid w:val="714D4ACF"/>
    <w:rsid w:val="71504316"/>
    <w:rsid w:val="71520337"/>
    <w:rsid w:val="7162598C"/>
    <w:rsid w:val="716D33C3"/>
    <w:rsid w:val="716D5171"/>
    <w:rsid w:val="716F713B"/>
    <w:rsid w:val="717402AD"/>
    <w:rsid w:val="71956476"/>
    <w:rsid w:val="719E17CE"/>
    <w:rsid w:val="71A36DE5"/>
    <w:rsid w:val="71A843FB"/>
    <w:rsid w:val="71AF7537"/>
    <w:rsid w:val="71B132B0"/>
    <w:rsid w:val="71B37676"/>
    <w:rsid w:val="71B7463E"/>
    <w:rsid w:val="71C64881"/>
    <w:rsid w:val="71CA4371"/>
    <w:rsid w:val="71CF4952"/>
    <w:rsid w:val="71DF78C7"/>
    <w:rsid w:val="71E573FD"/>
    <w:rsid w:val="71E92465"/>
    <w:rsid w:val="71F25676"/>
    <w:rsid w:val="71F907B3"/>
    <w:rsid w:val="72021D5D"/>
    <w:rsid w:val="72031631"/>
    <w:rsid w:val="72037883"/>
    <w:rsid w:val="72071122"/>
    <w:rsid w:val="720B30C4"/>
    <w:rsid w:val="72181581"/>
    <w:rsid w:val="7238273E"/>
    <w:rsid w:val="723C7A77"/>
    <w:rsid w:val="72655E48"/>
    <w:rsid w:val="726A7902"/>
    <w:rsid w:val="726F6CC7"/>
    <w:rsid w:val="72765F2F"/>
    <w:rsid w:val="727D2B35"/>
    <w:rsid w:val="72834520"/>
    <w:rsid w:val="729055BB"/>
    <w:rsid w:val="72916C3D"/>
    <w:rsid w:val="729270E5"/>
    <w:rsid w:val="729F75AC"/>
    <w:rsid w:val="72AC1CC9"/>
    <w:rsid w:val="72AC3A77"/>
    <w:rsid w:val="72B312A9"/>
    <w:rsid w:val="72B62B48"/>
    <w:rsid w:val="72B73CFC"/>
    <w:rsid w:val="72BD5C84"/>
    <w:rsid w:val="72C708B1"/>
    <w:rsid w:val="72CC4119"/>
    <w:rsid w:val="72CF2B5D"/>
    <w:rsid w:val="72D57D54"/>
    <w:rsid w:val="72D8486C"/>
    <w:rsid w:val="72E90827"/>
    <w:rsid w:val="72ED1180"/>
    <w:rsid w:val="72F63973"/>
    <w:rsid w:val="72FD6CE3"/>
    <w:rsid w:val="73012015"/>
    <w:rsid w:val="731C0BFD"/>
    <w:rsid w:val="732144AE"/>
    <w:rsid w:val="7329156C"/>
    <w:rsid w:val="73306086"/>
    <w:rsid w:val="73357F10"/>
    <w:rsid w:val="73373C88"/>
    <w:rsid w:val="734038C7"/>
    <w:rsid w:val="735A34D3"/>
    <w:rsid w:val="73697BBA"/>
    <w:rsid w:val="73740A39"/>
    <w:rsid w:val="737D01A5"/>
    <w:rsid w:val="737F73DD"/>
    <w:rsid w:val="73813156"/>
    <w:rsid w:val="73920EBF"/>
    <w:rsid w:val="739369E5"/>
    <w:rsid w:val="73940E66"/>
    <w:rsid w:val="739A0A6D"/>
    <w:rsid w:val="73A909E7"/>
    <w:rsid w:val="73B40E35"/>
    <w:rsid w:val="73BE4472"/>
    <w:rsid w:val="73C53042"/>
    <w:rsid w:val="73C82B32"/>
    <w:rsid w:val="73DC038C"/>
    <w:rsid w:val="73E3796C"/>
    <w:rsid w:val="73E7745D"/>
    <w:rsid w:val="73EA7128"/>
    <w:rsid w:val="73F152F7"/>
    <w:rsid w:val="73FE6554"/>
    <w:rsid w:val="74053F37"/>
    <w:rsid w:val="74060659"/>
    <w:rsid w:val="740A4EF9"/>
    <w:rsid w:val="74251D33"/>
    <w:rsid w:val="742A67B4"/>
    <w:rsid w:val="742D6E39"/>
    <w:rsid w:val="742F4960"/>
    <w:rsid w:val="742F670E"/>
    <w:rsid w:val="74312486"/>
    <w:rsid w:val="74341F76"/>
    <w:rsid w:val="743B1556"/>
    <w:rsid w:val="745126A4"/>
    <w:rsid w:val="745443C6"/>
    <w:rsid w:val="74566390"/>
    <w:rsid w:val="74604B19"/>
    <w:rsid w:val="74626AE3"/>
    <w:rsid w:val="74654A31"/>
    <w:rsid w:val="746A30AF"/>
    <w:rsid w:val="747131CA"/>
    <w:rsid w:val="7476433D"/>
    <w:rsid w:val="7487654A"/>
    <w:rsid w:val="748C0004"/>
    <w:rsid w:val="748F53FE"/>
    <w:rsid w:val="749E3893"/>
    <w:rsid w:val="74B01F34"/>
    <w:rsid w:val="74B310ED"/>
    <w:rsid w:val="74B82BA7"/>
    <w:rsid w:val="74D86DA5"/>
    <w:rsid w:val="74DC4AE7"/>
    <w:rsid w:val="74DF33C2"/>
    <w:rsid w:val="74E474F8"/>
    <w:rsid w:val="74E90FB2"/>
    <w:rsid w:val="74EE0377"/>
    <w:rsid w:val="74F11C15"/>
    <w:rsid w:val="74F226A2"/>
    <w:rsid w:val="74FD680C"/>
    <w:rsid w:val="75134281"/>
    <w:rsid w:val="75151DA7"/>
    <w:rsid w:val="75265D63"/>
    <w:rsid w:val="75271ADB"/>
    <w:rsid w:val="752F05A1"/>
    <w:rsid w:val="753A79B9"/>
    <w:rsid w:val="753D1D52"/>
    <w:rsid w:val="755D54FC"/>
    <w:rsid w:val="755F3023"/>
    <w:rsid w:val="75695C4F"/>
    <w:rsid w:val="75731778"/>
    <w:rsid w:val="75864A53"/>
    <w:rsid w:val="75867A54"/>
    <w:rsid w:val="75874327"/>
    <w:rsid w:val="759E3B4B"/>
    <w:rsid w:val="75A60C51"/>
    <w:rsid w:val="75A629FF"/>
    <w:rsid w:val="75B72E5F"/>
    <w:rsid w:val="75B94E29"/>
    <w:rsid w:val="75BF7F65"/>
    <w:rsid w:val="75C64E50"/>
    <w:rsid w:val="75D4756D"/>
    <w:rsid w:val="75DE488F"/>
    <w:rsid w:val="75E33C54"/>
    <w:rsid w:val="75E8126A"/>
    <w:rsid w:val="75EA4FE2"/>
    <w:rsid w:val="75ED4AD2"/>
    <w:rsid w:val="75F33C0C"/>
    <w:rsid w:val="75F40C15"/>
    <w:rsid w:val="75F45E61"/>
    <w:rsid w:val="75F55735"/>
    <w:rsid w:val="75FC2F67"/>
    <w:rsid w:val="760D2EF2"/>
    <w:rsid w:val="760F2C9B"/>
    <w:rsid w:val="760F4A49"/>
    <w:rsid w:val="762027B2"/>
    <w:rsid w:val="7630676D"/>
    <w:rsid w:val="763174AC"/>
    <w:rsid w:val="76320737"/>
    <w:rsid w:val="763224E5"/>
    <w:rsid w:val="763610AE"/>
    <w:rsid w:val="763E0E8A"/>
    <w:rsid w:val="765B5EE0"/>
    <w:rsid w:val="76635DC4"/>
    <w:rsid w:val="766A1C7F"/>
    <w:rsid w:val="766A7ED1"/>
    <w:rsid w:val="767303A5"/>
    <w:rsid w:val="76766876"/>
    <w:rsid w:val="767C3293"/>
    <w:rsid w:val="768076F4"/>
    <w:rsid w:val="768F16E6"/>
    <w:rsid w:val="7691545E"/>
    <w:rsid w:val="769211D6"/>
    <w:rsid w:val="76940C2C"/>
    <w:rsid w:val="769D02A6"/>
    <w:rsid w:val="76A271F5"/>
    <w:rsid w:val="76A71125"/>
    <w:rsid w:val="76AA29C3"/>
    <w:rsid w:val="76AF3B36"/>
    <w:rsid w:val="76B13204"/>
    <w:rsid w:val="76B34D70"/>
    <w:rsid w:val="76B94818"/>
    <w:rsid w:val="76BF646F"/>
    <w:rsid w:val="76C23869"/>
    <w:rsid w:val="76C375E1"/>
    <w:rsid w:val="76C45833"/>
    <w:rsid w:val="76C9109B"/>
    <w:rsid w:val="76CD04E1"/>
    <w:rsid w:val="76D35A76"/>
    <w:rsid w:val="76E063E5"/>
    <w:rsid w:val="76E732D0"/>
    <w:rsid w:val="76E934EC"/>
    <w:rsid w:val="76EE0B02"/>
    <w:rsid w:val="76F105F2"/>
    <w:rsid w:val="77000CD5"/>
    <w:rsid w:val="770025E3"/>
    <w:rsid w:val="7702635B"/>
    <w:rsid w:val="77033593"/>
    <w:rsid w:val="77074F13"/>
    <w:rsid w:val="770A5210"/>
    <w:rsid w:val="770E6AAE"/>
    <w:rsid w:val="77100A78"/>
    <w:rsid w:val="771340C5"/>
    <w:rsid w:val="771A18F7"/>
    <w:rsid w:val="7722255A"/>
    <w:rsid w:val="77324E93"/>
    <w:rsid w:val="774626EC"/>
    <w:rsid w:val="77495D38"/>
    <w:rsid w:val="77557272"/>
    <w:rsid w:val="77567A5A"/>
    <w:rsid w:val="77581A27"/>
    <w:rsid w:val="77674410"/>
    <w:rsid w:val="77692F57"/>
    <w:rsid w:val="776C3BF4"/>
    <w:rsid w:val="776F2434"/>
    <w:rsid w:val="777A05E8"/>
    <w:rsid w:val="77813724"/>
    <w:rsid w:val="7783749C"/>
    <w:rsid w:val="778B6351"/>
    <w:rsid w:val="77A85155"/>
    <w:rsid w:val="77AB69F3"/>
    <w:rsid w:val="77AE3DED"/>
    <w:rsid w:val="77B97AF7"/>
    <w:rsid w:val="77BE6726"/>
    <w:rsid w:val="77ED0DBA"/>
    <w:rsid w:val="77EE0756"/>
    <w:rsid w:val="77F76CBF"/>
    <w:rsid w:val="78004072"/>
    <w:rsid w:val="78047EB1"/>
    <w:rsid w:val="780B2420"/>
    <w:rsid w:val="78174088"/>
    <w:rsid w:val="78197E01"/>
    <w:rsid w:val="782A7918"/>
    <w:rsid w:val="78417C09"/>
    <w:rsid w:val="784529A4"/>
    <w:rsid w:val="78484242"/>
    <w:rsid w:val="784A7FBA"/>
    <w:rsid w:val="784C1F84"/>
    <w:rsid w:val="784F737E"/>
    <w:rsid w:val="78544995"/>
    <w:rsid w:val="7866291A"/>
    <w:rsid w:val="786762CD"/>
    <w:rsid w:val="7872306D"/>
    <w:rsid w:val="78743289"/>
    <w:rsid w:val="788334CC"/>
    <w:rsid w:val="78880AE2"/>
    <w:rsid w:val="78886D34"/>
    <w:rsid w:val="788A485A"/>
    <w:rsid w:val="788D60F9"/>
    <w:rsid w:val="78972AD3"/>
    <w:rsid w:val="78975661"/>
    <w:rsid w:val="78A21BA4"/>
    <w:rsid w:val="78AC2A23"/>
    <w:rsid w:val="78AF42C1"/>
    <w:rsid w:val="78B2790D"/>
    <w:rsid w:val="78B43685"/>
    <w:rsid w:val="78C0027C"/>
    <w:rsid w:val="78C7160B"/>
    <w:rsid w:val="78D6184E"/>
    <w:rsid w:val="78D67AA0"/>
    <w:rsid w:val="78D9133E"/>
    <w:rsid w:val="78E26444"/>
    <w:rsid w:val="78F921D5"/>
    <w:rsid w:val="78FD502C"/>
    <w:rsid w:val="78FE478C"/>
    <w:rsid w:val="79053EE1"/>
    <w:rsid w:val="7919798C"/>
    <w:rsid w:val="792A3948"/>
    <w:rsid w:val="792A5904"/>
    <w:rsid w:val="79386064"/>
    <w:rsid w:val="79442C5B"/>
    <w:rsid w:val="795A5FDB"/>
    <w:rsid w:val="79654980"/>
    <w:rsid w:val="79667075"/>
    <w:rsid w:val="796C5D0E"/>
    <w:rsid w:val="796E1425"/>
    <w:rsid w:val="79825532"/>
    <w:rsid w:val="798B088A"/>
    <w:rsid w:val="79975481"/>
    <w:rsid w:val="79997202"/>
    <w:rsid w:val="799F7E92"/>
    <w:rsid w:val="79A61220"/>
    <w:rsid w:val="79C36276"/>
    <w:rsid w:val="79D72361"/>
    <w:rsid w:val="79D85537"/>
    <w:rsid w:val="79DA66F5"/>
    <w:rsid w:val="79DC7338"/>
    <w:rsid w:val="79DF0BD6"/>
    <w:rsid w:val="79E63D12"/>
    <w:rsid w:val="79E93803"/>
    <w:rsid w:val="79ED32F3"/>
    <w:rsid w:val="79EE2C15"/>
    <w:rsid w:val="79F006ED"/>
    <w:rsid w:val="79F53F55"/>
    <w:rsid w:val="79FE105C"/>
    <w:rsid w:val="7A15284A"/>
    <w:rsid w:val="7A17211E"/>
    <w:rsid w:val="7A2605B3"/>
    <w:rsid w:val="7A3A405E"/>
    <w:rsid w:val="7A4647B1"/>
    <w:rsid w:val="7A48677B"/>
    <w:rsid w:val="7A4B626B"/>
    <w:rsid w:val="7A5073DE"/>
    <w:rsid w:val="7A5223BA"/>
    <w:rsid w:val="7A523156"/>
    <w:rsid w:val="7A527695"/>
    <w:rsid w:val="7A5C3FD5"/>
    <w:rsid w:val="7A7632E8"/>
    <w:rsid w:val="7A886B78"/>
    <w:rsid w:val="7A8F6158"/>
    <w:rsid w:val="7A903C7E"/>
    <w:rsid w:val="7A905521"/>
    <w:rsid w:val="7A951295"/>
    <w:rsid w:val="7A9C0875"/>
    <w:rsid w:val="7AA5772A"/>
    <w:rsid w:val="7AA65250"/>
    <w:rsid w:val="7AAA0409"/>
    <w:rsid w:val="7ABB519F"/>
    <w:rsid w:val="7ABE04E2"/>
    <w:rsid w:val="7AC878BC"/>
    <w:rsid w:val="7ACE4ED2"/>
    <w:rsid w:val="7AD41DBD"/>
    <w:rsid w:val="7ADC2AB7"/>
    <w:rsid w:val="7ADC6EC3"/>
    <w:rsid w:val="7B0C1557"/>
    <w:rsid w:val="7B111613"/>
    <w:rsid w:val="7B113011"/>
    <w:rsid w:val="7B130B37"/>
    <w:rsid w:val="7B18614D"/>
    <w:rsid w:val="7B1D7C08"/>
    <w:rsid w:val="7B1E74DC"/>
    <w:rsid w:val="7B4554D0"/>
    <w:rsid w:val="7B4F7695"/>
    <w:rsid w:val="7B503B39"/>
    <w:rsid w:val="7B5829EE"/>
    <w:rsid w:val="7B5B603A"/>
    <w:rsid w:val="7B5F1FCE"/>
    <w:rsid w:val="7B6018A2"/>
    <w:rsid w:val="7B643141"/>
    <w:rsid w:val="7B6475E5"/>
    <w:rsid w:val="7B713AB0"/>
    <w:rsid w:val="7B7F441F"/>
    <w:rsid w:val="7B8053BB"/>
    <w:rsid w:val="7B881ADD"/>
    <w:rsid w:val="7B9A4DB4"/>
    <w:rsid w:val="7B9B28DB"/>
    <w:rsid w:val="7BA43E85"/>
    <w:rsid w:val="7BA774D1"/>
    <w:rsid w:val="7BA93249"/>
    <w:rsid w:val="7BAC57D1"/>
    <w:rsid w:val="7BBD4F47"/>
    <w:rsid w:val="7BC65BA9"/>
    <w:rsid w:val="7BE129E3"/>
    <w:rsid w:val="7BE1474D"/>
    <w:rsid w:val="7BED75DA"/>
    <w:rsid w:val="7BF24BF0"/>
    <w:rsid w:val="7BF2699E"/>
    <w:rsid w:val="7BF5648F"/>
    <w:rsid w:val="7BFA1CF7"/>
    <w:rsid w:val="7BFD3595"/>
    <w:rsid w:val="7C0466D2"/>
    <w:rsid w:val="7C063900"/>
    <w:rsid w:val="7C09018C"/>
    <w:rsid w:val="7C0C5586"/>
    <w:rsid w:val="7C13614C"/>
    <w:rsid w:val="7C136AFF"/>
    <w:rsid w:val="7C1A7CA3"/>
    <w:rsid w:val="7C266648"/>
    <w:rsid w:val="7C2E19A1"/>
    <w:rsid w:val="7C321491"/>
    <w:rsid w:val="7C3A20F4"/>
    <w:rsid w:val="7C666937"/>
    <w:rsid w:val="7C686C61"/>
    <w:rsid w:val="7C6D071B"/>
    <w:rsid w:val="7C8B0BA1"/>
    <w:rsid w:val="7C8B67E2"/>
    <w:rsid w:val="7C921F30"/>
    <w:rsid w:val="7C99506C"/>
    <w:rsid w:val="7C9960E8"/>
    <w:rsid w:val="7C9B7036"/>
    <w:rsid w:val="7CA37C99"/>
    <w:rsid w:val="7CA67789"/>
    <w:rsid w:val="7CA8270B"/>
    <w:rsid w:val="7CA85BD2"/>
    <w:rsid w:val="7CB43C54"/>
    <w:rsid w:val="7CC92281"/>
    <w:rsid w:val="7CCA791B"/>
    <w:rsid w:val="7CD67231"/>
    <w:rsid w:val="7CDC31AB"/>
    <w:rsid w:val="7CDE6F23"/>
    <w:rsid w:val="7CE32CDB"/>
    <w:rsid w:val="7CEC7892"/>
    <w:rsid w:val="7CF16C56"/>
    <w:rsid w:val="7D00333D"/>
    <w:rsid w:val="7D006E99"/>
    <w:rsid w:val="7D056BA5"/>
    <w:rsid w:val="7D1312C2"/>
    <w:rsid w:val="7D160F4B"/>
    <w:rsid w:val="7D226E2B"/>
    <w:rsid w:val="7D252DA4"/>
    <w:rsid w:val="7D2F2D01"/>
    <w:rsid w:val="7D2F3C22"/>
    <w:rsid w:val="7D3905FD"/>
    <w:rsid w:val="7D3B4375"/>
    <w:rsid w:val="7D40373A"/>
    <w:rsid w:val="7D480840"/>
    <w:rsid w:val="7D5471E5"/>
    <w:rsid w:val="7D594473"/>
    <w:rsid w:val="7D5947FB"/>
    <w:rsid w:val="7D5B0573"/>
    <w:rsid w:val="7D5B4A17"/>
    <w:rsid w:val="7D5F62B6"/>
    <w:rsid w:val="7D6E474B"/>
    <w:rsid w:val="7D755452"/>
    <w:rsid w:val="7D807FDA"/>
    <w:rsid w:val="7D845D1C"/>
    <w:rsid w:val="7D8E6B9B"/>
    <w:rsid w:val="7D913F95"/>
    <w:rsid w:val="7D943A85"/>
    <w:rsid w:val="7D951CD7"/>
    <w:rsid w:val="7D965A4F"/>
    <w:rsid w:val="7D9D4043"/>
    <w:rsid w:val="7D9F66B2"/>
    <w:rsid w:val="7DAE2D20"/>
    <w:rsid w:val="7DB3215D"/>
    <w:rsid w:val="7DC36C22"/>
    <w:rsid w:val="7DC554D9"/>
    <w:rsid w:val="7DD93832"/>
    <w:rsid w:val="7DDC7906"/>
    <w:rsid w:val="7DDD367E"/>
    <w:rsid w:val="7DE62533"/>
    <w:rsid w:val="7DE762AB"/>
    <w:rsid w:val="7DF12C86"/>
    <w:rsid w:val="7DF2732D"/>
    <w:rsid w:val="7DFD7711"/>
    <w:rsid w:val="7E2766A8"/>
    <w:rsid w:val="7E2B263C"/>
    <w:rsid w:val="7E2D1F10"/>
    <w:rsid w:val="7E33329E"/>
    <w:rsid w:val="7E464D80"/>
    <w:rsid w:val="7E4D25B2"/>
    <w:rsid w:val="7E5A4CCF"/>
    <w:rsid w:val="7E6B47E6"/>
    <w:rsid w:val="7E8B4E88"/>
    <w:rsid w:val="7E8D0C00"/>
    <w:rsid w:val="7E931ED2"/>
    <w:rsid w:val="7E9C7095"/>
    <w:rsid w:val="7E9F0934"/>
    <w:rsid w:val="7EAA17B2"/>
    <w:rsid w:val="7EAA3560"/>
    <w:rsid w:val="7EAA512E"/>
    <w:rsid w:val="7ECA3C03"/>
    <w:rsid w:val="7ECD724F"/>
    <w:rsid w:val="7ED21514"/>
    <w:rsid w:val="7EE822DB"/>
    <w:rsid w:val="7EEB39F8"/>
    <w:rsid w:val="7EF10D53"/>
    <w:rsid w:val="7EF23159"/>
    <w:rsid w:val="7EF944E8"/>
    <w:rsid w:val="7EFA2FCA"/>
    <w:rsid w:val="7F030EC3"/>
    <w:rsid w:val="7F1A64F1"/>
    <w:rsid w:val="7F1B620C"/>
    <w:rsid w:val="7F2A644F"/>
    <w:rsid w:val="7F2A6733"/>
    <w:rsid w:val="7F2D4191"/>
    <w:rsid w:val="7F3D2627"/>
    <w:rsid w:val="7F413799"/>
    <w:rsid w:val="7F475253"/>
    <w:rsid w:val="7F480FCB"/>
    <w:rsid w:val="7F531E4A"/>
    <w:rsid w:val="7F567244"/>
    <w:rsid w:val="7F625BE9"/>
    <w:rsid w:val="7F651B7D"/>
    <w:rsid w:val="7F6D458E"/>
    <w:rsid w:val="7F736048"/>
    <w:rsid w:val="7F761D48"/>
    <w:rsid w:val="7F82628B"/>
    <w:rsid w:val="7F89586C"/>
    <w:rsid w:val="7FA2248A"/>
    <w:rsid w:val="7FA2692E"/>
    <w:rsid w:val="7FA77AA0"/>
    <w:rsid w:val="7FA93818"/>
    <w:rsid w:val="7FAC4C43"/>
    <w:rsid w:val="7FAC50B6"/>
    <w:rsid w:val="7FB328E9"/>
    <w:rsid w:val="7FB34697"/>
    <w:rsid w:val="7FBF128D"/>
    <w:rsid w:val="7FEB2083"/>
    <w:rsid w:val="7FF80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qFormat="1" w:unhideWhenUsed="0" w:uiPriority="39" w:semiHidden="0" w:name="toc 4"/>
    <w:lsdException w:uiPriority="0" w:name="toc 5"/>
    <w:lsdException w:qFormat="1" w:unhideWhenUsed="0" w:uiPriority="0" w:semiHidden="0" w:name="toc 6"/>
    <w:lsdException w:uiPriority="0" w:name="toc 7"/>
    <w:lsdException w:uiPriority="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99"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99" w:semiHidden="0" w:name="Date"/>
    <w:lsdException w:qFormat="1" w:uiPriority="99"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3"/>
    <w:link w:val="75"/>
    <w:qFormat/>
    <w:uiPriority w:val="99"/>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7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102"/>
    <w:qFormat/>
    <w:uiPriority w:val="0"/>
    <w:pPr>
      <w:keepNext/>
      <w:keepLines/>
      <w:spacing w:before="260" w:after="260" w:line="416" w:lineRule="auto"/>
      <w:outlineLvl w:val="2"/>
    </w:pPr>
    <w:rPr>
      <w:b/>
      <w:bCs/>
      <w:sz w:val="32"/>
      <w:szCs w:val="32"/>
    </w:rPr>
  </w:style>
  <w:style w:type="paragraph" w:styleId="5">
    <w:name w:val="heading 4"/>
    <w:basedOn w:val="1"/>
    <w:next w:val="1"/>
    <w:link w:val="77"/>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qFormat/>
    <w:uiPriority w:val="0"/>
    <w:pPr>
      <w:keepNext/>
      <w:keepLines/>
      <w:spacing w:before="280" w:after="290" w:line="376" w:lineRule="auto"/>
      <w:outlineLvl w:val="4"/>
    </w:pPr>
    <w:rPr>
      <w:b/>
      <w:sz w:val="28"/>
      <w:szCs w:val="20"/>
    </w:rPr>
  </w:style>
  <w:style w:type="paragraph" w:styleId="9">
    <w:name w:val="heading 6"/>
    <w:basedOn w:val="1"/>
    <w:next w:val="7"/>
    <w:qFormat/>
    <w:uiPriority w:val="0"/>
    <w:pPr>
      <w:keepNext/>
      <w:keepLines/>
      <w:spacing w:before="240" w:after="64" w:line="320" w:lineRule="auto"/>
      <w:outlineLvl w:val="5"/>
    </w:pPr>
    <w:rPr>
      <w:rFonts w:ascii="Arial" w:hAnsi="Arial" w:eastAsia="黑体"/>
      <w:b/>
      <w:sz w:val="24"/>
      <w:szCs w:val="20"/>
    </w:rPr>
  </w:style>
  <w:style w:type="paragraph" w:styleId="10">
    <w:name w:val="heading 7"/>
    <w:basedOn w:val="1"/>
    <w:next w:val="7"/>
    <w:qFormat/>
    <w:uiPriority w:val="0"/>
    <w:pPr>
      <w:keepNext/>
      <w:keepLines/>
      <w:spacing w:before="240" w:after="64" w:line="320" w:lineRule="auto"/>
      <w:outlineLvl w:val="6"/>
    </w:pPr>
    <w:rPr>
      <w:b/>
      <w:sz w:val="24"/>
      <w:szCs w:val="20"/>
    </w:rPr>
  </w:style>
  <w:style w:type="paragraph" w:styleId="11">
    <w:name w:val="heading 8"/>
    <w:basedOn w:val="1"/>
    <w:next w:val="7"/>
    <w:qFormat/>
    <w:uiPriority w:val="0"/>
    <w:pPr>
      <w:keepNext/>
      <w:keepLines/>
      <w:spacing w:before="240" w:after="64" w:line="320" w:lineRule="auto"/>
      <w:outlineLvl w:val="7"/>
    </w:pPr>
    <w:rPr>
      <w:rFonts w:ascii="Arial" w:hAnsi="Arial" w:eastAsia="黑体"/>
      <w:sz w:val="24"/>
      <w:szCs w:val="20"/>
    </w:rPr>
  </w:style>
  <w:style w:type="paragraph" w:styleId="12">
    <w:name w:val="heading 9"/>
    <w:basedOn w:val="1"/>
    <w:next w:val="7"/>
    <w:qFormat/>
    <w:uiPriority w:val="0"/>
    <w:pPr>
      <w:keepNext/>
      <w:keepLines/>
      <w:spacing w:before="240" w:after="64" w:line="320" w:lineRule="auto"/>
      <w:outlineLvl w:val="8"/>
    </w:pPr>
    <w:rPr>
      <w:rFonts w:ascii="Arial" w:hAnsi="Arial" w:eastAsia="黑体"/>
      <w:szCs w:val="20"/>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qFormat/>
    <w:uiPriority w:val="0"/>
    <w:pPr>
      <w:autoSpaceDE w:val="0"/>
      <w:autoSpaceDN w:val="0"/>
      <w:adjustRightInd w:val="0"/>
      <w:ind w:firstLine="420"/>
      <w:jc w:val="left"/>
    </w:pPr>
    <w:rPr>
      <w:rFonts w:ascii="宋体"/>
      <w:kern w:val="0"/>
      <w:sz w:val="24"/>
      <w:szCs w:val="20"/>
    </w:rPr>
  </w:style>
  <w:style w:type="paragraph" w:styleId="8">
    <w:name w:val="Body Text"/>
    <w:basedOn w:val="1"/>
    <w:link w:val="74"/>
    <w:qFormat/>
    <w:uiPriority w:val="99"/>
    <w:pPr>
      <w:tabs>
        <w:tab w:val="left" w:pos="567"/>
      </w:tabs>
      <w:spacing w:before="120" w:line="22" w:lineRule="atLeast"/>
    </w:pPr>
    <w:rPr>
      <w:rFonts w:ascii="宋体" w:hAnsi="宋体"/>
      <w:sz w:val="24"/>
    </w:rPr>
  </w:style>
  <w:style w:type="paragraph" w:styleId="13">
    <w:name w:val="Document Map"/>
    <w:basedOn w:val="1"/>
    <w:link w:val="78"/>
    <w:semiHidden/>
    <w:qFormat/>
    <w:uiPriority w:val="99"/>
    <w:pPr>
      <w:shd w:val="clear" w:color="auto" w:fill="000080"/>
    </w:pPr>
  </w:style>
  <w:style w:type="paragraph" w:styleId="14">
    <w:name w:val="annotation text"/>
    <w:basedOn w:val="1"/>
    <w:link w:val="79"/>
    <w:qFormat/>
    <w:uiPriority w:val="0"/>
    <w:pPr>
      <w:jc w:val="left"/>
    </w:p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Indent"/>
    <w:basedOn w:val="1"/>
    <w:next w:val="17"/>
    <w:link w:val="80"/>
    <w:qFormat/>
    <w:uiPriority w:val="99"/>
    <w:pPr>
      <w:spacing w:after="120"/>
      <w:ind w:left="420" w:leftChars="200"/>
    </w:pPr>
  </w:style>
  <w:style w:type="paragraph" w:styleId="17">
    <w:name w:val="envelope return"/>
    <w:basedOn w:val="1"/>
    <w:qFormat/>
    <w:uiPriority w:val="99"/>
    <w:pPr>
      <w:snapToGrid w:val="0"/>
    </w:pPr>
    <w:rPr>
      <w:rFonts w:ascii="Arial" w:hAnsi="Arial"/>
    </w:rPr>
  </w:style>
  <w:style w:type="paragraph" w:styleId="18">
    <w:name w:val="toc 3"/>
    <w:basedOn w:val="1"/>
    <w:next w:val="1"/>
    <w:unhideWhenUsed/>
    <w:qFormat/>
    <w:uiPriority w:val="39"/>
    <w:pPr>
      <w:widowControl/>
      <w:spacing w:after="100" w:line="259" w:lineRule="auto"/>
      <w:ind w:left="440"/>
      <w:jc w:val="left"/>
    </w:pPr>
    <w:rPr>
      <w:rFonts w:ascii="等线" w:hAnsi="等线" w:eastAsia="等线"/>
      <w:kern w:val="0"/>
      <w:sz w:val="22"/>
      <w:szCs w:val="22"/>
    </w:rPr>
  </w:style>
  <w:style w:type="paragraph" w:styleId="19">
    <w:name w:val="Plain Text"/>
    <w:basedOn w:val="1"/>
    <w:link w:val="81"/>
    <w:qFormat/>
    <w:uiPriority w:val="0"/>
    <w:rPr>
      <w:rFonts w:ascii="宋体" w:hAnsi="Courier New"/>
      <w:szCs w:val="20"/>
    </w:rPr>
  </w:style>
  <w:style w:type="paragraph" w:styleId="20">
    <w:name w:val="Date"/>
    <w:basedOn w:val="1"/>
    <w:next w:val="1"/>
    <w:link w:val="82"/>
    <w:qFormat/>
    <w:uiPriority w:val="99"/>
    <w:rPr>
      <w:szCs w:val="20"/>
    </w:rPr>
  </w:style>
  <w:style w:type="paragraph" w:styleId="21">
    <w:name w:val="Body Text Indent 2"/>
    <w:basedOn w:val="1"/>
    <w:qFormat/>
    <w:uiPriority w:val="0"/>
    <w:pPr>
      <w:ind w:firstLine="480" w:firstLineChars="200"/>
    </w:pPr>
    <w:rPr>
      <w:rFonts w:ascii="仿宋_GB2312" w:eastAsia="仿宋_GB2312"/>
      <w:sz w:val="24"/>
    </w:rPr>
  </w:style>
  <w:style w:type="paragraph" w:styleId="22">
    <w:name w:val="Balloon Text"/>
    <w:basedOn w:val="1"/>
    <w:link w:val="83"/>
    <w:qFormat/>
    <w:uiPriority w:val="99"/>
    <w:rPr>
      <w:sz w:val="18"/>
      <w:szCs w:val="18"/>
    </w:rPr>
  </w:style>
  <w:style w:type="paragraph" w:styleId="23">
    <w:name w:val="footer"/>
    <w:basedOn w:val="1"/>
    <w:link w:val="84"/>
    <w:qFormat/>
    <w:uiPriority w:val="99"/>
    <w:pPr>
      <w:tabs>
        <w:tab w:val="center" w:pos="4153"/>
        <w:tab w:val="right" w:pos="8306"/>
      </w:tabs>
      <w:snapToGrid w:val="0"/>
      <w:jc w:val="left"/>
    </w:pPr>
    <w:rPr>
      <w:sz w:val="18"/>
      <w:szCs w:val="18"/>
    </w:rPr>
  </w:style>
  <w:style w:type="paragraph" w:styleId="24">
    <w:name w:val="header"/>
    <w:basedOn w:val="1"/>
    <w:link w:val="85"/>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style>
  <w:style w:type="paragraph" w:styleId="26">
    <w:name w:val="toc 4"/>
    <w:basedOn w:val="1"/>
    <w:next w:val="1"/>
    <w:qFormat/>
    <w:uiPriority w:val="39"/>
    <w:pPr>
      <w:spacing w:beforeLines="50" w:afterLines="50"/>
      <w:ind w:firstLine="200" w:firstLineChars="200"/>
      <w:jc w:val="left"/>
    </w:pPr>
    <w:rPr>
      <w:rFonts w:ascii="Calibri" w:hAnsi="Calibri" w:eastAsia="等线"/>
      <w:sz w:val="24"/>
      <w:szCs w:val="21"/>
    </w:rPr>
  </w:style>
  <w:style w:type="paragraph" w:styleId="27">
    <w:name w:val="toc 6"/>
    <w:basedOn w:val="1"/>
    <w:next w:val="1"/>
    <w:qFormat/>
    <w:uiPriority w:val="0"/>
    <w:pPr>
      <w:ind w:left="1050"/>
      <w:jc w:val="left"/>
    </w:pPr>
    <w:rPr>
      <w:rFonts w:ascii="Arial" w:hAnsi="Arial" w:eastAsiaTheme="minorEastAsia" w:cstheme="minorBidi"/>
      <w:sz w:val="18"/>
      <w:szCs w:val="18"/>
    </w:rPr>
  </w:style>
  <w:style w:type="paragraph" w:styleId="28">
    <w:name w:val="toc 2"/>
    <w:basedOn w:val="1"/>
    <w:next w:val="1"/>
    <w:qFormat/>
    <w:uiPriority w:val="39"/>
    <w:pPr>
      <w:ind w:left="420" w:leftChars="200"/>
    </w:pPr>
  </w:style>
  <w:style w:type="paragraph" w:styleId="29">
    <w:name w:val="toc 9"/>
    <w:basedOn w:val="1"/>
    <w:next w:val="1"/>
    <w:qFormat/>
    <w:uiPriority w:val="0"/>
    <w:pPr>
      <w:wordWrap w:val="0"/>
      <w:ind w:left="2975"/>
    </w:pPr>
    <w:rPr>
      <w:rFonts w:ascii="Calibri" w:hAnsi="Calibri" w:eastAsiaTheme="minorEastAsia" w:cstheme="minorBidi"/>
      <w:szCs w:val="22"/>
    </w:rPr>
  </w:style>
  <w:style w:type="paragraph" w:styleId="30">
    <w:name w:val="Body Text 2"/>
    <w:basedOn w:val="1"/>
    <w:qFormat/>
    <w:uiPriority w:val="0"/>
    <w:pPr>
      <w:widowControl/>
    </w:pPr>
    <w:rPr>
      <w:kern w:val="0"/>
      <w:sz w:val="20"/>
      <w:szCs w:val="20"/>
      <w:lang w:eastAsia="en-US"/>
    </w:rPr>
  </w:style>
  <w:style w:type="paragraph" w:styleId="31">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2">
    <w:name w:val="index 1"/>
    <w:basedOn w:val="1"/>
    <w:next w:val="1"/>
    <w:qFormat/>
    <w:uiPriority w:val="0"/>
    <w:rPr>
      <w:rFonts w:ascii="Calibri" w:hAnsi="Calibri"/>
      <w:szCs w:val="21"/>
    </w:rPr>
  </w:style>
  <w:style w:type="paragraph" w:styleId="33">
    <w:name w:val="Title"/>
    <w:basedOn w:val="1"/>
    <w:next w:val="1"/>
    <w:qFormat/>
    <w:uiPriority w:val="0"/>
    <w:pPr>
      <w:jc w:val="center"/>
    </w:pPr>
    <w:rPr>
      <w:sz w:val="30"/>
    </w:rPr>
  </w:style>
  <w:style w:type="paragraph" w:styleId="34">
    <w:name w:val="annotation subject"/>
    <w:basedOn w:val="14"/>
    <w:next w:val="14"/>
    <w:link w:val="86"/>
    <w:qFormat/>
    <w:uiPriority w:val="99"/>
    <w:rPr>
      <w:b/>
      <w:bCs/>
    </w:rPr>
  </w:style>
  <w:style w:type="paragraph" w:styleId="35">
    <w:name w:val="Body Text First Indent"/>
    <w:basedOn w:val="1"/>
    <w:next w:val="27"/>
    <w:link w:val="103"/>
    <w:unhideWhenUsed/>
    <w:qFormat/>
    <w:uiPriority w:val="99"/>
    <w:pPr>
      <w:ind w:firstLine="420" w:firstLineChars="100"/>
    </w:pPr>
    <w:rPr>
      <w:rFonts w:asciiTheme="minorHAnsi" w:hAnsiTheme="minorHAnsi" w:eastAsiaTheme="minorEastAsia" w:cstheme="minorBidi"/>
      <w:szCs w:val="22"/>
    </w:rPr>
  </w:style>
  <w:style w:type="paragraph" w:styleId="36">
    <w:name w:val="Body Text First Indent 2"/>
    <w:basedOn w:val="16"/>
    <w:link w:val="87"/>
    <w:qFormat/>
    <w:uiPriority w:val="99"/>
    <w:pPr>
      <w:ind w:firstLine="420" w:firstLineChars="200"/>
    </w:pPr>
  </w:style>
  <w:style w:type="table" w:styleId="38">
    <w:name w:val="Table Grid"/>
    <w:basedOn w:val="3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basedOn w:val="39"/>
    <w:qFormat/>
    <w:uiPriority w:val="22"/>
    <w:rPr>
      <w:b/>
      <w:bCs/>
    </w:rPr>
  </w:style>
  <w:style w:type="character" w:styleId="41">
    <w:name w:val="page number"/>
    <w:qFormat/>
    <w:uiPriority w:val="0"/>
  </w:style>
  <w:style w:type="character" w:styleId="42">
    <w:name w:val="FollowedHyperlink"/>
    <w:unhideWhenUsed/>
    <w:qFormat/>
    <w:uiPriority w:val="99"/>
    <w:rPr>
      <w:color w:val="800080"/>
      <w:u w:val="single"/>
    </w:rPr>
  </w:style>
  <w:style w:type="character" w:styleId="43">
    <w:name w:val="Emphasis"/>
    <w:basedOn w:val="39"/>
    <w:qFormat/>
    <w:uiPriority w:val="20"/>
    <w:rPr>
      <w:i/>
      <w:iCs/>
    </w:rPr>
  </w:style>
  <w:style w:type="character" w:styleId="44">
    <w:name w:val="Hyperlink"/>
    <w:qFormat/>
    <w:uiPriority w:val="99"/>
    <w:rPr>
      <w:color w:val="0000FF"/>
      <w:u w:val="single"/>
    </w:rPr>
  </w:style>
  <w:style w:type="character" w:styleId="45">
    <w:name w:val="annotation reference"/>
    <w:basedOn w:val="39"/>
    <w:qFormat/>
    <w:uiPriority w:val="99"/>
    <w:rPr>
      <w:sz w:val="21"/>
      <w:szCs w:val="21"/>
    </w:rPr>
  </w:style>
  <w:style w:type="paragraph" w:customStyle="1" w:styleId="46">
    <w:name w:val="Char1"/>
    <w:basedOn w:val="1"/>
    <w:qFormat/>
    <w:uiPriority w:val="0"/>
    <w:rPr>
      <w:rFonts w:ascii="Tahoma" w:hAnsi="Tahoma"/>
      <w:sz w:val="24"/>
      <w:szCs w:val="20"/>
    </w:rPr>
  </w:style>
  <w:style w:type="paragraph" w:customStyle="1" w:styleId="47">
    <w:name w:val="彩色列表 - 强调文字颜色 11"/>
    <w:basedOn w:val="1"/>
    <w:qFormat/>
    <w:uiPriority w:val="34"/>
    <w:pPr>
      <w:ind w:firstLine="420" w:firstLineChars="200"/>
    </w:pPr>
    <w:rPr>
      <w:rFonts w:ascii="Calibri" w:hAnsi="Calibri"/>
      <w:szCs w:val="22"/>
    </w:rPr>
  </w:style>
  <w:style w:type="paragraph" w:customStyle="1" w:styleId="48">
    <w:name w:val="正文文本 21"/>
    <w:basedOn w:val="1"/>
    <w:qFormat/>
    <w:uiPriority w:val="0"/>
    <w:pPr>
      <w:adjustRightInd w:val="0"/>
      <w:spacing w:before="120" w:line="360" w:lineRule="auto"/>
      <w:ind w:firstLine="480"/>
      <w:textAlignment w:val="baseline"/>
    </w:pPr>
    <w:rPr>
      <w:sz w:val="24"/>
      <w:szCs w:val="20"/>
    </w:rPr>
  </w:style>
  <w:style w:type="paragraph" w:customStyle="1" w:styleId="49">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0">
    <w:name w:val="正文文本缩进 21"/>
    <w:basedOn w:val="1"/>
    <w:qFormat/>
    <w:uiPriority w:val="0"/>
    <w:pPr>
      <w:adjustRightInd w:val="0"/>
      <w:spacing w:before="120"/>
      <w:ind w:firstLine="420"/>
      <w:textAlignment w:val="baseline"/>
    </w:pPr>
    <w:rPr>
      <w:sz w:val="24"/>
      <w:szCs w:val="20"/>
    </w:rPr>
  </w:style>
  <w:style w:type="paragraph" w:customStyle="1" w:styleId="51">
    <w:name w:val="_Style 47"/>
    <w:basedOn w:val="1"/>
    <w:qFormat/>
    <w:uiPriority w:val="34"/>
    <w:pPr>
      <w:ind w:firstLine="420" w:firstLineChars="200"/>
    </w:pPr>
    <w:rPr>
      <w:rFonts w:ascii="Calibri" w:hAnsi="Calibri"/>
      <w:szCs w:val="22"/>
    </w:rPr>
  </w:style>
  <w:style w:type="paragraph" w:customStyle="1" w:styleId="5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3">
    <w:name w:val="_Style 49"/>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54">
    <w:name w:val="_Style 50"/>
    <w:unhideWhenUsed/>
    <w:qFormat/>
    <w:uiPriority w:val="99"/>
    <w:rPr>
      <w:rFonts w:ascii="Times New Roman" w:hAnsi="Times New Roman" w:eastAsia="宋体" w:cs="Times New Roman"/>
      <w:kern w:val="2"/>
      <w:sz w:val="21"/>
      <w:szCs w:val="24"/>
      <w:lang w:val="en-US" w:eastAsia="zh-CN" w:bidi="ar-SA"/>
    </w:rPr>
  </w:style>
  <w:style w:type="paragraph" w:customStyle="1" w:styleId="55">
    <w:name w:val="正文首行缩进 21"/>
    <w:basedOn w:val="16"/>
    <w:semiHidden/>
    <w:qFormat/>
    <w:uiPriority w:val="0"/>
    <w:pPr>
      <w:spacing w:before="100" w:beforeAutospacing="1" w:after="0"/>
      <w:ind w:left="0" w:leftChars="0" w:firstLine="420" w:firstLineChars="200"/>
    </w:pPr>
    <w:rPr>
      <w:rFonts w:ascii="Arial" w:hAnsi="Arial" w:eastAsia="仿宋_GB2312"/>
      <w:sz w:val="28"/>
      <w:szCs w:val="28"/>
    </w:rPr>
  </w:style>
  <w:style w:type="paragraph" w:customStyle="1" w:styleId="56">
    <w:name w:val="纯文本1"/>
    <w:basedOn w:val="1"/>
    <w:qFormat/>
    <w:uiPriority w:val="0"/>
    <w:pPr>
      <w:adjustRightInd w:val="0"/>
      <w:textAlignment w:val="baseline"/>
    </w:pPr>
    <w:rPr>
      <w:rFonts w:ascii="宋体" w:hAnsi="Calibri"/>
      <w:kern w:val="0"/>
      <w:sz w:val="24"/>
      <w:szCs w:val="22"/>
    </w:rPr>
  </w:style>
  <w:style w:type="paragraph" w:customStyle="1" w:styleId="57">
    <w:name w:val="Body text|1"/>
    <w:basedOn w:val="1"/>
    <w:link w:val="95"/>
    <w:qFormat/>
    <w:uiPriority w:val="0"/>
    <w:pPr>
      <w:spacing w:line="480" w:lineRule="auto"/>
    </w:pPr>
    <w:rPr>
      <w:rFonts w:ascii="宋体" w:hAnsi="宋体" w:cs="宋体"/>
      <w:szCs w:val="22"/>
      <w:lang w:val="zh-TW" w:eastAsia="zh-TW" w:bidi="zh-TW"/>
    </w:rPr>
  </w:style>
  <w:style w:type="paragraph" w:customStyle="1" w:styleId="58">
    <w:name w:val="正文 New"/>
    <w:qFormat/>
    <w:uiPriority w:val="0"/>
    <w:pPr>
      <w:widowControl w:val="0"/>
      <w:spacing w:after="200" w:line="276" w:lineRule="auto"/>
      <w:ind w:left="839" w:hanging="357"/>
      <w:jc w:val="both"/>
    </w:pPr>
    <w:rPr>
      <w:rFonts w:ascii="Times New Roman" w:hAnsi="Times New Roman" w:eastAsia="宋体" w:cs="Times New Roman"/>
      <w:sz w:val="22"/>
      <w:szCs w:val="22"/>
      <w:lang w:val="en-US" w:eastAsia="en-US" w:bidi="ar-SA"/>
    </w:rPr>
  </w:style>
  <w:style w:type="paragraph" w:customStyle="1" w:styleId="59">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0">
    <w:name w:val="修订1"/>
    <w:unhideWhenUsed/>
    <w:qFormat/>
    <w:uiPriority w:val="99"/>
    <w:rPr>
      <w:rFonts w:ascii="Calibri" w:hAnsi="Calibri" w:eastAsia="宋体" w:cs="Times New Roman"/>
      <w:kern w:val="2"/>
      <w:sz w:val="21"/>
      <w:szCs w:val="22"/>
      <w:lang w:val="en-US" w:eastAsia="zh-CN" w:bidi="ar-SA"/>
    </w:rPr>
  </w:style>
  <w:style w:type="paragraph" w:customStyle="1" w:styleId="61">
    <w:name w:val="修订2"/>
    <w:semiHidden/>
    <w:qFormat/>
    <w:uiPriority w:val="99"/>
    <w:rPr>
      <w:rFonts w:ascii="Calibri" w:hAnsi="Calibri" w:eastAsia="宋体" w:cs="Times New Roman"/>
      <w:kern w:val="2"/>
      <w:sz w:val="21"/>
      <w:szCs w:val="22"/>
      <w:lang w:val="en-US" w:eastAsia="zh-CN" w:bidi="ar-SA"/>
    </w:rPr>
  </w:style>
  <w:style w:type="paragraph" w:customStyle="1" w:styleId="62">
    <w:name w:val="CM17"/>
    <w:basedOn w:val="52"/>
    <w:next w:val="52"/>
    <w:qFormat/>
    <w:uiPriority w:val="99"/>
    <w:pPr>
      <w:spacing w:after="160"/>
    </w:pPr>
    <w:rPr>
      <w:rFonts w:ascii="仿宋" w:hAnsi="Calibri" w:eastAsia="仿宋"/>
      <w:color w:val="auto"/>
    </w:rPr>
  </w:style>
  <w:style w:type="paragraph" w:customStyle="1" w:styleId="63">
    <w:name w:val="CM11"/>
    <w:basedOn w:val="52"/>
    <w:next w:val="52"/>
    <w:qFormat/>
    <w:uiPriority w:val="99"/>
    <w:pPr>
      <w:spacing w:line="520" w:lineRule="atLeast"/>
    </w:pPr>
    <w:rPr>
      <w:rFonts w:ascii="仿宋" w:hAnsi="Calibri" w:eastAsia="仿宋"/>
      <w:color w:val="auto"/>
    </w:rPr>
  </w:style>
  <w:style w:type="paragraph" w:customStyle="1" w:styleId="64">
    <w:name w:val="CM13"/>
    <w:basedOn w:val="52"/>
    <w:next w:val="52"/>
    <w:qFormat/>
    <w:uiPriority w:val="99"/>
    <w:pPr>
      <w:spacing w:line="520" w:lineRule="atLeast"/>
    </w:pPr>
    <w:rPr>
      <w:rFonts w:ascii="仿宋" w:hAnsi="Calibri" w:eastAsia="仿宋"/>
      <w:color w:val="auto"/>
    </w:rPr>
  </w:style>
  <w:style w:type="paragraph" w:customStyle="1" w:styleId="65">
    <w:name w:val="样式"/>
    <w:basedOn w:val="1"/>
    <w:next w:val="19"/>
    <w:qFormat/>
    <w:uiPriority w:val="0"/>
    <w:rPr>
      <w:rFonts w:ascii="宋体" w:hAnsi="Courier New" w:cs="宋体"/>
      <w:szCs w:val="21"/>
    </w:rPr>
  </w:style>
  <w:style w:type="paragraph" w:customStyle="1" w:styleId="66">
    <w:name w:val="修订3"/>
    <w:semiHidden/>
    <w:qFormat/>
    <w:uiPriority w:val="99"/>
    <w:rPr>
      <w:rFonts w:ascii="Calibri" w:hAnsi="Calibri" w:eastAsia="宋体" w:cs="Times New Roman"/>
      <w:kern w:val="2"/>
      <w:sz w:val="21"/>
      <w:szCs w:val="22"/>
      <w:lang w:val="en-US" w:eastAsia="zh-CN" w:bidi="ar-SA"/>
    </w:rPr>
  </w:style>
  <w:style w:type="paragraph" w:customStyle="1" w:styleId="67">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68">
    <w:name w:val="修订4"/>
    <w:semiHidden/>
    <w:qFormat/>
    <w:uiPriority w:val="99"/>
    <w:rPr>
      <w:rFonts w:ascii="Calibri" w:hAnsi="Calibri" w:eastAsia="宋体" w:cs="Times New Roman"/>
      <w:kern w:val="2"/>
      <w:sz w:val="21"/>
      <w:szCs w:val="22"/>
      <w:lang w:val="en-US" w:eastAsia="zh-CN" w:bidi="ar-SA"/>
    </w:rPr>
  </w:style>
  <w:style w:type="paragraph" w:customStyle="1" w:styleId="69">
    <w:name w:val="日期2"/>
    <w:basedOn w:val="1"/>
    <w:qFormat/>
    <w:uiPriority w:val="0"/>
    <w:pPr>
      <w:suppressAutoHyphens/>
    </w:pPr>
    <w:rPr>
      <w:rFonts w:ascii="宋体" w:hAnsi="宋体"/>
      <w:kern w:val="0"/>
      <w:sz w:val="28"/>
    </w:rPr>
  </w:style>
  <w:style w:type="paragraph" w:customStyle="1" w:styleId="70">
    <w:name w:val="列表段落1"/>
    <w:basedOn w:val="1"/>
    <w:qFormat/>
    <w:uiPriority w:val="34"/>
    <w:pPr>
      <w:ind w:firstLine="420" w:firstLineChars="200"/>
    </w:pPr>
    <w:rPr>
      <w:rFonts w:ascii="Calibri" w:hAnsi="Calibri"/>
      <w:szCs w:val="22"/>
    </w:rPr>
  </w:style>
  <w:style w:type="paragraph" w:customStyle="1" w:styleId="71">
    <w:name w:val="正文_1_0"/>
    <w:qFormat/>
    <w:uiPriority w:val="0"/>
    <w:pPr>
      <w:widowControl w:val="0"/>
      <w:jc w:val="both"/>
    </w:pPr>
    <w:rPr>
      <w:rFonts w:ascii="等线" w:hAnsi="等线" w:eastAsia="等线" w:cs="Times New Roman"/>
      <w:kern w:val="2"/>
      <w:sz w:val="21"/>
      <w:szCs w:val="22"/>
      <w:lang w:val="en-US" w:eastAsia="zh-CN" w:bidi="ar-SA"/>
    </w:rPr>
  </w:style>
  <w:style w:type="paragraph" w:customStyle="1" w:styleId="72">
    <w:name w:val="正文1"/>
    <w:qFormat/>
    <w:uiPriority w:val="0"/>
    <w:pPr>
      <w:widowControl w:val="0"/>
      <w:jc w:val="both"/>
    </w:pPr>
    <w:rPr>
      <w:rFonts w:hint="eastAsia" w:ascii="等线" w:hAnsi="等线" w:eastAsia="等线" w:cs="Times New Roman"/>
      <w:kern w:val="2"/>
      <w:sz w:val="21"/>
      <w:lang w:val="en-US" w:eastAsia="zh-CN" w:bidi="ar-SA"/>
    </w:rPr>
  </w:style>
  <w:style w:type="paragraph" w:customStyle="1" w:styleId="73">
    <w:name w:val="TOC 标题1"/>
    <w:basedOn w:val="2"/>
    <w:next w:val="1"/>
    <w:qFormat/>
    <w:uiPriority w:val="39"/>
    <w:pPr>
      <w:widowControl/>
      <w:adjustRightInd/>
      <w:spacing w:after="0" w:line="259" w:lineRule="auto"/>
      <w:jc w:val="left"/>
      <w:outlineLvl w:val="9"/>
    </w:pPr>
    <w:rPr>
      <w:rFonts w:ascii="等线 Light" w:hAnsi="等线 Light" w:eastAsia="等线 Light"/>
      <w:b w:val="0"/>
      <w:color w:val="2F5496"/>
      <w:kern w:val="0"/>
      <w:szCs w:val="32"/>
    </w:rPr>
  </w:style>
  <w:style w:type="character" w:customStyle="1" w:styleId="74">
    <w:name w:val="正文文本 字符"/>
    <w:link w:val="8"/>
    <w:qFormat/>
    <w:uiPriority w:val="99"/>
    <w:rPr>
      <w:rFonts w:ascii="宋体" w:hAnsi="宋体"/>
      <w:kern w:val="2"/>
      <w:sz w:val="24"/>
      <w:szCs w:val="24"/>
    </w:rPr>
  </w:style>
  <w:style w:type="character" w:customStyle="1" w:styleId="75">
    <w:name w:val="标题 1 字符"/>
    <w:link w:val="2"/>
    <w:qFormat/>
    <w:uiPriority w:val="99"/>
    <w:rPr>
      <w:rFonts w:ascii="宋体"/>
      <w:b/>
      <w:kern w:val="44"/>
      <w:sz w:val="32"/>
    </w:rPr>
  </w:style>
  <w:style w:type="character" w:customStyle="1" w:styleId="76">
    <w:name w:val="标题 2 字符"/>
    <w:link w:val="3"/>
    <w:qFormat/>
    <w:uiPriority w:val="0"/>
    <w:rPr>
      <w:rFonts w:ascii="Arial" w:hAnsi="Arial" w:eastAsia="黑体"/>
      <w:b/>
      <w:sz w:val="30"/>
    </w:rPr>
  </w:style>
  <w:style w:type="character" w:customStyle="1" w:styleId="77">
    <w:name w:val="标题 4 字符"/>
    <w:link w:val="5"/>
    <w:qFormat/>
    <w:uiPriority w:val="9"/>
    <w:rPr>
      <w:rFonts w:ascii="Arial" w:hAnsi="Arial" w:eastAsia="黑体"/>
      <w:b/>
      <w:bCs/>
      <w:kern w:val="2"/>
      <w:sz w:val="28"/>
      <w:szCs w:val="28"/>
    </w:rPr>
  </w:style>
  <w:style w:type="character" w:customStyle="1" w:styleId="78">
    <w:name w:val="文档结构图 字符"/>
    <w:link w:val="13"/>
    <w:semiHidden/>
    <w:qFormat/>
    <w:uiPriority w:val="99"/>
    <w:rPr>
      <w:kern w:val="2"/>
      <w:sz w:val="21"/>
      <w:szCs w:val="24"/>
      <w:shd w:val="clear" w:color="auto" w:fill="000080"/>
    </w:rPr>
  </w:style>
  <w:style w:type="character" w:customStyle="1" w:styleId="79">
    <w:name w:val="批注文字 字符"/>
    <w:link w:val="14"/>
    <w:qFormat/>
    <w:uiPriority w:val="0"/>
    <w:rPr>
      <w:kern w:val="2"/>
      <w:sz w:val="21"/>
      <w:szCs w:val="24"/>
    </w:rPr>
  </w:style>
  <w:style w:type="character" w:customStyle="1" w:styleId="80">
    <w:name w:val="正文文本缩进 字符"/>
    <w:link w:val="16"/>
    <w:qFormat/>
    <w:uiPriority w:val="99"/>
    <w:rPr>
      <w:kern w:val="2"/>
      <w:sz w:val="21"/>
      <w:szCs w:val="24"/>
    </w:rPr>
  </w:style>
  <w:style w:type="character" w:customStyle="1" w:styleId="81">
    <w:name w:val="纯文本 字符1"/>
    <w:link w:val="19"/>
    <w:qFormat/>
    <w:uiPriority w:val="0"/>
    <w:rPr>
      <w:rFonts w:ascii="宋体" w:hAnsi="Courier New"/>
      <w:kern w:val="2"/>
      <w:sz w:val="21"/>
    </w:rPr>
  </w:style>
  <w:style w:type="character" w:customStyle="1" w:styleId="82">
    <w:name w:val="日期 字符1"/>
    <w:link w:val="20"/>
    <w:qFormat/>
    <w:uiPriority w:val="0"/>
    <w:rPr>
      <w:rFonts w:eastAsia="宋体"/>
      <w:kern w:val="2"/>
      <w:sz w:val="21"/>
      <w:lang w:val="en-US" w:eastAsia="zh-CN" w:bidi="ar-SA"/>
    </w:rPr>
  </w:style>
  <w:style w:type="character" w:customStyle="1" w:styleId="83">
    <w:name w:val="批注框文本 字符"/>
    <w:link w:val="22"/>
    <w:qFormat/>
    <w:uiPriority w:val="99"/>
    <w:rPr>
      <w:kern w:val="2"/>
      <w:sz w:val="18"/>
      <w:szCs w:val="18"/>
    </w:rPr>
  </w:style>
  <w:style w:type="character" w:customStyle="1" w:styleId="84">
    <w:name w:val="页脚 字符"/>
    <w:link w:val="23"/>
    <w:qFormat/>
    <w:uiPriority w:val="99"/>
    <w:rPr>
      <w:kern w:val="2"/>
      <w:sz w:val="18"/>
      <w:szCs w:val="18"/>
    </w:rPr>
  </w:style>
  <w:style w:type="character" w:customStyle="1" w:styleId="85">
    <w:name w:val="页眉 字符"/>
    <w:link w:val="24"/>
    <w:qFormat/>
    <w:uiPriority w:val="99"/>
    <w:rPr>
      <w:kern w:val="2"/>
      <w:sz w:val="18"/>
      <w:szCs w:val="18"/>
    </w:rPr>
  </w:style>
  <w:style w:type="character" w:customStyle="1" w:styleId="86">
    <w:name w:val="批注主题 字符"/>
    <w:link w:val="34"/>
    <w:qFormat/>
    <w:uiPriority w:val="99"/>
    <w:rPr>
      <w:b/>
      <w:bCs/>
      <w:kern w:val="2"/>
      <w:sz w:val="21"/>
      <w:szCs w:val="24"/>
    </w:rPr>
  </w:style>
  <w:style w:type="character" w:customStyle="1" w:styleId="87">
    <w:name w:val="正文文本首行缩进 2 字符"/>
    <w:link w:val="36"/>
    <w:qFormat/>
    <w:uiPriority w:val="99"/>
  </w:style>
  <w:style w:type="character" w:customStyle="1" w:styleId="88">
    <w:name w:val="Char"/>
    <w:qFormat/>
    <w:uiPriority w:val="0"/>
    <w:rPr>
      <w:rFonts w:ascii="宋体" w:hAnsi="Courier New" w:eastAsia="宋体"/>
      <w:kern w:val="2"/>
      <w:sz w:val="21"/>
      <w:lang w:val="en-US" w:eastAsia="zh-CN" w:bidi="ar-SA"/>
    </w:rPr>
  </w:style>
  <w:style w:type="character" w:customStyle="1" w:styleId="89">
    <w:name w:val="批注文字 Char1"/>
    <w:qFormat/>
    <w:uiPriority w:val="99"/>
    <w:rPr>
      <w:kern w:val="2"/>
      <w:sz w:val="21"/>
      <w:szCs w:val="24"/>
    </w:rPr>
  </w:style>
  <w:style w:type="character" w:customStyle="1" w:styleId="90">
    <w:name w:val="批注文字 字符1"/>
    <w:qFormat/>
    <w:uiPriority w:val="99"/>
    <w:rPr>
      <w:rFonts w:ascii="Times New Roman" w:hAnsi="Times New Roman" w:eastAsia="宋体" w:cs="Times New Roman"/>
      <w:szCs w:val="24"/>
    </w:rPr>
  </w:style>
  <w:style w:type="character" w:customStyle="1" w:styleId="91">
    <w:name w:val="日期 字符"/>
    <w:qFormat/>
    <w:uiPriority w:val="99"/>
    <w:rPr>
      <w:rFonts w:ascii="Calibri" w:hAnsi="Calibri"/>
      <w:kern w:val="2"/>
      <w:sz w:val="21"/>
      <w:szCs w:val="21"/>
    </w:rPr>
  </w:style>
  <w:style w:type="character" w:customStyle="1" w:styleId="92">
    <w:name w:val="纯文本 字符"/>
    <w:qFormat/>
    <w:uiPriority w:val="0"/>
    <w:rPr>
      <w:rFonts w:ascii="宋体" w:hAnsi="Courier New"/>
      <w:kern w:val="2"/>
      <w:sz w:val="21"/>
    </w:rPr>
  </w:style>
  <w:style w:type="character" w:customStyle="1" w:styleId="93">
    <w:name w:val="fontstyle01"/>
    <w:qFormat/>
    <w:uiPriority w:val="0"/>
    <w:rPr>
      <w:rFonts w:hint="eastAsia" w:ascii="宋体" w:hAnsi="宋体" w:eastAsia="宋体"/>
      <w:color w:val="000000"/>
      <w:sz w:val="22"/>
      <w:szCs w:val="22"/>
    </w:rPr>
  </w:style>
  <w:style w:type="character" w:customStyle="1" w:styleId="94">
    <w:name w:val="未处理的提及1"/>
    <w:unhideWhenUsed/>
    <w:qFormat/>
    <w:uiPriority w:val="99"/>
    <w:rPr>
      <w:color w:val="605E5C"/>
      <w:shd w:val="clear" w:color="auto" w:fill="E1DFDD"/>
    </w:rPr>
  </w:style>
  <w:style w:type="character" w:customStyle="1" w:styleId="95">
    <w:name w:val="Body text|1_"/>
    <w:link w:val="57"/>
    <w:qFormat/>
    <w:locked/>
    <w:uiPriority w:val="0"/>
    <w:rPr>
      <w:rFonts w:ascii="宋体" w:hAnsi="宋体" w:cs="宋体"/>
      <w:kern w:val="2"/>
      <w:sz w:val="21"/>
      <w:szCs w:val="22"/>
      <w:lang w:val="zh-TW" w:eastAsia="zh-TW" w:bidi="zh-TW"/>
    </w:rPr>
  </w:style>
  <w:style w:type="character" w:customStyle="1" w:styleId="96">
    <w:name w:val="未处理的提及11"/>
    <w:unhideWhenUsed/>
    <w:qFormat/>
    <w:uiPriority w:val="99"/>
    <w:rPr>
      <w:color w:val="605E5C"/>
      <w:shd w:val="clear" w:color="auto" w:fill="E1DFDD"/>
    </w:rPr>
  </w:style>
  <w:style w:type="character" w:customStyle="1" w:styleId="97">
    <w:name w:val="p141"/>
    <w:qFormat/>
    <w:uiPriority w:val="0"/>
    <w:rPr>
      <w:sz w:val="21"/>
      <w:szCs w:val="21"/>
    </w:rPr>
  </w:style>
  <w:style w:type="character" w:customStyle="1" w:styleId="98">
    <w:name w:val="批注文字 Char"/>
    <w:qFormat/>
    <w:uiPriority w:val="0"/>
    <w:rPr>
      <w:kern w:val="2"/>
      <w:sz w:val="21"/>
      <w:szCs w:val="24"/>
    </w:rPr>
  </w:style>
  <w:style w:type="paragraph" w:customStyle="1" w:styleId="99">
    <w:name w:val="修订5"/>
    <w:hidden/>
    <w:semiHidden/>
    <w:qFormat/>
    <w:uiPriority w:val="99"/>
    <w:rPr>
      <w:rFonts w:ascii="Times New Roman" w:hAnsi="Times New Roman" w:eastAsia="宋体" w:cs="Times New Roman"/>
      <w:kern w:val="2"/>
      <w:sz w:val="21"/>
      <w:szCs w:val="24"/>
      <w:lang w:val="en-US" w:eastAsia="zh-CN" w:bidi="ar-SA"/>
    </w:rPr>
  </w:style>
  <w:style w:type="character" w:customStyle="1" w:styleId="100">
    <w:name w:val="未处理的提及2"/>
    <w:basedOn w:val="39"/>
    <w:semiHidden/>
    <w:unhideWhenUsed/>
    <w:qFormat/>
    <w:uiPriority w:val="99"/>
    <w:rPr>
      <w:color w:val="605E5C"/>
      <w:shd w:val="clear" w:color="auto" w:fill="E1DFDD"/>
    </w:rPr>
  </w:style>
  <w:style w:type="paragraph" w:styleId="101">
    <w:name w:val="List Paragraph"/>
    <w:basedOn w:val="1"/>
    <w:qFormat/>
    <w:uiPriority w:val="34"/>
    <w:pPr>
      <w:ind w:firstLine="420" w:firstLineChars="200"/>
    </w:pPr>
    <w:rPr>
      <w:rFonts w:asciiTheme="minorHAnsi" w:hAnsiTheme="minorHAnsi" w:eastAsiaTheme="minorEastAsia" w:cstheme="minorBidi"/>
      <w:szCs w:val="22"/>
    </w:rPr>
  </w:style>
  <w:style w:type="character" w:customStyle="1" w:styleId="102">
    <w:name w:val="标题 3 字符"/>
    <w:basedOn w:val="39"/>
    <w:link w:val="4"/>
    <w:qFormat/>
    <w:uiPriority w:val="0"/>
    <w:rPr>
      <w:b/>
      <w:bCs/>
      <w:kern w:val="2"/>
      <w:sz w:val="32"/>
      <w:szCs w:val="32"/>
    </w:rPr>
  </w:style>
  <w:style w:type="character" w:customStyle="1" w:styleId="103">
    <w:name w:val="正文文本首行缩进 字符"/>
    <w:basedOn w:val="74"/>
    <w:link w:val="35"/>
    <w:qFormat/>
    <w:uiPriority w:val="99"/>
    <w:rPr>
      <w:rFonts w:asciiTheme="minorHAnsi" w:hAnsiTheme="minorHAnsi" w:eastAsiaTheme="minorEastAsia" w:cstheme="minorBidi"/>
      <w:kern w:val="2"/>
      <w:sz w:val="21"/>
      <w:szCs w:val="22"/>
    </w:rPr>
  </w:style>
  <w:style w:type="paragraph" w:customStyle="1" w:styleId="104">
    <w:name w:val="修订5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05">
    <w:name w:val="修订6"/>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06">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107">
    <w:name w:val="修订8"/>
    <w:hidden/>
    <w:unhideWhenUsed/>
    <w:qFormat/>
    <w:uiPriority w:val="99"/>
    <w:rPr>
      <w:rFonts w:ascii="Times New Roman" w:hAnsi="Times New Roman" w:eastAsia="宋体" w:cs="Times New Roman"/>
      <w:kern w:val="2"/>
      <w:sz w:val="21"/>
      <w:szCs w:val="24"/>
      <w:lang w:val="en-US" w:eastAsia="zh-CN" w:bidi="ar-SA"/>
    </w:rPr>
  </w:style>
  <w:style w:type="paragraph" w:customStyle="1" w:styleId="108">
    <w:name w:val="_Style 35"/>
    <w:basedOn w:val="16"/>
    <w:next w:val="36"/>
    <w:unhideWhenUsed/>
    <w:qFormat/>
    <w:uiPriority w:val="99"/>
    <w:pPr>
      <w:ind w:firstLine="420" w:firstLineChars="200"/>
    </w:pPr>
  </w:style>
  <w:style w:type="character" w:customStyle="1" w:styleId="109">
    <w:name w:val="font31"/>
    <w:basedOn w:val="39"/>
    <w:qFormat/>
    <w:uiPriority w:val="0"/>
    <w:rPr>
      <w:rFonts w:hint="eastAsia" w:ascii="宋体" w:hAnsi="宋体" w:eastAsia="宋体" w:cs="宋体"/>
      <w:b/>
      <w:bCs/>
      <w:color w:val="000000"/>
      <w:sz w:val="24"/>
      <w:szCs w:val="24"/>
      <w:u w:val="none"/>
    </w:rPr>
  </w:style>
  <w:style w:type="paragraph" w:customStyle="1" w:styleId="110">
    <w:name w:val="修订9"/>
    <w:hidden/>
    <w:unhideWhenUsed/>
    <w:qFormat/>
    <w:uiPriority w:val="99"/>
    <w:rPr>
      <w:rFonts w:ascii="Times New Roman" w:hAnsi="Times New Roman" w:eastAsia="宋体" w:cs="Times New Roman"/>
      <w:kern w:val="2"/>
      <w:sz w:val="21"/>
      <w:szCs w:val="24"/>
      <w:lang w:val="en-US" w:eastAsia="zh-CN" w:bidi="ar-SA"/>
    </w:rPr>
  </w:style>
  <w:style w:type="paragraph" w:customStyle="1" w:styleId="111">
    <w:name w:val="null3"/>
    <w:qFormat/>
    <w:uiPriority w:val="0"/>
    <w:rPr>
      <w:rFonts w:hint="eastAsia" w:ascii="Calibri" w:hAnsi="Calibri" w:eastAsia="宋体" w:cs="Times New Roman"/>
      <w:lang w:val="en-US" w:eastAsia="zh-Hans" w:bidi="ar-SA"/>
    </w:rPr>
  </w:style>
  <w:style w:type="paragraph" w:customStyle="1" w:styleId="112">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4A4C15-F133-48E1-8D3C-898162B595C5}">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137</Pages>
  <Words>2123</Words>
  <Characters>2482</Characters>
  <Lines>397</Lines>
  <Paragraphs>111</Paragraphs>
  <TotalTime>0</TotalTime>
  <ScaleCrop>false</ScaleCrop>
  <LinksUpToDate>false</LinksUpToDate>
  <CharactersWithSpaces>2646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2026-05-18T08:55:00Z</dcterms:created>
  <dc:creator>caowuning</dc:creator>
  <cp:lastModifiedBy>东方招标办公专用号</cp:lastModifiedBy>
  <cp:lastPrinted>2023-04-19T12:20:00Z</cp:lastPrinted>
  <dcterms:modified xsi:type="dcterms:W3CDTF">2026-09-28T10:05:57Z</dcterms:modified>
  <dc:title>北 京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AC9A3E438D874E218BEB302874AB37A6_13</vt:lpwstr>
  </property>
  <property fmtid="{D5CDD505-2E9C-101B-9397-08002B2CF9AE}" pid="4" name="KSOTemplateDocerSaveRecord">
    <vt:lpwstr>eyJoZGlkIjoiMGM0NjE0NmQ0MDk1NTY5YmQ2NjQzZWVhMTFjMzNhMjAiLCJ1c2VySWQiOiI4MDg3NDE3NTcifQ==</vt:lpwstr>
  </property>
</Properties>
</file>