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20" w:after="120" w:line="240" w:lineRule="auto"/>
        <w:jc w:val="center"/>
        <w:rPr>
          <w:rFonts w:ascii="宋体" w:hAnsi="宋体"/>
          <w:kern w:val="2"/>
          <w:sz w:val="32"/>
        </w:rPr>
      </w:pPr>
      <w:r>
        <w:rPr>
          <w:rFonts w:hint="eastAsia" w:ascii="宋体" w:hAnsi="宋体"/>
          <w:kern w:val="2"/>
          <w:sz w:val="32"/>
        </w:rPr>
        <w:t>采购内容及项目要求</w:t>
      </w:r>
    </w:p>
    <w:p>
      <w:pPr>
        <w:pStyle w:val="4"/>
        <w:tabs>
          <w:tab w:val="left" w:pos="573"/>
        </w:tabs>
        <w:spacing w:after="0" w:line="360" w:lineRule="auto"/>
        <w:ind w:right="284"/>
        <w:rPr>
          <w:rFonts w:ascii="宋体" w:hAnsi="宋体"/>
          <w:b/>
          <w:bCs/>
          <w:snapToGrid w:val="0"/>
          <w:sz w:val="24"/>
        </w:rPr>
      </w:pPr>
      <w:bookmarkStart w:id="0" w:name="_Toc447737484"/>
      <w:bookmarkStart w:id="1" w:name="_Toc511592075"/>
      <w:bookmarkStart w:id="2" w:name="_Toc416941689"/>
      <w:bookmarkStart w:id="3" w:name="_Toc480463552"/>
      <w:bookmarkStart w:id="4" w:name="_Toc259000638"/>
      <w:r>
        <w:rPr>
          <w:rFonts w:hint="eastAsia" w:ascii="宋体" w:hAnsi="宋体"/>
          <w:b/>
          <w:bCs/>
          <w:snapToGrid w:val="0"/>
          <w:sz w:val="24"/>
        </w:rPr>
        <w:t>一、说明</w:t>
      </w:r>
      <w:bookmarkEnd w:id="0"/>
      <w:bookmarkEnd w:id="1"/>
      <w:bookmarkEnd w:id="2"/>
      <w:bookmarkEnd w:id="3"/>
    </w:p>
    <w:p>
      <w:pPr>
        <w:pStyle w:val="4"/>
        <w:tabs>
          <w:tab w:val="left" w:pos="573"/>
        </w:tabs>
        <w:spacing w:after="0" w:line="360" w:lineRule="auto"/>
        <w:ind w:right="284" w:firstLine="360" w:firstLineChars="150"/>
        <w:rPr>
          <w:rFonts w:ascii="宋体" w:hAnsi="宋体"/>
          <w:bCs/>
          <w:snapToGrid w:val="0"/>
          <w:sz w:val="24"/>
        </w:rPr>
      </w:pPr>
      <w:r>
        <w:rPr>
          <w:rFonts w:ascii="宋体" w:hAnsi="宋体"/>
          <w:bCs/>
          <w:snapToGrid w:val="0"/>
          <w:sz w:val="24"/>
        </w:rPr>
        <w:t>1.</w:t>
      </w:r>
      <w:r>
        <w:rPr>
          <w:rFonts w:hint="eastAsia" w:ascii="宋体" w:hAnsi="宋体"/>
          <w:bCs/>
          <w:snapToGrid w:val="0"/>
          <w:sz w:val="24"/>
        </w:rPr>
        <w:t>供应商可以选择一个或多个包进行响应，但不得对所投包内容分解后进行响应。</w:t>
      </w:r>
    </w:p>
    <w:p>
      <w:pPr>
        <w:pStyle w:val="4"/>
        <w:tabs>
          <w:tab w:val="left" w:pos="573"/>
        </w:tabs>
        <w:spacing w:after="0" w:line="360" w:lineRule="auto"/>
        <w:ind w:right="284" w:firstLine="360" w:firstLineChars="150"/>
        <w:rPr>
          <w:rFonts w:ascii="宋体" w:hAnsi="宋体"/>
          <w:bCs/>
          <w:snapToGrid w:val="0"/>
          <w:sz w:val="24"/>
        </w:rPr>
      </w:pPr>
      <w:r>
        <w:rPr>
          <w:rFonts w:hint="eastAsia" w:ascii="宋体" w:hAnsi="宋体"/>
          <w:bCs/>
          <w:snapToGrid w:val="0"/>
          <w:sz w:val="24"/>
        </w:rPr>
        <w:t>2</w:t>
      </w:r>
      <w:r>
        <w:rPr>
          <w:rFonts w:ascii="宋体" w:hAnsi="宋体"/>
          <w:bCs/>
          <w:snapToGrid w:val="0"/>
          <w:sz w:val="24"/>
        </w:rPr>
        <w:t>.</w:t>
      </w:r>
      <w:r>
        <w:rPr>
          <w:rFonts w:hint="eastAsia" w:ascii="宋体" w:hAnsi="宋体"/>
          <w:bCs/>
          <w:snapToGrid w:val="0"/>
          <w:sz w:val="24"/>
        </w:rPr>
        <w:t>供应商所报价格应该包括项目设备及其配件/耗材，并能提供长期稳定的配件/耗材供应服务。供应商应按照生产厂家的出厂标准供货，供应商所提供的货物均应为质量完全符合国</w:t>
      </w:r>
      <w:bookmarkStart w:id="5" w:name="_GoBack"/>
      <w:bookmarkEnd w:id="5"/>
      <w:r>
        <w:rPr>
          <w:rFonts w:hint="eastAsia" w:ascii="宋体" w:hAnsi="宋体"/>
          <w:bCs/>
          <w:snapToGrid w:val="0"/>
          <w:sz w:val="24"/>
        </w:rPr>
        <w:t>家或行业标准的全新产品，并以此标准进行验收；供应商在交货时必须提供该设备的合格证。</w:t>
      </w:r>
    </w:p>
    <w:p>
      <w:pPr>
        <w:pStyle w:val="4"/>
        <w:tabs>
          <w:tab w:val="left" w:pos="573"/>
        </w:tabs>
        <w:spacing w:after="0" w:line="360" w:lineRule="auto"/>
        <w:ind w:right="284" w:firstLine="360" w:firstLineChars="150"/>
        <w:rPr>
          <w:rFonts w:ascii="宋体" w:hAnsi="宋体"/>
          <w:bCs/>
          <w:snapToGrid w:val="0"/>
          <w:sz w:val="24"/>
        </w:rPr>
      </w:pPr>
      <w:r>
        <w:rPr>
          <w:rFonts w:hint="eastAsia" w:ascii="宋体" w:hAnsi="宋体"/>
          <w:bCs/>
          <w:snapToGrid w:val="0"/>
          <w:sz w:val="24"/>
        </w:rPr>
        <w:t>3.供应商所投设备应充分体现先进技术要求，设备配置力求合理、整体性能优良，实现目标、技术集成的合理性、实用性、兼容性、配套设备的完整性和未来的可扩展性。</w:t>
      </w:r>
    </w:p>
    <w:p>
      <w:pPr>
        <w:pStyle w:val="4"/>
        <w:tabs>
          <w:tab w:val="left" w:pos="573"/>
        </w:tabs>
        <w:spacing w:after="0" w:line="360" w:lineRule="auto"/>
        <w:ind w:right="284"/>
        <w:rPr>
          <w:rFonts w:ascii="宋体" w:hAnsi="宋体"/>
          <w:b/>
          <w:snapToGrid w:val="0"/>
          <w:sz w:val="24"/>
        </w:rPr>
      </w:pPr>
      <w:r>
        <w:rPr>
          <w:rFonts w:hint="eastAsia" w:ascii="宋体" w:hAnsi="宋体"/>
          <w:b/>
          <w:snapToGrid w:val="0"/>
          <w:sz w:val="24"/>
        </w:rPr>
        <w:t>二、基本要求</w:t>
      </w:r>
    </w:p>
    <w:bookmarkEnd w:id="4"/>
    <w:tbl>
      <w:tblPr>
        <w:tblStyle w:val="6"/>
        <w:tblW w:w="10371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93"/>
        <w:gridCol w:w="1302"/>
        <w:gridCol w:w="8376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2" w:hRule="atLeast"/>
          <w:jc w:val="center"/>
        </w:trPr>
        <w:tc>
          <w:tcPr>
            <w:tcW w:w="69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1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交货期</w:t>
            </w:r>
          </w:p>
        </w:tc>
        <w:tc>
          <w:tcPr>
            <w:tcW w:w="8376" w:type="dxa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签订合同后按</w:t>
            </w:r>
            <w:r>
              <w:rPr>
                <w:rFonts w:hint="eastAsia" w:ascii="宋体" w:hAnsi="宋体"/>
                <w:snapToGrid w:val="0"/>
                <w:kern w:val="0"/>
                <w:sz w:val="24"/>
                <w:lang w:eastAsia="zh-CN"/>
              </w:rPr>
              <w:t>采购人</w:t>
            </w:r>
            <w:r>
              <w:rPr>
                <w:rFonts w:hint="eastAsia" w:ascii="宋体" w:hAnsi="宋体"/>
                <w:snapToGrid w:val="0"/>
                <w:kern w:val="0"/>
                <w:sz w:val="24"/>
              </w:rPr>
              <w:t>要求供货，技术要求中有明确要求的执行技术要求中的交货期</w:t>
            </w:r>
            <w:r>
              <w:rPr>
                <w:rFonts w:hint="eastAsia" w:ascii="宋体" w:hAnsi="宋体"/>
                <w:snapToGrid w:val="0"/>
                <w:kern w:val="0"/>
                <w:sz w:val="24"/>
                <w:lang w:val="en-US" w:eastAsia="zh-CN"/>
              </w:rPr>
              <w:t>，</w:t>
            </w:r>
            <w:r>
              <w:rPr>
                <w:rFonts w:hint="eastAsia" w:ascii="宋体" w:hAnsi="宋体"/>
                <w:snapToGrid w:val="0"/>
                <w:kern w:val="0"/>
                <w:sz w:val="24"/>
                <w:lang w:eastAsia="zh-CN"/>
              </w:rPr>
              <w:t>供应商</w:t>
            </w:r>
            <w:r>
              <w:rPr>
                <w:rFonts w:hint="eastAsia" w:ascii="宋体" w:hAnsi="宋体"/>
                <w:snapToGrid w:val="0"/>
                <w:kern w:val="0"/>
                <w:sz w:val="24"/>
              </w:rPr>
              <w:t>可根据自身情况自报最快交货时间。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2" w:hRule="atLeast"/>
          <w:jc w:val="center"/>
        </w:trPr>
        <w:tc>
          <w:tcPr>
            <w:tcW w:w="69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2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交货地点</w:t>
            </w:r>
          </w:p>
        </w:tc>
        <w:tc>
          <w:tcPr>
            <w:tcW w:w="8376" w:type="dxa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采购人指定地点。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2" w:hRule="atLeast"/>
          <w:jc w:val="center"/>
        </w:trPr>
        <w:tc>
          <w:tcPr>
            <w:tcW w:w="69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3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付款方式</w:t>
            </w:r>
          </w:p>
        </w:tc>
        <w:tc>
          <w:tcPr>
            <w:tcW w:w="8376" w:type="dxa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内贸货物安装调试运行正常，验收合格后，供应商向采购人缴纳合同金额的5%作为质保金，采购人向供应商支付100%项目款。质保期满后，采购人返还质保金。供应商必须向采购人开具增值税专用发票，并向采购人提供抵扣联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外贸货物签订外贸合同后支付80%，验收合格后支付20%。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2" w:hRule="atLeast"/>
          <w:jc w:val="center"/>
        </w:trPr>
        <w:tc>
          <w:tcPr>
            <w:tcW w:w="69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4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安装调试</w:t>
            </w:r>
          </w:p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验收</w:t>
            </w:r>
          </w:p>
        </w:tc>
        <w:tc>
          <w:tcPr>
            <w:tcW w:w="8376" w:type="dxa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1.在系统满足所有的性能指标（实验室现场测试），并且无障碍运行至少一个月后，用户接收系统。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2.为方便采购人设备的正常接收及顺利开展安装前期准备工作，成交供应商应配合用户提出安装条件要求，包括电气要求等。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3.提供的产品须为原装正品，相关的配套附件质量优良，数量齐全，并在响应文件中注明可选配件的价格。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4.货物到达用户使用现场后，必须由仪器生产厂家技术人员提供现场安装调试，做性能验证实验；货物制造商（或代理商）应在接到用户通知后2周内进行安装调试，直至通过验收。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5.在货物安装完成后，由仪器生产厂家技术人员对使用人员（至少两人）免费进行现场技术培训，包括货物基本原理和结构介绍、货物操作方法、货物基本保养维护程序等内容。培训方式可根据用户实际需求，由双方协商时间，可进行多次预约培训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6.成交供应商应提供全套安装、操作和维护使用说明书以及调试设备所需要的工具，软件免费更新。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2" w:hRule="atLeast"/>
          <w:jc w:val="center"/>
        </w:trPr>
        <w:tc>
          <w:tcPr>
            <w:tcW w:w="693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5</w:t>
            </w:r>
          </w:p>
        </w:tc>
        <w:tc>
          <w:tcPr>
            <w:tcW w:w="1302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质量保证</w:t>
            </w:r>
          </w:p>
        </w:tc>
        <w:tc>
          <w:tcPr>
            <w:tcW w:w="8376" w:type="dxa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质量保证期：</w:t>
            </w:r>
            <w:r>
              <w:rPr>
                <w:rFonts w:hint="eastAsia" w:ascii="宋体" w:hAnsi="宋体"/>
                <w:b/>
                <w:bCs/>
                <w:snapToGrid w:val="0"/>
                <w:kern w:val="0"/>
                <w:sz w:val="24"/>
              </w:rPr>
              <w:t>国产设备自验收合格之日起3年，进口设备自验收合格之日起1年，技术要求中有明确要求的执行技术要求中的质保期。</w:t>
            </w:r>
            <w:r>
              <w:rPr>
                <w:rFonts w:hint="eastAsia" w:ascii="宋体" w:hAnsi="宋体"/>
                <w:snapToGrid w:val="0"/>
                <w:kern w:val="0"/>
                <w:sz w:val="24"/>
              </w:rPr>
              <w:t>国家主管部门或者行业标准对货物本身有更高要求的，从其规定并在合同中约定，</w:t>
            </w:r>
            <w:r>
              <w:rPr>
                <w:rFonts w:hint="eastAsia" w:ascii="宋体" w:hAnsi="宋体"/>
                <w:snapToGrid w:val="0"/>
                <w:kern w:val="0"/>
                <w:sz w:val="24"/>
                <w:lang w:eastAsia="zh-CN"/>
              </w:rPr>
              <w:t>供应商</w:t>
            </w:r>
            <w:r>
              <w:rPr>
                <w:rFonts w:hint="eastAsia" w:ascii="宋体" w:hAnsi="宋体"/>
                <w:snapToGrid w:val="0"/>
                <w:kern w:val="0"/>
                <w:sz w:val="24"/>
              </w:rPr>
              <w:t>亦可提报更长的质保期。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2" w:hRule="atLeast"/>
          <w:jc w:val="center"/>
        </w:trPr>
        <w:tc>
          <w:tcPr>
            <w:tcW w:w="693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</w:p>
        </w:tc>
        <w:tc>
          <w:tcPr>
            <w:tcW w:w="1302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</w:p>
        </w:tc>
        <w:tc>
          <w:tcPr>
            <w:tcW w:w="8376" w:type="dxa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质量保证期内，如果证实货物是有缺陷的，包括潜在的缺陷或者使用不符合要求的材料等，中标人应立即免费维修或者更换有缺陷的货物或者部件，保证达到合同规定的技术以及性能要求。如果中标人在收到通知后</w:t>
            </w:r>
            <w:r>
              <w:rPr>
                <w:rFonts w:ascii="宋体" w:hAnsi="宋体"/>
                <w:snapToGrid w:val="0"/>
                <w:kern w:val="0"/>
                <w:sz w:val="24"/>
              </w:rPr>
              <w:t>5天</w:t>
            </w:r>
            <w:r>
              <w:rPr>
                <w:rFonts w:hint="eastAsia" w:ascii="宋体" w:hAnsi="宋体"/>
                <w:snapToGrid w:val="0"/>
                <w:kern w:val="0"/>
                <w:sz w:val="24"/>
              </w:rPr>
              <w:t>内没有弥补缺陷，采购人可自行采取必要的补救措施，但风险和费用由中标人承担，采购人同时保留通过法律途径进行索赔的权利。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2" w:hRule="atLeast"/>
          <w:jc w:val="center"/>
        </w:trPr>
        <w:tc>
          <w:tcPr>
            <w:tcW w:w="69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6</w:t>
            </w:r>
          </w:p>
        </w:tc>
        <w:tc>
          <w:tcPr>
            <w:tcW w:w="130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 w:cs="宋体"/>
                <w:snapToGrid w:val="0"/>
                <w:kern w:val="0"/>
                <w:sz w:val="24"/>
              </w:rPr>
              <w:t>售后服务、培训</w:t>
            </w:r>
          </w:p>
        </w:tc>
        <w:tc>
          <w:tcPr>
            <w:tcW w:w="8376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1.如设备出现问题，卖方应在接采购人通知</w:t>
            </w:r>
            <w:r>
              <w:rPr>
                <w:rFonts w:ascii="宋体" w:hAnsi="宋体"/>
                <w:snapToGrid w:val="0"/>
                <w:kern w:val="0"/>
                <w:sz w:val="24"/>
              </w:rPr>
              <w:t>2</w:t>
            </w:r>
            <w:r>
              <w:rPr>
                <w:rFonts w:hint="eastAsia" w:ascii="宋体" w:hAnsi="宋体"/>
                <w:snapToGrid w:val="0"/>
                <w:kern w:val="0"/>
                <w:sz w:val="24"/>
              </w:rPr>
              <w:t>小时内做出响应，4个小时内提出故障解决方案，24小时内解决故障，不能在规定时间内修好的要提供备品（机）备件确保不影响采购人正常使用。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2.卖方须向买方提供仪器中文操作手册并培训操作人员，其中包括讲解产品的结构以及原理、产品的使用以及维护保养，直至操作人员能够独立的操作使用。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hint="eastAsia" w:ascii="宋体" w:hAnsi="宋体"/>
                <w:snapToGrid w:val="0"/>
                <w:kern w:val="0"/>
                <w:sz w:val="24"/>
              </w:rPr>
              <w:t>3.为用户提供系统的工程师培训方案，附详细培训计划。</w:t>
            </w:r>
          </w:p>
          <w:p>
            <w:pPr>
              <w:pStyle w:val="4"/>
              <w:spacing w:line="360" w:lineRule="auto"/>
              <w:ind w:firstLine="480" w:firstLineChars="200"/>
              <w:jc w:val="left"/>
              <w:rPr>
                <w:rFonts w:ascii="宋体" w:hAnsi="宋体"/>
                <w:snapToGrid w:val="0"/>
                <w:sz w:val="24"/>
              </w:rPr>
            </w:pPr>
            <w:r>
              <w:rPr>
                <w:rFonts w:hint="eastAsia" w:ascii="宋体" w:hAnsi="宋体"/>
                <w:snapToGrid w:val="0"/>
                <w:sz w:val="24"/>
              </w:rPr>
              <w:t>4.及时提供相关领域新技术与新信息，提供相关技术咨询（该项费用包含在投标报价中）。</w:t>
            </w:r>
          </w:p>
        </w:tc>
      </w:tr>
    </w:tbl>
    <w:p>
      <w:pPr>
        <w:pStyle w:val="4"/>
        <w:tabs>
          <w:tab w:val="left" w:pos="573"/>
        </w:tabs>
        <w:spacing w:after="0" w:line="360" w:lineRule="auto"/>
        <w:ind w:right="284" w:firstLine="361" w:firstLineChars="150"/>
        <w:rPr>
          <w:rFonts w:ascii="宋体" w:hAnsi="宋体"/>
          <w:b/>
          <w:bCs/>
          <w:snapToGrid w:val="0"/>
          <w:sz w:val="24"/>
        </w:rPr>
      </w:pPr>
      <w:r>
        <w:rPr>
          <w:rFonts w:hint="eastAsia" w:ascii="宋体" w:hAnsi="宋体"/>
          <w:b/>
          <w:bCs/>
          <w:snapToGrid w:val="0"/>
          <w:sz w:val="24"/>
        </w:rPr>
        <w:br w:type="page"/>
      </w:r>
      <w:r>
        <w:rPr>
          <w:rFonts w:hint="eastAsia" w:ascii="宋体" w:hAnsi="宋体"/>
          <w:b/>
          <w:bCs/>
          <w:snapToGrid w:val="0"/>
          <w:sz w:val="24"/>
        </w:rPr>
        <w:t>三、主要技术指标：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81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37" w:hRule="atLeast"/>
        </w:trPr>
        <w:tc>
          <w:tcPr>
            <w:tcW w:w="1037" w:type="dxa"/>
            <w:tcBorders>
              <w:left w:val="single" w:color="auto" w:sz="8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/>
                <w:spacing w:val="180"/>
                <w:sz w:val="24"/>
              </w:rPr>
            </w:pPr>
            <w:r>
              <w:rPr>
                <w:rFonts w:hint="eastAsia" w:ascii="宋体"/>
                <w:spacing w:val="180"/>
                <w:sz w:val="24"/>
              </w:rPr>
              <w:t>主要技术指标</w:t>
            </w:r>
          </w:p>
        </w:tc>
        <w:tc>
          <w:tcPr>
            <w:tcW w:w="8182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一、放大器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1.具有两个独立的探头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2.仪器面板完全由计算机控制，高自动化，功能可通过点击鼠标而自动完成。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3.有如下5个操作模式：</w:t>
            </w:r>
          </w:p>
          <w:p>
            <w:pPr>
              <w:ind w:firstLine="240" w:firstLineChars="1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（1）IC（I-Clamp）：电流钳模式(Current</w:t>
            </w:r>
            <w:r>
              <w:rPr>
                <w:rFonts w:hint="eastAsia" w:asci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/>
                <w:sz w:val="24"/>
              </w:rPr>
              <w:tab/>
            </w:r>
            <w:r>
              <w:rPr>
                <w:rFonts w:hint="eastAsia" w:ascii="宋体"/>
                <w:sz w:val="24"/>
              </w:rPr>
              <w:t>clamp)。用于细胞外、细胞内、全细胞记录模式时记录电压。通过Bridge功能消除电极电压降。</w:t>
            </w:r>
          </w:p>
          <w:p>
            <w:pPr>
              <w:ind w:firstLine="240" w:firstLineChars="1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（2）DCC：不连续电流钳模式(Discontinuous</w:t>
            </w:r>
            <w:r>
              <w:rPr>
                <w:rFonts w:hint="eastAsia" w:asci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/>
                <w:sz w:val="24"/>
              </w:rPr>
              <w:tab/>
            </w:r>
            <w:r>
              <w:rPr>
                <w:rFonts w:hint="eastAsia" w:ascii="宋体"/>
                <w:sz w:val="24"/>
              </w:rPr>
              <w:t>Current</w:t>
            </w:r>
            <w:r>
              <w:rPr>
                <w:rFonts w:hint="eastAsia" w:asci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/>
                <w:sz w:val="24"/>
              </w:rPr>
              <w:t>Clamp)。膜电位的记录不受电极电阻微小变化的影响，因而可对膜电位进行精确测定。</w:t>
            </w:r>
          </w:p>
          <w:p>
            <w:pPr>
              <w:ind w:firstLine="240" w:firstLineChars="1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（3）dSEVC：不连续单电极电压钳模式(Discontinuous Single-Electrode Voltage Clamp)。用于钳制小细胞。</w:t>
            </w:r>
          </w:p>
          <w:p>
            <w:pPr>
              <w:ind w:firstLine="240" w:firstLineChars="1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（4）TEVC：双电极电压钳模式(Two-electrode voltage clamp)。采用两个电极，同时插入一个细胞。一个电极用于记录膜电位，另一个用于向细胞内输入电流。用于记录卵母细胞、软体动物细胞等大细胞电流。</w:t>
            </w:r>
          </w:p>
          <w:p>
            <w:pPr>
              <w:ind w:firstLine="240" w:firstLineChars="1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（5）HVIC：高电压电流钳模式(High-Voltage Current Clamp)。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4.可输出高电压，用于细胞外离子电泳。</w:t>
            </w:r>
          </w:p>
          <w:p>
            <w:pPr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二、数模/模数转换器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1.转换器为16位A/D和D/A转换器，分辨率高。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2.转换器为即插即用设备，通过USB接口与计算机沟通，可被Window直接确认，使安装与设置更为简单。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3.单一导联的最高采样频率为500KHz，具有8个模拟信号输入导联、8个模拟信号输出导联。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4.输入范围：-10.000 V 至+10.000 V。最大传输速度为4M采样点/秒，内部噪声和导联间的串扰平均小于±1 mV（p-p at 10 kHz）。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5.可通过USB界面直接与笔记本电脑连接。</w:t>
            </w:r>
          </w:p>
          <w:p>
            <w:pPr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三、数据记录和分析软件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1.可监测并指导整个膜片钳技术操作过程，并给出瞬时封接以及膜反应参数。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集采样、分析功能于一体。采样程序可采集细胞内外电位、自发放电活动、诱发电位、膜电位、动作电位、各种通道电流（全细胞、单通道）等。分析程序可对采集的各种信号进行数据处理、分析、作图、统计检验等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3.分析程序不需Dongle（密码锁），可装在任何计算机上使用。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58" w:hRule="atLeast"/>
        </w:trPr>
        <w:tc>
          <w:tcPr>
            <w:tcW w:w="1037" w:type="dxa"/>
            <w:tcBorders>
              <w:left w:val="single" w:color="auto" w:sz="8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/>
                <w:spacing w:val="180"/>
                <w:sz w:val="24"/>
              </w:rPr>
            </w:pPr>
          </w:p>
        </w:tc>
        <w:tc>
          <w:tcPr>
            <w:tcW w:w="8182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四、显微操作仪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1.控制方式：手动控制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2.粗调：（1）移动距离：X轴37 mm、Y轴20 mm、Z轴20mm。（2）精度：每轴0.1mm。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3.微调：（1）移动距离：X轴10 mm。（2）精度：0.01mm。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4.配备磁力底座。</w:t>
            </w:r>
          </w:p>
          <w:p>
            <w:pPr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五、灌流给药系统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1.可随意切换八种不同溶液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2.拥有软件控制及手动控制两种切换溶液模式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3.控制按键突出，轻松操作溶液切换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4.灌注头有万向杆夹持，方便液流调整方向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5.溶液溢出有报警功能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6.溶液灌注头内径小于1mm，切换死腔小于500微升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六、记录槽系统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1.温控控制有两个模块组成，可以对溶液及微环境双重加热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2.有传感器可反馈微环境温度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3.LCD同步实时显示设置温度、溶液温度、微环境温度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4.控温精度≤±0.1°C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5.最大控制温度可达 70°C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6.具有软件慢坡模拟控制保证低噪声性能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七、显微注射仪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1.采用毛细玻璃管进行组织、细胞内微量注射。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2.注射速度分别为23 nl/sec和46 nl/sec， 倒空速度为92 nl/sec 和230 nl/sec。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3.毛细玻璃管充灌速度：23 nl/sec和46 nl/sec。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4.最大注射容量为5 µl。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5.玻璃管：内径0.5mm，外径1.14mm。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6.可以固定在手动微操纵器上。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八、刺激器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1.可输出单相及双相刺激脉冲。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2.脉冲宽度：1µs-999.9s。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3.电压输出范围：单相 0-±10mA、0-±100V；双相 ±5mA、±50V。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4.具有运行状态显示。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5.可以外接电脑，用软件控制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rPr>
                <w:rFonts w:hint="eastAsia" w:asci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9" w:hRule="atLeast"/>
        </w:trPr>
        <w:tc>
          <w:tcPr>
            <w:tcW w:w="1037" w:type="dxa"/>
            <w:tcBorders>
              <w:left w:val="single" w:color="auto" w:sz="8" w:space="0"/>
            </w:tcBorders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/>
                <w:spacing w:val="180"/>
                <w:sz w:val="24"/>
              </w:rPr>
            </w:pPr>
          </w:p>
        </w:tc>
        <w:tc>
          <w:tcPr>
            <w:tcW w:w="8182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九、防震台及静电屏蔽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1.高导磁不锈钢台面，M6螺孔阵列。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2.万向活塞震动隔离器，隔振效率：垂直与水平均为90-97％@10Hz。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3.系统固有频率：小于1-2Hz。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4.台面厚度：50-100mm。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5.台面尺寸：750 x 1200mm。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6.承载力：160 kg。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7.最大气压要求：80psi氮气或空气。</w:t>
            </w:r>
          </w:p>
          <w:p>
            <w:pPr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十、微电极拉制仪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1.拉制参数的编辑采用彩色触摸屏。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2.只要输入玻璃管类型、铂金片类型以及需要拉制的电极类型（膜片钳电极、细胞外记录电极等）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3.自我诊断功能可自动检测所有的拉制仪部件是否处于正常工作状态。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4.“ramp test”功能变得非常容易。内设“帮助”系统（包括文字、图片、图解），提供对拉制仪功能、使用、故障等的介绍。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5.可稳定控制拉制的电极尖端直径小于0.1μm。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6.自控的气流系统，含有过滤和湿度控制装置。</w:t>
            </w:r>
          </w:p>
          <w:p>
            <w:pPr>
              <w:ind w:firstLine="480" w:firstLineChars="200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7.优化了拉制速度敏感电路，保证了最大可能的敏感度和重复性。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8.可拉制的最小尖端直径为≥0.06um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rPr>
                <w:rFonts w:hint="eastAsia" w:ascii="宋体"/>
                <w:sz w:val="24"/>
              </w:rPr>
            </w:pPr>
          </w:p>
          <w:p>
            <w:pPr>
              <w:rPr>
                <w:rFonts w:hint="eastAsia"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十一、工作站及仪器架、体视镜、耗材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1.DELL台式计算机2台（含显示器2台）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2.仪器柜-1个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3.蠕动泵-2台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4.体式显微镜-1台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5.冷光源-1台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6.BF150-86-10玻璃电极-5盒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7.非洲爪蟾-5只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8.刺激电极（定制）-1包9：参考电极-4个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  <w:p>
            <w:pPr>
              <w:ind w:firstLine="480" w:firstLineChars="200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</w:rPr>
              <w:t>9.电极内液加液器-3个</w:t>
            </w:r>
            <w:r>
              <w:rPr>
                <w:rFonts w:hint="eastAsia" w:ascii="宋体"/>
                <w:sz w:val="24"/>
                <w:lang w:eastAsia="zh-CN"/>
              </w:rPr>
              <w:t>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3NjFlOWNmYWYxNzNjZmQ0ZGM1ZjI0MDcyNjk2MjEifQ=="/>
  </w:docVars>
  <w:rsids>
    <w:rsidRoot w:val="78833012"/>
    <w:rsid w:val="7883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4">
    <w:name w:val="Body Text"/>
    <w:basedOn w:val="1"/>
    <w:next w:val="5"/>
    <w:qFormat/>
    <w:uiPriority w:val="99"/>
    <w:pPr>
      <w:spacing w:after="120"/>
    </w:pPr>
    <w:rPr>
      <w:kern w:val="0"/>
      <w:sz w:val="20"/>
    </w:rPr>
  </w:style>
  <w:style w:type="paragraph" w:styleId="5">
    <w:name w:val="Body Text First Indent"/>
    <w:basedOn w:val="4"/>
    <w:qFormat/>
    <w:uiPriority w:val="99"/>
    <w:pPr>
      <w:spacing w:line="400" w:lineRule="exact"/>
      <w:ind w:firstLine="200" w:firstLineChars="200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2022-10-08T05:30:00Z</dcterms:created>
  <dc:creator>我也想你</dc:creator>
  <cp:lastModifiedBy>我也想你</cp:lastModifiedBy>
  <dcterms:modified xsi:type="dcterms:W3CDTF">2022-10-08T05:31:14Z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C3A405B55AA34E53A5D1B949312088A8</vt:lpwstr>
  </property>
</Properties>
</file>