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kinsoku/>
        <w:wordWrap/>
        <w:overflowPunct/>
        <w:topLinePunct w:val="0"/>
        <w:autoSpaceDE/>
        <w:autoSpaceDN/>
        <w:bidi w:val="0"/>
        <w:adjustRightInd/>
        <w:snapToGrid/>
        <w:spacing w:before="200" w:beforeAutospacing="0" w:after="200" w:afterAutospacing="0" w:line="400" w:lineRule="exact"/>
        <w:jc w:val="center"/>
        <w:textAlignment w:val="auto"/>
        <w:rPr>
          <w:rStyle w:val="13"/>
          <w:rFonts w:hint="eastAsia" w:ascii="宋体" w:hAnsi="宋体" w:cs="宋体"/>
          <w:color w:val="auto"/>
          <w:sz w:val="32"/>
          <w:szCs w:val="32"/>
        </w:rPr>
      </w:pPr>
      <w:r>
        <w:rPr>
          <w:rStyle w:val="13"/>
          <w:rFonts w:hint="eastAsia" w:ascii="宋体" w:hAnsi="宋体" w:cs="宋体"/>
          <w:color w:val="auto"/>
          <w:sz w:val="32"/>
          <w:szCs w:val="32"/>
        </w:rPr>
        <w:t xml:space="preserve"> 南靖县第二实验小学篮球场、气排球场修缮工程</w:t>
      </w:r>
    </w:p>
    <w:p>
      <w:pPr>
        <w:pStyle w:val="10"/>
        <w:keepNext w:val="0"/>
        <w:keepLines w:val="0"/>
        <w:pageBreakBefore w:val="0"/>
        <w:widowControl/>
        <w:kinsoku/>
        <w:wordWrap/>
        <w:overflowPunct/>
        <w:topLinePunct w:val="0"/>
        <w:autoSpaceDE/>
        <w:autoSpaceDN/>
        <w:bidi w:val="0"/>
        <w:adjustRightInd/>
        <w:snapToGrid/>
        <w:spacing w:before="200" w:beforeAutospacing="0" w:after="200" w:afterAutospacing="0" w:line="400" w:lineRule="exact"/>
        <w:jc w:val="center"/>
        <w:textAlignment w:val="auto"/>
        <w:rPr>
          <w:rStyle w:val="13"/>
          <w:rFonts w:hint="eastAsia" w:ascii="宋体" w:hAnsi="宋体" w:cs="宋体"/>
          <w:color w:val="auto"/>
          <w:sz w:val="32"/>
          <w:szCs w:val="32"/>
        </w:rPr>
      </w:pPr>
      <w:r>
        <w:rPr>
          <w:rStyle w:val="13"/>
          <w:rFonts w:hint="eastAsia" w:ascii="宋体" w:hAnsi="宋体" w:cs="宋体"/>
          <w:color w:val="auto"/>
          <w:sz w:val="32"/>
          <w:szCs w:val="32"/>
        </w:rPr>
        <w:t>竞争性谈判采购邀请书</w:t>
      </w:r>
    </w:p>
    <w:p>
      <w:pPr>
        <w:rPr>
          <w:rFonts w:hint="default" w:ascii="宋体" w:hAnsi="宋体" w:cs="宋体" w:eastAsiaTheme="minorEastAsia"/>
          <w:color w:val="auto"/>
          <w:kern w:val="0"/>
          <w:sz w:val="24"/>
          <w:szCs w:val="22"/>
          <w:u w:val="single"/>
          <w:lang w:val="en-US" w:eastAsia="zh-CN" w:bidi="ar"/>
        </w:rPr>
      </w:pPr>
      <w:r>
        <w:rPr>
          <w:rFonts w:hint="eastAsia" w:ascii="宋体" w:hAnsi="宋体" w:cs="宋体" w:eastAsiaTheme="minorEastAsia"/>
          <w:color w:val="auto"/>
          <w:kern w:val="0"/>
          <w:sz w:val="24"/>
          <w:szCs w:val="22"/>
          <w:lang w:val="en-US" w:eastAsia="zh-CN" w:bidi="ar"/>
        </w:rPr>
        <w:t>致：</w:t>
      </w:r>
      <w:r>
        <w:rPr>
          <w:rFonts w:hint="eastAsia" w:ascii="宋体" w:hAnsi="宋体" w:cs="宋体"/>
          <w:color w:val="auto"/>
          <w:kern w:val="0"/>
          <w:sz w:val="24"/>
          <w:szCs w:val="22"/>
          <w:u w:val="single"/>
          <w:lang w:val="en-US" w:eastAsia="zh-CN" w:bidi="ar"/>
        </w:rPr>
        <w:t xml:space="preserve">                      </w:t>
      </w:r>
    </w:p>
    <w:p>
      <w:pPr>
        <w:pStyle w:val="19"/>
        <w:spacing w:line="400" w:lineRule="exact"/>
        <w:ind w:firstLine="480" w:firstLineChars="200"/>
        <w:jc w:val="both"/>
        <w:rPr>
          <w:rFonts w:hint="default" w:ascii="宋体" w:hAnsi="宋体" w:eastAsia="宋体" w:cs="宋体"/>
          <w:color w:val="auto"/>
          <w:sz w:val="24"/>
          <w:szCs w:val="24"/>
          <w:u w:val="single"/>
        </w:rPr>
      </w:pPr>
      <w:r>
        <w:rPr>
          <w:rFonts w:hint="eastAsia" w:ascii="宋体" w:hAnsi="宋体" w:eastAsia="宋体" w:cs="宋体"/>
          <w:color w:val="auto"/>
          <w:sz w:val="24"/>
          <w:szCs w:val="24"/>
          <w:lang w:eastAsia="zh-CN"/>
        </w:rPr>
        <w:t>南靖县第二实验小学</w:t>
      </w:r>
      <w:r>
        <w:rPr>
          <w:rFonts w:ascii="宋体" w:hAnsi="宋体" w:eastAsia="宋体" w:cs="宋体"/>
          <w:color w:val="auto"/>
          <w:sz w:val="24"/>
          <w:szCs w:val="24"/>
        </w:rPr>
        <w:t>已根据政府采购相关法律法规，经相应程序确定采用 竞争性谈判方式组织</w:t>
      </w:r>
      <w:r>
        <w:rPr>
          <w:rFonts w:hint="eastAsia" w:ascii="宋体" w:hAnsi="宋体" w:eastAsia="宋体" w:cs="宋体"/>
          <w:color w:val="auto"/>
          <w:sz w:val="24"/>
          <w:szCs w:val="24"/>
          <w:lang w:eastAsia="zh-CN"/>
        </w:rPr>
        <w:t>南靖县第二实验小学篮球场、气排球场修缮工程</w:t>
      </w:r>
      <w:r>
        <w:rPr>
          <w:rFonts w:ascii="宋体" w:hAnsi="宋体" w:eastAsia="宋体" w:cs="宋体"/>
          <w:color w:val="auto"/>
          <w:sz w:val="24"/>
          <w:szCs w:val="24"/>
        </w:rPr>
        <w:t>（以下简称：“本项目”）的政府采购活动，</w:t>
      </w:r>
      <w:r>
        <w:rPr>
          <w:rFonts w:hint="eastAsia" w:ascii="宋体" w:hAnsi="宋体" w:eastAsia="宋体" w:cs="宋体"/>
          <w:color w:val="auto"/>
          <w:sz w:val="24"/>
          <w:szCs w:val="24"/>
        </w:rPr>
        <w:t>欢迎受邀的供应商前来参加</w:t>
      </w:r>
      <w:r>
        <w:rPr>
          <w:rFonts w:ascii="宋体" w:hAnsi="宋体" w:eastAsia="宋体" w:cs="宋体"/>
          <w:color w:val="auto"/>
          <w:sz w:val="24"/>
          <w:szCs w:val="24"/>
        </w:rPr>
        <w:t>。本项目由采购人委托</w:t>
      </w:r>
      <w:r>
        <w:rPr>
          <w:rFonts w:hint="eastAsia" w:ascii="宋体" w:hAnsi="宋体" w:eastAsia="宋体" w:cs="宋体"/>
          <w:color w:val="auto"/>
          <w:sz w:val="24"/>
          <w:szCs w:val="24"/>
          <w:lang w:eastAsia="zh-CN"/>
        </w:rPr>
        <w:t>福建众亿工程项目管理有限公司</w:t>
      </w:r>
      <w:r>
        <w:rPr>
          <w:rFonts w:ascii="宋体" w:hAnsi="宋体" w:eastAsia="宋体" w:cs="宋体"/>
          <w:color w:val="auto"/>
          <w:sz w:val="24"/>
          <w:szCs w:val="24"/>
        </w:rPr>
        <w:t>开展竞争性谈判活动。</w:t>
      </w:r>
    </w:p>
    <w:p>
      <w:pPr>
        <w:pStyle w:val="19"/>
        <w:spacing w:line="400" w:lineRule="exact"/>
        <w:ind w:firstLine="480"/>
        <w:rPr>
          <w:rFonts w:hint="eastAsia" w:ascii="宋体" w:hAnsi="宋体" w:eastAsia="宋体" w:cs="宋体"/>
          <w:b/>
          <w:color w:val="auto"/>
          <w:sz w:val="24"/>
          <w:szCs w:val="24"/>
          <w:lang w:eastAsia="zh-CN"/>
        </w:rPr>
      </w:pPr>
      <w:r>
        <w:rPr>
          <w:rFonts w:ascii="宋体" w:hAnsi="宋体" w:eastAsia="宋体" w:cs="宋体"/>
          <w:b/>
          <w:color w:val="auto"/>
          <w:sz w:val="24"/>
          <w:szCs w:val="24"/>
        </w:rPr>
        <w:t>1.项目名称：</w:t>
      </w:r>
      <w:r>
        <w:rPr>
          <w:rFonts w:hint="eastAsia" w:ascii="宋体" w:hAnsi="宋体" w:eastAsia="宋体" w:cs="宋体"/>
          <w:bCs/>
          <w:color w:val="auto"/>
          <w:sz w:val="24"/>
          <w:szCs w:val="24"/>
          <w:lang w:eastAsia="zh-CN"/>
        </w:rPr>
        <w:t>南靖县第二实验小学篮球场、气排球场修缮工程</w:t>
      </w:r>
    </w:p>
    <w:p>
      <w:pPr>
        <w:pStyle w:val="19"/>
        <w:spacing w:line="400" w:lineRule="exact"/>
        <w:ind w:firstLine="480"/>
        <w:rPr>
          <w:rFonts w:hint="eastAsia" w:ascii="宋体" w:hAnsi="宋体" w:eastAsia="宋体" w:cs="宋体"/>
          <w:b/>
          <w:color w:val="auto"/>
          <w:sz w:val="24"/>
          <w:szCs w:val="24"/>
          <w:lang w:eastAsia="zh-CN"/>
        </w:rPr>
      </w:pPr>
      <w:r>
        <w:rPr>
          <w:rFonts w:ascii="宋体" w:hAnsi="宋体" w:eastAsia="宋体" w:cs="宋体"/>
          <w:b/>
          <w:color w:val="auto"/>
          <w:sz w:val="24"/>
          <w:szCs w:val="24"/>
        </w:rPr>
        <w:t>2.项目编号：</w:t>
      </w:r>
      <w:r>
        <w:rPr>
          <w:rFonts w:hint="eastAsia" w:ascii="宋体" w:hAnsi="宋体" w:eastAsia="宋体" w:cs="宋体"/>
          <w:bCs/>
          <w:color w:val="auto"/>
          <w:sz w:val="24"/>
          <w:szCs w:val="24"/>
          <w:lang w:eastAsia="zh-CN"/>
        </w:rPr>
        <w:t>FJZY采购2023-045号</w:t>
      </w:r>
    </w:p>
    <w:p>
      <w:pPr>
        <w:pStyle w:val="19"/>
        <w:spacing w:line="400" w:lineRule="exact"/>
        <w:ind w:firstLine="480"/>
        <w:rPr>
          <w:rFonts w:hint="default" w:ascii="宋体" w:hAnsi="宋体" w:eastAsia="宋体" w:cs="宋体"/>
          <w:b/>
          <w:color w:val="auto"/>
          <w:sz w:val="24"/>
          <w:szCs w:val="24"/>
        </w:rPr>
      </w:pPr>
      <w:r>
        <w:rPr>
          <w:rFonts w:ascii="宋体" w:hAnsi="宋体" w:eastAsia="宋体" w:cs="宋体"/>
          <w:b/>
          <w:color w:val="auto"/>
          <w:sz w:val="24"/>
          <w:szCs w:val="24"/>
        </w:rPr>
        <w:t>3.采购内容及要求：</w:t>
      </w:r>
    </w:p>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采购包1：</w:t>
      </w:r>
    </w:p>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采购包预算金额（元）:</w:t>
      </w:r>
      <w:r>
        <w:rPr>
          <w:rFonts w:hint="eastAsia" w:ascii="宋体" w:hAnsi="宋体" w:eastAsia="宋体" w:cs="宋体"/>
          <w:color w:val="auto"/>
          <w:sz w:val="24"/>
          <w:lang w:eastAsia="zh-CN"/>
        </w:rPr>
        <w:t>313589.91</w:t>
      </w:r>
    </w:p>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采购包最高限价（元）:</w:t>
      </w:r>
      <w:r>
        <w:rPr>
          <w:rFonts w:hint="eastAsia" w:ascii="宋体" w:hAnsi="宋体" w:eastAsia="宋体" w:cs="宋体"/>
          <w:color w:val="auto"/>
          <w:sz w:val="24"/>
          <w:lang w:val="en-US" w:eastAsia="zh-CN"/>
        </w:rPr>
        <w:t>300000.00</w:t>
      </w:r>
      <w:r>
        <w:rPr>
          <w:rFonts w:ascii="宋体" w:hAnsi="宋体" w:eastAsia="宋体" w:cs="宋体"/>
          <w:color w:val="auto"/>
          <w:sz w:val="24"/>
          <w:szCs w:val="24"/>
        </w:rPr>
        <w:t xml:space="preserve"> </w:t>
      </w:r>
      <w:r>
        <w:rPr>
          <w:rFonts w:ascii="宋体" w:hAnsi="宋体" w:eastAsia="宋体" w:cs="宋体"/>
          <w:color w:val="auto"/>
          <w:sz w:val="24"/>
        </w:rPr>
        <w:t xml:space="preserve"> </w:t>
      </w:r>
    </w:p>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采购包保证金金额（元）: 0.00</w:t>
      </w:r>
    </w:p>
    <w:tbl>
      <w:tblPr>
        <w:tblStyle w:val="11"/>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27"/>
        <w:gridCol w:w="1138"/>
        <w:gridCol w:w="1986"/>
        <w:gridCol w:w="504"/>
        <w:gridCol w:w="1221"/>
        <w:gridCol w:w="941"/>
        <w:gridCol w:w="1348"/>
        <w:gridCol w:w="119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27" w:type="dxa"/>
            <w:tcBorders>
              <w:right w:val="single" w:color="auto" w:sz="4" w:space="0"/>
            </w:tcBorders>
          </w:tcPr>
          <w:p>
            <w:pPr>
              <w:pStyle w:val="19"/>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采购包</w:t>
            </w:r>
          </w:p>
        </w:tc>
        <w:tc>
          <w:tcPr>
            <w:tcW w:w="1138" w:type="dxa"/>
            <w:tcBorders>
              <w:left w:val="single" w:color="auto" w:sz="4" w:space="0"/>
            </w:tcBorders>
          </w:tcPr>
          <w:p>
            <w:pPr>
              <w:pStyle w:val="19"/>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品目号</w:t>
            </w:r>
          </w:p>
        </w:tc>
        <w:tc>
          <w:tcPr>
            <w:tcW w:w="1986" w:type="dxa"/>
          </w:tcPr>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标的名称</w:t>
            </w:r>
          </w:p>
        </w:tc>
        <w:tc>
          <w:tcPr>
            <w:tcW w:w="504" w:type="dxa"/>
          </w:tcPr>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数量</w:t>
            </w:r>
          </w:p>
        </w:tc>
        <w:tc>
          <w:tcPr>
            <w:tcW w:w="1221" w:type="dxa"/>
          </w:tcPr>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标的金额 （元）</w:t>
            </w:r>
          </w:p>
        </w:tc>
        <w:tc>
          <w:tcPr>
            <w:tcW w:w="941" w:type="dxa"/>
          </w:tcPr>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计量单位</w:t>
            </w:r>
          </w:p>
        </w:tc>
        <w:tc>
          <w:tcPr>
            <w:tcW w:w="1348" w:type="dxa"/>
          </w:tcPr>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所属行业</w:t>
            </w:r>
          </w:p>
        </w:tc>
        <w:tc>
          <w:tcPr>
            <w:tcW w:w="1197" w:type="dxa"/>
          </w:tcPr>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采购包保证金金额</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27" w:type="dxa"/>
            <w:tcBorders>
              <w:right w:val="single" w:color="auto" w:sz="4" w:space="0"/>
            </w:tcBorders>
            <w:vAlign w:val="center"/>
          </w:tcPr>
          <w:p>
            <w:pPr>
              <w:pStyle w:val="19"/>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w:t>
            </w:r>
          </w:p>
        </w:tc>
        <w:tc>
          <w:tcPr>
            <w:tcW w:w="1138" w:type="dxa"/>
            <w:tcBorders>
              <w:left w:val="single" w:color="auto" w:sz="4" w:space="0"/>
            </w:tcBorders>
            <w:vAlign w:val="center"/>
          </w:tcPr>
          <w:p>
            <w:pPr>
              <w:pStyle w:val="19"/>
              <w:spacing w:line="400" w:lineRule="exact"/>
              <w:jc w:val="center"/>
              <w:rPr>
                <w:rFonts w:hint="default" w:ascii="宋体" w:hAnsi="宋体" w:eastAsia="宋体" w:cs="宋体"/>
                <w:color w:val="auto"/>
                <w:sz w:val="24"/>
                <w:szCs w:val="24"/>
                <w:lang w:val="en-US" w:eastAsia="zh-CN"/>
              </w:rPr>
            </w:pPr>
            <w:r>
              <w:rPr>
                <w:rFonts w:hint="eastAsia" w:ascii="宋体" w:hAnsi="宋体" w:cs="宋体"/>
                <w:color w:val="auto"/>
                <w:kern w:val="0"/>
                <w:sz w:val="24"/>
                <w:lang w:eastAsia="zh-CN" w:bidi="ar"/>
              </w:rPr>
              <w:t>其他建筑物、构筑物修缮</w:t>
            </w:r>
          </w:p>
        </w:tc>
        <w:tc>
          <w:tcPr>
            <w:tcW w:w="1986" w:type="dxa"/>
            <w:vAlign w:val="center"/>
          </w:tcPr>
          <w:p>
            <w:pPr>
              <w:pStyle w:val="19"/>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南靖县第二实验小学篮球场、气排球场修缮工程</w:t>
            </w:r>
          </w:p>
        </w:tc>
        <w:tc>
          <w:tcPr>
            <w:tcW w:w="504" w:type="dxa"/>
            <w:vAlign w:val="center"/>
          </w:tcPr>
          <w:p>
            <w:pPr>
              <w:pStyle w:val="19"/>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w:t>
            </w:r>
          </w:p>
        </w:tc>
        <w:tc>
          <w:tcPr>
            <w:tcW w:w="1221" w:type="dxa"/>
            <w:vAlign w:val="center"/>
          </w:tcPr>
          <w:p>
            <w:pPr>
              <w:pStyle w:val="19"/>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lang w:eastAsia="zh-CN"/>
              </w:rPr>
              <w:t>313589.91</w:t>
            </w:r>
          </w:p>
        </w:tc>
        <w:tc>
          <w:tcPr>
            <w:tcW w:w="941" w:type="dxa"/>
            <w:vAlign w:val="center"/>
          </w:tcPr>
          <w:p>
            <w:pPr>
              <w:pStyle w:val="19"/>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项</w:t>
            </w:r>
          </w:p>
        </w:tc>
        <w:tc>
          <w:tcPr>
            <w:tcW w:w="1348" w:type="dxa"/>
            <w:vAlign w:val="center"/>
          </w:tcPr>
          <w:p>
            <w:pPr>
              <w:pStyle w:val="19"/>
              <w:spacing w:line="4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建筑业</w:t>
            </w:r>
          </w:p>
        </w:tc>
        <w:tc>
          <w:tcPr>
            <w:tcW w:w="1197" w:type="dxa"/>
            <w:vAlign w:val="center"/>
          </w:tcPr>
          <w:p>
            <w:pPr>
              <w:pStyle w:val="19"/>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0元</w:t>
            </w:r>
          </w:p>
        </w:tc>
      </w:tr>
    </w:tbl>
    <w:p>
      <w:pPr>
        <w:pStyle w:val="19"/>
        <w:spacing w:line="400" w:lineRule="exact"/>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4.采购项目需要落实的政府采购政策：</w:t>
      </w:r>
    </w:p>
    <w:p>
      <w:pPr>
        <w:pStyle w:val="19"/>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进口产品：不适用。</w:t>
      </w:r>
    </w:p>
    <w:p>
      <w:pPr>
        <w:pStyle w:val="19"/>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节能产品：不适用。</w:t>
      </w:r>
    </w:p>
    <w:p>
      <w:pPr>
        <w:pStyle w:val="19"/>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环境标志产品：不适用。</w:t>
      </w:r>
    </w:p>
    <w:p>
      <w:pPr>
        <w:pStyle w:val="19"/>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信息安全产品：不适用。</w:t>
      </w:r>
    </w:p>
    <w:p>
      <w:pPr>
        <w:pStyle w:val="19"/>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信用记录：</w:t>
      </w:r>
    </w:p>
    <w:p>
      <w:pPr>
        <w:pStyle w:val="19"/>
        <w:spacing w:line="400" w:lineRule="exact"/>
        <w:ind w:firstLine="480" w:firstLineChars="200"/>
        <w:jc w:val="both"/>
        <w:rPr>
          <w:rFonts w:hint="default" w:ascii="宋体" w:hAnsi="宋体" w:eastAsia="宋体" w:cs="宋体"/>
          <w:color w:val="auto"/>
          <w:sz w:val="24"/>
          <w:szCs w:val="24"/>
        </w:rPr>
      </w:pPr>
      <w:r>
        <w:rPr>
          <w:rFonts w:ascii="宋体" w:hAnsi="宋体" w:eastAsia="宋体" w:cs="宋体"/>
          <w:color w:val="auto"/>
          <w:sz w:val="24"/>
          <w:szCs w:val="24"/>
        </w:rPr>
        <w:t>按照下列规定执行：（1）供应商应在（谈判文件要求的截止时点）前分别通过“信用中国”网站（www.creditchina.gov.cn）、中国政府采购网（www.ccgp.gov.cn）查询并打印相应的信用记录（以下简称：“供应商提供的查询结果”），供应商提供的查询结果应为其通过上述网站获取的信用信息查询结果原始页面的打印件（或截图）。（2）查询结果的审查：①由谈判小组通过上述网站查询并打印供应商信用记录（以下简称：“谈判小组的查询结果”）。②供应商提供的查询结果与谈判小组的查询结果不一致的，以谈判小组的查询结果为准。③因上述网站原因导致谈判小组无法查询供应商信用记录的（谈判小组应将通过上述网站查询供应商信用记录时的原始页面打印后随采购文件一并存档），以供应商提供的查询结果为准。④查询结果存在供应商应被拒绝参与政府采购活动相关信息的，其资格审查不合格。</w:t>
      </w:r>
    </w:p>
    <w:p>
      <w:pPr>
        <w:pStyle w:val="19"/>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促进中小企业发展的相关政策：</w:t>
      </w:r>
    </w:p>
    <w:p>
      <w:pPr>
        <w:pStyle w:val="19"/>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采购包1：【预留】专门面向中小企业</w:t>
      </w:r>
    </w:p>
    <w:p>
      <w:pPr>
        <w:pStyle w:val="19"/>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面向的企业规模：中小企业</w:t>
      </w:r>
    </w:p>
    <w:p>
      <w:pPr>
        <w:pStyle w:val="19"/>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预留形式：【预留】专门面向中小企业</w:t>
      </w:r>
    </w:p>
    <w:p>
      <w:pPr>
        <w:pStyle w:val="19"/>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预留比例：100%</w:t>
      </w:r>
    </w:p>
    <w:p>
      <w:pPr>
        <w:pStyle w:val="19"/>
        <w:spacing w:line="400" w:lineRule="exact"/>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5.供应商的资格要求</w:t>
      </w:r>
    </w:p>
    <w:p>
      <w:pPr>
        <w:pStyle w:val="19"/>
        <w:spacing w:line="400" w:lineRule="exact"/>
        <w:ind w:firstLine="480" w:firstLineChars="200"/>
        <w:jc w:val="both"/>
        <w:rPr>
          <w:rFonts w:hint="default" w:ascii="宋体" w:hAnsi="宋体" w:eastAsia="宋体" w:cs="宋体"/>
          <w:color w:val="auto"/>
          <w:sz w:val="24"/>
          <w:szCs w:val="24"/>
        </w:rPr>
      </w:pPr>
      <w:r>
        <w:rPr>
          <w:rFonts w:ascii="宋体" w:hAnsi="宋体" w:eastAsia="宋体" w:cs="宋体"/>
          <w:color w:val="auto"/>
          <w:sz w:val="24"/>
          <w:szCs w:val="24"/>
        </w:rPr>
        <w:t>5.1法定条件：符合《中华人民共和国政府采购法》第二十二条第一款规定的条件。</w:t>
      </w:r>
    </w:p>
    <w:p>
      <w:pPr>
        <w:pStyle w:val="19"/>
        <w:spacing w:line="400" w:lineRule="exact"/>
        <w:ind w:firstLine="480" w:firstLineChars="200"/>
        <w:jc w:val="both"/>
        <w:rPr>
          <w:rFonts w:hint="default" w:ascii="宋体" w:hAnsi="宋体" w:eastAsia="宋体" w:cs="宋体"/>
          <w:color w:val="auto"/>
          <w:sz w:val="24"/>
          <w:szCs w:val="24"/>
        </w:rPr>
      </w:pPr>
      <w:r>
        <w:rPr>
          <w:rFonts w:ascii="宋体" w:hAnsi="宋体" w:eastAsia="宋体" w:cs="宋体"/>
          <w:color w:val="auto"/>
          <w:sz w:val="24"/>
          <w:szCs w:val="24"/>
        </w:rPr>
        <w:t>5.2特定条件：</w:t>
      </w:r>
    </w:p>
    <w:p>
      <w:pPr>
        <w:pStyle w:val="19"/>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采购包1：</w:t>
      </w:r>
    </w:p>
    <w:tbl>
      <w:tblPr>
        <w:tblStyle w:val="11"/>
        <w:tblW w:w="9586" w:type="dxa"/>
        <w:tblInd w:w="-25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311"/>
        <w:gridCol w:w="727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11" w:type="dxa"/>
          </w:tcPr>
          <w:p>
            <w:pPr>
              <w:pStyle w:val="19"/>
              <w:spacing w:line="400" w:lineRule="exact"/>
              <w:jc w:val="both"/>
              <w:rPr>
                <w:rFonts w:hint="default" w:ascii="宋体" w:hAnsi="宋体" w:eastAsia="宋体" w:cs="宋体"/>
                <w:color w:val="auto"/>
                <w:sz w:val="24"/>
                <w:szCs w:val="24"/>
              </w:rPr>
            </w:pPr>
            <w:bookmarkStart w:id="0" w:name="_GoBack"/>
            <w:r>
              <w:rPr>
                <w:rFonts w:ascii="宋体" w:hAnsi="宋体" w:eastAsia="宋体" w:cs="宋体"/>
                <w:color w:val="auto"/>
                <w:sz w:val="24"/>
                <w:szCs w:val="24"/>
              </w:rPr>
              <w:t>资格审查要求概况</w:t>
            </w:r>
          </w:p>
        </w:tc>
        <w:tc>
          <w:tcPr>
            <w:tcW w:w="7275" w:type="dxa"/>
          </w:tcPr>
          <w:p>
            <w:pPr>
              <w:pStyle w:val="19"/>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11" w:type="dxa"/>
            <w:vAlign w:val="center"/>
          </w:tcPr>
          <w:p>
            <w:pPr>
              <w:pStyle w:val="19"/>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落实政府采购政策的证明材料（专门面向中小企业采购）</w:t>
            </w:r>
          </w:p>
        </w:tc>
        <w:tc>
          <w:tcPr>
            <w:tcW w:w="7275" w:type="dxa"/>
            <w:vAlign w:val="center"/>
          </w:tcPr>
          <w:p>
            <w:pPr>
              <w:pStyle w:val="19"/>
              <w:spacing w:line="400" w:lineRule="exact"/>
              <w:rPr>
                <w:rFonts w:hint="default" w:ascii="宋体" w:hAnsi="宋体" w:eastAsia="宋体" w:cs="宋体"/>
                <w:color w:val="auto"/>
                <w:sz w:val="24"/>
                <w:szCs w:val="24"/>
              </w:rPr>
            </w:pPr>
            <w:r>
              <w:rPr>
                <w:rFonts w:ascii="宋体" w:hAnsi="宋体" w:cs="宋体"/>
                <w:color w:val="auto"/>
                <w:sz w:val="24"/>
              </w:rPr>
              <w:t>本项目专门面向中小企业采购。本项目专门面向符合财政部、工信部文件（财库〔2020〕46号）规定的中、小、微企业。供应商须提供《中小企业声明函》</w:t>
            </w:r>
            <w:r>
              <w:rPr>
                <w:rFonts w:ascii="宋体" w:hAnsi="宋体" w:eastAsia="宋体" w:cs="宋体"/>
                <w:color w:val="auto"/>
                <w:sz w:val="24"/>
                <w:szCs w:val="24"/>
              </w:rPr>
              <w:t>。注：①上述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②依据相关规定享受扶持政策获得政府采购合同的，小微企业不得将合同分包给大中型企业，中型企业不得将合同分包给大型企业。③本采购标的对应的中小企业划分标准所属行业为</w:t>
            </w:r>
            <w:r>
              <w:rPr>
                <w:rFonts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建筑业</w:t>
            </w:r>
            <w:r>
              <w:rPr>
                <w:rFonts w:ascii="宋体" w:hAnsi="宋体" w:eastAsia="宋体" w:cs="宋体"/>
                <w:color w:val="auto"/>
                <w:sz w:val="24"/>
                <w:szCs w:val="24"/>
                <w:u w:val="single"/>
              </w:rPr>
              <w:t>”</w:t>
            </w:r>
            <w:r>
              <w:rPr>
                <w:rFonts w:ascii="宋体" w:hAnsi="宋体" w:eastAsia="宋体" w:cs="宋体"/>
                <w:color w:val="auto"/>
                <w:sz w:val="24"/>
                <w:szCs w:val="24"/>
              </w:rPr>
              <w:t>。④监狱企业视同小型、微型企业，供应商为监狱企业的，可不提供中小企业声明函，但须提供由省级以上监狱管理局、戒毒管理局（含新疆生产建设兵团）出具的属于监狱企业的证明文件。⑤残疾人福利性单位视同小型、微型企业，供 应商为残疾人福利性单位的，可不提供中小企业声明函，但须提供《残疾人福利性单位声明函》。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11" w:type="dxa"/>
            <w:vAlign w:val="center"/>
          </w:tcPr>
          <w:p>
            <w:pPr>
              <w:pStyle w:val="19"/>
              <w:tabs>
                <w:tab w:val="left" w:pos="289"/>
              </w:tabs>
              <w:spacing w:line="40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b/>
            </w:r>
            <w:r>
              <w:rPr>
                <w:rFonts w:ascii="宋体" w:hAnsi="宋体" w:eastAsia="宋体" w:cs="宋体"/>
                <w:color w:val="auto"/>
                <w:sz w:val="24"/>
                <w:szCs w:val="24"/>
              </w:rPr>
              <w:t>其他资格要求</w:t>
            </w:r>
          </w:p>
        </w:tc>
        <w:tc>
          <w:tcPr>
            <w:tcW w:w="7275" w:type="dxa"/>
            <w:vAlign w:val="center"/>
          </w:tcPr>
          <w:p>
            <w:pPr>
              <w:pStyle w:val="19"/>
              <w:spacing w:line="400" w:lineRule="exact"/>
              <w:rPr>
                <w:rFonts w:ascii="宋体" w:hAnsi="宋体" w:cs="宋体"/>
                <w:color w:val="auto"/>
                <w:sz w:val="24"/>
              </w:rPr>
            </w:pPr>
            <w:r>
              <w:rPr>
                <w:rFonts w:ascii="宋体" w:hAnsi="宋体" w:eastAsia="宋体" w:cs="宋体"/>
                <w:kern w:val="0"/>
                <w:sz w:val="24"/>
                <w:szCs w:val="24"/>
                <w:lang w:val="en-US" w:eastAsia="zh-CN" w:bidi="ar"/>
              </w:rPr>
              <w:t>响应人须具备国家建设行政主管部门核发的有效的不低于叁级建筑工程施工总承包资质和《施工企业安全生产许可证》，提供相关证书复印件。</w:t>
            </w:r>
          </w:p>
        </w:tc>
      </w:tr>
      <w:bookmarkEnd w:id="0"/>
    </w:tbl>
    <w:p>
      <w:pPr>
        <w:pStyle w:val="19"/>
        <w:ind w:firstLine="480" w:firstLineChars="200"/>
        <w:jc w:val="both"/>
        <w:rPr>
          <w:rFonts w:hint="default" w:ascii="宋体" w:hAnsi="宋体" w:eastAsia="宋体" w:cs="宋体"/>
          <w:color w:val="auto"/>
          <w:sz w:val="24"/>
          <w:szCs w:val="24"/>
        </w:rPr>
      </w:pPr>
      <w:r>
        <w:rPr>
          <w:rFonts w:ascii="宋体" w:hAnsi="宋体" w:eastAsia="宋体" w:cs="宋体"/>
          <w:color w:val="auto"/>
          <w:sz w:val="24"/>
          <w:szCs w:val="24"/>
        </w:rPr>
        <w:t>5.3是否接受联合体形式的响应谈判：采购包1：不接受</w:t>
      </w:r>
    </w:p>
    <w:p>
      <w:pPr>
        <w:pStyle w:val="19"/>
        <w:jc w:val="both"/>
        <w:rPr>
          <w:rFonts w:hint="default" w:ascii="宋体" w:hAnsi="宋体" w:eastAsia="宋体" w:cs="宋体"/>
          <w:color w:val="auto"/>
          <w:sz w:val="24"/>
          <w:szCs w:val="24"/>
        </w:rPr>
      </w:pPr>
      <w:r>
        <w:rPr>
          <w:rFonts w:ascii="宋体" w:hAnsi="宋体" w:eastAsia="宋体" w:cs="宋体"/>
          <w:b/>
          <w:color w:val="auto"/>
          <w:sz w:val="24"/>
          <w:szCs w:val="24"/>
        </w:rPr>
        <w:t>※根据上述资格要求，供应商响应文件中应提交的“资格证明文件”相关规定和资料要求，详见竞争性谈判须知前附表和谈判文件第五章。</w:t>
      </w:r>
    </w:p>
    <w:p>
      <w:pPr>
        <w:pStyle w:val="19"/>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6.竞争性谈判文件获取期限：</w:t>
      </w:r>
    </w:p>
    <w:p>
      <w:pPr>
        <w:pStyle w:val="19"/>
        <w:ind w:firstLine="480"/>
        <w:rPr>
          <w:rFonts w:hint="default" w:ascii="宋体" w:hAnsi="宋体" w:eastAsia="宋体" w:cs="宋体"/>
          <w:color w:val="auto"/>
          <w:sz w:val="24"/>
          <w:szCs w:val="24"/>
        </w:rPr>
      </w:pPr>
      <w:r>
        <w:rPr>
          <w:rFonts w:ascii="宋体" w:hAnsi="宋体" w:eastAsia="宋体" w:cs="宋体"/>
          <w:color w:val="auto"/>
          <w:sz w:val="24"/>
          <w:szCs w:val="24"/>
        </w:rPr>
        <w:t>详见谈判公告或更正公告（若有），若不一致，以更正公告（若有）为准。</w:t>
      </w:r>
    </w:p>
    <w:p>
      <w:pPr>
        <w:pStyle w:val="19"/>
        <w:ind w:firstLine="480" w:firstLineChars="200"/>
        <w:jc w:val="both"/>
        <w:rPr>
          <w:rFonts w:hint="default" w:ascii="宋体" w:hAnsi="宋体" w:eastAsia="宋体" w:cs="宋体"/>
          <w:color w:val="auto"/>
          <w:sz w:val="24"/>
          <w:szCs w:val="24"/>
        </w:rPr>
      </w:pPr>
      <w:r>
        <w:rPr>
          <w:rFonts w:ascii="宋体" w:hAnsi="宋体" w:eastAsia="宋体" w:cs="宋体"/>
          <w:color w:val="auto"/>
          <w:sz w:val="24"/>
          <w:szCs w:val="24"/>
        </w:rPr>
        <w:t>6.1如果采购过程中有发出更正公告，采购人将根据实际情况确定是否延长文件获取期限，则文件获取截止时间以更正公告中的约定为准。</w:t>
      </w:r>
    </w:p>
    <w:p>
      <w:pPr>
        <w:pStyle w:val="19"/>
        <w:ind w:firstLine="480" w:firstLineChars="200"/>
        <w:jc w:val="both"/>
        <w:rPr>
          <w:rFonts w:hint="default" w:ascii="宋体" w:hAnsi="宋体" w:eastAsia="宋体" w:cs="宋体"/>
          <w:color w:val="auto"/>
          <w:sz w:val="24"/>
          <w:szCs w:val="24"/>
        </w:rPr>
      </w:pPr>
      <w:r>
        <w:rPr>
          <w:rFonts w:ascii="宋体" w:hAnsi="宋体" w:eastAsia="宋体" w:cs="宋体"/>
          <w:color w:val="auto"/>
          <w:sz w:val="24"/>
          <w:szCs w:val="24"/>
        </w:rPr>
        <w:t>6.2竞争性谈判文件获取期限内，供应商应到</w:t>
      </w:r>
      <w:r>
        <w:rPr>
          <w:rFonts w:hint="eastAsia" w:ascii="宋体" w:hAnsi="宋体" w:eastAsia="宋体" w:cs="宋体"/>
          <w:color w:val="auto"/>
          <w:sz w:val="24"/>
          <w:szCs w:val="24"/>
          <w:lang w:eastAsia="zh-CN"/>
        </w:rPr>
        <w:t>漳州市龙文区湖滨路1号城投碧湖城市广场3号楼3层</w:t>
      </w:r>
      <w:r>
        <w:rPr>
          <w:rFonts w:ascii="宋体" w:hAnsi="宋体" w:eastAsia="宋体" w:cs="宋体"/>
          <w:color w:val="auto"/>
          <w:sz w:val="24"/>
          <w:szCs w:val="24"/>
        </w:rPr>
        <w:t>获取竞争性谈判文件，否则报价响应将被拒绝。</w:t>
      </w:r>
    </w:p>
    <w:p>
      <w:pPr>
        <w:pStyle w:val="19"/>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7.获取采购文件时间、地点、方式：</w:t>
      </w:r>
    </w:p>
    <w:p>
      <w:pPr>
        <w:pStyle w:val="19"/>
        <w:ind w:firstLine="480" w:firstLineChars="200"/>
        <w:jc w:val="both"/>
        <w:rPr>
          <w:rFonts w:hint="default" w:ascii="宋体" w:hAnsi="宋体" w:eastAsia="宋体" w:cs="宋体"/>
          <w:color w:val="auto"/>
          <w:sz w:val="24"/>
          <w:szCs w:val="24"/>
        </w:rPr>
      </w:pPr>
      <w:r>
        <w:rPr>
          <w:rFonts w:ascii="宋体" w:hAnsi="宋体" w:eastAsia="宋体" w:cs="宋体"/>
          <w:color w:val="auto"/>
          <w:sz w:val="24"/>
          <w:szCs w:val="24"/>
        </w:rPr>
        <w:t>7.1采购文件的提供期限：</w:t>
      </w:r>
      <w:r>
        <w:rPr>
          <w:rFonts w:hint="eastAsia" w:ascii="宋体" w:hAnsi="宋体" w:eastAsia="宋体" w:cs="宋体"/>
          <w:color w:val="auto"/>
          <w:sz w:val="24"/>
          <w:szCs w:val="24"/>
          <w:lang w:eastAsia="zh-CN"/>
        </w:rPr>
        <w:t>2023年</w:t>
      </w:r>
      <w:r>
        <w:rPr>
          <w:rFonts w:hint="eastAsia" w:ascii="宋体" w:hAnsi="宋体" w:eastAsia="宋体" w:cs="宋体"/>
          <w:color w:val="auto"/>
          <w:sz w:val="24"/>
          <w:szCs w:val="24"/>
          <w:lang w:val="en-US" w:eastAsia="zh-CN"/>
        </w:rPr>
        <w:t>06</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lang w:eastAsia="zh-CN"/>
        </w:rPr>
        <w:t>日至2023年</w:t>
      </w:r>
      <w:r>
        <w:rPr>
          <w:rFonts w:hint="eastAsia" w:ascii="宋体" w:hAnsi="宋体" w:eastAsia="宋体" w:cs="宋体"/>
          <w:color w:val="auto"/>
          <w:sz w:val="24"/>
          <w:szCs w:val="24"/>
          <w:lang w:val="en-US" w:eastAsia="zh-CN"/>
        </w:rPr>
        <w:t>06</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日</w:t>
      </w:r>
      <w:r>
        <w:rPr>
          <w:rFonts w:cs="宋体" w:asciiTheme="minorEastAsia" w:hAnsiTheme="minorEastAsia"/>
          <w:color w:val="auto"/>
          <w:sz w:val="24"/>
          <w:szCs w:val="24"/>
        </w:rPr>
        <w:t>，每天上午8:30</w:t>
      </w:r>
      <w:r>
        <w:rPr>
          <w:rFonts w:hint="eastAsia" w:cs="宋体" w:asciiTheme="minorEastAsia" w:hAnsiTheme="minorEastAsia"/>
          <w:color w:val="auto"/>
          <w:sz w:val="24"/>
          <w:szCs w:val="24"/>
          <w:lang w:val="en-US" w:eastAsia="zh-CN"/>
        </w:rPr>
        <w:t>时</w:t>
      </w:r>
      <w:r>
        <w:rPr>
          <w:rFonts w:cs="宋体" w:asciiTheme="minorEastAsia" w:hAnsiTheme="minorEastAsia"/>
          <w:color w:val="auto"/>
          <w:sz w:val="24"/>
          <w:szCs w:val="24"/>
        </w:rPr>
        <w:t>至12:00</w:t>
      </w:r>
      <w:r>
        <w:rPr>
          <w:rFonts w:hint="eastAsia" w:cs="宋体" w:asciiTheme="minorEastAsia" w:hAnsiTheme="minorEastAsia"/>
          <w:color w:val="auto"/>
          <w:sz w:val="24"/>
          <w:szCs w:val="24"/>
          <w:lang w:val="en-US" w:eastAsia="zh-CN"/>
        </w:rPr>
        <w:t>时</w:t>
      </w:r>
      <w:r>
        <w:rPr>
          <w:rFonts w:cs="宋体" w:asciiTheme="minorEastAsia" w:hAnsiTheme="minorEastAsia"/>
          <w:color w:val="auto"/>
          <w:sz w:val="24"/>
          <w:szCs w:val="24"/>
        </w:rPr>
        <w:t>，下午</w:t>
      </w:r>
      <w:r>
        <w:rPr>
          <w:rFonts w:hint="eastAsia" w:cs="宋体" w:asciiTheme="minorEastAsia" w:hAnsiTheme="minorEastAsia"/>
          <w:color w:val="auto"/>
          <w:sz w:val="24"/>
          <w:szCs w:val="24"/>
        </w:rPr>
        <w:t>15：00</w:t>
      </w:r>
      <w:r>
        <w:rPr>
          <w:rFonts w:hint="eastAsia" w:cs="宋体" w:asciiTheme="minorEastAsia" w:hAnsiTheme="minorEastAsia"/>
          <w:color w:val="auto"/>
          <w:sz w:val="24"/>
          <w:szCs w:val="24"/>
          <w:lang w:val="en-US" w:eastAsia="zh-CN"/>
        </w:rPr>
        <w:t>时</w:t>
      </w:r>
      <w:r>
        <w:rPr>
          <w:rFonts w:cs="宋体" w:asciiTheme="minorEastAsia" w:hAnsiTheme="minorEastAsia"/>
          <w:color w:val="auto"/>
          <w:sz w:val="24"/>
          <w:szCs w:val="24"/>
        </w:rPr>
        <w:t>至17:30</w:t>
      </w:r>
      <w:r>
        <w:rPr>
          <w:rFonts w:hint="eastAsia" w:cs="宋体" w:asciiTheme="minorEastAsia" w:hAnsiTheme="minorEastAsia"/>
          <w:color w:val="auto"/>
          <w:sz w:val="24"/>
          <w:szCs w:val="24"/>
          <w:lang w:val="en-US" w:eastAsia="zh-CN"/>
        </w:rPr>
        <w:t>时</w:t>
      </w:r>
      <w:r>
        <w:rPr>
          <w:rFonts w:cs="宋体" w:asciiTheme="minorEastAsia" w:hAnsiTheme="minorEastAsia"/>
          <w:color w:val="auto"/>
          <w:sz w:val="24"/>
          <w:szCs w:val="24"/>
        </w:rPr>
        <w:t>。（北京时间，法定节假日除外）</w:t>
      </w:r>
      <w:r>
        <w:rPr>
          <w:rFonts w:ascii="宋体" w:hAnsi="宋体" w:eastAsia="宋体" w:cs="宋体"/>
          <w:color w:val="auto"/>
          <w:sz w:val="24"/>
          <w:szCs w:val="24"/>
        </w:rPr>
        <w:t>。未在规定时间内购买采购文件的潜在供应商将失去谈判资格。</w:t>
      </w:r>
    </w:p>
    <w:p>
      <w:pPr>
        <w:pStyle w:val="19"/>
        <w:ind w:firstLine="480" w:firstLineChars="200"/>
        <w:jc w:val="both"/>
        <w:rPr>
          <w:rFonts w:hint="default" w:ascii="宋体" w:hAnsi="宋体" w:eastAsia="宋体" w:cs="宋体"/>
          <w:color w:val="auto"/>
          <w:sz w:val="24"/>
          <w:szCs w:val="24"/>
        </w:rPr>
      </w:pPr>
      <w:r>
        <w:rPr>
          <w:rFonts w:ascii="宋体" w:hAnsi="宋体" w:eastAsia="宋体" w:cs="宋体"/>
          <w:color w:val="auto"/>
          <w:sz w:val="24"/>
          <w:szCs w:val="24"/>
        </w:rPr>
        <w:t>7.2获取地点及方式：到</w:t>
      </w:r>
      <w:r>
        <w:rPr>
          <w:rFonts w:hint="eastAsia" w:ascii="宋体" w:hAnsi="宋体" w:eastAsia="宋体" w:cs="宋体"/>
          <w:color w:val="auto"/>
          <w:sz w:val="24"/>
          <w:szCs w:val="24"/>
          <w:lang w:eastAsia="zh-CN"/>
        </w:rPr>
        <w:t>漳州市龙文区湖滨路1号城投碧湖城市广场3号楼3层</w:t>
      </w:r>
      <w:r>
        <w:rPr>
          <w:rFonts w:ascii="宋体" w:hAnsi="宋体" w:eastAsia="宋体" w:cs="宋体"/>
          <w:color w:val="auto"/>
          <w:sz w:val="24"/>
          <w:szCs w:val="24"/>
        </w:rPr>
        <w:t>现场购买，采购文件售后不退。</w:t>
      </w:r>
    </w:p>
    <w:p>
      <w:pPr>
        <w:pStyle w:val="19"/>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8.采购文件售价：</w:t>
      </w:r>
      <w:r>
        <w:rPr>
          <w:rFonts w:hint="eastAsia" w:ascii="宋体" w:hAnsi="宋体" w:eastAsia="宋体" w:cs="宋体"/>
          <w:b/>
          <w:color w:val="auto"/>
          <w:sz w:val="24"/>
          <w:szCs w:val="24"/>
          <w:lang w:val="en-US" w:eastAsia="zh-CN"/>
        </w:rPr>
        <w:t>0</w:t>
      </w:r>
      <w:r>
        <w:rPr>
          <w:rFonts w:ascii="宋体" w:hAnsi="宋体" w:eastAsia="宋体" w:cs="宋体"/>
          <w:b/>
          <w:color w:val="auto"/>
          <w:sz w:val="24"/>
          <w:szCs w:val="24"/>
        </w:rPr>
        <w:t>元。</w:t>
      </w:r>
    </w:p>
    <w:p>
      <w:pPr>
        <w:pStyle w:val="19"/>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9.首次响应文件递交截止时间及地点：</w:t>
      </w:r>
    </w:p>
    <w:p>
      <w:pPr>
        <w:pStyle w:val="19"/>
        <w:ind w:firstLine="480"/>
        <w:rPr>
          <w:rFonts w:hint="default" w:ascii="宋体" w:hAnsi="宋体" w:eastAsia="宋体" w:cs="宋体"/>
          <w:color w:val="auto"/>
          <w:sz w:val="24"/>
          <w:szCs w:val="24"/>
        </w:rPr>
      </w:pPr>
      <w:r>
        <w:rPr>
          <w:rFonts w:ascii="宋体" w:hAnsi="宋体" w:eastAsia="宋体" w:cs="宋体"/>
          <w:color w:val="auto"/>
          <w:sz w:val="24"/>
          <w:szCs w:val="24"/>
        </w:rPr>
        <w:t>详见谈判公告或更正公告（若有），若不一致，以更正公告（若有）为准。供应商应在此之前将密封的首次响应文件送达本章第10条载明的地点，逾期送达的或不符合规定的响应文件将被拒绝接收。</w:t>
      </w:r>
    </w:p>
    <w:p>
      <w:pPr>
        <w:pStyle w:val="19"/>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10.谈判时间及地点：</w:t>
      </w:r>
    </w:p>
    <w:p>
      <w:pPr>
        <w:pStyle w:val="19"/>
        <w:ind w:firstLine="480"/>
        <w:rPr>
          <w:rFonts w:hint="default" w:ascii="宋体" w:hAnsi="宋体" w:eastAsia="宋体" w:cs="宋体"/>
          <w:color w:val="auto"/>
          <w:sz w:val="24"/>
          <w:szCs w:val="24"/>
        </w:rPr>
      </w:pPr>
      <w:r>
        <w:rPr>
          <w:rFonts w:hint="eastAsia" w:ascii="宋体" w:hAnsi="宋体" w:eastAsia="宋体" w:cs="宋体"/>
          <w:color w:val="auto"/>
          <w:sz w:val="24"/>
          <w:szCs w:val="24"/>
          <w:lang w:eastAsia="zh-CN"/>
        </w:rPr>
        <w:t>2023年</w:t>
      </w:r>
      <w:r>
        <w:rPr>
          <w:rFonts w:hint="eastAsia" w:ascii="宋体" w:hAnsi="宋体" w:eastAsia="宋体" w:cs="宋体"/>
          <w:color w:val="auto"/>
          <w:sz w:val="24"/>
          <w:szCs w:val="24"/>
          <w:lang w:val="en-US" w:eastAsia="zh-CN"/>
        </w:rPr>
        <w:t>06</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28</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lang w:val="en-US" w:eastAsia="zh-CN"/>
        </w:rPr>
        <w:t>9：30</w:t>
      </w:r>
      <w:r>
        <w:rPr>
          <w:rFonts w:hint="eastAsia" w:ascii="宋体" w:hAnsi="宋体" w:eastAsia="宋体" w:cs="宋体"/>
          <w:color w:val="auto"/>
          <w:sz w:val="24"/>
          <w:szCs w:val="24"/>
          <w:lang w:eastAsia="zh-CN"/>
        </w:rPr>
        <w:t>时</w:t>
      </w:r>
      <w:r>
        <w:rPr>
          <w:rFonts w:ascii="宋体" w:hAnsi="宋体" w:eastAsia="宋体" w:cs="宋体"/>
          <w:color w:val="auto"/>
          <w:sz w:val="24"/>
          <w:szCs w:val="24"/>
        </w:rPr>
        <w:t>（北京时间）。地点：</w:t>
      </w:r>
      <w:r>
        <w:rPr>
          <w:rFonts w:hint="eastAsia" w:ascii="宋体" w:hAnsi="宋体" w:eastAsia="宋体" w:cs="宋体"/>
          <w:color w:val="auto"/>
          <w:sz w:val="24"/>
          <w:szCs w:val="24"/>
          <w:lang w:eastAsia="zh-CN"/>
        </w:rPr>
        <w:t>福建众亿工程项目管理有限公司</w:t>
      </w:r>
      <w:r>
        <w:rPr>
          <w:rFonts w:ascii="宋体" w:hAnsi="宋体" w:eastAsia="宋体" w:cs="宋体"/>
          <w:color w:val="auto"/>
          <w:sz w:val="24"/>
          <w:szCs w:val="24"/>
        </w:rPr>
        <w:t>（</w:t>
      </w:r>
      <w:r>
        <w:rPr>
          <w:rFonts w:hint="eastAsia" w:ascii="宋体" w:hAnsi="宋体" w:eastAsia="宋体" w:cs="宋体"/>
          <w:color w:val="auto"/>
          <w:sz w:val="24"/>
          <w:szCs w:val="24"/>
          <w:lang w:eastAsia="zh-CN"/>
        </w:rPr>
        <w:t>漳州市龙文区湖滨路1号城投碧湖城市广场3号楼3层</w:t>
      </w:r>
      <w:r>
        <w:rPr>
          <w:rFonts w:ascii="宋体" w:hAnsi="宋体" w:eastAsia="宋体" w:cs="宋体"/>
          <w:color w:val="auto"/>
          <w:sz w:val="24"/>
          <w:szCs w:val="24"/>
        </w:rPr>
        <w:t>），逾期收到的或不符合规定的响应文件将被拒绝。</w:t>
      </w:r>
    </w:p>
    <w:p>
      <w:pPr>
        <w:pStyle w:val="19"/>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11.竞争性谈判公告期限：</w:t>
      </w:r>
    </w:p>
    <w:p>
      <w:pPr>
        <w:pStyle w:val="19"/>
        <w:ind w:firstLine="480"/>
        <w:rPr>
          <w:rFonts w:hint="default" w:ascii="宋体" w:hAnsi="宋体" w:eastAsia="宋体" w:cs="宋体"/>
          <w:color w:val="auto"/>
          <w:sz w:val="24"/>
          <w:szCs w:val="24"/>
        </w:rPr>
      </w:pPr>
      <w:r>
        <w:rPr>
          <w:rFonts w:ascii="宋体" w:hAnsi="宋体" w:eastAsia="宋体" w:cs="宋体"/>
          <w:color w:val="auto"/>
          <w:sz w:val="24"/>
          <w:szCs w:val="24"/>
        </w:rPr>
        <w:t>自中国政府采购网（http://www.ccgp.gov.cn/）发布公告之日起3个工作日。</w:t>
      </w:r>
    </w:p>
    <w:p>
      <w:pPr>
        <w:pStyle w:val="19"/>
        <w:ind w:firstLine="480"/>
        <w:outlineLvl w:val="2"/>
        <w:rPr>
          <w:rFonts w:hint="eastAsia" w:ascii="宋体" w:hAnsi="宋体" w:eastAsia="宋体" w:cs="宋体"/>
          <w:color w:val="auto"/>
          <w:sz w:val="24"/>
          <w:szCs w:val="24"/>
          <w:lang w:eastAsia="zh-CN"/>
        </w:rPr>
      </w:pPr>
      <w:r>
        <w:rPr>
          <w:rFonts w:ascii="宋体" w:hAnsi="宋体" w:eastAsia="宋体" w:cs="宋体"/>
          <w:b/>
          <w:color w:val="auto"/>
          <w:sz w:val="24"/>
          <w:szCs w:val="24"/>
        </w:rPr>
        <w:t>12.采购人：</w:t>
      </w:r>
      <w:r>
        <w:rPr>
          <w:rFonts w:hint="eastAsia" w:ascii="宋体" w:hAnsi="宋体" w:eastAsia="宋体" w:cs="宋体"/>
          <w:b/>
          <w:color w:val="auto"/>
          <w:sz w:val="24"/>
          <w:szCs w:val="24"/>
          <w:lang w:eastAsia="zh-CN"/>
        </w:rPr>
        <w:t>南靖县第二实验小学</w:t>
      </w:r>
    </w:p>
    <w:p>
      <w:pPr>
        <w:pStyle w:val="19"/>
        <w:spacing w:line="400" w:lineRule="exact"/>
        <w:rPr>
          <w:rFonts w:hint="eastAsia" w:ascii="宋体" w:hAnsi="宋体" w:eastAsia="宋体" w:cs="宋体"/>
          <w:color w:val="auto"/>
          <w:sz w:val="24"/>
          <w:szCs w:val="24"/>
          <w:lang w:eastAsia="zh-CN"/>
        </w:rPr>
      </w:pPr>
      <w:r>
        <w:rPr>
          <w:rFonts w:ascii="宋体" w:hAnsi="宋体" w:eastAsia="宋体" w:cs="宋体"/>
          <w:color w:val="auto"/>
          <w:sz w:val="24"/>
          <w:szCs w:val="24"/>
        </w:rPr>
        <w:t>地址：</w:t>
      </w:r>
      <w:r>
        <w:rPr>
          <w:rFonts w:hint="eastAsia" w:ascii="宋体" w:hAnsi="宋体" w:eastAsia="宋体" w:cs="宋体"/>
          <w:color w:val="auto"/>
          <w:sz w:val="24"/>
          <w:szCs w:val="24"/>
          <w:lang w:eastAsia="zh-CN"/>
        </w:rPr>
        <w:t>南靖县山城镇建设路</w:t>
      </w:r>
    </w:p>
    <w:p>
      <w:pPr>
        <w:pStyle w:val="19"/>
        <w:spacing w:line="400" w:lineRule="exact"/>
        <w:rPr>
          <w:rFonts w:hint="eastAsia" w:ascii="宋体" w:hAnsi="宋体" w:eastAsia="宋体" w:cs="宋体"/>
          <w:color w:val="auto"/>
          <w:sz w:val="24"/>
          <w:szCs w:val="24"/>
          <w:lang w:eastAsia="zh-CN"/>
        </w:rPr>
      </w:pPr>
      <w:r>
        <w:rPr>
          <w:rFonts w:ascii="宋体" w:hAnsi="宋体" w:eastAsia="宋体" w:cs="宋体"/>
          <w:color w:val="auto"/>
          <w:sz w:val="24"/>
          <w:szCs w:val="24"/>
        </w:rPr>
        <w:t>邮编：363</w:t>
      </w:r>
      <w:r>
        <w:rPr>
          <w:rFonts w:hint="eastAsia" w:ascii="宋体" w:hAnsi="宋体" w:eastAsia="宋体" w:cs="宋体"/>
          <w:color w:val="auto"/>
          <w:sz w:val="24"/>
          <w:szCs w:val="24"/>
          <w:lang w:val="en-US" w:eastAsia="zh-CN"/>
        </w:rPr>
        <w:t>6</w:t>
      </w:r>
      <w:r>
        <w:rPr>
          <w:rFonts w:ascii="宋体" w:hAnsi="宋体" w:eastAsia="宋体" w:cs="宋体"/>
          <w:color w:val="auto"/>
          <w:sz w:val="24"/>
          <w:szCs w:val="24"/>
        </w:rPr>
        <w:t>0</w:t>
      </w:r>
      <w:r>
        <w:rPr>
          <w:rFonts w:hint="eastAsia" w:ascii="宋体" w:hAnsi="宋体" w:eastAsia="宋体" w:cs="宋体"/>
          <w:color w:val="auto"/>
          <w:sz w:val="24"/>
          <w:szCs w:val="24"/>
          <w:lang w:val="en-US" w:eastAsia="zh-CN"/>
        </w:rPr>
        <w:t>0</w:t>
      </w:r>
    </w:p>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联系人：</w:t>
      </w:r>
      <w:r>
        <w:rPr>
          <w:rFonts w:hint="eastAsia" w:eastAsia="宋体"/>
          <w:color w:val="auto"/>
          <w:sz w:val="24"/>
          <w:szCs w:val="24"/>
          <w:lang w:val="en-US" w:eastAsia="zh-CN"/>
        </w:rPr>
        <w:t>董老师</w:t>
      </w:r>
      <w:r>
        <w:rPr>
          <w:color w:val="auto"/>
          <w:sz w:val="24"/>
          <w:szCs w:val="24"/>
        </w:rPr>
        <w:t xml:space="preserve"> </w:t>
      </w:r>
    </w:p>
    <w:p>
      <w:pPr>
        <w:pStyle w:val="19"/>
        <w:spacing w:line="400" w:lineRule="exact"/>
        <w:rPr>
          <w:rFonts w:hint="default" w:ascii="宋体" w:hAnsi="宋体" w:eastAsia="宋体" w:cs="宋体"/>
          <w:color w:val="auto"/>
          <w:sz w:val="24"/>
          <w:szCs w:val="24"/>
          <w:lang w:val="en-US" w:eastAsia="zh-CN"/>
        </w:rPr>
      </w:pPr>
      <w:r>
        <w:rPr>
          <w:rFonts w:ascii="宋体" w:hAnsi="宋体" w:eastAsia="宋体" w:cs="宋体"/>
          <w:color w:val="auto"/>
          <w:sz w:val="24"/>
          <w:szCs w:val="24"/>
        </w:rPr>
        <w:t>联系电话：</w:t>
      </w:r>
      <w:r>
        <w:rPr>
          <w:rFonts w:hint="eastAsia" w:ascii="宋体" w:hAnsi="宋体" w:eastAsia="宋体" w:cs="宋体"/>
          <w:color w:val="auto"/>
          <w:sz w:val="24"/>
          <w:szCs w:val="24"/>
          <w:lang w:val="en-US" w:eastAsia="zh-CN"/>
        </w:rPr>
        <w:t>13605066111</w:t>
      </w:r>
    </w:p>
    <w:p>
      <w:pPr>
        <w:pStyle w:val="19"/>
        <w:spacing w:line="400" w:lineRule="exact"/>
        <w:ind w:firstLine="480"/>
        <w:outlineLvl w:val="2"/>
        <w:rPr>
          <w:rFonts w:hint="eastAsia" w:ascii="宋体" w:hAnsi="宋体" w:eastAsia="宋体" w:cs="宋体"/>
          <w:color w:val="auto"/>
          <w:sz w:val="24"/>
          <w:szCs w:val="24"/>
          <w:lang w:eastAsia="zh-CN"/>
        </w:rPr>
      </w:pPr>
      <w:r>
        <w:rPr>
          <w:rFonts w:ascii="宋体" w:hAnsi="宋体" w:eastAsia="宋体" w:cs="宋体"/>
          <w:b/>
          <w:color w:val="auto"/>
          <w:sz w:val="24"/>
          <w:szCs w:val="24"/>
        </w:rPr>
        <w:t>13.代理机构：</w:t>
      </w:r>
      <w:r>
        <w:rPr>
          <w:rFonts w:hint="eastAsia" w:ascii="宋体" w:hAnsi="宋体" w:eastAsia="宋体" w:cs="宋体"/>
          <w:b/>
          <w:color w:val="auto"/>
          <w:sz w:val="24"/>
          <w:szCs w:val="24"/>
          <w:lang w:eastAsia="zh-CN"/>
        </w:rPr>
        <w:t>福建众亿工程项目管理有限公司</w:t>
      </w:r>
    </w:p>
    <w:p>
      <w:pPr>
        <w:pStyle w:val="19"/>
        <w:spacing w:line="400" w:lineRule="exact"/>
        <w:rPr>
          <w:rFonts w:hint="eastAsia" w:ascii="宋体" w:hAnsi="宋体" w:eastAsia="宋体" w:cs="宋体"/>
          <w:color w:val="auto"/>
          <w:sz w:val="24"/>
          <w:szCs w:val="24"/>
          <w:lang w:eastAsia="zh-CN"/>
        </w:rPr>
      </w:pPr>
      <w:r>
        <w:rPr>
          <w:rFonts w:ascii="宋体" w:hAnsi="宋体" w:eastAsia="宋体" w:cs="宋体"/>
          <w:color w:val="auto"/>
          <w:sz w:val="24"/>
          <w:szCs w:val="24"/>
        </w:rPr>
        <w:t>地址：</w:t>
      </w:r>
      <w:r>
        <w:rPr>
          <w:rFonts w:hint="eastAsia" w:ascii="宋体" w:hAnsi="宋体" w:eastAsia="宋体" w:cs="宋体"/>
          <w:color w:val="auto"/>
          <w:sz w:val="24"/>
          <w:szCs w:val="24"/>
          <w:lang w:eastAsia="zh-CN"/>
        </w:rPr>
        <w:t>漳州市龙文区湖滨路1号城投碧湖城市广场3号楼3层</w:t>
      </w:r>
    </w:p>
    <w:p>
      <w:pPr>
        <w:pStyle w:val="19"/>
        <w:spacing w:line="400" w:lineRule="exact"/>
        <w:rPr>
          <w:rFonts w:hint="default" w:ascii="宋体" w:hAnsi="宋体" w:eastAsia="宋体" w:cs="宋体"/>
          <w:color w:val="auto"/>
          <w:sz w:val="24"/>
          <w:szCs w:val="24"/>
        </w:rPr>
      </w:pPr>
      <w:r>
        <w:rPr>
          <w:rFonts w:ascii="宋体" w:hAnsi="宋体" w:eastAsia="宋体" w:cs="宋体"/>
          <w:color w:val="auto"/>
          <w:sz w:val="24"/>
          <w:szCs w:val="24"/>
        </w:rPr>
        <w:t>邮编：36300</w:t>
      </w:r>
      <w:r>
        <w:rPr>
          <w:rFonts w:hint="eastAsia" w:ascii="宋体" w:hAnsi="宋体" w:eastAsia="宋体" w:cs="宋体"/>
          <w:color w:val="auto"/>
          <w:sz w:val="24"/>
          <w:szCs w:val="24"/>
          <w:lang w:val="en-US" w:eastAsia="zh-CN"/>
        </w:rPr>
        <w:t>0</w:t>
      </w:r>
    </w:p>
    <w:p>
      <w:pPr>
        <w:pStyle w:val="10"/>
        <w:widowControl/>
        <w:spacing w:before="0" w:beforeAutospacing="0" w:after="0" w:afterAutospacing="0" w:line="460" w:lineRule="exact"/>
        <w:rPr>
          <w:rFonts w:hint="default" w:eastAsia="宋体"/>
          <w:color w:val="auto"/>
          <w:lang w:val="en-US" w:eastAsia="zh-CN"/>
        </w:rPr>
      </w:pPr>
      <w:r>
        <w:rPr>
          <w:rFonts w:hint="eastAsia" w:ascii="宋体" w:hAnsi="宋体" w:cs="宋体"/>
          <w:color w:val="auto"/>
        </w:rPr>
        <w:t>联系人：</w:t>
      </w:r>
      <w:r>
        <w:rPr>
          <w:rFonts w:hint="eastAsia" w:ascii="宋体" w:hAnsi="宋体" w:cs="宋体"/>
          <w:color w:val="auto"/>
          <w:highlight w:val="none"/>
          <w:lang w:val="en-US" w:eastAsia="zh-CN"/>
        </w:rPr>
        <w:t>小柳</w:t>
      </w:r>
    </w:p>
    <w:p>
      <w:pPr>
        <w:pStyle w:val="19"/>
        <w:spacing w:line="400" w:lineRule="exact"/>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联系方法：</w:t>
      </w:r>
      <w:r>
        <w:rPr>
          <w:rFonts w:hint="eastAsia" w:ascii="宋体" w:hAnsi="宋体" w:eastAsia="宋体" w:cs="宋体"/>
          <w:color w:val="auto"/>
          <w:sz w:val="24"/>
          <w:szCs w:val="24"/>
          <w:lang w:val="en-US" w:eastAsia="zh-CN"/>
        </w:rPr>
        <w:t>0596—2668059</w:t>
      </w:r>
    </w:p>
    <w:p>
      <w:pPr>
        <w:pStyle w:val="9"/>
      </w:pPr>
    </w:p>
    <w:p>
      <w:pPr>
        <w:pStyle w:val="9"/>
        <w:rPr>
          <w:color w:val="auto"/>
        </w:rPr>
      </w:pPr>
    </w:p>
    <w:p>
      <w:pPr>
        <w:pStyle w:val="9"/>
        <w:rPr>
          <w:color w:val="auto"/>
        </w:rPr>
      </w:pPr>
    </w:p>
    <w:p>
      <w:pPr>
        <w:pStyle w:val="10"/>
        <w:widowControl/>
        <w:spacing w:before="75" w:beforeAutospacing="0" w:after="75" w:afterAutospacing="0" w:line="360" w:lineRule="atLeast"/>
        <w:jc w:val="center"/>
        <w:rPr>
          <w:rFonts w:ascii="宋体" w:hAnsi="宋体" w:cs="宋体"/>
          <w:color w:val="auto"/>
        </w:rPr>
      </w:pPr>
      <w:r>
        <w:rPr>
          <w:rFonts w:hint="eastAsia" w:ascii="宋体" w:hAnsi="宋体" w:cs="宋体"/>
          <w:color w:val="auto"/>
          <w:lang w:val="en-US" w:eastAsia="zh-CN"/>
        </w:rPr>
        <w:t xml:space="preserve">                                         南靖县第二实验小学</w:t>
      </w:r>
    </w:p>
    <w:p>
      <w:pPr>
        <w:pStyle w:val="10"/>
        <w:widowControl/>
        <w:spacing w:before="75" w:beforeAutospacing="0" w:after="75" w:afterAutospacing="0" w:line="360" w:lineRule="atLeast"/>
        <w:ind w:right="240"/>
        <w:jc w:val="right"/>
        <w:rPr>
          <w:rFonts w:ascii="sans-serif" w:hAnsi="sans-serif" w:eastAsia="sans-serif" w:cs="sans-serif"/>
          <w:color w:val="auto"/>
        </w:rPr>
      </w:pPr>
      <w:r>
        <w:rPr>
          <w:rFonts w:hint="eastAsia" w:ascii="宋体" w:hAnsi="宋体" w:cs="宋体"/>
          <w:color w:val="auto"/>
        </w:rPr>
        <w:t>福建众亿工程项目管理有限公司</w:t>
      </w:r>
    </w:p>
    <w:p>
      <w:pPr>
        <w:widowControl/>
        <w:spacing w:line="520" w:lineRule="exact"/>
        <w:jc w:val="center"/>
        <w:rPr>
          <w:rFonts w:ascii="宋体" w:hAnsi="宋体" w:cs="宋体"/>
          <w:color w:val="auto"/>
          <w:kern w:val="0"/>
          <w:sz w:val="24"/>
        </w:rPr>
      </w:pPr>
      <w:r>
        <w:rPr>
          <w:rFonts w:hint="eastAsia" w:ascii="宋体" w:hAnsi="宋体" w:cs="宋体"/>
          <w:color w:val="auto"/>
          <w:kern w:val="0"/>
          <w:sz w:val="24"/>
        </w:rPr>
        <w:t xml:space="preserve">                                                202</w:t>
      </w:r>
      <w:r>
        <w:rPr>
          <w:rFonts w:hint="eastAsia" w:ascii="宋体" w:hAnsi="宋体" w:cs="宋体"/>
          <w:color w:val="auto"/>
          <w:kern w:val="0"/>
          <w:sz w:val="24"/>
          <w:lang w:val="en-US" w:eastAsia="zh-CN"/>
        </w:rPr>
        <w:t>3</w:t>
      </w:r>
      <w:r>
        <w:rPr>
          <w:rFonts w:hint="eastAsia" w:ascii="宋体" w:hAnsi="宋体" w:cs="宋体"/>
          <w:color w:val="auto"/>
          <w:kern w:val="0"/>
          <w:sz w:val="24"/>
        </w:rPr>
        <w:t>年</w:t>
      </w:r>
      <w:r>
        <w:rPr>
          <w:rFonts w:hint="eastAsia" w:ascii="宋体" w:hAnsi="宋体" w:cs="宋体"/>
          <w:color w:val="auto"/>
          <w:kern w:val="0"/>
          <w:sz w:val="24"/>
          <w:lang w:val="en-US" w:eastAsia="zh-CN"/>
        </w:rPr>
        <w:t>6</w:t>
      </w:r>
      <w:r>
        <w:rPr>
          <w:rFonts w:hint="eastAsia" w:ascii="宋体" w:hAnsi="宋体" w:cs="宋体"/>
          <w:color w:val="auto"/>
          <w:kern w:val="0"/>
          <w:sz w:val="24"/>
        </w:rPr>
        <w:t>月</w:t>
      </w:r>
      <w:r>
        <w:rPr>
          <w:rFonts w:hint="eastAsia" w:ascii="宋体" w:hAnsi="宋体" w:cs="宋体"/>
          <w:color w:val="auto"/>
          <w:kern w:val="0"/>
          <w:sz w:val="24"/>
          <w:lang w:val="en-US" w:eastAsia="zh-CN"/>
        </w:rPr>
        <w:t>20</w:t>
      </w:r>
      <w:r>
        <w:rPr>
          <w:rFonts w:hint="eastAsia" w:ascii="宋体" w:hAnsi="宋体" w:cs="宋体"/>
          <w:color w:val="auto"/>
          <w:kern w:val="0"/>
          <w:sz w:val="24"/>
        </w:rPr>
        <w:t>日</w:t>
      </w:r>
    </w:p>
    <w:p>
      <w:pPr>
        <w:pStyle w:val="9"/>
        <w:rPr>
          <w:color w:val="auto"/>
        </w:rPr>
      </w:pP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singleLevel"/>
    <w:tmpl w:val="0000000F"/>
    <w:lvl w:ilvl="0" w:tentative="0">
      <w:start w:val="1"/>
      <w:numFmt w:val="decimal"/>
      <w:pStyle w:val="5"/>
      <w:lvlText w:val="%1."/>
      <w:lvlJc w:val="left"/>
      <w:pPr>
        <w:tabs>
          <w:tab w:val="left" w:pos="425"/>
        </w:tabs>
        <w:ind w:left="425" w:hanging="425"/>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BjNTAwMzU2MmM2MzU1YmE2NzI5ZTZmMTI2YjRiMmUifQ=="/>
  </w:docVars>
  <w:rsids>
    <w:rsidRoot w:val="00734E0C"/>
    <w:rsid w:val="0031421E"/>
    <w:rsid w:val="004A4B88"/>
    <w:rsid w:val="00734E0C"/>
    <w:rsid w:val="007A7492"/>
    <w:rsid w:val="00801BC0"/>
    <w:rsid w:val="00840758"/>
    <w:rsid w:val="00AE7586"/>
    <w:rsid w:val="00CB2FBB"/>
    <w:rsid w:val="00DC08F4"/>
    <w:rsid w:val="00E9606C"/>
    <w:rsid w:val="00FD24F5"/>
    <w:rsid w:val="0A9C3FA5"/>
    <w:rsid w:val="0B89315F"/>
    <w:rsid w:val="13977592"/>
    <w:rsid w:val="1708287D"/>
    <w:rsid w:val="176E4969"/>
    <w:rsid w:val="17C4348D"/>
    <w:rsid w:val="1B076106"/>
    <w:rsid w:val="20EB700B"/>
    <w:rsid w:val="2AF961F1"/>
    <w:rsid w:val="2C9C2F72"/>
    <w:rsid w:val="2F85031A"/>
    <w:rsid w:val="38DE3B84"/>
    <w:rsid w:val="427802F2"/>
    <w:rsid w:val="45C85647"/>
    <w:rsid w:val="5A8E57DE"/>
    <w:rsid w:val="6426738C"/>
    <w:rsid w:val="6BA959B5"/>
    <w:rsid w:val="76465F91"/>
    <w:rsid w:val="7B786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uto"/>
      <w:jc w:val="both"/>
    </w:pPr>
    <w:rPr>
      <w:rFonts w:asciiTheme="minorHAnsi" w:hAnsiTheme="minorHAnsi" w:eastAsiaTheme="minorEastAsia" w:cstheme="minorBidi"/>
      <w:kern w:val="2"/>
      <w:sz w:val="21"/>
      <w:szCs w:val="22"/>
      <w:lang w:val="en-US" w:eastAsia="zh-CN" w:bidi="ar-SA"/>
    </w:rPr>
  </w:style>
  <w:style w:type="paragraph" w:styleId="5">
    <w:name w:val="heading 3"/>
    <w:basedOn w:val="1"/>
    <w:next w:val="1"/>
    <w:qFormat/>
    <w:uiPriority w:val="0"/>
    <w:pPr>
      <w:keepNext/>
      <w:keepLines/>
      <w:numPr>
        <w:ilvl w:val="0"/>
        <w:numId w:val="1"/>
      </w:numPr>
      <w:tabs>
        <w:tab w:val="left" w:pos="5852"/>
        <w:tab w:val="clear" w:pos="425"/>
      </w:tabs>
      <w:snapToGrid w:val="0"/>
      <w:spacing w:before="360" w:beforeLines="0" w:line="240" w:lineRule="exact"/>
      <w:outlineLvl w:val="2"/>
    </w:pPr>
    <w:rPr>
      <w:b/>
      <w:sz w:val="28"/>
      <w:szCs w:val="20"/>
    </w:rPr>
  </w:style>
  <w:style w:type="character" w:default="1" w:styleId="12">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rPr>
      <w:rFonts w:eastAsia="宋体"/>
      <w:kern w:val="2"/>
      <w:sz w:val="21"/>
      <w:szCs w:val="24"/>
      <w:lang w:val="en-US" w:eastAsia="zh-CN" w:bidi="ar-SA"/>
    </w:rPr>
  </w:style>
  <w:style w:type="paragraph" w:styleId="3">
    <w:name w:val="Body Text Indent"/>
    <w:basedOn w:val="1"/>
    <w:next w:val="4"/>
    <w:qFormat/>
    <w:uiPriority w:val="0"/>
    <w:pPr>
      <w:autoSpaceDE w:val="0"/>
      <w:autoSpaceDN w:val="0"/>
      <w:adjustRightInd w:val="0"/>
      <w:spacing w:line="500" w:lineRule="exact"/>
      <w:ind w:firstLine="561"/>
      <w:jc w:val="left"/>
    </w:pPr>
    <w:rPr>
      <w:rFonts w:ascii="仿宋_GB2312" w:eastAsia="仿宋_GB2312"/>
      <w:color w:val="FF0000"/>
      <w:kern w:val="0"/>
      <w:sz w:val="28"/>
      <w:szCs w:val="28"/>
      <w:lang w:val="zh-CN"/>
    </w:rPr>
  </w:style>
  <w:style w:type="paragraph" w:customStyle="1" w:styleId="4">
    <w:name w:val="样式 标题 3 + (中文) 黑体 小四 非加粗 段前: 7.8 磅 段后: 0 磅 行距: 固定值 20 磅"/>
    <w:basedOn w:val="5"/>
    <w:qFormat/>
    <w:uiPriority w:val="0"/>
    <w:pPr>
      <w:tabs>
        <w:tab w:val="left" w:pos="425"/>
        <w:tab w:val="clear" w:pos="5852"/>
      </w:tabs>
      <w:spacing w:before="0" w:after="0" w:line="400" w:lineRule="exact"/>
    </w:pPr>
    <w:rPr>
      <w:rFonts w:cs="宋体"/>
      <w:sz w:val="24"/>
      <w:szCs w:val="20"/>
    </w:rPr>
  </w:style>
  <w:style w:type="paragraph" w:styleId="6">
    <w:name w:val="Plain Text"/>
    <w:basedOn w:val="1"/>
    <w:qFormat/>
    <w:uiPriority w:val="0"/>
    <w:rPr>
      <w:rFonts w:ascii="宋体" w:hAnsi="Courier New"/>
      <w:szCs w:val="20"/>
    </w:rPr>
  </w:style>
  <w:style w:type="paragraph" w:styleId="7">
    <w:name w:val="footer"/>
    <w:basedOn w:val="1"/>
    <w:link w:val="18"/>
    <w:semiHidden/>
    <w:unhideWhenUsed/>
    <w:qFormat/>
    <w:uiPriority w:val="99"/>
    <w:pPr>
      <w:tabs>
        <w:tab w:val="center" w:pos="4153"/>
        <w:tab w:val="right" w:pos="8306"/>
      </w:tabs>
      <w:snapToGrid w:val="0"/>
      <w:jc w:val="left"/>
    </w:pPr>
    <w:rPr>
      <w:sz w:val="18"/>
      <w:szCs w:val="18"/>
    </w:rPr>
  </w:style>
  <w:style w:type="paragraph" w:styleId="8">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pPr>
      <w:spacing w:line="420" w:lineRule="exact"/>
    </w:pPr>
    <w:rPr>
      <w:rFonts w:ascii="宋体"/>
      <w:color w:val="0000FF"/>
      <w:sz w:val="24"/>
      <w:szCs w:val="20"/>
    </w:rPr>
  </w:style>
  <w:style w:type="paragraph" w:styleId="10">
    <w:name w:val="Normal (Web)"/>
    <w:basedOn w:val="1"/>
    <w:next w:val="1"/>
    <w:qFormat/>
    <w:uiPriority w:val="0"/>
    <w:pPr>
      <w:spacing w:before="100" w:beforeAutospacing="1" w:after="100" w:afterAutospacing="1"/>
      <w:ind w:left="0" w:right="0"/>
      <w:jc w:val="left"/>
    </w:pPr>
    <w:rPr>
      <w:kern w:val="0"/>
      <w:sz w:val="24"/>
      <w:lang w:val="en-US" w:eastAsia="zh-CN" w:bidi="ar"/>
    </w:rPr>
  </w:style>
  <w:style w:type="character" w:styleId="13">
    <w:name w:val="Strong"/>
    <w:basedOn w:val="12"/>
    <w:qFormat/>
    <w:uiPriority w:val="0"/>
    <w:rPr>
      <w:b/>
    </w:rPr>
  </w:style>
  <w:style w:type="character" w:styleId="14">
    <w:name w:val="page number"/>
    <w:qFormat/>
    <w:uiPriority w:val="0"/>
  </w:style>
  <w:style w:type="character" w:styleId="15">
    <w:name w:val="Hyperlink"/>
    <w:qFormat/>
    <w:uiPriority w:val="0"/>
    <w:rPr>
      <w:color w:val="0000FF"/>
      <w:u w:val="single"/>
    </w:rPr>
  </w:style>
  <w:style w:type="paragraph" w:customStyle="1" w:styleId="16">
    <w:name w:val="Fließtext"/>
    <w:basedOn w:val="1"/>
    <w:qFormat/>
    <w:uiPriority w:val="99"/>
    <w:pPr>
      <w:overflowPunct w:val="0"/>
      <w:autoSpaceDE w:val="0"/>
      <w:autoSpaceDN w:val="0"/>
      <w:adjustRightInd w:val="0"/>
      <w:textAlignment w:val="baseline"/>
    </w:pPr>
    <w:rPr>
      <w:kern w:val="28"/>
      <w:szCs w:val="20"/>
    </w:rPr>
  </w:style>
  <w:style w:type="character" w:customStyle="1" w:styleId="17">
    <w:name w:val="页眉 Char"/>
    <w:basedOn w:val="12"/>
    <w:link w:val="8"/>
    <w:semiHidden/>
    <w:qFormat/>
    <w:uiPriority w:val="99"/>
    <w:rPr>
      <w:sz w:val="18"/>
      <w:szCs w:val="18"/>
    </w:rPr>
  </w:style>
  <w:style w:type="character" w:customStyle="1" w:styleId="18">
    <w:name w:val="页脚 Char"/>
    <w:basedOn w:val="12"/>
    <w:link w:val="7"/>
    <w:semiHidden/>
    <w:qFormat/>
    <w:uiPriority w:val="99"/>
    <w:rPr>
      <w:sz w:val="18"/>
      <w:szCs w:val="18"/>
    </w:rPr>
  </w:style>
  <w:style w:type="paragraph" w:customStyle="1" w:styleId="19">
    <w:name w:val="null3"/>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2126</Words>
  <Characters>2328</Characters>
  <Lines>15</Lines>
  <Paragraphs>4</Paragraphs>
  <TotalTime>20</TotalTime>
  <ScaleCrop>false</ScaleCrop>
  <LinksUpToDate>false</LinksUpToDate>
  <CharactersWithSpaces>2452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2020-06-02T10:35:00Z</dcterms:created>
  <dc:creator>Administrator</dc:creator>
  <cp:lastModifiedBy>二十岁</cp:lastModifiedBy>
  <cp:lastPrinted>2023-02-20T08:58:00Z</cp:lastPrinted>
  <dcterms:modified xsi:type="dcterms:W3CDTF">2023-06-20T03:12:16Z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800D4734188146E5BA0F0588667D9E5F</vt:lpwstr>
  </property>
</Properties>
</file>