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rPr>
          <w:rFonts w:cs="仿宋" w:asciiTheme="minorEastAsia" w:hAnsiTheme="minorEastAsia" w:eastAsiaTheme="minorEastAsia"/>
        </w:rPr>
      </w:pPr>
      <w:bookmarkStart w:id="0" w:name="_Toc16986"/>
      <w:r>
        <w:rPr>
          <w:rFonts w:hint="eastAsia" w:cs="仿宋" w:asciiTheme="minorEastAsia" w:hAnsiTheme="minorEastAsia" w:eastAsiaTheme="minorEastAsia"/>
        </w:rPr>
        <w:t>第五章  采购项目技术、服务、采购合同内容条款及其他商务要求</w:t>
      </w:r>
      <w:bookmarkEnd w:id="0"/>
    </w:p>
    <w:p>
      <w:pPr>
        <w:pStyle w:val="5"/>
        <w:rPr>
          <w:rFonts w:cs="仿宋" w:asciiTheme="minorEastAsia" w:hAnsiTheme="minorEastAsia" w:eastAsiaTheme="minorEastAsia"/>
          <w:b/>
          <w:kern w:val="1"/>
          <w:sz w:val="24"/>
          <w:szCs w:val="24"/>
        </w:rPr>
      </w:pPr>
    </w:p>
    <w:p>
      <w:pPr>
        <w:widowControl/>
        <w:autoSpaceDE w:val="0"/>
        <w:autoSpaceDN w:val="0"/>
        <w:jc w:val="left"/>
        <w:rPr>
          <w:rFonts w:ascii="Calibri" w:hAnsi="宋体" w:cs="宋体"/>
          <w:b/>
          <w:bCs/>
          <w:sz w:val="24"/>
          <w:szCs w:val="24"/>
        </w:rPr>
      </w:pPr>
      <w:r>
        <w:rPr>
          <w:rFonts w:hint="eastAsia" w:ascii="Calibri" w:hAnsi="宋体" w:cs="宋体"/>
          <w:b/>
          <w:bCs/>
          <w:sz w:val="24"/>
          <w:szCs w:val="24"/>
        </w:rPr>
        <w:t>第一部分  项目概况</w:t>
      </w:r>
    </w:p>
    <w:p/>
    <w:p>
      <w:pPr>
        <w:rPr>
          <w:rFonts w:eastAsiaTheme="minorEastAsia"/>
        </w:rPr>
      </w:pPr>
      <w:r>
        <w:rPr>
          <w:rFonts w:hint="eastAsia"/>
          <w:b/>
          <w:sz w:val="24"/>
          <w:szCs w:val="24"/>
        </w:rPr>
        <w:t>本项目为四川职业技术学院自营食堂后厨设备采购。</w:t>
      </w:r>
    </w:p>
    <w:p/>
    <w:p>
      <w:pPr>
        <w:widowControl/>
        <w:autoSpaceDE w:val="0"/>
        <w:autoSpaceDN w:val="0"/>
        <w:jc w:val="left"/>
        <w:rPr>
          <w:rFonts w:ascii="Calibri" w:hAnsi="宋体" w:cs="宋体"/>
          <w:b/>
          <w:bCs/>
          <w:sz w:val="24"/>
          <w:szCs w:val="24"/>
        </w:rPr>
      </w:pPr>
      <w:r>
        <w:rPr>
          <w:rFonts w:hint="eastAsia" w:ascii="Calibri" w:hAnsi="宋体" w:cs="宋体"/>
          <w:b/>
          <w:bCs/>
          <w:sz w:val="24"/>
          <w:szCs w:val="24"/>
        </w:rPr>
        <w:t>第二部分  采购清单及技术要求</w:t>
      </w:r>
    </w:p>
    <w:p/>
    <w:tbl>
      <w:tblPr>
        <w:tblStyle w:val="6"/>
        <w:tblW w:w="911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2060"/>
        <w:gridCol w:w="3892"/>
        <w:gridCol w:w="700"/>
        <w:gridCol w:w="660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hAnsi="宋体" w:eastAsia="宋体" w:cs="宋体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采购内容</w:t>
            </w:r>
          </w:p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（标的名称）</w:t>
            </w:r>
          </w:p>
        </w:tc>
        <w:tc>
          <w:tcPr>
            <w:tcW w:w="38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技术参数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数量</w:t>
            </w:r>
          </w:p>
        </w:tc>
        <w:tc>
          <w:tcPr>
            <w:tcW w:w="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教工食堂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面点间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24盘燃气蒸包炉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1、规格：≥24盘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2、柜体采用304# ≥1.2mm 不锈钢板，侧板和围板采用304# ≥1.0mm不锈钢板；立管采用≥φ51*1.2mm不锈钢管，内含钢柱，配不锈钢可调子弹脚， 可调节高度；炉台面板采用≥1.2mm不锈钢板,前沿带溢水 排污槽,配有挡渣板；配备气阀、长明火阀、水阀、及相 应的气管、水管等配套部件； 灶具气路控制系统采用不锈 钢无泄漏波形中压管路系 统；风机功率：≥550W/220V； 配置熄火保护装置。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多功能搅拌机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1.规格：≥30L。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2.功率：≥2.5KW/380V（加大功率）。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3.材质：不锈钢搅拌容器及不锈钢搅拌工具3套。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4.双动双速搅拌。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破壁机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1.规格：≥6L。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2.功率：≥2400W/220V。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3.保护装置：电流过载保护，马达超温保护。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4.容器采用304不锈钢材质。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凉菜间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烹饪间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单头大锅灶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  <w:highlight w:val="yellow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1.规格尺寸：≥1200*1150*800mm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▲2.炉面采用优质食品级304#厚≥1.2mm贴塑磨砂不锈钢板一次性冲压成型，炉面下垫≥20mm硅酸铝作为隔热，并配置炉面降温水系统。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3.炉背板、前板、围板采用304#优质厚≥1.2mm贴塑磨砂不锈钢板。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▲4.炉膛采用厚≥3mm A3钢板，采用珍珠岩、耐火泥及耐火砖夯实。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5.配套铜芯鼓风机，功率：≥550W/220V。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▲6.一级能效。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7.炉脚采用厚≥3mm黑铁钢管套不锈钢管并配全钢调节脚。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▲8. 电子点火，安全，连续点燃≥10次，应全部点燃主燃烧器，且不应爆燃，带熄火保护装置；并备有手动点火枪装置一套，便于应急使用。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9.其他炉用配件采用国标配件。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10.附件：铜芯摇摆水龙头1只。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▲11.燃气时，设备符合CJ/T392-2012 《炊用燃气大锅灶》标准。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▲12.产品符合GB4806.9-2016《食品安全国家标准 食品接触用金属材料及制品》要求。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双炒双温小炒菜灶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1.规格尺寸：2000*1150*800±4mm。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▲2.炉面采用≥1.2mm304磨砂不锈钢板一次性冲压成型，炉面下垫≥20mm硅酸铝作为隔热，并配置炉面降温水系统。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▲3.炉背板、前板、围板采用304#实厚≥1.0mm贴塑磨砂不锈钢板。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▲4.炉膛采用厚≥3mm A3钢板，采用珍珠岩、耐火泥及耐火砖夯实。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5.配套铜芯高压鼓风机2台，功率：≥90W/220V。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▲6.一级能效。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▲7.炉脚采用厚≥3mm黑铁钢管套不锈钢管并配全钢Φ51mm±mm调节脚。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▲8.烟道采用厚≥3mmA3钢板制作；烟道尺寸140×140mm±1mm向上直排。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▲9.点火方式简单、安全，连续点燃10次，应全部点燃主燃烧器，且不应爆燃。电子点火，带熄火保护装置；并备有手动点火枪装置一套，便于应急使用。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10.其他炉用配件采用国标配件。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11.附件：铜芯摇摆水龙头2只。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▲12.燃气时，设备符CJ/T28-2013标准。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0"/>
              </w:rPr>
            </w:pPr>
            <w:r>
              <w:rPr>
                <w:rFonts w:hint="eastAsia" w:hAnsi="宋体" w:cs="宋体"/>
                <w:color w:val="000000"/>
                <w:sz w:val="20"/>
              </w:rPr>
              <w:t>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学生二食堂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凉菜间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平台雪柜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1.规格：≥1800*800*800mm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2.储藏温度：-5℃～+10℃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3.电源；220V 50HZ。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4.输入功率：≥300W,一级能效标准。门数：双门。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5.工作方式：纯铜管直冷,采用数显温控器。                                                                                                           6.整体不锈钢，内层不锈钢箱体，台面、门板、侧板、内板采用不锈钢材质。配可调节可拆卸网架 2 个，可放置 1/1 或 2/1GN 盆；带开门限位及自动回归关门；带可刹停万向脚轮；带除霜水自蒸发系统，无需接地漏。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7.净容积：≥300L。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7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医用等离子体空气消毒机 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卫健委备案：微电脑控制，多功能等离子体杀菌模块，消毒情况下人机共存。</w:t>
            </w: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2.规格参数：≥1050*360*170mm，功率：≥60W/220V。</w:t>
            </w: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3.循环风量：≥1200方每小时；集杀菌、除尘、净化空气等为一体。</w:t>
            </w: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4.防控日常病菌：杀菌率〉99.90%。</w:t>
            </w: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5.噪音分贝：≤50分贝。</w:t>
            </w: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6.空气洁净度：10万级，消毒时间60min，提供合格的微生物检测报告。</w:t>
            </w:r>
          </w:p>
          <w:p>
            <w:pPr>
              <w:pStyle w:val="2"/>
              <w:spacing w:before="60" w:after="60"/>
            </w:pPr>
            <w:r>
              <w:rPr>
                <w:rFonts w:hint="eastAsia" w:ascii="宋体" w:hAnsi="宋体" w:cs="宋体"/>
                <w:color w:val="000000"/>
                <w:spacing w:val="0"/>
                <w:kern w:val="0"/>
                <w:sz w:val="22"/>
              </w:rPr>
              <w:t>7.遥控操作开关调节。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紫外线杀菌灯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1、石英管状玻璃外壳，发射短波紫外线辐射。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2、消毒管长≥1000mm，功率：30W/220V,热阴极有效寿命≥8000小时。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3、优质石英玻璃管，紫外线透过率大于等于98%。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4.遥控操作开关。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备餐间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双层工作台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1.规格：≥1800*800*800mm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1.面板采用≥1.2mm304不锈钢磨砂板制作，层板，加强筋采用≥1.0mm不锈钢板制作。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2.立脚采用≥∮51*1.2mm不锈钢管制作，配不锈钢可调子弹脚。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3.面板内衬≥15mm高密度聚氨酯板，防潮加固，下铺设防潮锡箔胶。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紫外线杀菌灯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1、石英管状玻璃外壳，发射短波紫外线辐射。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2、消毒管长≥1000mm，功率：30W/220V,热阴极有效寿命≥8000小时。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3、优质石英玻璃管，紫外线透过率大于等于98%。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4.遥控操作开关。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粗加工间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11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土豆去皮机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1.规格：≥850*600*1100（mm）。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2.优质不锈钢结构，强力带传动系统，不锈钢去皮底盘，不锈钢卸料口带快速锁定及密封系统，可调不锈钢支脚，卸料口处带微限开关。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3.电源：≥735W/ 230V 50Hz 单相 1Hp。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4.转速：≥320 r.p.m.。  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5.产量：≥170 kg/ h。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蒸煮间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双进风高压抽风柜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15KW/380V；≥40000风量,采用后倾式高压风柜，满足抽风量；同时制作风柜进口及出口消音器2组；配置软启动控制器，可远程操作启停同时采用软启动，保护电机。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13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进出风口变径及管道≥10㎡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定制，与风机匹配，采用实际厚度≥1.1mm镀锌板制造，配40角钢法兰螺杆连接及耐高温耐气候玻璃胶密封处理。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14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帆布软接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15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风机减震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定制，与风机匹配；采购国标150公斤弹簧减震器安装。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16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风机底座支架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定制，与风机匹配；采用国标40角钢制作，配加厚橡胶垫。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17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风柜电源线及线管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定制，与风机匹配；采用国标10平方米4+1铜芯电缆线并穿穿线管安装。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18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拆除旧设备及安装新设备措施费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现场订，拆除原旧设备3套（风柜、风管等）；安装新设备3套（风柜、风管等）。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项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19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工业挂壁扇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规格：750型，库房+面点间各一台，网罩直径≥780mm；高度≥880mm，3档调节，加粗加厚网罩，纯铜电机。</w:t>
            </w: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hAnsi="宋体" w:cs="宋体"/>
                <w:b/>
                <w:bCs/>
                <w:color w:val="000000"/>
                <w:sz w:val="22"/>
              </w:rPr>
              <w:t>炒菜区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旧烟罩降低高度安装费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定制，≥8米不锈钢烟罩。</w:t>
            </w: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项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21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旧烟罩上面的风管（背包）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定制，原旧风管拆除，换新镀锌管。</w:t>
            </w: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米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22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双进风高压抽风柜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≥15KW/380V；≥40000风量，采用后倾式高压风柜，满足抽风量；同时制作风柜进口及出口消音器2组；配置软启动控制器，可远程操作启停同时采用软启动，保护电机。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23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进出风口变径及管道10㎡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定制，与风机匹配，采用实际厚度1.1mm镀锌板制造，配40角钢法兰螺杆连接及耐高温耐气候玻璃胶密封处理。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24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帆布软接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25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风机减震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定制，与风机匹配；采购国标150公斤弹簧减震器安装。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26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风机底座支架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定制，与风机匹配。采用国标50角钢制作，配加厚橡胶垫。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风柜电源线及线管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定制，与风机匹配；采用国标10平方米4+1铜芯电缆线并穿穿线管安装。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五层楼顶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餐厅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其他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28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工业挂壁扇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规格：750型，库房+面点间各一台，网罩直径780mm±1mm；高度880mm±5mm，3档调节，加粗加厚网罩，纯铜电机。</w:t>
            </w: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套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29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电饼铛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1、电源：220V，频率：50Hz。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 xml:space="preserve">2、输入功率：≥5kW 。                                                           3、外形尺寸：650*780*800mm±1mm；      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4、不锈钢材料制作。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30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单头小炒灶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1.规格尺寸：1100*1150*800±1mm。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2.炉面采用实厚≥1.2mm304磨砂不锈钢板一次性冲压成型，炉面下垫20mm硅酸铝作为隔热，并配置炉面降温水系统。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3.炉背板、前板、围板采用304#厚≥1.0mm贴塑磨砂不锈钢板。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4.炉膛采用厚≥3mm A3钢板，采用珍珠岩、耐火泥及耐火砖夯实。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5.配套铜芯高压鼓风机2台，功率：≥90W/220V。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6.一级能效。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7.炉脚采用厚≥3mm黑铁钢管套不锈钢管并配全钢Φ51mm±1mm调节脚。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8.烟道采用厚≥3mmA3钢板制作；烟道尺寸140×140mm±1mm向上直排。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9.点火方式简单、安全，连续点燃10次，应全部点燃主燃烧器，且不应爆燃。电子点火，带熄火保护装置；并备有手动点火枪装置一套，便于应急使用。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10.其他炉用配件采用国标配件。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11.附件：铜芯摇摆水龙头1只。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12.燃气时，设备符CJ/T28-2013标准。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31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燃气大煮面炉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1.规格：≥1800*800*800mm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2.材料采用国标优质不锈钢板，炉面≥1.2mm不锈钢板。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3.炉背实厚≥1.0mm不锈钢板；水缸采用食品级304不锈钢材质，加火排燃烧，快速升温效率高。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4.独立汤池不串味，易清洗。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台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32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高温冻库(内外不锈钢）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1.规格：（30m³）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2.库体内外均采用≥0.8mm厚不锈钢内注聚胺脂厚≥100mm保温库板，配标准冷库掩门。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3.采用品牌压缩机、风冷机组；配膨胀阀、干燥过滤器、液境、R22雪种及电磁阀等。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4.进口控制电箱，配显示控制器，磁吸、继电器、高低压力制及冷库灯。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5.温度：0℃～+10℃。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6.采</w:t>
            </w:r>
            <w:r>
              <w:rPr>
                <w:rFonts w:hint="eastAsia" w:hAnsi="宋体" w:cs="宋体"/>
                <w:sz w:val="22"/>
              </w:rPr>
              <w:t>用聚氨酯发泡做地面保温配加厚防滑铝板,配套地基础制作。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座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33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冷冻库(内外不锈钢）</w:t>
            </w:r>
          </w:p>
        </w:tc>
        <w:tc>
          <w:tcPr>
            <w:tcW w:w="3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1.规格：（20m³）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2.库体内外均采用≥0.8mm厚不锈钢内注聚胺脂厚≥100mm保温库板，配标准冷库掩门。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3.采用品牌压缩机、风冷机组；配膨胀阀、干燥过滤器、液境、R22雪种及电磁阀等。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4.进口控制电箱，配显示控制器，磁吸、继电器、高低压力制及冷库灯。</w:t>
            </w:r>
          </w:p>
          <w:p>
            <w:pPr>
              <w:widowControl/>
              <w:spacing w:line="360" w:lineRule="auto"/>
              <w:jc w:val="left"/>
              <w:rPr>
                <w:rFonts w:hint="eastAsia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5.温度：-18℃～-23℃。</w:t>
            </w:r>
          </w:p>
          <w:p>
            <w:pPr>
              <w:widowControl/>
              <w:spacing w:line="360" w:lineRule="auto"/>
              <w:jc w:val="left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6.采用聚氨酯发泡做地面保温配加厚防</w:t>
            </w:r>
            <w:r>
              <w:rPr>
                <w:rFonts w:hint="eastAsia" w:hAnsi="宋体" w:cs="宋体"/>
                <w:sz w:val="22"/>
              </w:rPr>
              <w:t>滑铝板,配套地基础制作。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座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Ansi="宋体" w:cs="宋体"/>
                <w:color w:val="000000"/>
                <w:sz w:val="22"/>
              </w:rPr>
            </w:pPr>
            <w:r>
              <w:rPr>
                <w:rFonts w:hint="eastAsia" w:hAnsi="宋体" w:cs="宋体"/>
                <w:color w:val="000000"/>
                <w:sz w:val="22"/>
              </w:rPr>
              <w:t>　</w:t>
            </w:r>
          </w:p>
        </w:tc>
      </w:tr>
    </w:tbl>
    <w:p/>
    <w:p>
      <w:pPr>
        <w:pStyle w:val="4"/>
        <w:keepNext w:val="0"/>
        <w:keepLines w:val="0"/>
        <w:spacing w:before="0" w:after="0" w:line="240" w:lineRule="auto"/>
        <w:rPr>
          <w:rFonts w:ascii="宋体" w:hAnsi="宋体" w:cs="宋体"/>
          <w:sz w:val="24"/>
          <w:szCs w:val="24"/>
        </w:rPr>
      </w:pPr>
    </w:p>
    <w:p>
      <w:pPr>
        <w:pStyle w:val="4"/>
        <w:keepNext w:val="0"/>
        <w:keepLines w:val="0"/>
        <w:spacing w:before="0" w:after="0"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第三部分 商务及其它要求</w:t>
      </w:r>
      <w:r>
        <w:rPr>
          <w:rFonts w:hint="eastAsia" w:ascii="宋体" w:hAnsi="宋体" w:eastAsia="宋体" w:cs="宋体"/>
          <w:bCs w:val="0"/>
          <w:kern w:val="2"/>
          <w:sz w:val="24"/>
          <w:szCs w:val="24"/>
          <w:lang w:bidi="ar"/>
        </w:rPr>
        <w:t>（实质性要求）</w:t>
      </w:r>
    </w:p>
    <w:p>
      <w:pPr>
        <w:numPr>
          <w:ilvl w:val="0"/>
          <w:numId w:val="2"/>
        </w:numPr>
        <w:spacing w:line="360" w:lineRule="auto"/>
        <w:rPr>
          <w:rFonts w:hAnsi="宋体" w:cs="宋体"/>
          <w:sz w:val="24"/>
          <w:szCs w:val="24"/>
          <w:lang w:eastAsia="zh-Hans" w:bidi="ar"/>
        </w:rPr>
      </w:pPr>
      <w:r>
        <w:rPr>
          <w:rFonts w:hint="eastAsia" w:ascii="Arial" w:hAnsi="Arial" w:eastAsia="Arial" w:cs="Arial"/>
          <w:b/>
          <w:bCs/>
          <w:sz w:val="24"/>
        </w:rPr>
        <w:t>交</w:t>
      </w:r>
      <w:r>
        <w:rPr>
          <w:rFonts w:hint="eastAsia" w:hAnsi="宋体" w:cs="宋体"/>
          <w:b/>
          <w:bCs/>
          <w:sz w:val="24"/>
          <w:szCs w:val="24"/>
        </w:rPr>
        <w:t>货时间：</w:t>
      </w:r>
      <w:r>
        <w:rPr>
          <w:rFonts w:hint="eastAsia" w:hAnsi="宋体"/>
          <w:bCs/>
          <w:color w:val="000000"/>
          <w:sz w:val="24"/>
          <w:szCs w:val="24"/>
        </w:rPr>
        <w:t>合同签订之日后30日内交货</w:t>
      </w:r>
      <w:r>
        <w:rPr>
          <w:rFonts w:hint="eastAsia" w:hAnsi="宋体" w:cs="宋体"/>
          <w:bCs/>
          <w:sz w:val="24"/>
          <w:szCs w:val="24"/>
        </w:rPr>
        <w:t xml:space="preserve">   。</w:t>
      </w:r>
    </w:p>
    <w:p>
      <w:pPr>
        <w:numPr>
          <w:ilvl w:val="0"/>
          <w:numId w:val="2"/>
        </w:numPr>
        <w:spacing w:line="360" w:lineRule="auto"/>
        <w:rPr>
          <w:rFonts w:hAnsi="宋体" w:cs="宋体"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</w:rPr>
        <w:t>交货地点：</w:t>
      </w:r>
      <w:r>
        <w:rPr>
          <w:rFonts w:hint="eastAsia" w:hAnsi="宋体" w:cs="宋体"/>
          <w:sz w:val="24"/>
          <w:szCs w:val="24"/>
        </w:rPr>
        <w:t>四川职业技术学院。</w:t>
      </w:r>
    </w:p>
    <w:p>
      <w:pPr>
        <w:spacing w:line="360" w:lineRule="auto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</w:rPr>
        <w:t>（三）付款方式及时间：</w:t>
      </w:r>
    </w:p>
    <w:p>
      <w:pPr>
        <w:spacing w:line="360" w:lineRule="auto"/>
        <w:ind w:firstLine="480" w:firstLineChars="200"/>
        <w:rPr>
          <w:rFonts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签订合同后15个工作日内，甲方在收到乙方提供的合法合规发票及相关凭证资料后，支付合同总金额的30%合同款（以合同约定为准）；在货物验收合格后15个工作日内，甲方在收到乙方提供的合法合规发票及相关凭证资料后，支付合同总金额的70%合同款。</w:t>
      </w:r>
    </w:p>
    <w:p>
      <w:pPr>
        <w:spacing w:line="360" w:lineRule="auto"/>
        <w:rPr>
          <w:rFonts w:hAnsi="宋体" w:cs="宋体"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</w:rPr>
        <w:t>（四）售后服务</w:t>
      </w:r>
    </w:p>
    <w:p>
      <w:pPr>
        <w:pStyle w:val="5"/>
        <w:spacing w:after="0" w:line="360" w:lineRule="auto"/>
        <w:ind w:firstLine="480" w:firstLineChars="200"/>
        <w:rPr>
          <w:rFonts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1、保修期：不少于1年，在产品保修期内（除易耗品、人为因素和地震等不可抗拒因素外）产品出现故障或其他问题，由成交供应商进行维修，所有维修产生的费用由成交供应商自行支付。</w:t>
      </w:r>
    </w:p>
    <w:p>
      <w:pPr>
        <w:spacing w:line="360" w:lineRule="auto"/>
        <w:ind w:firstLine="480" w:firstLineChars="200"/>
        <w:rPr>
          <w:rFonts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2、支持重大故障或特殊故障的紧急远程或现场抢修。一般故障，30分钟响应、4小时内到场、24小时内维修完毕；重大故障或特殊故障，30分钟响应、4小时内到场、72小时维修完毕。</w:t>
      </w:r>
    </w:p>
    <w:p>
      <w:pPr>
        <w:spacing w:line="360" w:lineRule="auto"/>
        <w:ind w:firstLine="480" w:firstLineChars="200"/>
        <w:rPr>
          <w:rFonts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3、未经采购人同意，维修维护使用的备品备件及易损件，不得为非原厂件。</w:t>
      </w:r>
    </w:p>
    <w:p>
      <w:pPr>
        <w:spacing w:line="360" w:lineRule="auto"/>
        <w:ind w:firstLine="480" w:firstLineChars="200"/>
        <w:rPr>
          <w:rFonts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4、供应商需建立相应的售后维护档案，每次故障维修提交报告，并提出预防性维护措施，记录每次故障响应服务和预防性维护的详细情况。</w:t>
      </w:r>
    </w:p>
    <w:p>
      <w:pPr>
        <w:spacing w:line="360" w:lineRule="auto"/>
        <w:ind w:firstLine="480" w:firstLineChars="200"/>
        <w:rPr>
          <w:rFonts w:hAnsi="宋体" w:cs="宋体"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5、供应商需建立专门的回访制度，设立专职服务人员，为用户提供至少每季度一次的回访、技术咨询和技术培训等服务。</w:t>
      </w:r>
    </w:p>
    <w:p>
      <w:pPr>
        <w:spacing w:line="348" w:lineRule="auto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</w:rPr>
        <w:t>（五）验收要求</w:t>
      </w:r>
    </w:p>
    <w:p>
      <w:pPr>
        <w:pStyle w:val="5"/>
        <w:spacing w:line="348" w:lineRule="auto"/>
        <w:ind w:firstLine="480" w:firstLineChars="200"/>
        <w:rPr>
          <w:rFonts w:hAnsi="宋体" w:cs="宋体"/>
          <w:bCs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1、验收标准：严格按照国家相关法律法规以及《财政部关于进一步加强政府采购需求和履约验收管理的指导意见》（财库〔2016〕205号）的要求进行验收。</w:t>
      </w:r>
    </w:p>
    <w:p>
      <w:pPr>
        <w:pStyle w:val="5"/>
        <w:spacing w:after="0" w:line="348" w:lineRule="auto"/>
        <w:ind w:firstLine="480" w:firstLineChars="200"/>
        <w:rPr>
          <w:rFonts w:hAnsi="宋体" w:cs="宋体"/>
          <w:color w:val="000000"/>
          <w:sz w:val="24"/>
          <w:szCs w:val="24"/>
        </w:rPr>
      </w:pPr>
      <w:r>
        <w:rPr>
          <w:rFonts w:hint="eastAsia" w:hAnsi="宋体" w:cs="宋体"/>
          <w:bCs/>
          <w:sz w:val="24"/>
          <w:szCs w:val="24"/>
        </w:rPr>
        <w:t>2、</w:t>
      </w:r>
      <w:r>
        <w:rPr>
          <w:rFonts w:hint="eastAsia" w:hAnsi="宋体" w:cs="宋体"/>
          <w:color w:val="000000"/>
          <w:sz w:val="24"/>
          <w:szCs w:val="24"/>
        </w:rPr>
        <w:t>合同货物安装调试完成成交人递交书面验收申请后5个工作日内进行初步验收，验收应在采购人、成交供应商双方共同参加下进行。</w:t>
      </w:r>
    </w:p>
    <w:p>
      <w:pPr>
        <w:spacing w:line="348" w:lineRule="auto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</w:rPr>
        <w:t>（六）售后服务：</w:t>
      </w:r>
    </w:p>
    <w:p>
      <w:pPr>
        <w:spacing w:line="360" w:lineRule="auto"/>
        <w:ind w:firstLine="480" w:firstLineChars="200"/>
        <w:rPr>
          <w:rFonts w:hAnsi="宋体"/>
          <w:bCs/>
          <w:color w:val="000000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1、享受原厂售后服务，供应商应有良好的服务理念和完善的售后服务体系。</w:t>
      </w:r>
    </w:p>
    <w:p>
      <w:pPr>
        <w:spacing w:line="360" w:lineRule="auto"/>
        <w:ind w:firstLine="480" w:firstLineChars="200"/>
        <w:rPr>
          <w:rFonts w:hAnsi="宋体"/>
          <w:bCs/>
          <w:color w:val="000000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培训内容：</w:t>
      </w:r>
    </w:p>
    <w:p>
      <w:pPr>
        <w:spacing w:line="360" w:lineRule="auto"/>
        <w:ind w:firstLine="480" w:firstLineChars="200"/>
        <w:rPr>
          <w:rFonts w:hAnsi="宋体"/>
          <w:bCs/>
          <w:color w:val="000000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1.1负责现场安装、调试。</w:t>
      </w:r>
    </w:p>
    <w:p>
      <w:pPr>
        <w:spacing w:line="360" w:lineRule="auto"/>
        <w:ind w:firstLine="480" w:firstLineChars="200"/>
        <w:rPr>
          <w:rFonts w:hAnsi="宋体"/>
          <w:bCs/>
          <w:color w:val="000000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1.2负责提供仪器设备的基本原理、操作应用、注意事项、日常维护等内容的人员培训，使其能够掌握仪器的正确操作和日常保养、维护及简单故障的处理。</w:t>
      </w:r>
    </w:p>
    <w:p>
      <w:pPr>
        <w:spacing w:line="360" w:lineRule="auto"/>
        <w:ind w:firstLine="480" w:firstLineChars="200"/>
        <w:rPr>
          <w:rFonts w:hAnsi="宋体"/>
          <w:bCs/>
          <w:color w:val="000000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1.3培训时间不少于1天，在培训期间，供应商食宿自理。</w:t>
      </w:r>
    </w:p>
    <w:p>
      <w:pPr>
        <w:spacing w:line="360" w:lineRule="auto"/>
        <w:ind w:firstLine="480" w:firstLineChars="200"/>
        <w:rPr>
          <w:rFonts w:hAnsi="宋体" w:cs="宋体"/>
          <w:sz w:val="24"/>
          <w:szCs w:val="24"/>
        </w:rPr>
      </w:pPr>
      <w:r>
        <w:rPr>
          <w:rFonts w:hint="eastAsia" w:hAnsi="宋体"/>
          <w:bCs/>
          <w:color w:val="000000"/>
          <w:sz w:val="24"/>
          <w:szCs w:val="24"/>
        </w:rPr>
        <w:t>1.4培训对象：使用相关产品的工作人员。</w:t>
      </w:r>
    </w:p>
    <w:p>
      <w:r>
        <w:rPr>
          <w:rFonts w:hint="eastAsia" w:hAnsi="宋体" w:cs="宋体"/>
          <w:b/>
          <w:bCs/>
          <w:sz w:val="24"/>
          <w:szCs w:val="24"/>
        </w:rPr>
        <w:t>注：1.本项目采购和执行过程中，如有国家新标准、新政策，则按新标准、新政策执行。</w:t>
      </w:r>
    </w:p>
    <w:p>
      <w:pPr>
        <w:spacing w:line="360" w:lineRule="auto"/>
        <w:rPr>
          <w:rFonts w:hAnsi="宋体" w:cs="宋体"/>
          <w:b/>
          <w:szCs w:val="21"/>
        </w:rPr>
      </w:pPr>
      <w:r>
        <w:rPr>
          <w:rFonts w:hint="eastAsia" w:hAnsi="宋体" w:cs="宋体"/>
          <w:b/>
          <w:bCs/>
          <w:sz w:val="24"/>
          <w:szCs w:val="24"/>
        </w:rPr>
        <w:t xml:space="preserve">    2.带“▲”</w:t>
      </w:r>
      <w:r>
        <w:rPr>
          <w:rFonts w:hint="eastAsia" w:hAnsi="宋体" w:cs="宋体"/>
          <w:b/>
          <w:kern w:val="2"/>
          <w:sz w:val="21"/>
          <w:szCs w:val="21"/>
          <w:lang w:bidi="ar"/>
        </w:rPr>
        <w:t>号参数为重要技术参数要求，若有负偏离，将按无效报价处理，非“▲”号参数为一般参数，允许2个负偏离。</w:t>
      </w:r>
    </w:p>
    <w:p/>
    <w:p>
      <w:pPr>
        <w:rPr>
          <w:rFonts w:cs="仿宋" w:asciiTheme="minorEastAsia" w:hAnsiTheme="minorEastAsia" w:eastAsiaTheme="minorEastAsia"/>
          <w:b/>
          <w:kern w:val="1"/>
          <w:sz w:val="24"/>
          <w:szCs w:val="24"/>
        </w:rPr>
      </w:pPr>
    </w:p>
    <w:p>
      <w:pPr>
        <w:sectPr>
          <w:pgSz w:w="11907" w:h="16840"/>
          <w:pgMar w:top="1440" w:right="1701" w:bottom="1440" w:left="1701" w:header="851" w:footer="992" w:gutter="0"/>
          <w:cols w:space="720" w:num="1"/>
          <w:docGrid w:linePitch="312" w:charSpace="0"/>
        </w:sectPr>
      </w:pPr>
      <w:bookmarkStart w:id="1" w:name="_GoBack"/>
      <w:bookmarkEnd w:id="1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mes New (W1)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7AAD8F"/>
    <w:multiLevelType w:val="singleLevel"/>
    <w:tmpl w:val="9F7AAD8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9AF7A38"/>
    <w:multiLevelType w:val="singleLevel"/>
    <w:tmpl w:val="39AF7A38"/>
    <w:lvl w:ilvl="0" w:tentative="0">
      <w:start w:val="1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3Mjc3ZTJlNjNjYzM0MzM2YzUyMjYwZmEwMTE5NWUifQ=="/>
  </w:docVars>
  <w:rsids>
    <w:rsidRoot w:val="4C8519D5"/>
    <w:rsid w:val="4C85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napToGrid w:val="0"/>
      <w:spacing w:before="220" w:after="90" w:line="576" w:lineRule="auto"/>
      <w:jc w:val="center"/>
      <w:outlineLvl w:val="0"/>
    </w:pPr>
    <w:rPr>
      <w:rFonts w:hAnsi="宋体"/>
      <w:b/>
      <w:kern w:val="44"/>
      <w:sz w:val="32"/>
    </w:rPr>
  </w:style>
  <w:style w:type="paragraph" w:styleId="4">
    <w:name w:val="heading 4"/>
    <w:basedOn w:val="1"/>
    <w:next w:val="1"/>
    <w:qFormat/>
    <w:uiPriority w:val="9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Lines="25" w:afterLines="25"/>
    </w:pPr>
    <w:rPr>
      <w:rFonts w:ascii="Times New (W1)" w:hAnsi="Times New (W1)"/>
      <w:spacing w:val="10"/>
      <w:kern w:val="2"/>
      <w:sz w:val="21"/>
    </w:rPr>
  </w:style>
  <w:style w:type="paragraph" w:styleId="5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2023-08-14T08:57:00Z</dcterms:created>
  <dc:creator>九妹、</dc:creator>
  <cp:lastModifiedBy>九妹、</cp:lastModifiedBy>
  <dcterms:modified xsi:type="dcterms:W3CDTF">2023-08-14T08:57:43Z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C1DEA6B9CB934F7F974DBABCE3BEED15</vt:lpwstr>
  </property>
</Properties>
</file>