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380C4">
      <w:pPr>
        <w:keepNext/>
        <w:keepLines/>
        <w:widowControl w:val="0"/>
        <w:spacing w:before="120" w:after="120" w:line="240" w:lineRule="auto"/>
        <w:jc w:val="center"/>
        <w:outlineLvl w:val="0"/>
        <w:rPr>
          <w:rFonts w:ascii="宋体" w:hAnsi="宋体" w:eastAsia="宋体" w:cs="Times New Roman"/>
          <w:b/>
          <w:bCs/>
          <w:kern w:val="2"/>
          <w:sz w:val="32"/>
          <w:szCs w:val="44"/>
          <w:highlight w:val="none"/>
          <w:lang w:val="en-US" w:eastAsia="zh-CN" w:bidi="ar-SA"/>
        </w:rPr>
      </w:pPr>
      <w:r>
        <w:rPr>
          <w:rFonts w:hint="eastAsia" w:ascii="宋体" w:hAnsi="宋体" w:eastAsia="宋体" w:cs="Times New Roman"/>
          <w:b/>
          <w:bCs/>
          <w:kern w:val="2"/>
          <w:sz w:val="32"/>
          <w:szCs w:val="44"/>
          <w:highlight w:val="none"/>
          <w:lang w:val="en-US" w:eastAsia="zh-CN" w:bidi="ar-SA"/>
        </w:rPr>
        <w:t>采购内容及项目要求</w:t>
      </w:r>
    </w:p>
    <w:p w14:paraId="6FF45AD4">
      <w:pPr>
        <w:widowControl/>
        <w:spacing w:line="520" w:lineRule="exact"/>
        <w:ind w:firstLine="120" w:firstLineChars="50"/>
        <w:jc w:val="left"/>
        <w:rPr>
          <w:rFonts w:hint="eastAsia" w:ascii="宋体" w:hAnsi="宋体" w:eastAsia="宋体" w:cs="Times New Roman"/>
          <w:sz w:val="24"/>
          <w:highlight w:val="none"/>
        </w:rPr>
      </w:pPr>
      <w:r>
        <w:rPr>
          <w:rFonts w:hint="eastAsia" w:ascii="宋体" w:hAnsi="宋体" w:eastAsia="宋体" w:cs="Times New Roman"/>
          <w:b/>
          <w:bCs/>
          <w:sz w:val="24"/>
          <w:highlight w:val="none"/>
        </w:rPr>
        <w:t>一、项目概况</w:t>
      </w:r>
    </w:p>
    <w:p w14:paraId="4AD27AF5">
      <w:pPr>
        <w:widowControl/>
        <w:spacing w:line="520" w:lineRule="exact"/>
        <w:ind w:firstLine="480" w:firstLineChars="200"/>
        <w:jc w:val="left"/>
        <w:rPr>
          <w:rFonts w:ascii="宋体" w:hAnsi="宋体" w:eastAsia="宋体" w:cs="Times New Roman"/>
          <w:sz w:val="24"/>
          <w:highlight w:val="none"/>
        </w:rPr>
      </w:pPr>
      <w:r>
        <w:rPr>
          <w:rFonts w:hint="eastAsia" w:ascii="宋体" w:hAnsi="宋体" w:eastAsia="宋体" w:cs="Times New Roman"/>
          <w:sz w:val="24"/>
          <w:highlight w:val="none"/>
        </w:rPr>
        <w:t>本项目共分为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u w:val="single"/>
          <w:lang w:val="en-US" w:eastAsia="zh-CN"/>
        </w:rPr>
        <w:t>1</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个包，供应商不得对包中所投货物和服务分解后进行响应。本项目预算金额为人民币</w:t>
      </w:r>
      <w:r>
        <w:rPr>
          <w:rFonts w:hint="eastAsia" w:ascii="宋体" w:hAnsi="宋体" w:eastAsia="宋体" w:cs="Times New Roman"/>
          <w:sz w:val="24"/>
          <w:highlight w:val="none"/>
          <w:lang w:eastAsia="zh-CN"/>
        </w:rPr>
        <w:t>156.8</w:t>
      </w:r>
      <w:r>
        <w:rPr>
          <w:rFonts w:hint="eastAsia" w:ascii="宋体" w:hAnsi="宋体" w:eastAsia="宋体" w:cs="Times New Roman"/>
          <w:sz w:val="24"/>
          <w:highlight w:val="none"/>
        </w:rPr>
        <w:t>万元</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含税</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w:t>
      </w:r>
    </w:p>
    <w:p w14:paraId="25324B7E">
      <w:pPr>
        <w:widowControl/>
        <w:spacing w:line="520" w:lineRule="exact"/>
        <w:ind w:firstLine="120" w:firstLineChars="50"/>
        <w:jc w:val="left"/>
        <w:rPr>
          <w:rFonts w:ascii="宋体" w:hAnsi="宋体" w:eastAsia="宋体" w:cs="宋体"/>
          <w:kern w:val="0"/>
          <w:sz w:val="24"/>
          <w:highlight w:val="none"/>
        </w:rPr>
      </w:pPr>
      <w:r>
        <w:rPr>
          <w:rFonts w:hint="eastAsia" w:ascii="宋体" w:hAnsi="宋体" w:eastAsia="宋体" w:cs="Times New Roman"/>
          <w:b/>
          <w:bCs/>
          <w:sz w:val="24"/>
          <w:highlight w:val="none"/>
        </w:rPr>
        <w:t>二、技术条款及商务条款响应要求</w:t>
      </w:r>
    </w:p>
    <w:p w14:paraId="6535294F">
      <w:pPr>
        <w:adjustRightInd w:val="0"/>
        <w:snapToGrid w:val="0"/>
        <w:spacing w:line="360" w:lineRule="auto"/>
        <w:jc w:val="center"/>
        <w:rPr>
          <w:rFonts w:hint="eastAsia" w:ascii="Times New Roman" w:hAnsi="Times New Roman" w:eastAsia="宋体" w:cs="Times New Roman"/>
          <w:b/>
          <w:sz w:val="32"/>
          <w:szCs w:val="32"/>
          <w:highlight w:val="none"/>
        </w:rPr>
      </w:pPr>
      <w:r>
        <w:rPr>
          <w:rFonts w:hint="eastAsia" w:ascii="Times New Roman" w:hAnsi="Times New Roman" w:eastAsia="宋体" w:cs="Times New Roman"/>
          <w:b/>
          <w:sz w:val="32"/>
          <w:szCs w:val="32"/>
          <w:highlight w:val="none"/>
        </w:rPr>
        <w:t>山东大学仪器设备采购技术条款响应一览表</w:t>
      </w:r>
    </w:p>
    <w:tbl>
      <w:tblPr>
        <w:tblStyle w:val="12"/>
        <w:tblpPr w:leftFromText="180" w:rightFromText="180" w:vertAnchor="text" w:horzAnchor="page" w:tblpX="972" w:tblpY="299"/>
        <w:tblW w:w="145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17"/>
        <w:gridCol w:w="1587"/>
        <w:gridCol w:w="6080"/>
        <w:gridCol w:w="585"/>
        <w:gridCol w:w="1104"/>
        <w:gridCol w:w="896"/>
        <w:gridCol w:w="1385"/>
        <w:gridCol w:w="1330"/>
        <w:gridCol w:w="783"/>
      </w:tblGrid>
      <w:tr w14:paraId="16BBBE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0173" w:type="dxa"/>
            <w:gridSpan w:val="5"/>
            <w:tcBorders>
              <w:top w:val="single" w:color="auto" w:sz="4" w:space="0"/>
              <w:left w:val="single" w:color="auto" w:sz="4" w:space="0"/>
              <w:bottom w:val="single" w:color="auto" w:sz="4" w:space="0"/>
              <w:right w:val="single" w:color="auto" w:sz="4" w:space="0"/>
            </w:tcBorders>
            <w:noWrap w:val="0"/>
            <w:vAlign w:val="center"/>
          </w:tcPr>
          <w:p w14:paraId="4849F801">
            <w:pPr>
              <w:autoSpaceDE w:val="0"/>
              <w:autoSpaceDN w:val="0"/>
              <w:adjustRightInd w:val="0"/>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采购人要求（用户填写）</w:t>
            </w:r>
          </w:p>
        </w:tc>
        <w:tc>
          <w:tcPr>
            <w:tcW w:w="4394" w:type="dxa"/>
            <w:gridSpan w:val="4"/>
            <w:tcBorders>
              <w:top w:val="single" w:color="auto" w:sz="4" w:space="0"/>
              <w:bottom w:val="single" w:color="auto" w:sz="4" w:space="0"/>
            </w:tcBorders>
            <w:noWrap w:val="0"/>
            <w:vAlign w:val="center"/>
          </w:tcPr>
          <w:p w14:paraId="2B45C8F0">
            <w:pPr>
              <w:widowControl/>
              <w:spacing w:line="440" w:lineRule="exact"/>
              <w:jc w:val="center"/>
              <w:rPr>
                <w:rFonts w:hint="eastAsia" w:ascii="宋体" w:hAnsi="宋体" w:eastAsia="宋体" w:cs="宋体"/>
                <w:b/>
                <w:kern w:val="0"/>
                <w:szCs w:val="21"/>
                <w:highlight w:val="none"/>
              </w:rPr>
            </w:pPr>
            <w:r>
              <w:rPr>
                <w:rFonts w:hint="eastAsia" w:ascii="宋体" w:hAnsi="宋体" w:eastAsia="宋体" w:cs="宋体"/>
                <w:b/>
                <w:kern w:val="0"/>
                <w:szCs w:val="21"/>
                <w:highlight w:val="none"/>
              </w:rPr>
              <w:t>投标人（供应商）响应（投标人/供应商填写）</w:t>
            </w:r>
          </w:p>
        </w:tc>
      </w:tr>
      <w:tr w14:paraId="205450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C25B3B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配置序号</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31AB860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配置名称</w:t>
            </w:r>
          </w:p>
        </w:tc>
        <w:tc>
          <w:tcPr>
            <w:tcW w:w="6080" w:type="dxa"/>
            <w:tcBorders>
              <w:top w:val="single" w:color="auto" w:sz="4" w:space="0"/>
              <w:left w:val="single" w:color="auto" w:sz="4" w:space="0"/>
              <w:bottom w:val="single" w:color="auto" w:sz="4" w:space="0"/>
              <w:right w:val="single" w:color="auto" w:sz="4" w:space="0"/>
            </w:tcBorders>
            <w:noWrap w:val="0"/>
            <w:vAlign w:val="center"/>
          </w:tcPr>
          <w:p w14:paraId="33BF953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详细技术参数要求</w:t>
            </w:r>
          </w:p>
        </w:tc>
        <w:tc>
          <w:tcPr>
            <w:tcW w:w="585" w:type="dxa"/>
            <w:tcBorders>
              <w:top w:val="single" w:color="auto" w:sz="4" w:space="0"/>
              <w:left w:val="single" w:color="auto" w:sz="4" w:space="0"/>
              <w:bottom w:val="single" w:color="auto" w:sz="4" w:space="0"/>
              <w:right w:val="single" w:color="auto" w:sz="4" w:space="0"/>
            </w:tcBorders>
            <w:noWrap w:val="0"/>
            <w:vAlign w:val="center"/>
          </w:tcPr>
          <w:p w14:paraId="16C1CBD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240C918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4F4463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787088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应答技术规格指标</w:t>
            </w:r>
          </w:p>
        </w:tc>
        <w:tc>
          <w:tcPr>
            <w:tcW w:w="1330" w:type="dxa"/>
            <w:tcBorders>
              <w:top w:val="single" w:color="auto" w:sz="4" w:space="0"/>
              <w:left w:val="single" w:color="auto" w:sz="4" w:space="0"/>
              <w:bottom w:val="single" w:color="auto" w:sz="4" w:space="0"/>
              <w:right w:val="single" w:color="auto" w:sz="4" w:space="0"/>
            </w:tcBorders>
            <w:noWrap w:val="0"/>
            <w:vAlign w:val="center"/>
          </w:tcPr>
          <w:p w14:paraId="505CB43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技术指标偏离情况</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6FF4367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1E44D0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4858EAB">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5FC6392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大型GPU深度学习服务器</w:t>
            </w:r>
          </w:p>
        </w:tc>
        <w:tc>
          <w:tcPr>
            <w:tcW w:w="6080" w:type="dxa"/>
            <w:tcBorders>
              <w:top w:val="single" w:color="auto" w:sz="4" w:space="0"/>
              <w:left w:val="single" w:color="auto" w:sz="4" w:space="0"/>
              <w:bottom w:val="single" w:color="auto" w:sz="4" w:space="0"/>
              <w:right w:val="single" w:color="auto" w:sz="4" w:space="0"/>
            </w:tcBorders>
            <w:noWrap w:val="0"/>
            <w:vAlign w:val="center"/>
          </w:tcPr>
          <w:p w14:paraId="4B868DD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硬件需满足要求如下：</w:t>
            </w:r>
          </w:p>
          <w:p w14:paraId="77002C5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规格:≥4U机架式服务器；</w:t>
            </w:r>
          </w:p>
          <w:p w14:paraId="5E6A49F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CPU:≥2</w:t>
            </w:r>
            <w:r>
              <w:rPr>
                <w:rFonts w:hint="eastAsia" w:ascii="宋体" w:hAnsi="宋体" w:eastAsia="宋体" w:cs="宋体"/>
                <w:szCs w:val="21"/>
                <w:highlight w:val="none"/>
                <w:lang w:val="en-US" w:eastAsia="zh-CN"/>
              </w:rPr>
              <w:t>颗</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单颗性能≥</w:t>
            </w:r>
            <w:r>
              <w:rPr>
                <w:rFonts w:hint="eastAsia" w:ascii="宋体" w:hAnsi="宋体" w:eastAsia="宋体" w:cs="宋体"/>
                <w:szCs w:val="21"/>
                <w:highlight w:val="none"/>
              </w:rPr>
              <w:t>32核/64线程，主频≥2.1GHz，应支持超线程技术、睿频加速、DL Boost（VNNI）及AVX-512指令集，并集成UPI互连总线，传输速率不低于16.0 GT/s；</w:t>
            </w:r>
          </w:p>
          <w:p w14:paraId="1BCCE26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内存:内存总量≥512G DDR5，支持ECC功能；</w:t>
            </w:r>
          </w:p>
          <w:p w14:paraId="4C48397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扩展插槽: ≥8×PCI-E插槽；</w:t>
            </w:r>
          </w:p>
          <w:p w14:paraId="75E6FCA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显卡:应配置不少于8张显卡。需支持主流的FP32、FP16/BF16精度计算，并支持INT8与FP8推理计算。单精度（FP32）算力≥80 TFLOPs，半精度（FP16/BF16，启用Tensor Core）算力≥160TFLOPs；单卡显存容量≥24G，显存带宽≥1008 GB/s。支持通过PCIe 4.0实现多卡互联。</w:t>
            </w:r>
          </w:p>
          <w:p w14:paraId="1BAC158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 系统盘：配置960G SATA 2.5 SSD 企业级固态硬盘*2；</w:t>
            </w:r>
          </w:p>
          <w:p w14:paraId="626752B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 数据盘：配置3.84TB  NVMe U.2 2.5 SSD 企业级固态硬盘  1DWPD*2；</w:t>
            </w:r>
          </w:p>
          <w:p w14:paraId="434C387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 阵列卡：配置SAS RAID 12Gbps，支持RAID0,1,10；</w:t>
            </w:r>
          </w:p>
          <w:p w14:paraId="4387CEC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9. 网卡：≥双口25G光纤以太网（含模块）；</w:t>
            </w:r>
          </w:p>
          <w:p w14:paraId="5003698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10. 电源：支持N+1冗余电源，配置≥2700W*4电源；</w:t>
            </w:r>
          </w:p>
          <w:p w14:paraId="7D4A8CC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11. 滑轨：配置服务器安装导轨。</w:t>
            </w:r>
          </w:p>
          <w:p w14:paraId="4B4D590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12.说明：供应商可依据软件技术方案运行需求、硬件兼容性及性能优化目标，自行设计硬件交付方案，但需符合服务器主板芯片组兼容标准，确保项目总体硬件资源（如CPU、内存、存储、显卡）配置不低于以上最低要求，以保障系统稳定高效运行。</w:t>
            </w:r>
          </w:p>
          <w:p w14:paraId="5E7F887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13.多 GPU PCIe 拓扑与带宽要求：8 张 GPU 应在双路 CPU 间合理均衡挂载，每张 GPU 的实际 PCIe 工作链路或经 PCIe Switch 折算后的有效上行带宽不得低于 PCIe 4.0 ×8。采用 PCIe Switch 方案的，投标人须明确提供 Switch 型号、上下行通道配置、GPU 挂载关系及带宽超售比例，带宽超售比例不得高于 2:1。</w:t>
            </w:r>
          </w:p>
          <w:p w14:paraId="54E60EC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搭载软件参数：</w:t>
            </w:r>
          </w:p>
          <w:p w14:paraId="55879F1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I. 深度学习平台</w:t>
            </w:r>
          </w:p>
          <w:p w14:paraId="04E1D18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A. 大模型部署及推理</w:t>
            </w:r>
          </w:p>
          <w:p w14:paraId="375BE21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该平台应实现极高的吞吐量和极低的延迟，显著提升模型服务的并发处理能力。</w:t>
            </w:r>
          </w:p>
          <w:p w14:paraId="64CA26F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应支持的大模型列表包括但不限于deepseek-ai/DeepSeek-R1-Distill-Qwen-32B</w:t>
            </w:r>
          </w:p>
          <w:p w14:paraId="27B7583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Qwen/Qwen3-Omni-30B-A3B-Instruct</w:t>
            </w:r>
          </w:p>
          <w:p w14:paraId="40552D1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deepseek-ai/DeepSeek-R1-0528-Qwen3-8B</w:t>
            </w:r>
          </w:p>
          <w:p w14:paraId="2E8F1EE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Qwen/Qwen3.6-27B</w:t>
            </w:r>
          </w:p>
          <w:p w14:paraId="75DCAC3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Qwen/Qwen3.6-35B-A3B</w:t>
            </w:r>
          </w:p>
          <w:p w14:paraId="7E6B5E1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Qwen/Qwen3-VL-8B-Instruct</w:t>
            </w:r>
          </w:p>
          <w:p w14:paraId="2BB99A9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Qwen/Qwen3-Coder-30B-A3B-Instruct, 等，后续开源模型新发布可进行更新部署。</w:t>
            </w:r>
          </w:p>
          <w:p w14:paraId="752BB2D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该平台应实现对显卡或 NPU 显存的灵活分配与高效利用，需要针对性解决因序列长度不一和动态生成所导致的内存碎片化问题，将显存使用率提升至接近理论极限，为大语言模型的高吞吐、低延迟推理服务提供关键的底层支撑。</w:t>
            </w:r>
          </w:p>
          <w:p w14:paraId="57A38D5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该平台应提供多显卡或 NPU 分布式推理支持，提供对张量并行和流水线并行的支持，能够将大模型切分到多个显卡或 NPU 上进行协同推理，扩展单节点的模型容量和处理能力，适用于超大规模模型的部署场景。</w:t>
            </w:r>
          </w:p>
          <w:p w14:paraId="5C786C6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B. 可视化用户对话界面</w:t>
            </w:r>
          </w:p>
          <w:p w14:paraId="161E4B21">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平台应提供可视化用户对话界面，为用户提供类 ChatGPT 的直观对话体验。</w:t>
            </w:r>
          </w:p>
          <w:p w14:paraId="18E3C20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其核心功能与技术特性应包括：</w:t>
            </w:r>
          </w:p>
          <w:p w14:paraId="430C0A7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提供与主流商业大模型平台高度相似的用户界面，支持多轮对话、消息流式显示、md 格式渲染、代码高亮等功能。</w:t>
            </w:r>
          </w:p>
          <w:p w14:paraId="44E1705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多后端推理引擎集成，支持连接多种本地或远程模型后端，实现统一入口管理多个模型服务，提升资源调度灵活性。</w:t>
            </w:r>
          </w:p>
          <w:p w14:paraId="6EEA4D5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多模型与多会话管理，允许用户在同一界面下自由切换不同模型进行对话，并支持创建和管理多个独立的聊天会话，每个会话可保存上下文历史，便于开展不同主题的探索与研究。</w:t>
            </w:r>
          </w:p>
          <w:p w14:paraId="2351681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上下文持久化与历史记录，自动保存用户的对话历史，支持按时间、主题或标签进行检索，确保研究过程的连续性和可追溯性，便于教学回顾与科研复现。</w:t>
            </w:r>
          </w:p>
          <w:p w14:paraId="38C6F9E6">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 文件上传与内容解析，允许用户直接上传各类文件，系统可自动解析文本内容并将其作为上下文输入模型，支持对文档内容进行总结、提问、翻译等操作，提升信息处理效率。</w:t>
            </w:r>
          </w:p>
          <w:p w14:paraId="3073372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 自定义系统提示词，允许用户为每个模型或会话设置自定义的系统级指令，引导模型扮演特定角色（如教师、程序员、法律顾问等），实现更精准的任务导向型交互。</w:t>
            </w:r>
          </w:p>
          <w:p w14:paraId="0AC81DD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 高级对话模式配置，提供温度（Temperature）、Top-p 采样、最大生成长度、重复惩罚（Repetition Penalty）等生成参数的可视化调节，满足不同应用场景对输出多样性与确定性的需求。</w:t>
            </w:r>
          </w:p>
          <w:p w14:paraId="7928DC4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 语音输入与输出支持，支持语音识别和文本转语音功能，支持通过语音进行提问和收听模型回复，提升交互的自然性与无障碍访问能力。</w:t>
            </w:r>
          </w:p>
          <w:p w14:paraId="4EE2E501">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(9) 多模态支持（图像理解），支持上传图片并进行视觉问答（VQA），实现图文混合的多模态交互。</w:t>
            </w:r>
          </w:p>
          <w:p w14:paraId="2C910D5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C. 模型微调</w:t>
            </w:r>
          </w:p>
          <w:p w14:paraId="1AD9678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平台应提供可视化的微调框架，提供简洁统一的接口，支持主流大模型（如 LLaMA、Qwen、ChatGLM 等）的全参数微调、LoRA（低秩适配）等高效微调技术，能够基于真实数据集，快速完成模型的领域适配与能力定制：</w:t>
            </w:r>
          </w:p>
          <w:p w14:paraId="20CCA7A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应提供统一的多模型支持架构，支持多种主流大语言模型架构，包括 LLaMA/LLaMA2/LLaMA3、Qwen、ChatGLM、Baichuan、InternLM、XVERSE、Bloom、Falcon、Mistral 等，提供一致的配置接口和训练流程，用户无需针对不同模型修改大量代码即可完成迁移与适配。</w:t>
            </w:r>
          </w:p>
          <w:p w14:paraId="6D4119A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支持全参数微调（Full-parameter Fine-tuning），提供完整的全量参数更新能力，能够基于 Hugging Face Transformers 构建标准的监督微调（SFT）流程，支持 Causal Language Modeling 和 Seq2Seq 两种主流训练范式，并集成 AdamW 优化器、学习率预热（warmup）、余弦衰减调度等关键技术，确保训练过程稳定收敛。同时支持梯度累积、混合精度训练（AMP/BF16）、检查点保存等工程优化，有效应对大批次训练中的显存瓶颈，保障高精度任务的训练质量。</w:t>
            </w:r>
          </w:p>
          <w:p w14:paraId="249F7F8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应支持多种参数高效微调（Parameter-Efficient Fine-tuning, PEFT）方法的支持，显著降低训练所需的显存和计算资源，主要包括 LoRA（Low-Rank Adaptation）、DoRA（Weight-Decomposed Low-Rank Adaptation）、Adapter、IA³（Infused Adapter by Inhibiting and Amplifying Inner Activations）等。</w:t>
            </w:r>
          </w:p>
          <w:p w14:paraId="666A0A7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应提供图形化 Web 用户界面（Web UI）：提供直观的浏览器端操作界面，可通过点击式操作完成数据集选择、模型配置、超参数设置、训练启动与监控等全流程，无需编写代码即可开展微调任务。</w:t>
            </w:r>
          </w:p>
          <w:p w14:paraId="5DA9DD5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 应提供命令行接口（CLI）与脚本化训练：在提供图形界面的同时，应支持完整的命令行模式，允许高级用户通过配置文件和 shell 脚本进行自动化批量训练，便于集成到 CI/CD 和 MLOps 流水线中。</w:t>
            </w:r>
          </w:p>
          <w:p w14:paraId="5995F62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 应支持多阶段训练与增量学习支持：支持从检查点恢复训练、跨数据集连续微调、模型合并（Model Merging）等功能，便于开展渐进式模型优化和知识累积式学习。框架应支持跨数据集连续微调，即在完成一个任务的训练后，加载其权重作为初始化参数继续训练另一任务，实现知识迁移与累积。此外，还提供模型合并（Model Merging）功能，支持将多个微调后的 LoRA 权重或全模型进行融合（如使用 TIES-Merging、DARE 等算法），生成一个综合多种能力的统一模型，提升模型的泛化能力与实用性。</w:t>
            </w:r>
          </w:p>
          <w:p w14:paraId="4F61A04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 应兼容多样化数据集格式：支持多种标准数据格式输入，如 JSON、JSONL、Hugging Face Dataset、Alpaca 格式、ShareGPT 格式等。</w:t>
            </w:r>
          </w:p>
          <w:p w14:paraId="7A829CF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 监督微调（SFT）与基于人类反馈的强化学习（RLHF）全流程支持：不仅支持标准的监督微调，还应集成 DPO、KTO 等无需奖励模型的偏好对齐算法，以及完整的 PPO 强化学习流程，实现从原始模型到对齐模型的端到端训练能力。</w:t>
            </w:r>
          </w:p>
          <w:p w14:paraId="7FF1A91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(9) 分布式训练与硬件加速优化：应支持数据并行、ZeRO-2/ZeRO-3、张量并行等多种分布式训练策略，可在单卡显卡或 NPU 到多节点高性能集群上高效运行。</w:t>
            </w:r>
          </w:p>
          <w:p w14:paraId="1185020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(10) 训练过程可视化与监控：应能实时展示损失曲线、学习率变化、梯度范数、显卡或 NPU 利用率等关键指标，便于调试和性能分析。</w:t>
            </w:r>
          </w:p>
          <w:p w14:paraId="3B10F49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(11) 自动评估与基准测试：应内置对主流评测集的支持，可在训练前后自动执行模型能力评估，生成结构化报告，客观衡量微调效果。</w:t>
            </w:r>
          </w:p>
          <w:p w14:paraId="2A796F5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(12) 模型导出与部署准备：应支持将微调后的模型导出为标准格式，并提供与推理引擎的无缝对接方案。</w:t>
            </w:r>
          </w:p>
          <w:p w14:paraId="1211E42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(二) 智能分析平台</w:t>
            </w:r>
          </w:p>
          <w:p w14:paraId="65740B3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智能分析平台应包括数据采集层、智能分析核心层和应用服务层，实现从数据采集到信息呈现的全链条智能化处理。各层级采用松耦合设计，支持独立部署与横向扩展，通过标准化接口实现数据流转与功能协同。</w:t>
            </w:r>
          </w:p>
          <w:p w14:paraId="5175815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A. 数据采集层</w:t>
            </w:r>
          </w:p>
          <w:p w14:paraId="4C2BC8B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支持</w:t>
            </w:r>
            <w:r>
              <w:rPr>
                <w:rFonts w:hint="eastAsia" w:ascii="宋体" w:hAnsi="宋体" w:eastAsia="宋体" w:cs="宋体"/>
                <w:szCs w:val="21"/>
                <w:highlight w:val="none"/>
              </w:rPr>
              <w:t>数据的采集、预处理以及清洗工作。该层级负责产出经过结构化处理和清洗的纯文本数据片段及其相关元数据，支持多源异构数据融合与标准化存储，为上层分析提供高质量数据输入。</w:t>
            </w:r>
          </w:p>
          <w:p w14:paraId="317563AA">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数据采集。针对海内外政府网站（如中国政府网、国务院部门站、地方政府门户及国际组织官网等）的页面结构进行深度分析，包括识别列表页、详情页与分页机制，建立标准化采集模板。通过配置智能翻页与增量采集策略，系统应可周期性自动运行，精准提取新闻标题、发布时间、发布机构、正文内容等核心字段，并支持云环境执行以规避 IP 封锁风险。采集结果按预定周期导出为结构化文件（CSV/JSON），推送至指定共享存储路径，确保数据稳定输出，全过程无需人工干预，保障数据的持续性与完整性。同时支持动态网页渲染内容采集与 JavaScript 异步加载数据捕获，适配复杂页面结构。</w:t>
            </w:r>
          </w:p>
          <w:p w14:paraId="1CD4BBE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数据清洗。清洗过程中，应完成格式标准化和文本清洗工作，包括去除 HTML 标签、特殊符号、乱码以及无关信息，进行冗余空格与噪声文本清理，并对标题与正文进行长度规范化处理并统一编码格式与时间表述规范。组合构建唯一性标识，自动去重，避免重复数据输出。同时，对字段缺失、编码异常等采集问题生成基础日志记录，便于追溯与审计。</w:t>
            </w:r>
          </w:p>
          <w:p w14:paraId="01BE2F6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支持自定义清洗规则配置，可按业务需求添加关键词过滤、敏感信息脱敏及特殊格式转换规则。</w:t>
            </w:r>
          </w:p>
          <w:p w14:paraId="4514B41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政府公文</w:t>
            </w:r>
            <w:r>
              <w:rPr>
                <w:rFonts w:hint="eastAsia" w:ascii="宋体" w:hAnsi="宋体" w:eastAsia="宋体" w:cs="宋体"/>
                <w:szCs w:val="21"/>
                <w:highlight w:val="none"/>
                <w:lang w:val="en-US" w:eastAsia="zh-CN"/>
              </w:rPr>
              <w:t>附件</w:t>
            </w:r>
            <w:r>
              <w:rPr>
                <w:rFonts w:hint="eastAsia" w:ascii="宋体" w:hAnsi="宋体" w:eastAsia="宋体" w:cs="宋体"/>
                <w:szCs w:val="21"/>
                <w:highlight w:val="none"/>
              </w:rPr>
              <w:t>深度结构化解析：系统须内置针对政务场景的智能解析引擎，除支持网页正文提取外，还须支持对页面附件（PDF/Word/图片）进行深度解析。具备OCR自动识别与版面分析能力，能自动提取公文中的“发文机关”、“成文日期”、“发文字号”等元数据并建立结构化索引。支持将附件内容与正文逻辑关联，防止信息孤岛。</w:t>
            </w:r>
          </w:p>
          <w:p w14:paraId="756E8E9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B. 智能分析核心层</w:t>
            </w:r>
          </w:p>
          <w:p w14:paraId="207F9D9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应包括知识的提取、知识图谱的构建以及多模态大模型的分析能力。该层级应提供一个高效可检索的知识图谱，以及具备核心推理能力的模型服务，支持复杂任务拆解与多智能体协同执行。</w:t>
            </w:r>
          </w:p>
          <w:p w14:paraId="7E389D0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知识图谱与模型服务。提供高效可检索的知识图谱，及具备核心推理能力的模型服务。</w:t>
            </w:r>
          </w:p>
          <w:p w14:paraId="6EA0349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支持自然语言指令交互。系统应提供直观的 Web 前端交互界面，支持以自然语言形式输入任务指令，系统应基于语义理解技术自动解析用户意图，将其转化为可执行的任务流程，降低使用门槛，提升操作效率。该功能应基于标准对话引擎实现，不依赖特定大模型 API 调用，所有解析逻辑在本地完成，确保响应稳定、数据不出域。支持多轮对话上下文记忆与意图修正，可处理模糊查询与复杂条件组合指令。</w:t>
            </w:r>
          </w:p>
          <w:p w14:paraId="6D900CF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异构智能体混合调度架构：系统须支持 Plan &amp; Executor（规划与执行）双引擎智能体架构。在报告生成任务流中，支持异构模型混合调度：针对“任务拆解规划”等高复杂节点自动调用千亿级参数模型（如 Llama-70B/DeepSeek-R1），针对“高频信息抽取”节点自动路由至百亿级轻量模型（7B/8B），以平衡推理精度与系统响应速度。</w:t>
            </w:r>
          </w:p>
          <w:p w14:paraId="1E0228F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基于 GraphRAG 的溯源校验：平台须具备 GraphRAG（基于知识图谱的检索增强生成）能力。在生成报告时，系统需能自动抽取文本实体构建临时子图，进行多跳推理，而非仅依赖向量相似度检索。生成的报告内容须标注引用来源的知识图谱路径，支持追溯原始文档片段。</w:t>
            </w:r>
          </w:p>
          <w:p w14:paraId="7FD2BC1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 智能体协作模式。应支持多种智能体协作模式。包括但不限于 React 和 Plan &amp; Executor 两种主流智能体工作模式，可根据任务特性自动匹配最优模式，两种模式可灵活切换或组合使用，提升系统对复杂任务的适应能力，确保高成功率与执行效率，且无需手动配置模式选择，由系统智能决策。支持任务优先级动态调整与资源弹性分配，实现多任务并行处理与结果协同整合。</w:t>
            </w:r>
          </w:p>
          <w:p w14:paraId="6B8F5DA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 本地知识图谱构建与搜索。系统应支持本地知识图谱的构建与搜索。平台需要集成从非结构化文本中自动抽取实体、关系及属性的能力，并基于图数据库构建可检索、可推理的领域知识图谱。并能够支持可视化展示，显著提升政策分析的准确性、逻辑性与可解释性。所有图谱构建、存储与查询过程均在本地私有环境中完成，确保敏感数据不出域。支持实体消歧、关系推理与知识补全功能，可通过规则引擎定义领域特定推理逻辑。</w:t>
            </w:r>
          </w:p>
          <w:p w14:paraId="63DA867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 图像内容智能解析。系统应支持图像内容智能解析。系统需要支持对采集回来的图像数据进行存储、搜索和智能解析，能够理解图片的内容，包括图片中出现的文字，应支持提取图像中的关键信息，并将信息整合到智能体的分析过程中。支持多模态数据融合分析，可将图像解析结果与文本数据关联，实现跨模态知识推理与联合检索。</w:t>
            </w:r>
          </w:p>
          <w:p w14:paraId="31F936C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 高并发执行引擎。平台应支持多个子智能体并行调度与依赖管理，最大化利用计算资源。并发执行的同时，平台应保障各模块间状态同步与信息一致性，避免因数据断层导致执行失败。应具备高并发处理能力，可同时响应多个请求或并行执行多个子任务，显著缩短端到端处理时间。采用分布式任务调度框架，支持任务断点续跑与失败重试机制。</w:t>
            </w:r>
          </w:p>
          <w:p w14:paraId="0C9E33D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C. 应用服务层与用户端功能</w:t>
            </w:r>
          </w:p>
          <w:p w14:paraId="6203AB0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主要用于提供针对使用场景的应用适配上下文和具体功能，包括多维度权限管控、个性化服务配置与开放生态集成能力。</w:t>
            </w:r>
          </w:p>
          <w:p w14:paraId="2201598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 全链路流式输出。应支持全链路流式输出。系统应支持从接收到指令开始的全链路流式输出，应前端实时展示智能体的思考过程、工具调用、数据获取、分析逻辑及内容生成进展，实现“所见即所得”的交互体验。输出内容应按阶段逐步呈现，无需等待整体完成即可预览部分结果。支持输出过程暂停/继续控制与中间结果导出功能。</w:t>
            </w:r>
          </w:p>
          <w:p w14:paraId="2EA40FBF">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全链路所见即所得交互</w:t>
            </w:r>
            <w:r>
              <w:rPr>
                <w:rFonts w:hint="eastAsia" w:ascii="宋体" w:hAnsi="宋体" w:eastAsia="宋体" w:cs="宋体"/>
                <w:szCs w:val="21"/>
                <w:highlight w:val="none"/>
                <w:lang w:eastAsia="zh-CN"/>
              </w:rPr>
              <w:t>。</w:t>
            </w:r>
            <w:r>
              <w:rPr>
                <w:rFonts w:hint="eastAsia" w:ascii="宋体" w:hAnsi="宋体" w:eastAsia="宋体" w:cs="宋体"/>
                <w:szCs w:val="21"/>
                <w:highlight w:val="none"/>
              </w:rPr>
              <w:t>提供 Markdown 与 Office 格式的双向实时渲染引擎：用户在预览区修改报告文字或图表时，</w:t>
            </w:r>
            <w:r>
              <w:rPr>
                <w:rFonts w:hint="eastAsia" w:ascii="宋体" w:hAnsi="宋体" w:eastAsia="宋体" w:cs="宋体"/>
                <w:szCs w:val="21"/>
                <w:highlight w:val="none"/>
                <w:lang w:val="en-US" w:eastAsia="zh-CN"/>
              </w:rPr>
              <w:t xml:space="preserve">一侧    </w:t>
            </w:r>
            <w:r>
              <w:rPr>
                <w:rFonts w:hint="eastAsia" w:ascii="宋体" w:hAnsi="宋体" w:eastAsia="宋体" w:cs="宋体"/>
                <w:szCs w:val="21"/>
                <w:highlight w:val="none"/>
              </w:rPr>
              <w:t>Markdown 源码需自动同步更新；支持在 AI 生成大纲阶段进行拖拽式调整，AI 根据调整后的大纲重新生成内容。支持“中间态导出”，允许用户在生成过程中暂停并导出草稿。</w:t>
            </w:r>
          </w:p>
          <w:p w14:paraId="68EB81A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 可视化编排沙箱与审计：系统须提供可视化的智能体编排沙箱（Sandbox）环境，支持用户通过节点连线方式自定义报告生成的业务逻辑（如：先搜索-&gt;后总结-&gt;再润色），并支持在沙箱中对每个节点进行独立的 Debug 调试。同时，系统须具备完善的模型思维链（Chain of Thought）审计日志，完整记录报告生成每一步的 Token 消耗、推理耗时及原始 Prompt 输入，支持一键导出审计日志。</w:t>
            </w:r>
          </w:p>
          <w:p w14:paraId="72121FB3">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 私有化部署。应支持私有化部署，保障数据安全与自主可控。所有组件均可在本地服务器或私有云环境中独立部署，确保敏感信息不外泄。部署方案应基于标准容器化技术，兼容国产化服务器、操作系统及数据库，支持单机/集群部署模式切换，提供完善的数据备份、权限管理及操作审计功能，确保自主可控与全流程安全合规。</w:t>
            </w:r>
          </w:p>
          <w:p w14:paraId="092B1BC0">
            <w:pPr>
              <w:spacing w:line="440" w:lineRule="exact"/>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▲D.配套相关数据集要求：所爬取并交付的数据集应包含2018年至今相关网站的全部数据。（提供承诺函，格式自拟）</w:t>
            </w:r>
          </w:p>
          <w:p w14:paraId="4017056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(三) 具体功能模块设计</w:t>
            </w:r>
          </w:p>
          <w:p w14:paraId="7BAB1DED">
            <w:pPr>
              <w:spacing w:line="440" w:lineRule="exact"/>
              <w:jc w:val="left"/>
              <w:rPr>
                <w:rFonts w:hint="eastAsia" w:ascii="宋体" w:hAnsi="宋体" w:eastAsia="宋体" w:cs="宋体"/>
                <w:szCs w:val="21"/>
                <w:highlight w:val="none"/>
                <w:lang w:eastAsia="zh-CN"/>
              </w:rPr>
            </w:pPr>
            <w:r>
              <w:rPr>
                <w:rFonts w:hint="eastAsia" w:ascii="宋体" w:hAnsi="宋体" w:eastAsia="宋体" w:cs="宋体"/>
                <w:szCs w:val="21"/>
                <w:highlight w:val="none"/>
              </w:rPr>
              <w:t>1. 用户端功能</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包括但不限于</w:t>
            </w:r>
            <w:r>
              <w:rPr>
                <w:rFonts w:hint="eastAsia" w:ascii="宋体" w:hAnsi="宋体" w:eastAsia="宋体" w:cs="宋体"/>
                <w:szCs w:val="21"/>
                <w:highlight w:val="none"/>
                <w:lang w:eastAsia="zh-CN"/>
              </w:rPr>
              <w:t>）</w:t>
            </w:r>
          </w:p>
          <w:tbl>
            <w:tblPr>
              <w:tblStyle w:val="12"/>
              <w:tblpPr w:leftFromText="180" w:rightFromText="180" w:vertAnchor="text" w:horzAnchor="page" w:tblpX="115" w:tblpY="452"/>
              <w:tblOverlap w:val="never"/>
              <w:tblW w:w="5617" w:type="dxa"/>
              <w:tblInd w:w="0" w:type="dxa"/>
              <w:tblLayout w:type="autofit"/>
              <w:tblCellMar>
                <w:top w:w="0" w:type="dxa"/>
                <w:left w:w="10" w:type="dxa"/>
                <w:bottom w:w="0" w:type="dxa"/>
                <w:right w:w="10" w:type="dxa"/>
              </w:tblCellMar>
            </w:tblPr>
            <w:tblGrid>
              <w:gridCol w:w="744"/>
              <w:gridCol w:w="1129"/>
              <w:gridCol w:w="1495"/>
              <w:gridCol w:w="2249"/>
            </w:tblGrid>
            <w:tr w14:paraId="4220E211">
              <w:tblPrEx>
                <w:tblCellMar>
                  <w:top w:w="0" w:type="dxa"/>
                  <w:left w:w="10" w:type="dxa"/>
                  <w:bottom w:w="0" w:type="dxa"/>
                  <w:right w:w="10" w:type="dxa"/>
                </w:tblCellMar>
              </w:tblPrEx>
              <w:tc>
                <w:tcPr>
                  <w:tcW w:w="744" w:type="dxa"/>
                  <w:tcBorders>
                    <w:top w:val="single" w:color="000000" w:sz="4" w:space="0"/>
                    <w:left w:val="single" w:color="000000" w:sz="4" w:space="0"/>
                    <w:bottom w:val="single" w:color="000000" w:sz="4" w:space="0"/>
                    <w:right w:val="single" w:color="000000" w:sz="4" w:space="0"/>
                    <w:tl2br w:val="nil"/>
                  </w:tcBorders>
                  <w:noWrap w:val="0"/>
                  <w:tcMar>
                    <w:top w:w="60" w:type="dxa"/>
                    <w:left w:w="120" w:type="dxa"/>
                    <w:bottom w:w="30" w:type="dxa"/>
                    <w:right w:w="120" w:type="dxa"/>
                  </w:tcMar>
                  <w:vAlign w:val="center"/>
                </w:tcPr>
                <w:p w14:paraId="3B48CD6A">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序号</w:t>
                  </w:r>
                </w:p>
              </w:tc>
              <w:tc>
                <w:tcPr>
                  <w:tcW w:w="1129" w:type="dxa"/>
                  <w:tcBorders>
                    <w:top w:val="single" w:color="000000" w:sz="4" w:space="0"/>
                    <w:left w:val="single" w:color="000000" w:sz="4" w:space="0"/>
                    <w:bottom w:val="single" w:color="000000" w:sz="4" w:space="0"/>
                    <w:right w:val="single" w:color="000000" w:sz="4" w:space="0"/>
                    <w:tl2br w:val="nil"/>
                  </w:tcBorders>
                  <w:noWrap w:val="0"/>
                  <w:tcMar>
                    <w:top w:w="60" w:type="dxa"/>
                    <w:left w:w="120" w:type="dxa"/>
                    <w:bottom w:w="30" w:type="dxa"/>
                    <w:right w:w="120" w:type="dxa"/>
                  </w:tcMar>
                  <w:vAlign w:val="center"/>
                </w:tcPr>
                <w:p w14:paraId="7DBC89BA">
                  <w:pPr>
                    <w:spacing w:line="44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模块</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C4494F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功能</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3D3369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具体要求</w:t>
                  </w:r>
                </w:p>
              </w:tc>
            </w:tr>
            <w:tr w14:paraId="1A5CB8A3">
              <w:tblPrEx>
                <w:tblCellMar>
                  <w:top w:w="0" w:type="dxa"/>
                  <w:left w:w="10" w:type="dxa"/>
                  <w:bottom w:w="0" w:type="dxa"/>
                  <w:right w:w="10" w:type="dxa"/>
                </w:tblCellMar>
              </w:tblPrEx>
              <w:tc>
                <w:tcPr>
                  <w:tcW w:w="744"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7480DBC0">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3737A20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工作台首</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BA9DDE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数据概览看板</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97FAB8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展示今日爬取量、报告生成数量统计</w:t>
                  </w:r>
                </w:p>
              </w:tc>
            </w:tr>
            <w:tr w14:paraId="0736926A">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C6DD8FB">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CD9262F">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3B3C96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最新报告列表</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F5940F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列表展示最新生成的 Top5 报告快捷入口</w:t>
                  </w:r>
                </w:p>
              </w:tc>
            </w:tr>
            <w:tr w14:paraId="158C1097">
              <w:tblPrEx>
                <w:tblCellMar>
                  <w:top w:w="0" w:type="dxa"/>
                  <w:left w:w="10" w:type="dxa"/>
                  <w:bottom w:w="0" w:type="dxa"/>
                  <w:right w:w="10" w:type="dxa"/>
                </w:tblCellMar>
              </w:tblPrEx>
              <w:tc>
                <w:tcPr>
                  <w:tcW w:w="744"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1404827">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AF8F6D7">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4E0A37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系统状态监控</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5706D2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展示爬虫服务与 AI 服务运行状态指示灯</w:t>
                  </w:r>
                </w:p>
              </w:tc>
            </w:tr>
            <w:tr w14:paraId="0105ACD4">
              <w:tblPrEx>
                <w:tblCellMar>
                  <w:top w:w="0" w:type="dxa"/>
                  <w:left w:w="10" w:type="dxa"/>
                  <w:bottom w:w="0" w:type="dxa"/>
                  <w:right w:w="10" w:type="dxa"/>
                </w:tblCellMar>
              </w:tblPrEx>
              <w:tc>
                <w:tcPr>
                  <w:tcW w:w="744"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74DB021">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5F053A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信源</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E6EEB2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信源列表展示</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7702E8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分页展示已配置的网站(URL、名称、地区)</w:t>
                  </w:r>
                </w:p>
              </w:tc>
            </w:tr>
            <w:tr w14:paraId="0939432F">
              <w:tblPrEx>
                <w:tblCellMar>
                  <w:top w:w="0" w:type="dxa"/>
                  <w:left w:w="10" w:type="dxa"/>
                  <w:bottom w:w="0" w:type="dxa"/>
                  <w:right w:w="10" w:type="dxa"/>
                </w:tblCellMar>
              </w:tblPrEx>
              <w:tc>
                <w:tcPr>
                  <w:tcW w:w="744"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21C856F1">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131B868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管理</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67CFCB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新增信源表单</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02B60D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填写网站名称、URL、所属地区(如欧盟/美国)</w:t>
                  </w:r>
                </w:p>
              </w:tc>
            </w:tr>
            <w:tr w14:paraId="282D004C">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0B9ABC8">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2F4AA52">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BF5BEF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爬取频率配置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A05A1C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设置定时任务时间(如：当地时间凌晨)</w:t>
                  </w:r>
                </w:p>
              </w:tc>
            </w:tr>
            <w:tr w14:paraId="59635572">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4D616E6F">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D6A9ACC">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C5C9D0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爬取规则配置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50422D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配置目标网站的 DOM 解析规则或关键词</w:t>
                  </w:r>
                </w:p>
              </w:tc>
            </w:tr>
            <w:tr w14:paraId="702F95F4">
              <w:tblPrEx>
                <w:tblCellMar>
                  <w:top w:w="0" w:type="dxa"/>
                  <w:left w:w="10" w:type="dxa"/>
                  <w:bottom w:w="0" w:type="dxa"/>
                  <w:right w:w="10" w:type="dxa"/>
                </w:tblCellMar>
              </w:tblPrEx>
              <w:tc>
                <w:tcPr>
                  <w:tcW w:w="744"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419F8CD">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3475B86">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A7CE86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附件深度解析配置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B65B42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配置是否开启 PDF/Word 附件的 OCR 识别与版面分析</w:t>
                  </w:r>
                </w:p>
              </w:tc>
            </w:tr>
            <w:tr w14:paraId="37BAD48B">
              <w:tblPrEx>
                <w:tblCellMar>
                  <w:top w:w="0" w:type="dxa"/>
                  <w:left w:w="10" w:type="dxa"/>
                  <w:bottom w:w="0" w:type="dxa"/>
                  <w:right w:w="10" w:type="dxa"/>
                </w:tblCellMar>
              </w:tblPrEx>
              <w:tc>
                <w:tcPr>
                  <w:tcW w:w="744"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4812DEB4">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0C77A24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报告管理</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D82BDA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报告历史列表</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041DB8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按时间倒序展示已生成报告，支持筛选</w:t>
                  </w:r>
                </w:p>
              </w:tc>
            </w:tr>
            <w:tr w14:paraId="483CB8C6">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82B6ECA">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CD32AB6">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A77006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报告生成触发器</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5B4744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手动点击按钮触发单次临时生成任务</w:t>
                  </w:r>
                </w:p>
              </w:tc>
            </w:tr>
            <w:tr w14:paraId="135CB91E">
              <w:tblPrEx>
                <w:tblCellMar>
                  <w:top w:w="0" w:type="dxa"/>
                  <w:left w:w="10" w:type="dxa"/>
                  <w:bottom w:w="0" w:type="dxa"/>
                  <w:right w:w="10" w:type="dxa"/>
                </w:tblCellMar>
              </w:tblPrEx>
              <w:tc>
                <w:tcPr>
                  <w:tcW w:w="744"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B5AEFAA">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49BAB6C">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EE5358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报告预览与交互</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C098EC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支持大纲拖拽调整、Markdown/预览双向同步编辑</w:t>
                  </w:r>
                </w:p>
              </w:tc>
            </w:tr>
            <w:tr w14:paraId="161D673F">
              <w:tblPrEx>
                <w:tblCellMar>
                  <w:top w:w="0" w:type="dxa"/>
                  <w:left w:w="10" w:type="dxa"/>
                  <w:bottom w:w="0" w:type="dxa"/>
                  <w:right w:w="10" w:type="dxa"/>
                </w:tblCellMar>
              </w:tblPrEx>
              <w:tc>
                <w:tcPr>
                  <w:tcW w:w="744"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FF36952">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D74E505">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D93870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报告下载按钮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5DBBC0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点击下载生成的 Word/PDF 格式报告</w:t>
                  </w:r>
                </w:p>
              </w:tc>
            </w:tr>
            <w:tr w14:paraId="0ED77F8D">
              <w:tblPrEx>
                <w:tblCellMar>
                  <w:top w:w="0" w:type="dxa"/>
                  <w:left w:w="10" w:type="dxa"/>
                  <w:bottom w:w="0" w:type="dxa"/>
                  <w:right w:w="10" w:type="dxa"/>
                </w:tblCellMar>
              </w:tblPrEx>
              <w:tc>
                <w:tcPr>
                  <w:tcW w:w="744"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273EC483">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5</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20A1BAC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系统设置</w:t>
                  </w: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A71DCC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大模型参数配置</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B4E6F1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配置 LLM 的 API Key、Temperature 等参数</w:t>
                  </w:r>
                </w:p>
              </w:tc>
            </w:tr>
            <w:tr w14:paraId="600BFBC1">
              <w:tblPrEx>
                <w:tblCellMar>
                  <w:top w:w="0" w:type="dxa"/>
                  <w:left w:w="10" w:type="dxa"/>
                  <w:bottom w:w="0" w:type="dxa"/>
                  <w:right w:w="10" w:type="dxa"/>
                </w:tblCellMar>
              </w:tblPrEx>
              <w:tc>
                <w:tcPr>
                  <w:tcW w:w="744"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2EE6AB6">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42615D9">
                  <w:pPr>
                    <w:spacing w:line="440" w:lineRule="exact"/>
                    <w:jc w:val="center"/>
                    <w:rPr>
                      <w:rFonts w:hint="eastAsia" w:ascii="宋体" w:hAnsi="宋体" w:eastAsia="宋体" w:cs="宋体"/>
                      <w:szCs w:val="21"/>
                      <w:highlight w:val="none"/>
                    </w:rPr>
                  </w:pPr>
                </w:p>
              </w:tc>
              <w:tc>
                <w:tcPr>
                  <w:tcW w:w="1495"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1B61AE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提示词(Prompt)管理</w:t>
                  </w:r>
                </w:p>
              </w:tc>
              <w:tc>
                <w:tcPr>
                  <w:tcW w:w="224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DFE3A8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编辑用于生成报告的 System Prompt 模板</w:t>
                  </w:r>
                </w:p>
              </w:tc>
            </w:tr>
          </w:tbl>
          <w:p w14:paraId="4514705D">
            <w:pPr>
              <w:spacing w:line="440" w:lineRule="exact"/>
              <w:jc w:val="left"/>
              <w:rPr>
                <w:rFonts w:hint="eastAsia" w:ascii="宋体" w:hAnsi="宋体" w:eastAsia="宋体" w:cs="宋体"/>
                <w:szCs w:val="21"/>
                <w:highlight w:val="none"/>
              </w:rPr>
            </w:pPr>
          </w:p>
          <w:p w14:paraId="36C753B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 核心模块与数据处理</w:t>
            </w:r>
          </w:p>
          <w:p w14:paraId="3FCE01D3">
            <w:pPr>
              <w:spacing w:line="440" w:lineRule="exact"/>
              <w:jc w:val="left"/>
              <w:rPr>
                <w:rFonts w:hint="eastAsia" w:ascii="宋体" w:hAnsi="宋体" w:eastAsia="宋体" w:cs="宋体"/>
                <w:szCs w:val="21"/>
                <w:highlight w:val="none"/>
              </w:rPr>
            </w:pPr>
          </w:p>
          <w:tbl>
            <w:tblPr>
              <w:tblStyle w:val="12"/>
              <w:tblW w:w="0" w:type="auto"/>
              <w:tblInd w:w="0" w:type="dxa"/>
              <w:tblLayout w:type="autofit"/>
              <w:tblCellMar>
                <w:top w:w="0" w:type="dxa"/>
                <w:left w:w="10" w:type="dxa"/>
                <w:bottom w:w="0" w:type="dxa"/>
                <w:right w:w="10" w:type="dxa"/>
              </w:tblCellMar>
            </w:tblPr>
            <w:tblGrid>
              <w:gridCol w:w="1129"/>
              <w:gridCol w:w="1129"/>
              <w:gridCol w:w="1129"/>
              <w:gridCol w:w="1617"/>
            </w:tblGrid>
            <w:tr w14:paraId="16A84AAD">
              <w:tblPrEx>
                <w:tblCellMar>
                  <w:top w:w="0" w:type="dxa"/>
                  <w:left w:w="10" w:type="dxa"/>
                  <w:bottom w:w="0" w:type="dxa"/>
                  <w:right w:w="10" w:type="dxa"/>
                </w:tblCellMar>
              </w:tblPrEx>
              <w:tc>
                <w:tcPr>
                  <w:tcW w:w="1129" w:type="dxa"/>
                  <w:tcBorders>
                    <w:top w:val="single" w:color="000000" w:sz="4" w:space="0"/>
                    <w:left w:val="single" w:color="000000" w:sz="4" w:space="0"/>
                    <w:bottom w:val="single" w:color="000000" w:sz="4" w:space="0"/>
                    <w:right w:val="single" w:color="000000" w:sz="4" w:space="0"/>
                    <w:tl2br w:val="nil"/>
                  </w:tcBorders>
                  <w:noWrap w:val="0"/>
                  <w:tcMar>
                    <w:top w:w="60" w:type="dxa"/>
                    <w:left w:w="120" w:type="dxa"/>
                    <w:bottom w:w="30" w:type="dxa"/>
                    <w:right w:w="120" w:type="dxa"/>
                  </w:tcMar>
                  <w:vAlign w:val="center"/>
                </w:tcPr>
                <w:p w14:paraId="3E2AEB63">
                  <w:pPr>
                    <w:spacing w:line="440" w:lineRule="exact"/>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序号</w:t>
                  </w:r>
                </w:p>
              </w:tc>
              <w:tc>
                <w:tcPr>
                  <w:tcW w:w="1129" w:type="dxa"/>
                  <w:tcBorders>
                    <w:top w:val="single" w:color="000000" w:sz="4" w:space="0"/>
                    <w:left w:val="single" w:color="000000" w:sz="4" w:space="0"/>
                    <w:bottom w:val="single" w:color="000000" w:sz="4" w:space="0"/>
                    <w:right w:val="single" w:color="000000" w:sz="4" w:space="0"/>
                    <w:tl2br w:val="nil"/>
                  </w:tcBorders>
                  <w:noWrap w:val="0"/>
                  <w:tcMar>
                    <w:top w:w="60" w:type="dxa"/>
                    <w:left w:w="120" w:type="dxa"/>
                    <w:bottom w:w="30" w:type="dxa"/>
                    <w:right w:w="120" w:type="dxa"/>
                  </w:tcMar>
                  <w:vAlign w:val="center"/>
                </w:tcPr>
                <w:p w14:paraId="44317A7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模块</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367CDA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功能</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580B75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具体要求</w:t>
                  </w:r>
                </w:p>
              </w:tc>
            </w:tr>
            <w:tr w14:paraId="627B6F4B">
              <w:tblPrEx>
                <w:tblCellMar>
                  <w:top w:w="0" w:type="dxa"/>
                  <w:left w:w="10" w:type="dxa"/>
                  <w:bottom w:w="0" w:type="dxa"/>
                  <w:right w:w="10" w:type="dxa"/>
                </w:tblCellMar>
              </w:tblPrEx>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22F8FB05">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02069F7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爬虫引擎</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E843DB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定时任务调度器</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843B7C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根据时区配置触发爬取动作</w:t>
                  </w:r>
                </w:p>
              </w:tc>
            </w:tr>
            <w:tr w14:paraId="64A82099">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D4FE4C7">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799A0A87">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815A2A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分布式采集器</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06EBA8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访问目标 URL(100+站点)获取 HTML 源码</w:t>
                  </w:r>
                </w:p>
              </w:tc>
            </w:tr>
            <w:tr w14:paraId="07A80D90">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76B1595C">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21817D3C">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730EF1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防封控代理中间件</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000C1B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轮询 IP 代理池以规避反爬策略</w:t>
                  </w:r>
                </w:p>
              </w:tc>
            </w:tr>
            <w:tr w14:paraId="6A92A4D6">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3FB242D5">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EA21881">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58AA0E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智能清洗模块</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94276A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去除广告、导航，提取正文与发布时间</w:t>
                  </w:r>
                </w:p>
              </w:tc>
            </w:tr>
            <w:tr w14:paraId="1297950E">
              <w:tblPrEx>
                <w:tblCellMar>
                  <w:top w:w="0" w:type="dxa"/>
                  <w:left w:w="10" w:type="dxa"/>
                  <w:bottom w:w="0" w:type="dxa"/>
                  <w:right w:w="10" w:type="dxa"/>
                </w:tblCellMar>
              </w:tblPrEx>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BB22D78">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D056F92">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34D5E4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非结构化解析器</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BFBA53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对附件文档进行 OCR 识别与元数据提取</w:t>
                  </w:r>
                </w:p>
              </w:tc>
            </w:tr>
            <w:tr w14:paraId="26E3DDA8">
              <w:tblPrEx>
                <w:tblCellMar>
                  <w:top w:w="0" w:type="dxa"/>
                  <w:left w:w="10" w:type="dxa"/>
                  <w:bottom w:w="0" w:type="dxa"/>
                  <w:right w:w="10" w:type="dxa"/>
                </w:tblCellMar>
              </w:tblPrEx>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28044C68">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3CD2D48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数据中台</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7821C0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文本向量化处理</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EF73D8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调用 Embedding 接口将文本转为向量</w:t>
                  </w:r>
                </w:p>
              </w:tc>
            </w:tr>
            <w:tr w14:paraId="202D115E">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02B4176">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0546FE95">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2AB8E6D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向量/图谱数据存取</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214943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存储向量数据以支持语义检索(RAG)，存储图谱实体关系</w:t>
                  </w:r>
                </w:p>
              </w:tc>
            </w:tr>
            <w:tr w14:paraId="12320758">
              <w:tblPrEx>
                <w:tblCellMar>
                  <w:top w:w="0" w:type="dxa"/>
                  <w:left w:w="10" w:type="dxa"/>
                  <w:bottom w:w="0" w:type="dxa"/>
                  <w:right w:w="10" w:type="dxa"/>
                </w:tblCellMar>
              </w:tblPrEx>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CF07C1F">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442E670">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100943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原始数据归档</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94BBD5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将清洗后的文本存入本地数据库做备份</w:t>
                  </w:r>
                </w:p>
              </w:tc>
            </w:tr>
            <w:tr w14:paraId="5A086716">
              <w:tblPrEx>
                <w:tblCellMar>
                  <w:top w:w="0" w:type="dxa"/>
                  <w:left w:w="10" w:type="dxa"/>
                  <w:bottom w:w="0" w:type="dxa"/>
                  <w:right w:w="10" w:type="dxa"/>
                </w:tblCellMar>
              </w:tblPrEx>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6F2B620E">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4CBC293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AI 生成</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6D866C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知识库检索模块</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16403FD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根据报告主题检索相关向量切片</w:t>
                  </w:r>
                </w:p>
              </w:tc>
            </w:tr>
            <w:tr w14:paraId="707A1FB8">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328E08BD">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13BBE669">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58EEE3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上下文组装模块</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820A15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将检索内容与 Prompt 组装为 LLM 输入，含图谱路径</w:t>
                  </w:r>
                </w:p>
              </w:tc>
            </w:tr>
            <w:tr w14:paraId="64035EE8">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6CF0AAF1">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326E1397">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AE9C0C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异构调度器</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D218F1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根据任务复杂度路由至 70B 或 7B 模型</w:t>
                  </w:r>
                </w:p>
              </w:tc>
            </w:tr>
            <w:tr w14:paraId="2B9BECEA">
              <w:tblPrEx>
                <w:tblCellMar>
                  <w:top w:w="0" w:type="dxa"/>
                  <w:left w:w="10" w:type="dxa"/>
                  <w:bottom w:w="0" w:type="dxa"/>
                  <w:right w:w="10" w:type="dxa"/>
                </w:tblCellMar>
              </w:tblPrEx>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F9B10BB">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58AA3471">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EE0479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大模型调用接口</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D89569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对接 GPT/国产大模型获取生成内容</w:t>
                  </w:r>
                </w:p>
              </w:tc>
            </w:tr>
            <w:tr w14:paraId="082FE0C9">
              <w:tblPrEx>
                <w:tblCellMar>
                  <w:top w:w="0" w:type="dxa"/>
                  <w:left w:w="10" w:type="dxa"/>
                  <w:bottom w:w="0" w:type="dxa"/>
                  <w:right w:w="10" w:type="dxa"/>
                </w:tblCellMar>
              </w:tblPrEx>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18D1BB92">
                  <w:pPr>
                    <w:spacing w:line="44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p>
              </w:tc>
              <w:tc>
                <w:tcPr>
                  <w:tcW w:w="1129" w:type="dxa"/>
                  <w:vMerge w:val="restart"/>
                  <w:tcBorders>
                    <w:top w:val="single" w:color="000000" w:sz="4" w:space="0"/>
                    <w:left w:val="single" w:color="000000" w:sz="4" w:space="0"/>
                    <w:right w:val="single" w:color="000000" w:sz="4" w:space="0"/>
                  </w:tcBorders>
                  <w:noWrap w:val="0"/>
                  <w:tcMar>
                    <w:top w:w="60" w:type="dxa"/>
                    <w:left w:w="120" w:type="dxa"/>
                    <w:bottom w:w="30" w:type="dxa"/>
                    <w:right w:w="120" w:type="dxa"/>
                  </w:tcMar>
                  <w:vAlign w:val="center"/>
                </w:tcPr>
                <w:p w14:paraId="250132C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报告工厂</w:t>
                  </w: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6C26384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格式渲染引擎</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C47F0A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将 AI 生成的 Markdown 转为标准 Word/PDF，支持双向渲染</w:t>
                  </w:r>
                </w:p>
              </w:tc>
            </w:tr>
            <w:tr w14:paraId="59C3C7C2">
              <w:tblPrEx>
                <w:tblCellMar>
                  <w:top w:w="0" w:type="dxa"/>
                  <w:left w:w="10" w:type="dxa"/>
                  <w:bottom w:w="0" w:type="dxa"/>
                  <w:right w:w="10" w:type="dxa"/>
                </w:tblCellMar>
              </w:tblPrEx>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7059EE91">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right w:val="single" w:color="000000" w:sz="4" w:space="0"/>
                  </w:tcBorders>
                  <w:noWrap w:val="0"/>
                  <w:tcMar>
                    <w:top w:w="60" w:type="dxa"/>
                    <w:left w:w="120" w:type="dxa"/>
                    <w:bottom w:w="30" w:type="dxa"/>
                    <w:right w:w="120" w:type="dxa"/>
                  </w:tcMar>
                  <w:vAlign w:val="center"/>
                </w:tcPr>
                <w:p w14:paraId="7489E665">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0D86F3C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历史版本管理</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6A98E4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存储报告文件的生成记录与路径</w:t>
                  </w:r>
                </w:p>
              </w:tc>
            </w:tr>
            <w:tr w14:paraId="5522F9C0">
              <w:tblPrEx>
                <w:tblCellMar>
                  <w:top w:w="0" w:type="dxa"/>
                  <w:left w:w="10" w:type="dxa"/>
                  <w:bottom w:w="0" w:type="dxa"/>
                  <w:right w:w="10" w:type="dxa"/>
                </w:tblCellMar>
              </w:tblPrEx>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3B0EB873">
                  <w:pPr>
                    <w:spacing w:line="440" w:lineRule="exact"/>
                    <w:jc w:val="center"/>
                    <w:rPr>
                      <w:rFonts w:hint="eastAsia" w:ascii="宋体" w:hAnsi="宋体" w:eastAsia="宋体" w:cs="宋体"/>
                      <w:szCs w:val="21"/>
                      <w:highlight w:val="none"/>
                    </w:rPr>
                  </w:pPr>
                </w:p>
              </w:tc>
              <w:tc>
                <w:tcPr>
                  <w:tcW w:w="1129" w:type="dxa"/>
                  <w:vMerge w:val="continue"/>
                  <w:tcBorders>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8E71408">
                  <w:pPr>
                    <w:spacing w:line="440" w:lineRule="exact"/>
                    <w:jc w:val="center"/>
                    <w:rPr>
                      <w:rFonts w:hint="eastAsia" w:ascii="宋体" w:hAnsi="宋体" w:eastAsia="宋体" w:cs="宋体"/>
                      <w:szCs w:val="21"/>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7E6D3DC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审计日志模块</w:t>
                  </w:r>
                </w:p>
              </w:tc>
              <w:tc>
                <w:tcPr>
                  <w:tcW w:w="1617" w:type="dxa"/>
                  <w:tcBorders>
                    <w:top w:val="single" w:color="000000" w:sz="4" w:space="0"/>
                    <w:left w:val="single" w:color="000000" w:sz="4" w:space="0"/>
                    <w:bottom w:val="single" w:color="000000" w:sz="4" w:space="0"/>
                    <w:right w:val="single" w:color="000000" w:sz="4" w:space="0"/>
                  </w:tcBorders>
                  <w:noWrap w:val="0"/>
                  <w:tcMar>
                    <w:top w:w="60" w:type="dxa"/>
                    <w:left w:w="120" w:type="dxa"/>
                    <w:bottom w:w="30" w:type="dxa"/>
                    <w:right w:w="120" w:type="dxa"/>
                  </w:tcMar>
                  <w:vAlign w:val="center"/>
                </w:tcPr>
                <w:p w14:paraId="4969A34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记录完整的 Chain of Thought 推理过程与 Token 消耗</w:t>
                  </w:r>
                </w:p>
              </w:tc>
            </w:tr>
          </w:tbl>
          <w:p w14:paraId="16848081">
            <w:pPr>
              <w:spacing w:line="440" w:lineRule="exact"/>
              <w:jc w:val="left"/>
              <w:rPr>
                <w:rFonts w:hint="eastAsia" w:ascii="宋体" w:hAnsi="宋体" w:eastAsia="宋体" w:cs="宋体"/>
                <w:szCs w:val="21"/>
                <w:highlight w:val="none"/>
              </w:rPr>
            </w:pPr>
          </w:p>
        </w:tc>
        <w:tc>
          <w:tcPr>
            <w:tcW w:w="585" w:type="dxa"/>
            <w:tcBorders>
              <w:top w:val="single" w:color="auto" w:sz="4" w:space="0"/>
              <w:left w:val="single" w:color="auto" w:sz="4" w:space="0"/>
              <w:bottom w:val="single" w:color="auto" w:sz="4" w:space="0"/>
              <w:right w:val="single" w:color="auto" w:sz="4" w:space="0"/>
            </w:tcBorders>
            <w:noWrap w:val="0"/>
            <w:vAlign w:val="center"/>
          </w:tcPr>
          <w:p w14:paraId="60C38912">
            <w:pPr>
              <w:spacing w:line="440" w:lineRule="exact"/>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2台</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6BC8444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说明：供应商可依据软件技术方案运行需求、硬件兼容性及性能优化目标，自行调整组合上述硬件配置，但需符合服务器主板芯片组兼容标准，确保项目总体硬件资源（如CPU、内存、存储、GPU或NPU）配置不低于以上最低要求，以保障系统稳定高效运行</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24F9461C">
            <w:pPr>
              <w:spacing w:line="440" w:lineRule="exact"/>
              <w:jc w:val="center"/>
              <w:rPr>
                <w:rFonts w:hint="eastAsia" w:ascii="宋体" w:hAnsi="宋体" w:eastAsia="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5471E9FD">
            <w:pPr>
              <w:spacing w:line="440" w:lineRule="exact"/>
              <w:jc w:val="center"/>
              <w:rPr>
                <w:rFonts w:hint="eastAsia" w:ascii="宋体" w:hAnsi="宋体" w:eastAsia="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101F98A5">
            <w:pPr>
              <w:spacing w:line="440" w:lineRule="exact"/>
              <w:jc w:val="center"/>
              <w:rPr>
                <w:rFonts w:hint="eastAsia" w:ascii="宋体" w:hAnsi="宋体" w:eastAsia="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6FECE6F5">
            <w:pPr>
              <w:spacing w:line="440" w:lineRule="exact"/>
              <w:jc w:val="center"/>
              <w:rPr>
                <w:rFonts w:hint="eastAsia" w:ascii="宋体" w:hAnsi="宋体" w:eastAsia="宋体" w:cs="宋体"/>
                <w:szCs w:val="21"/>
                <w:highlight w:val="none"/>
              </w:rPr>
            </w:pPr>
          </w:p>
        </w:tc>
      </w:tr>
    </w:tbl>
    <w:p w14:paraId="64448BF8">
      <w:pPr>
        <w:pStyle w:val="6"/>
        <w:spacing w:after="0" w:line="560" w:lineRule="exact"/>
        <w:rPr>
          <w:rFonts w:hint="default" w:eastAsia="宋体"/>
          <w:b/>
          <w:bCs/>
          <w:highlight w:val="none"/>
          <w:lang w:val="en-US" w:eastAsia="zh-CN"/>
        </w:rPr>
        <w:sectPr>
          <w:headerReference r:id="rId3" w:type="default"/>
          <w:footerReference r:id="rId4" w:type="default"/>
          <w:pgSz w:w="16838" w:h="11906" w:orient="landscape"/>
          <w:pgMar w:top="1797" w:right="1440" w:bottom="1797" w:left="1440" w:header="851" w:footer="992" w:gutter="0"/>
          <w:cols w:space="720" w:num="1"/>
          <w:docGrid w:linePitch="312" w:charSpace="0"/>
        </w:sectPr>
      </w:pPr>
      <w:r>
        <w:rPr>
          <w:rFonts w:hint="eastAsia" w:ascii="Times New Roman" w:hAnsi="Times New Roman" w:eastAsia="宋体" w:cs="Times New Roman"/>
          <w:b/>
          <w:bCs/>
          <w:highlight w:val="none"/>
        </w:rPr>
        <w:t>注：（</w:t>
      </w:r>
      <w:r>
        <w:rPr>
          <w:rFonts w:hint="eastAsia" w:ascii="Times New Roman" w:hAnsi="Times New Roman" w:eastAsia="宋体" w:cs="Times New Roman"/>
          <w:b/>
          <w:bCs/>
          <w:highlight w:val="none"/>
          <w:lang w:val="en-US" w:eastAsia="zh-CN"/>
        </w:rPr>
        <w:t>1</w:t>
      </w:r>
      <w:r>
        <w:rPr>
          <w:rFonts w:hint="eastAsia" w:ascii="Times New Roman" w:hAnsi="Times New Roman" w:eastAsia="宋体" w:cs="Times New Roman"/>
          <w:b/>
          <w:bCs/>
          <w:highlight w:val="none"/>
        </w:rPr>
        <w:t>）供应商根据所投设备编制</w:t>
      </w:r>
      <w:r>
        <w:rPr>
          <w:rFonts w:hint="eastAsia" w:ascii="Times New Roman" w:hAnsi="Times New Roman" w:eastAsia="宋体" w:cs="Times New Roman"/>
          <w:b/>
          <w:bCs/>
          <w:highlight w:val="none"/>
          <w:lang w:val="en-US" w:eastAsia="zh-CN"/>
        </w:rPr>
        <w:t>供货</w:t>
      </w:r>
      <w:r>
        <w:rPr>
          <w:rFonts w:hint="eastAsia" w:ascii="Times New Roman" w:hAnsi="Times New Roman" w:eastAsia="宋体" w:cs="Times New Roman"/>
          <w:b/>
          <w:bCs/>
          <w:highlight w:val="none"/>
        </w:rPr>
        <w:t>方案、</w:t>
      </w:r>
      <w:r>
        <w:rPr>
          <w:rFonts w:hint="eastAsia" w:ascii="Times New Roman" w:hAnsi="Times New Roman" w:eastAsia="宋体" w:cs="Times New Roman"/>
          <w:b/>
          <w:bCs/>
          <w:highlight w:val="none"/>
          <w:lang w:val="en-US" w:eastAsia="zh-CN"/>
        </w:rPr>
        <w:t>重点、难点及解决方案</w:t>
      </w:r>
      <w:r>
        <w:rPr>
          <w:rFonts w:hint="eastAsia" w:ascii="Times New Roman" w:hAnsi="Times New Roman" w:eastAsia="宋体" w:cs="Times New Roman"/>
          <w:b/>
          <w:bCs/>
          <w:highlight w:val="none"/>
          <w:lang w:eastAsia="zh-CN"/>
        </w:rPr>
        <w:t>、</w:t>
      </w:r>
      <w:r>
        <w:rPr>
          <w:rFonts w:hint="eastAsia" w:ascii="Times New Roman" w:hAnsi="Times New Roman" w:eastAsia="宋体" w:cs="Times New Roman"/>
          <w:b/>
          <w:bCs/>
          <w:highlight w:val="none"/>
        </w:rPr>
        <w:t>培训方案、售后服务等内容。（</w:t>
      </w:r>
      <w:r>
        <w:rPr>
          <w:rFonts w:hint="eastAsia" w:ascii="Times New Roman" w:hAnsi="Times New Roman" w:eastAsia="宋体" w:cs="Times New Roman"/>
          <w:b/>
          <w:bCs/>
          <w:highlight w:val="none"/>
          <w:lang w:val="en-US" w:eastAsia="zh-CN"/>
        </w:rPr>
        <w:t>2</w:t>
      </w:r>
      <w:r>
        <w:rPr>
          <w:rFonts w:hint="eastAsia" w:ascii="Times New Roman" w:hAnsi="Times New Roman" w:eastAsia="宋体" w:cs="Times New Roman"/>
          <w:b/>
          <w:bCs/>
          <w:highlight w:val="none"/>
        </w:rPr>
        <w:t>）本项目产品功能要求中的所有名词（除国家标准、行业标准已规定的之外），仅代表采购人对功能的需求，不代表该功能的名称被指定。（</w:t>
      </w:r>
      <w:r>
        <w:rPr>
          <w:rFonts w:hint="eastAsia" w:ascii="Times New Roman" w:hAnsi="Times New Roman" w:eastAsia="宋体" w:cs="Times New Roman"/>
          <w:b/>
          <w:bCs/>
          <w:highlight w:val="none"/>
          <w:lang w:val="en-US" w:eastAsia="zh-CN"/>
        </w:rPr>
        <w:t>3</w:t>
      </w:r>
      <w:r>
        <w:rPr>
          <w:rFonts w:hint="eastAsia" w:ascii="Times New Roman" w:hAnsi="Times New Roman" w:eastAsia="宋体" w:cs="Times New Roman"/>
          <w:b/>
          <w:bCs/>
          <w:highlight w:val="none"/>
        </w:rPr>
        <w:t>）招标</w:t>
      </w:r>
      <w:r>
        <w:rPr>
          <w:rFonts w:hint="eastAsia" w:ascii="Times New Roman" w:hAnsi="Times New Roman" w:eastAsia="宋体" w:cs="Times New Roman"/>
          <w:b/>
          <w:bCs/>
          <w:highlight w:val="none"/>
          <w:lang w:val="en-US" w:eastAsia="zh-CN"/>
        </w:rPr>
        <w:t>软件</w:t>
      </w:r>
      <w:r>
        <w:rPr>
          <w:rFonts w:hint="eastAsia" w:ascii="Times New Roman" w:hAnsi="Times New Roman" w:eastAsia="宋体" w:cs="Times New Roman"/>
          <w:b/>
          <w:bCs/>
          <w:highlight w:val="none"/>
        </w:rPr>
        <w:t>的各功能模块划分，仅代表系统架构和系统实现的一种合理组合，投标人可提供覆盖本项目技术需求的其他架构软件或模块组合后的产品进行报价，并逐条列明参数响应情况。</w:t>
      </w:r>
      <w:r>
        <w:rPr>
          <w:rFonts w:hint="eastAsia" w:ascii="Times New Roman" w:hAnsi="Times New Roman" w:eastAsia="宋体" w:cs="Times New Roman"/>
          <w:b/>
          <w:bCs/>
          <w:highlight w:val="none"/>
          <w:lang w:eastAsia="zh-CN"/>
        </w:rPr>
        <w:t>（</w:t>
      </w:r>
      <w:r>
        <w:rPr>
          <w:rFonts w:hint="eastAsia" w:ascii="Times New Roman" w:hAnsi="Times New Roman" w:eastAsia="宋体" w:cs="Times New Roman"/>
          <w:b/>
          <w:bCs/>
          <w:highlight w:val="none"/>
          <w:lang w:val="en-US" w:eastAsia="zh-CN"/>
        </w:rPr>
        <w:t>4</w:t>
      </w:r>
      <w:r>
        <w:rPr>
          <w:rFonts w:hint="eastAsia" w:ascii="Times New Roman" w:hAnsi="Times New Roman" w:eastAsia="宋体" w:cs="Times New Roman"/>
          <w:b/>
          <w:bCs/>
          <w:highlight w:val="none"/>
          <w:lang w:eastAsia="zh-CN"/>
        </w:rPr>
        <w:t>）</w:t>
      </w:r>
      <w:r>
        <w:rPr>
          <w:rFonts w:hint="eastAsia" w:ascii="Times New Roman" w:hAnsi="Times New Roman" w:eastAsia="宋体" w:cs="Times New Roman"/>
          <w:b/>
          <w:bCs/>
          <w:highlight w:val="none"/>
        </w:rPr>
        <w:t>招标文件中涉及的所有标准、规范、规定如有更新或未详尽载明，均以最新颁布的标准、规范、规定为准。</w:t>
      </w:r>
    </w:p>
    <w:p w14:paraId="7791D6D8">
      <w:pPr>
        <w:spacing w:line="360" w:lineRule="auto"/>
        <w:jc w:val="center"/>
        <w:rPr>
          <w:rFonts w:hint="eastAsia" w:ascii="Times New Roman" w:hAnsi="Times New Roman" w:eastAsia="宋体" w:cs="Times New Roman"/>
          <w:b/>
          <w:bCs/>
          <w:sz w:val="32"/>
          <w:szCs w:val="40"/>
          <w:highlight w:val="none"/>
        </w:rPr>
      </w:pPr>
      <w:r>
        <w:rPr>
          <w:rFonts w:hint="eastAsia" w:ascii="Times New Roman" w:hAnsi="Times New Roman" w:eastAsia="宋体" w:cs="Times New Roman"/>
          <w:b/>
          <w:bCs/>
          <w:sz w:val="32"/>
          <w:szCs w:val="40"/>
          <w:highlight w:val="none"/>
        </w:rPr>
        <w:t>山东大学仪器设备采购商务条款响应一览表</w:t>
      </w:r>
    </w:p>
    <w:tbl>
      <w:tblPr>
        <w:tblStyle w:val="12"/>
        <w:tblpPr w:leftFromText="180" w:rightFromText="180" w:vertAnchor="text" w:horzAnchor="page" w:tblpX="1577" w:tblpY="646"/>
        <w:tblOverlap w:val="never"/>
        <w:tblW w:w="900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20"/>
        <w:gridCol w:w="1225"/>
        <w:gridCol w:w="4476"/>
        <w:gridCol w:w="2583"/>
      </w:tblGrid>
      <w:tr w14:paraId="11C48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3BC2AA8">
            <w:pPr>
              <w:spacing w:line="440" w:lineRule="exact"/>
              <w:jc w:val="center"/>
              <w:rPr>
                <w:rFonts w:hint="eastAsia" w:ascii="宋体" w:hAnsi="宋体" w:eastAsia="宋体" w:cs="宋体"/>
                <w:b/>
                <w:bCs/>
                <w:szCs w:val="21"/>
                <w:highlight w:val="none"/>
              </w:rPr>
            </w:pPr>
            <w:r>
              <w:rPr>
                <w:rFonts w:hint="eastAsia" w:ascii="宋体" w:hAnsi="宋体" w:eastAsia="宋体" w:cs="宋体"/>
                <w:b/>
                <w:bCs/>
                <w:szCs w:val="21"/>
                <w:highlight w:val="none"/>
              </w:rPr>
              <w:t>项目序号</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6F9AB2F3">
            <w:pPr>
              <w:spacing w:line="440" w:lineRule="exact"/>
              <w:jc w:val="center"/>
              <w:rPr>
                <w:rFonts w:hint="eastAsia" w:ascii="宋体" w:hAnsi="宋体" w:eastAsia="宋体" w:cs="宋体"/>
                <w:b/>
                <w:bCs/>
                <w:szCs w:val="21"/>
                <w:highlight w:val="none"/>
              </w:rPr>
            </w:pPr>
            <w:r>
              <w:rPr>
                <w:rFonts w:hint="eastAsia" w:ascii="宋体" w:hAnsi="宋体" w:eastAsia="宋体" w:cs="宋体"/>
                <w:b/>
                <w:bCs/>
                <w:szCs w:val="21"/>
                <w:highlight w:val="none"/>
              </w:rPr>
              <w:t>项目名称</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70710E13">
            <w:pPr>
              <w:spacing w:line="440" w:lineRule="exact"/>
              <w:jc w:val="center"/>
              <w:rPr>
                <w:rFonts w:hint="eastAsia" w:ascii="宋体" w:hAnsi="宋体" w:eastAsia="宋体" w:cs="宋体"/>
                <w:b/>
                <w:bCs/>
                <w:szCs w:val="21"/>
                <w:highlight w:val="none"/>
              </w:rPr>
            </w:pPr>
            <w:r>
              <w:rPr>
                <w:rFonts w:hint="eastAsia" w:ascii="宋体" w:hAnsi="宋体" w:eastAsia="宋体" w:cs="宋体"/>
                <w:b/>
                <w:bCs/>
                <w:szCs w:val="21"/>
                <w:highlight w:val="none"/>
              </w:rPr>
              <w:t>采购人要求</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2AB87D93">
            <w:pPr>
              <w:spacing w:line="440" w:lineRule="exact"/>
              <w:jc w:val="center"/>
              <w:rPr>
                <w:rFonts w:hint="eastAsia" w:ascii="宋体" w:hAnsi="宋体" w:eastAsia="宋体" w:cs="宋体"/>
                <w:b/>
                <w:bCs/>
                <w:szCs w:val="21"/>
                <w:highlight w:val="none"/>
              </w:rPr>
            </w:pPr>
            <w:r>
              <w:rPr>
                <w:rFonts w:hint="eastAsia" w:ascii="宋体" w:hAnsi="宋体" w:eastAsia="宋体" w:cs="宋体"/>
                <w:b/>
                <w:bCs/>
                <w:szCs w:val="21"/>
                <w:highlight w:val="none"/>
              </w:rPr>
              <w:t>投标人(供应商)响应</w:t>
            </w:r>
          </w:p>
        </w:tc>
      </w:tr>
      <w:tr w14:paraId="69B00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1A543AE">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18C99FE1">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成交价</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2A5A2B1C">
            <w:pPr>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人民币（国产设备）</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150AAF65">
            <w:pPr>
              <w:spacing w:line="440" w:lineRule="exact"/>
              <w:jc w:val="center"/>
              <w:rPr>
                <w:rFonts w:hint="eastAsia" w:ascii="宋体" w:hAnsi="宋体" w:eastAsia="宋体" w:cs="宋体"/>
                <w:szCs w:val="21"/>
                <w:highlight w:val="none"/>
              </w:rPr>
            </w:pPr>
          </w:p>
        </w:tc>
      </w:tr>
      <w:tr w14:paraId="3085D8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39DAFC8">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09AC1B07">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交货时间</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65050153">
            <w:pPr>
              <w:spacing w:line="440" w:lineRule="exact"/>
              <w:rPr>
                <w:rFonts w:hint="eastAsia" w:ascii="宋体" w:hAnsi="宋体" w:eastAsia="宋体" w:cs="宋体"/>
                <w:color w:val="000000"/>
                <w:szCs w:val="21"/>
                <w:highlight w:val="none"/>
                <w:lang w:eastAsia="zh-CN"/>
              </w:rPr>
            </w:pPr>
            <w:r>
              <w:rPr>
                <w:rFonts w:hint="eastAsia" w:ascii="宋体" w:hAnsi="宋体" w:eastAsia="宋体" w:cs="宋体"/>
                <w:szCs w:val="21"/>
                <w:highlight w:val="none"/>
                <w:lang w:eastAsia="zh-CN"/>
              </w:rPr>
              <w:t>合同签订后15个工作日内交货（需要提前确认安装环境）</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53DA3350">
            <w:pPr>
              <w:spacing w:line="440" w:lineRule="exact"/>
              <w:jc w:val="center"/>
              <w:rPr>
                <w:rFonts w:hint="eastAsia" w:ascii="宋体" w:hAnsi="宋体" w:eastAsia="宋体" w:cs="宋体"/>
                <w:szCs w:val="21"/>
                <w:highlight w:val="none"/>
              </w:rPr>
            </w:pPr>
          </w:p>
        </w:tc>
      </w:tr>
      <w:tr w14:paraId="48BA1A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E5D0853">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327A4183">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付款方式</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34B3C73A">
            <w:pPr>
              <w:spacing w:line="440" w:lineRule="exact"/>
              <w:rPr>
                <w:rFonts w:hint="eastAsia" w:ascii="宋体" w:hAnsi="宋体" w:eastAsia="宋体" w:cs="宋体"/>
                <w:color w:val="000000"/>
                <w:szCs w:val="21"/>
                <w:highlight w:val="none"/>
                <w:lang w:eastAsia="zh-CN"/>
              </w:rPr>
            </w:pPr>
            <w:r>
              <w:rPr>
                <w:rFonts w:hint="eastAsia" w:ascii="宋体" w:hAnsi="宋体" w:eastAsia="宋体" w:cs="宋体"/>
                <w:szCs w:val="21"/>
                <w:highlight w:val="none"/>
                <w:lang w:val="en-US" w:eastAsia="zh-CN"/>
              </w:rPr>
              <w:t>货到验收合格后付款</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799B27E2">
            <w:pPr>
              <w:spacing w:line="440" w:lineRule="exact"/>
              <w:jc w:val="center"/>
              <w:rPr>
                <w:rFonts w:hint="eastAsia" w:ascii="宋体" w:hAnsi="宋体" w:eastAsia="宋体" w:cs="宋体"/>
                <w:szCs w:val="21"/>
                <w:highlight w:val="none"/>
              </w:rPr>
            </w:pPr>
          </w:p>
        </w:tc>
      </w:tr>
      <w:tr w14:paraId="41111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F1BA445">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2C198DE6">
            <w:pPr>
              <w:tabs>
                <w:tab w:val="left" w:pos="420"/>
              </w:tabs>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安装验收</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6154986E">
            <w:pPr>
              <w:tabs>
                <w:tab w:val="left" w:pos="40"/>
              </w:tabs>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A．设备验收由专家组和中标人联合在山东大学进行，验收条件按照合同规定执行。验收合格后填写山东大学大型仪器设备验收报告，该验收报告作为支付中标人货款的依据。</w:t>
            </w:r>
          </w:p>
          <w:p w14:paraId="7FE0AC59">
            <w:pPr>
              <w:tabs>
                <w:tab w:val="left" w:pos="40"/>
              </w:tabs>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B．对安装有特殊要求的设备，中标人应在合同签订后10个工作日内以书面形式向用户提出安装场地环境要求，用户负责如电源、地线、温度和湿度设备、静电和防尘设备等安装场地的准备。</w:t>
            </w:r>
          </w:p>
          <w:p w14:paraId="762BD75B">
            <w:pPr>
              <w:tabs>
                <w:tab w:val="left" w:pos="40"/>
              </w:tabs>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C．中标人应提供各种文档资料和中文电子版说明书以及调试仪器所需要的工具。</w:t>
            </w:r>
          </w:p>
          <w:p w14:paraId="3E1A58DF">
            <w:pPr>
              <w:tabs>
                <w:tab w:val="left" w:pos="40"/>
              </w:tabs>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D．中标人派专门人员将仪器安装并调试好，达到说明书技术指标的要求。</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54800B1D">
            <w:pPr>
              <w:spacing w:line="440" w:lineRule="exact"/>
              <w:rPr>
                <w:rFonts w:hint="eastAsia" w:ascii="宋体" w:hAnsi="宋体" w:eastAsia="宋体" w:cs="宋体"/>
                <w:szCs w:val="21"/>
                <w:highlight w:val="none"/>
              </w:rPr>
            </w:pPr>
          </w:p>
        </w:tc>
      </w:tr>
      <w:tr w14:paraId="740DB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EB28176">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5551A5BA">
            <w:pPr>
              <w:tabs>
                <w:tab w:val="left" w:pos="420"/>
              </w:tabs>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培训</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0FF1BD4D">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A．中标人应对用户人员进行技术培训。使其能掌握有关设备的使用、维护和管理等工作要求。</w:t>
            </w:r>
          </w:p>
          <w:p w14:paraId="7F66A075">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B．及时提供相关领域新技术与新信息，终身免费提供相关实验室技术咨询（该项费用包含在报价中）。</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60F94DDD">
            <w:pPr>
              <w:spacing w:line="440" w:lineRule="exact"/>
              <w:rPr>
                <w:rFonts w:hint="eastAsia" w:ascii="宋体" w:hAnsi="宋体" w:eastAsia="宋体" w:cs="宋体"/>
                <w:szCs w:val="21"/>
                <w:highlight w:val="none"/>
              </w:rPr>
            </w:pPr>
          </w:p>
        </w:tc>
      </w:tr>
      <w:tr w14:paraId="24F060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9CFC91B">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52AB8CAA">
            <w:pPr>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质保</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0FC8D3E7">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A．质保期：3年。</w:t>
            </w:r>
          </w:p>
          <w:p w14:paraId="475BA324">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B．中标人应在验收合格之日起至保修期满前一个月内，进行一次现场全面检查</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该费用包含在报价中</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，并写出正式报告。如发现问题应负责解决。</w:t>
            </w:r>
          </w:p>
          <w:p w14:paraId="5F9EFF4E">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C．中标人需提供负责售后服务的部门或单位的名称和联系方式。维修响应一般情况下4～8小时，终身维修。一般问题应在1周内解决，重大问题或其他无法迅速解决的问题应在1月内解决或提出明确解决方案，否则中标人应赔偿相应损失。</w:t>
            </w:r>
          </w:p>
          <w:p w14:paraId="46678339">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D．中标人应定期回访用户。</w:t>
            </w:r>
          </w:p>
          <w:p w14:paraId="5DDBC175">
            <w:pPr>
              <w:spacing w:line="440" w:lineRule="exact"/>
              <w:rPr>
                <w:rFonts w:hint="eastAsia" w:ascii="宋体" w:hAnsi="宋体" w:eastAsia="宋体" w:cs="宋体"/>
                <w:color w:val="FF0000"/>
                <w:szCs w:val="21"/>
                <w:highlight w:val="none"/>
              </w:rPr>
            </w:pPr>
            <w:r>
              <w:rPr>
                <w:rFonts w:hint="eastAsia" w:ascii="宋体" w:hAnsi="宋体" w:eastAsia="宋体" w:cs="宋体"/>
                <w:color w:val="000000"/>
                <w:szCs w:val="21"/>
                <w:highlight w:val="none"/>
              </w:rPr>
              <w:t>E．投标人必须列明保修期后的各项收费标准，需购买的附件和零配件的价格应按主机合同的折扣率给予优惠。</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4385748F">
            <w:pPr>
              <w:spacing w:line="440" w:lineRule="exact"/>
              <w:rPr>
                <w:rFonts w:hint="eastAsia" w:ascii="宋体" w:hAnsi="宋体" w:eastAsia="宋体" w:cs="宋体"/>
                <w:szCs w:val="21"/>
                <w:highlight w:val="none"/>
              </w:rPr>
            </w:pPr>
          </w:p>
        </w:tc>
      </w:tr>
    </w:tbl>
    <w:p w14:paraId="38C6A51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50C62">
    <w:pPr>
      <w:pStyle w:val="8"/>
      <w:framePr w:wrap="around" w:vAnchor="text" w:hAnchor="margin" w:xAlign="center" w:y="1"/>
      <w:rPr>
        <w:rStyle w:val="14"/>
        <w:rFonts w:ascii="Times New Roman" w:hAnsi="Times New Roman" w:eastAsia="宋体" w:cs="Times New Roman"/>
      </w:rPr>
    </w:pPr>
    <w:r>
      <w:rPr>
        <w:rFonts w:ascii="Times New Roman" w:hAnsi="Times New Roman" w:eastAsia="宋体" w:cs="Times New Roman"/>
      </w:rPr>
      <w:fldChar w:fldCharType="begin"/>
    </w:r>
    <w:r>
      <w:rPr>
        <w:rStyle w:val="14"/>
        <w:rFonts w:ascii="Times New Roman" w:hAnsi="Times New Roman" w:eastAsia="宋体"/>
        <w:kern w:val="2"/>
        <w:sz w:val="21"/>
        <w:szCs w:val="24"/>
      </w:rPr>
      <w:instrText xml:space="preserve">PAGE  </w:instrText>
    </w:r>
    <w:r>
      <w:rPr>
        <w:rFonts w:ascii="Times New Roman" w:hAnsi="Times New Roman" w:eastAsia="宋体" w:cs="Times New Roman"/>
      </w:rPr>
      <w:fldChar w:fldCharType="separate"/>
    </w:r>
    <w:r>
      <w:rPr>
        <w:rStyle w:val="14"/>
        <w:rFonts w:ascii="Times New Roman" w:hAnsi="Times New Roman" w:eastAsia="宋体"/>
        <w:kern w:val="2"/>
        <w:sz w:val="21"/>
        <w:szCs w:val="24"/>
      </w:rPr>
      <w:t>44</w:t>
    </w:r>
    <w:r>
      <w:rPr>
        <w:rFonts w:ascii="Times New Roman" w:hAnsi="Times New Roman" w:eastAsia="宋体" w:cs="Times New Roman"/>
      </w:rPr>
      <w:fldChar w:fldCharType="end"/>
    </w:r>
  </w:p>
  <w:p w14:paraId="373A1280">
    <w:pPr>
      <w:spacing w:line="200" w:lineRule="exact"/>
      <w:rPr>
        <w:rFonts w:ascii="Times New Roman" w:hAnsi="Times New Roman" w:eastAsia="宋体" w:cs="Times New Roman"/>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7A3BD">
    <w:pPr>
      <w:ind w:left="-8" w:right="-1" w:firstLine="8"/>
      <w:jc w:val="left"/>
      <w:rPr>
        <w:rFonts w:ascii="仿宋" w:hAnsi="仿宋" w:eastAsia="仿宋" w:cs="Times New Roman"/>
        <w:b/>
        <w:szCs w:val="21"/>
      </w:rPr>
    </w:pPr>
    <w:r>
      <w:rPr>
        <w:rFonts w:ascii="Times New Roman" w:hAnsi="Times New Roman" w:eastAsia="宋体" w:cs="Times New Roman"/>
      </w:rPr>
      <w:drawing>
        <wp:inline distT="0" distB="0" distL="114300" distR="114300">
          <wp:extent cx="137795" cy="103505"/>
          <wp:effectExtent l="0" t="0" r="190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137795" cy="103505"/>
                  </a:xfrm>
                  <a:prstGeom prst="rect">
                    <a:avLst/>
                  </a:prstGeom>
                  <a:noFill/>
                  <a:ln>
                    <a:noFill/>
                  </a:ln>
                </pic:spPr>
              </pic:pic>
            </a:graphicData>
          </a:graphic>
        </wp:inline>
      </w:drawing>
    </w:r>
    <w:r>
      <w:rPr>
        <w:rFonts w:hint="eastAsia" w:ascii="Times New Roman" w:hAnsi="Times New Roman" w:eastAsia="宋体" w:cs="Times New Roman"/>
      </w:rPr>
      <w:t xml:space="preserve">鲁成招标                                                                 </w:t>
    </w:r>
    <w:r>
      <w:rPr>
        <w:rFonts w:hint="eastAsia" w:ascii="Times New Roman" w:hAnsi="Times New Roman" w:eastAsia="宋体" w:cs="Times New Roman"/>
        <w:lang w:val="en-US" w:eastAsia="zh-CN"/>
      </w:rPr>
      <w:t xml:space="preserve"> </w:t>
    </w:r>
    <w:r>
      <w:rPr>
        <w:rFonts w:hint="eastAsia" w:ascii="宋体" w:hAnsi="宋体" w:eastAsia="宋体" w:cs="宋体"/>
        <w:kern w:val="0"/>
        <w:szCs w:val="21"/>
      </w:rPr>
      <w:t>山东大学</w:t>
    </w:r>
    <w:r>
      <w:rPr>
        <w:rFonts w:hint="eastAsia" w:ascii="宋体" w:hAnsi="宋体" w:eastAsia="宋体" w:cs="宋体"/>
        <w:kern w:val="0"/>
        <w:szCs w:val="21"/>
        <w:lang w:eastAsia="zh-CN"/>
      </w:rPr>
      <w:t>大型GPU深度学习服务器采购</w:t>
    </w:r>
    <w:r>
      <w:rPr>
        <w:rFonts w:hint="eastAsia" w:ascii="宋体" w:hAnsi="宋体" w:eastAsia="宋体" w:cs="宋体"/>
        <w:kern w:val="0"/>
        <w:szCs w:val="21"/>
      </w:rPr>
      <w:t>电子招标文件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3E4CAC"/>
    <w:rsid w:val="00631353"/>
    <w:rsid w:val="01E272A3"/>
    <w:rsid w:val="02FB75A0"/>
    <w:rsid w:val="0646713D"/>
    <w:rsid w:val="0B3E4CAC"/>
    <w:rsid w:val="0B536F5B"/>
    <w:rsid w:val="0C827F53"/>
    <w:rsid w:val="0E812604"/>
    <w:rsid w:val="1038759B"/>
    <w:rsid w:val="12560F32"/>
    <w:rsid w:val="143A23E4"/>
    <w:rsid w:val="16453930"/>
    <w:rsid w:val="1D3C196C"/>
    <w:rsid w:val="20F563FE"/>
    <w:rsid w:val="25071F18"/>
    <w:rsid w:val="26342943"/>
    <w:rsid w:val="265C1CFC"/>
    <w:rsid w:val="2C5C51D5"/>
    <w:rsid w:val="328C11EE"/>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DF6447"/>
    <w:rsid w:val="679B086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7"/>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6"/>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8"/>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3">
    <w:name w:val="Default Paragraph Font"/>
    <w:autoRedefine/>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Body Text"/>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styleId="7">
    <w:name w:val="toc 3"/>
    <w:basedOn w:val="1"/>
    <w:next w:val="1"/>
    <w:uiPriority w:val="0"/>
    <w:pPr>
      <w:tabs>
        <w:tab w:val="right" w:leader="dot" w:pos="9359"/>
      </w:tabs>
      <w:spacing w:line="276" w:lineRule="auto"/>
      <w:ind w:left="420"/>
      <w:jc w:val="left"/>
    </w:pPr>
    <w:rPr>
      <w:rFonts w:ascii="Calibri" w:hAnsi="Calibri" w:eastAsia="宋体"/>
      <w:iCs/>
      <w:sz w:val="24"/>
      <w:szCs w:val="20"/>
    </w:rPr>
  </w:style>
  <w:style w:type="paragraph" w:styleId="8">
    <w:name w:val="footer"/>
    <w:unhideWhenUsed/>
    <w:qFormat/>
    <w:uiPriority w:val="0"/>
    <w:pPr>
      <w:widowControl w:val="0"/>
      <w:tabs>
        <w:tab w:val="center" w:pos="4153"/>
        <w:tab w:val="right" w:pos="8306"/>
      </w:tabs>
      <w:snapToGrid w:val="0"/>
      <w:jc w:val="left"/>
    </w:pPr>
    <w:rPr>
      <w:rFonts w:ascii="Times New Roman" w:hAnsi="Times New Roman" w:eastAsia="宋体" w:cs="Times New Roman"/>
      <w:kern w:val="0"/>
      <w:sz w:val="18"/>
      <w:szCs w:val="18"/>
      <w:lang w:val="en-US" w:eastAsia="zh-CN" w:bidi="ar-SA"/>
    </w:rPr>
  </w:style>
  <w:style w:type="paragraph" w:styleId="9">
    <w:name w:val="toc 1"/>
    <w:basedOn w:val="10"/>
    <w:next w:val="1"/>
    <w:uiPriority w:val="0"/>
    <w:pPr>
      <w:tabs>
        <w:tab w:val="right" w:leader="dot" w:pos="9359"/>
      </w:tabs>
    </w:pPr>
    <w:rPr>
      <w:rFonts w:ascii="Calibri" w:hAnsi="Calibri" w:eastAsia="宋体"/>
      <w:sz w:val="30"/>
      <w:szCs w:val="20"/>
    </w:rPr>
  </w:style>
  <w:style w:type="paragraph" w:styleId="10">
    <w:name w:val="toc 2"/>
    <w:basedOn w:val="7"/>
    <w:next w:val="1"/>
    <w:uiPriority w:val="0"/>
    <w:rPr>
      <w:rFonts w:ascii="Calibri" w:hAnsi="Calibri" w:eastAsia="宋体"/>
      <w:sz w:val="28"/>
      <w:szCs w:val="20"/>
    </w:rPr>
  </w:style>
  <w:style w:type="paragraph" w:styleId="11">
    <w:name w:val="toc 4"/>
    <w:basedOn w:val="7"/>
    <w:next w:val="1"/>
    <w:qFormat/>
    <w:uiPriority w:val="0"/>
    <w:rPr>
      <w:sz w:val="21"/>
    </w:rPr>
  </w:style>
  <w:style w:type="character" w:styleId="14">
    <w:name w:val="page number"/>
    <w:qFormat/>
    <w:uiPriority w:val="99"/>
    <w:rPr>
      <w:rFonts w:cs="Times New Roman"/>
    </w:rPr>
  </w:style>
  <w:style w:type="character" w:customStyle="1" w:styleId="15">
    <w:name w:val="标题 1 Char"/>
    <w:link w:val="2"/>
    <w:qFormat/>
    <w:uiPriority w:val="0"/>
    <w:rPr>
      <w:rFonts w:ascii="Times New Roman" w:hAnsi="Times New Roman" w:eastAsia="宋体" w:cs="Times New Roman"/>
      <w:b/>
      <w:bCs/>
      <w:kern w:val="44"/>
      <w:sz w:val="44"/>
      <w:szCs w:val="44"/>
    </w:rPr>
  </w:style>
  <w:style w:type="character" w:customStyle="1" w:styleId="16">
    <w:name w:val="标题 3 Char"/>
    <w:link w:val="4"/>
    <w:qFormat/>
    <w:uiPriority w:val="0"/>
    <w:rPr>
      <w:rFonts w:ascii="Times New Roman" w:hAnsi="Times New Roman" w:eastAsia="宋体" w:cs="Times New Roman"/>
      <w:b/>
      <w:bCs/>
      <w:sz w:val="24"/>
      <w:szCs w:val="32"/>
    </w:rPr>
  </w:style>
  <w:style w:type="character" w:customStyle="1" w:styleId="17">
    <w:name w:val="标题 2 Char"/>
    <w:link w:val="3"/>
    <w:qFormat/>
    <w:uiPriority w:val="0"/>
    <w:rPr>
      <w:rFonts w:ascii="Cambria" w:hAnsi="Cambria" w:eastAsia="宋体" w:cs="Times New Roman"/>
      <w:b/>
      <w:bCs/>
      <w:sz w:val="24"/>
      <w:szCs w:val="32"/>
    </w:rPr>
  </w:style>
  <w:style w:type="character" w:customStyle="1" w:styleId="18">
    <w:name w:val="标题 5 Char"/>
    <w:link w:val="5"/>
    <w:qFormat/>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2026-10-08T07:16:00Z</dcterms:created>
  <dc:creator>刘</dc:creator>
  <cp:lastModifiedBy>刘</cp:lastModifiedBy>
  <dcterms:modified xsi:type="dcterms:W3CDTF">2026-10-08T07:16:39Z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54C2ED8CBB77491AABD9F5AE0B3C09C6_11</vt:lpwstr>
  </property>
  <property fmtid="{D5CDD505-2E9C-101B-9397-08002B2CF9AE}" pid="4" name="KSOTemplateDocerSaveRecord">
    <vt:lpwstr>eyJoZGlkIjoiOTc3M2Y5NzIzMDFlZjAyY2Q4Njk5ODkyYjFjNzBiNTQiLCJ1c2VySWQiOiI0Mjc3NzIzNjAifQ==</vt:lpwstr>
  </property>
</Properties>
</file>