
<file path=[Content_Types].xml><?xml version="1.0" encoding="utf-8"?>
<Types xmlns="http://schemas.openxmlformats.org/package/2006/content-types">
  <Default Extension="jpeg" ContentType="image/jpeg"/>
  <Default Extension="JPG" ContentType="image/.jp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D505014">
      <w:pPr>
        <w:pStyle w:val="2"/>
        <w:spacing w:before="312" w:beforeLines="100" w:after="312" w:afterLines="100"/>
        <w:rPr>
          <w:rFonts w:hint="eastAsia" w:eastAsia="宋体"/>
          <w:color w:val="FF0000"/>
        </w:rPr>
      </w:pPr>
      <w:bookmarkStart w:id="0" w:name="_Toc237853525"/>
      <w:bookmarkStart w:id="1" w:name="_Toc27846"/>
      <w:bookmarkStart w:id="2" w:name="_Toc21871"/>
      <w:bookmarkStart w:id="3" w:name="_Toc36127795"/>
      <w:r>
        <w:rPr>
          <w:rFonts w:eastAsia="宋体"/>
          <w:color w:val="000000"/>
        </w:rPr>
        <w:t>第三章  技术文件</w:t>
      </w:r>
      <w:bookmarkEnd w:id="0"/>
      <w:bookmarkEnd w:id="1"/>
      <w:bookmarkEnd w:id="2"/>
      <w:bookmarkEnd w:id="3"/>
    </w:p>
    <w:p w14:paraId="35E9AC2F">
      <w:pPr>
        <w:keepNext/>
        <w:keepLines/>
        <w:spacing w:before="260" w:after="260" w:line="416" w:lineRule="auto"/>
        <w:jc w:val="left"/>
        <w:outlineLvl w:val="1"/>
        <w:rPr>
          <w:b/>
          <w:bCs/>
          <w:sz w:val="30"/>
          <w:szCs w:val="32"/>
        </w:rPr>
      </w:pPr>
      <w:bookmarkStart w:id="4" w:name="_Toc24010"/>
      <w:r>
        <w:rPr>
          <w:b/>
          <w:bCs/>
          <w:sz w:val="30"/>
          <w:szCs w:val="32"/>
        </w:rPr>
        <w:t>1、项目说明</w:t>
      </w:r>
    </w:p>
    <w:p w14:paraId="6B5D1ACC">
      <w:pPr>
        <w:spacing w:before="100" w:beforeAutospacing="1" w:after="100" w:afterAutospacing="1"/>
        <w:jc w:val="left"/>
        <w:outlineLvl w:val="2"/>
        <w:rPr>
          <w:b/>
          <w:kern w:val="0"/>
          <w:sz w:val="24"/>
          <w:szCs w:val="27"/>
        </w:rPr>
      </w:pPr>
      <w:r>
        <w:rPr>
          <w:b/>
          <w:kern w:val="0"/>
          <w:sz w:val="24"/>
          <w:szCs w:val="27"/>
        </w:rPr>
        <w:t>1.1 项目简介</w:t>
      </w:r>
    </w:p>
    <w:p w14:paraId="07FA2EDE">
      <w:pPr>
        <w:adjustRightInd w:val="0"/>
        <w:snapToGrid w:val="0"/>
        <w:ind w:firstLine="480" w:firstLineChars="200"/>
        <w:rPr>
          <w:sz w:val="24"/>
        </w:rPr>
      </w:pPr>
      <w:bookmarkStart w:id="5" w:name="OLE_LINK3"/>
      <w:r>
        <w:rPr>
          <w:rFonts w:hint="eastAsia"/>
          <w:sz w:val="24"/>
        </w:rPr>
        <w:t>中国散裂中子源（CSNS）是国家“十二五”期间重点建设的大科学装置，是国际前沿的高科技、多学科应用的大型研究平台，建成后将为基础科学研究和新材料研发提供一个不可替代的重要平台，同时，</w:t>
      </w:r>
      <w:r>
        <w:rPr>
          <w:rFonts w:hint="eastAsia"/>
          <w:color w:val="000000"/>
          <w:sz w:val="24"/>
        </w:rPr>
        <w:t>中子背散</w:t>
      </w:r>
      <w:r>
        <w:rPr>
          <w:rFonts w:hint="eastAsia"/>
          <w:sz w:val="24"/>
        </w:rPr>
        <w:t>射谱仪满足对材料动力学研究的需求，涉及物理、化学、材料、生物医药、软物质、能源、工程、甚至信息科学等多个学科的科学前沿问题，特别适用于生命科学和软物质的研究。</w:t>
      </w:r>
    </w:p>
    <w:p w14:paraId="053DCD06">
      <w:pPr>
        <w:pStyle w:val="8"/>
        <w:ind w:firstLine="480"/>
      </w:pPr>
      <w:r>
        <w:rPr>
          <w:rFonts w:hint="eastAsia"/>
        </w:rPr>
        <w:t>本项目是对C</w:t>
      </w:r>
      <w:r>
        <w:t>SNS-II</w:t>
      </w:r>
      <w:r>
        <w:rPr>
          <w:rFonts w:hint="eastAsia"/>
        </w:rPr>
        <w:t>高能质子束实验终端散射室屏蔽体的公开招标。高能质子束实验终端（HPES）位于中国散裂中子源高能质子实验大厅。该装置可从CSNS加速器主束中引出1.6 GeV质子束，用于先进粒子探测器、芯片辐照测试等应用的性能标定，为用户提供高性能质子束流测试平台。高能质子散射室屏蔽体是HPES终端的核心安全设施。其主要功能是将引出的质子束流完全屏蔽在实验终端内部，确保终端外辐射剂量率低于2.5</w:t>
      </w:r>
      <w:r>
        <w:t>μ</w:t>
      </w:r>
      <w:r>
        <w:rPr>
          <w:rFonts w:hint="eastAsia"/>
        </w:rPr>
        <w:t>Sv/h，从而保障工作人员在终端运行期间的正常生产与生活安全。</w:t>
      </w:r>
      <w:r>
        <w:rPr>
          <w:rFonts w:ascii="Segoe UI" w:hAnsi="Segoe UI" w:cs="Segoe UI"/>
          <w:shd w:val="clear" w:color="auto" w:fill="FFFFFF"/>
        </w:rPr>
        <w:t>高能质子实验大厅</w:t>
      </w:r>
      <w:r>
        <w:rPr>
          <w:rFonts w:hint="eastAsia" w:ascii="Segoe UI" w:hAnsi="Segoe UI" w:cs="Segoe UI"/>
          <w:shd w:val="clear" w:color="auto" w:fill="FFFFFF"/>
        </w:rPr>
        <w:t>基建</w:t>
      </w:r>
      <w:r>
        <w:rPr>
          <w:rFonts w:ascii="Segoe UI" w:hAnsi="Segoe UI" w:cs="Segoe UI"/>
          <w:shd w:val="clear" w:color="auto" w:fill="FFFFFF"/>
        </w:rPr>
        <w:t>现</w:t>
      </w:r>
      <w:r>
        <w:rPr>
          <w:rFonts w:hint="eastAsia" w:ascii="Segoe UI" w:hAnsi="Segoe UI" w:cs="Segoe UI"/>
          <w:shd w:val="clear" w:color="auto" w:fill="FFFFFF"/>
        </w:rPr>
        <w:t>已完工</w:t>
      </w:r>
      <w:r>
        <w:rPr>
          <w:rFonts w:ascii="Segoe UI" w:hAnsi="Segoe UI" w:cs="Segoe UI"/>
          <w:shd w:val="clear" w:color="auto" w:fill="FFFFFF"/>
        </w:rPr>
        <w:t>，现场已全面具备水电及</w:t>
      </w:r>
      <w:r>
        <w:rPr>
          <w:rFonts w:hint="eastAsia" w:ascii="Segoe UI" w:hAnsi="Segoe UI" w:cs="Segoe UI"/>
          <w:shd w:val="clear" w:color="auto" w:fill="FFFFFF"/>
        </w:rPr>
        <w:t>行车</w:t>
      </w:r>
      <w:r>
        <w:rPr>
          <w:rFonts w:ascii="Segoe UI" w:hAnsi="Segoe UI" w:cs="Segoe UI"/>
          <w:shd w:val="clear" w:color="auto" w:fill="FFFFFF"/>
        </w:rPr>
        <w:t>吊装等基础施工条件，满足开展混凝土现浇作业及活动屏蔽块现场预制的施工要求。</w:t>
      </w:r>
    </w:p>
    <w:p w14:paraId="177E7758">
      <w:pPr>
        <w:adjustRightInd w:val="0"/>
        <w:snapToGrid w:val="0"/>
        <w:ind w:firstLine="480" w:firstLineChars="200"/>
        <w:rPr>
          <w:color w:val="FF0000"/>
          <w:sz w:val="24"/>
        </w:rPr>
      </w:pPr>
      <w:r>
        <w:rPr>
          <w:rFonts w:hint="eastAsia"/>
          <w:sz w:val="24"/>
        </w:rPr>
        <w:t>高能质子屏蔽体系统主要包括散射室混凝土屏蔽体、预埋停束铁、工艺预埋件以及其他预埋件等，其中混凝土屏蔽体体积约</w:t>
      </w:r>
      <w:r>
        <w:rPr>
          <w:sz w:val="24"/>
        </w:rPr>
        <w:t>730</w:t>
      </w:r>
      <w:r>
        <w:rPr>
          <w:rFonts w:hint="eastAsia"/>
          <w:sz w:val="24"/>
        </w:rPr>
        <w:t>立方米。预埋停束铁主要包括前停束铁、后停束铁以及停束铁转接管等，重量共约</w:t>
      </w:r>
      <w:r>
        <w:rPr>
          <w:sz w:val="24"/>
        </w:rPr>
        <w:t>20</w:t>
      </w:r>
      <w:r>
        <w:rPr>
          <w:rFonts w:hint="eastAsia"/>
          <w:sz w:val="24"/>
        </w:rPr>
        <w:t>吨。48根工艺预埋件由采购人提供，投标人负责预埋安装，其他预埋件均由投标人提供。另外投标人还需提供包含预埋件、吊装工装、标准件、连接件及现场安装所需要的垫铁和工具等。</w:t>
      </w:r>
    </w:p>
    <w:p w14:paraId="4B087968">
      <w:pPr>
        <w:adjustRightInd w:val="0"/>
        <w:snapToGrid w:val="0"/>
        <w:ind w:firstLine="480" w:firstLineChars="200"/>
        <w:rPr>
          <w:sz w:val="24"/>
        </w:rPr>
      </w:pPr>
      <w:r>
        <w:rPr>
          <w:rFonts w:hint="eastAsia"/>
          <w:sz w:val="24"/>
        </w:rPr>
        <w:t>项目内容为：采购人提供高能质子束实验终端散射室屏蔽体的设计图纸，加工制造、安装技术要求</w:t>
      </w:r>
      <w:r>
        <w:rPr>
          <w:rFonts w:hint="eastAsia"/>
          <w:sz w:val="24"/>
          <w:szCs w:val="32"/>
        </w:rPr>
        <w:t>、以及现场浇筑的场地和</w:t>
      </w:r>
      <w:r>
        <w:rPr>
          <w:bCs/>
          <w:sz w:val="24"/>
        </w:rPr>
        <w:t>48</w:t>
      </w:r>
      <w:r>
        <w:rPr>
          <w:rFonts w:hint="eastAsia"/>
          <w:bCs/>
          <w:sz w:val="24"/>
        </w:rPr>
        <w:t>根工艺预埋件</w:t>
      </w:r>
      <w:r>
        <w:rPr>
          <w:rFonts w:hint="eastAsia"/>
          <w:sz w:val="24"/>
        </w:rPr>
        <w:t>；投标人负责</w:t>
      </w:r>
      <w:r>
        <w:rPr>
          <w:rFonts w:hint="eastAsia"/>
          <w:kern w:val="0"/>
          <w:sz w:val="24"/>
          <w:szCs w:val="23"/>
        </w:rPr>
        <w:t>混凝土、预埋停束铁、除48根工艺预埋件以外的其他预埋件等</w:t>
      </w:r>
      <w:r>
        <w:rPr>
          <w:rFonts w:hint="eastAsia"/>
          <w:sz w:val="24"/>
        </w:rPr>
        <w:t>材料及标准件的采购、屏蔽体系统的工艺设计、制造、工装设计及</w:t>
      </w:r>
      <w:r>
        <w:rPr>
          <w:sz w:val="24"/>
        </w:rPr>
        <w:t>制造</w:t>
      </w:r>
      <w:r>
        <w:rPr>
          <w:rFonts w:hint="eastAsia"/>
          <w:sz w:val="24"/>
        </w:rPr>
        <w:t>（包括加工、测试、安装和运输等所需的工装）、零部件检测、性能测试、出厂验收、包装、运输、在采购人现场施工与安装等。</w:t>
      </w:r>
    </w:p>
    <w:p w14:paraId="7B580631">
      <w:pPr>
        <w:adjustRightInd w:val="0"/>
        <w:snapToGrid w:val="0"/>
        <w:ind w:firstLine="480" w:firstLineChars="200"/>
        <w:rPr>
          <w:sz w:val="24"/>
        </w:rPr>
      </w:pPr>
      <w:r>
        <w:rPr>
          <w:rFonts w:hint="eastAsia"/>
          <w:sz w:val="24"/>
        </w:rPr>
        <w:t>高能质子束实验终端散射室屏蔽体的加工制造以采购人提供的结构图纸为准，图纸中涉及的所有原材料、预埋件（除了48根工艺预埋件）和标准件、方形穿墙件均由投标人提供。</w:t>
      </w:r>
    </w:p>
    <w:p w14:paraId="6527A49E">
      <w:pPr>
        <w:pStyle w:val="8"/>
        <w:ind w:firstLine="480"/>
        <w:jc w:val="center"/>
      </w:pPr>
      <w:r>
        <w:drawing>
          <wp:inline distT="0" distB="0" distL="114300" distR="114300">
            <wp:extent cx="3789680" cy="2922270"/>
            <wp:effectExtent l="0" t="0" r="1270" b="11430"/>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pic:cNvPicPr>
                      <a:picLocks noChangeAspect="1"/>
                    </pic:cNvPicPr>
                  </pic:nvPicPr>
                  <pic:blipFill>
                    <a:blip r:embed="rId6"/>
                    <a:stretch>
                      <a:fillRect/>
                    </a:stretch>
                  </pic:blipFill>
                  <pic:spPr>
                    <a:xfrm>
                      <a:off x="0" y="0"/>
                      <a:ext cx="3789680" cy="2922270"/>
                    </a:xfrm>
                    <a:prstGeom prst="rect">
                      <a:avLst/>
                    </a:prstGeom>
                    <a:noFill/>
                    <a:ln>
                      <a:noFill/>
                    </a:ln>
                  </pic:spPr>
                </pic:pic>
              </a:graphicData>
            </a:graphic>
          </wp:inline>
        </w:drawing>
      </w:r>
    </w:p>
    <w:p w14:paraId="7CFE1CCB">
      <w:pPr>
        <w:pStyle w:val="8"/>
        <w:ind w:firstLine="480"/>
        <w:jc w:val="center"/>
        <w:rPr>
          <w:highlight w:val="yellow"/>
        </w:rPr>
      </w:pPr>
      <w:r>
        <w:rPr>
          <w:rFonts w:hint="eastAsia"/>
        </w:rPr>
        <w:t>图3-</w:t>
      </w:r>
      <w:r>
        <w:t xml:space="preserve">1 </w:t>
      </w:r>
      <w:r>
        <w:rPr>
          <w:rFonts w:hint="eastAsia"/>
          <w:bCs/>
        </w:rPr>
        <w:t>H</w:t>
      </w:r>
      <w:r>
        <w:rPr>
          <w:bCs/>
        </w:rPr>
        <w:t>PES</w:t>
      </w:r>
      <w:r>
        <w:rPr>
          <w:rFonts w:hint="eastAsia"/>
          <w:bCs/>
        </w:rPr>
        <w:t>散射室屏蔽整体结构概况，图中蓝色部分为本项目新建结构</w:t>
      </w:r>
    </w:p>
    <w:p w14:paraId="20D88F14">
      <w:pPr>
        <w:spacing w:before="100" w:beforeAutospacing="1" w:after="100" w:afterAutospacing="1"/>
        <w:jc w:val="left"/>
        <w:outlineLvl w:val="2"/>
        <w:rPr>
          <w:b/>
          <w:kern w:val="0"/>
          <w:sz w:val="24"/>
          <w:szCs w:val="27"/>
        </w:rPr>
      </w:pPr>
      <w:r>
        <w:rPr>
          <w:b/>
          <w:kern w:val="0"/>
          <w:sz w:val="24"/>
          <w:szCs w:val="27"/>
        </w:rPr>
        <w:t>1.2 主要技术指标</w:t>
      </w:r>
    </w:p>
    <w:p w14:paraId="3DF8E71B">
      <w:pPr>
        <w:snapToGrid w:val="0"/>
        <w:ind w:firstLine="480" w:firstLineChars="200"/>
        <w:rPr>
          <w:sz w:val="24"/>
        </w:rPr>
      </w:pPr>
      <w:r>
        <w:rPr>
          <w:rFonts w:hint="eastAsia"/>
          <w:sz w:val="24"/>
        </w:rPr>
        <w:t>高能质子束实验终端散射室屏蔽体</w:t>
      </w:r>
      <w:r>
        <w:rPr>
          <w:sz w:val="24"/>
        </w:rPr>
        <w:t>的主要参数及技术指标见表3-1：</w:t>
      </w:r>
    </w:p>
    <w:p w14:paraId="6CD57CA3">
      <w:pPr>
        <w:snapToGrid w:val="0"/>
        <w:ind w:firstLine="480" w:firstLineChars="200"/>
        <w:jc w:val="center"/>
        <w:rPr>
          <w:sz w:val="24"/>
        </w:rPr>
      </w:pPr>
      <w:r>
        <w:rPr>
          <w:sz w:val="24"/>
        </w:rPr>
        <w:t xml:space="preserve"> 表3-1 </w:t>
      </w:r>
      <w:r>
        <w:rPr>
          <w:rFonts w:hint="eastAsia"/>
          <w:sz w:val="24"/>
        </w:rPr>
        <w:t>高能质子束实验终端散射室屏蔽体</w:t>
      </w:r>
      <w:r>
        <w:rPr>
          <w:sz w:val="24"/>
        </w:rPr>
        <w:t>主要参数及技术指标</w:t>
      </w:r>
    </w:p>
    <w:tbl>
      <w:tblPr>
        <w:tblStyle w:val="6"/>
        <w:tblW w:w="8539"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666"/>
        <w:gridCol w:w="627"/>
        <w:gridCol w:w="2568"/>
        <w:gridCol w:w="4678"/>
      </w:tblGrid>
      <w:tr w14:paraId="64AA85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666" w:type="dxa"/>
            <w:tcBorders>
              <w:top w:val="single" w:color="auto" w:sz="4" w:space="0"/>
              <w:left w:val="single" w:color="auto" w:sz="4" w:space="0"/>
              <w:bottom w:val="single" w:color="auto" w:sz="4" w:space="0"/>
              <w:right w:val="single" w:color="auto" w:sz="4" w:space="0"/>
            </w:tcBorders>
            <w:noWrap w:val="0"/>
            <w:vAlign w:val="center"/>
          </w:tcPr>
          <w:p w14:paraId="713AFA64">
            <w:pPr>
              <w:jc w:val="center"/>
              <w:rPr>
                <w:sz w:val="24"/>
                <w:highlight w:val="none"/>
              </w:rPr>
            </w:pPr>
            <w:r>
              <w:rPr>
                <w:sz w:val="24"/>
                <w:highlight w:val="none"/>
              </w:rPr>
              <w:t>序号</w:t>
            </w:r>
          </w:p>
        </w:tc>
        <w:tc>
          <w:tcPr>
            <w:tcW w:w="3195" w:type="dxa"/>
            <w:gridSpan w:val="2"/>
            <w:tcBorders>
              <w:top w:val="single" w:color="auto" w:sz="4" w:space="0"/>
              <w:left w:val="single" w:color="auto" w:sz="4" w:space="0"/>
              <w:bottom w:val="single" w:color="auto" w:sz="4" w:space="0"/>
              <w:right w:val="single" w:color="auto" w:sz="4" w:space="0"/>
            </w:tcBorders>
            <w:noWrap w:val="0"/>
            <w:tcMar>
              <w:top w:w="13" w:type="dxa"/>
              <w:left w:w="13" w:type="dxa"/>
              <w:bottom w:w="0" w:type="dxa"/>
              <w:right w:w="13" w:type="dxa"/>
            </w:tcMar>
            <w:vAlign w:val="center"/>
          </w:tcPr>
          <w:p w14:paraId="4908F3B7">
            <w:pPr>
              <w:jc w:val="center"/>
              <w:rPr>
                <w:sz w:val="24"/>
                <w:highlight w:val="none"/>
              </w:rPr>
            </w:pPr>
            <w:r>
              <w:rPr>
                <w:sz w:val="24"/>
                <w:highlight w:val="none"/>
              </w:rPr>
              <w:t>项目</w:t>
            </w:r>
          </w:p>
        </w:tc>
        <w:tc>
          <w:tcPr>
            <w:tcW w:w="4678" w:type="dxa"/>
            <w:tcBorders>
              <w:top w:val="single" w:color="auto" w:sz="4" w:space="0"/>
              <w:left w:val="single" w:color="auto" w:sz="4" w:space="0"/>
              <w:bottom w:val="single" w:color="auto" w:sz="4" w:space="0"/>
              <w:right w:val="single" w:color="auto" w:sz="4" w:space="0"/>
            </w:tcBorders>
            <w:noWrap w:val="0"/>
            <w:tcMar>
              <w:top w:w="13" w:type="dxa"/>
              <w:left w:w="13" w:type="dxa"/>
              <w:bottom w:w="0" w:type="dxa"/>
              <w:right w:w="13" w:type="dxa"/>
            </w:tcMar>
            <w:vAlign w:val="center"/>
          </w:tcPr>
          <w:p w14:paraId="2526462D">
            <w:pPr>
              <w:jc w:val="center"/>
              <w:rPr>
                <w:sz w:val="24"/>
                <w:highlight w:val="none"/>
              </w:rPr>
            </w:pPr>
            <w:r>
              <w:rPr>
                <w:sz w:val="24"/>
                <w:highlight w:val="none"/>
              </w:rPr>
              <w:t>技术</w:t>
            </w:r>
            <w:r>
              <w:rPr>
                <w:rFonts w:hint="eastAsia"/>
                <w:sz w:val="24"/>
                <w:highlight w:val="none"/>
              </w:rPr>
              <w:t>要求</w:t>
            </w:r>
          </w:p>
        </w:tc>
      </w:tr>
      <w:tr w14:paraId="43ED5B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666" w:type="dxa"/>
            <w:tcBorders>
              <w:top w:val="single" w:color="auto" w:sz="4" w:space="0"/>
              <w:left w:val="single" w:color="auto" w:sz="4" w:space="0"/>
              <w:bottom w:val="single" w:color="auto" w:sz="4" w:space="0"/>
              <w:right w:val="single" w:color="auto" w:sz="4" w:space="0"/>
            </w:tcBorders>
            <w:noWrap w:val="0"/>
            <w:vAlign w:val="center"/>
          </w:tcPr>
          <w:p w14:paraId="7929490C">
            <w:pPr>
              <w:jc w:val="center"/>
              <w:rPr>
                <w:sz w:val="24"/>
                <w:highlight w:val="none"/>
              </w:rPr>
            </w:pPr>
            <w:r>
              <w:rPr>
                <w:rFonts w:hint="eastAsia"/>
                <w:sz w:val="24"/>
                <w:highlight w:val="none"/>
              </w:rPr>
              <w:t>★</w:t>
            </w:r>
            <w:r>
              <w:rPr>
                <w:sz w:val="24"/>
                <w:highlight w:val="none"/>
              </w:rPr>
              <w:t>1</w:t>
            </w:r>
          </w:p>
        </w:tc>
        <w:tc>
          <w:tcPr>
            <w:tcW w:w="627" w:type="dxa"/>
            <w:vMerge w:val="restart"/>
            <w:tcBorders>
              <w:top w:val="nil"/>
              <w:left w:val="single" w:color="auto" w:sz="4" w:space="0"/>
              <w:right w:val="single" w:color="auto" w:sz="4" w:space="0"/>
            </w:tcBorders>
            <w:noWrap w:val="0"/>
            <w:tcMar>
              <w:top w:w="13" w:type="dxa"/>
              <w:left w:w="13" w:type="dxa"/>
              <w:bottom w:w="0" w:type="dxa"/>
              <w:right w:w="13" w:type="dxa"/>
            </w:tcMar>
            <w:vAlign w:val="center"/>
          </w:tcPr>
          <w:p w14:paraId="25CBCA95">
            <w:pPr>
              <w:jc w:val="center"/>
              <w:rPr>
                <w:sz w:val="24"/>
                <w:highlight w:val="none"/>
              </w:rPr>
            </w:pPr>
            <w:r>
              <w:rPr>
                <w:rFonts w:hint="eastAsia"/>
                <w:sz w:val="24"/>
                <w:highlight w:val="none"/>
              </w:rPr>
              <w:t>材料基本要求</w:t>
            </w:r>
          </w:p>
        </w:tc>
        <w:tc>
          <w:tcPr>
            <w:tcW w:w="2568" w:type="dxa"/>
            <w:tcBorders>
              <w:top w:val="single" w:color="auto" w:sz="4" w:space="0"/>
              <w:left w:val="single" w:color="auto" w:sz="4" w:space="0"/>
              <w:bottom w:val="single" w:color="auto" w:sz="4" w:space="0"/>
              <w:right w:val="single" w:color="auto" w:sz="4" w:space="0"/>
            </w:tcBorders>
            <w:noWrap w:val="0"/>
            <w:tcMar>
              <w:top w:w="13" w:type="dxa"/>
              <w:left w:w="13" w:type="dxa"/>
              <w:bottom w:w="0" w:type="dxa"/>
              <w:right w:w="13" w:type="dxa"/>
            </w:tcMar>
            <w:vAlign w:val="center"/>
          </w:tcPr>
          <w:p w14:paraId="4A5FA978">
            <w:pPr>
              <w:rPr>
                <w:sz w:val="24"/>
                <w:highlight w:val="none"/>
              </w:rPr>
            </w:pPr>
            <w:r>
              <w:rPr>
                <w:sz w:val="24"/>
                <w:highlight w:val="none"/>
              </w:rPr>
              <w:t>混凝土强度等级</w:t>
            </w:r>
          </w:p>
        </w:tc>
        <w:tc>
          <w:tcPr>
            <w:tcW w:w="4678" w:type="dxa"/>
            <w:tcBorders>
              <w:top w:val="single" w:color="auto" w:sz="4" w:space="0"/>
              <w:left w:val="single" w:color="auto" w:sz="4" w:space="0"/>
              <w:bottom w:val="single" w:color="auto" w:sz="4" w:space="0"/>
              <w:right w:val="single" w:color="auto" w:sz="4" w:space="0"/>
            </w:tcBorders>
            <w:noWrap w:val="0"/>
            <w:tcMar>
              <w:top w:w="13" w:type="dxa"/>
              <w:left w:w="13" w:type="dxa"/>
              <w:bottom w:w="0" w:type="dxa"/>
              <w:right w:w="13" w:type="dxa"/>
            </w:tcMar>
            <w:vAlign w:val="center"/>
          </w:tcPr>
          <w:p w14:paraId="6D7C67B4">
            <w:pPr>
              <w:jc w:val="center"/>
              <w:rPr>
                <w:sz w:val="24"/>
                <w:highlight w:val="none"/>
              </w:rPr>
            </w:pPr>
            <w:r>
              <w:rPr>
                <w:rFonts w:hint="eastAsia" w:ascii="宋体" w:hAnsi="宋体" w:cs="宋体"/>
                <w:sz w:val="24"/>
                <w:highlight w:val="none"/>
              </w:rPr>
              <w:t>C50</w:t>
            </w:r>
          </w:p>
        </w:tc>
      </w:tr>
      <w:tr w14:paraId="06D52E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666" w:type="dxa"/>
            <w:tcBorders>
              <w:top w:val="single" w:color="auto" w:sz="4" w:space="0"/>
              <w:left w:val="single" w:color="auto" w:sz="4" w:space="0"/>
              <w:right w:val="single" w:color="auto" w:sz="4" w:space="0"/>
            </w:tcBorders>
            <w:noWrap w:val="0"/>
            <w:vAlign w:val="center"/>
          </w:tcPr>
          <w:p w14:paraId="53D5B3CD">
            <w:pPr>
              <w:jc w:val="center"/>
              <w:rPr>
                <w:sz w:val="24"/>
                <w:highlight w:val="none"/>
              </w:rPr>
            </w:pPr>
            <w:r>
              <w:rPr>
                <w:rFonts w:hint="eastAsia"/>
                <w:sz w:val="24"/>
                <w:highlight w:val="none"/>
              </w:rPr>
              <w:t>★</w:t>
            </w:r>
            <w:r>
              <w:rPr>
                <w:sz w:val="24"/>
                <w:highlight w:val="none"/>
              </w:rPr>
              <w:t>2</w:t>
            </w:r>
          </w:p>
        </w:tc>
        <w:tc>
          <w:tcPr>
            <w:tcW w:w="627" w:type="dxa"/>
            <w:vMerge w:val="continue"/>
            <w:tcBorders>
              <w:left w:val="single" w:color="auto" w:sz="4" w:space="0"/>
              <w:right w:val="single" w:color="auto" w:sz="4" w:space="0"/>
            </w:tcBorders>
            <w:noWrap w:val="0"/>
            <w:vAlign w:val="center"/>
          </w:tcPr>
          <w:p w14:paraId="1AF0D9AB">
            <w:pPr>
              <w:widowControl/>
              <w:jc w:val="left"/>
              <w:rPr>
                <w:sz w:val="24"/>
                <w:highlight w:val="none"/>
              </w:rPr>
            </w:pPr>
          </w:p>
        </w:tc>
        <w:tc>
          <w:tcPr>
            <w:tcW w:w="2568" w:type="dxa"/>
            <w:tcBorders>
              <w:top w:val="single" w:color="auto" w:sz="4" w:space="0"/>
              <w:left w:val="single" w:color="auto" w:sz="4" w:space="0"/>
              <w:bottom w:val="single" w:color="auto" w:sz="4" w:space="0"/>
              <w:right w:val="single" w:color="auto" w:sz="4" w:space="0"/>
            </w:tcBorders>
            <w:noWrap w:val="0"/>
            <w:tcMar>
              <w:top w:w="13" w:type="dxa"/>
              <w:left w:w="13" w:type="dxa"/>
              <w:bottom w:w="0" w:type="dxa"/>
              <w:right w:w="13" w:type="dxa"/>
            </w:tcMar>
            <w:vAlign w:val="center"/>
          </w:tcPr>
          <w:p w14:paraId="447FFD8B">
            <w:pPr>
              <w:rPr>
                <w:sz w:val="24"/>
                <w:highlight w:val="none"/>
              </w:rPr>
            </w:pPr>
            <w:r>
              <w:rPr>
                <w:sz w:val="24"/>
                <w:highlight w:val="none"/>
              </w:rPr>
              <w:t>混凝土成分要求</w:t>
            </w:r>
          </w:p>
        </w:tc>
        <w:tc>
          <w:tcPr>
            <w:tcW w:w="4678" w:type="dxa"/>
            <w:tcBorders>
              <w:top w:val="single" w:color="auto" w:sz="4" w:space="0"/>
              <w:left w:val="single" w:color="auto" w:sz="4" w:space="0"/>
              <w:right w:val="single" w:color="auto" w:sz="4" w:space="0"/>
            </w:tcBorders>
            <w:noWrap w:val="0"/>
            <w:tcMar>
              <w:top w:w="13" w:type="dxa"/>
              <w:left w:w="13" w:type="dxa"/>
              <w:bottom w:w="0" w:type="dxa"/>
              <w:right w:w="13" w:type="dxa"/>
            </w:tcMar>
            <w:vAlign w:val="center"/>
          </w:tcPr>
          <w:p w14:paraId="72E50572">
            <w:pPr>
              <w:jc w:val="center"/>
              <w:rPr>
                <w:sz w:val="24"/>
                <w:highlight w:val="none"/>
              </w:rPr>
            </w:pPr>
            <w:r>
              <w:rPr>
                <w:rFonts w:hint="eastAsia" w:ascii="宋体" w:hAnsi="宋体" w:cs="宋体"/>
                <w:sz w:val="24"/>
                <w:highlight w:val="none"/>
              </w:rPr>
              <w:t>不掺加粉煤灰</w:t>
            </w:r>
          </w:p>
        </w:tc>
      </w:tr>
      <w:tr w14:paraId="1ED4FC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666" w:type="dxa"/>
            <w:tcBorders>
              <w:left w:val="single" w:color="auto" w:sz="4" w:space="0"/>
              <w:bottom w:val="single" w:color="auto" w:sz="4" w:space="0"/>
              <w:right w:val="single" w:color="auto" w:sz="4" w:space="0"/>
            </w:tcBorders>
            <w:noWrap w:val="0"/>
            <w:vAlign w:val="center"/>
          </w:tcPr>
          <w:p w14:paraId="5C4C0691">
            <w:pPr>
              <w:jc w:val="center"/>
              <w:rPr>
                <w:sz w:val="24"/>
                <w:highlight w:val="none"/>
              </w:rPr>
            </w:pPr>
            <w:r>
              <w:rPr>
                <w:rFonts w:hint="eastAsia"/>
                <w:sz w:val="24"/>
                <w:highlight w:val="none"/>
              </w:rPr>
              <w:t>★</w:t>
            </w:r>
            <w:r>
              <w:rPr>
                <w:sz w:val="24"/>
                <w:highlight w:val="none"/>
              </w:rPr>
              <w:t>3</w:t>
            </w:r>
          </w:p>
        </w:tc>
        <w:tc>
          <w:tcPr>
            <w:tcW w:w="627" w:type="dxa"/>
            <w:vMerge w:val="continue"/>
            <w:tcBorders>
              <w:left w:val="single" w:color="auto" w:sz="4" w:space="0"/>
              <w:right w:val="single" w:color="auto" w:sz="4" w:space="0"/>
            </w:tcBorders>
            <w:noWrap w:val="0"/>
            <w:vAlign w:val="center"/>
          </w:tcPr>
          <w:p w14:paraId="285A6741">
            <w:pPr>
              <w:widowControl/>
              <w:jc w:val="left"/>
              <w:rPr>
                <w:sz w:val="24"/>
                <w:highlight w:val="none"/>
              </w:rPr>
            </w:pPr>
          </w:p>
        </w:tc>
        <w:tc>
          <w:tcPr>
            <w:tcW w:w="2568" w:type="dxa"/>
            <w:tcBorders>
              <w:top w:val="single" w:color="auto" w:sz="4" w:space="0"/>
              <w:left w:val="single" w:color="auto" w:sz="4" w:space="0"/>
              <w:bottom w:val="single" w:color="auto" w:sz="4" w:space="0"/>
              <w:right w:val="single" w:color="auto" w:sz="4" w:space="0"/>
            </w:tcBorders>
            <w:noWrap w:val="0"/>
            <w:tcMar>
              <w:top w:w="13" w:type="dxa"/>
              <w:left w:w="13" w:type="dxa"/>
              <w:bottom w:w="0" w:type="dxa"/>
              <w:right w:w="13" w:type="dxa"/>
            </w:tcMar>
            <w:vAlign w:val="center"/>
          </w:tcPr>
          <w:p w14:paraId="4B897B92">
            <w:pPr>
              <w:rPr>
                <w:sz w:val="24"/>
                <w:highlight w:val="none"/>
              </w:rPr>
            </w:pPr>
            <w:r>
              <w:rPr>
                <w:rFonts w:hint="eastAsia"/>
                <w:sz w:val="24"/>
                <w:highlight w:val="none"/>
              </w:rPr>
              <w:t>混凝土密度</w:t>
            </w:r>
          </w:p>
        </w:tc>
        <w:tc>
          <w:tcPr>
            <w:tcW w:w="4678" w:type="dxa"/>
            <w:tcBorders>
              <w:left w:val="single" w:color="auto" w:sz="4" w:space="0"/>
              <w:bottom w:val="single" w:color="auto" w:sz="4" w:space="0"/>
              <w:right w:val="single" w:color="auto" w:sz="4" w:space="0"/>
            </w:tcBorders>
            <w:noWrap w:val="0"/>
            <w:tcMar>
              <w:top w:w="13" w:type="dxa"/>
              <w:left w:w="13" w:type="dxa"/>
              <w:bottom w:w="0" w:type="dxa"/>
              <w:right w:w="13" w:type="dxa"/>
            </w:tcMar>
            <w:vAlign w:val="center"/>
          </w:tcPr>
          <w:p w14:paraId="195B74A9">
            <w:pPr>
              <w:jc w:val="center"/>
              <w:rPr>
                <w:rFonts w:hint="eastAsia"/>
                <w:szCs w:val="21"/>
                <w:highlight w:val="none"/>
              </w:rPr>
            </w:pPr>
            <w:r>
              <w:rPr>
                <w:rFonts w:hint="eastAsia" w:ascii="宋体" w:hAnsi="宋体" w:cs="宋体"/>
                <w:sz w:val="24"/>
                <w:highlight w:val="none"/>
              </w:rPr>
              <w:t>不小于2.35g/cm</w:t>
            </w:r>
            <w:r>
              <w:rPr>
                <w:rFonts w:hint="eastAsia" w:ascii="宋体" w:hAnsi="宋体" w:cs="宋体"/>
                <w:sz w:val="24"/>
                <w:highlight w:val="none"/>
                <w:vertAlign w:val="superscript"/>
              </w:rPr>
              <w:t>3</w:t>
            </w:r>
          </w:p>
        </w:tc>
      </w:tr>
      <w:tr w14:paraId="180AC4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666" w:type="dxa"/>
            <w:tcBorders>
              <w:left w:val="single" w:color="auto" w:sz="4" w:space="0"/>
              <w:bottom w:val="single" w:color="auto" w:sz="4" w:space="0"/>
              <w:right w:val="single" w:color="auto" w:sz="4" w:space="0"/>
            </w:tcBorders>
            <w:noWrap w:val="0"/>
            <w:vAlign w:val="center"/>
          </w:tcPr>
          <w:p w14:paraId="44C313B9">
            <w:pPr>
              <w:jc w:val="center"/>
              <w:rPr>
                <w:rFonts w:hint="eastAsia"/>
                <w:sz w:val="24"/>
                <w:highlight w:val="none"/>
              </w:rPr>
            </w:pPr>
            <w:r>
              <w:rPr>
                <w:sz w:val="24"/>
                <w:highlight w:val="none"/>
              </w:rPr>
              <w:t>4</w:t>
            </w:r>
          </w:p>
        </w:tc>
        <w:tc>
          <w:tcPr>
            <w:tcW w:w="627" w:type="dxa"/>
            <w:vMerge w:val="continue"/>
            <w:tcBorders>
              <w:left w:val="single" w:color="auto" w:sz="4" w:space="0"/>
              <w:bottom w:val="single" w:color="auto" w:sz="4" w:space="0"/>
              <w:right w:val="single" w:color="auto" w:sz="4" w:space="0"/>
            </w:tcBorders>
            <w:noWrap w:val="0"/>
            <w:vAlign w:val="center"/>
          </w:tcPr>
          <w:p w14:paraId="09C06A62">
            <w:pPr>
              <w:widowControl/>
              <w:jc w:val="left"/>
              <w:rPr>
                <w:sz w:val="24"/>
                <w:highlight w:val="none"/>
              </w:rPr>
            </w:pPr>
          </w:p>
        </w:tc>
        <w:tc>
          <w:tcPr>
            <w:tcW w:w="2568" w:type="dxa"/>
            <w:tcBorders>
              <w:top w:val="single" w:color="auto" w:sz="4" w:space="0"/>
              <w:left w:val="single" w:color="auto" w:sz="4" w:space="0"/>
              <w:bottom w:val="single" w:color="auto" w:sz="4" w:space="0"/>
              <w:right w:val="single" w:color="auto" w:sz="4" w:space="0"/>
            </w:tcBorders>
            <w:noWrap w:val="0"/>
            <w:tcMar>
              <w:top w:w="13" w:type="dxa"/>
              <w:left w:w="13" w:type="dxa"/>
              <w:bottom w:w="0" w:type="dxa"/>
              <w:right w:w="13" w:type="dxa"/>
            </w:tcMar>
            <w:vAlign w:val="center"/>
          </w:tcPr>
          <w:p w14:paraId="1889F8CA">
            <w:pPr>
              <w:rPr>
                <w:rFonts w:hint="eastAsia"/>
                <w:sz w:val="24"/>
                <w:highlight w:val="none"/>
              </w:rPr>
            </w:pPr>
            <w:r>
              <w:rPr>
                <w:rFonts w:hint="eastAsia"/>
                <w:sz w:val="24"/>
                <w:highlight w:val="none"/>
              </w:rPr>
              <w:t>预埋停束铁基本要求</w:t>
            </w:r>
          </w:p>
        </w:tc>
        <w:tc>
          <w:tcPr>
            <w:tcW w:w="4678" w:type="dxa"/>
            <w:tcBorders>
              <w:left w:val="single" w:color="auto" w:sz="4" w:space="0"/>
              <w:bottom w:val="single" w:color="auto" w:sz="4" w:space="0"/>
              <w:right w:val="single" w:color="auto" w:sz="4" w:space="0"/>
            </w:tcBorders>
            <w:noWrap w:val="0"/>
            <w:tcMar>
              <w:top w:w="13" w:type="dxa"/>
              <w:left w:w="13" w:type="dxa"/>
              <w:bottom w:w="0" w:type="dxa"/>
              <w:right w:w="13" w:type="dxa"/>
            </w:tcMar>
            <w:vAlign w:val="center"/>
          </w:tcPr>
          <w:p w14:paraId="1DFF2391">
            <w:pPr>
              <w:adjustRightInd w:val="0"/>
              <w:snapToGrid w:val="0"/>
              <w:jc w:val="left"/>
              <w:rPr>
                <w:rFonts w:hint="eastAsia" w:ascii="宋体" w:hAnsi="宋体" w:cs="宋体"/>
                <w:sz w:val="24"/>
                <w:highlight w:val="none"/>
              </w:rPr>
            </w:pPr>
            <w:r>
              <w:rPr>
                <w:rFonts w:hint="eastAsia" w:ascii="宋体" w:hAnsi="宋体" w:cs="宋体"/>
                <w:sz w:val="24"/>
                <w:highlight w:val="none"/>
              </w:rPr>
              <w:t>★（1）钢屏蔽块材料：Q235B，满足GB/T700-2006《碳素结构钢》的要求</w:t>
            </w:r>
          </w:p>
          <w:p w14:paraId="0C93BBDE">
            <w:pPr>
              <w:adjustRightInd w:val="0"/>
              <w:snapToGrid w:val="0"/>
              <w:jc w:val="left"/>
              <w:rPr>
                <w:rFonts w:hint="eastAsia" w:ascii="宋体" w:hAnsi="宋体" w:cs="宋体"/>
                <w:sz w:val="24"/>
                <w:highlight w:val="none"/>
              </w:rPr>
            </w:pPr>
            <w:r>
              <w:rPr>
                <w:rFonts w:hint="eastAsia" w:ascii="宋体" w:hAnsi="宋体" w:cs="宋体"/>
                <w:sz w:val="24"/>
                <w:highlight w:val="none"/>
              </w:rPr>
              <w:t>★（2）钢屏蔽块制造精度：图纸已标注的按照图纸要求，未标注的按照不低于GB/T1084-m级精度要求（或m级等效要求）</w:t>
            </w:r>
          </w:p>
          <w:p w14:paraId="5C7BEB57">
            <w:pPr>
              <w:jc w:val="center"/>
              <w:rPr>
                <w:rFonts w:hint="eastAsia"/>
                <w:szCs w:val="21"/>
                <w:highlight w:val="none"/>
              </w:rPr>
            </w:pPr>
            <w:r>
              <w:rPr>
                <w:rFonts w:hint="eastAsia" w:ascii="宋体" w:hAnsi="宋体" w:cs="宋体"/>
                <w:sz w:val="24"/>
                <w:highlight w:val="none"/>
              </w:rPr>
              <w:t>（3）零件厚度≤200mm采用整块钢板进行加工制造，厚度＞200mm</w:t>
            </w:r>
            <w:r>
              <w:rPr>
                <w:rFonts w:ascii="宋体" w:hAnsi="宋体" w:cs="宋体"/>
                <w:sz w:val="24"/>
                <w:highlight w:val="none"/>
              </w:rPr>
              <w:t>可以</w:t>
            </w:r>
            <w:r>
              <w:rPr>
                <w:rFonts w:hint="eastAsia" w:ascii="宋体" w:hAnsi="宋体" w:cs="宋体"/>
                <w:sz w:val="24"/>
                <w:highlight w:val="none"/>
              </w:rPr>
              <w:t>进行错位拼接并经过采购人认可</w:t>
            </w:r>
          </w:p>
        </w:tc>
      </w:tr>
      <w:tr w14:paraId="2ADF2E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666" w:type="dxa"/>
            <w:tcBorders>
              <w:top w:val="single" w:color="auto" w:sz="4" w:space="0"/>
              <w:left w:val="single" w:color="auto" w:sz="4" w:space="0"/>
              <w:bottom w:val="single" w:color="auto" w:sz="4" w:space="0"/>
              <w:right w:val="single" w:color="auto" w:sz="4" w:space="0"/>
            </w:tcBorders>
            <w:noWrap w:val="0"/>
            <w:vAlign w:val="center"/>
          </w:tcPr>
          <w:p w14:paraId="69AEE6DF">
            <w:pPr>
              <w:jc w:val="center"/>
              <w:rPr>
                <w:sz w:val="24"/>
                <w:highlight w:val="none"/>
              </w:rPr>
            </w:pPr>
            <w:r>
              <w:rPr>
                <w:sz w:val="24"/>
                <w:highlight w:val="none"/>
              </w:rPr>
              <w:t>5</w:t>
            </w:r>
          </w:p>
        </w:tc>
        <w:tc>
          <w:tcPr>
            <w:tcW w:w="627" w:type="dxa"/>
            <w:vMerge w:val="restart"/>
            <w:tcBorders>
              <w:top w:val="nil"/>
              <w:left w:val="single" w:color="auto" w:sz="4" w:space="0"/>
              <w:right w:val="single" w:color="auto" w:sz="4" w:space="0"/>
            </w:tcBorders>
            <w:noWrap w:val="0"/>
            <w:tcMar>
              <w:top w:w="13" w:type="dxa"/>
              <w:left w:w="13" w:type="dxa"/>
              <w:bottom w:w="0" w:type="dxa"/>
              <w:right w:w="13" w:type="dxa"/>
            </w:tcMar>
            <w:vAlign w:val="center"/>
          </w:tcPr>
          <w:p w14:paraId="4E5D4448">
            <w:pPr>
              <w:jc w:val="center"/>
              <w:rPr>
                <w:sz w:val="24"/>
                <w:highlight w:val="none"/>
              </w:rPr>
            </w:pPr>
            <w:r>
              <w:rPr>
                <w:sz w:val="24"/>
                <w:highlight w:val="none"/>
              </w:rPr>
              <w:t>屏蔽体制作</w:t>
            </w:r>
            <w:r>
              <w:rPr>
                <w:rFonts w:hint="eastAsia"/>
                <w:sz w:val="24"/>
                <w:highlight w:val="none"/>
              </w:rPr>
              <w:t>要求</w:t>
            </w:r>
          </w:p>
        </w:tc>
        <w:tc>
          <w:tcPr>
            <w:tcW w:w="2568" w:type="dxa"/>
            <w:tcBorders>
              <w:top w:val="single" w:color="auto" w:sz="4" w:space="0"/>
              <w:left w:val="single" w:color="auto" w:sz="4" w:space="0"/>
              <w:bottom w:val="single" w:color="auto" w:sz="4" w:space="0"/>
              <w:right w:val="single" w:color="auto" w:sz="4" w:space="0"/>
            </w:tcBorders>
            <w:noWrap w:val="0"/>
            <w:tcMar>
              <w:top w:w="13" w:type="dxa"/>
              <w:left w:w="13" w:type="dxa"/>
              <w:bottom w:w="0" w:type="dxa"/>
              <w:right w:w="13" w:type="dxa"/>
            </w:tcMar>
            <w:vAlign w:val="center"/>
          </w:tcPr>
          <w:p w14:paraId="5E5C7D40">
            <w:pPr>
              <w:rPr>
                <w:sz w:val="24"/>
                <w:highlight w:val="none"/>
              </w:rPr>
            </w:pPr>
            <w:r>
              <w:rPr>
                <w:rFonts w:hint="eastAsia"/>
                <w:sz w:val="24"/>
                <w:highlight w:val="none"/>
              </w:rPr>
              <w:t>混凝土</w:t>
            </w:r>
            <w:r>
              <w:rPr>
                <w:sz w:val="24"/>
                <w:highlight w:val="none"/>
              </w:rPr>
              <w:t>屏蔽块外形尺寸偏差</w:t>
            </w:r>
          </w:p>
        </w:tc>
        <w:tc>
          <w:tcPr>
            <w:tcW w:w="4678" w:type="dxa"/>
            <w:tcBorders>
              <w:top w:val="single" w:color="auto" w:sz="4" w:space="0"/>
              <w:left w:val="single" w:color="auto" w:sz="4" w:space="0"/>
              <w:bottom w:val="single" w:color="auto" w:sz="4" w:space="0"/>
              <w:right w:val="single" w:color="auto" w:sz="4" w:space="0"/>
            </w:tcBorders>
            <w:noWrap w:val="0"/>
            <w:tcMar>
              <w:top w:w="13" w:type="dxa"/>
              <w:left w:w="13" w:type="dxa"/>
              <w:bottom w:w="0" w:type="dxa"/>
              <w:right w:w="13" w:type="dxa"/>
            </w:tcMar>
            <w:vAlign w:val="center"/>
          </w:tcPr>
          <w:p w14:paraId="45F71EFA">
            <w:pPr>
              <w:jc w:val="center"/>
              <w:rPr>
                <w:rFonts w:hint="eastAsia"/>
                <w:szCs w:val="21"/>
                <w:highlight w:val="none"/>
              </w:rPr>
            </w:pPr>
            <w:r>
              <w:rPr>
                <w:rFonts w:hint="eastAsia" w:ascii="宋体" w:hAnsi="宋体" w:cs="宋体"/>
                <w:sz w:val="24"/>
                <w:highlight w:val="none"/>
              </w:rPr>
              <w:t>0～-</w:t>
            </w:r>
            <w:r>
              <w:rPr>
                <w:rFonts w:ascii="宋体" w:hAnsi="宋体" w:cs="宋体"/>
                <w:sz w:val="24"/>
                <w:highlight w:val="none"/>
              </w:rPr>
              <w:t>10</w:t>
            </w:r>
            <w:r>
              <w:rPr>
                <w:rFonts w:hint="eastAsia" w:ascii="宋体" w:hAnsi="宋体" w:cs="宋体"/>
                <w:sz w:val="24"/>
                <w:highlight w:val="none"/>
              </w:rPr>
              <w:t>mm</w:t>
            </w:r>
          </w:p>
        </w:tc>
      </w:tr>
      <w:tr w14:paraId="2B80E4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666" w:type="dxa"/>
            <w:tcBorders>
              <w:top w:val="single" w:color="auto" w:sz="4" w:space="0"/>
              <w:left w:val="single" w:color="auto" w:sz="4" w:space="0"/>
              <w:bottom w:val="single" w:color="auto" w:sz="4" w:space="0"/>
              <w:right w:val="single" w:color="auto" w:sz="4" w:space="0"/>
            </w:tcBorders>
            <w:noWrap w:val="0"/>
            <w:vAlign w:val="center"/>
          </w:tcPr>
          <w:p w14:paraId="52C3604E">
            <w:pPr>
              <w:jc w:val="center"/>
              <w:rPr>
                <w:sz w:val="24"/>
                <w:highlight w:val="none"/>
              </w:rPr>
            </w:pPr>
            <w:r>
              <w:rPr>
                <w:rFonts w:hint="eastAsia"/>
                <w:sz w:val="24"/>
                <w:highlight w:val="none"/>
              </w:rPr>
              <w:t>★</w:t>
            </w:r>
            <w:r>
              <w:rPr>
                <w:sz w:val="24"/>
                <w:highlight w:val="none"/>
              </w:rPr>
              <w:t>6</w:t>
            </w:r>
          </w:p>
        </w:tc>
        <w:tc>
          <w:tcPr>
            <w:tcW w:w="627" w:type="dxa"/>
            <w:vMerge w:val="continue"/>
            <w:tcBorders>
              <w:left w:val="single" w:color="auto" w:sz="4" w:space="0"/>
              <w:right w:val="single" w:color="auto" w:sz="4" w:space="0"/>
            </w:tcBorders>
            <w:noWrap w:val="0"/>
            <w:vAlign w:val="center"/>
          </w:tcPr>
          <w:p w14:paraId="1D1B63D3">
            <w:pPr>
              <w:widowControl/>
              <w:jc w:val="left"/>
              <w:rPr>
                <w:sz w:val="24"/>
                <w:highlight w:val="none"/>
              </w:rPr>
            </w:pPr>
          </w:p>
        </w:tc>
        <w:tc>
          <w:tcPr>
            <w:tcW w:w="2568" w:type="dxa"/>
            <w:tcBorders>
              <w:top w:val="single" w:color="auto" w:sz="4" w:space="0"/>
              <w:left w:val="single" w:color="auto" w:sz="4" w:space="0"/>
              <w:bottom w:val="single" w:color="auto" w:sz="4" w:space="0"/>
              <w:right w:val="single" w:color="auto" w:sz="4" w:space="0"/>
            </w:tcBorders>
            <w:noWrap w:val="0"/>
            <w:tcMar>
              <w:top w:w="13" w:type="dxa"/>
              <w:left w:w="13" w:type="dxa"/>
              <w:bottom w:w="0" w:type="dxa"/>
              <w:right w:w="13" w:type="dxa"/>
            </w:tcMar>
            <w:vAlign w:val="center"/>
          </w:tcPr>
          <w:p w14:paraId="07543B93">
            <w:pPr>
              <w:rPr>
                <w:sz w:val="24"/>
                <w:highlight w:val="none"/>
              </w:rPr>
            </w:pPr>
            <w:r>
              <w:rPr>
                <w:rFonts w:hint="eastAsia"/>
                <w:sz w:val="24"/>
                <w:highlight w:val="none"/>
              </w:rPr>
              <w:t>混凝土</w:t>
            </w:r>
            <w:r>
              <w:rPr>
                <w:sz w:val="24"/>
                <w:highlight w:val="none"/>
              </w:rPr>
              <w:t>屏蔽块开口尺寸偏差</w:t>
            </w:r>
          </w:p>
        </w:tc>
        <w:tc>
          <w:tcPr>
            <w:tcW w:w="4678" w:type="dxa"/>
            <w:tcBorders>
              <w:top w:val="single" w:color="auto" w:sz="4" w:space="0"/>
              <w:left w:val="single" w:color="auto" w:sz="4" w:space="0"/>
              <w:bottom w:val="single" w:color="auto" w:sz="4" w:space="0"/>
              <w:right w:val="single" w:color="auto" w:sz="4" w:space="0"/>
            </w:tcBorders>
            <w:noWrap w:val="0"/>
            <w:tcMar>
              <w:top w:w="13" w:type="dxa"/>
              <w:left w:w="13" w:type="dxa"/>
              <w:bottom w:w="0" w:type="dxa"/>
              <w:right w:w="13" w:type="dxa"/>
            </w:tcMar>
            <w:vAlign w:val="center"/>
          </w:tcPr>
          <w:p w14:paraId="1DD95F49">
            <w:pPr>
              <w:jc w:val="center"/>
              <w:rPr>
                <w:rFonts w:hint="eastAsia"/>
                <w:szCs w:val="21"/>
                <w:highlight w:val="none"/>
              </w:rPr>
            </w:pPr>
            <w:r>
              <w:rPr>
                <w:rFonts w:hint="eastAsia" w:ascii="宋体" w:hAnsi="宋体" w:cs="宋体"/>
                <w:sz w:val="24"/>
                <w:highlight w:val="none"/>
              </w:rPr>
              <w:t>+2～+</w:t>
            </w:r>
            <w:r>
              <w:rPr>
                <w:rFonts w:ascii="宋体" w:hAnsi="宋体" w:cs="宋体"/>
                <w:sz w:val="24"/>
                <w:highlight w:val="none"/>
              </w:rPr>
              <w:t>10</w:t>
            </w:r>
            <w:r>
              <w:rPr>
                <w:rFonts w:hint="eastAsia" w:ascii="宋体" w:hAnsi="宋体" w:cs="宋体"/>
                <w:sz w:val="24"/>
                <w:highlight w:val="none"/>
              </w:rPr>
              <w:t>mm</w:t>
            </w:r>
          </w:p>
        </w:tc>
      </w:tr>
      <w:tr w14:paraId="41D20B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666" w:type="dxa"/>
            <w:tcBorders>
              <w:top w:val="single" w:color="auto" w:sz="4" w:space="0"/>
              <w:left w:val="single" w:color="auto" w:sz="4" w:space="0"/>
              <w:bottom w:val="single" w:color="auto" w:sz="4" w:space="0"/>
              <w:right w:val="single" w:color="auto" w:sz="4" w:space="0"/>
            </w:tcBorders>
            <w:noWrap w:val="0"/>
            <w:vAlign w:val="center"/>
          </w:tcPr>
          <w:p w14:paraId="79754C4B">
            <w:pPr>
              <w:jc w:val="center"/>
              <w:rPr>
                <w:sz w:val="24"/>
                <w:highlight w:val="none"/>
              </w:rPr>
            </w:pPr>
            <w:r>
              <w:rPr>
                <w:sz w:val="24"/>
                <w:highlight w:val="none"/>
              </w:rPr>
              <w:t>7</w:t>
            </w:r>
          </w:p>
        </w:tc>
        <w:tc>
          <w:tcPr>
            <w:tcW w:w="627" w:type="dxa"/>
            <w:vMerge w:val="continue"/>
            <w:tcBorders>
              <w:left w:val="single" w:color="auto" w:sz="4" w:space="0"/>
              <w:right w:val="single" w:color="auto" w:sz="4" w:space="0"/>
            </w:tcBorders>
            <w:noWrap w:val="0"/>
            <w:vAlign w:val="center"/>
          </w:tcPr>
          <w:p w14:paraId="0AC5D63B">
            <w:pPr>
              <w:widowControl/>
              <w:jc w:val="left"/>
              <w:rPr>
                <w:sz w:val="24"/>
                <w:highlight w:val="none"/>
              </w:rPr>
            </w:pPr>
          </w:p>
        </w:tc>
        <w:tc>
          <w:tcPr>
            <w:tcW w:w="2568" w:type="dxa"/>
            <w:tcBorders>
              <w:top w:val="single" w:color="auto" w:sz="4" w:space="0"/>
              <w:left w:val="single" w:color="auto" w:sz="4" w:space="0"/>
              <w:bottom w:val="single" w:color="auto" w:sz="4" w:space="0"/>
              <w:right w:val="single" w:color="auto" w:sz="4" w:space="0"/>
            </w:tcBorders>
            <w:noWrap w:val="0"/>
            <w:tcMar>
              <w:top w:w="13" w:type="dxa"/>
              <w:left w:w="13" w:type="dxa"/>
              <w:bottom w:w="0" w:type="dxa"/>
              <w:right w:w="13" w:type="dxa"/>
            </w:tcMar>
            <w:vAlign w:val="center"/>
          </w:tcPr>
          <w:p w14:paraId="36CF247E">
            <w:pPr>
              <w:rPr>
                <w:sz w:val="24"/>
                <w:highlight w:val="none"/>
              </w:rPr>
            </w:pPr>
            <w:r>
              <w:rPr>
                <w:rFonts w:hint="eastAsia"/>
                <w:sz w:val="24"/>
                <w:highlight w:val="none"/>
              </w:rPr>
              <w:t>混凝土</w:t>
            </w:r>
            <w:r>
              <w:rPr>
                <w:sz w:val="24"/>
                <w:highlight w:val="none"/>
              </w:rPr>
              <w:t>屏蔽块平面度</w:t>
            </w:r>
          </w:p>
        </w:tc>
        <w:tc>
          <w:tcPr>
            <w:tcW w:w="4678" w:type="dxa"/>
            <w:tcBorders>
              <w:top w:val="single" w:color="auto" w:sz="4" w:space="0"/>
              <w:left w:val="single" w:color="auto" w:sz="4" w:space="0"/>
              <w:bottom w:val="single" w:color="auto" w:sz="4" w:space="0"/>
              <w:right w:val="single" w:color="auto" w:sz="4" w:space="0"/>
            </w:tcBorders>
            <w:noWrap w:val="0"/>
            <w:tcMar>
              <w:top w:w="13" w:type="dxa"/>
              <w:left w:w="13" w:type="dxa"/>
              <w:bottom w:w="0" w:type="dxa"/>
              <w:right w:w="13" w:type="dxa"/>
            </w:tcMar>
            <w:vAlign w:val="center"/>
          </w:tcPr>
          <w:p w14:paraId="09E4CA88">
            <w:pPr>
              <w:jc w:val="center"/>
              <w:rPr>
                <w:rFonts w:hint="eastAsia"/>
                <w:szCs w:val="21"/>
                <w:highlight w:val="none"/>
              </w:rPr>
            </w:pPr>
            <w:r>
              <w:rPr>
                <w:rFonts w:hint="eastAsia" w:ascii="宋体" w:hAnsi="宋体" w:cs="宋体"/>
                <w:sz w:val="24"/>
                <w:highlight w:val="none"/>
              </w:rPr>
              <w:t>≤5mm</w:t>
            </w:r>
          </w:p>
        </w:tc>
      </w:tr>
      <w:tr w14:paraId="2DBA87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666" w:type="dxa"/>
            <w:tcBorders>
              <w:top w:val="single" w:color="auto" w:sz="4" w:space="0"/>
              <w:left w:val="single" w:color="auto" w:sz="4" w:space="0"/>
              <w:bottom w:val="single" w:color="auto" w:sz="4" w:space="0"/>
              <w:right w:val="single" w:color="auto" w:sz="4" w:space="0"/>
            </w:tcBorders>
            <w:noWrap w:val="0"/>
            <w:vAlign w:val="center"/>
          </w:tcPr>
          <w:p w14:paraId="288FF2E1">
            <w:pPr>
              <w:jc w:val="center"/>
              <w:rPr>
                <w:sz w:val="24"/>
                <w:highlight w:val="none"/>
              </w:rPr>
            </w:pPr>
            <w:r>
              <w:rPr>
                <w:rFonts w:hint="eastAsia"/>
                <w:sz w:val="24"/>
                <w:highlight w:val="none"/>
              </w:rPr>
              <w:t>★</w:t>
            </w:r>
            <w:r>
              <w:rPr>
                <w:sz w:val="24"/>
                <w:highlight w:val="none"/>
              </w:rPr>
              <w:t>8</w:t>
            </w:r>
          </w:p>
        </w:tc>
        <w:tc>
          <w:tcPr>
            <w:tcW w:w="627" w:type="dxa"/>
            <w:vMerge w:val="continue"/>
            <w:tcBorders>
              <w:left w:val="single" w:color="auto" w:sz="4" w:space="0"/>
              <w:right w:val="single" w:color="auto" w:sz="4" w:space="0"/>
            </w:tcBorders>
            <w:noWrap w:val="0"/>
            <w:vAlign w:val="center"/>
          </w:tcPr>
          <w:p w14:paraId="0A751382">
            <w:pPr>
              <w:widowControl/>
              <w:jc w:val="left"/>
              <w:rPr>
                <w:sz w:val="24"/>
                <w:highlight w:val="none"/>
              </w:rPr>
            </w:pPr>
          </w:p>
        </w:tc>
        <w:tc>
          <w:tcPr>
            <w:tcW w:w="2568" w:type="dxa"/>
            <w:tcBorders>
              <w:top w:val="single" w:color="auto" w:sz="4" w:space="0"/>
              <w:left w:val="single" w:color="auto" w:sz="4" w:space="0"/>
              <w:bottom w:val="single" w:color="auto" w:sz="4" w:space="0"/>
              <w:right w:val="single" w:color="auto" w:sz="4" w:space="0"/>
            </w:tcBorders>
            <w:noWrap w:val="0"/>
            <w:tcMar>
              <w:top w:w="13" w:type="dxa"/>
              <w:left w:w="13" w:type="dxa"/>
              <w:bottom w:w="0" w:type="dxa"/>
              <w:right w:w="13" w:type="dxa"/>
            </w:tcMar>
            <w:vAlign w:val="center"/>
          </w:tcPr>
          <w:p w14:paraId="7B6E414B">
            <w:pPr>
              <w:rPr>
                <w:sz w:val="24"/>
                <w:highlight w:val="none"/>
              </w:rPr>
            </w:pPr>
            <w:r>
              <w:rPr>
                <w:rFonts w:hint="eastAsia"/>
                <w:sz w:val="24"/>
                <w:highlight w:val="none"/>
              </w:rPr>
              <w:t>预制混凝土</w:t>
            </w:r>
            <w:r>
              <w:rPr>
                <w:sz w:val="24"/>
                <w:highlight w:val="none"/>
              </w:rPr>
              <w:t>屏蔽块平行度、垂直度</w:t>
            </w:r>
          </w:p>
        </w:tc>
        <w:tc>
          <w:tcPr>
            <w:tcW w:w="4678" w:type="dxa"/>
            <w:tcBorders>
              <w:top w:val="single" w:color="auto" w:sz="4" w:space="0"/>
              <w:left w:val="single" w:color="auto" w:sz="4" w:space="0"/>
              <w:bottom w:val="single" w:color="auto" w:sz="4" w:space="0"/>
              <w:right w:val="single" w:color="auto" w:sz="4" w:space="0"/>
            </w:tcBorders>
            <w:noWrap w:val="0"/>
            <w:tcMar>
              <w:top w:w="13" w:type="dxa"/>
              <w:left w:w="13" w:type="dxa"/>
              <w:bottom w:w="0" w:type="dxa"/>
              <w:right w:w="13" w:type="dxa"/>
            </w:tcMar>
            <w:vAlign w:val="center"/>
          </w:tcPr>
          <w:p w14:paraId="48DB796A">
            <w:pPr>
              <w:jc w:val="center"/>
              <w:rPr>
                <w:rFonts w:hint="eastAsia"/>
                <w:szCs w:val="21"/>
                <w:highlight w:val="none"/>
              </w:rPr>
            </w:pPr>
            <w:r>
              <w:rPr>
                <w:rFonts w:hint="eastAsia" w:ascii="宋体" w:hAnsi="宋体" w:cs="宋体"/>
                <w:sz w:val="24"/>
                <w:highlight w:val="none"/>
              </w:rPr>
              <w:t>≤5mm</w:t>
            </w:r>
          </w:p>
        </w:tc>
      </w:tr>
      <w:tr w14:paraId="577AE5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666" w:type="dxa"/>
            <w:tcBorders>
              <w:top w:val="single" w:color="auto" w:sz="4" w:space="0"/>
              <w:left w:val="single" w:color="auto" w:sz="4" w:space="0"/>
              <w:bottom w:val="single" w:color="auto" w:sz="4" w:space="0"/>
              <w:right w:val="single" w:color="auto" w:sz="4" w:space="0"/>
            </w:tcBorders>
            <w:noWrap w:val="0"/>
            <w:vAlign w:val="center"/>
          </w:tcPr>
          <w:p w14:paraId="468B04CD">
            <w:pPr>
              <w:jc w:val="center"/>
              <w:rPr>
                <w:rFonts w:hint="eastAsia"/>
                <w:sz w:val="24"/>
                <w:highlight w:val="none"/>
              </w:rPr>
            </w:pPr>
            <w:r>
              <w:rPr>
                <w:rFonts w:hint="eastAsia"/>
                <w:sz w:val="24"/>
                <w:highlight w:val="none"/>
              </w:rPr>
              <w:t>★</w:t>
            </w:r>
            <w:r>
              <w:rPr>
                <w:sz w:val="24"/>
                <w:highlight w:val="none"/>
              </w:rPr>
              <w:t>9</w:t>
            </w:r>
          </w:p>
        </w:tc>
        <w:tc>
          <w:tcPr>
            <w:tcW w:w="627" w:type="dxa"/>
            <w:vMerge w:val="continue"/>
            <w:tcBorders>
              <w:left w:val="single" w:color="auto" w:sz="4" w:space="0"/>
              <w:right w:val="single" w:color="auto" w:sz="4" w:space="0"/>
            </w:tcBorders>
            <w:noWrap w:val="0"/>
            <w:vAlign w:val="center"/>
          </w:tcPr>
          <w:p w14:paraId="2A567C18">
            <w:pPr>
              <w:widowControl/>
              <w:jc w:val="left"/>
              <w:rPr>
                <w:sz w:val="24"/>
                <w:highlight w:val="none"/>
              </w:rPr>
            </w:pPr>
          </w:p>
        </w:tc>
        <w:tc>
          <w:tcPr>
            <w:tcW w:w="2568" w:type="dxa"/>
            <w:tcBorders>
              <w:top w:val="single" w:color="auto" w:sz="4" w:space="0"/>
              <w:left w:val="single" w:color="auto" w:sz="4" w:space="0"/>
              <w:bottom w:val="single" w:color="auto" w:sz="4" w:space="0"/>
              <w:right w:val="single" w:color="auto" w:sz="4" w:space="0"/>
            </w:tcBorders>
            <w:noWrap w:val="0"/>
            <w:tcMar>
              <w:top w:w="13" w:type="dxa"/>
              <w:left w:w="13" w:type="dxa"/>
              <w:bottom w:w="0" w:type="dxa"/>
              <w:right w:w="13" w:type="dxa"/>
            </w:tcMar>
            <w:vAlign w:val="center"/>
          </w:tcPr>
          <w:p w14:paraId="6FCC0C4A">
            <w:pPr>
              <w:rPr>
                <w:rFonts w:hint="eastAsia"/>
                <w:sz w:val="24"/>
                <w:highlight w:val="none"/>
              </w:rPr>
            </w:pPr>
            <w:r>
              <w:rPr>
                <w:rFonts w:hint="eastAsia"/>
                <w:sz w:val="24"/>
                <w:highlight w:val="none"/>
              </w:rPr>
              <w:t>现浇混凝土屏蔽体竖直面垂直度</w:t>
            </w:r>
          </w:p>
        </w:tc>
        <w:tc>
          <w:tcPr>
            <w:tcW w:w="4678" w:type="dxa"/>
            <w:tcBorders>
              <w:top w:val="single" w:color="auto" w:sz="4" w:space="0"/>
              <w:left w:val="single" w:color="auto" w:sz="4" w:space="0"/>
              <w:bottom w:val="single" w:color="auto" w:sz="4" w:space="0"/>
              <w:right w:val="single" w:color="auto" w:sz="4" w:space="0"/>
            </w:tcBorders>
            <w:noWrap w:val="0"/>
            <w:tcMar>
              <w:top w:w="13" w:type="dxa"/>
              <w:left w:w="13" w:type="dxa"/>
              <w:bottom w:w="0" w:type="dxa"/>
              <w:right w:w="13" w:type="dxa"/>
            </w:tcMar>
            <w:vAlign w:val="center"/>
          </w:tcPr>
          <w:p w14:paraId="2778C497">
            <w:pPr>
              <w:jc w:val="center"/>
              <w:rPr>
                <w:rFonts w:hint="eastAsia" w:ascii="宋体" w:hAnsi="宋体" w:cs="宋体"/>
                <w:sz w:val="24"/>
                <w:highlight w:val="none"/>
              </w:rPr>
            </w:pPr>
            <w:r>
              <w:rPr>
                <w:rFonts w:hint="eastAsia" w:ascii="宋体" w:hAnsi="宋体" w:cs="宋体"/>
                <w:sz w:val="24"/>
                <w:highlight w:val="none"/>
              </w:rPr>
              <w:t>≤5mm</w:t>
            </w:r>
          </w:p>
        </w:tc>
      </w:tr>
      <w:tr w14:paraId="55BADF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666" w:type="dxa"/>
            <w:tcBorders>
              <w:top w:val="single" w:color="auto" w:sz="4" w:space="0"/>
              <w:left w:val="single" w:color="auto" w:sz="4" w:space="0"/>
              <w:bottom w:val="single" w:color="auto" w:sz="4" w:space="0"/>
              <w:right w:val="single" w:color="auto" w:sz="4" w:space="0"/>
            </w:tcBorders>
            <w:noWrap w:val="0"/>
            <w:vAlign w:val="center"/>
          </w:tcPr>
          <w:p w14:paraId="3CB4F27D">
            <w:pPr>
              <w:jc w:val="center"/>
              <w:rPr>
                <w:sz w:val="24"/>
                <w:highlight w:val="none"/>
              </w:rPr>
            </w:pPr>
            <w:r>
              <w:rPr>
                <w:sz w:val="24"/>
                <w:highlight w:val="none"/>
              </w:rPr>
              <w:t>10</w:t>
            </w:r>
          </w:p>
        </w:tc>
        <w:tc>
          <w:tcPr>
            <w:tcW w:w="627" w:type="dxa"/>
            <w:vMerge w:val="continue"/>
            <w:tcBorders>
              <w:left w:val="single" w:color="auto" w:sz="4" w:space="0"/>
              <w:right w:val="single" w:color="auto" w:sz="4" w:space="0"/>
            </w:tcBorders>
            <w:noWrap w:val="0"/>
            <w:vAlign w:val="center"/>
          </w:tcPr>
          <w:p w14:paraId="24D5527D">
            <w:pPr>
              <w:widowControl/>
              <w:jc w:val="left"/>
              <w:rPr>
                <w:sz w:val="24"/>
                <w:highlight w:val="none"/>
              </w:rPr>
            </w:pPr>
          </w:p>
        </w:tc>
        <w:tc>
          <w:tcPr>
            <w:tcW w:w="2568" w:type="dxa"/>
            <w:tcBorders>
              <w:top w:val="single" w:color="auto" w:sz="4" w:space="0"/>
              <w:left w:val="single" w:color="auto" w:sz="4" w:space="0"/>
              <w:bottom w:val="single" w:color="auto" w:sz="4" w:space="0"/>
              <w:right w:val="single" w:color="auto" w:sz="4" w:space="0"/>
            </w:tcBorders>
            <w:noWrap w:val="0"/>
            <w:tcMar>
              <w:top w:w="13" w:type="dxa"/>
              <w:left w:w="13" w:type="dxa"/>
              <w:bottom w:w="0" w:type="dxa"/>
              <w:right w:w="13" w:type="dxa"/>
            </w:tcMar>
            <w:vAlign w:val="center"/>
          </w:tcPr>
          <w:p w14:paraId="6399CCCB">
            <w:pPr>
              <w:rPr>
                <w:sz w:val="24"/>
                <w:highlight w:val="none"/>
              </w:rPr>
            </w:pPr>
            <w:r>
              <w:rPr>
                <w:sz w:val="24"/>
                <w:highlight w:val="none"/>
              </w:rPr>
              <w:t>预埋安装螺栓孔（或螺栓）中心位置度偏差</w:t>
            </w:r>
          </w:p>
        </w:tc>
        <w:tc>
          <w:tcPr>
            <w:tcW w:w="4678" w:type="dxa"/>
            <w:tcBorders>
              <w:top w:val="single" w:color="auto" w:sz="4" w:space="0"/>
              <w:left w:val="single" w:color="auto" w:sz="4" w:space="0"/>
              <w:bottom w:val="single" w:color="auto" w:sz="4" w:space="0"/>
              <w:right w:val="single" w:color="auto" w:sz="4" w:space="0"/>
            </w:tcBorders>
            <w:noWrap w:val="0"/>
            <w:tcMar>
              <w:top w:w="13" w:type="dxa"/>
              <w:left w:w="13" w:type="dxa"/>
              <w:bottom w:w="0" w:type="dxa"/>
              <w:right w:w="13" w:type="dxa"/>
            </w:tcMar>
            <w:vAlign w:val="center"/>
          </w:tcPr>
          <w:p w14:paraId="0F6DF2E6">
            <w:pPr>
              <w:jc w:val="center"/>
              <w:rPr>
                <w:rFonts w:hint="eastAsia"/>
                <w:szCs w:val="21"/>
                <w:highlight w:val="none"/>
              </w:rPr>
            </w:pPr>
            <w:r>
              <w:rPr>
                <w:rFonts w:hint="eastAsia" w:ascii="宋体" w:hAnsi="宋体" w:cs="宋体"/>
                <w:sz w:val="24"/>
                <w:highlight w:val="none"/>
              </w:rPr>
              <w:t>≤Ø10mm</w:t>
            </w:r>
          </w:p>
        </w:tc>
      </w:tr>
      <w:tr w14:paraId="2131D9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666" w:type="dxa"/>
            <w:tcBorders>
              <w:top w:val="single" w:color="auto" w:sz="4" w:space="0"/>
              <w:left w:val="single" w:color="auto" w:sz="4" w:space="0"/>
              <w:bottom w:val="single" w:color="auto" w:sz="4" w:space="0"/>
              <w:right w:val="single" w:color="auto" w:sz="4" w:space="0"/>
            </w:tcBorders>
            <w:noWrap w:val="0"/>
            <w:vAlign w:val="center"/>
          </w:tcPr>
          <w:p w14:paraId="53243372">
            <w:pPr>
              <w:jc w:val="center"/>
              <w:rPr>
                <w:sz w:val="24"/>
                <w:highlight w:val="none"/>
              </w:rPr>
            </w:pPr>
            <w:r>
              <w:rPr>
                <w:sz w:val="24"/>
                <w:highlight w:val="none"/>
              </w:rPr>
              <w:t>11</w:t>
            </w:r>
          </w:p>
        </w:tc>
        <w:tc>
          <w:tcPr>
            <w:tcW w:w="627" w:type="dxa"/>
            <w:vMerge w:val="continue"/>
            <w:tcBorders>
              <w:left w:val="single" w:color="auto" w:sz="4" w:space="0"/>
              <w:right w:val="single" w:color="auto" w:sz="4" w:space="0"/>
            </w:tcBorders>
            <w:noWrap w:val="0"/>
            <w:vAlign w:val="center"/>
          </w:tcPr>
          <w:p w14:paraId="5BF9DCEB">
            <w:pPr>
              <w:widowControl/>
              <w:jc w:val="left"/>
              <w:rPr>
                <w:sz w:val="24"/>
                <w:highlight w:val="none"/>
              </w:rPr>
            </w:pPr>
          </w:p>
        </w:tc>
        <w:tc>
          <w:tcPr>
            <w:tcW w:w="2568" w:type="dxa"/>
            <w:tcBorders>
              <w:top w:val="single" w:color="auto" w:sz="4" w:space="0"/>
              <w:left w:val="single" w:color="auto" w:sz="4" w:space="0"/>
              <w:bottom w:val="single" w:color="auto" w:sz="4" w:space="0"/>
              <w:right w:val="single" w:color="auto" w:sz="4" w:space="0"/>
            </w:tcBorders>
            <w:noWrap w:val="0"/>
            <w:tcMar>
              <w:top w:w="13" w:type="dxa"/>
              <w:left w:w="13" w:type="dxa"/>
              <w:bottom w:w="0" w:type="dxa"/>
              <w:right w:w="13" w:type="dxa"/>
            </w:tcMar>
            <w:vAlign w:val="center"/>
          </w:tcPr>
          <w:p w14:paraId="0687FEF4">
            <w:pPr>
              <w:rPr>
                <w:sz w:val="24"/>
                <w:highlight w:val="none"/>
              </w:rPr>
            </w:pPr>
            <w:r>
              <w:rPr>
                <w:sz w:val="24"/>
                <w:highlight w:val="none"/>
              </w:rPr>
              <w:t>预埋吊装螺栓孔中心位置度偏差</w:t>
            </w:r>
          </w:p>
        </w:tc>
        <w:tc>
          <w:tcPr>
            <w:tcW w:w="4678" w:type="dxa"/>
            <w:tcBorders>
              <w:top w:val="single" w:color="auto" w:sz="4" w:space="0"/>
              <w:left w:val="single" w:color="auto" w:sz="4" w:space="0"/>
              <w:bottom w:val="single" w:color="auto" w:sz="4" w:space="0"/>
              <w:right w:val="single" w:color="auto" w:sz="4" w:space="0"/>
            </w:tcBorders>
            <w:noWrap w:val="0"/>
            <w:tcMar>
              <w:top w:w="13" w:type="dxa"/>
              <w:left w:w="13" w:type="dxa"/>
              <w:bottom w:w="0" w:type="dxa"/>
              <w:right w:w="13" w:type="dxa"/>
            </w:tcMar>
            <w:vAlign w:val="center"/>
          </w:tcPr>
          <w:p w14:paraId="60BF427A">
            <w:pPr>
              <w:jc w:val="center"/>
              <w:rPr>
                <w:rFonts w:hint="eastAsia"/>
                <w:szCs w:val="21"/>
                <w:highlight w:val="none"/>
              </w:rPr>
            </w:pPr>
            <w:r>
              <w:rPr>
                <w:rFonts w:hint="eastAsia" w:ascii="宋体" w:hAnsi="宋体" w:cs="宋体"/>
                <w:sz w:val="24"/>
                <w:highlight w:val="none"/>
              </w:rPr>
              <w:t>≤Ø10mm</w:t>
            </w:r>
          </w:p>
        </w:tc>
      </w:tr>
      <w:tr w14:paraId="5C6227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666" w:type="dxa"/>
            <w:tcBorders>
              <w:top w:val="single" w:color="auto" w:sz="4" w:space="0"/>
              <w:left w:val="single" w:color="auto" w:sz="4" w:space="0"/>
              <w:bottom w:val="single" w:color="auto" w:sz="4" w:space="0"/>
              <w:right w:val="single" w:color="auto" w:sz="4" w:space="0"/>
            </w:tcBorders>
            <w:noWrap w:val="0"/>
            <w:vAlign w:val="center"/>
          </w:tcPr>
          <w:p w14:paraId="63EB6311">
            <w:pPr>
              <w:jc w:val="center"/>
              <w:rPr>
                <w:sz w:val="24"/>
                <w:highlight w:val="none"/>
              </w:rPr>
            </w:pPr>
            <w:r>
              <w:rPr>
                <w:rFonts w:hint="eastAsia"/>
                <w:sz w:val="24"/>
                <w:highlight w:val="none"/>
              </w:rPr>
              <w:t>1</w:t>
            </w:r>
            <w:r>
              <w:rPr>
                <w:sz w:val="24"/>
                <w:highlight w:val="none"/>
              </w:rPr>
              <w:t>2</w:t>
            </w:r>
          </w:p>
        </w:tc>
        <w:tc>
          <w:tcPr>
            <w:tcW w:w="627" w:type="dxa"/>
            <w:vMerge w:val="continue"/>
            <w:tcBorders>
              <w:left w:val="single" w:color="auto" w:sz="4" w:space="0"/>
              <w:right w:val="single" w:color="auto" w:sz="4" w:space="0"/>
            </w:tcBorders>
            <w:noWrap w:val="0"/>
            <w:vAlign w:val="center"/>
          </w:tcPr>
          <w:p w14:paraId="364A7FF3">
            <w:pPr>
              <w:widowControl/>
              <w:jc w:val="left"/>
              <w:rPr>
                <w:sz w:val="24"/>
                <w:highlight w:val="none"/>
              </w:rPr>
            </w:pPr>
          </w:p>
        </w:tc>
        <w:tc>
          <w:tcPr>
            <w:tcW w:w="2568" w:type="dxa"/>
            <w:tcBorders>
              <w:top w:val="single" w:color="auto" w:sz="4" w:space="0"/>
              <w:left w:val="single" w:color="auto" w:sz="4" w:space="0"/>
              <w:bottom w:val="single" w:color="auto" w:sz="4" w:space="0"/>
              <w:right w:val="single" w:color="auto" w:sz="4" w:space="0"/>
            </w:tcBorders>
            <w:noWrap w:val="0"/>
            <w:tcMar>
              <w:top w:w="13" w:type="dxa"/>
              <w:left w:w="13" w:type="dxa"/>
              <w:bottom w:w="0" w:type="dxa"/>
              <w:right w:w="13" w:type="dxa"/>
            </w:tcMar>
            <w:vAlign w:val="center"/>
          </w:tcPr>
          <w:p w14:paraId="761C04A4">
            <w:pPr>
              <w:rPr>
                <w:sz w:val="24"/>
                <w:highlight w:val="none"/>
              </w:rPr>
            </w:pPr>
            <w:r>
              <w:rPr>
                <w:sz w:val="24"/>
                <w:highlight w:val="none"/>
              </w:rPr>
              <w:t>预埋</w:t>
            </w:r>
            <w:r>
              <w:rPr>
                <w:rFonts w:hint="eastAsia"/>
                <w:sz w:val="24"/>
                <w:highlight w:val="none"/>
              </w:rPr>
              <w:t>件（管道、钢板等）中心</w:t>
            </w:r>
            <w:r>
              <w:rPr>
                <w:sz w:val="24"/>
                <w:highlight w:val="none"/>
              </w:rPr>
              <w:t>位置度偏差</w:t>
            </w:r>
          </w:p>
        </w:tc>
        <w:tc>
          <w:tcPr>
            <w:tcW w:w="4678" w:type="dxa"/>
            <w:tcBorders>
              <w:top w:val="single" w:color="auto" w:sz="4" w:space="0"/>
              <w:left w:val="single" w:color="auto" w:sz="4" w:space="0"/>
              <w:bottom w:val="single" w:color="auto" w:sz="4" w:space="0"/>
              <w:right w:val="single" w:color="auto" w:sz="4" w:space="0"/>
            </w:tcBorders>
            <w:noWrap w:val="0"/>
            <w:tcMar>
              <w:top w:w="13" w:type="dxa"/>
              <w:left w:w="13" w:type="dxa"/>
              <w:bottom w:w="0" w:type="dxa"/>
              <w:right w:w="13" w:type="dxa"/>
            </w:tcMar>
            <w:vAlign w:val="center"/>
          </w:tcPr>
          <w:p w14:paraId="7913DC7A">
            <w:pPr>
              <w:jc w:val="center"/>
              <w:rPr>
                <w:rFonts w:hint="eastAsia"/>
                <w:szCs w:val="21"/>
                <w:highlight w:val="none"/>
              </w:rPr>
            </w:pPr>
            <w:r>
              <w:rPr>
                <w:rFonts w:hint="eastAsia" w:ascii="宋体" w:hAnsi="宋体" w:cs="宋体"/>
                <w:sz w:val="24"/>
                <w:highlight w:val="none"/>
              </w:rPr>
              <w:t>≤10mm</w:t>
            </w:r>
          </w:p>
        </w:tc>
      </w:tr>
      <w:tr w14:paraId="7BFA9C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666" w:type="dxa"/>
            <w:tcBorders>
              <w:top w:val="single" w:color="auto" w:sz="4" w:space="0"/>
              <w:left w:val="single" w:color="auto" w:sz="4" w:space="0"/>
              <w:bottom w:val="single" w:color="auto" w:sz="4" w:space="0"/>
              <w:right w:val="single" w:color="auto" w:sz="4" w:space="0"/>
            </w:tcBorders>
            <w:noWrap w:val="0"/>
            <w:vAlign w:val="center"/>
          </w:tcPr>
          <w:p w14:paraId="3394A18A">
            <w:pPr>
              <w:jc w:val="center"/>
              <w:rPr>
                <w:sz w:val="24"/>
                <w:highlight w:val="none"/>
              </w:rPr>
            </w:pPr>
            <w:r>
              <w:rPr>
                <w:rFonts w:hint="eastAsia"/>
                <w:sz w:val="24"/>
                <w:highlight w:val="none"/>
              </w:rPr>
              <w:t>★</w:t>
            </w:r>
            <w:r>
              <w:rPr>
                <w:sz w:val="24"/>
                <w:highlight w:val="none"/>
              </w:rPr>
              <w:t>13</w:t>
            </w:r>
          </w:p>
        </w:tc>
        <w:tc>
          <w:tcPr>
            <w:tcW w:w="627" w:type="dxa"/>
            <w:vMerge w:val="continue"/>
            <w:tcBorders>
              <w:left w:val="single" w:color="auto" w:sz="4" w:space="0"/>
              <w:bottom w:val="single" w:color="auto" w:sz="4" w:space="0"/>
              <w:right w:val="single" w:color="auto" w:sz="4" w:space="0"/>
            </w:tcBorders>
            <w:noWrap w:val="0"/>
            <w:vAlign w:val="center"/>
          </w:tcPr>
          <w:p w14:paraId="1C19717F">
            <w:pPr>
              <w:widowControl/>
              <w:jc w:val="left"/>
              <w:rPr>
                <w:sz w:val="24"/>
                <w:highlight w:val="none"/>
              </w:rPr>
            </w:pPr>
          </w:p>
        </w:tc>
        <w:tc>
          <w:tcPr>
            <w:tcW w:w="2568" w:type="dxa"/>
            <w:tcBorders>
              <w:top w:val="single" w:color="auto" w:sz="4" w:space="0"/>
              <w:left w:val="single" w:color="auto" w:sz="4" w:space="0"/>
              <w:bottom w:val="single" w:color="auto" w:sz="4" w:space="0"/>
              <w:right w:val="single" w:color="auto" w:sz="4" w:space="0"/>
            </w:tcBorders>
            <w:noWrap w:val="0"/>
            <w:tcMar>
              <w:top w:w="13" w:type="dxa"/>
              <w:left w:w="13" w:type="dxa"/>
              <w:bottom w:w="0" w:type="dxa"/>
              <w:right w:w="13" w:type="dxa"/>
            </w:tcMar>
            <w:vAlign w:val="center"/>
          </w:tcPr>
          <w:p w14:paraId="6A26E7EA">
            <w:pPr>
              <w:rPr>
                <w:rFonts w:hint="eastAsia"/>
                <w:kern w:val="32"/>
                <w:sz w:val="24"/>
                <w:highlight w:val="none"/>
              </w:rPr>
            </w:pPr>
            <w:r>
              <w:rPr>
                <w:rFonts w:hint="eastAsia"/>
                <w:sz w:val="24"/>
                <w:highlight w:val="none"/>
              </w:rPr>
              <w:t>预埋停束铁中心位置度偏差</w:t>
            </w:r>
          </w:p>
        </w:tc>
        <w:tc>
          <w:tcPr>
            <w:tcW w:w="4678" w:type="dxa"/>
            <w:tcBorders>
              <w:top w:val="single" w:color="auto" w:sz="4" w:space="0"/>
              <w:left w:val="single" w:color="auto" w:sz="4" w:space="0"/>
              <w:bottom w:val="single" w:color="auto" w:sz="4" w:space="0"/>
              <w:right w:val="single" w:color="auto" w:sz="4" w:space="0"/>
            </w:tcBorders>
            <w:noWrap w:val="0"/>
            <w:tcMar>
              <w:top w:w="13" w:type="dxa"/>
              <w:left w:w="13" w:type="dxa"/>
              <w:bottom w:w="0" w:type="dxa"/>
              <w:right w:w="13" w:type="dxa"/>
            </w:tcMar>
            <w:vAlign w:val="center"/>
          </w:tcPr>
          <w:p w14:paraId="7902DF58">
            <w:pPr>
              <w:jc w:val="center"/>
              <w:rPr>
                <w:rFonts w:hint="eastAsia"/>
                <w:szCs w:val="21"/>
                <w:highlight w:val="none"/>
              </w:rPr>
            </w:pPr>
            <w:r>
              <w:rPr>
                <w:rFonts w:hint="eastAsia" w:ascii="宋体" w:hAnsi="宋体" w:cs="宋体"/>
                <w:sz w:val="24"/>
                <w:highlight w:val="none"/>
              </w:rPr>
              <w:t>≤</w:t>
            </w:r>
            <w:r>
              <w:rPr>
                <w:rFonts w:ascii="宋体" w:hAnsi="宋体" w:cs="宋体"/>
                <w:sz w:val="24"/>
                <w:highlight w:val="none"/>
              </w:rPr>
              <w:t>20</w:t>
            </w:r>
            <w:r>
              <w:rPr>
                <w:rFonts w:hint="eastAsia" w:ascii="宋体" w:hAnsi="宋体" w:cs="宋体"/>
                <w:sz w:val="24"/>
                <w:highlight w:val="none"/>
              </w:rPr>
              <w:t>mm</w:t>
            </w:r>
          </w:p>
        </w:tc>
      </w:tr>
      <w:tr w14:paraId="19C101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666" w:type="dxa"/>
            <w:tcBorders>
              <w:top w:val="single" w:color="auto" w:sz="4" w:space="0"/>
              <w:left w:val="single" w:color="auto" w:sz="4" w:space="0"/>
              <w:bottom w:val="single" w:color="auto" w:sz="4" w:space="0"/>
              <w:right w:val="single" w:color="auto" w:sz="4" w:space="0"/>
            </w:tcBorders>
            <w:noWrap w:val="0"/>
            <w:vAlign w:val="center"/>
          </w:tcPr>
          <w:p w14:paraId="5D0D913F">
            <w:pPr>
              <w:jc w:val="center"/>
              <w:rPr>
                <w:sz w:val="24"/>
                <w:highlight w:val="none"/>
              </w:rPr>
            </w:pPr>
            <w:r>
              <w:rPr>
                <w:rFonts w:hint="eastAsia"/>
                <w:sz w:val="24"/>
                <w:highlight w:val="none"/>
              </w:rPr>
              <w:t>1</w:t>
            </w:r>
            <w:r>
              <w:rPr>
                <w:sz w:val="24"/>
                <w:highlight w:val="none"/>
              </w:rPr>
              <w:t>4</w:t>
            </w:r>
          </w:p>
        </w:tc>
        <w:tc>
          <w:tcPr>
            <w:tcW w:w="627" w:type="dxa"/>
            <w:vMerge w:val="continue"/>
            <w:tcBorders>
              <w:left w:val="single" w:color="auto" w:sz="4" w:space="0"/>
              <w:bottom w:val="single" w:color="auto" w:sz="4" w:space="0"/>
              <w:right w:val="single" w:color="auto" w:sz="4" w:space="0"/>
            </w:tcBorders>
            <w:noWrap w:val="0"/>
            <w:vAlign w:val="center"/>
          </w:tcPr>
          <w:p w14:paraId="72FB3F29">
            <w:pPr>
              <w:widowControl/>
              <w:jc w:val="left"/>
              <w:rPr>
                <w:sz w:val="24"/>
                <w:highlight w:val="none"/>
              </w:rPr>
            </w:pPr>
          </w:p>
        </w:tc>
        <w:tc>
          <w:tcPr>
            <w:tcW w:w="2568" w:type="dxa"/>
            <w:tcBorders>
              <w:top w:val="single" w:color="auto" w:sz="4" w:space="0"/>
              <w:left w:val="single" w:color="auto" w:sz="4" w:space="0"/>
              <w:bottom w:val="single" w:color="auto" w:sz="4" w:space="0"/>
              <w:right w:val="single" w:color="auto" w:sz="4" w:space="0"/>
            </w:tcBorders>
            <w:noWrap w:val="0"/>
            <w:tcMar>
              <w:top w:w="13" w:type="dxa"/>
              <w:left w:w="13" w:type="dxa"/>
              <w:bottom w:w="0" w:type="dxa"/>
              <w:right w:w="13" w:type="dxa"/>
            </w:tcMar>
            <w:vAlign w:val="center"/>
          </w:tcPr>
          <w:p w14:paraId="1D80F65C">
            <w:pPr>
              <w:rPr>
                <w:rFonts w:hint="eastAsia"/>
                <w:sz w:val="24"/>
                <w:highlight w:val="none"/>
              </w:rPr>
            </w:pPr>
            <w:r>
              <w:rPr>
                <w:rFonts w:hint="eastAsia"/>
                <w:kern w:val="32"/>
                <w:sz w:val="24"/>
                <w:highlight w:val="none"/>
              </w:rPr>
              <w:t>预埋停束铁表面处理</w:t>
            </w:r>
          </w:p>
        </w:tc>
        <w:tc>
          <w:tcPr>
            <w:tcW w:w="4678" w:type="dxa"/>
            <w:tcBorders>
              <w:top w:val="single" w:color="auto" w:sz="4" w:space="0"/>
              <w:left w:val="single" w:color="auto" w:sz="4" w:space="0"/>
              <w:bottom w:val="single" w:color="auto" w:sz="4" w:space="0"/>
              <w:right w:val="single" w:color="auto" w:sz="4" w:space="0"/>
            </w:tcBorders>
            <w:noWrap w:val="0"/>
            <w:tcMar>
              <w:top w:w="13" w:type="dxa"/>
              <w:left w:w="13" w:type="dxa"/>
              <w:bottom w:w="0" w:type="dxa"/>
              <w:right w:w="13" w:type="dxa"/>
            </w:tcMar>
            <w:vAlign w:val="center"/>
          </w:tcPr>
          <w:p w14:paraId="03219DE1">
            <w:pPr>
              <w:adjustRightInd w:val="0"/>
              <w:snapToGrid w:val="0"/>
              <w:jc w:val="center"/>
              <w:rPr>
                <w:rFonts w:hint="eastAsia"/>
                <w:szCs w:val="21"/>
                <w:highlight w:val="none"/>
              </w:rPr>
            </w:pPr>
            <w:r>
              <w:rPr>
                <w:rFonts w:hint="eastAsia" w:ascii="宋体" w:hAnsi="宋体" w:cs="宋体"/>
                <w:sz w:val="24"/>
                <w:highlight w:val="none"/>
              </w:rPr>
              <w:t>喷涂防锈底漆，总厚度100</w:t>
            </w:r>
            <w:r>
              <w:rPr>
                <w:rFonts w:hint="default" w:ascii="Times New Roman" w:hAnsi="Times New Roman" w:cs="Times New Roman"/>
                <w:sz w:val="24"/>
                <w:highlight w:val="none"/>
              </w:rPr>
              <w:t>μ</w:t>
            </w:r>
            <w:r>
              <w:rPr>
                <w:rFonts w:hint="eastAsia" w:ascii="宋体" w:hAnsi="宋体" w:cs="宋体"/>
                <w:sz w:val="24"/>
                <w:highlight w:val="none"/>
              </w:rPr>
              <w:t>m</w:t>
            </w:r>
          </w:p>
        </w:tc>
      </w:tr>
      <w:tr w14:paraId="28BE97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666" w:type="dxa"/>
            <w:tcBorders>
              <w:top w:val="single" w:color="auto" w:sz="4" w:space="0"/>
              <w:left w:val="single" w:color="auto" w:sz="4" w:space="0"/>
              <w:bottom w:val="single" w:color="auto" w:sz="4" w:space="0"/>
              <w:right w:val="single" w:color="auto" w:sz="4" w:space="0"/>
            </w:tcBorders>
            <w:noWrap w:val="0"/>
            <w:vAlign w:val="center"/>
          </w:tcPr>
          <w:p w14:paraId="6C1B34DA">
            <w:pPr>
              <w:jc w:val="center"/>
              <w:rPr>
                <w:sz w:val="24"/>
                <w:highlight w:val="none"/>
              </w:rPr>
            </w:pPr>
            <w:r>
              <w:rPr>
                <w:rFonts w:hint="eastAsia"/>
                <w:sz w:val="24"/>
                <w:highlight w:val="none"/>
              </w:rPr>
              <w:t>★</w:t>
            </w:r>
            <w:r>
              <w:rPr>
                <w:sz w:val="24"/>
                <w:highlight w:val="none"/>
              </w:rPr>
              <w:t>15</w:t>
            </w:r>
          </w:p>
        </w:tc>
        <w:tc>
          <w:tcPr>
            <w:tcW w:w="627" w:type="dxa"/>
            <w:tcBorders>
              <w:top w:val="nil"/>
              <w:left w:val="single" w:color="auto" w:sz="4" w:space="0"/>
              <w:right w:val="single" w:color="auto" w:sz="4" w:space="0"/>
            </w:tcBorders>
            <w:noWrap w:val="0"/>
            <w:tcMar>
              <w:top w:w="13" w:type="dxa"/>
              <w:left w:w="13" w:type="dxa"/>
              <w:bottom w:w="0" w:type="dxa"/>
              <w:right w:w="13" w:type="dxa"/>
            </w:tcMar>
            <w:vAlign w:val="center"/>
          </w:tcPr>
          <w:p w14:paraId="531CA638">
            <w:pPr>
              <w:jc w:val="center"/>
              <w:rPr>
                <w:sz w:val="24"/>
                <w:highlight w:val="none"/>
              </w:rPr>
            </w:pPr>
            <w:r>
              <w:rPr>
                <w:sz w:val="24"/>
                <w:highlight w:val="none"/>
              </w:rPr>
              <w:t>安装精度</w:t>
            </w:r>
          </w:p>
        </w:tc>
        <w:tc>
          <w:tcPr>
            <w:tcW w:w="2568" w:type="dxa"/>
            <w:tcBorders>
              <w:top w:val="single" w:color="auto" w:sz="4" w:space="0"/>
              <w:left w:val="single" w:color="auto" w:sz="4" w:space="0"/>
              <w:bottom w:val="single" w:color="auto" w:sz="4" w:space="0"/>
              <w:right w:val="single" w:color="auto" w:sz="4" w:space="0"/>
            </w:tcBorders>
            <w:noWrap w:val="0"/>
            <w:tcMar>
              <w:top w:w="13" w:type="dxa"/>
              <w:left w:w="13" w:type="dxa"/>
              <w:bottom w:w="0" w:type="dxa"/>
              <w:right w:w="13" w:type="dxa"/>
            </w:tcMar>
            <w:vAlign w:val="center"/>
          </w:tcPr>
          <w:p w14:paraId="6D9F38B7">
            <w:pPr>
              <w:rPr>
                <w:sz w:val="24"/>
                <w:highlight w:val="none"/>
              </w:rPr>
            </w:pPr>
            <w:r>
              <w:rPr>
                <w:rFonts w:hint="eastAsia"/>
                <w:sz w:val="24"/>
                <w:highlight w:val="none"/>
              </w:rPr>
              <w:t>混凝土屏蔽块间隙</w:t>
            </w:r>
          </w:p>
        </w:tc>
        <w:tc>
          <w:tcPr>
            <w:tcW w:w="4678" w:type="dxa"/>
            <w:tcBorders>
              <w:top w:val="single" w:color="auto" w:sz="4" w:space="0"/>
              <w:left w:val="single" w:color="auto" w:sz="4" w:space="0"/>
              <w:bottom w:val="single" w:color="auto" w:sz="4" w:space="0"/>
              <w:right w:val="single" w:color="auto" w:sz="4" w:space="0"/>
            </w:tcBorders>
            <w:noWrap w:val="0"/>
            <w:tcMar>
              <w:top w:w="13" w:type="dxa"/>
              <w:left w:w="13" w:type="dxa"/>
              <w:bottom w:w="0" w:type="dxa"/>
              <w:right w:w="13" w:type="dxa"/>
            </w:tcMar>
            <w:vAlign w:val="center"/>
          </w:tcPr>
          <w:p w14:paraId="19A764AD">
            <w:pPr>
              <w:jc w:val="center"/>
              <w:rPr>
                <w:rFonts w:hint="eastAsia"/>
                <w:szCs w:val="21"/>
                <w:highlight w:val="none"/>
              </w:rPr>
            </w:pPr>
            <w:r>
              <w:rPr>
                <w:rFonts w:hint="eastAsia" w:ascii="宋体" w:hAnsi="宋体" w:cs="宋体"/>
                <w:sz w:val="24"/>
                <w:highlight w:val="none"/>
              </w:rPr>
              <w:t>≤1</w:t>
            </w:r>
            <w:r>
              <w:rPr>
                <w:rFonts w:ascii="宋体" w:hAnsi="宋体" w:cs="宋体"/>
                <w:sz w:val="24"/>
                <w:highlight w:val="none"/>
              </w:rPr>
              <w:t>0</w:t>
            </w:r>
            <w:r>
              <w:rPr>
                <w:rFonts w:hint="eastAsia" w:ascii="宋体" w:hAnsi="宋体" w:cs="宋体"/>
                <w:sz w:val="24"/>
                <w:highlight w:val="none"/>
              </w:rPr>
              <w:t>mm</w:t>
            </w:r>
          </w:p>
        </w:tc>
      </w:tr>
    </w:tbl>
    <w:p w14:paraId="462D0AA3">
      <w:pPr>
        <w:snapToGrid w:val="0"/>
        <w:ind w:firstLine="480" w:firstLineChars="200"/>
        <w:jc w:val="center"/>
        <w:rPr>
          <w:rFonts w:hint="eastAsia"/>
          <w:sz w:val="24"/>
        </w:rPr>
      </w:pPr>
    </w:p>
    <w:p w14:paraId="098E3F95">
      <w:pPr>
        <w:tabs>
          <w:tab w:val="left" w:pos="540"/>
        </w:tabs>
        <w:adjustRightInd w:val="0"/>
        <w:snapToGrid w:val="0"/>
        <w:spacing w:before="312" w:beforeLines="100"/>
        <w:rPr>
          <w:sz w:val="24"/>
        </w:rPr>
      </w:pPr>
      <w:r>
        <w:rPr>
          <w:sz w:val="24"/>
        </w:rPr>
        <w:t>注：表中所列带</w:t>
      </w:r>
      <w:r>
        <w:rPr>
          <w:rFonts w:hint="eastAsia"/>
          <w:sz w:val="24"/>
        </w:rPr>
        <w:t>★</w:t>
      </w:r>
      <w:r>
        <w:rPr>
          <w:sz w:val="24"/>
        </w:rPr>
        <w:t>的技术要求均不允许负偏离，否则将被视为无效投标文件而被否决</w:t>
      </w:r>
    </w:p>
    <w:p w14:paraId="27226B68">
      <w:pPr>
        <w:spacing w:before="100" w:beforeAutospacing="1" w:after="100" w:afterAutospacing="1"/>
        <w:jc w:val="left"/>
        <w:outlineLvl w:val="2"/>
        <w:rPr>
          <w:b/>
          <w:kern w:val="0"/>
          <w:sz w:val="24"/>
          <w:szCs w:val="27"/>
        </w:rPr>
      </w:pPr>
      <w:r>
        <w:rPr>
          <w:b/>
          <w:kern w:val="0"/>
          <w:sz w:val="24"/>
          <w:szCs w:val="27"/>
        </w:rPr>
        <w:t>1.3招标范围、计划工期和质量要求</w:t>
      </w:r>
    </w:p>
    <w:p w14:paraId="5847F7B6">
      <w:pPr>
        <w:pStyle w:val="9"/>
        <w:numPr>
          <w:ilvl w:val="2"/>
          <w:numId w:val="1"/>
        </w:numPr>
        <w:spacing w:before="156"/>
        <w:ind w:firstLineChars="0"/>
        <w:rPr>
          <w:rFonts w:ascii="Times New Roman" w:hAnsi="Times New Roman"/>
          <w:sz w:val="24"/>
        </w:rPr>
      </w:pPr>
      <w:r>
        <w:rPr>
          <w:rFonts w:ascii="Times New Roman" w:hAnsi="Times New Roman"/>
          <w:sz w:val="24"/>
        </w:rPr>
        <w:t>合同的供货范围如下：</w:t>
      </w:r>
    </w:p>
    <w:p w14:paraId="279CAF49">
      <w:pPr>
        <w:pStyle w:val="9"/>
        <w:spacing w:before="156"/>
        <w:ind w:firstLine="480"/>
        <w:rPr>
          <w:rFonts w:ascii="Times New Roman" w:hAnsi="Times New Roman"/>
          <w:sz w:val="24"/>
        </w:rPr>
      </w:pPr>
      <w:r>
        <w:rPr>
          <w:rFonts w:hint="eastAsia" w:ascii="Times New Roman" w:hAnsi="Times New Roman"/>
          <w:sz w:val="24"/>
        </w:rPr>
        <w:t>高能质子束实验终端屏蔽体1套，并包含预埋停束铁、除</w:t>
      </w:r>
      <w:r>
        <w:rPr>
          <w:rFonts w:hint="eastAsia"/>
          <w:sz w:val="24"/>
        </w:rPr>
        <w:t>48根</w:t>
      </w:r>
      <w:r>
        <w:rPr>
          <w:rFonts w:hint="eastAsia" w:ascii="Times New Roman" w:hAnsi="Times New Roman"/>
          <w:sz w:val="24"/>
        </w:rPr>
        <w:t>工艺预埋件以外的预埋件、吊装工装、标准件、连接件等</w:t>
      </w:r>
    </w:p>
    <w:p w14:paraId="07549587">
      <w:pPr>
        <w:pStyle w:val="9"/>
        <w:numPr>
          <w:ilvl w:val="2"/>
          <w:numId w:val="1"/>
        </w:numPr>
        <w:spacing w:before="156"/>
        <w:ind w:firstLineChars="0"/>
        <w:rPr>
          <w:rFonts w:ascii="Times New Roman" w:hAnsi="Times New Roman"/>
          <w:sz w:val="24"/>
        </w:rPr>
      </w:pPr>
      <w:r>
        <w:rPr>
          <w:rFonts w:ascii="Times New Roman" w:hAnsi="Times New Roman"/>
          <w:sz w:val="24"/>
        </w:rPr>
        <w:t>中标人的工作范围，包括以下内容：</w:t>
      </w:r>
    </w:p>
    <w:p w14:paraId="5B679B68">
      <w:pPr>
        <w:pStyle w:val="9"/>
        <w:spacing w:before="156"/>
        <w:ind w:firstLine="480"/>
        <w:rPr>
          <w:rFonts w:hint="eastAsia" w:ascii="Times New Roman" w:hAnsi="Times New Roman"/>
          <w:sz w:val="24"/>
        </w:rPr>
      </w:pPr>
      <w:r>
        <w:rPr>
          <w:rFonts w:ascii="Times New Roman" w:hAnsi="Times New Roman"/>
          <w:kern w:val="0"/>
          <w:sz w:val="24"/>
          <w:szCs w:val="23"/>
        </w:rPr>
        <w:t>中标人负责</w:t>
      </w:r>
      <w:r>
        <w:rPr>
          <w:rFonts w:hint="eastAsia" w:ascii="Times New Roman" w:hAnsi="Times New Roman"/>
          <w:kern w:val="0"/>
          <w:sz w:val="24"/>
          <w:szCs w:val="23"/>
        </w:rPr>
        <w:t>混凝土、预埋停束铁、</w:t>
      </w:r>
      <w:r>
        <w:rPr>
          <w:rFonts w:hint="eastAsia" w:ascii="Times New Roman" w:hAnsi="Times New Roman"/>
          <w:sz w:val="24"/>
        </w:rPr>
        <w:t>除</w:t>
      </w:r>
      <w:r>
        <w:rPr>
          <w:rFonts w:hint="eastAsia"/>
          <w:sz w:val="24"/>
        </w:rPr>
        <w:t>48根</w:t>
      </w:r>
      <w:r>
        <w:rPr>
          <w:rFonts w:hint="eastAsia" w:ascii="Times New Roman" w:hAnsi="Times New Roman"/>
          <w:sz w:val="24"/>
        </w:rPr>
        <w:t>工艺预埋件以外的预埋件</w:t>
      </w:r>
      <w:r>
        <w:rPr>
          <w:rFonts w:hint="eastAsia" w:ascii="Times New Roman" w:hAnsi="Times New Roman"/>
          <w:kern w:val="0"/>
          <w:sz w:val="24"/>
          <w:szCs w:val="23"/>
        </w:rPr>
        <w:t>等材料及标准件的采购、屏蔽体系统的工艺设计、制造、工装设计及</w:t>
      </w:r>
      <w:r>
        <w:rPr>
          <w:rFonts w:ascii="Times New Roman" w:hAnsi="Times New Roman"/>
          <w:kern w:val="0"/>
          <w:sz w:val="24"/>
          <w:szCs w:val="23"/>
        </w:rPr>
        <w:t>制造</w:t>
      </w:r>
      <w:r>
        <w:rPr>
          <w:rFonts w:hint="eastAsia" w:ascii="Times New Roman" w:hAnsi="Times New Roman"/>
          <w:kern w:val="0"/>
          <w:sz w:val="24"/>
          <w:szCs w:val="23"/>
        </w:rPr>
        <w:t>（包括加工、测试、安装和运输等所需的工装）、零部件检测、性能测试、出厂验收、包装、运输、采购人现场施工与安装等。</w:t>
      </w:r>
    </w:p>
    <w:p w14:paraId="054CC29A">
      <w:pPr>
        <w:pStyle w:val="9"/>
        <w:numPr>
          <w:ilvl w:val="2"/>
          <w:numId w:val="1"/>
        </w:numPr>
        <w:spacing w:before="156"/>
        <w:ind w:firstLineChars="0"/>
        <w:rPr>
          <w:rFonts w:ascii="Times New Roman" w:hAnsi="Times New Roman"/>
          <w:sz w:val="24"/>
        </w:rPr>
      </w:pPr>
      <w:r>
        <w:rPr>
          <w:rFonts w:ascii="Times New Roman" w:hAnsi="Times New Roman"/>
          <w:sz w:val="24"/>
        </w:rPr>
        <w:t>计划工期</w:t>
      </w:r>
    </w:p>
    <w:p w14:paraId="65147EAA">
      <w:pPr>
        <w:pStyle w:val="9"/>
        <w:tabs>
          <w:tab w:val="left" w:pos="660"/>
        </w:tabs>
        <w:adjustRightInd w:val="0"/>
        <w:snapToGrid w:val="0"/>
        <w:spacing w:before="156"/>
        <w:ind w:firstLine="480"/>
        <w:rPr>
          <w:rFonts w:ascii="Times New Roman" w:hAnsi="Times New Roman"/>
          <w:sz w:val="24"/>
        </w:rPr>
      </w:pPr>
      <w:r>
        <w:rPr>
          <w:rFonts w:ascii="Times New Roman" w:hAnsi="Times New Roman"/>
          <w:sz w:val="24"/>
        </w:rPr>
        <w:t>2027年</w:t>
      </w:r>
      <w:r>
        <w:rPr>
          <w:rFonts w:hint="eastAsia" w:ascii="Times New Roman" w:hAnsi="Times New Roman"/>
          <w:sz w:val="24"/>
        </w:rPr>
        <w:t>0</w:t>
      </w:r>
      <w:r>
        <w:rPr>
          <w:rFonts w:ascii="Times New Roman" w:hAnsi="Times New Roman"/>
          <w:sz w:val="24"/>
        </w:rPr>
        <w:t>3月30日前</w:t>
      </w:r>
      <w:r>
        <w:rPr>
          <w:rFonts w:hint="eastAsia" w:ascii="宋体" w:hAnsi="宋体"/>
          <w:sz w:val="24"/>
        </w:rPr>
        <w:t>完成屏蔽体施工建设</w:t>
      </w:r>
      <w:r>
        <w:rPr>
          <w:rFonts w:hint="eastAsia" w:ascii="Times New Roman" w:hAnsi="Times New Roman"/>
          <w:sz w:val="24"/>
        </w:rPr>
        <w:t>。</w:t>
      </w:r>
    </w:p>
    <w:p w14:paraId="56CEFDE3">
      <w:pPr>
        <w:pStyle w:val="9"/>
        <w:tabs>
          <w:tab w:val="left" w:pos="660"/>
        </w:tabs>
        <w:adjustRightInd w:val="0"/>
        <w:snapToGrid w:val="0"/>
        <w:spacing w:before="156"/>
        <w:ind w:firstLine="480"/>
        <w:rPr>
          <w:rFonts w:ascii="Times New Roman" w:hAnsi="Times New Roman"/>
          <w:kern w:val="0"/>
          <w:sz w:val="24"/>
          <w:szCs w:val="23"/>
        </w:rPr>
      </w:pPr>
      <w:r>
        <w:rPr>
          <w:rFonts w:ascii="Times New Roman" w:hAnsi="Times New Roman"/>
          <w:sz w:val="24"/>
        </w:rPr>
        <w:t>2027年04月30日前完成最终验收</w:t>
      </w:r>
      <w:r>
        <w:rPr>
          <w:rFonts w:ascii="Times New Roman" w:hAnsi="Times New Roman"/>
          <w:kern w:val="0"/>
          <w:sz w:val="24"/>
          <w:szCs w:val="23"/>
        </w:rPr>
        <w:t xml:space="preserve">。 </w:t>
      </w:r>
    </w:p>
    <w:tbl>
      <w:tblPr>
        <w:tblStyle w:val="6"/>
        <w:tblW w:w="85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1"/>
        <w:gridCol w:w="3933"/>
        <w:gridCol w:w="2891"/>
        <w:gridCol w:w="1003"/>
      </w:tblGrid>
      <w:tr w14:paraId="4E2AA6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724" w:type="dxa"/>
            <w:noWrap w:val="0"/>
            <w:vAlign w:val="center"/>
          </w:tcPr>
          <w:p w14:paraId="7E4B4E86">
            <w:pPr>
              <w:jc w:val="center"/>
              <w:rPr>
                <w:rFonts w:ascii="黑体" w:hAnsi="黑体" w:eastAsia="黑体"/>
                <w:szCs w:val="21"/>
              </w:rPr>
            </w:pPr>
            <w:r>
              <w:rPr>
                <w:rFonts w:hint="eastAsia" w:ascii="黑体" w:hAnsi="黑体" w:eastAsia="黑体"/>
                <w:szCs w:val="21"/>
              </w:rPr>
              <w:t>序号</w:t>
            </w:r>
          </w:p>
        </w:tc>
        <w:tc>
          <w:tcPr>
            <w:tcW w:w="3893" w:type="dxa"/>
            <w:noWrap w:val="0"/>
            <w:vAlign w:val="center"/>
          </w:tcPr>
          <w:p w14:paraId="40C8385D">
            <w:pPr>
              <w:jc w:val="center"/>
              <w:rPr>
                <w:rFonts w:ascii="黑体" w:hAnsi="黑体" w:eastAsia="黑体"/>
                <w:szCs w:val="21"/>
              </w:rPr>
            </w:pPr>
            <w:r>
              <w:rPr>
                <w:rFonts w:hint="eastAsia" w:ascii="黑体" w:hAnsi="黑体" w:eastAsia="黑体"/>
                <w:szCs w:val="21"/>
              </w:rPr>
              <w:t>项</w:t>
            </w:r>
            <w:r>
              <w:rPr>
                <w:rFonts w:ascii="黑体" w:hAnsi="黑体" w:eastAsia="黑体"/>
                <w:szCs w:val="21"/>
              </w:rPr>
              <w:t xml:space="preserve">  </w:t>
            </w:r>
            <w:r>
              <w:rPr>
                <w:rFonts w:hint="eastAsia" w:ascii="黑体" w:hAnsi="黑体" w:eastAsia="黑体"/>
                <w:szCs w:val="21"/>
              </w:rPr>
              <w:t>目</w:t>
            </w:r>
          </w:p>
        </w:tc>
        <w:tc>
          <w:tcPr>
            <w:tcW w:w="2862" w:type="dxa"/>
            <w:noWrap w:val="0"/>
            <w:vAlign w:val="center"/>
          </w:tcPr>
          <w:p w14:paraId="18CBC8E6">
            <w:pPr>
              <w:jc w:val="center"/>
              <w:rPr>
                <w:rFonts w:ascii="黑体" w:hAnsi="黑体" w:eastAsia="黑体"/>
                <w:szCs w:val="21"/>
              </w:rPr>
            </w:pPr>
            <w:r>
              <w:rPr>
                <w:rFonts w:hint="eastAsia" w:ascii="黑体" w:hAnsi="黑体" w:eastAsia="黑体"/>
                <w:szCs w:val="21"/>
              </w:rPr>
              <w:t>时间</w:t>
            </w:r>
          </w:p>
        </w:tc>
        <w:tc>
          <w:tcPr>
            <w:tcW w:w="993" w:type="dxa"/>
            <w:noWrap w:val="0"/>
            <w:vAlign w:val="center"/>
          </w:tcPr>
          <w:p w14:paraId="3B87E71C">
            <w:pPr>
              <w:jc w:val="center"/>
              <w:rPr>
                <w:rFonts w:ascii="黑体" w:hAnsi="黑体" w:eastAsia="黑体"/>
                <w:szCs w:val="21"/>
              </w:rPr>
            </w:pPr>
            <w:r>
              <w:rPr>
                <w:rFonts w:hint="eastAsia" w:ascii="黑体" w:hAnsi="黑体" w:eastAsia="黑体"/>
                <w:szCs w:val="21"/>
              </w:rPr>
              <w:t>备</w:t>
            </w:r>
            <w:r>
              <w:rPr>
                <w:rFonts w:ascii="黑体" w:hAnsi="黑体" w:eastAsia="黑体"/>
                <w:szCs w:val="21"/>
              </w:rPr>
              <w:t xml:space="preserve">  </w:t>
            </w:r>
            <w:r>
              <w:rPr>
                <w:rFonts w:hint="eastAsia" w:ascii="黑体" w:hAnsi="黑体" w:eastAsia="黑体"/>
                <w:szCs w:val="21"/>
              </w:rPr>
              <w:t>注</w:t>
            </w:r>
          </w:p>
        </w:tc>
      </w:tr>
      <w:tr w14:paraId="47B6DA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724" w:type="dxa"/>
            <w:noWrap w:val="0"/>
            <w:vAlign w:val="center"/>
          </w:tcPr>
          <w:p w14:paraId="45962261">
            <w:pPr>
              <w:widowControl/>
              <w:snapToGrid w:val="0"/>
              <w:spacing w:line="240" w:lineRule="auto"/>
              <w:jc w:val="center"/>
              <w:rPr>
                <w:rFonts w:hint="eastAsia"/>
                <w:color w:val="000000"/>
                <w:kern w:val="0"/>
                <w:sz w:val="24"/>
              </w:rPr>
            </w:pPr>
            <w:r>
              <w:rPr>
                <w:rFonts w:hint="eastAsia"/>
                <w:color w:val="000000"/>
                <w:kern w:val="0"/>
                <w:sz w:val="24"/>
              </w:rPr>
              <w:t>1</w:t>
            </w:r>
          </w:p>
        </w:tc>
        <w:tc>
          <w:tcPr>
            <w:tcW w:w="3893" w:type="dxa"/>
            <w:noWrap w:val="0"/>
            <w:vAlign w:val="center"/>
          </w:tcPr>
          <w:p w14:paraId="15681C6A">
            <w:pPr>
              <w:snapToGrid w:val="0"/>
              <w:spacing w:line="240" w:lineRule="auto"/>
              <w:jc w:val="left"/>
              <w:rPr>
                <w:sz w:val="24"/>
              </w:rPr>
            </w:pPr>
            <w:r>
              <w:rPr>
                <w:bCs/>
                <w:sz w:val="24"/>
              </w:rPr>
              <w:t>完成</w:t>
            </w:r>
            <w:r>
              <w:rPr>
                <w:rFonts w:hint="eastAsia"/>
                <w:bCs/>
                <w:sz w:val="24"/>
              </w:rPr>
              <w:t>工艺设计和生产评审</w:t>
            </w:r>
          </w:p>
        </w:tc>
        <w:tc>
          <w:tcPr>
            <w:tcW w:w="2862" w:type="dxa"/>
            <w:noWrap w:val="0"/>
            <w:vAlign w:val="center"/>
          </w:tcPr>
          <w:p w14:paraId="4824622C">
            <w:pPr>
              <w:snapToGrid w:val="0"/>
              <w:spacing w:line="240" w:lineRule="auto"/>
              <w:rPr>
                <w:rFonts w:hint="eastAsia"/>
                <w:sz w:val="24"/>
              </w:rPr>
            </w:pPr>
            <w:r>
              <w:rPr>
                <w:rFonts w:hint="eastAsia" w:ascii="宋体" w:hAnsi="宋体" w:cs="宋体"/>
                <w:sz w:val="24"/>
              </w:rPr>
              <w:t>合同签订后1个月内</w:t>
            </w:r>
          </w:p>
        </w:tc>
        <w:tc>
          <w:tcPr>
            <w:tcW w:w="993" w:type="dxa"/>
            <w:noWrap w:val="0"/>
            <w:vAlign w:val="center"/>
          </w:tcPr>
          <w:p w14:paraId="3985C475">
            <w:pPr>
              <w:spacing w:line="240" w:lineRule="auto"/>
              <w:rPr>
                <w:rFonts w:ascii="仿宋" w:hAnsi="仿宋" w:eastAsia="仿宋"/>
                <w:szCs w:val="21"/>
              </w:rPr>
            </w:pPr>
          </w:p>
        </w:tc>
      </w:tr>
      <w:tr w14:paraId="397048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724" w:type="dxa"/>
            <w:noWrap w:val="0"/>
            <w:vAlign w:val="center"/>
          </w:tcPr>
          <w:p w14:paraId="3D838863">
            <w:pPr>
              <w:widowControl/>
              <w:snapToGrid w:val="0"/>
              <w:spacing w:line="240" w:lineRule="auto"/>
              <w:jc w:val="center"/>
              <w:rPr>
                <w:rFonts w:hint="eastAsia"/>
                <w:bCs/>
                <w:color w:val="000000"/>
                <w:sz w:val="24"/>
              </w:rPr>
            </w:pPr>
            <w:r>
              <w:rPr>
                <w:rFonts w:hint="eastAsia"/>
                <w:color w:val="000000"/>
                <w:kern w:val="0"/>
                <w:sz w:val="24"/>
              </w:rPr>
              <w:t>2</w:t>
            </w:r>
          </w:p>
        </w:tc>
        <w:tc>
          <w:tcPr>
            <w:tcW w:w="3893" w:type="dxa"/>
            <w:noWrap w:val="0"/>
            <w:vAlign w:val="center"/>
          </w:tcPr>
          <w:p w14:paraId="4645E0DA">
            <w:pPr>
              <w:snapToGrid w:val="0"/>
              <w:spacing w:line="240" w:lineRule="auto"/>
              <w:jc w:val="left"/>
              <w:rPr>
                <w:rFonts w:ascii="宋体" w:hAnsi="宋体"/>
                <w:sz w:val="24"/>
              </w:rPr>
            </w:pPr>
            <w:r>
              <w:rPr>
                <w:rFonts w:hint="eastAsia" w:ascii="宋体" w:hAnsi="宋体"/>
                <w:sz w:val="24"/>
              </w:rPr>
              <w:t>完成屏蔽体施工建设</w:t>
            </w:r>
          </w:p>
        </w:tc>
        <w:tc>
          <w:tcPr>
            <w:tcW w:w="2862" w:type="dxa"/>
            <w:noWrap w:val="0"/>
            <w:vAlign w:val="center"/>
          </w:tcPr>
          <w:p w14:paraId="0402080E">
            <w:pPr>
              <w:snapToGrid w:val="0"/>
              <w:spacing w:line="240" w:lineRule="auto"/>
              <w:rPr>
                <w:rFonts w:hint="eastAsia" w:ascii="宋体" w:hAnsi="宋体"/>
                <w:sz w:val="24"/>
                <w:szCs w:val="32"/>
              </w:rPr>
            </w:pPr>
            <w:r>
              <w:rPr>
                <w:rFonts w:hint="eastAsia" w:ascii="宋体" w:hAnsi="宋体" w:cs="宋体"/>
                <w:sz w:val="24"/>
              </w:rPr>
              <w:t>202</w:t>
            </w:r>
            <w:r>
              <w:rPr>
                <w:rFonts w:ascii="宋体" w:hAnsi="宋体" w:cs="宋体"/>
                <w:sz w:val="24"/>
              </w:rPr>
              <w:t>7</w:t>
            </w:r>
            <w:r>
              <w:rPr>
                <w:rFonts w:hint="eastAsia" w:ascii="宋体" w:hAnsi="宋体" w:cs="宋体"/>
                <w:sz w:val="24"/>
              </w:rPr>
              <w:t>年0</w:t>
            </w:r>
            <w:r>
              <w:rPr>
                <w:rFonts w:ascii="宋体" w:hAnsi="宋体" w:cs="宋体"/>
                <w:sz w:val="24"/>
              </w:rPr>
              <w:t>3</w:t>
            </w:r>
            <w:r>
              <w:rPr>
                <w:rFonts w:hint="eastAsia" w:ascii="宋体" w:hAnsi="宋体" w:cs="宋体"/>
                <w:sz w:val="24"/>
              </w:rPr>
              <w:t>月30日前</w:t>
            </w:r>
          </w:p>
        </w:tc>
        <w:tc>
          <w:tcPr>
            <w:tcW w:w="993" w:type="dxa"/>
            <w:noWrap w:val="0"/>
            <w:vAlign w:val="center"/>
          </w:tcPr>
          <w:p w14:paraId="2B5B1A11">
            <w:pPr>
              <w:spacing w:line="240" w:lineRule="auto"/>
              <w:rPr>
                <w:rFonts w:ascii="宋体" w:hAnsi="宋体"/>
                <w:szCs w:val="21"/>
              </w:rPr>
            </w:pPr>
          </w:p>
        </w:tc>
      </w:tr>
      <w:tr w14:paraId="574165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724" w:type="dxa"/>
            <w:noWrap w:val="0"/>
            <w:vAlign w:val="center"/>
          </w:tcPr>
          <w:p w14:paraId="092B300D">
            <w:pPr>
              <w:widowControl/>
              <w:snapToGrid w:val="0"/>
              <w:spacing w:line="240" w:lineRule="auto"/>
              <w:jc w:val="center"/>
              <w:rPr>
                <w:rFonts w:hint="eastAsia"/>
                <w:color w:val="000000"/>
                <w:kern w:val="0"/>
                <w:sz w:val="24"/>
              </w:rPr>
            </w:pPr>
            <w:r>
              <w:rPr>
                <w:rFonts w:hint="eastAsia"/>
                <w:color w:val="000000"/>
                <w:kern w:val="0"/>
                <w:sz w:val="24"/>
              </w:rPr>
              <w:t>3</w:t>
            </w:r>
          </w:p>
        </w:tc>
        <w:tc>
          <w:tcPr>
            <w:tcW w:w="3893" w:type="dxa"/>
            <w:noWrap w:val="0"/>
            <w:vAlign w:val="center"/>
          </w:tcPr>
          <w:p w14:paraId="660432E5">
            <w:pPr>
              <w:snapToGrid w:val="0"/>
              <w:spacing w:line="240" w:lineRule="auto"/>
              <w:jc w:val="left"/>
              <w:rPr>
                <w:rFonts w:hint="eastAsia" w:hAnsi="宋体"/>
                <w:sz w:val="24"/>
              </w:rPr>
            </w:pPr>
            <w:r>
              <w:rPr>
                <w:rFonts w:hint="eastAsia" w:hAnsi="宋体"/>
                <w:sz w:val="24"/>
              </w:rPr>
              <w:t>完成最终验收</w:t>
            </w:r>
          </w:p>
        </w:tc>
        <w:tc>
          <w:tcPr>
            <w:tcW w:w="2862" w:type="dxa"/>
            <w:noWrap w:val="0"/>
            <w:vAlign w:val="center"/>
          </w:tcPr>
          <w:p w14:paraId="26F0F070">
            <w:pPr>
              <w:snapToGrid w:val="0"/>
              <w:spacing w:line="240" w:lineRule="auto"/>
              <w:rPr>
                <w:rFonts w:hint="eastAsia" w:eastAsia="等线"/>
                <w:sz w:val="24"/>
                <w:szCs w:val="32"/>
              </w:rPr>
            </w:pPr>
            <w:r>
              <w:rPr>
                <w:rFonts w:hint="eastAsia" w:ascii="宋体" w:hAnsi="宋体" w:cs="宋体"/>
                <w:sz w:val="24"/>
              </w:rPr>
              <w:t>202</w:t>
            </w:r>
            <w:r>
              <w:rPr>
                <w:rFonts w:ascii="宋体" w:hAnsi="宋体" w:cs="宋体"/>
                <w:sz w:val="24"/>
              </w:rPr>
              <w:t>7</w:t>
            </w:r>
            <w:r>
              <w:rPr>
                <w:rFonts w:hint="eastAsia" w:ascii="宋体" w:hAnsi="宋体" w:cs="宋体"/>
                <w:sz w:val="24"/>
              </w:rPr>
              <w:t>年</w:t>
            </w:r>
            <w:r>
              <w:rPr>
                <w:rFonts w:ascii="宋体" w:hAnsi="宋体" w:cs="宋体"/>
                <w:sz w:val="24"/>
              </w:rPr>
              <w:t>04</w:t>
            </w:r>
            <w:r>
              <w:rPr>
                <w:rFonts w:hint="eastAsia" w:ascii="宋体" w:hAnsi="宋体" w:cs="宋体"/>
                <w:sz w:val="24"/>
              </w:rPr>
              <w:t>月30日前</w:t>
            </w:r>
          </w:p>
        </w:tc>
        <w:tc>
          <w:tcPr>
            <w:tcW w:w="993" w:type="dxa"/>
            <w:noWrap w:val="0"/>
            <w:vAlign w:val="center"/>
          </w:tcPr>
          <w:p w14:paraId="56608FAA">
            <w:pPr>
              <w:spacing w:line="240" w:lineRule="auto"/>
              <w:rPr>
                <w:rFonts w:ascii="仿宋" w:hAnsi="仿宋" w:eastAsia="仿宋"/>
                <w:szCs w:val="21"/>
              </w:rPr>
            </w:pPr>
          </w:p>
        </w:tc>
      </w:tr>
    </w:tbl>
    <w:p w14:paraId="52425C5F">
      <w:pPr>
        <w:pStyle w:val="9"/>
        <w:tabs>
          <w:tab w:val="left" w:pos="900"/>
        </w:tabs>
        <w:adjustRightInd w:val="0"/>
        <w:snapToGrid w:val="0"/>
        <w:spacing w:before="156"/>
        <w:ind w:firstLine="480"/>
        <w:rPr>
          <w:rFonts w:ascii="Times New Roman" w:hAnsi="Times New Roman"/>
          <w:kern w:val="0"/>
          <w:sz w:val="24"/>
          <w:szCs w:val="23"/>
        </w:rPr>
      </w:pPr>
      <w:r>
        <w:rPr>
          <w:rFonts w:ascii="Times New Roman" w:hAnsi="Times New Roman"/>
          <w:kern w:val="0"/>
          <w:sz w:val="24"/>
          <w:szCs w:val="23"/>
        </w:rPr>
        <w:t>中标人在生产过程中应认真设计和严格执行工艺规范，确保制造质量。保证最终产品满足招标技术文件的全部技术要求。</w:t>
      </w:r>
    </w:p>
    <w:p w14:paraId="41E32B11">
      <w:pPr>
        <w:tabs>
          <w:tab w:val="left" w:pos="-2410"/>
          <w:tab w:val="left" w:pos="-1701"/>
        </w:tabs>
        <w:autoSpaceDE w:val="0"/>
        <w:autoSpaceDN w:val="0"/>
        <w:adjustRightInd w:val="0"/>
        <w:spacing w:line="240" w:lineRule="auto"/>
        <w:ind w:firstLine="566" w:firstLineChars="236"/>
        <w:jc w:val="left"/>
        <w:rPr>
          <w:sz w:val="24"/>
        </w:rPr>
      </w:pPr>
      <w:r>
        <w:rPr>
          <w:sz w:val="24"/>
        </w:rPr>
        <w:t>详细技术要求如下。</w:t>
      </w:r>
    </w:p>
    <w:bookmarkEnd w:id="5"/>
    <w:p w14:paraId="53C311F9">
      <w:pPr>
        <w:pStyle w:val="8"/>
        <w:ind w:firstLine="0" w:firstLineChars="0"/>
        <w:rPr>
          <w:rFonts w:hint="eastAsia"/>
          <w:bCs/>
        </w:rPr>
      </w:pPr>
    </w:p>
    <w:p w14:paraId="61FF4CA1">
      <w:pPr>
        <w:keepNext/>
        <w:keepLines/>
        <w:tabs>
          <w:tab w:val="left" w:pos="-2410"/>
          <w:tab w:val="left" w:pos="-1701"/>
        </w:tabs>
        <w:spacing w:before="260" w:after="260" w:line="416" w:lineRule="auto"/>
        <w:jc w:val="left"/>
        <w:outlineLvl w:val="1"/>
        <w:rPr>
          <w:b/>
          <w:bCs/>
          <w:sz w:val="30"/>
          <w:szCs w:val="32"/>
        </w:rPr>
      </w:pPr>
      <w:r>
        <w:rPr>
          <w:b/>
          <w:bCs/>
          <w:sz w:val="30"/>
          <w:szCs w:val="32"/>
        </w:rPr>
        <w:t>2、技术要求</w:t>
      </w:r>
    </w:p>
    <w:p w14:paraId="24BEF64E">
      <w:pPr>
        <w:pStyle w:val="8"/>
        <w:ind w:firstLine="480"/>
      </w:pPr>
      <w:r>
        <w:t>本章节所列的技术要求中，加星号（</w:t>
      </w:r>
      <w:r>
        <w:rPr>
          <w:rFonts w:ascii="Segoe UI Symbol" w:hAnsi="Segoe UI Symbol" w:cs="Segoe UI Symbol"/>
        </w:rPr>
        <w:t>★</w:t>
      </w:r>
      <w:r>
        <w:t>）项为必须满足的指标</w:t>
      </w:r>
      <w:r>
        <w:rPr>
          <w:rFonts w:hint="eastAsia"/>
        </w:rPr>
        <w:t>，正偏离不加分，不满足的投标文件将被拒绝。</w:t>
      </w:r>
    </w:p>
    <w:p w14:paraId="0C1F2115">
      <w:pPr>
        <w:pStyle w:val="8"/>
        <w:ind w:firstLine="480"/>
        <w:rPr>
          <w:rFonts w:hint="eastAsia"/>
        </w:rPr>
      </w:pPr>
    </w:p>
    <w:p w14:paraId="61826A94">
      <w:pPr>
        <w:spacing w:after="156" w:afterLines="50"/>
        <w:jc w:val="left"/>
        <w:outlineLvl w:val="2"/>
        <w:rPr>
          <w:b/>
          <w:sz w:val="24"/>
        </w:rPr>
      </w:pPr>
      <w:r>
        <w:rPr>
          <w:b/>
          <w:kern w:val="0"/>
          <w:sz w:val="24"/>
          <w:szCs w:val="27"/>
        </w:rPr>
        <w:t>2.1</w:t>
      </w:r>
      <w:r>
        <w:rPr>
          <w:b/>
          <w:kern w:val="0"/>
          <w:sz w:val="24"/>
          <w:szCs w:val="27"/>
        </w:rPr>
        <w:tab/>
      </w:r>
      <w:r>
        <w:rPr>
          <w:rFonts w:hint="eastAsia"/>
          <w:b/>
          <w:sz w:val="24"/>
        </w:rPr>
        <w:t>基础主要材料</w:t>
      </w:r>
    </w:p>
    <w:p w14:paraId="27081440">
      <w:pPr>
        <w:pStyle w:val="8"/>
        <w:numPr>
          <w:ilvl w:val="0"/>
          <w:numId w:val="2"/>
        </w:numPr>
        <w:ind w:left="794" w:hanging="397" w:firstLineChars="0"/>
        <w:rPr>
          <w:rFonts w:hint="eastAsia"/>
        </w:rPr>
      </w:pPr>
      <w:r>
        <w:rPr>
          <w:rFonts w:hint="eastAsia"/>
        </w:rPr>
        <w:t>混凝土：采用C50普通混凝土，禁止掺加粉煤灰，如需掺加其它外加剂应经采购人及设计单位同意；二次浇灌层采用Ⅱ类水泥基灌浆材料，具体做法详见《水泥基灌浆材料应用技术规范》（GB/T 50448-2015）。预制块外观质量应满足普通清水混凝土外观质量的要求，具体参考《清水混凝土应用技术规程》（JGJ 169-2009）。混凝土浇筑过程中应振捣均匀，不漏振、不过振。浇筑完6～12小时内立刻覆盖并洒水保湿，不能干透。养护不得少于7天，严禁太阳直晒，强风吹干表面。</w:t>
      </w:r>
    </w:p>
    <w:p w14:paraId="595AFB22">
      <w:pPr>
        <w:pStyle w:val="8"/>
        <w:numPr>
          <w:ilvl w:val="0"/>
          <w:numId w:val="2"/>
        </w:numPr>
        <w:ind w:left="794" w:hanging="397" w:firstLineChars="0"/>
        <w:rPr>
          <w:rFonts w:hint="eastAsia"/>
        </w:rPr>
      </w:pPr>
      <w:r>
        <w:rPr>
          <w:rFonts w:hint="eastAsia"/>
        </w:rPr>
        <w:t>钢筋：HRB400级。钢筋锚固长度：HRB400为35d；搭接长度：HRB400为45d。同一区段内搭接钢筋面积百分率≤25%。</w:t>
      </w:r>
    </w:p>
    <w:p w14:paraId="0238B57C">
      <w:pPr>
        <w:pStyle w:val="8"/>
        <w:numPr>
          <w:ilvl w:val="0"/>
          <w:numId w:val="2"/>
        </w:numPr>
        <w:ind w:left="794" w:hanging="397" w:firstLineChars="0"/>
        <w:rPr>
          <w:rFonts w:hint="eastAsia"/>
        </w:rPr>
      </w:pPr>
      <w:r>
        <w:rPr>
          <w:rFonts w:hint="eastAsia"/>
        </w:rPr>
        <w:t>受力钢筋保护层厚度：30mm。</w:t>
      </w:r>
    </w:p>
    <w:p w14:paraId="7796CD9D">
      <w:pPr>
        <w:pStyle w:val="8"/>
        <w:numPr>
          <w:ilvl w:val="0"/>
          <w:numId w:val="2"/>
        </w:numPr>
        <w:ind w:left="794" w:hanging="397" w:firstLineChars="0"/>
        <w:rPr>
          <w:rFonts w:hint="eastAsia"/>
        </w:rPr>
      </w:pPr>
      <w:r>
        <w:rPr>
          <w:rFonts w:hint="eastAsia"/>
        </w:rPr>
        <w:t>焊条：HRB400级之间相焊时采用E50型，HPB300级钢筋及型钢、钢板焊接时采用E43型焊条。</w:t>
      </w:r>
    </w:p>
    <w:p w14:paraId="0B72CD78">
      <w:pPr>
        <w:pStyle w:val="8"/>
        <w:numPr>
          <w:ilvl w:val="0"/>
          <w:numId w:val="2"/>
        </w:numPr>
        <w:ind w:left="794" w:hanging="397" w:firstLineChars="0"/>
        <w:rPr>
          <w:rFonts w:hint="eastAsia"/>
        </w:rPr>
      </w:pPr>
      <w:r>
        <w:rPr>
          <w:rFonts w:hint="eastAsia"/>
        </w:rPr>
        <w:t>钢板及型钢：采用Q235B（注明者除外）。</w:t>
      </w:r>
    </w:p>
    <w:p w14:paraId="61261D17">
      <w:pPr>
        <w:pStyle w:val="8"/>
        <w:numPr>
          <w:ilvl w:val="0"/>
          <w:numId w:val="2"/>
        </w:numPr>
        <w:ind w:left="794" w:hanging="397" w:firstLineChars="0"/>
        <w:rPr>
          <w:rFonts w:hint="eastAsia"/>
        </w:rPr>
      </w:pPr>
      <w:r>
        <w:rPr>
          <w:rFonts w:hint="eastAsia"/>
        </w:rPr>
        <w:t>受力预埋件的锚筋采用HRB400级钢筋，不应采用冷加工钢筋。</w:t>
      </w:r>
    </w:p>
    <w:p w14:paraId="1D65BB8A">
      <w:pPr>
        <w:pStyle w:val="8"/>
        <w:numPr>
          <w:ilvl w:val="0"/>
          <w:numId w:val="2"/>
        </w:numPr>
        <w:ind w:left="794" w:hanging="397" w:firstLineChars="0"/>
        <w:rPr>
          <w:rFonts w:hint="eastAsia"/>
        </w:rPr>
      </w:pPr>
      <w:r>
        <w:rPr>
          <w:rFonts w:hint="eastAsia"/>
        </w:rPr>
        <w:t>活动屏蔽块所使用的吊环及螺母应采用HPB300级钢筋制作，严禁采用冷加工钢筋。</w:t>
      </w:r>
    </w:p>
    <w:p w14:paraId="17DD7AAE">
      <w:pPr>
        <w:pStyle w:val="8"/>
        <w:numPr>
          <w:ilvl w:val="0"/>
          <w:numId w:val="2"/>
        </w:numPr>
        <w:ind w:left="794" w:hanging="397" w:firstLineChars="0"/>
      </w:pPr>
      <w:r>
        <w:rPr>
          <w:rFonts w:hint="eastAsia"/>
        </w:rPr>
        <w:t>混凝土的耐久性及材料要求见《混凝土结构设计规范》3.5.3条。</w:t>
      </w:r>
    </w:p>
    <w:p w14:paraId="5DD4DC2F">
      <w:pPr>
        <w:spacing w:after="156" w:afterLines="50"/>
        <w:jc w:val="left"/>
        <w:outlineLvl w:val="2"/>
        <w:rPr>
          <w:rFonts w:hint="eastAsia"/>
          <w:b/>
          <w:kern w:val="0"/>
          <w:sz w:val="24"/>
          <w:szCs w:val="27"/>
        </w:rPr>
      </w:pPr>
      <w:r>
        <w:rPr>
          <w:b/>
          <w:kern w:val="0"/>
          <w:sz w:val="24"/>
          <w:szCs w:val="27"/>
        </w:rPr>
        <w:t>2.2</w:t>
      </w:r>
      <w:r>
        <w:rPr>
          <w:b/>
          <w:kern w:val="0"/>
          <w:sz w:val="24"/>
          <w:szCs w:val="27"/>
        </w:rPr>
        <w:tab/>
      </w:r>
      <w:r>
        <w:rPr>
          <w:rFonts w:hint="eastAsia"/>
          <w:b/>
          <w:kern w:val="0"/>
          <w:sz w:val="24"/>
          <w:szCs w:val="27"/>
        </w:rPr>
        <w:t>施工要求及其它</w:t>
      </w:r>
    </w:p>
    <w:p w14:paraId="53AC6090">
      <w:pPr>
        <w:pStyle w:val="8"/>
        <w:numPr>
          <w:ilvl w:val="0"/>
          <w:numId w:val="3"/>
        </w:numPr>
        <w:ind w:left="794" w:hanging="397" w:firstLineChars="0"/>
      </w:pPr>
      <w:r>
        <w:rPr>
          <w:rFonts w:hint="eastAsia"/>
        </w:rPr>
        <w:t>吊环采用WBG型旋转吊环，吊环型号为WBG-M36×4.0-6g及WBG-M42×4.5-6g，业主市场采购吊环时，吊环在允许吊挂载荷不低于前述吊环样本时可灵活选用。</w:t>
      </w:r>
    </w:p>
    <w:p w14:paraId="3DBF82C1">
      <w:pPr>
        <w:pStyle w:val="8"/>
        <w:numPr>
          <w:ilvl w:val="0"/>
          <w:numId w:val="3"/>
        </w:numPr>
        <w:ind w:left="794" w:hanging="397" w:firstLineChars="0"/>
      </w:pPr>
      <w:r>
        <w:rPr>
          <w:rFonts w:hint="eastAsia"/>
        </w:rPr>
        <w:t>浇灌混凝土时，应保证混凝土的密实性，并保证水平连续浇灌，不宜留施工缝。尤其是竖向屏蔽块施工时，不得留设一字型平缝，可采用凹凸型或Z型施工缝。</w:t>
      </w:r>
    </w:p>
    <w:p w14:paraId="61B8262B">
      <w:pPr>
        <w:pStyle w:val="8"/>
        <w:numPr>
          <w:ilvl w:val="0"/>
          <w:numId w:val="3"/>
        </w:numPr>
        <w:ind w:left="794" w:hanging="397" w:firstLineChars="0"/>
      </w:pPr>
      <w:r>
        <w:t>本工程施工时，严禁施工用的支架</w:t>
      </w:r>
      <w:r>
        <w:rPr>
          <w:rFonts w:hint="eastAsia"/>
        </w:rPr>
        <w:t>、</w:t>
      </w:r>
      <w:r>
        <w:t>固定螺栓或拉结钢丝在混凝土底板或侧壁中贯穿通过。</w:t>
      </w:r>
    </w:p>
    <w:p w14:paraId="558A2740">
      <w:pPr>
        <w:pStyle w:val="8"/>
        <w:numPr>
          <w:ilvl w:val="0"/>
          <w:numId w:val="3"/>
        </w:numPr>
        <w:ind w:left="794" w:hanging="397" w:firstLineChars="0"/>
      </w:pPr>
      <w:r>
        <w:rPr>
          <w:rFonts w:hint="eastAsia"/>
        </w:rPr>
        <w:t>本技术文件中</w:t>
      </w:r>
      <w:r>
        <w:t>未尽事宜按现行国家规范规程实施。</w:t>
      </w:r>
    </w:p>
    <w:p w14:paraId="5AE7D8C8">
      <w:pPr>
        <w:pStyle w:val="8"/>
        <w:numPr>
          <w:ilvl w:val="0"/>
          <w:numId w:val="3"/>
        </w:numPr>
        <w:ind w:left="794" w:hanging="397" w:firstLineChars="0"/>
      </w:pPr>
      <w:r>
        <w:t>屏蔽块涂料色卡号加工之前同</w:t>
      </w:r>
      <w:r>
        <w:rPr>
          <w:rFonts w:hint="eastAsia"/>
        </w:rPr>
        <w:t>采购人</w:t>
      </w:r>
      <w:r>
        <w:t>沟通确认。</w:t>
      </w:r>
    </w:p>
    <w:p w14:paraId="71E158E8">
      <w:pPr>
        <w:pStyle w:val="8"/>
        <w:numPr>
          <w:ilvl w:val="0"/>
          <w:numId w:val="3"/>
        </w:numPr>
        <w:ind w:left="794" w:hanging="397" w:firstLineChars="0"/>
      </w:pPr>
      <w:r>
        <w:t>屏蔽块应按照“边安装边连接”的原则，在侧面屏蔽块及顶部屏蔽块连接件安装完成前，须设置必要支撑以防止屏蔽块倾覆。</w:t>
      </w:r>
    </w:p>
    <w:p w14:paraId="39A95648">
      <w:pPr>
        <w:pStyle w:val="8"/>
        <w:numPr>
          <w:ilvl w:val="0"/>
          <w:numId w:val="3"/>
        </w:numPr>
        <w:ind w:left="794" w:hanging="397" w:firstLineChars="0"/>
      </w:pPr>
      <w:r>
        <w:t>加大加厚垫圈相关要求见《大垫圈》（GB/T 96.2-2002）。</w:t>
      </w:r>
    </w:p>
    <w:p w14:paraId="2D7DA1D6">
      <w:pPr>
        <w:pStyle w:val="8"/>
        <w:numPr>
          <w:ilvl w:val="0"/>
          <w:numId w:val="3"/>
        </w:numPr>
        <w:ind w:left="794" w:hanging="397" w:firstLineChars="0"/>
      </w:pPr>
      <w:r>
        <w:t>建议束线分批施工，并在安装前对屏蔽块进行预装，并根据预装位置进行打孔，以消除累积误差对屏蔽块安装的影响。</w:t>
      </w:r>
    </w:p>
    <w:p w14:paraId="25DC1BFF">
      <w:pPr>
        <w:pStyle w:val="8"/>
        <w:numPr>
          <w:ilvl w:val="0"/>
          <w:numId w:val="3"/>
        </w:numPr>
        <w:ind w:left="794" w:hanging="397" w:firstLineChars="0"/>
      </w:pPr>
      <w:r>
        <w:t>埋件及锚筋与钢筋网焊死，浇筑时注意对螺纹孔及螺杆进行保护。</w:t>
      </w:r>
    </w:p>
    <w:p w14:paraId="40BB6E64">
      <w:pPr>
        <w:pStyle w:val="8"/>
        <w:numPr>
          <w:ilvl w:val="0"/>
          <w:numId w:val="3"/>
        </w:numPr>
        <w:ind w:left="794" w:hanging="397" w:firstLineChars="0"/>
      </w:pPr>
      <w:r>
        <w:t>屏蔽块安装过程中起吊角度应保证不大于45°。</w:t>
      </w:r>
    </w:p>
    <w:p w14:paraId="754B1B6A">
      <w:pPr>
        <w:pStyle w:val="8"/>
        <w:numPr>
          <w:ilvl w:val="0"/>
          <w:numId w:val="3"/>
        </w:numPr>
        <w:ind w:left="794" w:hanging="397" w:firstLineChars="0"/>
      </w:pPr>
      <w:r>
        <w:t>吊环埋件锚筋与板面筋，竖向墙体顶面筋焊接。遇吊环埋件时，板面筋间距，墙面筋间距按吊环锚筋间距适当调整。</w:t>
      </w:r>
    </w:p>
    <w:p w14:paraId="0625E45D">
      <w:pPr>
        <w:pStyle w:val="8"/>
        <w:numPr>
          <w:ilvl w:val="0"/>
          <w:numId w:val="3"/>
        </w:numPr>
        <w:ind w:left="794" w:hanging="397" w:firstLineChars="0"/>
        <w:rPr>
          <w:rFonts w:hint="eastAsia"/>
        </w:rPr>
      </w:pPr>
      <w:r>
        <w:t>废束站区域的水平屏蔽块，由工艺确定是否需要设置连接件，施工前应予以确定。</w:t>
      </w:r>
    </w:p>
    <w:p w14:paraId="208C0178">
      <w:pPr>
        <w:pStyle w:val="8"/>
        <w:numPr>
          <w:ilvl w:val="0"/>
          <w:numId w:val="3"/>
        </w:numPr>
        <w:ind w:left="794" w:hanging="397" w:firstLineChars="0"/>
      </w:pPr>
      <w:r>
        <w:t>屏蔽块起吊，安装、拆除，应有详细的施工方案，确保安全施工。</w:t>
      </w:r>
    </w:p>
    <w:p w14:paraId="7F8DE71F">
      <w:pPr>
        <w:pStyle w:val="8"/>
        <w:numPr>
          <w:ilvl w:val="0"/>
          <w:numId w:val="3"/>
        </w:numPr>
        <w:ind w:left="794" w:hanging="397" w:firstLineChars="0"/>
      </w:pPr>
      <w:r>
        <w:t>屏蔽块施工顺序</w:t>
      </w:r>
      <w:r>
        <w:rPr>
          <w:rFonts w:hint="eastAsia"/>
        </w:rPr>
        <w:t>如下</w:t>
      </w:r>
      <w:r>
        <w:t>：</w:t>
      </w:r>
    </w:p>
    <w:p w14:paraId="2DBC27C2">
      <w:pPr>
        <w:pStyle w:val="8"/>
        <w:numPr>
          <w:ilvl w:val="1"/>
          <w:numId w:val="3"/>
        </w:numPr>
        <w:ind w:firstLineChars="0"/>
      </w:pPr>
      <w:r>
        <w:t>T1</w:t>
      </w:r>
      <w:r>
        <w:rPr>
          <w:rFonts w:hint="eastAsia"/>
        </w:rPr>
        <w:t>安装顺序：</w:t>
      </w:r>
      <w:r>
        <w:t>现场准直前精准放线→浇筑废束站中间水平屏蔽块及施工靶芯预埋件（靶芯铁块的安装误差要求±5mm）→浇筑废束站两侧竖向屏蔽块→浇筑后墙屏蔽体→浇筑外侧竖向屏蔽块→吊装顶层屏蔽块。</w:t>
      </w:r>
    </w:p>
    <w:p w14:paraId="0739CB83">
      <w:pPr>
        <w:pStyle w:val="8"/>
        <w:numPr>
          <w:ilvl w:val="1"/>
          <w:numId w:val="3"/>
        </w:numPr>
        <w:ind w:firstLineChars="0"/>
      </w:pPr>
      <w:r>
        <w:rPr>
          <w:rFonts w:hint="eastAsia"/>
        </w:rPr>
        <w:t>T</w:t>
      </w:r>
      <w:r>
        <w:t>2</w:t>
      </w:r>
      <w:r>
        <w:rPr>
          <w:rFonts w:hint="eastAsia"/>
        </w:rPr>
        <w:t>安装顺序：</w:t>
      </w:r>
      <w:r>
        <w:rPr>
          <w:rFonts w:ascii="Segoe UI" w:hAnsi="Segoe UI" w:cs="Segoe UI"/>
          <w:color w:val="222222"/>
          <w:shd w:val="clear" w:color="auto" w:fill="FFFFFF"/>
        </w:rPr>
        <w:t>现场准直提前精准放线→尾部竖向屏蔽块支模，分层浇筑浇筑→浇筑废束站中间水平屏蔽块及施工靶芯预埋件（靶芯铁块的安装误差要求±5mm）→浇筑废束站两侧竖向屏蔽块→浇筑废束站尾部两侧水平屏蔽块→浇筑废束站顶层水平屏蔽块→浇筑外侧竖向屏蔽块→吊装废束站以外剩余顶层屏蔽块。</w:t>
      </w:r>
    </w:p>
    <w:p w14:paraId="622371EE">
      <w:pPr>
        <w:pStyle w:val="8"/>
        <w:numPr>
          <w:ilvl w:val="0"/>
          <w:numId w:val="3"/>
        </w:numPr>
        <w:ind w:firstLineChars="0"/>
        <w:rPr>
          <w:rFonts w:hint="eastAsia"/>
        </w:rPr>
      </w:pPr>
      <w:r>
        <w:rPr>
          <w:rFonts w:hint="eastAsia" w:ascii="Segoe UI Symbol" w:hAnsi="Segoe UI Symbol" w:cs="Segoe UI Symbol"/>
        </w:rPr>
        <w:t xml:space="preserve"> </w:t>
      </w:r>
      <w:r>
        <w:rPr>
          <w:rFonts w:hint="eastAsia"/>
        </w:rPr>
        <w:t>废束站内停束铁是高能质子束实验终端散射室屏蔽体中最关键的部件之一，其位置偏差程度，影响其功能发挥。投标人在安装完成A</w:t>
      </w:r>
      <w:r>
        <w:t>3-5</w:t>
      </w:r>
      <w:r>
        <w:rPr>
          <w:rFonts w:hint="eastAsia"/>
        </w:rPr>
        <w:t>和B</w:t>
      </w:r>
      <w:r>
        <w:t>3-5</w:t>
      </w:r>
      <w:r>
        <w:rPr>
          <w:rFonts w:hint="eastAsia"/>
        </w:rPr>
        <w:t>、并固定好停束铁及转接管后，需提前五个工作日通知采购人对停束铁和转接管的位置做精密准直测量，评估其位置偏差情况。如经采购人评估位置偏差会影响到停束铁功能时，投标人需根据测量结果做微调，随后由采购人再次测量。直至停束铁及预埋管位置相对预定位置偏差小于2</w:t>
      </w:r>
      <w:r>
        <w:t xml:space="preserve"> </w:t>
      </w:r>
      <w:r>
        <w:rPr>
          <w:rFonts w:hint="eastAsia"/>
        </w:rPr>
        <w:t>cm。</w:t>
      </w:r>
    </w:p>
    <w:p w14:paraId="30D42ABD">
      <w:pPr>
        <w:pStyle w:val="8"/>
        <w:ind w:firstLine="0" w:firstLineChars="0"/>
        <w:jc w:val="center"/>
      </w:pPr>
      <w:r>
        <w:drawing>
          <wp:inline distT="0" distB="0" distL="114300" distR="114300">
            <wp:extent cx="2601595" cy="2376805"/>
            <wp:effectExtent l="0" t="0" r="8255" b="4445"/>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7"/>
                    <a:srcRect l="13338" t="9456" r="8003" b="15887"/>
                    <a:stretch>
                      <a:fillRect/>
                    </a:stretch>
                  </pic:blipFill>
                  <pic:spPr>
                    <a:xfrm>
                      <a:off x="0" y="0"/>
                      <a:ext cx="2601595" cy="2376805"/>
                    </a:xfrm>
                    <a:prstGeom prst="rect">
                      <a:avLst/>
                    </a:prstGeom>
                    <a:noFill/>
                    <a:ln>
                      <a:noFill/>
                    </a:ln>
                  </pic:spPr>
                </pic:pic>
              </a:graphicData>
            </a:graphic>
          </wp:inline>
        </w:drawing>
      </w:r>
      <w:r>
        <w:t xml:space="preserve">  </w:t>
      </w:r>
      <w:r>
        <w:drawing>
          <wp:inline distT="0" distB="0" distL="114300" distR="114300">
            <wp:extent cx="2215515" cy="2336800"/>
            <wp:effectExtent l="0" t="0" r="13335" b="6350"/>
            <wp:docPr id="1"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3"/>
                    <pic:cNvPicPr>
                      <a:picLocks noChangeAspect="1"/>
                    </pic:cNvPicPr>
                  </pic:nvPicPr>
                  <pic:blipFill>
                    <a:blip r:embed="rId8"/>
                    <a:stretch>
                      <a:fillRect/>
                    </a:stretch>
                  </pic:blipFill>
                  <pic:spPr>
                    <a:xfrm>
                      <a:off x="0" y="0"/>
                      <a:ext cx="2215515" cy="2336800"/>
                    </a:xfrm>
                    <a:prstGeom prst="rect">
                      <a:avLst/>
                    </a:prstGeom>
                    <a:noFill/>
                    <a:ln>
                      <a:noFill/>
                    </a:ln>
                  </pic:spPr>
                </pic:pic>
              </a:graphicData>
            </a:graphic>
          </wp:inline>
        </w:drawing>
      </w:r>
    </w:p>
    <w:p w14:paraId="7E91F699">
      <w:pPr>
        <w:pStyle w:val="8"/>
        <w:ind w:left="480" w:firstLine="0" w:firstLineChars="0"/>
        <w:jc w:val="center"/>
      </w:pPr>
      <w:r>
        <w:rPr>
          <w:rFonts w:hint="eastAsia"/>
        </w:rPr>
        <w:t>图3</w:t>
      </w:r>
      <w:r>
        <w:t xml:space="preserve">-2 </w:t>
      </w:r>
      <w:r>
        <w:rPr>
          <w:rFonts w:hint="eastAsia"/>
        </w:rPr>
        <w:t>废束站内停束铁的位置</w:t>
      </w:r>
    </w:p>
    <w:p w14:paraId="2CCACE3E">
      <w:pPr>
        <w:pStyle w:val="8"/>
        <w:numPr>
          <w:ilvl w:val="0"/>
          <w:numId w:val="3"/>
        </w:numPr>
        <w:ind w:left="794" w:hanging="397" w:firstLineChars="0"/>
      </w:pPr>
      <w:r>
        <w:rPr>
          <w:rFonts w:hint="eastAsia"/>
        </w:rPr>
        <w:t>所有预埋件（包括工艺预埋件、废束站内停束铁及转接管以及其他预埋件）在到达安装现场后，由投标人负责这些预埋件的妥善保存，不得淋雨、不得生锈。所有预埋件在安装前，需由采购人确认这些预埋件的外观正常、功能完好；在安装过程中和安装后，投标人应当对预埋管进行必要的防渗漏措施，避免水泥砂浆渗入导致失效。在安装后，需由投标人组织验收，确认每一个预埋件安装到位，并能正常发挥作用。</w:t>
      </w:r>
    </w:p>
    <w:p w14:paraId="5DD6B3FC">
      <w:pPr>
        <w:pStyle w:val="8"/>
        <w:numPr>
          <w:ilvl w:val="0"/>
          <w:numId w:val="3"/>
        </w:numPr>
        <w:ind w:firstLineChars="0"/>
        <w:rPr>
          <w:rFonts w:hint="eastAsia"/>
        </w:rPr>
      </w:pPr>
      <w:r>
        <w:t>所有竖向屏蔽块施工前，应将底部预埋件、预钻孔精准定位并施工，并采取可靠措施避免新浇混凝土渗透影响。竖向</w:t>
      </w:r>
      <w:r>
        <w:rPr>
          <w:rFonts w:hint="eastAsia"/>
        </w:rPr>
        <w:t>屏蔽块（T</w:t>
      </w:r>
      <w:r>
        <w:t>1</w:t>
      </w:r>
      <w:r>
        <w:rPr>
          <w:rFonts w:hint="eastAsia"/>
        </w:rPr>
        <w:t>终端A</w:t>
      </w:r>
      <w:r>
        <w:t>5-1~11,T2</w:t>
      </w:r>
      <w:r>
        <w:rPr>
          <w:rFonts w:hint="eastAsia"/>
        </w:rPr>
        <w:t>终端B</w:t>
      </w:r>
      <w:r>
        <w:t>5-1~11</w:t>
      </w:r>
      <w:r>
        <w:rPr>
          <w:rFonts w:hint="eastAsia"/>
        </w:rPr>
        <w:t>）安装完成后，投标人需通知采购人对侧墙垂直度进行测量，所有侧墙竖向屏蔽块的垂直度需小于5</w:t>
      </w:r>
      <w:r>
        <w:t xml:space="preserve"> </w:t>
      </w:r>
      <w:r>
        <w:rPr>
          <w:rFonts w:hint="eastAsia"/>
        </w:rPr>
        <w:t>mm。同时，采购人将测量两面屏蔽体墙之间的距离、调整天花板屏蔽体长度，确保天花板屏蔽体能顺利安装在侧墙屏蔽体上方。</w:t>
      </w:r>
    </w:p>
    <w:p w14:paraId="06E7BC0F">
      <w:pPr>
        <w:pStyle w:val="8"/>
        <w:numPr>
          <w:ilvl w:val="0"/>
          <w:numId w:val="3"/>
        </w:numPr>
        <w:ind w:left="794" w:hanging="397" w:firstLineChars="0"/>
      </w:pPr>
      <w:r>
        <w:t>现浇体及预制块底面和顶面应做严格的平整要求。</w:t>
      </w:r>
    </w:p>
    <w:p w14:paraId="677C9700">
      <w:pPr>
        <w:pStyle w:val="8"/>
        <w:numPr>
          <w:ilvl w:val="0"/>
          <w:numId w:val="3"/>
        </w:numPr>
        <w:ind w:left="794" w:hanging="397" w:firstLineChars="0"/>
      </w:pPr>
      <w:r>
        <w:rPr>
          <w:rFonts w:hint="eastAsia"/>
        </w:rPr>
        <w:t>投标人</w:t>
      </w:r>
      <w:r>
        <w:t>应给出综合构件安装和设备安装方案，保证结构安装与设备进场安装不冲突。</w:t>
      </w:r>
    </w:p>
    <w:p w14:paraId="641562DD">
      <w:pPr>
        <w:pStyle w:val="8"/>
        <w:numPr>
          <w:ilvl w:val="0"/>
          <w:numId w:val="3"/>
        </w:numPr>
        <w:ind w:left="794" w:hanging="397" w:firstLineChars="0"/>
      </w:pPr>
      <w:r>
        <w:t>焊接、防腐处理</w:t>
      </w:r>
    </w:p>
    <w:p w14:paraId="64A3769A">
      <w:pPr>
        <w:pStyle w:val="8"/>
        <w:numPr>
          <w:ilvl w:val="1"/>
          <w:numId w:val="3"/>
        </w:numPr>
        <w:ind w:firstLineChars="0"/>
      </w:pPr>
      <w:r>
        <w:t>钢材焊接严禁槽焊、电渣焊和气电立焊接头。</w:t>
      </w:r>
    </w:p>
    <w:p w14:paraId="32222786">
      <w:pPr>
        <w:pStyle w:val="8"/>
        <w:numPr>
          <w:ilvl w:val="1"/>
          <w:numId w:val="3"/>
        </w:numPr>
        <w:ind w:firstLineChars="0"/>
      </w:pPr>
      <w:r>
        <w:t>所</w:t>
      </w:r>
      <w:r>
        <w:rPr>
          <w:rFonts w:hint="eastAsia"/>
        </w:rPr>
        <w:t>有</w:t>
      </w:r>
      <w:r>
        <w:t>钢材（钢筋及预埋件与混凝土接触面除外）表面涂防锈油，刷两道防锈底漆，晾干后刷两道面漆；防腐处理应参考《建筑钢结构防腐蚀技术规程》（JGJ/251-2011）。</w:t>
      </w:r>
    </w:p>
    <w:p w14:paraId="52A1C617">
      <w:pPr>
        <w:pStyle w:val="8"/>
        <w:numPr>
          <w:ilvl w:val="0"/>
          <w:numId w:val="3"/>
        </w:numPr>
        <w:ind w:left="794" w:hanging="397" w:firstLineChars="0"/>
      </w:pPr>
      <w:r>
        <w:t>多个现浇屏蔽块叠加时，待下层屏蔽块凝固后，表面需打磨光滑，铺</w:t>
      </w:r>
      <w:r>
        <w:rPr>
          <w:rFonts w:hint="eastAsia"/>
        </w:rPr>
        <w:t xml:space="preserve"> </w:t>
      </w:r>
      <w:r>
        <w:t xml:space="preserve">   1.0 mm厚聚乙烯薄膜（或5 mm钢板），并刷脱模油后，再施工上层屏蔽块。原地面需先完成建筑面层后，并打磨平整，再施工散射室屏蔽体。底部连接螺栓及插销孔需提前精准放线定位，并在钢筋及模板安装前施工完成。外侧竖向屏蔽块应两侧对称浇筑，调整屏蔽块（A5-2</w:t>
      </w:r>
      <w:r>
        <w:rPr>
          <w:rFonts w:hint="eastAsia"/>
        </w:rPr>
        <w:t>/</w:t>
      </w:r>
      <w:r>
        <w:t>9</w:t>
      </w:r>
      <w:r>
        <w:rPr>
          <w:rFonts w:hint="eastAsia"/>
        </w:rPr>
        <w:t>，B</w:t>
      </w:r>
      <w:r>
        <w:t>5-3/10）应最后浇筑并根据现场实际情况调整尺寸。调整屏蔽块（A5-2</w:t>
      </w:r>
      <w:r>
        <w:rPr>
          <w:rFonts w:hint="eastAsia"/>
        </w:rPr>
        <w:t>/</w:t>
      </w:r>
      <w:r>
        <w:t>9</w:t>
      </w:r>
      <w:r>
        <w:rPr>
          <w:rFonts w:hint="eastAsia"/>
        </w:rPr>
        <w:t>，B</w:t>
      </w:r>
      <w:r>
        <w:t>5-3/10）因现场施工误差而调整尺寸，其上的管线预埋定位经</w:t>
      </w:r>
      <w:r>
        <w:rPr>
          <w:rFonts w:hint="eastAsia"/>
        </w:rPr>
        <w:t>采购人</w:t>
      </w:r>
      <w:r>
        <w:t>确认后作相应调整。</w:t>
      </w:r>
    </w:p>
    <w:p w14:paraId="46177200">
      <w:pPr>
        <w:pStyle w:val="8"/>
        <w:numPr>
          <w:ilvl w:val="0"/>
          <w:numId w:val="3"/>
        </w:numPr>
        <w:ind w:left="794" w:hanging="397" w:firstLineChars="0"/>
      </w:pPr>
      <w:r>
        <w:rPr>
          <w:rFonts w:ascii="Segoe UI" w:hAnsi="Segoe UI" w:cs="Segoe UI"/>
          <w:color w:val="222222"/>
          <w:shd w:val="clear" w:color="auto" w:fill="FFFFFF"/>
        </w:rPr>
        <w:t>内外墙及地面做法，地面做法需结合高能质子实验室的做法施工。</w:t>
      </w:r>
      <w:r>
        <w:rPr>
          <w:rFonts w:ascii="Segoe UI" w:hAnsi="Segoe UI" w:cs="Segoe UI"/>
          <w:color w:val="222222"/>
          <w:kern w:val="0"/>
        </w:rPr>
        <w:t>注：所有漆的类别及颜色均应经</w:t>
      </w:r>
      <w:r>
        <w:rPr>
          <w:rFonts w:hint="eastAsia" w:ascii="Segoe UI" w:hAnsi="Segoe UI" w:cs="Segoe UI"/>
          <w:color w:val="222222"/>
          <w:kern w:val="0"/>
        </w:rPr>
        <w:t>采购人</w:t>
      </w:r>
      <w:r>
        <w:rPr>
          <w:rFonts w:ascii="Segoe UI" w:hAnsi="Segoe UI" w:cs="Segoe UI"/>
          <w:color w:val="222222"/>
          <w:kern w:val="0"/>
        </w:rPr>
        <w:t>确定后再施工。</w:t>
      </w:r>
    </w:p>
    <w:p w14:paraId="0906A470">
      <w:pPr>
        <w:pStyle w:val="3"/>
        <w:keepNext/>
        <w:rPr>
          <w:sz w:val="24"/>
          <w:szCs w:val="24"/>
        </w:rPr>
      </w:pPr>
      <w:r>
        <w:rPr>
          <w:rFonts w:hint="eastAsia"/>
          <w:sz w:val="24"/>
          <w:szCs w:val="24"/>
        </w:rPr>
        <w:t xml:space="preserve">表 </w:t>
      </w:r>
      <w:r>
        <w:rPr>
          <w:sz w:val="24"/>
          <w:szCs w:val="24"/>
        </w:rPr>
        <w:t xml:space="preserve">3-2 </w:t>
      </w:r>
      <w:r>
        <w:rPr>
          <w:rFonts w:hint="eastAsia"/>
          <w:sz w:val="24"/>
          <w:szCs w:val="24"/>
        </w:rPr>
        <w:t>屏蔽体墙和地面做法</w:t>
      </w:r>
    </w:p>
    <w:tbl>
      <w:tblPr>
        <w:tblStyle w:val="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659"/>
        <w:gridCol w:w="5863"/>
      </w:tblGrid>
      <w:tr w14:paraId="787B88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660" w:type="dxa"/>
            <w:noWrap w:val="0"/>
            <w:vAlign w:val="top"/>
          </w:tcPr>
          <w:p w14:paraId="6FAE99E7">
            <w:pPr>
              <w:widowControl/>
              <w:spacing w:line="240" w:lineRule="auto"/>
              <w:jc w:val="left"/>
              <w:rPr>
                <w:rFonts w:hint="eastAsia" w:ascii="宋体" w:hAnsi="宋体" w:cs="宋体"/>
                <w:color w:val="222222"/>
                <w:kern w:val="0"/>
                <w:sz w:val="24"/>
              </w:rPr>
            </w:pPr>
            <w:r>
              <w:rPr>
                <w:rFonts w:hint="eastAsia" w:ascii="宋体" w:hAnsi="宋体" w:cs="宋体"/>
                <w:color w:val="222222"/>
                <w:kern w:val="0"/>
                <w:sz w:val="24"/>
              </w:rPr>
              <w:t>位置</w:t>
            </w:r>
          </w:p>
        </w:tc>
        <w:tc>
          <w:tcPr>
            <w:tcW w:w="5866" w:type="dxa"/>
            <w:noWrap w:val="0"/>
            <w:vAlign w:val="top"/>
          </w:tcPr>
          <w:p w14:paraId="2998C227">
            <w:pPr>
              <w:widowControl/>
              <w:spacing w:line="240" w:lineRule="auto"/>
              <w:jc w:val="left"/>
              <w:rPr>
                <w:rFonts w:hint="eastAsia" w:ascii="宋体" w:hAnsi="宋体" w:cs="宋体"/>
                <w:color w:val="222222"/>
                <w:kern w:val="0"/>
                <w:sz w:val="24"/>
              </w:rPr>
            </w:pPr>
            <w:r>
              <w:rPr>
                <w:rFonts w:hint="eastAsia" w:ascii="宋体" w:hAnsi="宋体" w:cs="宋体"/>
                <w:color w:val="222222"/>
                <w:kern w:val="0"/>
                <w:sz w:val="24"/>
              </w:rPr>
              <w:t>要求</w:t>
            </w:r>
          </w:p>
        </w:tc>
      </w:tr>
      <w:tr w14:paraId="278BB7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60" w:type="dxa"/>
            <w:noWrap w:val="0"/>
            <w:vAlign w:val="top"/>
          </w:tcPr>
          <w:p w14:paraId="11E79B2C">
            <w:pPr>
              <w:widowControl/>
              <w:spacing w:line="240" w:lineRule="auto"/>
              <w:jc w:val="left"/>
              <w:rPr>
                <w:rFonts w:hint="eastAsia" w:ascii="宋体" w:hAnsi="宋体" w:cs="宋体"/>
                <w:color w:val="222222"/>
                <w:kern w:val="0"/>
                <w:sz w:val="24"/>
              </w:rPr>
            </w:pPr>
            <w:r>
              <w:rPr>
                <w:rFonts w:hint="eastAsia" w:ascii="宋体" w:hAnsi="宋体" w:cs="宋体"/>
                <w:color w:val="222222"/>
                <w:kern w:val="0"/>
                <w:sz w:val="24"/>
              </w:rPr>
              <w:t>散射室外墙、外顶棚</w:t>
            </w:r>
          </w:p>
        </w:tc>
        <w:tc>
          <w:tcPr>
            <w:tcW w:w="5866" w:type="dxa"/>
            <w:noWrap w:val="0"/>
            <w:vAlign w:val="top"/>
          </w:tcPr>
          <w:p w14:paraId="7D0C6EB7">
            <w:pPr>
              <w:widowControl/>
              <w:numPr>
                <w:ilvl w:val="0"/>
                <w:numId w:val="4"/>
              </w:numPr>
              <w:shd w:val="clear" w:color="auto" w:fill="FFFFFF"/>
              <w:spacing w:line="240" w:lineRule="auto"/>
              <w:ind w:left="358" w:leftChars="6" w:hanging="345" w:hangingChars="138"/>
              <w:jc w:val="left"/>
              <w:rPr>
                <w:rFonts w:hint="eastAsia" w:ascii="宋体" w:hAnsi="宋体" w:cs="宋体"/>
                <w:color w:val="222222"/>
                <w:spacing w:val="5"/>
                <w:kern w:val="0"/>
                <w:sz w:val="24"/>
              </w:rPr>
            </w:pPr>
            <w:r>
              <w:rPr>
                <w:rFonts w:hint="eastAsia" w:ascii="宋体" w:hAnsi="宋体" w:cs="宋体"/>
                <w:color w:val="222222"/>
                <w:spacing w:val="5"/>
                <w:kern w:val="0"/>
                <w:sz w:val="24"/>
              </w:rPr>
              <w:t>混凝土基墙打磨光滑</w:t>
            </w:r>
          </w:p>
          <w:p w14:paraId="4838E6A7">
            <w:pPr>
              <w:widowControl/>
              <w:numPr>
                <w:ilvl w:val="0"/>
                <w:numId w:val="4"/>
              </w:numPr>
              <w:shd w:val="clear" w:color="auto" w:fill="FFFFFF"/>
              <w:spacing w:line="240" w:lineRule="auto"/>
              <w:ind w:left="358" w:leftChars="6" w:hanging="345" w:hangingChars="138"/>
              <w:jc w:val="left"/>
              <w:rPr>
                <w:rFonts w:hint="eastAsia" w:ascii="宋体" w:hAnsi="宋体" w:cs="宋体"/>
                <w:color w:val="222222"/>
                <w:spacing w:val="5"/>
                <w:kern w:val="0"/>
                <w:sz w:val="24"/>
              </w:rPr>
            </w:pPr>
            <w:r>
              <w:rPr>
                <w:rFonts w:hint="eastAsia" w:ascii="宋体" w:hAnsi="宋体" w:cs="宋体"/>
                <w:color w:val="222222"/>
                <w:spacing w:val="5"/>
                <w:kern w:val="0"/>
                <w:sz w:val="24"/>
              </w:rPr>
              <w:t>刷油性环氧漆两道</w:t>
            </w:r>
          </w:p>
        </w:tc>
      </w:tr>
      <w:tr w14:paraId="172E9C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60" w:type="dxa"/>
            <w:noWrap w:val="0"/>
            <w:vAlign w:val="top"/>
          </w:tcPr>
          <w:p w14:paraId="057CE470">
            <w:pPr>
              <w:widowControl/>
              <w:spacing w:line="240" w:lineRule="auto"/>
              <w:jc w:val="left"/>
              <w:rPr>
                <w:rFonts w:hint="eastAsia" w:ascii="宋体" w:hAnsi="宋体" w:cs="宋体"/>
                <w:color w:val="222222"/>
                <w:kern w:val="0"/>
                <w:sz w:val="24"/>
              </w:rPr>
            </w:pPr>
            <w:r>
              <w:rPr>
                <w:rFonts w:hint="eastAsia" w:ascii="宋体" w:hAnsi="宋体" w:cs="宋体"/>
                <w:color w:val="222222"/>
                <w:kern w:val="0"/>
                <w:sz w:val="24"/>
              </w:rPr>
              <w:t>散射室内墙、内顶棚</w:t>
            </w:r>
          </w:p>
        </w:tc>
        <w:tc>
          <w:tcPr>
            <w:tcW w:w="5866" w:type="dxa"/>
            <w:noWrap w:val="0"/>
            <w:vAlign w:val="top"/>
          </w:tcPr>
          <w:p w14:paraId="12768F25">
            <w:pPr>
              <w:widowControl/>
              <w:numPr>
                <w:ilvl w:val="0"/>
                <w:numId w:val="5"/>
              </w:numPr>
              <w:shd w:val="clear" w:color="auto" w:fill="FFFFFF"/>
              <w:spacing w:line="240" w:lineRule="auto"/>
              <w:ind w:left="358" w:leftChars="6" w:hanging="345" w:hangingChars="138"/>
              <w:jc w:val="left"/>
              <w:rPr>
                <w:rFonts w:hint="eastAsia" w:ascii="宋体" w:hAnsi="宋体" w:cs="宋体"/>
                <w:color w:val="222222"/>
                <w:spacing w:val="5"/>
                <w:kern w:val="0"/>
                <w:sz w:val="24"/>
              </w:rPr>
            </w:pPr>
            <w:r>
              <w:rPr>
                <w:rFonts w:hint="eastAsia" w:ascii="宋体" w:hAnsi="宋体" w:cs="宋体"/>
                <w:color w:val="222222"/>
                <w:spacing w:val="5"/>
                <w:kern w:val="0"/>
                <w:sz w:val="24"/>
              </w:rPr>
              <w:t>混凝土基墙打磨光滑</w:t>
            </w:r>
          </w:p>
          <w:p w14:paraId="3782A6A5">
            <w:pPr>
              <w:widowControl/>
              <w:numPr>
                <w:ilvl w:val="0"/>
                <w:numId w:val="5"/>
              </w:numPr>
              <w:shd w:val="clear" w:color="auto" w:fill="FFFFFF"/>
              <w:spacing w:line="240" w:lineRule="auto"/>
              <w:ind w:left="358" w:leftChars="6" w:hanging="345" w:hangingChars="138"/>
              <w:jc w:val="left"/>
              <w:rPr>
                <w:rFonts w:hint="eastAsia" w:ascii="宋体" w:hAnsi="宋体" w:cs="宋体"/>
                <w:color w:val="222222"/>
                <w:spacing w:val="5"/>
                <w:kern w:val="0"/>
                <w:sz w:val="24"/>
              </w:rPr>
            </w:pPr>
            <w:r>
              <w:rPr>
                <w:rFonts w:hint="eastAsia" w:ascii="宋体" w:hAnsi="宋体" w:cs="宋体"/>
                <w:color w:val="222222"/>
                <w:spacing w:val="5"/>
                <w:kern w:val="0"/>
                <w:sz w:val="24"/>
              </w:rPr>
              <w:t>刷油性环氧漆两道</w:t>
            </w:r>
          </w:p>
        </w:tc>
      </w:tr>
      <w:tr w14:paraId="75B34D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60" w:type="dxa"/>
            <w:noWrap w:val="0"/>
            <w:vAlign w:val="top"/>
          </w:tcPr>
          <w:p w14:paraId="21882C2F">
            <w:pPr>
              <w:widowControl/>
              <w:spacing w:line="240" w:lineRule="auto"/>
              <w:jc w:val="left"/>
              <w:rPr>
                <w:rFonts w:hint="eastAsia" w:ascii="宋体" w:hAnsi="宋体" w:cs="宋体"/>
                <w:color w:val="222222"/>
                <w:kern w:val="0"/>
                <w:sz w:val="24"/>
              </w:rPr>
            </w:pPr>
            <w:r>
              <w:rPr>
                <w:rFonts w:hint="eastAsia" w:ascii="宋体" w:hAnsi="宋体" w:cs="宋体"/>
                <w:color w:val="222222"/>
                <w:kern w:val="0"/>
                <w:sz w:val="24"/>
              </w:rPr>
              <w:t>散射室地面及高能质子实验大厅地面（厅内面积约333 平方米，实验终端内面积分别为58和77平方米）</w:t>
            </w:r>
          </w:p>
        </w:tc>
        <w:tc>
          <w:tcPr>
            <w:tcW w:w="5866" w:type="dxa"/>
            <w:noWrap w:val="0"/>
            <w:vAlign w:val="top"/>
          </w:tcPr>
          <w:p w14:paraId="073E30B1">
            <w:pPr>
              <w:widowControl/>
              <w:numPr>
                <w:ilvl w:val="0"/>
                <w:numId w:val="6"/>
              </w:numPr>
              <w:shd w:val="clear" w:color="auto" w:fill="FFFFFF"/>
              <w:spacing w:line="240" w:lineRule="auto"/>
              <w:jc w:val="left"/>
              <w:rPr>
                <w:rFonts w:hint="eastAsia" w:ascii="宋体" w:hAnsi="宋体" w:cs="宋体"/>
                <w:color w:val="222222"/>
                <w:spacing w:val="5"/>
                <w:kern w:val="0"/>
                <w:sz w:val="24"/>
              </w:rPr>
            </w:pPr>
            <w:r>
              <w:rPr>
                <w:rFonts w:hint="eastAsia" w:ascii="宋体" w:hAnsi="宋体" w:cs="宋体"/>
                <w:color w:val="222222"/>
                <w:spacing w:val="5"/>
                <w:kern w:val="0"/>
                <w:sz w:val="24"/>
              </w:rPr>
              <w:t>0.5~1.5无溶剂水性环氧地坪漆面涂层（具体颜色施工前由采购人确定）</w:t>
            </w:r>
          </w:p>
          <w:p w14:paraId="7DC7D940">
            <w:pPr>
              <w:widowControl/>
              <w:numPr>
                <w:ilvl w:val="0"/>
                <w:numId w:val="6"/>
              </w:numPr>
              <w:shd w:val="clear" w:color="auto" w:fill="FFFFFF"/>
              <w:spacing w:line="240" w:lineRule="auto"/>
              <w:ind w:left="358" w:leftChars="6" w:hanging="345" w:hangingChars="138"/>
              <w:jc w:val="left"/>
              <w:rPr>
                <w:rFonts w:hint="eastAsia" w:ascii="宋体" w:hAnsi="宋体" w:cs="宋体"/>
                <w:color w:val="222222"/>
                <w:spacing w:val="5"/>
                <w:kern w:val="0"/>
                <w:sz w:val="24"/>
              </w:rPr>
            </w:pPr>
            <w:r>
              <w:rPr>
                <w:rFonts w:hint="eastAsia" w:ascii="宋体" w:hAnsi="宋体" w:cs="宋体"/>
                <w:color w:val="222222"/>
                <w:spacing w:val="5"/>
                <w:kern w:val="0"/>
                <w:sz w:val="24"/>
              </w:rPr>
              <w:t>0.5~1.5无溶剂水性环氧地坪漆中涂层（海灰色，具体颜色施工前由采购人 确定）</w:t>
            </w:r>
          </w:p>
          <w:p w14:paraId="7A33A886">
            <w:pPr>
              <w:widowControl/>
              <w:numPr>
                <w:ilvl w:val="0"/>
                <w:numId w:val="6"/>
              </w:numPr>
              <w:shd w:val="clear" w:color="auto" w:fill="FFFFFF"/>
              <w:spacing w:line="240" w:lineRule="auto"/>
              <w:ind w:left="358" w:leftChars="6" w:hanging="345" w:hangingChars="138"/>
              <w:jc w:val="left"/>
              <w:rPr>
                <w:rFonts w:hint="eastAsia" w:ascii="宋体" w:hAnsi="宋体" w:cs="宋体"/>
                <w:color w:val="222222"/>
                <w:spacing w:val="5"/>
                <w:kern w:val="0"/>
                <w:sz w:val="24"/>
              </w:rPr>
            </w:pPr>
            <w:r>
              <w:rPr>
                <w:rFonts w:hint="eastAsia" w:ascii="宋体" w:hAnsi="宋体" w:cs="宋体"/>
                <w:color w:val="222222"/>
                <w:spacing w:val="5"/>
                <w:kern w:val="0"/>
                <w:sz w:val="24"/>
              </w:rPr>
              <w:t>环氧树脂底涂层一遍</w:t>
            </w:r>
          </w:p>
          <w:p w14:paraId="209D1B96">
            <w:pPr>
              <w:widowControl/>
              <w:numPr>
                <w:ilvl w:val="0"/>
                <w:numId w:val="6"/>
              </w:numPr>
              <w:shd w:val="clear" w:color="auto" w:fill="FFFFFF"/>
              <w:spacing w:line="240" w:lineRule="auto"/>
              <w:ind w:left="358" w:leftChars="6" w:hanging="345" w:hangingChars="138"/>
              <w:jc w:val="left"/>
              <w:rPr>
                <w:rFonts w:hint="eastAsia" w:ascii="宋体" w:hAnsi="宋体" w:cs="宋体"/>
                <w:color w:val="222222"/>
                <w:spacing w:val="5"/>
                <w:kern w:val="0"/>
                <w:sz w:val="24"/>
              </w:rPr>
            </w:pPr>
            <w:r>
              <w:rPr>
                <w:rFonts w:hint="eastAsia" w:ascii="宋体" w:hAnsi="宋体" w:cs="宋体"/>
                <w:color w:val="222222"/>
                <w:spacing w:val="5"/>
                <w:kern w:val="0"/>
                <w:sz w:val="24"/>
              </w:rPr>
              <w:t>最薄处50厚C25细石混凝土，表面撒1：1水泥砂子随打随抹光</w:t>
            </w:r>
          </w:p>
          <w:p w14:paraId="363D8666">
            <w:pPr>
              <w:widowControl/>
              <w:numPr>
                <w:ilvl w:val="0"/>
                <w:numId w:val="6"/>
              </w:numPr>
              <w:shd w:val="clear" w:color="auto" w:fill="FFFFFF"/>
              <w:spacing w:line="240" w:lineRule="auto"/>
              <w:ind w:left="358" w:leftChars="6" w:hanging="345" w:hangingChars="138"/>
              <w:jc w:val="left"/>
              <w:rPr>
                <w:rFonts w:hint="eastAsia" w:ascii="宋体" w:hAnsi="宋体" w:cs="宋体"/>
                <w:color w:val="222222"/>
                <w:spacing w:val="5"/>
                <w:kern w:val="0"/>
                <w:sz w:val="24"/>
              </w:rPr>
            </w:pPr>
            <w:r>
              <w:rPr>
                <w:rFonts w:hint="eastAsia" w:ascii="宋体" w:hAnsi="宋体" w:cs="宋体"/>
                <w:color w:val="222222"/>
                <w:spacing w:val="5"/>
                <w:kern w:val="0"/>
                <w:sz w:val="24"/>
              </w:rPr>
              <w:t>水泥浆一道（内掺建筑胶）</w:t>
            </w:r>
          </w:p>
          <w:p w14:paraId="10FFE7A7">
            <w:pPr>
              <w:widowControl/>
              <w:numPr>
                <w:ilvl w:val="0"/>
                <w:numId w:val="6"/>
              </w:numPr>
              <w:shd w:val="clear" w:color="auto" w:fill="FFFFFF"/>
              <w:spacing w:line="240" w:lineRule="auto"/>
              <w:ind w:left="358" w:leftChars="6" w:hanging="345" w:hangingChars="138"/>
              <w:jc w:val="left"/>
              <w:rPr>
                <w:rFonts w:hint="eastAsia" w:ascii="宋体" w:hAnsi="宋体" w:cs="宋体"/>
                <w:color w:val="222222"/>
                <w:spacing w:val="5"/>
                <w:kern w:val="0"/>
                <w:sz w:val="24"/>
              </w:rPr>
            </w:pPr>
            <w:r>
              <w:rPr>
                <w:rFonts w:hint="eastAsia" w:ascii="宋体" w:hAnsi="宋体" w:cs="宋体"/>
                <w:color w:val="222222"/>
                <w:spacing w:val="5"/>
                <w:kern w:val="0"/>
                <w:sz w:val="24"/>
              </w:rPr>
              <w:t>现浇钢筋混凝土楼板（楼/地面）</w:t>
            </w:r>
          </w:p>
        </w:tc>
      </w:tr>
    </w:tbl>
    <w:p w14:paraId="39A4EB95">
      <w:pPr>
        <w:pStyle w:val="8"/>
        <w:ind w:firstLine="0" w:firstLineChars="0"/>
      </w:pPr>
    </w:p>
    <w:bookmarkEnd w:id="4"/>
    <w:p w14:paraId="4B141AA2">
      <w:pPr>
        <w:keepNext/>
        <w:keepLines/>
        <w:tabs>
          <w:tab w:val="left" w:pos="-2410"/>
          <w:tab w:val="left" w:pos="-1701"/>
        </w:tabs>
        <w:spacing w:before="260" w:after="260" w:line="416" w:lineRule="auto"/>
        <w:jc w:val="left"/>
        <w:outlineLvl w:val="1"/>
        <w:rPr>
          <w:b/>
          <w:bCs/>
          <w:sz w:val="30"/>
          <w:szCs w:val="32"/>
        </w:rPr>
      </w:pPr>
      <w:r>
        <w:rPr>
          <w:b/>
          <w:bCs/>
          <w:sz w:val="30"/>
          <w:szCs w:val="32"/>
        </w:rPr>
        <w:t>3</w:t>
      </w:r>
      <w:r>
        <w:rPr>
          <w:rFonts w:hint="eastAsia"/>
          <w:b/>
          <w:bCs/>
          <w:sz w:val="30"/>
          <w:szCs w:val="32"/>
        </w:rPr>
        <w:t>、</w:t>
      </w:r>
      <w:r>
        <w:rPr>
          <w:b/>
          <w:bCs/>
          <w:sz w:val="30"/>
          <w:szCs w:val="32"/>
        </w:rPr>
        <w:t>验收</w:t>
      </w:r>
    </w:p>
    <w:p w14:paraId="3AEDFD08">
      <w:pPr>
        <w:adjustRightInd w:val="0"/>
        <w:snapToGrid w:val="0"/>
        <w:ind w:firstLine="480" w:firstLineChars="200"/>
        <w:rPr>
          <w:sz w:val="24"/>
        </w:rPr>
      </w:pPr>
      <w:r>
        <w:rPr>
          <w:sz w:val="24"/>
        </w:rPr>
        <w:t>6.1验收标准：</w:t>
      </w:r>
    </w:p>
    <w:p w14:paraId="3CE3108E">
      <w:pPr>
        <w:adjustRightInd w:val="0"/>
        <w:snapToGrid w:val="0"/>
        <w:ind w:firstLine="480" w:firstLineChars="200"/>
        <w:rPr>
          <w:sz w:val="24"/>
        </w:rPr>
      </w:pPr>
      <w:r>
        <w:rPr>
          <w:sz w:val="24"/>
        </w:rPr>
        <w:t>依据本章技术文件（如合同签订时</w:t>
      </w:r>
      <w:r>
        <w:rPr>
          <w:rFonts w:hint="eastAsia"/>
          <w:sz w:val="24"/>
        </w:rPr>
        <w:t>采购人</w:t>
      </w:r>
      <w:r>
        <w:rPr>
          <w:sz w:val="24"/>
        </w:rPr>
        <w:t>有调整，</w:t>
      </w:r>
      <w:r>
        <w:rPr>
          <w:rFonts w:hint="eastAsia"/>
          <w:sz w:val="24"/>
        </w:rPr>
        <w:t>或投标人投标时有偏离，以调整和偏离后的技术要求为准</w:t>
      </w:r>
      <w:r>
        <w:rPr>
          <w:sz w:val="24"/>
        </w:rPr>
        <w:t>）。</w:t>
      </w:r>
    </w:p>
    <w:p w14:paraId="4DC1BC3E">
      <w:pPr>
        <w:pStyle w:val="10"/>
        <w:adjustRightInd w:val="0"/>
        <w:snapToGrid w:val="0"/>
        <w:spacing w:line="360" w:lineRule="auto"/>
        <w:ind w:firstLine="480"/>
        <w:rPr>
          <w:rFonts w:ascii="Times New Roman" w:hAnsi="Times New Roman"/>
          <w:bCs/>
          <w:sz w:val="24"/>
          <w:szCs w:val="24"/>
        </w:rPr>
      </w:pPr>
      <w:r>
        <w:rPr>
          <w:rFonts w:hint="eastAsia" w:ascii="Times New Roman" w:hAnsi="Times New Roman"/>
          <w:bCs/>
          <w:sz w:val="24"/>
          <w:szCs w:val="24"/>
        </w:rPr>
        <w:t>6</w:t>
      </w:r>
      <w:r>
        <w:rPr>
          <w:rFonts w:ascii="Times New Roman" w:hAnsi="Times New Roman"/>
          <w:bCs/>
          <w:sz w:val="24"/>
          <w:szCs w:val="24"/>
        </w:rPr>
        <w:t>.</w:t>
      </w:r>
      <w:r>
        <w:rPr>
          <w:rFonts w:hint="eastAsia" w:ascii="Times New Roman" w:hAnsi="Times New Roman"/>
          <w:bCs/>
          <w:sz w:val="24"/>
          <w:szCs w:val="24"/>
        </w:rPr>
        <w:t>2</w:t>
      </w:r>
      <w:r>
        <w:rPr>
          <w:rFonts w:ascii="Times New Roman" w:hAnsi="Times New Roman"/>
          <w:bCs/>
          <w:sz w:val="24"/>
          <w:szCs w:val="24"/>
        </w:rPr>
        <w:t>出厂验收</w:t>
      </w:r>
    </w:p>
    <w:p w14:paraId="4B747268">
      <w:pPr>
        <w:pStyle w:val="10"/>
        <w:adjustRightInd w:val="0"/>
        <w:snapToGrid w:val="0"/>
        <w:spacing w:line="360" w:lineRule="auto"/>
        <w:ind w:firstLine="480"/>
        <w:rPr>
          <w:rFonts w:ascii="Times New Roman" w:hAnsi="Times New Roman"/>
          <w:sz w:val="24"/>
          <w:szCs w:val="24"/>
        </w:rPr>
      </w:pPr>
      <w:r>
        <w:rPr>
          <w:rFonts w:ascii="Times New Roman" w:hAnsi="Times New Roman"/>
          <w:sz w:val="24"/>
          <w:szCs w:val="24"/>
        </w:rPr>
        <w:t>设备制造完成后，</w:t>
      </w:r>
      <w:r>
        <w:rPr>
          <w:rFonts w:hint="eastAsia" w:ascii="Times New Roman" w:hAnsi="Times New Roman"/>
          <w:sz w:val="24"/>
          <w:szCs w:val="24"/>
        </w:rPr>
        <w:t>投标人</w:t>
      </w:r>
      <w:r>
        <w:rPr>
          <w:rFonts w:ascii="Times New Roman" w:hAnsi="Times New Roman"/>
          <w:sz w:val="24"/>
          <w:szCs w:val="24"/>
        </w:rPr>
        <w:t>组织进行出厂验收。</w:t>
      </w:r>
      <w:r>
        <w:rPr>
          <w:rFonts w:hint="eastAsia" w:ascii="Times New Roman" w:hAnsi="Times New Roman"/>
          <w:sz w:val="24"/>
          <w:szCs w:val="24"/>
        </w:rPr>
        <w:t>投标人</w:t>
      </w:r>
      <w:r>
        <w:rPr>
          <w:rFonts w:ascii="Times New Roman" w:hAnsi="Times New Roman"/>
          <w:sz w:val="24"/>
          <w:szCs w:val="24"/>
        </w:rPr>
        <w:t>应先制定验收细则（包括验收流程、指标、项目、合格标准等），提交</w:t>
      </w:r>
      <w:r>
        <w:rPr>
          <w:rFonts w:hint="eastAsia" w:ascii="Times New Roman" w:hAnsi="Times New Roman"/>
          <w:sz w:val="24"/>
          <w:szCs w:val="24"/>
        </w:rPr>
        <w:t>采购人</w:t>
      </w:r>
      <w:r>
        <w:rPr>
          <w:rFonts w:ascii="Times New Roman" w:hAnsi="Times New Roman"/>
          <w:sz w:val="24"/>
          <w:szCs w:val="24"/>
        </w:rPr>
        <w:t>审核认可后方可进行出厂验收。出厂验收由</w:t>
      </w:r>
      <w:r>
        <w:rPr>
          <w:rFonts w:hint="eastAsia" w:ascii="Times New Roman" w:hAnsi="Times New Roman"/>
          <w:sz w:val="24"/>
          <w:szCs w:val="24"/>
        </w:rPr>
        <w:t>投标人</w:t>
      </w:r>
      <w:r>
        <w:rPr>
          <w:rFonts w:ascii="Times New Roman" w:hAnsi="Times New Roman"/>
          <w:sz w:val="24"/>
          <w:szCs w:val="24"/>
        </w:rPr>
        <w:t>负责组织，</w:t>
      </w:r>
      <w:r>
        <w:rPr>
          <w:rFonts w:hint="eastAsia" w:ascii="Times New Roman" w:hAnsi="Times New Roman"/>
          <w:sz w:val="24"/>
          <w:szCs w:val="24"/>
        </w:rPr>
        <w:t>采购人</w:t>
      </w:r>
      <w:r>
        <w:rPr>
          <w:rFonts w:ascii="Times New Roman" w:hAnsi="Times New Roman"/>
          <w:sz w:val="24"/>
          <w:szCs w:val="24"/>
        </w:rPr>
        <w:t>参加。出厂验收测试内容应该包括但不局限于</w:t>
      </w:r>
      <w:r>
        <w:rPr>
          <w:rFonts w:ascii="Times New Roman" w:hAnsi="Times New Roman"/>
        </w:rPr>
        <w:t>：</w:t>
      </w:r>
    </w:p>
    <w:p w14:paraId="7E202127">
      <w:pPr>
        <w:pStyle w:val="10"/>
        <w:adjustRightInd w:val="0"/>
        <w:spacing w:line="360" w:lineRule="auto"/>
        <w:ind w:firstLine="480"/>
        <w:rPr>
          <w:rFonts w:ascii="Times New Roman" w:hAnsi="Times New Roman"/>
          <w:sz w:val="24"/>
          <w:szCs w:val="24"/>
        </w:rPr>
      </w:pPr>
      <w:r>
        <w:rPr>
          <w:rFonts w:ascii="Times New Roman" w:hAnsi="Times New Roman"/>
          <w:sz w:val="24"/>
          <w:szCs w:val="24"/>
        </w:rPr>
        <w:t>1）各部件外观检查；</w:t>
      </w:r>
    </w:p>
    <w:p w14:paraId="1CFCC91C">
      <w:pPr>
        <w:adjustRightInd w:val="0"/>
        <w:ind w:firstLine="480" w:firstLineChars="200"/>
        <w:rPr>
          <w:sz w:val="24"/>
        </w:rPr>
      </w:pPr>
      <w:r>
        <w:rPr>
          <w:sz w:val="24"/>
        </w:rPr>
        <w:t>2）零部件关键尺寸</w:t>
      </w:r>
      <w:r>
        <w:rPr>
          <w:rFonts w:hint="eastAsia"/>
          <w:sz w:val="24"/>
        </w:rPr>
        <w:t>和形位误差等</w:t>
      </w:r>
      <w:r>
        <w:rPr>
          <w:sz w:val="24"/>
        </w:rPr>
        <w:t>参数测量：</w:t>
      </w:r>
      <w:r>
        <w:rPr>
          <w:rFonts w:hint="eastAsia"/>
          <w:sz w:val="24"/>
        </w:rPr>
        <w:t>所有质量检验文件及过程控制文件的检查</w:t>
      </w:r>
      <w:r>
        <w:rPr>
          <w:sz w:val="24"/>
        </w:rPr>
        <w:t>，并对关键尺寸参数进行复检；</w:t>
      </w:r>
    </w:p>
    <w:p w14:paraId="369588B8">
      <w:pPr>
        <w:adjustRightInd w:val="0"/>
        <w:ind w:firstLine="480" w:firstLineChars="200"/>
        <w:rPr>
          <w:rFonts w:hint="eastAsia"/>
          <w:sz w:val="24"/>
        </w:rPr>
      </w:pPr>
      <w:r>
        <w:rPr>
          <w:rFonts w:hint="eastAsia"/>
          <w:sz w:val="24"/>
        </w:rPr>
        <w:t>3）预安装后关键尺寸和整体形位公差的测量和复验；</w:t>
      </w:r>
    </w:p>
    <w:p w14:paraId="05779E98">
      <w:pPr>
        <w:pStyle w:val="10"/>
        <w:adjustRightInd w:val="0"/>
        <w:spacing w:line="360" w:lineRule="auto"/>
        <w:ind w:firstLine="480"/>
        <w:rPr>
          <w:rFonts w:hint="eastAsia" w:ascii="Times New Roman" w:hAnsi="Times New Roman"/>
          <w:sz w:val="24"/>
          <w:szCs w:val="24"/>
        </w:rPr>
      </w:pPr>
      <w:r>
        <w:rPr>
          <w:rFonts w:ascii="Times New Roman" w:hAnsi="Times New Roman"/>
          <w:sz w:val="24"/>
          <w:szCs w:val="24"/>
        </w:rPr>
        <w:t>4</w:t>
      </w:r>
      <w:r>
        <w:rPr>
          <w:rFonts w:hint="eastAsia" w:ascii="Times New Roman" w:hAnsi="Times New Roman"/>
          <w:sz w:val="24"/>
          <w:szCs w:val="24"/>
        </w:rPr>
        <w:t>）</w:t>
      </w:r>
      <w:r>
        <w:rPr>
          <w:rFonts w:hint="eastAsia"/>
          <w:sz w:val="24"/>
        </w:rPr>
        <w:t>材质及性能确认。</w:t>
      </w:r>
    </w:p>
    <w:p w14:paraId="226B5546">
      <w:pPr>
        <w:pStyle w:val="10"/>
        <w:adjustRightInd w:val="0"/>
        <w:snapToGrid w:val="0"/>
        <w:spacing w:line="360" w:lineRule="auto"/>
        <w:ind w:firstLine="480"/>
        <w:rPr>
          <w:rFonts w:ascii="Times New Roman" w:hAnsi="Times New Roman"/>
          <w:sz w:val="24"/>
          <w:szCs w:val="24"/>
        </w:rPr>
      </w:pPr>
      <w:r>
        <w:rPr>
          <w:rFonts w:ascii="Times New Roman" w:hAnsi="Times New Roman"/>
          <w:sz w:val="24"/>
          <w:szCs w:val="24"/>
        </w:rPr>
        <w:t>完成出厂测试后，</w:t>
      </w:r>
      <w:r>
        <w:rPr>
          <w:rFonts w:hint="eastAsia" w:ascii="Times New Roman" w:hAnsi="Times New Roman"/>
          <w:sz w:val="24"/>
          <w:szCs w:val="24"/>
        </w:rPr>
        <w:t>投标人</w:t>
      </w:r>
      <w:r>
        <w:rPr>
          <w:rFonts w:ascii="Times New Roman" w:hAnsi="Times New Roman"/>
          <w:sz w:val="24"/>
          <w:szCs w:val="24"/>
        </w:rPr>
        <w:t>编制出厂验收报告及数据文件，经</w:t>
      </w:r>
      <w:r>
        <w:rPr>
          <w:rFonts w:hint="eastAsia" w:ascii="Times New Roman" w:hAnsi="Times New Roman"/>
          <w:sz w:val="24"/>
          <w:szCs w:val="24"/>
        </w:rPr>
        <w:t>采购人</w:t>
      </w:r>
      <w:r>
        <w:rPr>
          <w:rFonts w:ascii="Times New Roman" w:hAnsi="Times New Roman"/>
          <w:sz w:val="24"/>
          <w:szCs w:val="24"/>
        </w:rPr>
        <w:t>认可后，完成出厂验收。</w:t>
      </w:r>
    </w:p>
    <w:p w14:paraId="44F2A748">
      <w:pPr>
        <w:pStyle w:val="10"/>
        <w:adjustRightInd w:val="0"/>
        <w:snapToGrid w:val="0"/>
        <w:spacing w:line="360" w:lineRule="auto"/>
        <w:ind w:firstLine="480"/>
        <w:rPr>
          <w:rFonts w:ascii="Times New Roman" w:hAnsi="Times New Roman"/>
          <w:sz w:val="24"/>
          <w:szCs w:val="24"/>
        </w:rPr>
      </w:pPr>
      <w:r>
        <w:rPr>
          <w:rFonts w:hint="eastAsia" w:ascii="Times New Roman" w:hAnsi="Times New Roman"/>
          <w:sz w:val="24"/>
          <w:szCs w:val="24"/>
        </w:rPr>
        <w:t>6</w:t>
      </w:r>
      <w:r>
        <w:rPr>
          <w:rFonts w:ascii="Times New Roman" w:hAnsi="Times New Roman"/>
          <w:sz w:val="24"/>
          <w:szCs w:val="24"/>
        </w:rPr>
        <w:t>.</w:t>
      </w:r>
      <w:r>
        <w:rPr>
          <w:rFonts w:hint="eastAsia" w:ascii="Times New Roman" w:hAnsi="Times New Roman"/>
          <w:sz w:val="24"/>
          <w:szCs w:val="24"/>
        </w:rPr>
        <w:t>3</w:t>
      </w:r>
      <w:r>
        <w:rPr>
          <w:rFonts w:ascii="Times New Roman" w:hAnsi="Times New Roman"/>
          <w:sz w:val="24"/>
          <w:szCs w:val="24"/>
        </w:rPr>
        <w:t>最终验收</w:t>
      </w:r>
    </w:p>
    <w:p w14:paraId="444B38CF">
      <w:pPr>
        <w:pStyle w:val="10"/>
        <w:adjustRightInd w:val="0"/>
        <w:spacing w:line="360" w:lineRule="auto"/>
        <w:ind w:firstLine="480"/>
        <w:rPr>
          <w:rFonts w:ascii="Times New Roman" w:hAnsi="Times New Roman"/>
          <w:sz w:val="24"/>
          <w:szCs w:val="24"/>
        </w:rPr>
      </w:pPr>
      <w:r>
        <w:rPr>
          <w:rFonts w:hint="eastAsia" w:ascii="Times New Roman" w:hAnsi="Times New Roman"/>
          <w:sz w:val="24"/>
          <w:szCs w:val="24"/>
        </w:rPr>
        <w:t>投标人</w:t>
      </w:r>
      <w:r>
        <w:rPr>
          <w:rFonts w:ascii="Times New Roman" w:hAnsi="Times New Roman"/>
          <w:sz w:val="24"/>
          <w:szCs w:val="24"/>
        </w:rPr>
        <w:t>需提供现场性能验收测量方案，在</w:t>
      </w:r>
      <w:r>
        <w:rPr>
          <w:rFonts w:hint="eastAsia" w:ascii="Times New Roman" w:hAnsi="Times New Roman"/>
          <w:sz w:val="24"/>
          <w:szCs w:val="24"/>
        </w:rPr>
        <w:t>屏蔽体</w:t>
      </w:r>
      <w:r>
        <w:rPr>
          <w:rFonts w:ascii="Times New Roman" w:hAnsi="Times New Roman"/>
          <w:sz w:val="24"/>
          <w:szCs w:val="24"/>
        </w:rPr>
        <w:t>安装完成后，在</w:t>
      </w:r>
      <w:r>
        <w:rPr>
          <w:rFonts w:hint="eastAsia" w:ascii="Times New Roman" w:hAnsi="Times New Roman"/>
          <w:sz w:val="24"/>
          <w:szCs w:val="24"/>
        </w:rPr>
        <w:t>采购人</w:t>
      </w:r>
      <w:r>
        <w:rPr>
          <w:rFonts w:ascii="Times New Roman" w:hAnsi="Times New Roman"/>
          <w:sz w:val="24"/>
          <w:szCs w:val="24"/>
        </w:rPr>
        <w:t>现场进行以下测试，包括：</w:t>
      </w:r>
    </w:p>
    <w:p w14:paraId="3F47FEB8">
      <w:pPr>
        <w:pStyle w:val="10"/>
        <w:adjustRightInd w:val="0"/>
        <w:spacing w:line="360" w:lineRule="auto"/>
        <w:ind w:firstLine="480"/>
        <w:rPr>
          <w:rFonts w:ascii="Times New Roman" w:hAnsi="Times New Roman"/>
          <w:sz w:val="24"/>
          <w:szCs w:val="24"/>
        </w:rPr>
      </w:pPr>
      <w:r>
        <w:rPr>
          <w:rFonts w:ascii="Times New Roman" w:hAnsi="Times New Roman"/>
          <w:sz w:val="24"/>
          <w:szCs w:val="24"/>
        </w:rPr>
        <w:t>1）各部件</w:t>
      </w:r>
      <w:r>
        <w:rPr>
          <w:rFonts w:hint="eastAsia" w:ascii="Times New Roman" w:hAnsi="Times New Roman"/>
          <w:sz w:val="24"/>
          <w:szCs w:val="24"/>
        </w:rPr>
        <w:t>数量、</w:t>
      </w:r>
      <w:r>
        <w:rPr>
          <w:rFonts w:ascii="Times New Roman" w:hAnsi="Times New Roman"/>
          <w:sz w:val="24"/>
          <w:szCs w:val="24"/>
        </w:rPr>
        <w:t>外观检查</w:t>
      </w:r>
      <w:r>
        <w:rPr>
          <w:rFonts w:hint="eastAsia" w:ascii="Times New Roman" w:hAnsi="Times New Roman"/>
          <w:sz w:val="24"/>
          <w:szCs w:val="24"/>
        </w:rPr>
        <w:t xml:space="preserve">；  </w:t>
      </w:r>
    </w:p>
    <w:p w14:paraId="3FB528FB">
      <w:pPr>
        <w:pStyle w:val="10"/>
        <w:adjustRightInd w:val="0"/>
        <w:spacing w:line="360" w:lineRule="auto"/>
        <w:ind w:firstLine="480"/>
        <w:rPr>
          <w:rFonts w:hint="eastAsia" w:ascii="Times New Roman" w:hAnsi="Times New Roman"/>
          <w:sz w:val="24"/>
          <w:szCs w:val="24"/>
        </w:rPr>
      </w:pPr>
      <w:r>
        <w:rPr>
          <w:rFonts w:ascii="Times New Roman" w:hAnsi="Times New Roman"/>
          <w:sz w:val="24"/>
          <w:szCs w:val="24"/>
        </w:rPr>
        <w:t>2）</w:t>
      </w:r>
      <w:r>
        <w:rPr>
          <w:rFonts w:hint="eastAsia" w:ascii="Times New Roman" w:hAnsi="Times New Roman"/>
          <w:sz w:val="24"/>
          <w:szCs w:val="24"/>
        </w:rPr>
        <w:t>安装后整体尺寸和安装误差等</w:t>
      </w:r>
      <w:r>
        <w:rPr>
          <w:rFonts w:ascii="Times New Roman" w:hAnsi="Times New Roman"/>
          <w:sz w:val="24"/>
          <w:szCs w:val="24"/>
        </w:rPr>
        <w:t>参数测量</w:t>
      </w:r>
      <w:r>
        <w:rPr>
          <w:rFonts w:hint="eastAsia" w:ascii="Times New Roman" w:hAnsi="Times New Roman"/>
          <w:sz w:val="24"/>
          <w:szCs w:val="24"/>
        </w:rPr>
        <w:t>；</w:t>
      </w:r>
    </w:p>
    <w:p w14:paraId="6314C27A">
      <w:pPr>
        <w:adjustRightInd w:val="0"/>
        <w:ind w:firstLine="480" w:firstLineChars="200"/>
        <w:rPr>
          <w:rFonts w:hint="eastAsia"/>
        </w:rPr>
      </w:pPr>
      <w:r>
        <w:rPr>
          <w:sz w:val="24"/>
        </w:rPr>
        <w:t>设备在现场完成安装，经</w:t>
      </w:r>
      <w:r>
        <w:rPr>
          <w:rFonts w:hint="eastAsia"/>
          <w:sz w:val="24"/>
        </w:rPr>
        <w:t>采购人</w:t>
      </w:r>
      <w:r>
        <w:rPr>
          <w:sz w:val="24"/>
        </w:rPr>
        <w:t>检验合格</w:t>
      </w:r>
      <w:r>
        <w:rPr>
          <w:rFonts w:hint="eastAsia"/>
          <w:sz w:val="24"/>
        </w:rPr>
        <w:t>且投标人已</w:t>
      </w:r>
      <w:r>
        <w:rPr>
          <w:sz w:val="24"/>
        </w:rPr>
        <w:t>向采购人提供</w:t>
      </w:r>
      <w:r>
        <w:rPr>
          <w:rFonts w:hint="eastAsia"/>
          <w:sz w:val="24"/>
        </w:rPr>
        <w:t>本项目</w:t>
      </w:r>
      <w:r>
        <w:rPr>
          <w:sz w:val="24"/>
        </w:rPr>
        <w:t>合同5.5条款要求提供的全部资料，双方签署验收报告，</w:t>
      </w:r>
      <w:r>
        <w:rPr>
          <w:rFonts w:hint="eastAsia"/>
          <w:sz w:val="24"/>
        </w:rPr>
        <w:t>投标人</w:t>
      </w:r>
      <w:r>
        <w:rPr>
          <w:sz w:val="24"/>
        </w:rPr>
        <w:t>完成交付义务，视为通过最终验收。</w:t>
      </w:r>
    </w:p>
    <w:p w14:paraId="6EAB6B14">
      <w:pPr>
        <w:keepNext/>
        <w:keepLines/>
        <w:tabs>
          <w:tab w:val="left" w:pos="-2410"/>
          <w:tab w:val="left" w:pos="-1701"/>
        </w:tabs>
        <w:spacing w:before="260" w:after="260" w:line="416" w:lineRule="auto"/>
        <w:jc w:val="left"/>
        <w:outlineLvl w:val="1"/>
        <w:rPr>
          <w:b/>
          <w:bCs/>
          <w:sz w:val="30"/>
          <w:szCs w:val="32"/>
        </w:rPr>
      </w:pPr>
      <w:r>
        <w:rPr>
          <w:rFonts w:hint="eastAsia"/>
          <w:b/>
          <w:bCs/>
          <w:sz w:val="30"/>
          <w:szCs w:val="32"/>
        </w:rPr>
        <w:t>4、</w:t>
      </w:r>
      <w:r>
        <w:rPr>
          <w:b/>
          <w:bCs/>
          <w:sz w:val="30"/>
          <w:szCs w:val="32"/>
        </w:rPr>
        <w:t>交付文件</w:t>
      </w:r>
    </w:p>
    <w:p w14:paraId="7662262A">
      <w:pPr>
        <w:pStyle w:val="8"/>
        <w:ind w:firstLine="480"/>
        <w:rPr>
          <w:rFonts w:hint="eastAsia"/>
          <w:lang w:bidi="ar"/>
        </w:rPr>
      </w:pPr>
      <w:r>
        <w:rPr>
          <w:rFonts w:hint="eastAsia"/>
          <w:lang w:bidi="ar"/>
        </w:rPr>
        <w:t>交付技术文件（包括但不仅限于）：</w:t>
      </w:r>
    </w:p>
    <w:p w14:paraId="58A0677A">
      <w:pPr>
        <w:pStyle w:val="8"/>
        <w:numPr>
          <w:ilvl w:val="0"/>
          <w:numId w:val="7"/>
        </w:numPr>
        <w:ind w:firstLineChars="0"/>
      </w:pPr>
      <w:r>
        <w:rPr>
          <w:rFonts w:hint="eastAsia"/>
        </w:rPr>
        <w:t>完整的施工工艺设计方案；</w:t>
      </w:r>
    </w:p>
    <w:p w14:paraId="457B9DBD">
      <w:pPr>
        <w:pStyle w:val="8"/>
        <w:numPr>
          <w:ilvl w:val="0"/>
          <w:numId w:val="7"/>
        </w:numPr>
        <w:ind w:firstLineChars="0"/>
        <w:rPr>
          <w:rFonts w:hint="eastAsia"/>
        </w:rPr>
      </w:pPr>
      <w:r>
        <w:rPr>
          <w:rFonts w:hint="eastAsia"/>
        </w:rPr>
        <w:t>全套竣工图纸；</w:t>
      </w:r>
    </w:p>
    <w:p w14:paraId="76F6AD5D">
      <w:pPr>
        <w:pStyle w:val="8"/>
        <w:numPr>
          <w:ilvl w:val="0"/>
          <w:numId w:val="7"/>
        </w:numPr>
        <w:ind w:firstLineChars="0"/>
      </w:pPr>
      <w:r>
        <w:rPr>
          <w:rFonts w:hint="eastAsia"/>
        </w:rPr>
        <w:t>外购配套产品原厂出厂合格证和技术资料；</w:t>
      </w:r>
    </w:p>
    <w:p w14:paraId="72A53C68">
      <w:pPr>
        <w:pStyle w:val="8"/>
        <w:numPr>
          <w:ilvl w:val="0"/>
          <w:numId w:val="7"/>
        </w:numPr>
        <w:ind w:firstLineChars="0"/>
      </w:pPr>
      <w:r>
        <w:rPr>
          <w:rFonts w:hint="eastAsia"/>
        </w:rPr>
        <w:t>投标人加工制作的预埋件的材质质量检测报告及合格证明、来源证明；</w:t>
      </w:r>
    </w:p>
    <w:p w14:paraId="4B65BB0F">
      <w:pPr>
        <w:pStyle w:val="8"/>
        <w:numPr>
          <w:ilvl w:val="0"/>
          <w:numId w:val="7"/>
        </w:numPr>
        <w:ind w:firstLineChars="0"/>
      </w:pPr>
      <w:r>
        <w:rPr>
          <w:rFonts w:hint="eastAsia"/>
        </w:rPr>
        <w:t>重要原材料、重要标准件的质量检测数据及合格证明、来源证明。</w:t>
      </w:r>
    </w:p>
    <w:p w14:paraId="6E726FE1">
      <w:pPr>
        <w:pStyle w:val="5"/>
        <w:ind w:left="0" w:leftChars="0" w:firstLine="0" w:firstLineChars="0"/>
        <w:outlineLvl w:val="1"/>
        <w:rPr>
          <w:rFonts w:hint="eastAsia"/>
          <w:b/>
          <w:bCs/>
          <w:sz w:val="30"/>
          <w:szCs w:val="32"/>
        </w:rPr>
      </w:pPr>
      <w:r>
        <w:rPr>
          <w:rFonts w:hint="eastAsia"/>
          <w:b/>
          <w:bCs/>
          <w:sz w:val="30"/>
          <w:szCs w:val="32"/>
        </w:rPr>
        <w:t>5、售后服务</w:t>
      </w:r>
    </w:p>
    <w:p w14:paraId="0E044957">
      <w:pPr>
        <w:adjustRightInd w:val="0"/>
        <w:snapToGrid w:val="0"/>
        <w:ind w:firstLine="480" w:firstLineChars="200"/>
        <w:rPr>
          <w:sz w:val="24"/>
        </w:rPr>
      </w:pPr>
      <w:r>
        <w:rPr>
          <w:rFonts w:hint="eastAsia"/>
          <w:sz w:val="24"/>
        </w:rPr>
        <w:t>5</w:t>
      </w:r>
      <w:r>
        <w:rPr>
          <w:sz w:val="24"/>
        </w:rPr>
        <w:t>.1本</w:t>
      </w:r>
      <w:r>
        <w:rPr>
          <w:rFonts w:hint="eastAsia"/>
          <w:sz w:val="24"/>
        </w:rPr>
        <w:t>项目</w:t>
      </w:r>
      <w:r>
        <w:rPr>
          <w:sz w:val="24"/>
        </w:rPr>
        <w:t>合同设备通过最终验收合格之日起18个月，</w:t>
      </w:r>
      <w:r>
        <w:rPr>
          <w:rFonts w:hint="eastAsia"/>
          <w:sz w:val="24"/>
        </w:rPr>
        <w:t>投标人</w:t>
      </w:r>
      <w:r>
        <w:rPr>
          <w:sz w:val="24"/>
        </w:rPr>
        <w:t>负责免费保修；保修期外</w:t>
      </w:r>
      <w:r>
        <w:rPr>
          <w:rFonts w:hint="eastAsia"/>
          <w:sz w:val="24"/>
        </w:rPr>
        <w:t>投标人</w:t>
      </w:r>
      <w:r>
        <w:rPr>
          <w:sz w:val="24"/>
        </w:rPr>
        <w:t>提供有偿维修服务。</w:t>
      </w:r>
    </w:p>
    <w:p w14:paraId="74624C03">
      <w:pPr>
        <w:adjustRightInd w:val="0"/>
        <w:snapToGrid w:val="0"/>
        <w:ind w:firstLine="480" w:firstLineChars="200"/>
        <w:rPr>
          <w:rFonts w:hint="eastAsia"/>
          <w:sz w:val="24"/>
        </w:rPr>
      </w:pPr>
      <w:r>
        <w:rPr>
          <w:rFonts w:hint="eastAsia"/>
          <w:sz w:val="24"/>
        </w:rPr>
        <w:t>5</w:t>
      </w:r>
      <w:r>
        <w:rPr>
          <w:sz w:val="24"/>
        </w:rPr>
        <w:t>.2在保修期内，非</w:t>
      </w:r>
      <w:r>
        <w:rPr>
          <w:rFonts w:hint="eastAsia"/>
          <w:sz w:val="24"/>
        </w:rPr>
        <w:t>采购人</w:t>
      </w:r>
      <w:r>
        <w:rPr>
          <w:sz w:val="24"/>
        </w:rPr>
        <w:t>人为原因引起的质量问题，</w:t>
      </w:r>
      <w:r>
        <w:rPr>
          <w:rFonts w:hint="eastAsia"/>
          <w:sz w:val="24"/>
        </w:rPr>
        <w:t>投标人</w:t>
      </w:r>
      <w:r>
        <w:rPr>
          <w:sz w:val="24"/>
        </w:rPr>
        <w:t>负责免费维修和免费更换部件。</w:t>
      </w:r>
      <w:r>
        <w:rPr>
          <w:rFonts w:hint="eastAsia"/>
          <w:sz w:val="24"/>
        </w:rPr>
        <w:t>投标人</w:t>
      </w:r>
      <w:r>
        <w:rPr>
          <w:sz w:val="24"/>
        </w:rPr>
        <w:t>应于接到</w:t>
      </w:r>
      <w:r>
        <w:rPr>
          <w:rFonts w:hint="eastAsia"/>
          <w:sz w:val="24"/>
        </w:rPr>
        <w:t>采购人</w:t>
      </w:r>
      <w:r>
        <w:rPr>
          <w:sz w:val="24"/>
        </w:rPr>
        <w:t>维修通知后24小时内（法定假期除外）进行响应，需要抵达现场进行维修的，</w:t>
      </w:r>
      <w:r>
        <w:rPr>
          <w:rFonts w:hint="eastAsia"/>
          <w:sz w:val="24"/>
        </w:rPr>
        <w:t>投标人</w:t>
      </w:r>
      <w:r>
        <w:rPr>
          <w:sz w:val="24"/>
        </w:rPr>
        <w:t>应在两个工作日内抵达现场，并应在合理的时间内完成维修。</w:t>
      </w:r>
    </w:p>
    <w:p w14:paraId="54D35BDB">
      <w:pPr>
        <w:keepNext/>
        <w:keepLines/>
        <w:tabs>
          <w:tab w:val="left" w:pos="-2410"/>
          <w:tab w:val="left" w:pos="-1701"/>
        </w:tabs>
        <w:spacing w:before="260" w:after="260" w:line="415" w:lineRule="auto"/>
        <w:outlineLvl w:val="1"/>
        <w:rPr>
          <w:rFonts w:hint="eastAsia"/>
          <w:b/>
          <w:bCs/>
          <w:sz w:val="24"/>
        </w:rPr>
      </w:pPr>
      <w:r>
        <w:rPr>
          <w:b/>
          <w:bCs/>
          <w:sz w:val="24"/>
        </w:rPr>
        <w:t>6</w:t>
      </w:r>
      <w:r>
        <w:rPr>
          <w:rFonts w:hint="eastAsia"/>
          <w:b/>
          <w:bCs/>
          <w:sz w:val="24"/>
        </w:rPr>
        <w:t>、《CSNS-II高能质子束实验终端散射室屏蔽体招标图纸》，以独立电子文件形式提供。</w:t>
      </w:r>
    </w:p>
    <w:p w14:paraId="71D8407E">
      <w:bookmarkStart w:id="6" w:name="_GoBack"/>
      <w:bookmarkEnd w:id="6"/>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Segoe UI">
    <w:panose1 w:val="020B0502040204020203"/>
    <w:charset w:val="00"/>
    <w:family w:val="swiss"/>
    <w:pitch w:val="default"/>
    <w:sig w:usb0="E4002EFF" w:usb1="C000E47F" w:usb2="00000009" w:usb3="00000000" w:csb0="200001FF" w:csb1="00000000"/>
  </w:font>
  <w:font w:name="仿宋">
    <w:panose1 w:val="02010609060101010101"/>
    <w:charset w:val="86"/>
    <w:family w:val="modern"/>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 w:name="Segoe UI Symbol">
    <w:panose1 w:val="020B0502040204020203"/>
    <w:charset w:val="00"/>
    <w:family w:val="swiss"/>
    <w:pitch w:val="default"/>
    <w:sig w:usb0="800001E3" w:usb1="1200FFEF" w:usb2="00040000" w:usb3="04000000" w:csb0="00000001" w:csb1="4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E077643"/>
    <w:multiLevelType w:val="multilevel"/>
    <w:tmpl w:val="AE077643"/>
    <w:lvl w:ilvl="0" w:tentative="0">
      <w:start w:val="1"/>
      <w:numFmt w:val="decimal"/>
      <w:lvlText w:val="%1)"/>
      <w:lvlJc w:val="left"/>
      <w:pPr>
        <w:ind w:left="1134" w:hanging="654"/>
      </w:p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1">
    <w:nsid w:val="03226FE4"/>
    <w:multiLevelType w:val="multilevel"/>
    <w:tmpl w:val="03226FE4"/>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18D14A89"/>
    <w:multiLevelType w:val="multilevel"/>
    <w:tmpl w:val="18D14A89"/>
    <w:lvl w:ilvl="0" w:tentative="0">
      <w:start w:val="1"/>
      <w:numFmt w:val="decimal"/>
      <w:lvlText w:val="%1)"/>
      <w:lvlJc w:val="left"/>
      <w:pPr>
        <w:ind w:left="900" w:hanging="420"/>
      </w:pPr>
      <w:rPr>
        <w:rFonts w:hint="eastAsia"/>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3">
    <w:nsid w:val="1DB677BF"/>
    <w:multiLevelType w:val="multilevel"/>
    <w:tmpl w:val="1DB677BF"/>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36CA0FCF"/>
    <w:multiLevelType w:val="multilevel"/>
    <w:tmpl w:val="36CA0FCF"/>
    <w:lvl w:ilvl="0" w:tentative="0">
      <w:start w:val="1"/>
      <w:numFmt w:val="decimal"/>
      <w:lvlText w:val="%1"/>
      <w:lvlJc w:val="left"/>
      <w:pPr>
        <w:ind w:left="480" w:hanging="480"/>
      </w:pPr>
      <w:rPr>
        <w:rFonts w:hint="default" w:hAnsi="Calibri"/>
      </w:rPr>
    </w:lvl>
    <w:lvl w:ilvl="1" w:tentative="0">
      <w:start w:val="3"/>
      <w:numFmt w:val="decimal"/>
      <w:lvlText w:val="%1.%2"/>
      <w:lvlJc w:val="left"/>
      <w:pPr>
        <w:ind w:left="480" w:hanging="480"/>
      </w:pPr>
      <w:rPr>
        <w:rFonts w:hint="default" w:hAnsi="Calibri"/>
      </w:rPr>
    </w:lvl>
    <w:lvl w:ilvl="2" w:tentative="0">
      <w:start w:val="1"/>
      <w:numFmt w:val="decimal"/>
      <w:lvlText w:val="%1.%2.%3"/>
      <w:lvlJc w:val="left"/>
      <w:pPr>
        <w:ind w:left="720" w:hanging="720"/>
      </w:pPr>
      <w:rPr>
        <w:rFonts w:hint="default" w:hAnsi="Calibri"/>
      </w:rPr>
    </w:lvl>
    <w:lvl w:ilvl="3" w:tentative="0">
      <w:start w:val="1"/>
      <w:numFmt w:val="decimal"/>
      <w:lvlText w:val="%1.%2.%3.%4"/>
      <w:lvlJc w:val="left"/>
      <w:pPr>
        <w:ind w:left="720" w:hanging="720"/>
      </w:pPr>
      <w:rPr>
        <w:rFonts w:hint="default" w:hAnsi="Calibri"/>
      </w:rPr>
    </w:lvl>
    <w:lvl w:ilvl="4" w:tentative="0">
      <w:start w:val="1"/>
      <w:numFmt w:val="decimal"/>
      <w:lvlText w:val="%1.%2.%3.%4.%5"/>
      <w:lvlJc w:val="left"/>
      <w:pPr>
        <w:ind w:left="1080" w:hanging="1080"/>
      </w:pPr>
      <w:rPr>
        <w:rFonts w:hint="default" w:hAnsi="Calibri"/>
      </w:rPr>
    </w:lvl>
    <w:lvl w:ilvl="5" w:tentative="0">
      <w:start w:val="1"/>
      <w:numFmt w:val="decimal"/>
      <w:lvlText w:val="%1.%2.%3.%4.%5.%6"/>
      <w:lvlJc w:val="left"/>
      <w:pPr>
        <w:ind w:left="1080" w:hanging="1080"/>
      </w:pPr>
      <w:rPr>
        <w:rFonts w:hint="default" w:hAnsi="Calibri"/>
      </w:rPr>
    </w:lvl>
    <w:lvl w:ilvl="6" w:tentative="0">
      <w:start w:val="1"/>
      <w:numFmt w:val="decimal"/>
      <w:lvlText w:val="%1.%2.%3.%4.%5.%6.%7"/>
      <w:lvlJc w:val="left"/>
      <w:pPr>
        <w:ind w:left="1440" w:hanging="1440"/>
      </w:pPr>
      <w:rPr>
        <w:rFonts w:hint="default" w:hAnsi="Calibri"/>
      </w:rPr>
    </w:lvl>
    <w:lvl w:ilvl="7" w:tentative="0">
      <w:start w:val="1"/>
      <w:numFmt w:val="decimal"/>
      <w:lvlText w:val="%1.%2.%3.%4.%5.%6.%7.%8"/>
      <w:lvlJc w:val="left"/>
      <w:pPr>
        <w:ind w:left="1440" w:hanging="1440"/>
      </w:pPr>
      <w:rPr>
        <w:rFonts w:hint="default" w:hAnsi="Calibri"/>
      </w:rPr>
    </w:lvl>
    <w:lvl w:ilvl="8" w:tentative="0">
      <w:start w:val="1"/>
      <w:numFmt w:val="decimal"/>
      <w:lvlText w:val="%1.%2.%3.%4.%5.%6.%7.%8.%9"/>
      <w:lvlJc w:val="left"/>
      <w:pPr>
        <w:ind w:left="1800" w:hanging="1800"/>
      </w:pPr>
      <w:rPr>
        <w:rFonts w:hint="default" w:hAnsi="Calibri"/>
      </w:rPr>
    </w:lvl>
  </w:abstractNum>
  <w:abstractNum w:abstractNumId="5">
    <w:nsid w:val="52A24F9F"/>
    <w:multiLevelType w:val="multilevel"/>
    <w:tmpl w:val="52A24F9F"/>
    <w:lvl w:ilvl="0" w:tentative="0">
      <w:start w:val="1"/>
      <w:numFmt w:val="decimal"/>
      <w:lvlText w:val="%1)"/>
      <w:lvlJc w:val="left"/>
      <w:pPr>
        <w:ind w:left="900" w:hanging="420"/>
      </w:pPr>
      <w:rPr>
        <w:rFonts w:hint="eastAsia"/>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6">
    <w:nsid w:val="65B061D8"/>
    <w:multiLevelType w:val="multilevel"/>
    <w:tmpl w:val="65B061D8"/>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4"/>
  </w:num>
  <w:num w:numId="2">
    <w:abstractNumId w:val="2"/>
  </w:num>
  <w:num w:numId="3">
    <w:abstractNumId w:val="5"/>
  </w:num>
  <w:num w:numId="4">
    <w:abstractNumId w:val="1"/>
  </w:num>
  <w:num w:numId="5">
    <w:abstractNumId w:val="3"/>
  </w:num>
  <w:num w:numId="6">
    <w:abstractNumId w:val="6"/>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8"/>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F345662"/>
    <w:rsid w:val="4F34566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60" w:lineRule="auto"/>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adjustRightInd w:val="0"/>
      <w:snapToGrid w:val="0"/>
      <w:jc w:val="center"/>
      <w:outlineLvl w:val="0"/>
    </w:pPr>
    <w:rPr>
      <w:rFonts w:eastAsia="黑体"/>
      <w:sz w:val="32"/>
    </w:rPr>
  </w:style>
  <w:style w:type="character" w:default="1" w:styleId="7">
    <w:name w:val="Default Paragraph Font"/>
    <w:semiHidden/>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3">
    <w:name w:val="caption"/>
    <w:basedOn w:val="1"/>
    <w:next w:val="1"/>
    <w:qFormat/>
    <w:uiPriority w:val="0"/>
    <w:pPr>
      <w:jc w:val="center"/>
    </w:pPr>
    <w:rPr>
      <w:rFonts w:cs="Times New Roman"/>
      <w:szCs w:val="20"/>
    </w:rPr>
  </w:style>
  <w:style w:type="paragraph" w:styleId="4">
    <w:name w:val="Body Text Indent"/>
    <w:basedOn w:val="1"/>
    <w:qFormat/>
    <w:uiPriority w:val="0"/>
    <w:pPr>
      <w:adjustRightInd w:val="0"/>
      <w:snapToGrid w:val="0"/>
      <w:spacing w:before="156" w:beforeLines="50" w:line="400" w:lineRule="exact"/>
      <w:ind w:left="934"/>
    </w:pPr>
    <w:rPr>
      <w:rFonts w:ascii="宋体" w:hAnsi="宋体"/>
      <w:sz w:val="24"/>
    </w:rPr>
  </w:style>
  <w:style w:type="paragraph" w:styleId="5">
    <w:name w:val="Body Text First Indent 2"/>
    <w:basedOn w:val="4"/>
    <w:uiPriority w:val="0"/>
    <w:pPr>
      <w:adjustRightInd/>
      <w:snapToGrid/>
      <w:spacing w:before="0" w:beforeLines="0" w:after="120" w:line="360" w:lineRule="auto"/>
      <w:ind w:left="420" w:leftChars="200" w:firstLine="420" w:firstLineChars="200"/>
    </w:pPr>
    <w:rPr>
      <w:rFonts w:ascii="Times New Roman" w:hAnsi="Times New Roman"/>
      <w:sz w:val="21"/>
      <w:lang w:val="en-US" w:eastAsia="zh-CN"/>
    </w:rPr>
  </w:style>
  <w:style w:type="paragraph" w:customStyle="1" w:styleId="8">
    <w:name w:val="正文01"/>
    <w:basedOn w:val="1"/>
    <w:qFormat/>
    <w:uiPriority w:val="0"/>
    <w:pPr>
      <w:snapToGrid w:val="0"/>
      <w:ind w:firstLine="200" w:firstLineChars="200"/>
    </w:pPr>
    <w:rPr>
      <w:sz w:val="24"/>
    </w:rPr>
  </w:style>
  <w:style w:type="paragraph" w:styleId="9">
    <w:name w:val="List Paragraph"/>
    <w:basedOn w:val="1"/>
    <w:qFormat/>
    <w:uiPriority w:val="99"/>
    <w:pPr>
      <w:ind w:firstLine="420" w:firstLineChars="200"/>
    </w:pPr>
    <w:rPr>
      <w:rFonts w:ascii="Calibri" w:hAnsi="Calibri"/>
      <w:szCs w:val="22"/>
    </w:rPr>
  </w:style>
  <w:style w:type="paragraph" w:customStyle="1" w:styleId="10">
    <w:name w:val="列出段落2"/>
    <w:basedOn w:val="1"/>
    <w:qFormat/>
    <w:uiPriority w:val="99"/>
    <w:pPr>
      <w:spacing w:line="240" w:lineRule="auto"/>
      <w:ind w:firstLine="420" w:firstLineChars="200"/>
    </w:pPr>
    <w:rPr>
      <w:rFonts w:ascii="Calibri" w:hAnsi="Calibri"/>
      <w:szCs w:val="21"/>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image" Target="media/image3.png"/><Relationship Id="rId7" Type="http://schemas.openxmlformats.org/officeDocument/2006/relationships/image" Target="media/image2.png"/><Relationship Id="rId6" Type="http://schemas.openxmlformats.org/officeDocument/2006/relationships/image" Target="media/image1.jpe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10</Pages>
  <Words>0</Words>
  <Characters>0</Characters>
  <Lines>0</Lines>
  <Paragraphs>0</Paragraphs>
  <TotalTime>0</TotalTime>
  <ScaleCrop>false</ScaleCrop>
  <LinksUpToDate>false</LinksUpToDate>
  <CharactersWithSpaces>0</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2026-09-10T06:14:00Z</dcterms:created>
  <dc:creator>zl</dc:creator>
  <cp:lastModifiedBy>zl</cp:lastModifiedBy>
  <dcterms:modified xsi:type="dcterms:W3CDTF">2026-09-10T06:14:34Z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E3B2AD1C51B84B66ACC3FFC659A452D9_11</vt:lpwstr>
  </property>
  <property fmtid="{D5CDD505-2E9C-101B-9397-08002B2CF9AE}" pid="4" name="KSOTemplateDocerSaveRecord">
    <vt:lpwstr>eyJoZGlkIjoiYzZkOTgxZjQ1NjU5ZDQwOWQ1YTZhNDc2MTQwY2JlYjkiLCJ1c2VySWQiOiIyNDA1ODQ1NzkifQ==</vt:lpwstr>
  </property>
</Properties>
</file>