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heme="minorEastAsia" w:hAnsiTheme="minorEastAsia" w:eastAsiaTheme="minorEastAsia" w:cstheme="minorEastAsia"/>
          <w:b/>
          <w:color w:val="000000" w:themeColor="text1"/>
          <w:sz w:val="44"/>
          <w:szCs w:val="44"/>
          <w14:textFill>
            <w14:solidFill>
              <w14:schemeClr w14:val="tx1"/>
            </w14:solidFill>
          </w14:textFill>
        </w:rPr>
      </w:pPr>
    </w:p>
    <w:p>
      <w:pPr>
        <w:spacing w:line="360" w:lineRule="auto"/>
        <w:jc w:val="center"/>
        <w:rPr>
          <w:rFonts w:asciiTheme="minorEastAsia" w:hAnsiTheme="minorEastAsia" w:eastAsiaTheme="minorEastAsia" w:cstheme="minorEastAsia"/>
          <w:b/>
          <w:color w:val="000000" w:themeColor="text1"/>
          <w:sz w:val="44"/>
          <w:szCs w:val="44"/>
          <w14:textFill>
            <w14:solidFill>
              <w14:schemeClr w14:val="tx1"/>
            </w14:solidFill>
          </w14:textFill>
        </w:rPr>
      </w:pPr>
      <w:r>
        <w:rPr>
          <w:rFonts w:hint="eastAsia" w:asciiTheme="minorEastAsia" w:hAnsiTheme="minorEastAsia" w:eastAsiaTheme="minorEastAsia" w:cstheme="minorEastAsia"/>
          <w:b/>
          <w:color w:val="000000" w:themeColor="text1"/>
          <w:sz w:val="44"/>
          <w:szCs w:val="44"/>
          <w14:textFill>
            <w14:solidFill>
              <w14:schemeClr w14:val="tx1"/>
            </w14:solidFill>
          </w14:textFill>
        </w:rPr>
        <w:t>自然资源部国土卫星遥感应用中心高精度地理参考数据技术服务</w:t>
      </w:r>
    </w:p>
    <w:p>
      <w:pPr>
        <w:spacing w:line="360" w:lineRule="auto"/>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招标文件</w:t>
      </w:r>
    </w:p>
    <w:p>
      <w:pPr>
        <w:spacing w:line="360" w:lineRule="auto"/>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项目编号：HCZB-2021-ZB0836</w:t>
      </w:r>
    </w:p>
    <w:p>
      <w:pPr>
        <w:spacing w:line="360" w:lineRule="auto"/>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rPr>
        <w:drawing>
          <wp:inline distT="0" distB="0" distL="0" distR="0">
            <wp:extent cx="3514725" cy="4295775"/>
            <wp:effectExtent l="0" t="0" r="9525" b="9525"/>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noChangeArrowheads="1"/>
                    </pic:cNvPicPr>
                  </pic:nvPicPr>
                  <pic:blipFill>
                    <a:blip r:embed="rId21" cstate="print">
                      <a:lum contrast="20000"/>
                      <a:extLst>
                        <a:ext uri="{28A0092B-C50C-407E-A947-70E740481C1C}">
                          <a14:useLocalDpi xmlns:a14="http://schemas.microsoft.com/office/drawing/2010/main" val="0"/>
                        </a:ext>
                      </a:extLst>
                    </a:blip>
                    <a:srcRect/>
                    <a:stretch>
                      <a:fillRect/>
                    </a:stretch>
                  </pic:blipFill>
                  <pic:spPr>
                    <a:xfrm>
                      <a:off x="0" y="0"/>
                      <a:ext cx="3514725" cy="4295775"/>
                    </a:xfrm>
                    <a:prstGeom prst="rect">
                      <a:avLst/>
                    </a:prstGeom>
                    <a:noFill/>
                    <a:ln>
                      <a:noFill/>
                    </a:ln>
                  </pic:spPr>
                </pic:pic>
              </a:graphicData>
            </a:graphic>
          </wp:inline>
        </w:drawing>
      </w:r>
    </w:p>
    <w:p>
      <w:pPr>
        <w:spacing w:line="360" w:lineRule="auto"/>
        <w:jc w:val="center"/>
        <w:rPr>
          <w:rFonts w:asciiTheme="minorEastAsia" w:hAnsiTheme="minorEastAsia" w:eastAsiaTheme="minorEastAsia" w:cstheme="minorEastAsia"/>
          <w:b/>
          <w:sz w:val="32"/>
          <w:szCs w:val="32"/>
        </w:rPr>
      </w:pPr>
    </w:p>
    <w:p>
      <w:pPr>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32"/>
          <w:szCs w:val="32"/>
        </w:rPr>
        <w:t>华采招标集团有限公司</w:t>
      </w:r>
    </w:p>
    <w:p>
      <w:pPr>
        <w:spacing w:line="360" w:lineRule="auto"/>
        <w:jc w:val="center"/>
        <w:rPr>
          <w:rFonts w:asciiTheme="minorEastAsia" w:hAnsiTheme="minorEastAsia" w:eastAsiaTheme="minorEastAsia" w:cstheme="minorEastAsia"/>
          <w:b/>
          <w:w w:val="80"/>
          <w:sz w:val="32"/>
          <w:szCs w:val="32"/>
        </w:rPr>
        <w:sectPr>
          <w:headerReference r:id="rId4" w:type="first"/>
          <w:headerReference r:id="rId3" w:type="default"/>
          <w:footerReference r:id="rId5" w:type="even"/>
          <w:pgSz w:w="11907" w:h="16840"/>
          <w:pgMar w:top="799" w:right="1418" w:bottom="1021" w:left="1418" w:header="851" w:footer="0" w:gutter="0"/>
          <w:pgNumType w:start="1"/>
          <w:cols w:space="720" w:num="1"/>
          <w:titlePg/>
          <w:docGrid w:linePitch="462" w:charSpace="0"/>
        </w:sectPr>
      </w:pPr>
      <w:r>
        <w:rPr>
          <w:rFonts w:hint="eastAsia" w:asciiTheme="minorEastAsia" w:hAnsiTheme="minorEastAsia" w:eastAsiaTheme="minorEastAsia" w:cstheme="minorEastAsia"/>
          <w:b/>
          <w:w w:val="80"/>
          <w:sz w:val="32"/>
          <w:szCs w:val="32"/>
        </w:rPr>
        <w:t>202</w:t>
      </w:r>
      <w:r>
        <w:rPr>
          <w:rFonts w:asciiTheme="minorEastAsia" w:hAnsiTheme="minorEastAsia" w:eastAsiaTheme="minorEastAsia" w:cstheme="minorEastAsia"/>
          <w:b/>
          <w:w w:val="80"/>
          <w:sz w:val="32"/>
          <w:szCs w:val="32"/>
        </w:rPr>
        <w:t>1</w:t>
      </w:r>
      <w:r>
        <w:rPr>
          <w:rFonts w:hint="eastAsia" w:asciiTheme="minorEastAsia" w:hAnsiTheme="minorEastAsia" w:eastAsiaTheme="minorEastAsia" w:cstheme="minorEastAsia"/>
          <w:b/>
          <w:w w:val="80"/>
          <w:sz w:val="32"/>
          <w:szCs w:val="32"/>
        </w:rPr>
        <w:t>年9月</w:t>
      </w:r>
    </w:p>
    <w:p>
      <w:pPr>
        <w:pStyle w:val="29"/>
        <w:spacing w:before="0" w:line="360" w:lineRule="auto"/>
        <w:rPr>
          <w:rFonts w:asciiTheme="minorEastAsia" w:hAnsiTheme="minorEastAsia" w:eastAsiaTheme="minorEastAsia" w:cstheme="minorEastAsia"/>
          <w:sz w:val="36"/>
          <w:szCs w:val="36"/>
        </w:rPr>
      </w:pPr>
      <w:bookmarkStart w:id="0" w:name="_Toc310195689"/>
      <w:bookmarkStart w:id="1" w:name="_Toc310196405"/>
      <w:bookmarkStart w:id="2" w:name="_Toc310195773"/>
      <w:r>
        <w:rPr>
          <w:rFonts w:hint="eastAsia" w:asciiTheme="minorEastAsia" w:hAnsiTheme="minorEastAsia" w:eastAsiaTheme="minorEastAsia" w:cstheme="minorEastAsia"/>
          <w:sz w:val="36"/>
          <w:szCs w:val="36"/>
        </w:rPr>
        <w:t>目    录</w:t>
      </w:r>
      <w:bookmarkEnd w:id="0"/>
      <w:bookmarkEnd w:id="1"/>
      <w:bookmarkEnd w:id="2"/>
      <w:bookmarkStart w:id="3" w:name="_Toc288581295"/>
      <w:bookmarkStart w:id="4" w:name="_Toc236642918"/>
    </w:p>
    <w:p>
      <w:pPr>
        <w:pStyle w:val="29"/>
        <w:spacing w:line="360" w:lineRule="auto"/>
        <w:rPr>
          <w:rFonts w:asciiTheme="minorEastAsia" w:hAnsiTheme="minorEastAsia" w:eastAsiaTheme="minorEastAsia" w:cstheme="minorBidi"/>
          <w:b w:val="0"/>
          <w:bCs w:val="0"/>
          <w:iCs w:val="0"/>
        </w:rPr>
      </w:pPr>
      <w:r>
        <w:rPr>
          <w:rFonts w:hint="eastAsia" w:asciiTheme="minorEastAsia" w:hAnsiTheme="minorEastAsia" w:eastAsiaTheme="minorEastAsia" w:cstheme="minorEastAsia"/>
          <w:b w:val="0"/>
        </w:rPr>
        <w:fldChar w:fldCharType="begin"/>
      </w:r>
      <w:r>
        <w:rPr>
          <w:rFonts w:hint="eastAsia" w:asciiTheme="minorEastAsia" w:hAnsiTheme="minorEastAsia" w:eastAsiaTheme="minorEastAsia" w:cstheme="minorEastAsia"/>
          <w:b w:val="0"/>
        </w:rPr>
        <w:instrText xml:space="preserve">TOC \o "1-3" \h \u </w:instrText>
      </w:r>
      <w:r>
        <w:rPr>
          <w:rFonts w:hint="eastAsia" w:asciiTheme="minorEastAsia" w:hAnsiTheme="minorEastAsia" w:eastAsiaTheme="minorEastAsia" w:cstheme="minorEastAsia"/>
          <w:b w:val="0"/>
        </w:rPr>
        <w:fldChar w:fldCharType="separate"/>
      </w:r>
      <w:r>
        <w:fldChar w:fldCharType="begin"/>
      </w:r>
      <w:r>
        <w:instrText xml:space="preserve"> HYPERLINK \l "_Toc61878455" </w:instrText>
      </w:r>
      <w:r>
        <w:fldChar w:fldCharType="separate"/>
      </w:r>
      <w:r>
        <w:rPr>
          <w:rStyle w:val="54"/>
          <w:rFonts w:asciiTheme="minorEastAsia" w:hAnsiTheme="minorEastAsia" w:eastAsiaTheme="minorEastAsia" w:cstheme="minorEastAsia"/>
          <w:b w:val="0"/>
          <w:bCs w:val="0"/>
        </w:rPr>
        <w:t>第一章 投标邀请</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_Toc61878455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5</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29"/>
        <w:spacing w:line="360" w:lineRule="auto"/>
        <w:rPr>
          <w:rFonts w:asciiTheme="minorEastAsia" w:hAnsiTheme="minorEastAsia" w:eastAsiaTheme="minorEastAsia" w:cstheme="minorBidi"/>
          <w:b w:val="0"/>
          <w:bCs w:val="0"/>
          <w:iCs w:val="0"/>
        </w:rPr>
      </w:pPr>
      <w:r>
        <w:fldChar w:fldCharType="begin"/>
      </w:r>
      <w:r>
        <w:instrText xml:space="preserve"> HYPERLINK \l "_Toc61878456" </w:instrText>
      </w:r>
      <w:r>
        <w:fldChar w:fldCharType="separate"/>
      </w:r>
      <w:r>
        <w:rPr>
          <w:rStyle w:val="54"/>
          <w:rFonts w:asciiTheme="minorEastAsia" w:hAnsiTheme="minorEastAsia" w:eastAsiaTheme="minorEastAsia" w:cstheme="minorEastAsia"/>
          <w:b w:val="0"/>
          <w:bCs w:val="0"/>
          <w:lang w:val="zh-CN"/>
        </w:rPr>
        <w:t>第二章 投标人须知资料表</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_Toc61878456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8</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29"/>
        <w:spacing w:line="360" w:lineRule="auto"/>
        <w:rPr>
          <w:rFonts w:asciiTheme="minorEastAsia" w:hAnsiTheme="minorEastAsia" w:eastAsiaTheme="minorEastAsia" w:cstheme="minorBidi"/>
          <w:b w:val="0"/>
          <w:bCs w:val="0"/>
          <w:iCs w:val="0"/>
        </w:rPr>
      </w:pPr>
      <w:r>
        <w:fldChar w:fldCharType="begin"/>
      </w:r>
      <w:r>
        <w:instrText xml:space="preserve"> HYPERLINK \l "_Toc61878457" </w:instrText>
      </w:r>
      <w:r>
        <w:fldChar w:fldCharType="separate"/>
      </w:r>
      <w:r>
        <w:rPr>
          <w:rStyle w:val="54"/>
          <w:rFonts w:asciiTheme="minorEastAsia" w:hAnsiTheme="minorEastAsia" w:eastAsiaTheme="minorEastAsia" w:cstheme="minorEastAsia"/>
          <w:b w:val="0"/>
          <w:bCs w:val="0"/>
        </w:rPr>
        <w:t>第三章 投标人须知</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_Toc61878457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11</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"_Toc61878458" </w:instrText>
      </w:r>
      <w:r>
        <w:fldChar w:fldCharType="separate"/>
      </w:r>
      <w:r>
        <w:rPr>
          <w:rStyle w:val="54"/>
          <w:rFonts w:asciiTheme="minorEastAsia" w:hAnsiTheme="minorEastAsia" w:eastAsiaTheme="minorEastAsia" w:cstheme="minorEastAsia"/>
          <w:sz w:val="24"/>
          <w:szCs w:val="24"/>
        </w:rPr>
        <w:t>一、说明</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_Toc61878458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11</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"_Toc61878459" </w:instrText>
      </w:r>
      <w:r>
        <w:fldChar w:fldCharType="separate"/>
      </w:r>
      <w:r>
        <w:rPr>
          <w:rStyle w:val="54"/>
          <w:rFonts w:asciiTheme="minorEastAsia" w:hAnsiTheme="minorEastAsia" w:eastAsiaTheme="minorEastAsia" w:cstheme="minorEastAsia"/>
          <w:sz w:val="24"/>
          <w:szCs w:val="24"/>
        </w:rPr>
        <w:t>1.采购人、采购代理机构及合格的投标人</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_Toc61878459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11</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"_Toc61878460" </w:instrText>
      </w:r>
      <w:r>
        <w:fldChar w:fldCharType="separate"/>
      </w:r>
      <w:r>
        <w:rPr>
          <w:rStyle w:val="54"/>
          <w:rFonts w:asciiTheme="minorEastAsia" w:hAnsiTheme="minorEastAsia" w:eastAsiaTheme="minorEastAsia" w:cstheme="minorEastAsia"/>
          <w:sz w:val="24"/>
          <w:szCs w:val="24"/>
        </w:rPr>
        <w:t>2.资金来源</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_Toc61878460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"_Toc61878461" </w:instrText>
      </w:r>
      <w:r>
        <w:fldChar w:fldCharType="separate"/>
      </w:r>
      <w:r>
        <w:rPr>
          <w:rStyle w:val="54"/>
          <w:rFonts w:asciiTheme="minorEastAsia" w:hAnsiTheme="minorEastAsia" w:eastAsiaTheme="minorEastAsia" w:cstheme="minorEastAsia"/>
          <w:sz w:val="24"/>
          <w:szCs w:val="24"/>
        </w:rPr>
        <w:t>3.投标费用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_Toc61878461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"_Toc61878462" </w:instrText>
      </w:r>
      <w:r>
        <w:fldChar w:fldCharType="separate"/>
      </w:r>
      <w:r>
        <w:rPr>
          <w:rStyle w:val="54"/>
          <w:rFonts w:asciiTheme="minorEastAsia" w:hAnsiTheme="minorEastAsia" w:eastAsiaTheme="minorEastAsia" w:cstheme="minorEastAsia"/>
          <w:sz w:val="24"/>
          <w:szCs w:val="24"/>
        </w:rPr>
        <w:t>二、招标文件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_Toc61878462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"_Toc61878463" </w:instrText>
      </w:r>
      <w:r>
        <w:fldChar w:fldCharType="separate"/>
      </w:r>
      <w:r>
        <w:rPr>
          <w:rStyle w:val="54"/>
          <w:rFonts w:asciiTheme="minorEastAsia" w:hAnsiTheme="minorEastAsia" w:eastAsiaTheme="minorEastAsia" w:cstheme="minorEastAsia"/>
          <w:sz w:val="24"/>
          <w:szCs w:val="24"/>
        </w:rPr>
        <w:t>4.招标文件构成</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_Toc61878463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"_Toc61878464" </w:instrText>
      </w:r>
      <w:r>
        <w:fldChar w:fldCharType="separate"/>
      </w:r>
      <w:r>
        <w:rPr>
          <w:rStyle w:val="54"/>
          <w:rFonts w:asciiTheme="minorEastAsia" w:hAnsiTheme="minorEastAsia" w:eastAsiaTheme="minorEastAsia" w:cstheme="minorEastAsia"/>
          <w:sz w:val="24"/>
          <w:szCs w:val="24"/>
        </w:rPr>
        <w:t>5.招标文件的澄清</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_Toc61878464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"_Toc61878465" </w:instrText>
      </w:r>
      <w:r>
        <w:fldChar w:fldCharType="separate"/>
      </w:r>
      <w:r>
        <w:rPr>
          <w:rStyle w:val="54"/>
          <w:rFonts w:asciiTheme="minorEastAsia" w:hAnsiTheme="minorEastAsia" w:eastAsiaTheme="minorEastAsia" w:cstheme="minorEastAsia"/>
          <w:sz w:val="24"/>
          <w:szCs w:val="24"/>
        </w:rPr>
        <w:t>6.招标文件的修改</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"_Toc61878466" </w:instrText>
      </w:r>
      <w:r>
        <w:fldChar w:fldCharType="separate"/>
      </w:r>
      <w:r>
        <w:rPr>
          <w:rStyle w:val="54"/>
          <w:rFonts w:asciiTheme="minorEastAsia" w:hAnsiTheme="minorEastAsia" w:eastAsiaTheme="minorEastAsia" w:cstheme="minorEastAsia"/>
          <w:sz w:val="24"/>
          <w:szCs w:val="24"/>
        </w:rPr>
        <w:t>三、投标文件的编制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"_Toc61878467" </w:instrText>
      </w:r>
      <w:r>
        <w:fldChar w:fldCharType="separate"/>
      </w:r>
      <w:r>
        <w:rPr>
          <w:rStyle w:val="54"/>
          <w:rFonts w:asciiTheme="minorEastAsia" w:hAnsiTheme="minorEastAsia" w:eastAsiaTheme="minorEastAsia" w:cstheme="minorEastAsia"/>
          <w:sz w:val="24"/>
          <w:szCs w:val="24"/>
        </w:rPr>
        <w:t>7.投标文件编制的原则</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"_Toc61878468" </w:instrText>
      </w:r>
      <w:r>
        <w:fldChar w:fldCharType="separate"/>
      </w:r>
      <w:r>
        <w:rPr>
          <w:rStyle w:val="54"/>
          <w:rFonts w:asciiTheme="minorEastAsia" w:hAnsiTheme="minorEastAsia" w:eastAsiaTheme="minorEastAsia" w:cstheme="minorEastAsia"/>
          <w:sz w:val="24"/>
          <w:szCs w:val="24"/>
        </w:rPr>
        <w:t>8.投标范围及投标文件中计量单位的使用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"_Toc61878469" </w:instrText>
      </w:r>
      <w:r>
        <w:fldChar w:fldCharType="separate"/>
      </w:r>
      <w:r>
        <w:rPr>
          <w:rStyle w:val="54"/>
          <w:rFonts w:asciiTheme="minorEastAsia" w:hAnsiTheme="minorEastAsia" w:eastAsiaTheme="minorEastAsia" w:cstheme="minorEastAsia"/>
          <w:sz w:val="24"/>
          <w:szCs w:val="24"/>
        </w:rPr>
        <w:t>9.投标文件构成</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_Toc61878469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"_Toc61878470" </w:instrText>
      </w:r>
      <w:r>
        <w:fldChar w:fldCharType="separate"/>
      </w:r>
      <w:r>
        <w:rPr>
          <w:rStyle w:val="54"/>
          <w:rFonts w:asciiTheme="minorEastAsia" w:hAnsiTheme="minorEastAsia" w:eastAsiaTheme="minorEastAsia" w:cstheme="minorEastAsia"/>
          <w:sz w:val="24"/>
          <w:szCs w:val="24"/>
        </w:rPr>
        <w:t>10.投标文件格式</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_Toc61878470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15</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"_Toc61878471" </w:instrText>
      </w:r>
      <w:r>
        <w:fldChar w:fldCharType="separate"/>
      </w:r>
      <w:r>
        <w:rPr>
          <w:rStyle w:val="54"/>
          <w:rFonts w:asciiTheme="minorEastAsia" w:hAnsiTheme="minorEastAsia" w:eastAsiaTheme="minorEastAsia" w:cstheme="minorEastAsia"/>
          <w:sz w:val="24"/>
          <w:szCs w:val="24"/>
        </w:rPr>
        <w:t>11.投标报价</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_Toc61878471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15</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"_Toc61878472" </w:instrText>
      </w:r>
      <w:r>
        <w:fldChar w:fldCharType="separate"/>
      </w:r>
      <w:r>
        <w:rPr>
          <w:rStyle w:val="54"/>
          <w:rFonts w:asciiTheme="minorEastAsia" w:hAnsiTheme="minorEastAsia" w:eastAsiaTheme="minorEastAsia" w:cstheme="minorEastAsia"/>
          <w:sz w:val="24"/>
          <w:szCs w:val="24"/>
        </w:rPr>
        <w:t>12.投标保证金</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_Toc61878472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16</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"_Toc61878473" </w:instrText>
      </w:r>
      <w:r>
        <w:fldChar w:fldCharType="separate"/>
      </w:r>
      <w:r>
        <w:rPr>
          <w:rStyle w:val="54"/>
          <w:rFonts w:asciiTheme="minorEastAsia" w:hAnsiTheme="minorEastAsia" w:eastAsiaTheme="minorEastAsia" w:cstheme="minorEastAsia"/>
          <w:sz w:val="24"/>
          <w:szCs w:val="24"/>
        </w:rPr>
        <w:t>13.投标有效期</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_Toc61878473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16</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"_Toc61878474" </w:instrText>
      </w:r>
      <w:r>
        <w:fldChar w:fldCharType="separate"/>
      </w:r>
      <w:r>
        <w:rPr>
          <w:rStyle w:val="54"/>
          <w:rFonts w:asciiTheme="minorEastAsia" w:hAnsiTheme="minorEastAsia" w:eastAsiaTheme="minorEastAsia" w:cstheme="minorEastAsia"/>
          <w:sz w:val="24"/>
          <w:szCs w:val="24"/>
        </w:rPr>
        <w:t>14.投标文件的签署与规定</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_Toc61878474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16</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"_Toc61878475" </w:instrText>
      </w:r>
      <w:r>
        <w:fldChar w:fldCharType="separate"/>
      </w:r>
      <w:r>
        <w:rPr>
          <w:rStyle w:val="54"/>
          <w:rFonts w:asciiTheme="minorEastAsia" w:hAnsiTheme="minorEastAsia" w:eastAsiaTheme="minorEastAsia" w:cstheme="minorEastAsia"/>
          <w:sz w:val="24"/>
          <w:szCs w:val="24"/>
        </w:rPr>
        <w:t>四、投标文件的递交</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"_Toc61878476" </w:instrText>
      </w:r>
      <w:r>
        <w:fldChar w:fldCharType="separate"/>
      </w:r>
      <w:r>
        <w:rPr>
          <w:rStyle w:val="54"/>
          <w:rFonts w:asciiTheme="minorEastAsia" w:hAnsiTheme="minorEastAsia" w:eastAsiaTheme="minorEastAsia" w:cstheme="minorEastAsia"/>
          <w:sz w:val="24"/>
          <w:szCs w:val="24"/>
        </w:rPr>
        <w:t>15.投标文件的装订及递交</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"_Toc61878477" </w:instrText>
      </w:r>
      <w:r>
        <w:fldChar w:fldCharType="separate"/>
      </w:r>
      <w:r>
        <w:rPr>
          <w:rStyle w:val="54"/>
          <w:rFonts w:asciiTheme="minorEastAsia" w:hAnsiTheme="minorEastAsia" w:eastAsiaTheme="minorEastAsia" w:cstheme="minorEastAsia"/>
          <w:sz w:val="24"/>
          <w:szCs w:val="24"/>
        </w:rPr>
        <w:t>16.投标截止时间</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"_Toc61878478" </w:instrText>
      </w:r>
      <w:r>
        <w:fldChar w:fldCharType="separate"/>
      </w:r>
      <w:r>
        <w:rPr>
          <w:rStyle w:val="54"/>
          <w:rFonts w:asciiTheme="minorEastAsia" w:hAnsiTheme="minorEastAsia" w:eastAsiaTheme="minorEastAsia" w:cstheme="minorEastAsia"/>
          <w:sz w:val="24"/>
          <w:szCs w:val="24"/>
        </w:rPr>
        <w:t>17.投标文件的补充、修改与撤回</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"_Toc61878479" </w:instrText>
      </w:r>
      <w:r>
        <w:fldChar w:fldCharType="separate"/>
      </w:r>
      <w:r>
        <w:rPr>
          <w:rStyle w:val="54"/>
          <w:rFonts w:asciiTheme="minorEastAsia" w:hAnsiTheme="minorEastAsia" w:eastAsiaTheme="minorEastAsia" w:cstheme="minorEastAsia"/>
          <w:sz w:val="24"/>
          <w:szCs w:val="24"/>
        </w:rPr>
        <w:t>五、开标及评标</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_Toc61878479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"_Toc61878480" </w:instrText>
      </w:r>
      <w:r>
        <w:fldChar w:fldCharType="separate"/>
      </w:r>
      <w:r>
        <w:rPr>
          <w:rStyle w:val="54"/>
          <w:rFonts w:asciiTheme="minorEastAsia" w:hAnsiTheme="minorEastAsia" w:eastAsiaTheme="minorEastAsia" w:cstheme="minorEastAsia"/>
          <w:sz w:val="24"/>
          <w:szCs w:val="24"/>
        </w:rPr>
        <w:t>18.开标</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_Toc61878480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"_Toc61878481" </w:instrText>
      </w:r>
      <w:r>
        <w:fldChar w:fldCharType="separate"/>
      </w:r>
      <w:r>
        <w:rPr>
          <w:rStyle w:val="54"/>
          <w:rFonts w:asciiTheme="minorEastAsia" w:hAnsiTheme="minorEastAsia" w:eastAsiaTheme="minorEastAsia" w:cstheme="minorEastAsia"/>
          <w:sz w:val="24"/>
          <w:szCs w:val="24"/>
        </w:rPr>
        <w:t>19.评标委员会组建</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_Toc61878481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"_Toc61878482" </w:instrText>
      </w:r>
      <w:r>
        <w:fldChar w:fldCharType="separate"/>
      </w:r>
      <w:r>
        <w:rPr>
          <w:rStyle w:val="54"/>
          <w:rFonts w:asciiTheme="minorEastAsia" w:hAnsiTheme="minorEastAsia" w:eastAsiaTheme="minorEastAsia" w:cstheme="minorEastAsia"/>
          <w:sz w:val="24"/>
          <w:szCs w:val="24"/>
        </w:rPr>
        <w:t>20.投标文件的初审</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_Toc61878482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19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"_Toc61878483" </w:instrText>
      </w:r>
      <w:r>
        <w:fldChar w:fldCharType="separate"/>
      </w:r>
      <w:r>
        <w:rPr>
          <w:rStyle w:val="54"/>
          <w:rFonts w:asciiTheme="minorEastAsia" w:hAnsiTheme="minorEastAsia" w:eastAsiaTheme="minorEastAsia" w:cstheme="minorEastAsia"/>
          <w:sz w:val="24"/>
          <w:szCs w:val="24"/>
        </w:rPr>
        <w:t>21. 投标文件的澄清</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_Toc61878483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20</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"_Toc61878484" </w:instrText>
      </w:r>
      <w:r>
        <w:fldChar w:fldCharType="separate"/>
      </w:r>
      <w:r>
        <w:rPr>
          <w:rStyle w:val="54"/>
          <w:rFonts w:asciiTheme="minorEastAsia" w:hAnsiTheme="minorEastAsia" w:eastAsiaTheme="minorEastAsia" w:cstheme="minorEastAsia"/>
          <w:sz w:val="24"/>
          <w:szCs w:val="24"/>
        </w:rPr>
        <w:t>22. 评标</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_Toc61878484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21</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"_Toc61878485" </w:instrText>
      </w:r>
      <w:r>
        <w:fldChar w:fldCharType="separate"/>
      </w:r>
      <w:r>
        <w:rPr>
          <w:rStyle w:val="54"/>
          <w:rFonts w:asciiTheme="minorEastAsia" w:hAnsiTheme="minorEastAsia" w:eastAsiaTheme="minorEastAsia" w:cstheme="minorEastAsia"/>
          <w:sz w:val="24"/>
          <w:szCs w:val="24"/>
        </w:rPr>
        <w:t>23.评标过程及保密原则</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21</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"_Toc61878486" </w:instrText>
      </w:r>
      <w:r>
        <w:fldChar w:fldCharType="separate"/>
      </w:r>
      <w:r>
        <w:rPr>
          <w:rStyle w:val="54"/>
          <w:rFonts w:asciiTheme="minorEastAsia" w:hAnsiTheme="minorEastAsia" w:eastAsiaTheme="minorEastAsia" w:cstheme="minorEastAsia"/>
          <w:sz w:val="24"/>
          <w:szCs w:val="24"/>
        </w:rPr>
        <w:t>六、确定中标</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"_Toc61878487" </w:instrText>
      </w:r>
      <w:r>
        <w:fldChar w:fldCharType="separate"/>
      </w:r>
      <w:r>
        <w:rPr>
          <w:rStyle w:val="54"/>
          <w:rFonts w:asciiTheme="minorEastAsia" w:hAnsiTheme="minorEastAsia" w:eastAsiaTheme="minorEastAsia" w:cstheme="minorEastAsia"/>
          <w:sz w:val="24"/>
          <w:szCs w:val="24"/>
        </w:rPr>
        <w:t>24.中标人的确定标准</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"_Toc61878488" </w:instrText>
      </w:r>
      <w:r>
        <w:fldChar w:fldCharType="separate"/>
      </w:r>
      <w:r>
        <w:rPr>
          <w:rStyle w:val="54"/>
          <w:rFonts w:asciiTheme="minorEastAsia" w:hAnsiTheme="minorEastAsia" w:eastAsiaTheme="minorEastAsia" w:cstheme="minorEastAsia"/>
          <w:sz w:val="24"/>
          <w:szCs w:val="24"/>
        </w:rPr>
        <w:t>25.接受或拒绝任何投标的权利</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"_Toc61878489" </w:instrText>
      </w:r>
      <w:r>
        <w:fldChar w:fldCharType="separate"/>
      </w:r>
      <w:r>
        <w:rPr>
          <w:rStyle w:val="54"/>
          <w:rFonts w:asciiTheme="minorEastAsia" w:hAnsiTheme="minorEastAsia" w:eastAsiaTheme="minorEastAsia" w:cstheme="minorEastAsia"/>
          <w:sz w:val="24"/>
          <w:szCs w:val="24"/>
        </w:rPr>
        <w:t>26.中标通知书和结果通知</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_Toc61878489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22</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"_Toc61878490" </w:instrText>
      </w:r>
      <w:r>
        <w:fldChar w:fldCharType="separate"/>
      </w:r>
      <w:r>
        <w:rPr>
          <w:rStyle w:val="54"/>
          <w:rFonts w:asciiTheme="minorEastAsia" w:hAnsiTheme="minorEastAsia" w:eastAsiaTheme="minorEastAsia" w:cstheme="minorEastAsia"/>
          <w:sz w:val="24"/>
          <w:szCs w:val="24"/>
        </w:rPr>
        <w:t>27. 签订合同</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_Toc61878490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"_Toc61878491" </w:instrText>
      </w:r>
      <w:r>
        <w:fldChar w:fldCharType="separate"/>
      </w:r>
      <w:r>
        <w:rPr>
          <w:rStyle w:val="54"/>
          <w:rFonts w:asciiTheme="minorEastAsia" w:hAnsiTheme="minorEastAsia" w:eastAsiaTheme="minorEastAsia" w:cstheme="minorEastAsia"/>
          <w:sz w:val="24"/>
          <w:szCs w:val="24"/>
        </w:rPr>
        <w:t>28.履约保证金</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_Toc61878491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"_Toc61878492" </w:instrText>
      </w:r>
      <w:r>
        <w:fldChar w:fldCharType="separate"/>
      </w:r>
      <w:r>
        <w:rPr>
          <w:rStyle w:val="54"/>
          <w:rFonts w:asciiTheme="minorEastAsia" w:hAnsiTheme="minorEastAsia" w:eastAsiaTheme="minorEastAsia" w:cstheme="minorEastAsia"/>
          <w:sz w:val="24"/>
          <w:szCs w:val="24"/>
        </w:rPr>
        <w:t>七、中标服务费</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_Toc61878492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"_Toc61878493" </w:instrText>
      </w:r>
      <w:r>
        <w:fldChar w:fldCharType="separate"/>
      </w:r>
      <w:r>
        <w:rPr>
          <w:rStyle w:val="54"/>
          <w:rFonts w:asciiTheme="minorEastAsia" w:hAnsiTheme="minorEastAsia" w:eastAsiaTheme="minorEastAsia" w:cstheme="minorEastAsia"/>
          <w:sz w:val="24"/>
          <w:szCs w:val="24"/>
        </w:rPr>
        <w:t>29.中标服务费</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_Toc61878493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"_Toc61878494" </w:instrText>
      </w:r>
      <w:r>
        <w:fldChar w:fldCharType="separate"/>
      </w:r>
      <w:r>
        <w:rPr>
          <w:rStyle w:val="54"/>
          <w:rFonts w:asciiTheme="minorEastAsia" w:hAnsiTheme="minorEastAsia" w:eastAsiaTheme="minorEastAsia" w:cstheme="minorEastAsia"/>
          <w:sz w:val="24"/>
          <w:szCs w:val="24"/>
        </w:rPr>
        <w:t>八、履约验收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_Toc61878494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"_Toc61878495" </w:instrText>
      </w:r>
      <w:r>
        <w:fldChar w:fldCharType="separate"/>
      </w:r>
      <w:r>
        <w:rPr>
          <w:rStyle w:val="54"/>
          <w:rFonts w:asciiTheme="minorEastAsia" w:hAnsiTheme="minorEastAsia" w:eastAsiaTheme="minorEastAsia" w:cstheme="minorEastAsia"/>
          <w:sz w:val="24"/>
          <w:szCs w:val="24"/>
        </w:rPr>
        <w:t>30.履约验收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"_Toc61878496" </w:instrText>
      </w:r>
      <w:r>
        <w:fldChar w:fldCharType="separate"/>
      </w:r>
      <w:r>
        <w:rPr>
          <w:rStyle w:val="54"/>
          <w:rFonts w:asciiTheme="minorEastAsia" w:hAnsiTheme="minorEastAsia" w:eastAsiaTheme="minorEastAsia" w:cstheme="minorEastAsia"/>
          <w:sz w:val="24"/>
          <w:szCs w:val="24"/>
        </w:rPr>
        <w:t>九、询问与质疑</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"_Toc61878497" </w:instrText>
      </w:r>
      <w:r>
        <w:fldChar w:fldCharType="separate"/>
      </w:r>
      <w:r>
        <w:rPr>
          <w:rStyle w:val="54"/>
          <w:rFonts w:asciiTheme="minorEastAsia" w:hAnsiTheme="minorEastAsia" w:eastAsiaTheme="minorEastAsia" w:cstheme="minorEastAsia"/>
          <w:sz w:val="24"/>
          <w:szCs w:val="24"/>
        </w:rPr>
        <w:t>31.询问</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"_Toc61878498" </w:instrText>
      </w:r>
      <w:r>
        <w:fldChar w:fldCharType="separate"/>
      </w:r>
      <w:r>
        <w:rPr>
          <w:rStyle w:val="54"/>
          <w:rFonts w:asciiTheme="minorEastAsia" w:hAnsiTheme="minorEastAsia" w:eastAsiaTheme="minorEastAsia" w:cstheme="minorEastAsia"/>
          <w:sz w:val="24"/>
          <w:szCs w:val="24"/>
        </w:rPr>
        <w:t>32.质疑</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_Toc61878498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24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29"/>
        <w:spacing w:line="360" w:lineRule="auto"/>
        <w:rPr>
          <w:rFonts w:asciiTheme="minorEastAsia" w:hAnsiTheme="minorEastAsia" w:eastAsiaTheme="minorEastAsia" w:cstheme="minorBidi"/>
          <w:b w:val="0"/>
          <w:bCs w:val="0"/>
          <w:iCs w:val="0"/>
        </w:rPr>
      </w:pPr>
      <w:r>
        <w:fldChar w:fldCharType="begin"/>
      </w:r>
      <w:r>
        <w:instrText xml:space="preserve"> HYPERLINK \l "_Toc61878499" </w:instrText>
      </w:r>
      <w:r>
        <w:fldChar w:fldCharType="separate"/>
      </w:r>
      <w:r>
        <w:rPr>
          <w:rStyle w:val="54"/>
          <w:rFonts w:asciiTheme="minorEastAsia" w:hAnsiTheme="minorEastAsia" w:eastAsiaTheme="minorEastAsia" w:cstheme="minorEastAsia"/>
          <w:b w:val="0"/>
          <w:bCs w:val="0"/>
        </w:rPr>
        <w:t>第四章 采购需求</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_Toc61878499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26</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29"/>
        <w:spacing w:line="360" w:lineRule="auto"/>
        <w:rPr>
          <w:rFonts w:asciiTheme="minorEastAsia" w:hAnsiTheme="minorEastAsia" w:eastAsiaTheme="minorEastAsia" w:cstheme="minorBidi"/>
          <w:b w:val="0"/>
          <w:bCs w:val="0"/>
          <w:iCs w:val="0"/>
        </w:rPr>
      </w:pPr>
      <w:r>
        <w:fldChar w:fldCharType="begin"/>
      </w:r>
      <w:r>
        <w:instrText xml:space="preserve"> HYPERLINK \l "_Toc61878500" </w:instrText>
      </w:r>
      <w:r>
        <w:fldChar w:fldCharType="separate"/>
      </w:r>
      <w:r>
        <w:rPr>
          <w:rStyle w:val="54"/>
          <w:rFonts w:asciiTheme="minorEastAsia" w:hAnsiTheme="minorEastAsia" w:eastAsiaTheme="minorEastAsia" w:cstheme="minorEastAsia"/>
          <w:b w:val="0"/>
          <w:bCs w:val="0"/>
        </w:rPr>
        <w:t>第五章 评标方法和评标标准</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_Toc61878500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36</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29"/>
        <w:spacing w:line="360" w:lineRule="auto"/>
        <w:rPr>
          <w:rFonts w:asciiTheme="minorEastAsia" w:hAnsiTheme="minorEastAsia" w:eastAsiaTheme="minorEastAsia" w:cstheme="minorBidi"/>
          <w:b w:val="0"/>
          <w:bCs w:val="0"/>
          <w:iCs w:val="0"/>
        </w:rPr>
      </w:pPr>
      <w:r>
        <w:fldChar w:fldCharType="begin"/>
      </w:r>
      <w:r>
        <w:instrText xml:space="preserve"> HYPERLINK \l "_Toc61878501" </w:instrText>
      </w:r>
      <w:r>
        <w:fldChar w:fldCharType="separate"/>
      </w:r>
      <w:r>
        <w:rPr>
          <w:rStyle w:val="54"/>
          <w:rFonts w:asciiTheme="minorEastAsia" w:hAnsiTheme="minorEastAsia" w:eastAsiaTheme="minorEastAsia" w:cstheme="minorEastAsia"/>
          <w:b w:val="0"/>
          <w:bCs w:val="0"/>
        </w:rPr>
        <w:t>第六章 合同格式</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_Toc61878501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44</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29"/>
        <w:spacing w:line="360" w:lineRule="auto"/>
        <w:rPr>
          <w:rFonts w:asciiTheme="minorEastAsia" w:hAnsiTheme="minorEastAsia" w:eastAsiaTheme="minorEastAsia" w:cstheme="minorBidi"/>
          <w:b w:val="0"/>
          <w:bCs w:val="0"/>
          <w:iCs w:val="0"/>
        </w:rPr>
      </w:pPr>
      <w:r>
        <w:fldChar w:fldCharType="begin"/>
      </w:r>
      <w:r>
        <w:instrText xml:space="preserve"> HYPERLINK \l "_Toc61878502" </w:instrText>
      </w:r>
      <w:r>
        <w:fldChar w:fldCharType="separate"/>
      </w:r>
      <w:r>
        <w:rPr>
          <w:rStyle w:val="54"/>
          <w:rFonts w:asciiTheme="minorEastAsia" w:hAnsiTheme="minorEastAsia" w:eastAsiaTheme="minorEastAsia" w:cstheme="minorEastAsia"/>
          <w:b w:val="0"/>
          <w:bCs w:val="0"/>
          <w:kern w:val="44"/>
        </w:rPr>
        <w:t>第七章 投标文件格式</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_Toc61878502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54</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29"/>
        <w:spacing w:line="360" w:lineRule="auto"/>
        <w:rPr>
          <w:rFonts w:asciiTheme="minorEastAsia" w:hAnsiTheme="minorEastAsia" w:eastAsiaTheme="minorEastAsia" w:cstheme="minorBidi"/>
          <w:b w:val="0"/>
          <w:bCs w:val="0"/>
          <w:iCs w:val="0"/>
        </w:rPr>
      </w:pPr>
      <w:r>
        <w:fldChar w:fldCharType="begin"/>
      </w:r>
      <w:r>
        <w:instrText xml:space="preserve"> HYPERLINK \l "_Toc61878503" </w:instrText>
      </w:r>
      <w:r>
        <w:fldChar w:fldCharType="separate"/>
      </w:r>
      <w:r>
        <w:rPr>
          <w:rStyle w:val="54"/>
          <w:rFonts w:asciiTheme="minorEastAsia" w:hAnsiTheme="minorEastAsia" w:eastAsiaTheme="minorEastAsia" w:cstheme="minorEastAsia"/>
          <w:b w:val="0"/>
          <w:bCs w:val="0"/>
        </w:rPr>
        <w:t>一、投标文件资格册</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_Toc61878503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54</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29"/>
        <w:spacing w:line="360" w:lineRule="auto"/>
        <w:rPr>
          <w:rFonts w:asciiTheme="minorEastAsia" w:hAnsiTheme="minorEastAsia" w:eastAsiaTheme="minorEastAsia" w:cstheme="minorBidi"/>
          <w:b w:val="0"/>
          <w:bCs w:val="0"/>
          <w:iCs w:val="0"/>
        </w:rPr>
      </w:pPr>
      <w:r>
        <w:fldChar w:fldCharType="begin"/>
      </w:r>
      <w:r>
        <w:instrText xml:space="preserve"> HYPERLINK \l "_Toc61878504" </w:instrText>
      </w:r>
      <w:r>
        <w:fldChar w:fldCharType="separate"/>
      </w:r>
      <w:r>
        <w:rPr>
          <w:rStyle w:val="54"/>
          <w:rFonts w:asciiTheme="minorEastAsia" w:hAnsiTheme="minorEastAsia" w:eastAsiaTheme="minorEastAsia" w:cstheme="minorEastAsia"/>
          <w:b w:val="0"/>
          <w:bCs w:val="0"/>
          <w:kern w:val="44"/>
        </w:rPr>
        <w:t>二、投标文件商务技术册</w:t>
      </w:r>
      <w:r>
        <w:rPr>
          <w:rFonts w:asciiTheme="minorEastAsia" w:hAnsiTheme="minorEastAsia" w:eastAsiaTheme="minorEastAsia"/>
          <w:b w:val="0"/>
          <w:bCs w:val="0"/>
        </w:rPr>
        <w:tab/>
      </w:r>
      <w:r>
        <w:rPr>
          <w:rFonts w:asciiTheme="minorEastAsia" w:hAnsiTheme="minorEastAsia" w:eastAsiaTheme="minorEastAsia"/>
          <w:b w:val="0"/>
          <w:bCs w:val="0"/>
        </w:rPr>
        <w:fldChar w:fldCharType="begin"/>
      </w:r>
      <w:r>
        <w:rPr>
          <w:rFonts w:asciiTheme="minorEastAsia" w:hAnsiTheme="minorEastAsia" w:eastAsiaTheme="minorEastAsia"/>
          <w:b w:val="0"/>
          <w:bCs w:val="0"/>
        </w:rPr>
        <w:instrText xml:space="preserve"> PAGEREF _Toc61878504 \h </w:instrText>
      </w:r>
      <w:r>
        <w:rPr>
          <w:rFonts w:asciiTheme="minorEastAsia" w:hAnsiTheme="minorEastAsia" w:eastAsiaTheme="minorEastAsia"/>
          <w:b w:val="0"/>
          <w:bCs w:val="0"/>
        </w:rPr>
        <w:fldChar w:fldCharType="separate"/>
      </w:r>
      <w:r>
        <w:rPr>
          <w:rFonts w:asciiTheme="minorEastAsia" w:hAnsiTheme="minorEastAsia" w:eastAsiaTheme="minorEastAsia"/>
          <w:b w:val="0"/>
          <w:bCs w:val="0"/>
        </w:rPr>
        <w:t>64</w:t>
      </w:r>
      <w:r>
        <w:rPr>
          <w:rFonts w:asciiTheme="minorEastAsia" w:hAnsiTheme="minorEastAsia" w:eastAsiaTheme="minorEastAsia"/>
          <w:b w:val="0"/>
          <w:bCs w:val="0"/>
        </w:rPr>
        <w:fldChar w:fldCharType="end"/>
      </w:r>
      <w:r>
        <w:rPr>
          <w:rFonts w:asciiTheme="minorEastAsia" w:hAnsiTheme="minorEastAsia" w:eastAsiaTheme="minorEastAsia"/>
          <w:b w:val="0"/>
          <w:bCs w:val="0"/>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"_Toc61878505" </w:instrText>
      </w:r>
      <w:r>
        <w:fldChar w:fldCharType="separate"/>
      </w:r>
      <w:r>
        <w:rPr>
          <w:rStyle w:val="54"/>
          <w:rFonts w:asciiTheme="minorEastAsia" w:hAnsiTheme="minorEastAsia" w:eastAsiaTheme="minorEastAsia" w:cstheme="minorEastAsia"/>
          <w:sz w:val="24"/>
          <w:szCs w:val="24"/>
        </w:rPr>
        <w:t>1 投标函</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_Toc61878505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64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"_Toc61878506" </w:instrText>
      </w:r>
      <w:r>
        <w:fldChar w:fldCharType="separate"/>
      </w:r>
      <w:r>
        <w:rPr>
          <w:rStyle w:val="54"/>
          <w:rFonts w:asciiTheme="minorEastAsia" w:hAnsiTheme="minorEastAsia" w:eastAsiaTheme="minorEastAsia" w:cstheme="minorEastAsia"/>
          <w:sz w:val="24"/>
          <w:szCs w:val="24"/>
        </w:rPr>
        <w:t>2 开标一览表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_Toc61878506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66</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"_Toc61878507" </w:instrText>
      </w:r>
      <w:r>
        <w:fldChar w:fldCharType="separate"/>
      </w:r>
      <w:r>
        <w:rPr>
          <w:rStyle w:val="54"/>
          <w:rFonts w:asciiTheme="minorEastAsia" w:hAnsiTheme="minorEastAsia" w:eastAsiaTheme="minorEastAsia" w:cstheme="minorEastAsia"/>
          <w:sz w:val="24"/>
          <w:szCs w:val="24"/>
        </w:rPr>
        <w:t>3 投标分项报价表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_Toc61878507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67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"_Toc61878508" </w:instrText>
      </w:r>
      <w:r>
        <w:fldChar w:fldCharType="separate"/>
      </w:r>
      <w:r>
        <w:rPr>
          <w:rStyle w:val="54"/>
          <w:rFonts w:asciiTheme="minorEastAsia" w:hAnsiTheme="minorEastAsia" w:eastAsiaTheme="minorEastAsia" w:cstheme="minorEastAsia"/>
          <w:sz w:val="24"/>
          <w:szCs w:val="24"/>
        </w:rPr>
        <w:t>4 技术规格偏离表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_Toc61878508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68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"_Toc61878509" </w:instrText>
      </w:r>
      <w:r>
        <w:fldChar w:fldCharType="separate"/>
      </w:r>
      <w:r>
        <w:rPr>
          <w:rStyle w:val="54"/>
          <w:rFonts w:asciiTheme="minorEastAsia" w:hAnsiTheme="minorEastAsia" w:eastAsiaTheme="minorEastAsia" w:cstheme="minorEastAsia"/>
          <w:sz w:val="24"/>
          <w:szCs w:val="24"/>
        </w:rPr>
        <w:t>5 商务条款偏离表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_Toc61878509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69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"_Toc61878510" </w:instrText>
      </w:r>
      <w:r>
        <w:fldChar w:fldCharType="separate"/>
      </w:r>
      <w:r>
        <w:rPr>
          <w:rStyle w:val="54"/>
          <w:rFonts w:asciiTheme="minorEastAsia" w:hAnsiTheme="minorEastAsia" w:eastAsiaTheme="minorEastAsia" w:cstheme="minorEastAsia"/>
          <w:sz w:val="24"/>
          <w:szCs w:val="24"/>
        </w:rPr>
        <w:t>6 业绩案例一览表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_Toc61878510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70</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"_Toc61878511" </w:instrText>
      </w:r>
      <w:r>
        <w:fldChar w:fldCharType="separate"/>
      </w:r>
      <w:r>
        <w:rPr>
          <w:rStyle w:val="54"/>
          <w:rFonts w:asciiTheme="minorEastAsia" w:hAnsiTheme="minorEastAsia" w:eastAsiaTheme="minorEastAsia" w:cstheme="minorEastAsia"/>
          <w:sz w:val="24"/>
          <w:szCs w:val="24"/>
        </w:rPr>
        <w:t>7 投标人基本情况表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_Toc61878511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71</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"_Toc61878512" </w:instrText>
      </w:r>
      <w:r>
        <w:fldChar w:fldCharType="separate"/>
      </w:r>
      <w:r>
        <w:rPr>
          <w:rStyle w:val="54"/>
          <w:rFonts w:asciiTheme="minorEastAsia" w:hAnsiTheme="minorEastAsia" w:eastAsiaTheme="minorEastAsia" w:cstheme="minorEastAsia"/>
          <w:sz w:val="24"/>
          <w:szCs w:val="24"/>
        </w:rPr>
        <w:t>8 服务方案</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_Toc61878512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73</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"_Toc61878513" </w:instrText>
      </w:r>
      <w:r>
        <w:fldChar w:fldCharType="separate"/>
      </w:r>
      <w:r>
        <w:rPr>
          <w:rStyle w:val="54"/>
          <w:rFonts w:asciiTheme="minorEastAsia" w:hAnsiTheme="minorEastAsia" w:eastAsiaTheme="minorEastAsia" w:cstheme="minorEastAsia"/>
          <w:sz w:val="24"/>
          <w:szCs w:val="24"/>
        </w:rPr>
        <w:t>9 售后服务及培训计划</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_Toc61878513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74</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"_Toc61878514" </w:instrText>
      </w:r>
      <w:r>
        <w:fldChar w:fldCharType="separate"/>
      </w:r>
      <w:r>
        <w:rPr>
          <w:rStyle w:val="54"/>
          <w:rFonts w:asciiTheme="minorEastAsia" w:hAnsiTheme="minorEastAsia" w:eastAsiaTheme="minorEastAsia" w:cstheme="minorEastAsia"/>
          <w:sz w:val="24"/>
          <w:szCs w:val="24"/>
        </w:rPr>
        <w:t>10 提交投标保证金的证明材料（如适用） （须加盖本单位公章）</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_Toc61878514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75</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"_Toc61878515" </w:instrText>
      </w:r>
      <w:r>
        <w:fldChar w:fldCharType="separate"/>
      </w:r>
      <w:r>
        <w:rPr>
          <w:rStyle w:val="54"/>
          <w:rFonts w:asciiTheme="minorEastAsia" w:hAnsiTheme="minorEastAsia" w:eastAsiaTheme="minorEastAsia" w:cstheme="minorEastAsia"/>
          <w:sz w:val="24"/>
          <w:szCs w:val="24"/>
        </w:rPr>
        <w:t>11 中标服务费承诺书</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_Toc61878515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76</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"_Toc61878516" </w:instrText>
      </w:r>
      <w:r>
        <w:fldChar w:fldCharType="separate"/>
      </w:r>
      <w:r>
        <w:rPr>
          <w:rStyle w:val="54"/>
          <w:rFonts w:asciiTheme="minorEastAsia" w:hAnsiTheme="minorEastAsia" w:eastAsiaTheme="minorEastAsia" w:cstheme="minorEastAsia"/>
          <w:sz w:val="24"/>
          <w:szCs w:val="24"/>
        </w:rPr>
        <w:t>12 中小企业声明函</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_Toc61878516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77</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"_Toc61878517" </w:instrText>
      </w:r>
      <w:r>
        <w:fldChar w:fldCharType="separate"/>
      </w:r>
      <w:r>
        <w:rPr>
          <w:rStyle w:val="54"/>
          <w:rFonts w:asciiTheme="minorEastAsia" w:hAnsiTheme="minorEastAsia" w:eastAsiaTheme="minorEastAsia" w:cstheme="minorEastAsia"/>
          <w:sz w:val="24"/>
          <w:szCs w:val="24"/>
        </w:rPr>
        <w:t>13</w:t>
      </w:r>
      <w:r>
        <w:rPr>
          <w:rStyle w:val="54"/>
          <w:rFonts w:asciiTheme="minorEastAsia" w:hAnsiTheme="minorEastAsia" w:eastAsiaTheme="minorEastAsia" w:cstheme="minorEastAsia"/>
          <w:sz w:val="24"/>
          <w:szCs w:val="24"/>
          <w:lang w:val="en-GB"/>
        </w:rPr>
        <w:t xml:space="preserve"> 残疾人福利性单位声明函（如适用）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_Toc61878517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78</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"_Toc61878518" </w:instrText>
      </w:r>
      <w:r>
        <w:fldChar w:fldCharType="separate"/>
      </w:r>
      <w:r>
        <w:rPr>
          <w:rStyle w:val="54"/>
          <w:rFonts w:asciiTheme="minorEastAsia" w:hAnsiTheme="minorEastAsia" w:eastAsiaTheme="minorEastAsia" w:cstheme="minorEastAsia"/>
          <w:sz w:val="24"/>
          <w:szCs w:val="24"/>
        </w:rPr>
        <w:t>14 监狱、戒毒企业声明函（如适用）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_Toc61878518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79</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pStyle w:val="19"/>
        <w:spacing w:line="360" w:lineRule="auto"/>
        <w:rPr>
          <w:rFonts w:asciiTheme="minorEastAsia" w:hAnsiTheme="minorEastAsia" w:eastAsiaTheme="minorEastAsia" w:cstheme="minorBidi"/>
          <w:sz w:val="24"/>
          <w:szCs w:val="24"/>
        </w:rPr>
      </w:pPr>
      <w:r>
        <w:fldChar w:fldCharType="begin"/>
      </w:r>
      <w:r>
        <w:instrText xml:space="preserve"> HYPERLINK \l "_Toc61878519" </w:instrText>
      </w:r>
      <w:r>
        <w:fldChar w:fldCharType="separate"/>
      </w:r>
      <w:r>
        <w:rPr>
          <w:rStyle w:val="54"/>
          <w:rFonts w:asciiTheme="minorEastAsia" w:hAnsiTheme="minorEastAsia" w:eastAsiaTheme="minorEastAsia" w:cstheme="minorEastAsia"/>
          <w:sz w:val="24"/>
          <w:szCs w:val="24"/>
        </w:rPr>
        <w:t>15投标人认为必要的其他证明文件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_Toc61878519 \h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80</w:t>
      </w:r>
      <w:r>
        <w:rPr>
          <w:rFonts w:asciiTheme="minorEastAsia" w:hAnsiTheme="minorEastAsia" w:eastAsiaTheme="minorEastAsia"/>
          <w:sz w:val="24"/>
          <w:szCs w:val="24"/>
        </w:rPr>
        <w:fldChar w:fldCharType="end"/>
      </w:r>
      <w:r>
        <w:rPr>
          <w:rFonts w:asciiTheme="minorEastAsia" w:hAnsiTheme="minorEastAsia" w:eastAsiaTheme="minorEastAsia"/>
          <w:sz w:val="24"/>
          <w:szCs w:val="24"/>
        </w:rPr>
        <w:fldChar w:fldCharType="end"/>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fldChar w:fldCharType="end"/>
      </w:r>
    </w:p>
    <w:p>
      <w:pPr>
        <w:pStyle w:val="29"/>
        <w:spacing w:before="0" w:line="360" w:lineRule="auto"/>
        <w:outlineLvl w:val="0"/>
        <w:rPr>
          <w:rFonts w:asciiTheme="minorEastAsia" w:hAnsiTheme="minorEastAsia" w:eastAsiaTheme="minorEastAsia" w:cstheme="minorEastAsia"/>
          <w:bCs w:val="0"/>
          <w:szCs w:val="28"/>
        </w:rPr>
        <w:sectPr>
          <w:footerReference r:id="rId7" w:type="first"/>
          <w:footerReference r:id="rId6" w:type="even"/>
          <w:pgSz w:w="11907" w:h="16840"/>
          <w:pgMar w:top="940" w:right="1417" w:bottom="780" w:left="1276" w:header="794" w:footer="624" w:gutter="0"/>
          <w:cols w:space="720" w:num="1"/>
          <w:titlePg/>
          <w:docGrid w:linePitch="312" w:charSpace="0"/>
        </w:sectPr>
      </w:pPr>
      <w:bookmarkStart w:id="5" w:name="_Toc5895164"/>
      <w:bookmarkStart w:id="6" w:name="_Toc310195690"/>
      <w:bookmarkStart w:id="7" w:name="_Toc1095"/>
    </w:p>
    <w:p>
      <w:pPr>
        <w:pStyle w:val="29"/>
        <w:spacing w:before="0" w:line="360" w:lineRule="auto"/>
        <w:outlineLvl w:val="0"/>
        <w:rPr>
          <w:rFonts w:asciiTheme="minorEastAsia" w:hAnsiTheme="minorEastAsia" w:eastAsiaTheme="minorEastAsia" w:cstheme="minorEastAsia"/>
          <w:bCs w:val="0"/>
        </w:rPr>
      </w:pPr>
      <w:bookmarkStart w:id="8" w:name="_Toc61878455"/>
      <w:r>
        <w:rPr>
          <w:rFonts w:hint="eastAsia" w:asciiTheme="minorEastAsia" w:hAnsiTheme="minorEastAsia" w:eastAsiaTheme="minorEastAsia" w:cstheme="minorEastAsia"/>
          <w:bCs w:val="0"/>
          <w:szCs w:val="28"/>
        </w:rPr>
        <w:t xml:space="preserve">第一章 </w:t>
      </w:r>
      <w:r>
        <w:rPr>
          <w:rFonts w:hint="eastAsia" w:asciiTheme="minorEastAsia" w:hAnsiTheme="minorEastAsia" w:eastAsiaTheme="minorEastAsia" w:cstheme="minorEastAsia"/>
          <w:szCs w:val="28"/>
        </w:rPr>
        <w:t>投标邀请</w:t>
      </w:r>
      <w:bookmarkEnd w:id="3"/>
      <w:bookmarkEnd w:id="4"/>
      <w:bookmarkEnd w:id="5"/>
      <w:bookmarkEnd w:id="6"/>
      <w:bookmarkEnd w:id="7"/>
      <w:bookmarkEnd w:id="8"/>
    </w:p>
    <w:p>
      <w:pPr>
        <w:spacing w:before="156" w:beforeLines="50"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sz w:val="24"/>
        </w:rPr>
        <w:t>华采招标集团有限公司受自然资源部国土卫星遥感应用中心</w:t>
      </w:r>
      <w:r>
        <w:rPr>
          <w:rFonts w:hint="eastAsia" w:asciiTheme="minorEastAsia" w:hAnsiTheme="minorEastAsia" w:eastAsiaTheme="minorEastAsia" w:cstheme="minorEastAsia"/>
          <w:color w:val="000000" w:themeColor="text1"/>
          <w:sz w:val="24"/>
          <w14:textFill>
            <w14:solidFill>
              <w14:schemeClr w14:val="tx1"/>
            </w14:solidFill>
          </w14:textFill>
        </w:rPr>
        <w:t>的</w:t>
      </w:r>
      <w:r>
        <w:rPr>
          <w:rFonts w:hint="eastAsia" w:asciiTheme="minorEastAsia" w:hAnsiTheme="minorEastAsia" w:eastAsiaTheme="minorEastAsia" w:cstheme="minorEastAsia"/>
          <w:sz w:val="24"/>
        </w:rPr>
        <w:t>委托，根据《中华人民共和国政府采购法》等有关规定，现对自然资源部国土卫星遥感应用中心高精度地理参考数据技术服务进行公开招标，欢迎合格的投标人前来投标。</w:t>
      </w:r>
    </w:p>
    <w:p>
      <w:pPr>
        <w:spacing w:line="360" w:lineRule="auto"/>
        <w:ind w:firstLine="420" w:firstLineChars="175"/>
        <w:rPr>
          <w:rFonts w:asciiTheme="minorEastAsia" w:hAnsiTheme="minorEastAsia" w:eastAsiaTheme="minorEastAsia" w:cstheme="minorEastAsia"/>
          <w:sz w:val="24"/>
        </w:rPr>
      </w:pP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采购人名称：</w:t>
      </w:r>
      <w:r>
        <w:rPr>
          <w:rFonts w:hint="eastAsia" w:asciiTheme="minorEastAsia" w:hAnsiTheme="minorEastAsia" w:eastAsiaTheme="minorEastAsia" w:cstheme="minorEastAsia"/>
          <w:color w:val="000000" w:themeColor="text1"/>
          <w:sz w:val="24"/>
          <w14:textFill>
            <w14:solidFill>
              <w14:schemeClr w14:val="tx1"/>
            </w14:solidFill>
          </w14:textFill>
        </w:rPr>
        <w:t>自然资源部国土卫星遥感应用中心</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采购人地址：北京市海淀区紫竹院百胜村1号</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采购人联系人：刘老师</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采购人联系方式：010-68412123</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采购代理机构：华采招标有限公司</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采购代理机构地址：北京市丰台区广安路9号国投财富广场6号楼1601室</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采购代理机构联系人：招标二部 孙佳睿、崔丽洁、贾东敏、刘向前</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采购代理机构联系方式：</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电话：010-63509799-8080</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传真：010-63509799-808</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邮箱：</w:t>
      </w:r>
      <w:r>
        <w:fldChar w:fldCharType="begin"/>
      </w:r>
      <w:r>
        <w:instrText xml:space="preserve"> HYPERLINK "mailto:hczb101@163.com" </w:instrText>
      </w:r>
      <w:r>
        <w:fldChar w:fldCharType="separate"/>
      </w:r>
      <w:r>
        <w:rPr>
          <w:rStyle w:val="54"/>
          <w:rFonts w:hint="eastAsia" w:asciiTheme="minorEastAsia" w:hAnsiTheme="minorEastAsia" w:eastAsiaTheme="minorEastAsia" w:cstheme="minorEastAsia"/>
          <w:sz w:val="24"/>
        </w:rPr>
        <w:t>hczb101@163.com</w:t>
      </w:r>
      <w:r>
        <w:rPr>
          <w:rStyle w:val="54"/>
          <w:rFonts w:hint="eastAsia" w:asciiTheme="minorEastAsia" w:hAnsiTheme="minorEastAsia" w:eastAsiaTheme="minorEastAsia" w:cstheme="minorEastAsia"/>
          <w:sz w:val="24"/>
        </w:rPr>
        <w:fldChar w:fldCharType="end"/>
      </w:r>
    </w:p>
    <w:p>
      <w:pPr>
        <w:pStyle w:val="47"/>
        <w:spacing w:line="360" w:lineRule="auto"/>
        <w:rPr>
          <w:rFonts w:asciiTheme="minorEastAsia" w:hAnsiTheme="minorEastAsia" w:eastAsiaTheme="minorEastAsia" w:cstheme="minorEastAsia"/>
          <w:lang w:val="en-US"/>
        </w:rPr>
      </w:pPr>
    </w:p>
    <w:p>
      <w:pPr>
        <w:spacing w:line="360" w:lineRule="auto"/>
        <w:ind w:firstLine="480" w:firstLineChars="20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1、项目名称：自然资源部国土卫星遥感应用中心高精度地理参考数据技术服务</w:t>
      </w:r>
    </w:p>
    <w:p>
      <w:pPr>
        <w:spacing w:line="360" w:lineRule="auto"/>
        <w:ind w:left="2039" w:leftChars="228" w:hanging="1560" w:hangingChars="6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2、项目编号：HCZB-2021-ZB0836</w:t>
      </w:r>
    </w:p>
    <w:p>
      <w:pPr>
        <w:spacing w:line="360" w:lineRule="auto"/>
        <w:ind w:left="479" w:leftChars="228"/>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3、采购需求：</w:t>
      </w:r>
    </w:p>
    <w:tbl>
      <w:tblPr>
        <w:tblStyle w:val="48"/>
        <w:tblW w:w="5000" w:type="pct"/>
        <w:tblInd w:w="0" w:type="dxa"/>
        <w:tblLayout w:type="autofit"/>
        <w:tblCellMar>
          <w:top w:w="0" w:type="dxa"/>
          <w:left w:w="108" w:type="dxa"/>
          <w:bottom w:w="0" w:type="dxa"/>
          <w:right w:w="108" w:type="dxa"/>
        </w:tblCellMar>
      </w:tblPr>
      <w:tblGrid>
        <w:gridCol w:w="644"/>
        <w:gridCol w:w="2140"/>
        <w:gridCol w:w="1669"/>
        <w:gridCol w:w="1998"/>
        <w:gridCol w:w="2028"/>
      </w:tblGrid>
      <w:tr>
        <w:tblPrEx>
          <w:tblCellMar>
            <w:top w:w="0" w:type="dxa"/>
            <w:left w:w="108" w:type="dxa"/>
            <w:bottom w:w="0" w:type="dxa"/>
            <w:right w:w="108" w:type="dxa"/>
          </w:tblCellMar>
        </w:tblPrEx>
        <w:trPr>
          <w:trHeight w:val="300" w:hRule="atLeast"/>
        </w:trPr>
        <w:tc>
          <w:tcPr>
            <w:tcW w:w="380" w:type="pct"/>
            <w:vMerge w:val="restart"/>
            <w:tcBorders>
              <w:top w:val="single" w:color="auto" w:sz="8" w:space="0"/>
              <w:left w:val="single" w:color="auto" w:sz="8" w:space="0"/>
              <w:bottom w:val="single" w:color="000000" w:sz="8" w:space="0"/>
              <w:right w:val="single" w:color="auto" w:sz="4" w:space="0"/>
            </w:tcBorders>
            <w:shd w:val="clear" w:color="000000" w:fill="FFFFFF"/>
            <w:vAlign w:val="center"/>
          </w:tcPr>
          <w:p>
            <w:pPr>
              <w:widowControl/>
              <w:spacing w:line="360" w:lineRule="auto"/>
              <w:jc w:val="center"/>
              <w:rPr>
                <w:rFonts w:ascii="宋体" w:hAnsi="Calibri" w:cs="宋体"/>
                <w:b/>
                <w:bCs/>
                <w:color w:val="000000"/>
                <w:kern w:val="0"/>
                <w:szCs w:val="21"/>
              </w:rPr>
            </w:pPr>
            <w:r>
              <w:rPr>
                <w:rFonts w:hint="eastAsia" w:ascii="宋体" w:hAnsi="Calibri" w:cs="宋体"/>
                <w:b/>
                <w:bCs/>
                <w:color w:val="000000"/>
                <w:kern w:val="0"/>
                <w:szCs w:val="21"/>
              </w:rPr>
              <w:t>包号</w:t>
            </w:r>
          </w:p>
        </w:tc>
        <w:tc>
          <w:tcPr>
            <w:tcW w:w="1261" w:type="pct"/>
            <w:vMerge w:val="restart"/>
            <w:tcBorders>
              <w:top w:val="single" w:color="auto" w:sz="8" w:space="0"/>
              <w:left w:val="single" w:color="auto" w:sz="4" w:space="0"/>
              <w:bottom w:val="single" w:color="000000" w:sz="8" w:space="0"/>
              <w:right w:val="single" w:color="auto" w:sz="4" w:space="0"/>
            </w:tcBorders>
            <w:shd w:val="clear" w:color="000000" w:fill="FFFFFF"/>
            <w:noWrap/>
            <w:vAlign w:val="center"/>
          </w:tcPr>
          <w:p>
            <w:pPr>
              <w:widowControl/>
              <w:spacing w:line="360" w:lineRule="auto"/>
              <w:jc w:val="center"/>
              <w:rPr>
                <w:rFonts w:ascii="宋体" w:hAnsi="Calibri" w:cs="宋体"/>
                <w:b/>
                <w:bCs/>
                <w:color w:val="000000"/>
                <w:kern w:val="0"/>
                <w:szCs w:val="21"/>
              </w:rPr>
            </w:pPr>
            <w:r>
              <w:rPr>
                <w:rFonts w:hint="eastAsia" w:ascii="宋体" w:hAnsi="Calibri" w:cs="宋体"/>
                <w:b/>
                <w:bCs/>
                <w:color w:val="000000"/>
                <w:kern w:val="0"/>
                <w:szCs w:val="21"/>
              </w:rPr>
              <w:t>包名称</w:t>
            </w:r>
          </w:p>
        </w:tc>
        <w:tc>
          <w:tcPr>
            <w:tcW w:w="2162" w:type="pct"/>
            <w:gridSpan w:val="2"/>
            <w:tcBorders>
              <w:top w:val="single" w:color="auto" w:sz="8" w:space="0"/>
              <w:left w:val="nil"/>
              <w:bottom w:val="single" w:color="auto" w:sz="4" w:space="0"/>
              <w:right w:val="single" w:color="auto" w:sz="4" w:space="0"/>
            </w:tcBorders>
            <w:shd w:val="clear" w:color="000000" w:fill="FFFFFF"/>
            <w:noWrap/>
            <w:vAlign w:val="center"/>
          </w:tcPr>
          <w:p>
            <w:pPr>
              <w:widowControl/>
              <w:spacing w:line="360" w:lineRule="auto"/>
              <w:jc w:val="center"/>
              <w:rPr>
                <w:rFonts w:ascii="宋体" w:hAnsi="Calibri" w:cs="宋体"/>
                <w:b/>
                <w:bCs/>
                <w:color w:val="000000"/>
                <w:kern w:val="0"/>
                <w:szCs w:val="21"/>
              </w:rPr>
            </w:pPr>
            <w:r>
              <w:rPr>
                <w:rFonts w:hint="eastAsia" w:ascii="宋体" w:hAnsi="Calibri" w:cs="宋体"/>
                <w:b/>
                <w:bCs/>
                <w:color w:val="000000"/>
                <w:kern w:val="0"/>
                <w:szCs w:val="21"/>
              </w:rPr>
              <w:t>项目来源</w:t>
            </w:r>
          </w:p>
        </w:tc>
        <w:tc>
          <w:tcPr>
            <w:tcW w:w="1196" w:type="pct"/>
            <w:vMerge w:val="restart"/>
            <w:tcBorders>
              <w:top w:val="single" w:color="auto" w:sz="8" w:space="0"/>
              <w:left w:val="single" w:color="auto" w:sz="4" w:space="0"/>
              <w:bottom w:val="single" w:color="000000" w:sz="8" w:space="0"/>
              <w:right w:val="single" w:color="auto" w:sz="4" w:space="0"/>
            </w:tcBorders>
            <w:shd w:val="clear" w:color="000000" w:fill="FFFFFF"/>
            <w:vAlign w:val="center"/>
          </w:tcPr>
          <w:p>
            <w:pPr>
              <w:widowControl/>
              <w:spacing w:line="360" w:lineRule="auto"/>
              <w:jc w:val="center"/>
              <w:rPr>
                <w:rFonts w:ascii="宋体" w:hAnsi="Calibri" w:cs="宋体"/>
                <w:b/>
                <w:bCs/>
                <w:color w:val="000000"/>
                <w:kern w:val="0"/>
                <w:szCs w:val="21"/>
              </w:rPr>
            </w:pPr>
            <w:r>
              <w:rPr>
                <w:rFonts w:hint="eastAsia" w:ascii="宋体" w:hAnsi="Calibri" w:cs="宋体"/>
                <w:b/>
                <w:bCs/>
                <w:color w:val="000000"/>
                <w:kern w:val="0"/>
                <w:szCs w:val="21"/>
              </w:rPr>
              <w:t>分包金额</w:t>
            </w:r>
            <w:r>
              <w:rPr>
                <w:rFonts w:hint="eastAsia" w:ascii="宋体" w:hAnsi="Calibri" w:cs="宋体"/>
                <w:b/>
                <w:bCs/>
                <w:color w:val="000000"/>
                <w:kern w:val="0"/>
                <w:szCs w:val="21"/>
              </w:rPr>
              <w:br w:type="textWrapping"/>
            </w:r>
            <w:r>
              <w:rPr>
                <w:rFonts w:hint="eastAsia" w:ascii="宋体" w:hAnsi="Calibri" w:cs="宋体"/>
                <w:b/>
                <w:bCs/>
                <w:color w:val="000000"/>
                <w:kern w:val="0"/>
                <w:szCs w:val="21"/>
              </w:rPr>
              <w:t>（万元）</w:t>
            </w:r>
          </w:p>
        </w:tc>
      </w:tr>
      <w:tr>
        <w:tblPrEx>
          <w:tblCellMar>
            <w:top w:w="0" w:type="dxa"/>
            <w:left w:w="108" w:type="dxa"/>
            <w:bottom w:w="0" w:type="dxa"/>
            <w:right w:w="108" w:type="dxa"/>
          </w:tblCellMar>
        </w:tblPrEx>
        <w:trPr>
          <w:trHeight w:val="75" w:hRule="atLeast"/>
        </w:trPr>
        <w:tc>
          <w:tcPr>
            <w:tcW w:w="380" w:type="pct"/>
            <w:vMerge w:val="continue"/>
            <w:tcBorders>
              <w:top w:val="single" w:color="auto" w:sz="8" w:space="0"/>
              <w:left w:val="single" w:color="auto" w:sz="8" w:space="0"/>
              <w:bottom w:val="single" w:color="000000" w:sz="8" w:space="0"/>
              <w:right w:val="single" w:color="auto" w:sz="4" w:space="0"/>
            </w:tcBorders>
            <w:shd w:val="clear" w:color="auto" w:fill="auto"/>
            <w:vAlign w:val="center"/>
          </w:tcPr>
          <w:p>
            <w:pPr>
              <w:widowControl/>
              <w:spacing w:line="360" w:lineRule="auto"/>
              <w:jc w:val="left"/>
              <w:rPr>
                <w:rFonts w:ascii="宋体" w:hAnsi="Calibri" w:cs="宋体"/>
                <w:b/>
                <w:bCs/>
                <w:color w:val="000000"/>
                <w:kern w:val="0"/>
                <w:szCs w:val="21"/>
              </w:rPr>
            </w:pPr>
          </w:p>
        </w:tc>
        <w:tc>
          <w:tcPr>
            <w:tcW w:w="1261" w:type="pct"/>
            <w:vMerge w:val="continue"/>
            <w:tcBorders>
              <w:top w:val="single" w:color="auto" w:sz="8" w:space="0"/>
              <w:left w:val="single" w:color="auto" w:sz="4" w:space="0"/>
              <w:bottom w:val="single" w:color="000000" w:sz="8" w:space="0"/>
              <w:right w:val="single" w:color="auto" w:sz="4" w:space="0"/>
            </w:tcBorders>
            <w:shd w:val="clear" w:color="auto" w:fill="auto"/>
            <w:vAlign w:val="center"/>
          </w:tcPr>
          <w:p>
            <w:pPr>
              <w:widowControl/>
              <w:spacing w:line="360" w:lineRule="auto"/>
              <w:jc w:val="left"/>
              <w:rPr>
                <w:rFonts w:ascii="宋体" w:hAnsi="Calibri" w:cs="宋体"/>
                <w:b/>
                <w:bCs/>
                <w:color w:val="000000"/>
                <w:kern w:val="0"/>
                <w:szCs w:val="21"/>
              </w:rPr>
            </w:pPr>
          </w:p>
        </w:tc>
        <w:tc>
          <w:tcPr>
            <w:tcW w:w="984" w:type="pct"/>
            <w:tcBorders>
              <w:top w:val="nil"/>
              <w:left w:val="nil"/>
              <w:bottom w:val="single" w:color="auto" w:sz="8" w:space="0"/>
              <w:right w:val="single" w:color="auto" w:sz="4" w:space="0"/>
            </w:tcBorders>
            <w:shd w:val="clear" w:color="000000" w:fill="FFFFFF"/>
            <w:vAlign w:val="center"/>
          </w:tcPr>
          <w:p>
            <w:pPr>
              <w:widowControl/>
              <w:spacing w:line="360" w:lineRule="auto"/>
              <w:jc w:val="center"/>
              <w:rPr>
                <w:rFonts w:ascii="宋体" w:hAnsi="Calibri" w:cs="宋体"/>
                <w:b/>
                <w:bCs/>
                <w:color w:val="000000"/>
                <w:kern w:val="0"/>
                <w:szCs w:val="21"/>
              </w:rPr>
            </w:pPr>
            <w:r>
              <w:rPr>
                <w:rFonts w:hint="eastAsia" w:ascii="宋体" w:hAnsi="Calibri" w:cs="宋体"/>
                <w:b/>
                <w:bCs/>
                <w:color w:val="000000"/>
                <w:kern w:val="0"/>
                <w:szCs w:val="21"/>
              </w:rPr>
              <w:t>高分二期</w:t>
            </w:r>
          </w:p>
        </w:tc>
        <w:tc>
          <w:tcPr>
            <w:tcW w:w="1178" w:type="pct"/>
            <w:tcBorders>
              <w:top w:val="single" w:color="auto" w:sz="8" w:space="0"/>
              <w:left w:val="single" w:color="auto" w:sz="4" w:space="0"/>
              <w:bottom w:val="single" w:color="000000" w:sz="8" w:space="0"/>
              <w:right w:val="single" w:color="auto" w:sz="4" w:space="0"/>
            </w:tcBorders>
          </w:tcPr>
          <w:p>
            <w:pPr>
              <w:widowControl/>
              <w:spacing w:line="360" w:lineRule="auto"/>
              <w:jc w:val="center"/>
              <w:rPr>
                <w:rFonts w:ascii="宋体" w:hAnsi="Calibri" w:cs="宋体"/>
                <w:b/>
                <w:bCs/>
                <w:color w:val="000000"/>
                <w:kern w:val="0"/>
                <w:szCs w:val="21"/>
              </w:rPr>
            </w:pPr>
            <w:r>
              <w:rPr>
                <w:rFonts w:hint="eastAsia" w:ascii="宋体" w:hAnsi="Calibri" w:cs="宋体"/>
                <w:b/>
                <w:bCs/>
                <w:color w:val="000000"/>
                <w:kern w:val="0"/>
                <w:szCs w:val="21"/>
              </w:rPr>
              <w:t>卫星工程</w:t>
            </w:r>
          </w:p>
        </w:tc>
        <w:tc>
          <w:tcPr>
            <w:tcW w:w="1196" w:type="pct"/>
            <w:vMerge w:val="continue"/>
            <w:tcBorders>
              <w:top w:val="single" w:color="auto" w:sz="8" w:space="0"/>
              <w:left w:val="single" w:color="auto" w:sz="4" w:space="0"/>
              <w:bottom w:val="single" w:color="000000" w:sz="8" w:space="0"/>
              <w:right w:val="single" w:color="auto" w:sz="4" w:space="0"/>
            </w:tcBorders>
            <w:vAlign w:val="center"/>
          </w:tcPr>
          <w:p>
            <w:pPr>
              <w:widowControl/>
              <w:spacing w:line="360" w:lineRule="auto"/>
              <w:jc w:val="left"/>
              <w:rPr>
                <w:rFonts w:ascii="宋体" w:hAnsi="Calibri" w:cs="宋体"/>
                <w:b/>
                <w:bCs/>
                <w:color w:val="000000"/>
                <w:kern w:val="0"/>
                <w:szCs w:val="21"/>
              </w:rPr>
            </w:pPr>
          </w:p>
        </w:tc>
      </w:tr>
      <w:tr>
        <w:tblPrEx>
          <w:tblCellMar>
            <w:top w:w="0" w:type="dxa"/>
            <w:left w:w="108" w:type="dxa"/>
            <w:bottom w:w="0" w:type="dxa"/>
            <w:right w:w="108" w:type="dxa"/>
          </w:tblCellMar>
        </w:tblPrEx>
        <w:trPr>
          <w:trHeight w:val="1012" w:hRule="atLeast"/>
        </w:trPr>
        <w:tc>
          <w:tcPr>
            <w:tcW w:w="380" w:type="pct"/>
            <w:tcBorders>
              <w:top w:val="single" w:color="auto" w:sz="8" w:space="0"/>
              <w:left w:val="single" w:color="auto" w:sz="8" w:space="0"/>
              <w:bottom w:val="single" w:color="auto" w:sz="8" w:space="0"/>
              <w:right w:val="single" w:color="auto" w:sz="4" w:space="0"/>
            </w:tcBorders>
            <w:shd w:val="clear" w:color="000000" w:fill="FFFFFF"/>
            <w:vAlign w:val="center"/>
          </w:tcPr>
          <w:p>
            <w:pPr>
              <w:widowControl/>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261" w:type="pct"/>
            <w:tcBorders>
              <w:top w:val="single" w:color="auto" w:sz="8" w:space="0"/>
              <w:left w:val="nil"/>
              <w:bottom w:val="single" w:color="auto" w:sz="8" w:space="0"/>
              <w:right w:val="single" w:color="auto" w:sz="4" w:space="0"/>
            </w:tcBorders>
            <w:shd w:val="clear" w:color="000000" w:fill="FFFFFF"/>
            <w:vAlign w:val="center"/>
          </w:tcPr>
          <w:p>
            <w:pPr>
              <w:widowControl/>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0.</w:t>
            </w:r>
            <w:r>
              <w:rPr>
                <w:rFonts w:asciiTheme="minorEastAsia" w:hAnsiTheme="minorEastAsia" w:eastAsiaTheme="minorEastAsia" w:cstheme="minorEastAsia"/>
                <w:sz w:val="24"/>
              </w:rPr>
              <w:t>05米分辨率</w:t>
            </w:r>
            <w:r>
              <w:rPr>
                <w:rFonts w:hint="eastAsia" w:asciiTheme="minorEastAsia" w:hAnsiTheme="minorEastAsia" w:eastAsiaTheme="minorEastAsia" w:cstheme="minorEastAsia"/>
                <w:sz w:val="24"/>
              </w:rPr>
              <w:t>高精度地理参考数据技术服务</w:t>
            </w:r>
          </w:p>
        </w:tc>
        <w:tc>
          <w:tcPr>
            <w:tcW w:w="984" w:type="pct"/>
            <w:tcBorders>
              <w:top w:val="single" w:color="auto" w:sz="8" w:space="0"/>
              <w:left w:val="nil"/>
              <w:bottom w:val="single" w:color="auto" w:sz="8" w:space="0"/>
              <w:right w:val="single" w:color="auto" w:sz="4" w:space="0"/>
            </w:tcBorders>
            <w:shd w:val="clear" w:color="000000" w:fill="FFFFFF"/>
            <w:noWrap/>
            <w:vAlign w:val="center"/>
          </w:tcPr>
          <w:p>
            <w:pPr>
              <w:widowControl/>
              <w:spacing w:line="360" w:lineRule="auto"/>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t>75.00</w:t>
            </w:r>
          </w:p>
        </w:tc>
        <w:tc>
          <w:tcPr>
            <w:tcW w:w="1178" w:type="pct"/>
            <w:tcBorders>
              <w:top w:val="single" w:color="auto" w:sz="8" w:space="0"/>
              <w:left w:val="single" w:color="auto" w:sz="4" w:space="0"/>
              <w:bottom w:val="single" w:color="auto" w:sz="8" w:space="0"/>
              <w:right w:val="single" w:color="auto" w:sz="4" w:space="0"/>
            </w:tcBorders>
            <w:shd w:val="clear" w:color="000000" w:fill="FFFFFF"/>
            <w:vAlign w:val="center"/>
          </w:tcPr>
          <w:p>
            <w:pPr>
              <w:widowControl/>
              <w:spacing w:line="360" w:lineRule="auto"/>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t>15.00</w:t>
            </w:r>
          </w:p>
        </w:tc>
        <w:tc>
          <w:tcPr>
            <w:tcW w:w="1196" w:type="pct"/>
            <w:tcBorders>
              <w:top w:val="single" w:color="auto" w:sz="8" w:space="0"/>
              <w:left w:val="single" w:color="auto" w:sz="4" w:space="0"/>
              <w:bottom w:val="single" w:color="auto" w:sz="8" w:space="0"/>
              <w:right w:val="single" w:color="auto" w:sz="4" w:space="0"/>
            </w:tcBorders>
            <w:shd w:val="clear" w:color="000000" w:fill="FFFFFF"/>
            <w:noWrap/>
            <w:vAlign w:val="center"/>
          </w:tcPr>
          <w:p>
            <w:pPr>
              <w:widowControl/>
              <w:spacing w:line="360" w:lineRule="auto"/>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t>90.00</w:t>
            </w:r>
          </w:p>
        </w:tc>
      </w:tr>
      <w:tr>
        <w:tblPrEx>
          <w:tblCellMar>
            <w:top w:w="0" w:type="dxa"/>
            <w:left w:w="108" w:type="dxa"/>
            <w:bottom w:w="0" w:type="dxa"/>
            <w:right w:w="108" w:type="dxa"/>
          </w:tblCellMar>
        </w:tblPrEx>
        <w:trPr>
          <w:trHeight w:val="270" w:hRule="atLeast"/>
        </w:trPr>
        <w:tc>
          <w:tcPr>
            <w:tcW w:w="380" w:type="pct"/>
            <w:tcBorders>
              <w:top w:val="single" w:color="auto" w:sz="8" w:space="0"/>
              <w:left w:val="single" w:color="auto" w:sz="8" w:space="0"/>
              <w:bottom w:val="single" w:color="auto" w:sz="8" w:space="0"/>
              <w:right w:val="single" w:color="auto" w:sz="4" w:space="0"/>
            </w:tcBorders>
            <w:shd w:val="clear" w:color="000000" w:fill="FFFFFF"/>
            <w:vAlign w:val="center"/>
          </w:tcPr>
          <w:p>
            <w:pPr>
              <w:widowControl/>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1261" w:type="pct"/>
            <w:tcBorders>
              <w:top w:val="single" w:color="auto" w:sz="8" w:space="0"/>
              <w:left w:val="nil"/>
              <w:bottom w:val="single" w:color="auto" w:sz="8" w:space="0"/>
              <w:right w:val="single" w:color="auto" w:sz="4" w:space="0"/>
            </w:tcBorders>
            <w:shd w:val="clear" w:color="000000" w:fill="FFFFFF"/>
            <w:vAlign w:val="center"/>
          </w:tcPr>
          <w:p>
            <w:pPr>
              <w:widowControl/>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0.</w:t>
            </w:r>
            <w:r>
              <w:rPr>
                <w:rFonts w:asciiTheme="minorEastAsia" w:hAnsiTheme="minorEastAsia" w:eastAsiaTheme="minorEastAsia" w:cstheme="minorEastAsia"/>
                <w:sz w:val="24"/>
              </w:rPr>
              <w:t>1米分辨率</w:t>
            </w:r>
            <w:r>
              <w:rPr>
                <w:rFonts w:hint="eastAsia" w:asciiTheme="minorEastAsia" w:hAnsiTheme="minorEastAsia" w:eastAsiaTheme="minorEastAsia" w:cstheme="minorEastAsia"/>
                <w:sz w:val="24"/>
              </w:rPr>
              <w:t>高精度地理参考数据技术服务</w:t>
            </w:r>
          </w:p>
        </w:tc>
        <w:tc>
          <w:tcPr>
            <w:tcW w:w="984" w:type="pct"/>
            <w:tcBorders>
              <w:top w:val="single" w:color="auto" w:sz="8" w:space="0"/>
              <w:left w:val="nil"/>
              <w:bottom w:val="single" w:color="auto" w:sz="8" w:space="0"/>
              <w:right w:val="single" w:color="auto" w:sz="4" w:space="0"/>
            </w:tcBorders>
            <w:shd w:val="clear" w:color="000000" w:fill="FFFFFF"/>
            <w:noWrap/>
            <w:vAlign w:val="center"/>
          </w:tcPr>
          <w:p>
            <w:pPr>
              <w:widowControl/>
              <w:spacing w:line="360" w:lineRule="auto"/>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t>75.00</w:t>
            </w:r>
          </w:p>
        </w:tc>
        <w:tc>
          <w:tcPr>
            <w:tcW w:w="1178" w:type="pct"/>
            <w:tcBorders>
              <w:top w:val="single" w:color="auto" w:sz="8" w:space="0"/>
              <w:left w:val="single" w:color="auto" w:sz="4" w:space="0"/>
              <w:bottom w:val="single" w:color="auto" w:sz="8" w:space="0"/>
              <w:right w:val="single" w:color="auto" w:sz="4" w:space="0"/>
            </w:tcBorders>
            <w:shd w:val="clear" w:color="000000" w:fill="FFFFFF"/>
            <w:vAlign w:val="center"/>
          </w:tcPr>
          <w:p>
            <w:pPr>
              <w:widowControl/>
              <w:spacing w:line="360" w:lineRule="auto"/>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t>15.00</w:t>
            </w:r>
          </w:p>
        </w:tc>
        <w:tc>
          <w:tcPr>
            <w:tcW w:w="1196" w:type="pct"/>
            <w:tcBorders>
              <w:top w:val="single" w:color="auto" w:sz="8" w:space="0"/>
              <w:left w:val="single" w:color="auto" w:sz="4" w:space="0"/>
              <w:bottom w:val="single" w:color="auto" w:sz="8" w:space="0"/>
              <w:right w:val="single" w:color="auto" w:sz="4" w:space="0"/>
            </w:tcBorders>
            <w:shd w:val="clear" w:color="000000" w:fill="FFFFFF"/>
            <w:noWrap/>
            <w:vAlign w:val="center"/>
          </w:tcPr>
          <w:p>
            <w:pPr>
              <w:widowControl/>
              <w:spacing w:line="360" w:lineRule="auto"/>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t>90.00</w:t>
            </w:r>
          </w:p>
        </w:tc>
      </w:tr>
      <w:tr>
        <w:tblPrEx>
          <w:tblCellMar>
            <w:top w:w="0" w:type="dxa"/>
            <w:left w:w="108" w:type="dxa"/>
            <w:bottom w:w="0" w:type="dxa"/>
            <w:right w:w="108" w:type="dxa"/>
          </w:tblCellMar>
        </w:tblPrEx>
        <w:trPr>
          <w:trHeight w:val="270" w:hRule="atLeast"/>
        </w:trPr>
        <w:tc>
          <w:tcPr>
            <w:tcW w:w="380" w:type="pct"/>
            <w:tcBorders>
              <w:top w:val="single" w:color="auto" w:sz="8" w:space="0"/>
              <w:left w:val="single" w:color="auto" w:sz="8" w:space="0"/>
              <w:bottom w:val="single" w:color="auto" w:sz="8" w:space="0"/>
              <w:right w:val="single" w:color="auto" w:sz="4" w:space="0"/>
            </w:tcBorders>
            <w:shd w:val="clear" w:color="000000" w:fill="FFFFFF"/>
            <w:vAlign w:val="center"/>
          </w:tcPr>
          <w:p>
            <w:pPr>
              <w:widowControl/>
              <w:spacing w:line="360" w:lineRule="auto"/>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t>3</w:t>
            </w:r>
          </w:p>
        </w:tc>
        <w:tc>
          <w:tcPr>
            <w:tcW w:w="1261" w:type="pct"/>
            <w:tcBorders>
              <w:top w:val="single" w:color="auto" w:sz="8" w:space="0"/>
              <w:left w:val="nil"/>
              <w:bottom w:val="single" w:color="auto" w:sz="8" w:space="0"/>
              <w:right w:val="single" w:color="auto" w:sz="4" w:space="0"/>
            </w:tcBorders>
            <w:shd w:val="clear" w:color="000000" w:fill="FFFFFF"/>
            <w:vAlign w:val="center"/>
          </w:tcPr>
          <w:p>
            <w:pPr>
              <w:widowControl/>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0.</w:t>
            </w:r>
            <w:r>
              <w:rPr>
                <w:rFonts w:asciiTheme="minorEastAsia" w:hAnsiTheme="minorEastAsia" w:eastAsiaTheme="minorEastAsia" w:cstheme="minorEastAsia"/>
                <w:sz w:val="24"/>
              </w:rPr>
              <w:t>1米分辨率验证</w:t>
            </w:r>
            <w:r>
              <w:rPr>
                <w:rFonts w:hint="eastAsia" w:asciiTheme="minorEastAsia" w:hAnsiTheme="minorEastAsia" w:eastAsiaTheme="minorEastAsia" w:cstheme="minorEastAsia"/>
                <w:sz w:val="24"/>
              </w:rPr>
              <w:t>数据技术服务</w:t>
            </w:r>
          </w:p>
        </w:tc>
        <w:tc>
          <w:tcPr>
            <w:tcW w:w="984" w:type="pct"/>
            <w:tcBorders>
              <w:top w:val="single" w:color="auto" w:sz="8" w:space="0"/>
              <w:left w:val="nil"/>
              <w:bottom w:val="single" w:color="auto" w:sz="8" w:space="0"/>
              <w:right w:val="single" w:color="auto" w:sz="4" w:space="0"/>
            </w:tcBorders>
            <w:shd w:val="clear" w:color="000000" w:fill="FFFFFF"/>
            <w:noWrap/>
            <w:vAlign w:val="center"/>
          </w:tcPr>
          <w:p>
            <w:pPr>
              <w:widowControl/>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178" w:type="pct"/>
            <w:tcBorders>
              <w:top w:val="single" w:color="auto" w:sz="8" w:space="0"/>
              <w:left w:val="single" w:color="auto" w:sz="4" w:space="0"/>
              <w:bottom w:val="single" w:color="auto" w:sz="8" w:space="0"/>
              <w:right w:val="single" w:color="auto" w:sz="4" w:space="0"/>
            </w:tcBorders>
            <w:shd w:val="clear" w:color="000000" w:fill="FFFFFF"/>
            <w:vAlign w:val="center"/>
          </w:tcPr>
          <w:p>
            <w:pPr>
              <w:widowControl/>
              <w:spacing w:line="360" w:lineRule="auto"/>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t>65.00</w:t>
            </w:r>
          </w:p>
        </w:tc>
        <w:tc>
          <w:tcPr>
            <w:tcW w:w="1196" w:type="pct"/>
            <w:tcBorders>
              <w:top w:val="single" w:color="auto" w:sz="8" w:space="0"/>
              <w:left w:val="single" w:color="auto" w:sz="4" w:space="0"/>
              <w:bottom w:val="single" w:color="auto" w:sz="8" w:space="0"/>
              <w:right w:val="single" w:color="auto" w:sz="4" w:space="0"/>
            </w:tcBorders>
            <w:shd w:val="clear" w:color="000000" w:fill="FFFFFF"/>
            <w:noWrap/>
            <w:vAlign w:val="center"/>
          </w:tcPr>
          <w:p>
            <w:pPr>
              <w:widowControl/>
              <w:spacing w:line="360" w:lineRule="auto"/>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t>65.00</w:t>
            </w:r>
          </w:p>
        </w:tc>
      </w:tr>
      <w:tr>
        <w:tblPrEx>
          <w:tblCellMar>
            <w:top w:w="0" w:type="dxa"/>
            <w:left w:w="108" w:type="dxa"/>
            <w:bottom w:w="0" w:type="dxa"/>
            <w:right w:w="108" w:type="dxa"/>
          </w:tblCellMar>
        </w:tblPrEx>
        <w:trPr>
          <w:trHeight w:val="497" w:hRule="atLeast"/>
        </w:trPr>
        <w:tc>
          <w:tcPr>
            <w:tcW w:w="1642" w:type="pct"/>
            <w:gridSpan w:val="2"/>
            <w:tcBorders>
              <w:top w:val="single" w:color="auto" w:sz="8" w:space="0"/>
              <w:left w:val="single" w:color="auto" w:sz="8" w:space="0"/>
              <w:bottom w:val="single" w:color="auto" w:sz="4" w:space="0"/>
              <w:right w:val="single" w:color="auto" w:sz="4" w:space="0"/>
            </w:tcBorders>
            <w:shd w:val="clear" w:color="000000" w:fill="FFFFFF"/>
            <w:vAlign w:val="center"/>
          </w:tcPr>
          <w:p>
            <w:pPr>
              <w:widowControl/>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合计</w:t>
            </w:r>
          </w:p>
        </w:tc>
        <w:tc>
          <w:tcPr>
            <w:tcW w:w="984" w:type="pct"/>
            <w:tcBorders>
              <w:top w:val="single" w:color="auto" w:sz="8" w:space="0"/>
              <w:left w:val="nil"/>
              <w:bottom w:val="single" w:color="auto" w:sz="4" w:space="0"/>
              <w:right w:val="single" w:color="auto" w:sz="4" w:space="0"/>
            </w:tcBorders>
            <w:shd w:val="clear" w:color="000000" w:fill="FFFFFF"/>
            <w:noWrap/>
            <w:vAlign w:val="center"/>
          </w:tcPr>
          <w:p>
            <w:pPr>
              <w:widowControl/>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asciiTheme="minorEastAsia" w:hAnsiTheme="minorEastAsia" w:eastAsiaTheme="minorEastAsia" w:cstheme="minorEastAsia"/>
                <w:sz w:val="24"/>
              </w:rPr>
              <w:t>50.00</w:t>
            </w:r>
          </w:p>
        </w:tc>
        <w:tc>
          <w:tcPr>
            <w:tcW w:w="1178" w:type="pct"/>
            <w:tcBorders>
              <w:top w:val="single" w:color="auto" w:sz="8" w:space="0"/>
              <w:left w:val="single" w:color="auto" w:sz="4" w:space="0"/>
              <w:bottom w:val="single" w:color="auto" w:sz="4" w:space="0"/>
              <w:right w:val="single" w:color="auto" w:sz="4" w:space="0"/>
            </w:tcBorders>
            <w:shd w:val="clear" w:color="000000" w:fill="FFFFFF"/>
            <w:vAlign w:val="center"/>
          </w:tcPr>
          <w:p>
            <w:pPr>
              <w:widowControl/>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w:t>
            </w:r>
            <w:r>
              <w:rPr>
                <w:rFonts w:asciiTheme="minorEastAsia" w:hAnsiTheme="minorEastAsia" w:eastAsiaTheme="minorEastAsia" w:cstheme="minorEastAsia"/>
                <w:sz w:val="24"/>
              </w:rPr>
              <w:t>5.00</w:t>
            </w:r>
          </w:p>
        </w:tc>
        <w:tc>
          <w:tcPr>
            <w:tcW w:w="1196" w:type="pct"/>
            <w:tcBorders>
              <w:top w:val="single" w:color="auto" w:sz="8" w:space="0"/>
              <w:left w:val="single" w:color="auto" w:sz="4" w:space="0"/>
              <w:bottom w:val="single" w:color="auto" w:sz="4" w:space="0"/>
              <w:right w:val="single" w:color="auto" w:sz="4" w:space="0"/>
            </w:tcBorders>
            <w:shd w:val="clear" w:color="000000" w:fill="FFFFFF"/>
            <w:noWrap/>
            <w:vAlign w:val="center"/>
          </w:tcPr>
          <w:p>
            <w:pPr>
              <w:widowControl/>
              <w:spacing w:line="360" w:lineRule="auto"/>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t>245.00</w:t>
            </w:r>
          </w:p>
        </w:tc>
      </w:tr>
    </w:tbl>
    <w:p>
      <w:pPr>
        <w:pStyle w:val="14"/>
        <w:spacing w:line="360" w:lineRule="auto"/>
        <w:rPr>
          <w:rFonts w:asciiTheme="minorEastAsia" w:hAnsiTheme="minorEastAsia" w:eastAsiaTheme="minorEastAsia"/>
        </w:rPr>
      </w:pPr>
      <w:r>
        <w:rPr>
          <w:rFonts w:hint="eastAsia" w:asciiTheme="minorEastAsia" w:hAnsiTheme="minorEastAsia" w:eastAsiaTheme="minorEastAsia"/>
        </w:rPr>
        <w:t xml:space="preserve">注1：本项目共有3个包。投标必须以包为单位，对所投包号中的所有内容进行投标，不允许拆包投标,也不允许将几个包合并报一个价格投标，评标、授标以包为单位。采购需求详见第四章采购需求。 </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4、资金性质：财政资金</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5、预算金额：2</w:t>
      </w:r>
      <w:r>
        <w:rPr>
          <w:rFonts w:asciiTheme="minorEastAsia" w:hAnsiTheme="minorEastAsia" w:eastAsiaTheme="minorEastAsia" w:cstheme="minorEastAsia"/>
          <w:sz w:val="24"/>
        </w:rPr>
        <w:t>4</w:t>
      </w:r>
      <w:r>
        <w:rPr>
          <w:rFonts w:hint="eastAsia" w:asciiTheme="minorEastAsia" w:hAnsiTheme="minorEastAsia" w:eastAsiaTheme="minorEastAsia" w:cstheme="minorEastAsia"/>
          <w:sz w:val="24"/>
        </w:rPr>
        <w:t>5.00万元</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6、投标人资格要求：</w:t>
      </w:r>
    </w:p>
    <w:p>
      <w:pPr>
        <w:spacing w:line="360" w:lineRule="auto"/>
        <w:ind w:left="540" w:leftChars="200" w:hanging="120" w:hangingChars="50"/>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①</w:t>
      </w:r>
      <w:r>
        <w:rPr>
          <w:rFonts w:hint="eastAsia" w:asciiTheme="minorEastAsia" w:hAnsiTheme="minorEastAsia" w:eastAsiaTheme="minorEastAsia" w:cstheme="minorEastAsia"/>
          <w:sz w:val="24"/>
          <w:shd w:val="clear" w:color="auto" w:fill="FFFFFF"/>
        </w:rPr>
        <w:tab/>
      </w:r>
      <w:r>
        <w:rPr>
          <w:rFonts w:hint="eastAsia" w:asciiTheme="minorEastAsia" w:hAnsiTheme="minorEastAsia" w:eastAsiaTheme="minorEastAsia" w:cstheme="minorEastAsia"/>
          <w:sz w:val="24"/>
          <w:shd w:val="clear" w:color="auto" w:fill="FFFFFF"/>
        </w:rPr>
        <w:t>满足《中华人民共和国政府采购法》第二十二条规定；</w:t>
      </w:r>
    </w:p>
    <w:p>
      <w:pPr>
        <w:spacing w:line="360" w:lineRule="auto"/>
        <w:ind w:left="424" w:leftChars="202"/>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②投标人必须为投标文件递交截止之日前未被列入“信用中国”网站（</w:t>
      </w:r>
      <w:r>
        <w:rPr>
          <w:rFonts w:asciiTheme="minorEastAsia" w:hAnsiTheme="minorEastAsia" w:eastAsiaTheme="minorEastAsia" w:cstheme="minorEastAsia"/>
          <w:sz w:val="24"/>
          <w:shd w:val="clear" w:color="auto" w:fill="FFFFFF"/>
        </w:rPr>
        <w:t>www.creditchina.gov.cn）、中国政府采购网（www.ccgp.gov.cn）信用记录失信被执行人、重大税收违法案件当事人名单、政府采购严重违法失信行为记录名单的；</w:t>
      </w:r>
    </w:p>
    <w:p>
      <w:pPr>
        <w:spacing w:line="360" w:lineRule="auto"/>
        <w:ind w:left="540" w:leftChars="200" w:hanging="120" w:hangingChars="50"/>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③</w:t>
      </w:r>
      <w:r>
        <w:rPr>
          <w:rFonts w:hint="eastAsia" w:asciiTheme="minorEastAsia" w:hAnsiTheme="minorEastAsia" w:eastAsiaTheme="minorEastAsia" w:cstheme="minorEastAsia"/>
          <w:sz w:val="24"/>
        </w:rPr>
        <w:t>不同投标人的法人、单位负责人不是同一人也不存在直接控股、管理关系；</w:t>
      </w:r>
    </w:p>
    <w:p>
      <w:pPr>
        <w:spacing w:line="360" w:lineRule="auto"/>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ab/>
      </w:r>
      <w:r>
        <w:rPr>
          <w:rFonts w:hint="eastAsia" w:asciiTheme="minorEastAsia" w:hAnsiTheme="minorEastAsia" w:eastAsiaTheme="minorEastAsia" w:cstheme="minorEastAsia"/>
          <w:sz w:val="24"/>
          <w:shd w:val="clear" w:color="auto" w:fill="FFFFFF"/>
        </w:rPr>
        <w:t>④</w:t>
      </w:r>
      <w:r>
        <w:rPr>
          <w:rFonts w:hint="eastAsia" w:asciiTheme="minorEastAsia" w:hAnsiTheme="minorEastAsia" w:eastAsiaTheme="minorEastAsia" w:cstheme="minorEastAsia"/>
          <w:sz w:val="24"/>
        </w:rPr>
        <w:t>投标人必须向采购代理机构购买招标文件并登记备案，未向采购代理机构购买招标文件并登记备案的无资格参加本次投标；</w:t>
      </w:r>
    </w:p>
    <w:p>
      <w:pPr>
        <w:spacing w:line="360" w:lineRule="auto"/>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 xml:space="preserve">   ⑤本项目（不接受）联合体投标。</w:t>
      </w:r>
    </w:p>
    <w:p>
      <w:pPr>
        <w:spacing w:line="360" w:lineRule="auto"/>
        <w:ind w:firstLine="420" w:firstLineChars="17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7、获取招标文件的时间期限：202</w:t>
      </w:r>
      <w:r>
        <w:rPr>
          <w:rFonts w:asciiTheme="minorEastAsia" w:hAnsiTheme="minorEastAsia" w:eastAsiaTheme="minorEastAsia" w:cstheme="minorEastAsia"/>
          <w:sz w:val="24"/>
        </w:rPr>
        <w:t>1</w:t>
      </w:r>
      <w:r>
        <w:rPr>
          <w:rFonts w:hint="eastAsia" w:asciiTheme="minorEastAsia" w:hAnsiTheme="minorEastAsia" w:eastAsiaTheme="minorEastAsia" w:cstheme="minorEastAsia"/>
          <w:sz w:val="24"/>
        </w:rPr>
        <w:t>年9月</w:t>
      </w:r>
      <w:r>
        <w:rPr>
          <w:rFonts w:asciiTheme="minorEastAsia" w:hAnsiTheme="minorEastAsia" w:eastAsiaTheme="minorEastAsia" w:cstheme="minorEastAsia"/>
          <w:sz w:val="24"/>
        </w:rPr>
        <w:t>28</w:t>
      </w:r>
      <w:r>
        <w:rPr>
          <w:rFonts w:hint="eastAsia" w:asciiTheme="minorEastAsia" w:hAnsiTheme="minorEastAsia" w:eastAsiaTheme="minorEastAsia" w:cstheme="minorEastAsia"/>
          <w:sz w:val="24"/>
        </w:rPr>
        <w:t>日至202</w:t>
      </w:r>
      <w:r>
        <w:rPr>
          <w:rFonts w:asciiTheme="minorEastAsia" w:hAnsiTheme="minorEastAsia" w:eastAsiaTheme="minorEastAsia" w:cstheme="minorEastAsia"/>
          <w:sz w:val="24"/>
        </w:rPr>
        <w:t>1</w:t>
      </w:r>
      <w:r>
        <w:rPr>
          <w:rFonts w:hint="eastAsia" w:asciiTheme="minorEastAsia" w:hAnsiTheme="minorEastAsia" w:eastAsiaTheme="minorEastAsia" w:cstheme="minorEastAsia"/>
          <w:sz w:val="24"/>
        </w:rPr>
        <w:t>年10月</w:t>
      </w:r>
      <w:r>
        <w:rPr>
          <w:rFonts w:asciiTheme="minorEastAsia" w:hAnsiTheme="minorEastAsia" w:eastAsiaTheme="minorEastAsia" w:cstheme="minorEastAsia"/>
          <w:sz w:val="24"/>
        </w:rPr>
        <w:t>11</w:t>
      </w:r>
      <w:r>
        <w:rPr>
          <w:rFonts w:hint="eastAsia" w:asciiTheme="minorEastAsia" w:hAnsiTheme="minorEastAsia" w:eastAsiaTheme="minorEastAsia" w:cstheme="minorEastAsia"/>
          <w:sz w:val="24"/>
        </w:rPr>
        <w:t>日（节假日除外），每日9：00至17：00时（北京时间）。</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8、获取招标文件的地点：华采招标集团有限公司（北京市丰台区广安路9号国投财富广场6号楼1601室）。</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9、获取招标文件方式：现场报名</w:t>
      </w:r>
      <w:r>
        <w:rPr>
          <w:rFonts w:asciiTheme="minorEastAsia" w:hAnsiTheme="minorEastAsia" w:eastAsiaTheme="minorEastAsia" w:cstheme="minorEastAsia"/>
          <w:sz w:val="24"/>
        </w:rPr>
        <w:t xml:space="preserve"> </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10、招标文件售价：每包500元人民币，招标文件售后不退。</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11、投标文件递交时间：202</w:t>
      </w:r>
      <w:r>
        <w:rPr>
          <w:rFonts w:asciiTheme="minorEastAsia" w:hAnsiTheme="minorEastAsia" w:eastAsiaTheme="minorEastAsia" w:cstheme="minorEastAsia"/>
          <w:sz w:val="24"/>
        </w:rPr>
        <w:t>1</w:t>
      </w:r>
      <w:r>
        <w:rPr>
          <w:rFonts w:hint="eastAsia" w:asciiTheme="minorEastAsia" w:hAnsiTheme="minorEastAsia" w:eastAsiaTheme="minorEastAsia" w:cstheme="minorEastAsia"/>
          <w:sz w:val="24"/>
        </w:rPr>
        <w:t>年10月</w:t>
      </w:r>
      <w:r>
        <w:rPr>
          <w:rFonts w:asciiTheme="minorEastAsia" w:hAnsiTheme="minorEastAsia" w:eastAsiaTheme="minorEastAsia" w:cstheme="minorEastAsia"/>
          <w:sz w:val="24"/>
        </w:rPr>
        <w:t>21</w:t>
      </w:r>
      <w:r>
        <w:rPr>
          <w:rFonts w:hint="eastAsia" w:asciiTheme="minorEastAsia" w:hAnsiTheme="minorEastAsia" w:eastAsiaTheme="minorEastAsia" w:cstheme="minorEastAsia"/>
          <w:sz w:val="24"/>
        </w:rPr>
        <w:t>日下午</w:t>
      </w:r>
      <w:r>
        <w:rPr>
          <w:rFonts w:asciiTheme="minorEastAsia" w:hAnsiTheme="minorEastAsia" w:eastAsiaTheme="minorEastAsia" w:cstheme="minorEastAsia"/>
          <w:sz w:val="24"/>
        </w:rPr>
        <w:t>13</w:t>
      </w: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30</w:t>
      </w: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14</w:t>
      </w: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00</w:t>
      </w:r>
      <w:r>
        <w:rPr>
          <w:rFonts w:hint="eastAsia" w:asciiTheme="minorEastAsia" w:hAnsiTheme="minorEastAsia" w:eastAsiaTheme="minorEastAsia" w:cstheme="minorEastAsia"/>
          <w:sz w:val="24"/>
        </w:rPr>
        <w:t>（北京时间），逾期送达或者不符合规定的投标文件将被拒绝。</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12、投标文件递交截止时间暨开标时间：</w:t>
      </w:r>
      <w:r>
        <w:rPr>
          <w:rFonts w:asciiTheme="minorEastAsia" w:hAnsiTheme="minorEastAsia" w:eastAsiaTheme="minorEastAsia" w:cstheme="minorEastAsia"/>
          <w:sz w:val="24"/>
        </w:rPr>
        <w:t>2021</w:t>
      </w:r>
      <w:r>
        <w:rPr>
          <w:rFonts w:hint="eastAsia" w:asciiTheme="minorEastAsia" w:hAnsiTheme="minorEastAsia" w:eastAsiaTheme="minorEastAsia" w:cstheme="minorEastAsia"/>
          <w:sz w:val="24"/>
        </w:rPr>
        <w:t>年10月</w:t>
      </w:r>
      <w:r>
        <w:rPr>
          <w:rFonts w:asciiTheme="minorEastAsia" w:hAnsiTheme="minorEastAsia" w:eastAsiaTheme="minorEastAsia" w:cstheme="minorEastAsia"/>
          <w:sz w:val="24"/>
        </w:rPr>
        <w:t>21</w:t>
      </w:r>
      <w:r>
        <w:rPr>
          <w:rFonts w:hint="eastAsia" w:asciiTheme="minorEastAsia" w:hAnsiTheme="minorEastAsia" w:eastAsiaTheme="minorEastAsia" w:cstheme="minorEastAsia"/>
          <w:sz w:val="24"/>
        </w:rPr>
        <w:t>日下午</w:t>
      </w:r>
      <w:r>
        <w:rPr>
          <w:rFonts w:asciiTheme="minorEastAsia" w:hAnsiTheme="minorEastAsia" w:eastAsiaTheme="minorEastAsia" w:cstheme="minorEastAsia"/>
          <w:sz w:val="24"/>
        </w:rPr>
        <w:t>14</w:t>
      </w:r>
      <w:r>
        <w:rPr>
          <w:rFonts w:hint="eastAsia" w:asciiTheme="minorEastAsia" w:hAnsiTheme="minorEastAsia" w:eastAsiaTheme="minorEastAsia" w:cstheme="minorEastAsia"/>
          <w:sz w:val="24"/>
        </w:rPr>
        <w:t>：0</w:t>
      </w:r>
      <w:r>
        <w:rPr>
          <w:rFonts w:asciiTheme="minorEastAsia" w:hAnsiTheme="minorEastAsia" w:eastAsiaTheme="minorEastAsia" w:cstheme="minorEastAsia"/>
          <w:sz w:val="24"/>
        </w:rPr>
        <w:t>0</w:t>
      </w:r>
      <w:r>
        <w:rPr>
          <w:rFonts w:hint="eastAsia" w:asciiTheme="minorEastAsia" w:hAnsiTheme="minorEastAsia" w:eastAsiaTheme="minorEastAsia" w:cstheme="minorEastAsia"/>
          <w:sz w:val="24"/>
        </w:rPr>
        <w:t>（北京时间）。</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13、投标文件递交地点暨开标地点：北京市丰台区广安路9号国投财富广场6号楼16层第四会议室。</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14、评标方法：综合评分法。</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15、公告期限：5个工作日。</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16、本项目需要落实的政府采购政策：节约能源、保护环境、扶持不发达地区和少数民族地区、促进中小微企业发展、支持监狱、戒毒企业发展、促进残疾人就业、支持脱贫等政府采购政策。</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17、本项目招标公告在中国政府采购网（http://www.ccgp.gov.cn/）</w:t>
      </w:r>
      <w:r>
        <w:rPr>
          <w:rFonts w:hint="eastAsia" w:asciiTheme="minorEastAsia" w:hAnsiTheme="minorEastAsia" w:eastAsiaTheme="minorEastAsia" w:cstheme="minorEastAsia"/>
          <w:color w:val="000000"/>
          <w:kern w:val="0"/>
          <w:sz w:val="24"/>
        </w:rPr>
        <w:t>上</w:t>
      </w:r>
      <w:r>
        <w:rPr>
          <w:rFonts w:hint="eastAsia" w:asciiTheme="minorEastAsia" w:hAnsiTheme="minorEastAsia" w:eastAsiaTheme="minorEastAsia" w:cstheme="minorEastAsia"/>
          <w:sz w:val="24"/>
        </w:rPr>
        <w:t>发布。</w:t>
      </w:r>
      <w:bookmarkStart w:id="9" w:name="_Toc236642956"/>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标书费、服务费汇款账户：</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开户名：华采招标集团有限公司</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开户行：建行北京西客站支行</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账号：1100  1028  0000  5300  6877</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行号：1051 0000 9047（102800）</w:t>
      </w:r>
      <w:bookmarkEnd w:id="9"/>
      <w:bookmarkStart w:id="10" w:name="_Toc5895165"/>
      <w:bookmarkStart w:id="11" w:name="_Toc310195691"/>
    </w:p>
    <w:p>
      <w:pPr>
        <w:spacing w:line="360" w:lineRule="auto"/>
        <w:rPr>
          <w:rFonts w:asciiTheme="minorEastAsia" w:hAnsiTheme="minorEastAsia" w:eastAsiaTheme="minorEastAsia" w:cstheme="minorEastAsia"/>
          <w:b/>
          <w:iCs/>
          <w:sz w:val="28"/>
          <w:szCs w:val="28"/>
          <w:lang w:val="zh-CN"/>
        </w:rPr>
      </w:pPr>
      <w:r>
        <w:rPr>
          <w:rFonts w:hint="eastAsia" w:asciiTheme="minorEastAsia" w:hAnsiTheme="minorEastAsia" w:eastAsiaTheme="minorEastAsia" w:cstheme="minorEastAsia"/>
          <w:b/>
          <w:iCs/>
          <w:sz w:val="28"/>
          <w:szCs w:val="28"/>
          <w:lang w:val="zh-CN"/>
        </w:rPr>
        <w:br w:type="page"/>
      </w:r>
    </w:p>
    <w:p>
      <w:pPr>
        <w:spacing w:line="360" w:lineRule="auto"/>
        <w:jc w:val="center"/>
        <w:outlineLvl w:val="0"/>
        <w:rPr>
          <w:rFonts w:asciiTheme="minorEastAsia" w:hAnsiTheme="minorEastAsia" w:eastAsiaTheme="minorEastAsia" w:cstheme="minorEastAsia"/>
          <w:sz w:val="24"/>
        </w:rPr>
      </w:pPr>
      <w:bookmarkStart w:id="12" w:name="_Toc17033"/>
      <w:bookmarkStart w:id="13" w:name="_Toc61878456"/>
      <w:r>
        <w:rPr>
          <w:rFonts w:hint="eastAsia" w:asciiTheme="minorEastAsia" w:hAnsiTheme="minorEastAsia" w:eastAsiaTheme="minorEastAsia" w:cstheme="minorEastAsia"/>
          <w:b/>
          <w:iCs/>
          <w:sz w:val="28"/>
          <w:szCs w:val="28"/>
          <w:lang w:val="zh-CN"/>
        </w:rPr>
        <w:t>第二章 投标人须知资料表</w:t>
      </w:r>
      <w:bookmarkEnd w:id="10"/>
      <w:bookmarkEnd w:id="11"/>
      <w:bookmarkEnd w:id="12"/>
      <w:bookmarkEnd w:id="13"/>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本资料表是对投标人须知的具体补充和说明，如有矛盾，应以本资料表为准。</w:t>
      </w:r>
    </w:p>
    <w:tbl>
      <w:tblPr>
        <w:tblStyle w:val="48"/>
        <w:tblW w:w="9705" w:type="dxa"/>
        <w:tblInd w:w="-22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08"/>
        <w:gridCol w:w="879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5" w:hRule="atLeast"/>
        </w:trPr>
        <w:tc>
          <w:tcPr>
            <w:tcW w:w="908" w:type="dxa"/>
            <w:tcBorders>
              <w:top w:val="single" w:color="auto" w:sz="12" w:space="0"/>
            </w:tcBorders>
            <w:vAlign w:val="center"/>
          </w:tcPr>
          <w:p>
            <w:pPr>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条款号</w:t>
            </w:r>
          </w:p>
        </w:tc>
        <w:tc>
          <w:tcPr>
            <w:tcW w:w="8797" w:type="dxa"/>
            <w:tcBorders>
              <w:top w:val="single" w:color="auto" w:sz="12" w:space="0"/>
            </w:tcBorders>
            <w:vAlign w:val="center"/>
          </w:tcPr>
          <w:p>
            <w:pPr>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1"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采购人名称：</w:t>
            </w:r>
            <w:r>
              <w:rPr>
                <w:rFonts w:hint="eastAsia" w:asciiTheme="minorEastAsia" w:hAnsiTheme="minorEastAsia" w:eastAsiaTheme="minorEastAsia" w:cstheme="minorEastAsia"/>
                <w:color w:val="000000" w:themeColor="text1"/>
                <w:sz w:val="24"/>
                <w14:textFill>
                  <w14:solidFill>
                    <w14:schemeClr w14:val="tx1"/>
                  </w14:solidFill>
                </w14:textFill>
              </w:rPr>
              <w:t>自然资源部国土卫星遥感应用中心</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联系地址：北京市海淀区紫竹院百胜村1号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联系人：刘老师</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联系方式：010-68412123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53"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采购代理机构名称：华采招标集团有限公司</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联系地址：北京市丰台区广安路9号国投财富广场6号楼1601室</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联系人：招标二部 孙佳睿、崔丽洁、贾东敏、刘向前</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联系方式：010-63509799-8080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53"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本项目非专门面向中小企业或小型、微型企业、监狱、戒毒企业、残疾人福利性单位或支持脱贫采购</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6"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本项目是否接受联合体投标：否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2"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1.3.5</w:t>
            </w:r>
          </w:p>
        </w:tc>
        <w:tc>
          <w:tcPr>
            <w:tcW w:w="8797" w:type="dxa"/>
            <w:vAlign w:val="center"/>
          </w:tcPr>
          <w:p>
            <w:pPr>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本项目是否接受进口服务：不适用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8"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资金性质：财政资金</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本项目预算金额：2</w:t>
            </w:r>
            <w:r>
              <w:rPr>
                <w:rFonts w:asciiTheme="minorEastAsia" w:hAnsiTheme="minorEastAsia" w:eastAsiaTheme="minorEastAsia" w:cstheme="minorEastAsia"/>
                <w:sz w:val="24"/>
              </w:rPr>
              <w:t>4</w:t>
            </w:r>
            <w:r>
              <w:rPr>
                <w:rFonts w:hint="eastAsia" w:asciiTheme="minorEastAsia" w:hAnsiTheme="minorEastAsia" w:eastAsiaTheme="minorEastAsia" w:cstheme="minorEastAsia"/>
                <w:sz w:val="24"/>
              </w:rPr>
              <w:t>5.00万元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8"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11.1</w:t>
            </w:r>
          </w:p>
        </w:tc>
        <w:tc>
          <w:tcPr>
            <w:tcW w:w="8797" w:type="dxa"/>
            <w:vAlign w:val="center"/>
          </w:tcPr>
          <w:p>
            <w:pPr>
              <w:pStyle w:val="47"/>
              <w:spacing w:line="360" w:lineRule="auto"/>
              <w:ind w:left="0" w:leftChars="0" w:firstLine="0" w:firstLineChars="0"/>
              <w:rPr>
                <w:rFonts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投标报价：均以人民币报价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70"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12.1</w:t>
            </w:r>
          </w:p>
        </w:tc>
        <w:tc>
          <w:tcPr>
            <w:tcW w:w="8797"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投标保证金：</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第1包：小写：</w:t>
            </w:r>
            <w:r>
              <w:rPr>
                <w:rFonts w:asciiTheme="minorEastAsia" w:hAnsiTheme="minorEastAsia" w:eastAsiaTheme="minorEastAsia" w:cstheme="minorEastAsia"/>
                <w:b/>
                <w:sz w:val="24"/>
              </w:rPr>
              <w:t>9836</w:t>
            </w:r>
            <w:r>
              <w:rPr>
                <w:rFonts w:hint="eastAsia" w:asciiTheme="minorEastAsia" w:hAnsiTheme="minorEastAsia" w:eastAsiaTheme="minorEastAsia" w:cstheme="minorEastAsia"/>
                <w:b/>
                <w:sz w:val="24"/>
              </w:rPr>
              <w:t>元(大写：玖仟捌佰叁拾陆元整)</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第2包：小写：</w:t>
            </w:r>
            <w:r>
              <w:rPr>
                <w:rFonts w:asciiTheme="minorEastAsia" w:hAnsiTheme="minorEastAsia" w:eastAsiaTheme="minorEastAsia" w:cstheme="minorEastAsia"/>
                <w:b/>
                <w:sz w:val="24"/>
              </w:rPr>
              <w:t>9836</w:t>
            </w:r>
            <w:r>
              <w:rPr>
                <w:rFonts w:hint="eastAsia" w:asciiTheme="minorEastAsia" w:hAnsiTheme="minorEastAsia" w:eastAsiaTheme="minorEastAsia" w:cstheme="minorEastAsia"/>
                <w:b/>
                <w:sz w:val="24"/>
              </w:rPr>
              <w:t>元(大写：玖仟捌佰叁拾陆元整)</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第3包：小写：</w:t>
            </w:r>
            <w:r>
              <w:rPr>
                <w:rFonts w:asciiTheme="minorEastAsia" w:hAnsiTheme="minorEastAsia" w:eastAsiaTheme="minorEastAsia" w:cstheme="minorEastAsia"/>
                <w:b/>
                <w:sz w:val="24"/>
              </w:rPr>
              <w:t>6836</w:t>
            </w:r>
            <w:r>
              <w:rPr>
                <w:rFonts w:hint="eastAsia" w:asciiTheme="minorEastAsia" w:hAnsiTheme="minorEastAsia" w:eastAsiaTheme="minorEastAsia" w:cstheme="minorEastAsia"/>
                <w:b/>
                <w:sz w:val="24"/>
              </w:rPr>
              <w:t>元(大写：陆仟捌佰叁拾陆元整)</w:t>
            </w:r>
          </w:p>
          <w:p>
            <w:pPr>
              <w:spacing w:line="360" w:lineRule="auto"/>
              <w:jc w:val="lef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递交时间：同投标文件递交截止时间</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递交地点：华采招标有限公司(北京市丰台区广安路9号国投财富广场6号楼1601室）。</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提交投标保证金形式：支票、汇票、本票或者金融机构、担保机构出具的保函等非现金形式提交</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投标保证金汇款账户： </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开户行名称：华采招标集团有限公司</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开 户 行：建行北京西客站支行（仅限投标保证金）</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账    号：1105 0165 5100 0000 0292（汇款时请注明ZB0836）</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行    号：1051 0000 9047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6"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13.1</w:t>
            </w:r>
          </w:p>
        </w:tc>
        <w:tc>
          <w:tcPr>
            <w:tcW w:w="8797"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投标有效期：90天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2"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14.1</w:t>
            </w:r>
          </w:p>
        </w:tc>
        <w:tc>
          <w:tcPr>
            <w:tcW w:w="8797"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投标文件资格册：正本：1份，副本：5份，电子版：1份。</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投标文件商务技术册：正本：1份，副本：5份，电子版：1份。</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（电子文件应提供可编辑word文档和PDF盖章扫描件，存储载体为U盘或光盘）。</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若投标文件正本和副本、电子文件不符，以纸质正本为准。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2"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投标文件一律采用A4纸（图纸、彩页等除外），左侧装订。装订应牢固可靠，不易散落，不得采用活页式装订，采购人或采购代理机构对因装订不牢造成的文件散失不负责任。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2"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递交投标文件截止时间暨开标时间：202</w:t>
            </w:r>
            <w:r>
              <w:rPr>
                <w:rFonts w:asciiTheme="minorEastAsia" w:hAnsiTheme="minorEastAsia" w:eastAsiaTheme="minorEastAsia" w:cstheme="minorEastAsia"/>
                <w:sz w:val="24"/>
              </w:rPr>
              <w:t>1</w:t>
            </w:r>
            <w:r>
              <w:rPr>
                <w:rFonts w:hint="eastAsia" w:asciiTheme="minorEastAsia" w:hAnsiTheme="minorEastAsia" w:eastAsiaTheme="minorEastAsia" w:cstheme="minorEastAsia"/>
                <w:sz w:val="24"/>
              </w:rPr>
              <w:t>年10月</w:t>
            </w:r>
            <w:r>
              <w:rPr>
                <w:rFonts w:asciiTheme="minorEastAsia" w:hAnsiTheme="minorEastAsia" w:eastAsiaTheme="minorEastAsia" w:cstheme="minorEastAsia"/>
                <w:sz w:val="24"/>
              </w:rPr>
              <w:t>21</w:t>
            </w:r>
            <w:r>
              <w:rPr>
                <w:rFonts w:hint="eastAsia" w:asciiTheme="minorEastAsia" w:hAnsiTheme="minorEastAsia" w:eastAsiaTheme="minorEastAsia" w:cstheme="minorEastAsia"/>
                <w:sz w:val="24"/>
              </w:rPr>
              <w:t>日下午</w:t>
            </w:r>
            <w:r>
              <w:rPr>
                <w:rFonts w:asciiTheme="minorEastAsia" w:hAnsiTheme="minorEastAsia" w:eastAsiaTheme="minorEastAsia" w:cstheme="minorEastAsia"/>
                <w:sz w:val="24"/>
              </w:rPr>
              <w:t>14</w:t>
            </w: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00</w:t>
            </w:r>
            <w:r>
              <w:rPr>
                <w:rFonts w:hint="eastAsia" w:asciiTheme="minorEastAsia" w:hAnsiTheme="minorEastAsia" w:eastAsiaTheme="minorEastAsia" w:cstheme="minorEastAsia"/>
                <w:sz w:val="24"/>
              </w:rPr>
              <w:t>（北京时间）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投标文件递交地点暨开标地点：北京市丰台区广安路9号国投财富广场6号楼16层第四会议室。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7"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履约保函：签订合同后5个工作日内。</w:t>
            </w:r>
          </w:p>
          <w:p>
            <w:pPr>
              <w:pStyle w:val="56"/>
              <w:ind w:left="0" w:leftChars="0" w:firstLine="0" w:firstLineChars="0"/>
              <w:jc w:val="left"/>
              <w:rPr>
                <w:rFonts w:asciiTheme="minorEastAsia" w:hAnsiTheme="minorEastAsia" w:eastAsiaTheme="minorEastAsia"/>
              </w:rPr>
            </w:pPr>
            <w:r>
              <w:rPr>
                <w:rFonts w:hint="eastAsia" w:asciiTheme="minorEastAsia" w:hAnsiTheme="minorEastAsia" w:eastAsiaTheme="minorEastAsia" w:cstheme="minorEastAsia"/>
                <w:sz w:val="24"/>
              </w:rPr>
              <w:t>履约保函金额：签订合同后十个工作日内向招标人支付合同总金额的5%。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5" w:hRule="atLeast"/>
        </w:trPr>
        <w:tc>
          <w:tcPr>
            <w:tcW w:w="9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29.1</w:t>
            </w:r>
          </w:p>
        </w:tc>
        <w:tc>
          <w:tcPr>
            <w:tcW w:w="8797" w:type="dxa"/>
            <w:vAlign w:val="center"/>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中标人须向采购代理机构按如下标准和规定交纳中标服务费。</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（1）以三年的中标金额作为收费的计算基数。</w:t>
            </w:r>
          </w:p>
          <w:p>
            <w:pPr>
              <w:widowControl/>
              <w:spacing w:line="360" w:lineRule="auto"/>
              <w:rPr>
                <w:rFonts w:asciiTheme="minorEastAsia" w:hAnsiTheme="minorEastAsia" w:eastAsiaTheme="minorEastAsia" w:cstheme="minorEastAsia"/>
                <w:kern w:val="0"/>
                <w:sz w:val="24"/>
              </w:rPr>
            </w:pPr>
            <w:r>
              <w:rPr>
                <w:rFonts w:hint="eastAsia" w:asciiTheme="minorEastAsia" w:hAnsiTheme="minorEastAsia" w:eastAsiaTheme="minorEastAsia" w:cstheme="minorEastAsia"/>
                <w:sz w:val="24"/>
              </w:rPr>
              <w:t>（2）采购代理机构参照原计价格[2002]1980号文、</w:t>
            </w:r>
            <w:r>
              <w:rPr>
                <w:rFonts w:hint="eastAsia" w:asciiTheme="minorEastAsia" w:hAnsiTheme="minorEastAsia" w:eastAsiaTheme="minorEastAsia" w:cstheme="minorEastAsia"/>
                <w:kern w:val="0"/>
                <w:sz w:val="24"/>
              </w:rPr>
              <w:t>发改办价格[2003]857号文及发改价格</w:t>
            </w:r>
            <w:r>
              <w:rPr>
                <w:rFonts w:hint="eastAsia" w:asciiTheme="minorEastAsia" w:hAnsiTheme="minorEastAsia" w:eastAsiaTheme="minorEastAsia" w:cstheme="minorEastAsia"/>
                <w:sz w:val="24"/>
              </w:rPr>
              <w:t>[2011]534</w:t>
            </w:r>
            <w:r>
              <w:rPr>
                <w:rFonts w:hint="eastAsia" w:asciiTheme="minorEastAsia" w:hAnsiTheme="minorEastAsia" w:eastAsiaTheme="minorEastAsia" w:cstheme="minorEastAsia"/>
                <w:kern w:val="0"/>
                <w:sz w:val="24"/>
              </w:rPr>
              <w:t>号文有关规定下浮5%向中标人收取</w:t>
            </w:r>
            <w:r>
              <w:rPr>
                <w:rFonts w:hint="eastAsia" w:asciiTheme="minorEastAsia" w:hAnsiTheme="minorEastAsia" w:eastAsiaTheme="minorEastAsia" w:cstheme="minorEastAsia"/>
                <w:sz w:val="24"/>
              </w:rPr>
              <w:t>中标服务费用。</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（3）中标服务费币种与中标签订合同的币种相同或采购代理机构同意的币种。</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（4）中标服务费的交纳方式：</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在投标时，投标人向采购代理机构送交中标服务费承诺书。中标人在领取中标通知书时一次向采购代理机构交纳所有中标服务费。</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服务费汇款账户：（交纳中标服务费时请备注ZB0</w:t>
            </w:r>
            <w:r>
              <w:rPr>
                <w:rFonts w:asciiTheme="minorEastAsia" w:hAnsiTheme="minorEastAsia" w:eastAsiaTheme="minorEastAsia" w:cstheme="minorEastAsia"/>
                <w:b/>
                <w:sz w:val="24"/>
              </w:rPr>
              <w:t>836</w:t>
            </w:r>
            <w:r>
              <w:rPr>
                <w:rFonts w:hint="eastAsia" w:asciiTheme="minorEastAsia" w:hAnsiTheme="minorEastAsia" w:eastAsiaTheme="minorEastAsia" w:cstheme="minorEastAsia"/>
                <w:b/>
                <w:sz w:val="24"/>
              </w:rPr>
              <w:t>）</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开户名：华采招标集团有限公司</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开户行：建行北京西客站支行</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账号：1100  1028  0000  5300  6877</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行号：1051 0000 9047（102800）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5" w:hRule="atLeast"/>
        </w:trPr>
        <w:tc>
          <w:tcPr>
            <w:tcW w:w="908" w:type="dxa"/>
            <w:vAlign w:val="center"/>
          </w:tcPr>
          <w:p>
            <w:pPr>
              <w:spacing w:line="360" w:lineRule="auto"/>
              <w:jc w:val="center"/>
              <w:rPr>
                <w:rFonts w:asciiTheme="minorEastAsia" w:hAnsiTheme="minorEastAsia" w:eastAsiaTheme="minorEastAsia" w:cstheme="minorEastAsia"/>
                <w:sz w:val="24"/>
              </w:rPr>
            </w:pPr>
          </w:p>
        </w:tc>
        <w:tc>
          <w:tcPr>
            <w:tcW w:w="8797"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北京市政府采购信用担保试点工作专业担保机构：</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中国投融资担保股份有限公司</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地址:北京市海淀区西三环北路100号光耀东方写字楼9层</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联系人：边志伟</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手机：13810789199</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联系电话：010-88822573          </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传真：010-68437040/68472315</w:t>
            </w:r>
          </w:p>
          <w:p>
            <w:pPr>
              <w:widowControl/>
              <w:spacing w:line="360" w:lineRule="auto"/>
              <w:jc w:val="left"/>
              <w:rPr>
                <w:rFonts w:asciiTheme="minorEastAsia" w:hAnsiTheme="minorEastAsia" w:eastAsiaTheme="minorEastAsia" w:cstheme="minorEastAsia"/>
              </w:rPr>
            </w:pPr>
            <w:r>
              <w:rPr>
                <w:rFonts w:hint="eastAsia" w:asciiTheme="minorEastAsia" w:hAnsiTheme="minorEastAsia" w:eastAsiaTheme="minorEastAsia" w:cstheme="minorEastAsia"/>
                <w:sz w:val="24"/>
              </w:rPr>
              <w:t>电子邮箱：bianzw@guaranty.com.cn</w:t>
            </w:r>
          </w:p>
        </w:tc>
      </w:tr>
    </w:tbl>
    <w:p>
      <w:pPr>
        <w:pStyle w:val="3"/>
        <w:spacing w:before="0" w:line="360" w:lineRule="auto"/>
        <w:rPr>
          <w:rFonts w:asciiTheme="minorEastAsia" w:hAnsiTheme="minorEastAsia" w:eastAsiaTheme="minorEastAsia" w:cstheme="minorEastAsia"/>
          <w:szCs w:val="28"/>
        </w:rPr>
      </w:pPr>
      <w:r>
        <w:rPr>
          <w:rFonts w:hint="eastAsia" w:asciiTheme="minorEastAsia" w:hAnsiTheme="minorEastAsia" w:eastAsiaTheme="minorEastAsia" w:cstheme="minorEastAsia"/>
          <w:sz w:val="24"/>
          <w:szCs w:val="24"/>
        </w:rPr>
        <w:br w:type="page"/>
      </w:r>
      <w:bookmarkStart w:id="14" w:name="_Toc26148"/>
      <w:bookmarkStart w:id="15" w:name="_Toc61878457"/>
      <w:bookmarkStart w:id="16" w:name="_Toc5895166"/>
      <w:bookmarkStart w:id="17" w:name="_Toc310195692"/>
      <w:r>
        <w:rPr>
          <w:rFonts w:hint="eastAsia" w:asciiTheme="minorEastAsia" w:hAnsiTheme="minorEastAsia" w:eastAsiaTheme="minorEastAsia" w:cstheme="minorEastAsia"/>
          <w:szCs w:val="28"/>
        </w:rPr>
        <w:t>第三章 投标人须知</w:t>
      </w:r>
      <w:bookmarkEnd w:id="14"/>
      <w:bookmarkEnd w:id="15"/>
      <w:bookmarkEnd w:id="16"/>
      <w:bookmarkEnd w:id="17"/>
    </w:p>
    <w:p>
      <w:pPr>
        <w:pStyle w:val="2"/>
        <w:spacing w:line="360" w:lineRule="auto"/>
        <w:ind w:left="899" w:hanging="899"/>
        <w:jc w:val="center"/>
        <w:rPr>
          <w:rFonts w:hint="default" w:asciiTheme="minorEastAsia" w:hAnsiTheme="minorEastAsia" w:eastAsiaTheme="minorEastAsia" w:cstheme="minorEastAsia"/>
          <w:sz w:val="28"/>
          <w:szCs w:val="28"/>
        </w:rPr>
      </w:pPr>
      <w:bookmarkStart w:id="18" w:name="_Toc310195693"/>
      <w:bookmarkStart w:id="19" w:name="_Toc5895167"/>
      <w:bookmarkStart w:id="20" w:name="_Toc520356143"/>
      <w:bookmarkStart w:id="21" w:name="_Toc61878458"/>
      <w:bookmarkStart w:id="22" w:name="_Toc324255539"/>
      <w:r>
        <w:rPr>
          <w:rFonts w:asciiTheme="minorEastAsia" w:hAnsiTheme="minorEastAsia" w:eastAsiaTheme="minorEastAsia" w:cstheme="minorEastAsia"/>
          <w:sz w:val="28"/>
          <w:szCs w:val="28"/>
        </w:rPr>
        <w:t>一、说明</w:t>
      </w:r>
      <w:bookmarkEnd w:id="18"/>
      <w:bookmarkEnd w:id="19"/>
      <w:bookmarkEnd w:id="20"/>
      <w:bookmarkEnd w:id="21"/>
    </w:p>
    <w:p>
      <w:pPr>
        <w:pStyle w:val="2"/>
        <w:spacing w:line="360" w:lineRule="auto"/>
        <w:ind w:right="105" w:rightChars="50"/>
        <w:jc w:val="both"/>
        <w:rPr>
          <w:rFonts w:hint="default" w:asciiTheme="minorEastAsia" w:hAnsiTheme="minorEastAsia" w:eastAsiaTheme="minorEastAsia" w:cstheme="minorEastAsia"/>
          <w:b/>
          <w:sz w:val="24"/>
        </w:rPr>
      </w:pPr>
      <w:bookmarkStart w:id="23" w:name="_Toc61878459"/>
      <w:bookmarkStart w:id="24" w:name="_Toc5895168"/>
      <w:r>
        <w:rPr>
          <w:rFonts w:asciiTheme="minorEastAsia" w:hAnsiTheme="minorEastAsia" w:eastAsiaTheme="minorEastAsia" w:cstheme="minorEastAsia"/>
          <w:b/>
          <w:sz w:val="24"/>
        </w:rPr>
        <w:t>1.采购人、采购代理机构及合格的投标人</w:t>
      </w:r>
      <w:bookmarkEnd w:id="22"/>
      <w:bookmarkEnd w:id="23"/>
      <w:bookmarkEnd w:id="24"/>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 采购人：指依法进行政府采购的国家机关、事业单位、团体组织。本项目采购人为</w:t>
      </w:r>
      <w:r>
        <w:rPr>
          <w:rFonts w:hint="eastAsia" w:asciiTheme="minorEastAsia" w:hAnsiTheme="minorEastAsia" w:eastAsiaTheme="minorEastAsia" w:cstheme="minorEastAsia"/>
          <w:color w:val="000000" w:themeColor="text1"/>
          <w:sz w:val="24"/>
          <w14:textFill>
            <w14:solidFill>
              <w14:schemeClr w14:val="tx1"/>
            </w14:solidFill>
          </w14:textFill>
        </w:rPr>
        <w:t>自然资源部国土卫星遥感应用中心</w:t>
      </w:r>
      <w:r>
        <w:rPr>
          <w:rFonts w:hint="eastAsia" w:asciiTheme="minorEastAsia" w:hAnsiTheme="minorEastAsia" w:eastAsiaTheme="minorEastAsia" w:cstheme="minorEastAsia"/>
          <w:sz w:val="24"/>
        </w:rPr>
        <w:t>。</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 采购代理机构：受采购人委托，组织本次招标活动的采购代理机构。本项目的采购代理机构为华采招标集团有限公司。</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 合格的投标人</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1.3.1符合第一章投标邀请中“投标人资格要求”规定的内容；</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1.3.2投标人必须向采购代理机构购买招标文件并登记备案，未向采购代理机构购买招标文件并登记备案的无资格参加本次投标。</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1.3.3如投标人须知资料表中允许联合体投标，对联合体规定如下：</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1.3.3.1两个以上的自然人、法人或者其他组织可以组成一个联合体，以一个投标人的身份共同参加政府采购。</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1.3.3.2以联合体形式进行政府采购的，参加联合体的投标人均应当具备《中华人民共和国政府采购法》第二十二条规定的条件。</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1.3.3.3采购人根据采购项目对投标人的特殊要求，联合体中至少应当有一方符合其规定。</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1.3.3.4联合体各方应签订联合协议，载明联合体各方承担的工作和义务，联合体各方应当共同与采购人签订采购合同，就采购合同约定的事项对采购人承担连带责任。</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1.3.3.5大中型企业和其他自然人、法人或者其他组织与小型、微型企业组成联合体共同参加投标，联合协议中应写明小型、微型企业的协议合同金额占到联合协议合同总金额的比例。联合协议中约定，小型、微型企业的协议合同金额占到联合体协议合同总金额30%以上的，可给予联合体相应幅度的价格扣除。联合体各方均为小型、微型企业的，联合体视同为小型、微型企业。</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1.3.3.6联合体各方签订联合协议后，不得再以自己名义单独在同一项目中投标，也不得组成新的联合体参加同一项目投标。</w:t>
      </w:r>
    </w:p>
    <w:p>
      <w:pPr>
        <w:tabs>
          <w:tab w:val="left" w:pos="4725"/>
        </w:tabs>
        <w:adjustRightInd w:val="0"/>
        <w:snapToGrid w:val="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1.3.4信用信息查询渠道：“信用中国”网站（www.creditchina.gov.cn）、中国政府采购网（</w:t>
      </w:r>
      <w:r>
        <w:fldChar w:fldCharType="begin"/>
      </w:r>
      <w:r>
        <w:instrText xml:space="preserve"> HYPERLINK "http://www.ccgp.gov.cn" </w:instrText>
      </w:r>
      <w:r>
        <w:fldChar w:fldCharType="separate"/>
      </w:r>
      <w:r>
        <w:rPr>
          <w:rFonts w:hint="eastAsia" w:asciiTheme="minorEastAsia" w:hAnsiTheme="minorEastAsia" w:eastAsiaTheme="minorEastAsia" w:cstheme="minorEastAsia"/>
          <w:sz w:val="24"/>
        </w:rPr>
        <w:t>www.ccgp.gov.cn</w:t>
      </w:r>
      <w:r>
        <w:rPr>
          <w:rFonts w:hint="eastAsia"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t>）。</w:t>
      </w:r>
    </w:p>
    <w:p>
      <w:pPr>
        <w:tabs>
          <w:tab w:val="left" w:pos="4725"/>
        </w:tabs>
        <w:adjustRightInd w:val="0"/>
        <w:snapToGrid w:val="0"/>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信用信息查询记录和证据留存的具体方式：采购代理机构开标后查询结果页面打印并存档。</w:t>
      </w:r>
    </w:p>
    <w:p>
      <w:pPr>
        <w:tabs>
          <w:tab w:val="left" w:pos="4725"/>
        </w:tabs>
        <w:adjustRightInd w:val="0"/>
        <w:snapToGrid w:val="0"/>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信用信息查询截止时点：投标截止时间当天。</w:t>
      </w:r>
    </w:p>
    <w:p>
      <w:pPr>
        <w:tabs>
          <w:tab w:val="left" w:pos="4725"/>
        </w:tabs>
        <w:adjustRightInd w:val="0"/>
        <w:snapToGrid w:val="0"/>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sz w:val="24"/>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1.3.5本项目是否接受进口服务：详见投标人须知资料表。</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1.3.6若投标人须知资料表中写明专门面向中、小、微型企业、监狱、戒毒企业或残疾人福利性单位或支持脱贫采购的，如投标人所投服务为非中小企业服务、监狱、戒毒企业、残疾人福利性单位或支持脱贫采购的，则其投标无效。</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1.4凡为本次采购项目提供整体设计、规范编制或者项目管理、监理、检测等服务的投标人，不得再参加该采购项目的其他采购活动。</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1.5凡法律或财务上不能独立合法经营，或在法律、财务上不能独立于本项目采购人、采购代理机构的任何机构，不得参加投标。</w:t>
      </w:r>
    </w:p>
    <w:p>
      <w:pPr>
        <w:pStyle w:val="2"/>
        <w:spacing w:line="360" w:lineRule="auto"/>
        <w:rPr>
          <w:rFonts w:hint="default" w:asciiTheme="minorEastAsia" w:hAnsiTheme="minorEastAsia" w:eastAsiaTheme="minorEastAsia" w:cstheme="minorEastAsia"/>
          <w:b/>
          <w:sz w:val="24"/>
        </w:rPr>
      </w:pPr>
      <w:bookmarkStart w:id="25" w:name="_Toc324255540"/>
      <w:bookmarkStart w:id="26" w:name="_Toc61878460"/>
      <w:bookmarkStart w:id="27" w:name="_Toc310195695"/>
      <w:bookmarkStart w:id="28" w:name="_Toc5895169"/>
      <w:r>
        <w:rPr>
          <w:rFonts w:asciiTheme="minorEastAsia" w:hAnsiTheme="minorEastAsia" w:eastAsiaTheme="minorEastAsia" w:cstheme="minorEastAsia"/>
          <w:b/>
          <w:sz w:val="24"/>
        </w:rPr>
        <w:t>2.资金来源</w:t>
      </w:r>
      <w:bookmarkEnd w:id="25"/>
      <w:bookmarkEnd w:id="26"/>
      <w:bookmarkEnd w:id="27"/>
      <w:bookmarkEnd w:id="28"/>
    </w:p>
    <w:p>
      <w:pPr>
        <w:pStyle w:val="117"/>
        <w:spacing w:line="360" w:lineRule="auto"/>
        <w:rPr>
          <w:rFonts w:asciiTheme="minorEastAsia" w:hAnsiTheme="minorEastAsia" w:eastAsiaTheme="minorEastAsia" w:cstheme="minorEastAsia"/>
          <w:sz w:val="24"/>
        </w:rPr>
      </w:pPr>
      <w:bookmarkStart w:id="29" w:name="_Toc310195696"/>
      <w:bookmarkStart w:id="30" w:name="_Toc520356145"/>
      <w:r>
        <w:rPr>
          <w:rFonts w:hint="eastAsia" w:asciiTheme="minorEastAsia" w:hAnsiTheme="minorEastAsia" w:eastAsiaTheme="minorEastAsia" w:cstheme="minorEastAsia"/>
          <w:sz w:val="24"/>
        </w:rPr>
        <w:t>2.1资金性质：详见投标人须知资料表。</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 本项目预算金额：详见投标人须知资料表。</w:t>
      </w:r>
    </w:p>
    <w:p>
      <w:pPr>
        <w:pStyle w:val="2"/>
        <w:spacing w:line="360" w:lineRule="auto"/>
        <w:rPr>
          <w:rFonts w:hint="default" w:asciiTheme="minorEastAsia" w:hAnsiTheme="minorEastAsia" w:eastAsiaTheme="minorEastAsia" w:cstheme="minorEastAsia"/>
          <w:b/>
          <w:sz w:val="24"/>
        </w:rPr>
      </w:pPr>
      <w:bookmarkStart w:id="31" w:name="_Toc324255541"/>
      <w:bookmarkStart w:id="32" w:name="_Toc5895170"/>
      <w:bookmarkStart w:id="33" w:name="_Toc61878461"/>
      <w:r>
        <w:rPr>
          <w:rFonts w:asciiTheme="minorEastAsia" w:hAnsiTheme="minorEastAsia" w:eastAsiaTheme="minorEastAsia" w:cstheme="minorEastAsia"/>
          <w:b/>
          <w:sz w:val="24"/>
        </w:rPr>
        <w:t>3.投标费用</w:t>
      </w:r>
      <w:bookmarkEnd w:id="29"/>
      <w:bookmarkEnd w:id="30"/>
      <w:bookmarkEnd w:id="31"/>
      <w:bookmarkEnd w:id="32"/>
      <w:bookmarkEnd w:id="33"/>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 投标人应承担所有与准备和参加投标有关的费用。不论投标的结果如何，采购人和采购代理机构均无义务和责任承担这些费用。</w:t>
      </w:r>
    </w:p>
    <w:p>
      <w:pPr>
        <w:pStyle w:val="2"/>
        <w:spacing w:line="360" w:lineRule="auto"/>
        <w:ind w:left="901" w:hanging="899"/>
        <w:jc w:val="center"/>
        <w:rPr>
          <w:rFonts w:hint="default" w:asciiTheme="minorEastAsia" w:hAnsiTheme="minorEastAsia" w:eastAsiaTheme="minorEastAsia" w:cstheme="minorEastAsia"/>
          <w:sz w:val="24"/>
        </w:rPr>
      </w:pPr>
      <w:bookmarkStart w:id="34" w:name="_Toc520356146"/>
      <w:bookmarkStart w:id="35" w:name="_Toc61878462"/>
      <w:bookmarkStart w:id="36" w:name="_Toc310195697"/>
      <w:bookmarkStart w:id="37" w:name="_Toc5895171"/>
      <w:r>
        <w:rPr>
          <w:rFonts w:asciiTheme="minorEastAsia" w:hAnsiTheme="minorEastAsia" w:eastAsiaTheme="minorEastAsia" w:cstheme="minorEastAsia"/>
          <w:sz w:val="24"/>
        </w:rPr>
        <w:t>二、招标文件</w:t>
      </w:r>
      <w:bookmarkEnd w:id="34"/>
      <w:bookmarkEnd w:id="35"/>
      <w:bookmarkEnd w:id="36"/>
      <w:bookmarkEnd w:id="37"/>
    </w:p>
    <w:p>
      <w:pPr>
        <w:pStyle w:val="2"/>
        <w:spacing w:line="360" w:lineRule="auto"/>
        <w:rPr>
          <w:rFonts w:hint="default" w:asciiTheme="minorEastAsia" w:hAnsiTheme="minorEastAsia" w:eastAsiaTheme="minorEastAsia" w:cstheme="minorEastAsia"/>
          <w:b/>
          <w:sz w:val="24"/>
        </w:rPr>
      </w:pPr>
      <w:bookmarkStart w:id="38" w:name="_Toc5895172"/>
      <w:bookmarkStart w:id="39" w:name="_Toc310195698"/>
      <w:bookmarkStart w:id="40" w:name="_Toc61878463"/>
      <w:bookmarkStart w:id="41" w:name="_Toc520356147"/>
      <w:r>
        <w:rPr>
          <w:rFonts w:asciiTheme="minorEastAsia" w:hAnsiTheme="minorEastAsia" w:eastAsiaTheme="minorEastAsia" w:cstheme="minorEastAsia"/>
          <w:b/>
          <w:sz w:val="24"/>
        </w:rPr>
        <w:t>4.招标文件构成</w:t>
      </w:r>
      <w:bookmarkEnd w:id="38"/>
      <w:bookmarkEnd w:id="39"/>
      <w:bookmarkEnd w:id="40"/>
      <w:bookmarkEnd w:id="41"/>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4.1 招标文件共七章，内容如下：</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第一章 投标邀请</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第二章 投标人须知资料表</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第三章 投标人须知</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第四章 采购需求</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第五章 评标方法和评标标准</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第六章 合同格式</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第七章 投标文件格式</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 投标人应认真阅读招标文件所有的事项、格式、条款和技术规范等。如投标人未对招标文件完全响应而产生的风险，由投标人自行承担。</w:t>
      </w:r>
    </w:p>
    <w:p>
      <w:pPr>
        <w:pStyle w:val="2"/>
        <w:spacing w:line="360" w:lineRule="auto"/>
        <w:rPr>
          <w:rFonts w:hint="default" w:asciiTheme="minorEastAsia" w:hAnsiTheme="minorEastAsia" w:eastAsiaTheme="minorEastAsia" w:cstheme="minorEastAsia"/>
          <w:b/>
          <w:sz w:val="24"/>
        </w:rPr>
      </w:pPr>
      <w:bookmarkStart w:id="42" w:name="_Toc520356148"/>
      <w:bookmarkStart w:id="43" w:name="_Toc61878464"/>
      <w:bookmarkStart w:id="44" w:name="_Toc310195699"/>
      <w:bookmarkStart w:id="45" w:name="_Toc5895173"/>
      <w:r>
        <w:rPr>
          <w:rFonts w:asciiTheme="minorEastAsia" w:hAnsiTheme="minorEastAsia" w:eastAsiaTheme="minorEastAsia" w:cstheme="minorEastAsia"/>
          <w:b/>
          <w:sz w:val="24"/>
        </w:rPr>
        <w:t>5.招标文件的澄清</w:t>
      </w:r>
      <w:bookmarkEnd w:id="42"/>
      <w:bookmarkEnd w:id="43"/>
      <w:bookmarkEnd w:id="44"/>
      <w:bookmarkEnd w:id="45"/>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5.1采购人或者采购代理机构可以对已发出的招标文件、资格预审文件、投标邀请书进行必要的澄清，但不得改变采购标的和资格条件。澄清应当在原公告发布媒体上发布澄清公告。澄清的内容为招标文件、资格预审文件、投标邀请书的组成部分。</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5.2澄清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5.3澄清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p>
    <w:p>
      <w:pPr>
        <w:pStyle w:val="2"/>
        <w:spacing w:line="360" w:lineRule="auto"/>
        <w:rPr>
          <w:rFonts w:hint="default" w:asciiTheme="minorEastAsia" w:hAnsiTheme="minorEastAsia" w:eastAsiaTheme="minorEastAsia" w:cstheme="minorEastAsia"/>
          <w:b/>
          <w:sz w:val="24"/>
        </w:rPr>
      </w:pPr>
      <w:bookmarkStart w:id="46" w:name="_Toc520356149"/>
      <w:bookmarkStart w:id="47" w:name="_Ref467378678"/>
      <w:bookmarkStart w:id="48" w:name="_Toc5895174"/>
      <w:bookmarkStart w:id="49" w:name="_Toc61878465"/>
      <w:bookmarkStart w:id="50" w:name="_Toc310195700"/>
      <w:r>
        <w:rPr>
          <w:rFonts w:asciiTheme="minorEastAsia" w:hAnsiTheme="minorEastAsia" w:eastAsiaTheme="minorEastAsia" w:cstheme="minorEastAsia"/>
          <w:b/>
          <w:sz w:val="24"/>
        </w:rPr>
        <w:t>6.招标文件的修改</w:t>
      </w:r>
      <w:bookmarkEnd w:id="46"/>
      <w:bookmarkEnd w:id="47"/>
      <w:bookmarkEnd w:id="48"/>
      <w:bookmarkEnd w:id="49"/>
      <w:bookmarkEnd w:id="50"/>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6.1采购人或者采购代理机构可以对已发出的招标文件、资格预审文件、投标邀请书进行必要的修改，但不得改变采购标的和资格条件。修改应当在原公告发布媒体上发布澄清公告。修改的内容为招标文件、资格预审文件、投标邀请书的组成部分。</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6.2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6.3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p>
    <w:p>
      <w:pPr>
        <w:pStyle w:val="2"/>
        <w:spacing w:line="360" w:lineRule="auto"/>
        <w:ind w:left="899" w:hanging="899"/>
        <w:jc w:val="center"/>
        <w:rPr>
          <w:rFonts w:hint="default" w:asciiTheme="minorEastAsia" w:hAnsiTheme="minorEastAsia" w:eastAsiaTheme="minorEastAsia" w:cstheme="minorEastAsia"/>
          <w:sz w:val="24"/>
        </w:rPr>
      </w:pPr>
      <w:bookmarkStart w:id="51" w:name="_Toc516367020"/>
      <w:bookmarkStart w:id="52" w:name="_Toc310195701"/>
      <w:bookmarkStart w:id="53" w:name="_Toc520356150"/>
      <w:bookmarkStart w:id="54" w:name="_Toc61878466"/>
      <w:bookmarkStart w:id="55" w:name="_Toc5895175"/>
      <w:r>
        <w:rPr>
          <w:rFonts w:asciiTheme="minorEastAsia" w:hAnsiTheme="minorEastAsia" w:eastAsiaTheme="minorEastAsia" w:cstheme="minorEastAsia"/>
          <w:sz w:val="24"/>
        </w:rPr>
        <w:t>三、投标文件</w:t>
      </w:r>
      <w:bookmarkEnd w:id="51"/>
      <w:r>
        <w:rPr>
          <w:rFonts w:asciiTheme="minorEastAsia" w:hAnsiTheme="minorEastAsia" w:eastAsiaTheme="minorEastAsia" w:cstheme="minorEastAsia"/>
          <w:sz w:val="24"/>
        </w:rPr>
        <w:t>的编制</w:t>
      </w:r>
      <w:bookmarkEnd w:id="52"/>
      <w:bookmarkEnd w:id="53"/>
      <w:bookmarkEnd w:id="54"/>
      <w:bookmarkEnd w:id="55"/>
    </w:p>
    <w:p>
      <w:pPr>
        <w:pStyle w:val="2"/>
        <w:spacing w:line="360" w:lineRule="auto"/>
        <w:rPr>
          <w:rFonts w:hint="default" w:asciiTheme="minorEastAsia" w:hAnsiTheme="minorEastAsia" w:eastAsiaTheme="minorEastAsia" w:cstheme="minorEastAsia"/>
          <w:b/>
          <w:sz w:val="24"/>
        </w:rPr>
      </w:pPr>
      <w:bookmarkStart w:id="56" w:name="_Toc5895176"/>
      <w:bookmarkStart w:id="57" w:name="_Toc213818725"/>
      <w:bookmarkStart w:id="58" w:name="_Toc61878467"/>
      <w:bookmarkStart w:id="59" w:name="_Toc310195702"/>
      <w:bookmarkStart w:id="60" w:name="_Toc516367021"/>
      <w:bookmarkStart w:id="61" w:name="_Toc520356151"/>
      <w:r>
        <w:rPr>
          <w:rFonts w:asciiTheme="minorEastAsia" w:hAnsiTheme="minorEastAsia" w:eastAsiaTheme="minorEastAsia" w:cstheme="minorEastAsia"/>
          <w:b/>
          <w:sz w:val="24"/>
        </w:rPr>
        <w:t>7.投标文件编制的原则</w:t>
      </w:r>
      <w:bookmarkEnd w:id="56"/>
      <w:bookmarkEnd w:id="57"/>
      <w:bookmarkEnd w:id="58"/>
      <w:bookmarkEnd w:id="59"/>
    </w:p>
    <w:p>
      <w:pPr>
        <w:pStyle w:val="117"/>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7.1潜在投标人根据招标文件的要求，编制完整的投标文件。招标文件中对投标文件格式有要求的，应按格式逐项填写内容，不准有空项；无相应可填内容项应填写“无”、“不适用”等明确的文字回答。</w:t>
      </w:r>
    </w:p>
    <w:p>
      <w:pPr>
        <w:pStyle w:val="11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7.2 投标人必须保证投标文件所提供的全部资料真实有效。</w:t>
      </w:r>
    </w:p>
    <w:p>
      <w:pPr>
        <w:pStyle w:val="2"/>
        <w:tabs>
          <w:tab w:val="left" w:pos="900"/>
        </w:tabs>
        <w:spacing w:line="360" w:lineRule="auto"/>
        <w:rPr>
          <w:rFonts w:hint="default" w:asciiTheme="minorEastAsia" w:hAnsiTheme="minorEastAsia" w:eastAsiaTheme="minorEastAsia" w:cstheme="minorEastAsia"/>
          <w:b/>
          <w:sz w:val="24"/>
        </w:rPr>
      </w:pPr>
      <w:bookmarkStart w:id="62" w:name="_Toc310195703"/>
      <w:bookmarkStart w:id="63" w:name="_Toc5895177"/>
      <w:bookmarkStart w:id="64" w:name="_Toc61878468"/>
      <w:r>
        <w:rPr>
          <w:rFonts w:asciiTheme="minorEastAsia" w:hAnsiTheme="minorEastAsia" w:eastAsiaTheme="minorEastAsia" w:cstheme="minorEastAsia"/>
          <w:b/>
          <w:sz w:val="24"/>
        </w:rPr>
        <w:t>8.投标范围及投标文件中计量单位的使用</w:t>
      </w:r>
      <w:bookmarkEnd w:id="60"/>
      <w:bookmarkEnd w:id="61"/>
      <w:bookmarkEnd w:id="62"/>
      <w:bookmarkEnd w:id="63"/>
      <w:bookmarkEnd w:id="64"/>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8.1 投标人应对招标文件中“采购需求”所列的所有内容进行投标，不得缺项漏项。</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8.2 投标文件中所使用的计量单位，除招标文件中有特殊要求外，应采用中华人民共和国法定计量单位。</w:t>
      </w:r>
      <w:bookmarkStart w:id="65" w:name="_Toc516367022"/>
      <w:bookmarkStart w:id="66" w:name="_Ref467306195"/>
      <w:bookmarkStart w:id="67" w:name="_Ref467306676"/>
      <w:bookmarkStart w:id="68" w:name="_Toc520356152"/>
    </w:p>
    <w:p>
      <w:pPr>
        <w:pStyle w:val="2"/>
        <w:tabs>
          <w:tab w:val="left" w:pos="900"/>
        </w:tabs>
        <w:spacing w:line="360" w:lineRule="auto"/>
        <w:rPr>
          <w:rFonts w:hint="default" w:asciiTheme="minorEastAsia" w:hAnsiTheme="minorEastAsia" w:eastAsiaTheme="minorEastAsia" w:cstheme="minorEastAsia"/>
        </w:rPr>
      </w:pPr>
      <w:bookmarkStart w:id="69" w:name="_Toc310195704"/>
      <w:bookmarkStart w:id="70" w:name="_Toc61878469"/>
      <w:bookmarkStart w:id="71" w:name="_Toc5895178"/>
      <w:r>
        <w:rPr>
          <w:rFonts w:asciiTheme="minorEastAsia" w:hAnsiTheme="minorEastAsia" w:eastAsiaTheme="minorEastAsia" w:cstheme="minorEastAsia"/>
          <w:b/>
          <w:sz w:val="24"/>
        </w:rPr>
        <w:t>9.投标文件</w:t>
      </w:r>
      <w:bookmarkEnd w:id="65"/>
      <w:bookmarkEnd w:id="66"/>
      <w:bookmarkEnd w:id="67"/>
      <w:r>
        <w:rPr>
          <w:rFonts w:asciiTheme="minorEastAsia" w:hAnsiTheme="minorEastAsia" w:eastAsiaTheme="minorEastAsia" w:cstheme="minorEastAsia"/>
          <w:b/>
          <w:sz w:val="24"/>
        </w:rPr>
        <w:t>构成</w:t>
      </w:r>
      <w:bookmarkEnd w:id="68"/>
      <w:bookmarkEnd w:id="69"/>
      <w:bookmarkEnd w:id="70"/>
      <w:bookmarkEnd w:id="71"/>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9.1投标人应完整地按招标文件提供的投标文件格式编写投标文件，投标文件应包括以下内容：</w:t>
      </w:r>
    </w:p>
    <w:p>
      <w:pPr>
        <w:tabs>
          <w:tab w:val="left" w:pos="900"/>
        </w:tabs>
        <w:spacing w:before="120" w:line="360" w:lineRule="auto"/>
        <w:ind w:left="900" w:hanging="9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9.1.1投标文件资格册：</w:t>
      </w:r>
    </w:p>
    <w:p>
      <w:pPr>
        <w:pStyle w:val="12"/>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详见《第七章 投标文件格式》</w:t>
      </w:r>
    </w:p>
    <w:p>
      <w:pPr>
        <w:pStyle w:val="12"/>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9.1.2投标文件商务技术册应包括以下内容：</w:t>
      </w:r>
    </w:p>
    <w:p>
      <w:pPr>
        <w:pStyle w:val="12"/>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 投标函</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 开标一览表</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 投标分项报价表</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4技术规格偏离表</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5商务条款偏离表</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6业绩案例一览表</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7投标人基本情况表</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8服务方案</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9售后服务及培训计划(如适用)</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 提交投标保证金的证明材料（如适用）</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11中标服务费承诺书</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GB"/>
        </w:rPr>
        <w:t>12</w:t>
      </w:r>
      <w:r>
        <w:rPr>
          <w:rFonts w:hint="eastAsia" w:asciiTheme="minorEastAsia" w:hAnsiTheme="minorEastAsia" w:eastAsiaTheme="minorEastAsia" w:cstheme="minorEastAsia"/>
          <w:sz w:val="24"/>
        </w:rPr>
        <w:t>中小企业声明函</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bookmarkStart w:id="72" w:name="_Toc516367023"/>
      <w:bookmarkStart w:id="73" w:name="_Toc520356153"/>
      <w:bookmarkStart w:id="74" w:name="_Toc310195705"/>
      <w:r>
        <w:rPr>
          <w:rFonts w:hint="eastAsia" w:asciiTheme="minorEastAsia" w:hAnsiTheme="minorEastAsia" w:eastAsiaTheme="minorEastAsia" w:cstheme="minorEastAsia"/>
          <w:sz w:val="24"/>
        </w:rPr>
        <w:t>3残疾人福利性单位声明函（如适用）</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14监狱、戒毒企业声明函（如适用）</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15投标人认为必要的其他证明文件</w:t>
      </w:r>
    </w:p>
    <w:p>
      <w:pPr>
        <w:pStyle w:val="2"/>
        <w:tabs>
          <w:tab w:val="left" w:pos="900"/>
        </w:tabs>
        <w:spacing w:line="360" w:lineRule="auto"/>
        <w:rPr>
          <w:rFonts w:hint="default" w:asciiTheme="minorEastAsia" w:hAnsiTheme="minorEastAsia" w:eastAsiaTheme="minorEastAsia" w:cstheme="minorEastAsia"/>
          <w:b/>
          <w:sz w:val="24"/>
        </w:rPr>
      </w:pPr>
      <w:bookmarkStart w:id="75" w:name="_Toc61878470"/>
      <w:bookmarkStart w:id="76" w:name="_Toc5895179"/>
      <w:r>
        <w:rPr>
          <w:rFonts w:asciiTheme="minorEastAsia" w:hAnsiTheme="minorEastAsia" w:eastAsiaTheme="minorEastAsia" w:cstheme="minorEastAsia"/>
          <w:b/>
          <w:sz w:val="24"/>
        </w:rPr>
        <w:t>10.</w:t>
      </w:r>
      <w:bookmarkEnd w:id="72"/>
      <w:bookmarkEnd w:id="73"/>
      <w:bookmarkEnd w:id="74"/>
      <w:r>
        <w:rPr>
          <w:rFonts w:asciiTheme="minorEastAsia" w:hAnsiTheme="minorEastAsia" w:eastAsiaTheme="minorEastAsia" w:cstheme="minorEastAsia"/>
          <w:b/>
          <w:sz w:val="24"/>
        </w:rPr>
        <w:t>投标文件格式</w:t>
      </w:r>
      <w:bookmarkEnd w:id="75"/>
      <w:bookmarkEnd w:id="76"/>
      <w:bookmarkStart w:id="77" w:name="_Toc520356155"/>
      <w:bookmarkStart w:id="78" w:name="_Toc310195706"/>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10.1投标人应按招标文件提供的投标文件格式要求编写投标文件。</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10.2 招标文件中要求提供证明文件的，投标人应如实提交，该证明文件是投标文件的组成部分。</w:t>
      </w:r>
    </w:p>
    <w:p>
      <w:pPr>
        <w:spacing w:before="120" w:line="360" w:lineRule="auto"/>
        <w:ind w:left="900" w:hanging="900"/>
        <w:rPr>
          <w:rFonts w:asciiTheme="minorEastAsia" w:hAnsiTheme="minorEastAsia" w:eastAsiaTheme="minorEastAsia" w:cstheme="minorEastAsia"/>
          <w:sz w:val="24"/>
        </w:rPr>
      </w:pPr>
      <w:bookmarkStart w:id="79" w:name="_Ref467306244"/>
      <w:r>
        <w:rPr>
          <w:rFonts w:hint="eastAsia" w:asciiTheme="minorEastAsia" w:hAnsiTheme="minorEastAsia" w:eastAsiaTheme="minorEastAsia" w:cstheme="minorEastAsia"/>
          <w:sz w:val="24"/>
        </w:rPr>
        <w:t>10.3 上款所述的证明文件，包括：</w:t>
      </w:r>
    </w:p>
    <w:p>
      <w:pPr>
        <w:spacing w:before="120" w:line="360" w:lineRule="auto"/>
        <w:ind w:left="900" w:hanging="9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10.3.1文字资料、图纸和数据等；</w:t>
      </w:r>
      <w:bookmarkEnd w:id="79"/>
    </w:p>
    <w:p>
      <w:pPr>
        <w:spacing w:before="120" w:line="360" w:lineRule="auto"/>
        <w:ind w:left="900" w:hanging="9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10.3.2服务主要技术指标和性能的详细说明；</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10.3.3服务所必须的备品备件和专用工具清单；</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10.3.4 投标文件中《技术规格偏离表》、《商务条款偏离表》须如实填写。</w:t>
      </w:r>
    </w:p>
    <w:p>
      <w:pPr>
        <w:pStyle w:val="2"/>
        <w:tabs>
          <w:tab w:val="left" w:pos="900"/>
        </w:tabs>
        <w:spacing w:line="360" w:lineRule="auto"/>
        <w:rPr>
          <w:rFonts w:hint="default" w:asciiTheme="minorEastAsia" w:hAnsiTheme="minorEastAsia" w:eastAsiaTheme="minorEastAsia" w:cstheme="minorEastAsia"/>
          <w:b/>
          <w:sz w:val="24"/>
        </w:rPr>
      </w:pPr>
      <w:bookmarkStart w:id="80" w:name="_Toc5895180"/>
      <w:bookmarkStart w:id="81" w:name="_Toc61878471"/>
      <w:r>
        <w:rPr>
          <w:rFonts w:asciiTheme="minorEastAsia" w:hAnsiTheme="minorEastAsia" w:eastAsiaTheme="minorEastAsia" w:cstheme="minorEastAsia"/>
          <w:b/>
          <w:sz w:val="24"/>
        </w:rPr>
        <w:t>11.投标报价</w:t>
      </w:r>
      <w:bookmarkEnd w:id="77"/>
      <w:bookmarkEnd w:id="78"/>
      <w:bookmarkEnd w:id="80"/>
      <w:bookmarkEnd w:id="81"/>
    </w:p>
    <w:p>
      <w:pPr>
        <w:spacing w:line="360" w:lineRule="auto"/>
        <w:rPr>
          <w:rFonts w:asciiTheme="minorEastAsia" w:hAnsiTheme="minorEastAsia" w:eastAsiaTheme="minorEastAsia" w:cstheme="minorEastAsia"/>
          <w:sz w:val="24"/>
        </w:rPr>
      </w:pPr>
      <w:bookmarkStart w:id="82" w:name="_Ref467306513"/>
      <w:bookmarkStart w:id="83" w:name="_Toc520356156"/>
      <w:bookmarkStart w:id="84" w:name="_Toc310195707"/>
      <w:r>
        <w:rPr>
          <w:rFonts w:hint="eastAsia" w:asciiTheme="minorEastAsia" w:hAnsiTheme="minorEastAsia" w:eastAsiaTheme="minorEastAsia" w:cstheme="minorEastAsia"/>
          <w:sz w:val="24"/>
        </w:rPr>
        <w:t>11.1投标报价：所有投标均以人民币报价。投标人的投标报价应遵守《中华人民共和国价格法》。该报价的全部费用，含相关税费，运输费，保险费，安装费及相关服务费等一切可能发生的费用。</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11.2投标人应在“投标分项报价表”上标明投标服务及相关服务的单价和总价，并由法定代表人或其授权代表签署。</w:t>
      </w:r>
    </w:p>
    <w:p>
      <w:pPr>
        <w:pStyle w:val="12"/>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11.3投标分项报价表上的价格项应包含所有费用（招标文件另行规定除外），包括招标文件中要求的全部内容。</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11.4本次招标，只允许有一个投标报价，本项目不接受任何选择性报价。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11.5供应商不得提供赠品、回扣或者与采购无关的其他商品、服务。</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11.6最低报价不作为授予合同的唯一保证。</w:t>
      </w:r>
    </w:p>
    <w:p>
      <w:pPr>
        <w:pStyle w:val="2"/>
        <w:tabs>
          <w:tab w:val="left" w:pos="900"/>
        </w:tabs>
        <w:spacing w:line="360" w:lineRule="auto"/>
        <w:rPr>
          <w:rFonts w:hint="default" w:asciiTheme="minorEastAsia" w:hAnsiTheme="minorEastAsia" w:eastAsiaTheme="minorEastAsia" w:cstheme="minorEastAsia"/>
          <w:b/>
          <w:sz w:val="24"/>
        </w:rPr>
      </w:pPr>
      <w:bookmarkStart w:id="85" w:name="_Toc61878472"/>
      <w:bookmarkStart w:id="86" w:name="_Toc5895181"/>
      <w:r>
        <w:rPr>
          <w:rFonts w:asciiTheme="minorEastAsia" w:hAnsiTheme="minorEastAsia" w:eastAsiaTheme="minorEastAsia" w:cstheme="minorEastAsia"/>
          <w:b/>
          <w:sz w:val="24"/>
        </w:rPr>
        <w:t>12.投标保证金</w:t>
      </w:r>
      <w:bookmarkEnd w:id="82"/>
      <w:bookmarkEnd w:id="83"/>
      <w:bookmarkEnd w:id="84"/>
      <w:bookmarkEnd w:id="85"/>
      <w:bookmarkEnd w:id="86"/>
    </w:p>
    <w:p>
      <w:pPr>
        <w:pStyle w:val="117"/>
        <w:spacing w:line="360" w:lineRule="auto"/>
        <w:rPr>
          <w:rFonts w:asciiTheme="minorEastAsia" w:hAnsiTheme="minorEastAsia" w:eastAsiaTheme="minorEastAsia" w:cstheme="minorEastAsia"/>
          <w:sz w:val="24"/>
        </w:rPr>
      </w:pPr>
      <w:bookmarkStart w:id="87" w:name="_Ref467306302"/>
      <w:r>
        <w:rPr>
          <w:rFonts w:hint="eastAsia" w:asciiTheme="minorEastAsia" w:hAnsiTheme="minorEastAsia" w:eastAsiaTheme="minorEastAsia" w:cstheme="minorEastAsia"/>
          <w:sz w:val="24"/>
        </w:rPr>
        <w:t>12.1 投标人应提供投标保证金</w:t>
      </w:r>
      <w:bookmarkEnd w:id="87"/>
      <w:r>
        <w:rPr>
          <w:rFonts w:hint="eastAsia" w:asciiTheme="minorEastAsia" w:hAnsiTheme="minorEastAsia" w:eastAsiaTheme="minorEastAsia" w:cstheme="minorEastAsia"/>
          <w:sz w:val="24"/>
        </w:rPr>
        <w:t>，作为其有效投标的一部分。</w:t>
      </w:r>
    </w:p>
    <w:p>
      <w:pPr>
        <w:pStyle w:val="117"/>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下列任何情况发生，投标保证金将不予返还：</w:t>
      </w:r>
    </w:p>
    <w:p>
      <w:pPr>
        <w:pStyle w:val="117"/>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（1）投标有效期内投标人撤销投标文件的；</w:t>
      </w:r>
    </w:p>
    <w:p>
      <w:pPr>
        <w:pStyle w:val="117"/>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（2）中标人不按本须知第27条的规定与采购人签订合同的；</w:t>
      </w:r>
    </w:p>
    <w:p>
      <w:pPr>
        <w:pStyle w:val="117"/>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（3）中标人不按本须知第28条的规定提交履约保证金的；</w:t>
      </w:r>
    </w:p>
    <w:p>
      <w:pPr>
        <w:pStyle w:val="117"/>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（4）中标人擅自放弃中标的。</w:t>
      </w:r>
    </w:p>
    <w:p>
      <w:pPr>
        <w:pStyle w:val="117"/>
        <w:spacing w:line="360" w:lineRule="auto"/>
        <w:rPr>
          <w:rFonts w:asciiTheme="minorEastAsia" w:hAnsiTheme="minorEastAsia" w:eastAsiaTheme="minorEastAsia" w:cstheme="minorEastAsia"/>
          <w:sz w:val="24"/>
        </w:rPr>
      </w:pPr>
      <w:bookmarkStart w:id="88" w:name="_Ref467306336"/>
      <w:r>
        <w:rPr>
          <w:rFonts w:hint="eastAsia" w:asciiTheme="minorEastAsia" w:hAnsiTheme="minorEastAsia" w:eastAsiaTheme="minorEastAsia" w:cstheme="minorEastAsia"/>
          <w:sz w:val="24"/>
        </w:rPr>
        <w:t>12.2提交投标保证金形式：</w:t>
      </w:r>
      <w:bookmarkEnd w:id="88"/>
      <w:r>
        <w:rPr>
          <w:rFonts w:hint="eastAsia" w:asciiTheme="minorEastAsia" w:hAnsiTheme="minorEastAsia" w:eastAsiaTheme="minorEastAsia" w:cstheme="minorEastAsia"/>
          <w:sz w:val="24"/>
        </w:rPr>
        <w:t>详见投标人须知资料表</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12.3中标人的投标保证金，自采购合同签订之日起5个工作日内退还。</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12.4未中标人的投标保证金，自中标通知书发出之日起5个工作日内退还。</w:t>
      </w:r>
    </w:p>
    <w:p>
      <w:pPr>
        <w:pStyle w:val="2"/>
        <w:tabs>
          <w:tab w:val="left" w:pos="900"/>
        </w:tabs>
        <w:spacing w:line="360" w:lineRule="auto"/>
        <w:rPr>
          <w:rFonts w:hint="default" w:asciiTheme="minorEastAsia" w:hAnsiTheme="minorEastAsia" w:eastAsiaTheme="minorEastAsia" w:cstheme="minorEastAsia"/>
          <w:b/>
          <w:sz w:val="24"/>
        </w:rPr>
      </w:pPr>
      <w:bookmarkStart w:id="89" w:name="_Toc5895182"/>
      <w:bookmarkStart w:id="90" w:name="_Toc520356157"/>
      <w:bookmarkStart w:id="91" w:name="_Toc61878473"/>
      <w:bookmarkStart w:id="92" w:name="_Toc310195708"/>
      <w:r>
        <w:rPr>
          <w:rFonts w:asciiTheme="minorEastAsia" w:hAnsiTheme="minorEastAsia" w:eastAsiaTheme="minorEastAsia" w:cstheme="minorEastAsia"/>
          <w:b/>
          <w:sz w:val="24"/>
        </w:rPr>
        <w:t>13.投标有效期</w:t>
      </w:r>
      <w:bookmarkEnd w:id="89"/>
      <w:bookmarkEnd w:id="90"/>
      <w:bookmarkEnd w:id="91"/>
      <w:bookmarkEnd w:id="92"/>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13.1投标有效期：详见投标人须知资料表。</w:t>
      </w:r>
    </w:p>
    <w:p>
      <w:pPr>
        <w:pStyle w:val="11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13.2采购人或采购代理机构可根据实际情况，在原投标有效期截止之前，要求投标人同意延长投标文件的有效期。接受该要求的投标人将不允许修正其它内容，且本须知中有关投标保证金的返还的规定将在延长了的有效期内继续有效。投标人也可以拒绝采购代理机构的这种要求，其投标保证金将不会被没收。上述要求和答复都应以书面形式提交。</w:t>
      </w:r>
    </w:p>
    <w:p>
      <w:pPr>
        <w:pStyle w:val="2"/>
        <w:tabs>
          <w:tab w:val="left" w:pos="900"/>
        </w:tabs>
        <w:spacing w:line="360" w:lineRule="auto"/>
        <w:rPr>
          <w:rFonts w:hint="default" w:asciiTheme="minorEastAsia" w:hAnsiTheme="minorEastAsia" w:eastAsiaTheme="minorEastAsia" w:cstheme="minorEastAsia"/>
          <w:b/>
          <w:sz w:val="24"/>
        </w:rPr>
      </w:pPr>
      <w:bookmarkStart w:id="93" w:name="_Toc520356158"/>
      <w:bookmarkStart w:id="94" w:name="_Toc310195709"/>
      <w:bookmarkStart w:id="95" w:name="_Toc61878474"/>
      <w:bookmarkStart w:id="96" w:name="_Toc5895183"/>
      <w:r>
        <w:rPr>
          <w:rFonts w:asciiTheme="minorEastAsia" w:hAnsiTheme="minorEastAsia" w:eastAsiaTheme="minorEastAsia" w:cstheme="minorEastAsia"/>
          <w:b/>
          <w:sz w:val="24"/>
        </w:rPr>
        <w:t>14.投标文件的签署</w:t>
      </w:r>
      <w:bookmarkEnd w:id="93"/>
      <w:r>
        <w:rPr>
          <w:rFonts w:asciiTheme="minorEastAsia" w:hAnsiTheme="minorEastAsia" w:eastAsiaTheme="minorEastAsia" w:cstheme="minorEastAsia"/>
          <w:b/>
          <w:sz w:val="24"/>
        </w:rPr>
        <w:t>与规定</w:t>
      </w:r>
      <w:bookmarkEnd w:id="94"/>
      <w:bookmarkEnd w:id="95"/>
      <w:bookmarkEnd w:id="96"/>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14.1投标人应按招标文件第二章投标人须知资料表的规定准备投标文件的正本、副本、电子版，每份投标文件须清楚地标明“正本”、“副本”、“电子版”。若正本和副本、电子文件不符，以纸质正本为准。</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14.2投标文件的正本需打印或用不退色墨水书写。</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14.3 任何对投标文件行间插字、涂改和增删，必须由法定代表人或其授权代表签字，或加盖本单位公章后有效。</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14.4 投标文件因字迹潦草或表达不清所引起的后果由投标人负责。</w:t>
      </w:r>
    </w:p>
    <w:p>
      <w:pPr>
        <w:pStyle w:val="2"/>
        <w:tabs>
          <w:tab w:val="left" w:pos="900"/>
        </w:tabs>
        <w:spacing w:line="360" w:lineRule="auto"/>
        <w:jc w:val="center"/>
        <w:rPr>
          <w:rFonts w:hint="default" w:asciiTheme="minorEastAsia" w:hAnsiTheme="minorEastAsia" w:eastAsiaTheme="minorEastAsia" w:cstheme="minorEastAsia"/>
          <w:sz w:val="24"/>
        </w:rPr>
      </w:pPr>
      <w:bookmarkStart w:id="97" w:name="_Toc5895184"/>
      <w:bookmarkStart w:id="98" w:name="_Toc520356159"/>
      <w:bookmarkStart w:id="99" w:name="_Toc61878475"/>
      <w:bookmarkStart w:id="100" w:name="_Toc310195710"/>
      <w:r>
        <w:rPr>
          <w:rFonts w:asciiTheme="minorEastAsia" w:hAnsiTheme="minorEastAsia" w:eastAsiaTheme="minorEastAsia" w:cstheme="minorEastAsia"/>
          <w:sz w:val="24"/>
        </w:rPr>
        <w:t>四、投标文件的递交</w:t>
      </w:r>
      <w:bookmarkEnd w:id="97"/>
      <w:bookmarkEnd w:id="98"/>
      <w:bookmarkEnd w:id="99"/>
      <w:bookmarkEnd w:id="100"/>
    </w:p>
    <w:p>
      <w:pPr>
        <w:pStyle w:val="2"/>
        <w:spacing w:line="360" w:lineRule="auto"/>
        <w:rPr>
          <w:rFonts w:hint="default" w:asciiTheme="minorEastAsia" w:hAnsiTheme="minorEastAsia" w:eastAsiaTheme="minorEastAsia" w:cstheme="minorEastAsia"/>
          <w:b/>
          <w:sz w:val="24"/>
          <w:lang w:val="en-US"/>
        </w:rPr>
      </w:pPr>
      <w:bookmarkStart w:id="101" w:name="_Toc5895185"/>
      <w:bookmarkStart w:id="102" w:name="_Toc61878476"/>
      <w:bookmarkStart w:id="103" w:name="_Toc310195711"/>
      <w:r>
        <w:rPr>
          <w:rFonts w:asciiTheme="minorEastAsia" w:hAnsiTheme="minorEastAsia" w:eastAsiaTheme="minorEastAsia" w:cstheme="minorEastAsia"/>
          <w:b/>
          <w:sz w:val="24"/>
        </w:rPr>
        <w:t>15.投标文件的装订及递交</w:t>
      </w:r>
      <w:bookmarkEnd w:id="101"/>
      <w:bookmarkEnd w:id="102"/>
      <w:bookmarkEnd w:id="103"/>
    </w:p>
    <w:p>
      <w:pPr>
        <w:pStyle w:val="117"/>
        <w:spacing w:line="360" w:lineRule="auto"/>
        <w:rPr>
          <w:rFonts w:asciiTheme="minorEastAsia" w:hAnsiTheme="minorEastAsia" w:eastAsiaTheme="minorEastAsia" w:cstheme="minorEastAsia"/>
          <w:b/>
          <w:sz w:val="24"/>
        </w:rPr>
      </w:pPr>
      <w:bookmarkStart w:id="104" w:name="_Toc520356161"/>
      <w:r>
        <w:rPr>
          <w:rFonts w:hint="eastAsia" w:asciiTheme="minorEastAsia" w:hAnsiTheme="minorEastAsia" w:eastAsiaTheme="minorEastAsia" w:cstheme="minorEastAsia"/>
          <w:b/>
          <w:sz w:val="24"/>
        </w:rPr>
        <w:t>15.1 投标文件一律采用A4纸（图纸、彩页等除外）左侧装订。装订应牢固可靠，不易散落，不得采用活页式装订，采购人或采购代理机构对因装订不牢造成的文件散失不负责任。</w:t>
      </w:r>
    </w:p>
    <w:p>
      <w:pPr>
        <w:pStyle w:val="117"/>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15.2投标人应将“开标一览表”、“投标文件资格册正本”、“投标文件资格册副本”、</w:t>
      </w:r>
      <w:r>
        <w:rPr>
          <w:rFonts w:hint="eastAsia" w:asciiTheme="minorEastAsia" w:hAnsiTheme="minorEastAsia" w:eastAsiaTheme="minorEastAsia" w:cstheme="minorEastAsia"/>
          <w:b/>
          <w:color w:val="000000"/>
          <w:sz w:val="24"/>
        </w:rPr>
        <w:t>“投标文件商务技术册正本”、“投标文件商务技术册副本”、</w:t>
      </w:r>
      <w:r>
        <w:rPr>
          <w:rFonts w:hint="eastAsia" w:asciiTheme="minorEastAsia" w:hAnsiTheme="minorEastAsia" w:eastAsiaTheme="minorEastAsia" w:cstheme="minorEastAsia"/>
          <w:b/>
          <w:sz w:val="24"/>
        </w:rPr>
        <w:t>“投标保证金复印件（如适用）”、“投标文件电子版”、“样品”（如适用）分开单独密封，并在密封袋/箱上分别标明“开标一览表”、“投标文件资格册正本”、“投标文件资格册副本”、“投标保证金</w:t>
      </w:r>
      <w:bookmarkStart w:id="105" w:name="_Toc366683837"/>
      <w:bookmarkStart w:id="106" w:name="_Toc350411806"/>
      <w:r>
        <w:rPr>
          <w:rFonts w:hint="eastAsia" w:asciiTheme="minorEastAsia" w:hAnsiTheme="minorEastAsia" w:eastAsiaTheme="minorEastAsia" w:cstheme="minorEastAsia"/>
          <w:b/>
          <w:sz w:val="24"/>
        </w:rPr>
        <w:t>”、</w:t>
      </w:r>
      <w:bookmarkEnd w:id="105"/>
      <w:bookmarkEnd w:id="106"/>
      <w:r>
        <w:rPr>
          <w:rFonts w:hint="eastAsia" w:asciiTheme="minorEastAsia" w:hAnsiTheme="minorEastAsia" w:eastAsiaTheme="minorEastAsia" w:cstheme="minorEastAsia"/>
          <w:b/>
          <w:sz w:val="24"/>
        </w:rPr>
        <w:t>“投标文件电子版”、</w:t>
      </w:r>
      <w:r>
        <w:rPr>
          <w:rFonts w:hint="eastAsia" w:asciiTheme="minorEastAsia" w:hAnsiTheme="minorEastAsia" w:eastAsiaTheme="minorEastAsia" w:cstheme="minorEastAsia"/>
          <w:b/>
          <w:color w:val="000000"/>
          <w:sz w:val="24"/>
        </w:rPr>
        <w:t>“投标文件商务技术册正本”、“投标文件商务技术册副本”</w:t>
      </w:r>
      <w:r>
        <w:rPr>
          <w:rFonts w:hint="eastAsia" w:asciiTheme="minorEastAsia" w:hAnsiTheme="minorEastAsia" w:eastAsiaTheme="minorEastAsia" w:cstheme="minorEastAsia"/>
          <w:b/>
          <w:sz w:val="24"/>
        </w:rPr>
        <w:t>、“样品”字样，在投标时统一递交。同时提供“法人代表授权书（加盖本单位公章）”及“授权代表身份证复印件（加盖本单位公章）”。</w:t>
      </w:r>
    </w:p>
    <w:p>
      <w:pPr>
        <w:pStyle w:val="117"/>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15.3所有密封袋/箱上均应：</w:t>
      </w:r>
    </w:p>
    <w:p>
      <w:pPr>
        <w:pStyle w:val="117"/>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1)清楚标明投标文件递交地点暨开标地点。</w:t>
      </w:r>
    </w:p>
    <w:p>
      <w:pPr>
        <w:pStyle w:val="117"/>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2)注明招标的项目名称、项目编号和投标人名称和地址，以及“在（开标时间）之前不得启封”的字样。如果投标人未按上述要求加写标记的，采购代理机构对投标文件的误投概不负责。</w:t>
      </w:r>
    </w:p>
    <w:p>
      <w:pPr>
        <w:pStyle w:val="117"/>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3)投标人提供投标文件的密封粘贴处应加盖本单位公章，以便确认密封情况，不符合要求的投标将被拒绝。</w:t>
      </w:r>
    </w:p>
    <w:p>
      <w:pPr>
        <w:pStyle w:val="14"/>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15.4如需提供样品的，采购活动结束后，对于未中标人提供的样品，应当及时退还或者经未中标人同意后自行处理；对于中标人提供的样品，应当按照招标文件的规定进行保管、封存，并作为履约验收的参考。</w:t>
      </w:r>
    </w:p>
    <w:p>
      <w:pPr>
        <w:pStyle w:val="2"/>
        <w:spacing w:line="360" w:lineRule="auto"/>
        <w:rPr>
          <w:rFonts w:hint="default" w:asciiTheme="minorEastAsia" w:hAnsiTheme="minorEastAsia" w:eastAsiaTheme="minorEastAsia" w:cstheme="minorEastAsia"/>
          <w:b/>
          <w:sz w:val="24"/>
          <w:lang w:val="en-US"/>
        </w:rPr>
      </w:pPr>
      <w:bookmarkStart w:id="107" w:name="_Toc310195712"/>
      <w:bookmarkStart w:id="108" w:name="_Toc5895186"/>
      <w:bookmarkStart w:id="109" w:name="_Toc61878477"/>
      <w:r>
        <w:rPr>
          <w:rFonts w:asciiTheme="minorEastAsia" w:hAnsiTheme="minorEastAsia" w:eastAsiaTheme="minorEastAsia" w:cstheme="minorEastAsia"/>
          <w:b/>
          <w:sz w:val="24"/>
        </w:rPr>
        <w:t>16.投标截止</w:t>
      </w:r>
      <w:bookmarkEnd w:id="104"/>
      <w:bookmarkEnd w:id="107"/>
      <w:bookmarkEnd w:id="108"/>
      <w:r>
        <w:rPr>
          <w:rFonts w:asciiTheme="minorEastAsia" w:hAnsiTheme="minorEastAsia" w:eastAsiaTheme="minorEastAsia" w:cstheme="minorEastAsia"/>
          <w:b/>
          <w:sz w:val="24"/>
          <w:lang w:val="en-US"/>
        </w:rPr>
        <w:t>时间</w:t>
      </w:r>
      <w:bookmarkEnd w:id="109"/>
    </w:p>
    <w:p>
      <w:pPr>
        <w:spacing w:line="360" w:lineRule="auto"/>
        <w:rPr>
          <w:rFonts w:asciiTheme="minorEastAsia" w:hAnsiTheme="minorEastAsia" w:eastAsiaTheme="minorEastAsia" w:cstheme="minorEastAsia"/>
          <w:sz w:val="24"/>
        </w:rPr>
      </w:pPr>
      <w:bookmarkStart w:id="110" w:name="_Toc310195713"/>
      <w:bookmarkStart w:id="111" w:name="_Toc5895187"/>
      <w:bookmarkStart w:id="112" w:name="_Toc520356162"/>
      <w:r>
        <w:rPr>
          <w:rFonts w:hint="eastAsia" w:asciiTheme="minorEastAsia" w:hAnsiTheme="minorEastAsia" w:eastAsiaTheme="minorEastAsia" w:cstheme="minorEastAsia"/>
          <w:sz w:val="24"/>
        </w:rPr>
        <w:t>投标人应在招标公告或投标邀请书中规定的投标文件递交截止时间前，将投标文件按招标公告或投标邀请书中规定的投标地点递交。</w:t>
      </w:r>
    </w:p>
    <w:p>
      <w:pPr>
        <w:pStyle w:val="2"/>
        <w:spacing w:line="360" w:lineRule="auto"/>
        <w:rPr>
          <w:rFonts w:hint="default" w:asciiTheme="minorEastAsia" w:hAnsiTheme="minorEastAsia" w:eastAsiaTheme="minorEastAsia" w:cstheme="minorEastAsia"/>
          <w:b/>
          <w:sz w:val="24"/>
        </w:rPr>
      </w:pPr>
      <w:bookmarkStart w:id="113" w:name="_Toc61878478"/>
      <w:r>
        <w:rPr>
          <w:rFonts w:asciiTheme="minorEastAsia" w:hAnsiTheme="minorEastAsia" w:eastAsiaTheme="minorEastAsia" w:cstheme="minorEastAsia"/>
          <w:b/>
          <w:sz w:val="24"/>
        </w:rPr>
        <w:t>17.投标文件的</w:t>
      </w:r>
      <w:r>
        <w:rPr>
          <w:rFonts w:asciiTheme="minorEastAsia" w:hAnsiTheme="minorEastAsia" w:eastAsiaTheme="minorEastAsia" w:cstheme="minorEastAsia"/>
          <w:b/>
          <w:sz w:val="24"/>
          <w:lang w:val="en-US"/>
        </w:rPr>
        <w:t>补充、</w:t>
      </w:r>
      <w:r>
        <w:rPr>
          <w:rFonts w:asciiTheme="minorEastAsia" w:hAnsiTheme="minorEastAsia" w:eastAsiaTheme="minorEastAsia" w:cstheme="minorEastAsia"/>
          <w:b/>
          <w:sz w:val="24"/>
        </w:rPr>
        <w:t>修改</w:t>
      </w:r>
      <w:r>
        <w:rPr>
          <w:rFonts w:asciiTheme="minorEastAsia" w:hAnsiTheme="minorEastAsia" w:eastAsiaTheme="minorEastAsia" w:cstheme="minorEastAsia"/>
          <w:b/>
          <w:sz w:val="24"/>
          <w:lang w:val="en-US"/>
        </w:rPr>
        <w:t>与</w:t>
      </w:r>
      <w:r>
        <w:rPr>
          <w:rFonts w:asciiTheme="minorEastAsia" w:hAnsiTheme="minorEastAsia" w:eastAsiaTheme="minorEastAsia" w:cstheme="minorEastAsia"/>
          <w:b/>
          <w:sz w:val="24"/>
        </w:rPr>
        <w:t>撤回</w:t>
      </w:r>
      <w:bookmarkEnd w:id="110"/>
      <w:bookmarkEnd w:id="111"/>
      <w:bookmarkEnd w:id="112"/>
      <w:bookmarkEnd w:id="113"/>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17.1投标人在投标截止时间前，可以对所递交的投标文件进行补充、修改或者撤回，并书面通知采购人或者采购代理机构。</w:t>
      </w:r>
    </w:p>
    <w:p>
      <w:pPr>
        <w:pStyle w:val="117"/>
        <w:spacing w:line="360" w:lineRule="auto"/>
        <w:rPr>
          <w:rFonts w:asciiTheme="minorEastAsia" w:hAnsiTheme="minorEastAsia" w:eastAsiaTheme="minorEastAsia" w:cstheme="minorEastAsia"/>
          <w:sz w:val="24"/>
        </w:rPr>
      </w:pP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17.2补充、修改的内容应当按照招标文件要求签署、盖章、密封后，作为投标文件的组成部分。</w:t>
      </w:r>
    </w:p>
    <w:p>
      <w:pPr>
        <w:pStyle w:val="117"/>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17.3在投标截止时间之后，投标人不得对其投标文件做任何修改。</w:t>
      </w:r>
    </w:p>
    <w:p>
      <w:pPr>
        <w:pStyle w:val="2"/>
        <w:spacing w:line="360" w:lineRule="auto"/>
        <w:ind w:left="899" w:hanging="899"/>
        <w:jc w:val="center"/>
        <w:rPr>
          <w:rFonts w:hint="default" w:asciiTheme="minorEastAsia" w:hAnsiTheme="minorEastAsia" w:eastAsiaTheme="minorEastAsia" w:cstheme="minorEastAsia"/>
          <w:sz w:val="24"/>
        </w:rPr>
      </w:pPr>
      <w:bookmarkStart w:id="114" w:name="_Toc61878479"/>
      <w:bookmarkStart w:id="115" w:name="_Toc310195714"/>
      <w:bookmarkStart w:id="116" w:name="_Toc5895188"/>
      <w:bookmarkStart w:id="117" w:name="_Toc520356163"/>
      <w:r>
        <w:rPr>
          <w:rFonts w:asciiTheme="minorEastAsia" w:hAnsiTheme="minorEastAsia" w:eastAsiaTheme="minorEastAsia" w:cstheme="minorEastAsia"/>
          <w:sz w:val="24"/>
        </w:rPr>
        <w:t>五、开标及评标</w:t>
      </w:r>
      <w:bookmarkEnd w:id="114"/>
      <w:bookmarkEnd w:id="115"/>
      <w:bookmarkEnd w:id="116"/>
      <w:bookmarkEnd w:id="117"/>
    </w:p>
    <w:p>
      <w:pPr>
        <w:pStyle w:val="2"/>
        <w:spacing w:line="360" w:lineRule="auto"/>
        <w:rPr>
          <w:rFonts w:hint="default" w:asciiTheme="minorEastAsia" w:hAnsiTheme="minorEastAsia" w:eastAsiaTheme="minorEastAsia" w:cstheme="minorEastAsia"/>
          <w:b/>
          <w:sz w:val="24"/>
        </w:rPr>
      </w:pPr>
      <w:bookmarkStart w:id="118" w:name="_Toc520356164"/>
      <w:bookmarkStart w:id="119" w:name="_Toc310195715"/>
      <w:bookmarkStart w:id="120" w:name="_Toc61878480"/>
      <w:bookmarkStart w:id="121" w:name="_Toc5895189"/>
      <w:r>
        <w:rPr>
          <w:rFonts w:asciiTheme="minorEastAsia" w:hAnsiTheme="minorEastAsia" w:eastAsiaTheme="minorEastAsia" w:cstheme="minorEastAsia"/>
          <w:b/>
          <w:sz w:val="24"/>
        </w:rPr>
        <w:t>18.开标</w:t>
      </w:r>
      <w:bookmarkEnd w:id="118"/>
      <w:bookmarkEnd w:id="119"/>
      <w:bookmarkEnd w:id="120"/>
      <w:bookmarkEnd w:id="121"/>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18.1采购代理机构应当按招标公告或投标邀请书的规定，在投标截止时间的同一时间和预先确定的地点组织公开开标。所有投标人应派法定代表人或授权代表参加开标会，并签到以证明其出席。</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18.2开标时，由公证员（如有）、监标人（如有）、投标人或者其推选的代表检查投标文件的密封情况。</w:t>
      </w:r>
    </w:p>
    <w:p>
      <w:pPr>
        <w:spacing w:line="360" w:lineRule="auto"/>
        <w:rPr>
          <w:rFonts w:asciiTheme="minorEastAsia" w:hAnsiTheme="minorEastAsia" w:eastAsiaTheme="minorEastAsia" w:cstheme="minorEastAsia"/>
          <w:bCs/>
          <w:sz w:val="24"/>
        </w:rPr>
      </w:pPr>
      <w:bookmarkStart w:id="122" w:name="_Toc310195716"/>
      <w:bookmarkStart w:id="123" w:name="_Toc5895190"/>
      <w:r>
        <w:rPr>
          <w:rFonts w:hint="eastAsia" w:asciiTheme="minorEastAsia" w:hAnsiTheme="minorEastAsia" w:eastAsiaTheme="minorEastAsia" w:cstheme="minorEastAsia"/>
          <w:bCs/>
          <w:sz w:val="24"/>
        </w:rPr>
        <w:t>18.3开标时，</w:t>
      </w:r>
      <w:r>
        <w:rPr>
          <w:rFonts w:hint="eastAsia" w:asciiTheme="minorEastAsia" w:hAnsiTheme="minorEastAsia" w:eastAsiaTheme="minorEastAsia" w:cstheme="minorEastAsia"/>
          <w:sz w:val="24"/>
        </w:rPr>
        <w:t>采购代理机构工作人员当众拆封，宣布投标人名称、投标价格和招标文件规定的需要宣布的其他内容。</w:t>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18.4</w:t>
      </w:r>
      <w:r>
        <w:rPr>
          <w:rFonts w:hint="eastAsia" w:asciiTheme="minorEastAsia" w:hAnsiTheme="minorEastAsia" w:eastAsiaTheme="minorEastAsia" w:cstheme="minorEastAsia"/>
          <w:sz w:val="24"/>
        </w:rPr>
        <w:t>开标过程应当由采购代理机构负责记录</w:t>
      </w:r>
      <w:r>
        <w:rPr>
          <w:rFonts w:hint="eastAsia" w:asciiTheme="minorEastAsia" w:hAnsiTheme="minorEastAsia" w:eastAsiaTheme="minorEastAsia" w:cstheme="minorEastAsia"/>
          <w:bCs/>
          <w:sz w:val="24"/>
        </w:rPr>
        <w:t>，由公证员（如有）、监标人（如有）、</w:t>
      </w:r>
      <w:r>
        <w:rPr>
          <w:rFonts w:hint="eastAsia" w:asciiTheme="minorEastAsia" w:hAnsiTheme="minorEastAsia" w:eastAsiaTheme="minorEastAsia" w:cstheme="minorEastAsia"/>
          <w:sz w:val="24"/>
        </w:rPr>
        <w:t>参加开标的各投标人代表和相关工作人员签字</w:t>
      </w:r>
      <w:r>
        <w:rPr>
          <w:rFonts w:hint="eastAsia" w:asciiTheme="minorEastAsia" w:hAnsiTheme="minorEastAsia" w:eastAsiaTheme="minorEastAsia" w:cstheme="minorEastAsia"/>
          <w:bCs/>
          <w:sz w:val="24"/>
        </w:rPr>
        <w:t>。</w:t>
      </w:r>
    </w:p>
    <w:p>
      <w:pPr>
        <w:pStyle w:val="2"/>
        <w:spacing w:line="360" w:lineRule="auto"/>
        <w:rPr>
          <w:rFonts w:hint="default" w:asciiTheme="minorEastAsia" w:hAnsiTheme="minorEastAsia" w:eastAsiaTheme="minorEastAsia" w:cstheme="minorEastAsia"/>
          <w:b/>
          <w:sz w:val="24"/>
          <w:lang w:val="en-US"/>
        </w:rPr>
      </w:pPr>
      <w:bookmarkStart w:id="124" w:name="_Toc61878481"/>
      <w:r>
        <w:rPr>
          <w:rFonts w:asciiTheme="minorEastAsia" w:hAnsiTheme="minorEastAsia" w:eastAsiaTheme="minorEastAsia" w:cstheme="minorEastAsia"/>
          <w:b/>
          <w:sz w:val="24"/>
        </w:rPr>
        <w:t>19.评标委员会</w:t>
      </w:r>
      <w:bookmarkEnd w:id="122"/>
      <w:r>
        <w:rPr>
          <w:rFonts w:asciiTheme="minorEastAsia" w:hAnsiTheme="minorEastAsia" w:eastAsiaTheme="minorEastAsia" w:cstheme="minorEastAsia"/>
          <w:b/>
          <w:sz w:val="24"/>
          <w:lang w:val="en-US"/>
        </w:rPr>
        <w:t>组建</w:t>
      </w:r>
      <w:bookmarkEnd w:id="123"/>
      <w:bookmarkEnd w:id="124"/>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19.1采购人或者采购代理机构应当从省级以上财政部门设立的政府采购评审专家库中，通过随机方式抽取评审专家。</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19.2对技术复杂、专业性强的采购项目，通过随机方式难以确定合适评审专家的，经主管预算单位同意，采购人可以自行选定相应专业领域的评审专家。</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19.3评标工作由评标委员会负责。</w:t>
      </w:r>
    </w:p>
    <w:p>
      <w:pPr>
        <w:pStyle w:val="2"/>
        <w:spacing w:line="360" w:lineRule="auto"/>
        <w:rPr>
          <w:rFonts w:hint="default" w:asciiTheme="minorEastAsia" w:hAnsiTheme="minorEastAsia" w:eastAsiaTheme="minorEastAsia" w:cstheme="minorEastAsia"/>
          <w:b/>
          <w:sz w:val="24"/>
        </w:rPr>
      </w:pPr>
      <w:bookmarkStart w:id="125" w:name="_Toc520356166"/>
      <w:bookmarkStart w:id="126" w:name="_Toc310195717"/>
      <w:bookmarkStart w:id="127" w:name="_Toc61878482"/>
      <w:bookmarkStart w:id="128" w:name="_Toc5895191"/>
      <w:r>
        <w:rPr>
          <w:rFonts w:asciiTheme="minorEastAsia" w:hAnsiTheme="minorEastAsia" w:eastAsiaTheme="minorEastAsia" w:cstheme="minorEastAsia"/>
          <w:b/>
          <w:sz w:val="24"/>
        </w:rPr>
        <w:t>20.投标文件的</w:t>
      </w:r>
      <w:bookmarkEnd w:id="125"/>
      <w:r>
        <w:rPr>
          <w:rFonts w:asciiTheme="minorEastAsia" w:hAnsiTheme="minorEastAsia" w:eastAsiaTheme="minorEastAsia" w:cstheme="minorEastAsia"/>
          <w:b/>
          <w:sz w:val="24"/>
        </w:rPr>
        <w:t>初审</w:t>
      </w:r>
      <w:bookmarkEnd w:id="126"/>
      <w:bookmarkEnd w:id="127"/>
      <w:bookmarkEnd w:id="128"/>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20.1资格性审查。公开招标采购项目开标结束后，采购人或者采购代理机构应当依法对投标人的资格进行审查，以确定投标人是否具备投标资格。</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20.2符合性审查：评标委员会应当对符合资格的投标人的投标文件进行符合性审查，以确定其是否满足招标文件的实质性要求。</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20.3评标时算术错误将按以下方法更正（有明显错误的情况除外）：</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20.3.1投标文件中开标一览表（报价表）内容与投标文件中相应内容不一致的，以开标一览表（报价表）为准；</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20.3.2大写金额和小写金额不一致的，以大写金额为准；</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20.3.3单价金额小数点或者百分比有明显错位的，以开标一览表的总价为准，并修改单价；</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20.3.4总价金额与按单价汇总金额不一致的，以单价金额计算结果为准。</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20.3.5同时出现两种以上不一致的，按照20.3.1至20.3.4规定的顺序修正。</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20.3.6对不同文字文本投标文件解释发生异议的，以中文文本为准。</w:t>
      </w:r>
    </w:p>
    <w:p>
      <w:pPr>
        <w:pStyle w:val="117"/>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20.4 在招标采购中，出现下列情形之一的，应予废标：</w:t>
      </w:r>
    </w:p>
    <w:p>
      <w:pPr>
        <w:pStyle w:val="117"/>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20.4.1符合专业条件的投标人或者对招标文件作实质响应的投标人不足三家的；</w:t>
      </w:r>
    </w:p>
    <w:p>
      <w:pPr>
        <w:pStyle w:val="117"/>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20.4.2出现影响采购公正的违法、违规行为的；</w:t>
      </w:r>
    </w:p>
    <w:p>
      <w:pPr>
        <w:pStyle w:val="117"/>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20.4.3投标人的报价均超过了采购预算，采购人不能支付的；</w:t>
      </w:r>
    </w:p>
    <w:p>
      <w:pPr>
        <w:pStyle w:val="117"/>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20.4.4因重大变故，采购任务取消的。</w:t>
      </w:r>
    </w:p>
    <w:p>
      <w:pPr>
        <w:spacing w:line="360" w:lineRule="auto"/>
        <w:rPr>
          <w:rFonts w:asciiTheme="minorEastAsia" w:hAnsiTheme="minorEastAsia" w:eastAsiaTheme="minorEastAsia" w:cstheme="minorEastAsia"/>
          <w:b/>
          <w:bCs/>
          <w:sz w:val="24"/>
        </w:rPr>
      </w:pPr>
      <w:bookmarkStart w:id="129" w:name="_Toc310195718"/>
      <w:bookmarkStart w:id="130" w:name="_Toc5895192"/>
      <w:bookmarkStart w:id="131" w:name="_Toc520356167"/>
      <w:r>
        <w:rPr>
          <w:rFonts w:hint="eastAsia" w:asciiTheme="minorEastAsia" w:hAnsiTheme="minorEastAsia" w:eastAsiaTheme="minorEastAsia" w:cstheme="minorEastAsia"/>
          <w:b/>
          <w:bCs/>
          <w:sz w:val="24"/>
        </w:rPr>
        <w:t>20.5 投标文件属下列情况之一的，应当在资格性、符合性审查时按照无效投标处理：</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20.5.1未按照招标文件的规定提交投标保证金的；</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20.5.2投标文件未按招标文件要求签署、盖章的；</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20.5.3不具备招标文件中规定的资格要求的；</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20.5.4报价超过招标文件中规定的预算金额或者最高限价的；</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20.5.5投标文件含有采购人不能接受的附加条件的；</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20.5.6不同投标人的投标文件由同一单位或者个人编制；</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20.5.7不同投标人委托同一单位或者个人办理投标事宜；</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20.5.8不同投标人的投标文件载明的项目管理成员或者联系人员为同一人；</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20.5.9不同投标人的投标文件异常一致或者投标报价呈规律性差异；</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20.5.10不同投标人的投标文件相互混装；</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20.5.11不同投标人的投标保证金从同一单位或者个人的账户转出；</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20.5.12按照20.3.1至20.3.4规定顺序修正，修正后的报价按照招标文件第21.2条的规定经投标人确认后产生约束力，投标人不确认的；</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20.5.13联合体各方在同一项目中以自己名义单独投标或者参加其他联合体投标的；</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20.5.14若投标人须知资料表中未写明允许采购进口产品，投标人所投产品为进口产品的；</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20.5.15投标人在投标过程中向采购人、采购代理机构行贿或者提供其他不正当利益的；</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20.5.16投标有效期不满足招标要求；</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20.5.17“采购需求”中“*”指标的；</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20.5.18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20.5.19在评标过程中发现投标人未遵循公平竞争的原则，恶意串通，妨碍其他投标人的竞争行为，损害采购人或者其他投标人的合法权益的；</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20.5.20法律、法规和招标文件规定的其他无效情形。</w:t>
      </w:r>
    </w:p>
    <w:p>
      <w:pPr>
        <w:pStyle w:val="2"/>
        <w:spacing w:line="360" w:lineRule="auto"/>
        <w:rPr>
          <w:rFonts w:hint="default" w:asciiTheme="minorEastAsia" w:hAnsiTheme="minorEastAsia" w:eastAsiaTheme="minorEastAsia" w:cstheme="minorEastAsia"/>
          <w:b/>
        </w:rPr>
      </w:pPr>
      <w:bookmarkStart w:id="132" w:name="_Toc61878483"/>
      <w:r>
        <w:rPr>
          <w:rFonts w:asciiTheme="minorEastAsia" w:hAnsiTheme="minorEastAsia" w:eastAsiaTheme="minorEastAsia" w:cstheme="minorEastAsia"/>
          <w:b/>
          <w:bCs/>
          <w:sz w:val="24"/>
          <w:szCs w:val="24"/>
        </w:rPr>
        <w:t>21. 投标文件的澄清</w:t>
      </w:r>
      <w:bookmarkEnd w:id="129"/>
      <w:bookmarkEnd w:id="130"/>
      <w:bookmarkEnd w:id="132"/>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21.1对于投标文件中含义不明确、同类问题表述不一致或者有明显文字和计算错误的内容，评标委员会应当以书面形式要求投标人作出必要的澄清、说明或者补正。</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21.2投标人的澄清、说明或者补正应当采用书面形式，并加盖公章，或者由法定代表人或其授权的代表签字。投标人的澄清、说明或者补正不得超出投标文件的范围或者改变投标文件的实质性内容。</w:t>
      </w:r>
    </w:p>
    <w:p>
      <w:pPr>
        <w:pStyle w:val="11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21.3澄清文件将作为投标文件内容的一部分。</w:t>
      </w:r>
    </w:p>
    <w:bookmarkEnd w:id="131"/>
    <w:p>
      <w:pPr>
        <w:pStyle w:val="2"/>
        <w:spacing w:line="360" w:lineRule="auto"/>
        <w:rPr>
          <w:rFonts w:hint="default" w:asciiTheme="minorEastAsia" w:hAnsiTheme="minorEastAsia" w:eastAsiaTheme="minorEastAsia" w:cstheme="minorEastAsia"/>
          <w:b/>
          <w:sz w:val="24"/>
        </w:rPr>
      </w:pPr>
      <w:bookmarkStart w:id="133" w:name="_Toc5895193"/>
      <w:bookmarkStart w:id="134" w:name="_Toc310195719"/>
      <w:bookmarkStart w:id="135" w:name="_Toc61878484"/>
      <w:r>
        <w:rPr>
          <w:rFonts w:asciiTheme="minorEastAsia" w:hAnsiTheme="minorEastAsia" w:eastAsiaTheme="minorEastAsia" w:cstheme="minorEastAsia"/>
          <w:b/>
          <w:sz w:val="24"/>
        </w:rPr>
        <w:t>22. 评标</w:t>
      </w:r>
      <w:bookmarkEnd w:id="133"/>
      <w:bookmarkEnd w:id="134"/>
      <w:bookmarkEnd w:id="135"/>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22.1评标委员会负责具体评标事务，并独立履行下列职责：</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22.1.1审查、评价投标文件是否符合招标文件的商务、技术等实质性要求；</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22.1.2要求投标人对投标文件有关事项作出澄清或者说明；</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22.1.3对投标文件进行比较和评价；</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22.1.4确定中标候选人名单，以及根据采购人委托直接确定中标人；</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22.1.5向采购人、采购代理机构或者有关部门报告评标中发现的违法行为。</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22.2评标委员会应当按照招标文件中规定的评标方法和标准，对符合性审查合格的投标文件进行商务和技术评估，综合比较与评价。</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22.3综合评分法：</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综合评分法，是指投标文件满足招标文件全部实质性要求，且按照评审因素的量化指标评审得分最高的投标人为中标候选人的评标方法。</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22.4评标时，评标委员会各成员应当独立对每个投标人的投标文件进行评价，并汇总每个投标人的得分。</w:t>
      </w:r>
    </w:p>
    <w:p>
      <w:pPr>
        <w:pStyle w:val="2"/>
        <w:spacing w:line="360" w:lineRule="auto"/>
        <w:rPr>
          <w:rFonts w:hint="default" w:asciiTheme="minorEastAsia" w:hAnsiTheme="minorEastAsia" w:eastAsiaTheme="minorEastAsia" w:cstheme="minorEastAsia"/>
          <w:b/>
          <w:sz w:val="24"/>
        </w:rPr>
      </w:pPr>
      <w:bookmarkStart w:id="136" w:name="_Toc520356168"/>
      <w:bookmarkStart w:id="137" w:name="_Toc61878485"/>
      <w:bookmarkStart w:id="138" w:name="_Toc5895194"/>
      <w:bookmarkStart w:id="139" w:name="_Toc310195720"/>
      <w:r>
        <w:rPr>
          <w:rFonts w:asciiTheme="minorEastAsia" w:hAnsiTheme="minorEastAsia" w:eastAsiaTheme="minorEastAsia" w:cstheme="minorEastAsia"/>
          <w:b/>
          <w:sz w:val="24"/>
        </w:rPr>
        <w:t>2</w:t>
      </w:r>
      <w:bookmarkEnd w:id="136"/>
      <w:r>
        <w:rPr>
          <w:rFonts w:asciiTheme="minorEastAsia" w:hAnsiTheme="minorEastAsia" w:eastAsiaTheme="minorEastAsia" w:cstheme="minorEastAsia"/>
          <w:b/>
          <w:sz w:val="24"/>
        </w:rPr>
        <w:t>3.评标过程及保密原则</w:t>
      </w:r>
      <w:bookmarkEnd w:id="137"/>
      <w:bookmarkEnd w:id="138"/>
      <w:bookmarkEnd w:id="139"/>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23.1政府采购评审专家应当遵守评审工作纪律，不得泄露评审文件、评审情况和评审中获悉的商业秘密。</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23.2评标委员会成员名单在评标结果公告前应当保密。</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23.3采购人、采购代理机构应当采取必要措施，保证评标在严格保密的情况下进行。除采购人代表、评标现场组织人员外，采购人的其他工作人员以及与评标工作无关的人员不得进入评标现场。</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23.4有关人员对评标情况以及在评标过程中获悉的国家秘密、商业秘密负有保密责任。</w:t>
      </w:r>
    </w:p>
    <w:p>
      <w:pPr>
        <w:pStyle w:val="117"/>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p>
    <w:p>
      <w:pPr>
        <w:pStyle w:val="117"/>
        <w:spacing w:line="360" w:lineRule="auto"/>
        <w:jc w:val="center"/>
        <w:outlineLvl w:val="2"/>
        <w:rPr>
          <w:rFonts w:asciiTheme="minorEastAsia" w:hAnsiTheme="minorEastAsia" w:eastAsiaTheme="minorEastAsia" w:cstheme="minorEastAsia"/>
          <w:sz w:val="24"/>
        </w:rPr>
      </w:pPr>
      <w:bookmarkStart w:id="140" w:name="_Toc520356169"/>
      <w:bookmarkStart w:id="141" w:name="_Toc310195721"/>
      <w:bookmarkStart w:id="142" w:name="_Toc5895195"/>
      <w:bookmarkStart w:id="143" w:name="_Toc61878486"/>
      <w:r>
        <w:rPr>
          <w:rFonts w:hint="eastAsia" w:asciiTheme="minorEastAsia" w:hAnsiTheme="minorEastAsia" w:eastAsiaTheme="minorEastAsia" w:cstheme="minorEastAsia"/>
          <w:sz w:val="24"/>
        </w:rPr>
        <w:t>六</w:t>
      </w:r>
      <w:bookmarkEnd w:id="140"/>
      <w:r>
        <w:rPr>
          <w:rFonts w:hint="eastAsia" w:asciiTheme="minorEastAsia" w:hAnsiTheme="minorEastAsia" w:eastAsiaTheme="minorEastAsia" w:cstheme="minorEastAsia"/>
          <w:sz w:val="24"/>
        </w:rPr>
        <w:t>、确定中标</w:t>
      </w:r>
      <w:bookmarkEnd w:id="141"/>
      <w:bookmarkEnd w:id="142"/>
      <w:bookmarkEnd w:id="143"/>
    </w:p>
    <w:p>
      <w:pPr>
        <w:pStyle w:val="2"/>
        <w:spacing w:line="360" w:lineRule="auto"/>
        <w:rPr>
          <w:rFonts w:hint="default" w:asciiTheme="minorEastAsia" w:hAnsiTheme="minorEastAsia" w:eastAsiaTheme="minorEastAsia" w:cstheme="minorEastAsia"/>
          <w:b/>
          <w:sz w:val="24"/>
        </w:rPr>
      </w:pPr>
      <w:bookmarkStart w:id="144" w:name="_Toc310195722"/>
      <w:bookmarkStart w:id="145" w:name="_Toc5895196"/>
      <w:bookmarkStart w:id="146" w:name="_Ref467307010"/>
      <w:bookmarkStart w:id="147" w:name="_Toc61878487"/>
      <w:bookmarkStart w:id="148" w:name="_Toc520356170"/>
      <w:r>
        <w:rPr>
          <w:rFonts w:asciiTheme="minorEastAsia" w:hAnsiTheme="minorEastAsia" w:eastAsiaTheme="minorEastAsia" w:cstheme="minorEastAsia"/>
          <w:b/>
          <w:sz w:val="24"/>
        </w:rPr>
        <w:t>24.中标人的确定标准</w:t>
      </w:r>
      <w:bookmarkEnd w:id="144"/>
      <w:bookmarkEnd w:id="145"/>
      <w:bookmarkEnd w:id="146"/>
      <w:bookmarkEnd w:id="147"/>
      <w:bookmarkEnd w:id="148"/>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24.1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24.2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24.3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pStyle w:val="2"/>
        <w:spacing w:line="360" w:lineRule="auto"/>
        <w:rPr>
          <w:rFonts w:hint="default" w:asciiTheme="minorEastAsia" w:hAnsiTheme="minorEastAsia" w:eastAsiaTheme="minorEastAsia" w:cstheme="minorEastAsia"/>
          <w:b/>
          <w:sz w:val="24"/>
        </w:rPr>
      </w:pPr>
      <w:bookmarkStart w:id="149" w:name="_Toc5895197"/>
      <w:bookmarkStart w:id="150" w:name="_Toc520356173"/>
      <w:bookmarkStart w:id="151" w:name="_Toc61878488"/>
      <w:bookmarkStart w:id="152" w:name="_Toc310195723"/>
      <w:bookmarkStart w:id="153" w:name="_Ref467306874"/>
      <w:r>
        <w:rPr>
          <w:rFonts w:asciiTheme="minorEastAsia" w:hAnsiTheme="minorEastAsia" w:eastAsiaTheme="minorEastAsia" w:cstheme="minorEastAsia"/>
          <w:b/>
          <w:sz w:val="24"/>
        </w:rPr>
        <w:t>25.接受</w:t>
      </w:r>
      <w:r>
        <w:rPr>
          <w:rFonts w:asciiTheme="minorEastAsia" w:hAnsiTheme="minorEastAsia" w:eastAsiaTheme="minorEastAsia" w:cstheme="minorEastAsia"/>
          <w:b/>
          <w:sz w:val="24"/>
          <w:lang w:val="en-US"/>
        </w:rPr>
        <w:t>或</w:t>
      </w:r>
      <w:r>
        <w:rPr>
          <w:rFonts w:asciiTheme="minorEastAsia" w:hAnsiTheme="minorEastAsia" w:eastAsiaTheme="minorEastAsia" w:cstheme="minorEastAsia"/>
          <w:b/>
          <w:sz w:val="24"/>
        </w:rPr>
        <w:t>拒绝任何投标的权利</w:t>
      </w:r>
      <w:bookmarkEnd w:id="149"/>
      <w:bookmarkEnd w:id="150"/>
      <w:bookmarkEnd w:id="151"/>
      <w:bookmarkEnd w:id="152"/>
      <w:bookmarkEnd w:id="153"/>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25.1为维护国家和社会公共利益，采购人和采购代理机构保留在授标之前任何时候接受或拒绝任何投标的权利，且对受影响的投标人不承担任何责任。</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25.2因不可抗力或中标人自身原因不能履约等情形，采购人保留与其他候选人签订合同的权利。</w:t>
      </w:r>
    </w:p>
    <w:p>
      <w:pPr>
        <w:pStyle w:val="2"/>
        <w:spacing w:line="360" w:lineRule="auto"/>
        <w:rPr>
          <w:rFonts w:hint="default" w:asciiTheme="minorEastAsia" w:hAnsiTheme="minorEastAsia" w:eastAsiaTheme="minorEastAsia" w:cstheme="minorEastAsia"/>
          <w:b/>
          <w:sz w:val="24"/>
          <w:lang w:val="en-US"/>
        </w:rPr>
      </w:pPr>
      <w:bookmarkStart w:id="154" w:name="_Toc520356174"/>
      <w:bookmarkStart w:id="155" w:name="_Toc310195724"/>
      <w:bookmarkStart w:id="156" w:name="_Toc5895198"/>
      <w:bookmarkStart w:id="157" w:name="_Toc61878489"/>
      <w:r>
        <w:rPr>
          <w:rFonts w:asciiTheme="minorEastAsia" w:hAnsiTheme="minorEastAsia" w:eastAsiaTheme="minorEastAsia" w:cstheme="minorEastAsia"/>
          <w:b/>
          <w:sz w:val="24"/>
        </w:rPr>
        <w:t>26.中标通知书</w:t>
      </w:r>
      <w:bookmarkEnd w:id="154"/>
      <w:bookmarkEnd w:id="155"/>
      <w:r>
        <w:rPr>
          <w:rFonts w:asciiTheme="minorEastAsia" w:hAnsiTheme="minorEastAsia" w:eastAsiaTheme="minorEastAsia" w:cstheme="minorEastAsia"/>
          <w:b/>
          <w:sz w:val="24"/>
          <w:lang w:val="en-US"/>
        </w:rPr>
        <w:t>和结果</w:t>
      </w:r>
      <w:r>
        <w:rPr>
          <w:rFonts w:asciiTheme="minorEastAsia" w:hAnsiTheme="minorEastAsia" w:eastAsiaTheme="minorEastAsia" w:cstheme="minorEastAsia"/>
          <w:b/>
          <w:sz w:val="24"/>
        </w:rPr>
        <w:t>通知</w:t>
      </w:r>
      <w:bookmarkEnd w:id="156"/>
      <w:bookmarkEnd w:id="157"/>
    </w:p>
    <w:p>
      <w:pPr>
        <w:pStyle w:val="117"/>
        <w:spacing w:line="360" w:lineRule="auto"/>
        <w:rPr>
          <w:rFonts w:asciiTheme="minorEastAsia" w:hAnsiTheme="minorEastAsia" w:eastAsiaTheme="minorEastAsia" w:cstheme="minorEastAsia"/>
          <w:sz w:val="24"/>
        </w:rPr>
      </w:pPr>
      <w:bookmarkStart w:id="158" w:name="_Toc5895199"/>
      <w:bookmarkStart w:id="159" w:name="_Ref467307062"/>
      <w:bookmarkStart w:id="160" w:name="_Ref467306978"/>
      <w:bookmarkStart w:id="161" w:name="_Toc520356175"/>
      <w:bookmarkStart w:id="162" w:name="_Toc310195725"/>
      <w:bookmarkStart w:id="163" w:name="_Ref467306377"/>
      <w:bookmarkStart w:id="164" w:name="_Ref467307204"/>
      <w:r>
        <w:rPr>
          <w:rFonts w:hint="eastAsia" w:asciiTheme="minorEastAsia" w:hAnsiTheme="minorEastAsia" w:eastAsiaTheme="minorEastAsia" w:cstheme="minorEastAsia"/>
          <w:sz w:val="24"/>
        </w:rPr>
        <w:t>26.1采购人或者采购代理机构应当自中标人确定之日起2个工作日内，在省级以上财政部门指定的媒体上公告中标结果，招标文件应当随中标结果同时公告。</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26.2中标公告期限为1个工作日。</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26.3中标通知书是合同的组成部分。</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26.4未中标的投标人应当在中标结果公示后5个工作日内领取结果通知书。</w:t>
      </w:r>
    </w:p>
    <w:p>
      <w:pPr>
        <w:pStyle w:val="2"/>
        <w:spacing w:line="360" w:lineRule="auto"/>
        <w:rPr>
          <w:rFonts w:hint="default" w:asciiTheme="minorEastAsia" w:hAnsiTheme="minorEastAsia" w:eastAsiaTheme="minorEastAsia" w:cstheme="minorEastAsia"/>
          <w:b/>
          <w:color w:val="000000" w:themeColor="text1"/>
          <w:sz w:val="24"/>
          <w14:textFill>
            <w14:solidFill>
              <w14:schemeClr w14:val="tx1"/>
            </w14:solidFill>
          </w14:textFill>
        </w:rPr>
      </w:pPr>
      <w:bookmarkStart w:id="165" w:name="_Toc61878490"/>
      <w:r>
        <w:rPr>
          <w:rFonts w:asciiTheme="minorEastAsia" w:hAnsiTheme="minorEastAsia" w:eastAsiaTheme="minorEastAsia" w:cstheme="minorEastAsia"/>
          <w:b/>
          <w:color w:val="000000" w:themeColor="text1"/>
          <w:sz w:val="24"/>
          <w14:textFill>
            <w14:solidFill>
              <w14:schemeClr w14:val="tx1"/>
            </w14:solidFill>
          </w14:textFill>
        </w:rPr>
        <w:t>27. 签订合同</w:t>
      </w:r>
      <w:bookmarkEnd w:id="158"/>
      <w:bookmarkEnd w:id="159"/>
      <w:bookmarkEnd w:id="160"/>
      <w:bookmarkEnd w:id="161"/>
      <w:bookmarkEnd w:id="162"/>
      <w:bookmarkEnd w:id="163"/>
      <w:bookmarkEnd w:id="164"/>
      <w:bookmarkEnd w:id="165"/>
    </w:p>
    <w:p>
      <w:pPr>
        <w:pStyle w:val="117"/>
        <w:spacing w:line="360" w:lineRule="auto"/>
        <w:rPr>
          <w:rFonts w:asciiTheme="minorEastAsia" w:hAnsiTheme="minorEastAsia" w:eastAsiaTheme="minorEastAsia" w:cstheme="minorEastAsia"/>
          <w:sz w:val="24"/>
        </w:rPr>
      </w:pPr>
      <w:bookmarkStart w:id="166" w:name="_Toc5895200"/>
      <w:bookmarkStart w:id="167" w:name="_Toc310195726"/>
      <w:r>
        <w:rPr>
          <w:rFonts w:hint="eastAsia" w:asciiTheme="minorEastAsia" w:hAnsiTheme="minorEastAsia" w:eastAsiaTheme="minorEastAsia" w:cstheme="minorEastAsia"/>
          <w:sz w:val="24"/>
        </w:rPr>
        <w:t>27.1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27.2招标文件、中标人的投标文件及其澄清文件等，均为签订合同的依据。</w:t>
      </w:r>
    </w:p>
    <w:p>
      <w:pPr>
        <w:pStyle w:val="117"/>
        <w:spacing w:line="360" w:lineRule="auto"/>
        <w:outlineLvl w:val="2"/>
        <w:rPr>
          <w:rFonts w:asciiTheme="minorEastAsia" w:hAnsiTheme="minorEastAsia" w:eastAsiaTheme="minorEastAsia" w:cstheme="minorEastAsia"/>
          <w:b/>
          <w:sz w:val="24"/>
        </w:rPr>
      </w:pPr>
      <w:bookmarkStart w:id="168" w:name="_Toc61878491"/>
      <w:r>
        <w:rPr>
          <w:rFonts w:hint="eastAsia" w:asciiTheme="minorEastAsia" w:hAnsiTheme="minorEastAsia" w:eastAsiaTheme="minorEastAsia" w:cstheme="minorEastAsia"/>
          <w:b/>
          <w:sz w:val="24"/>
        </w:rPr>
        <w:t>28.履约保证金</w:t>
      </w:r>
      <w:bookmarkEnd w:id="166"/>
      <w:bookmarkEnd w:id="167"/>
      <w:bookmarkEnd w:id="168"/>
    </w:p>
    <w:p>
      <w:pPr>
        <w:spacing w:before="120" w:line="360" w:lineRule="auto"/>
        <w:rPr>
          <w:rFonts w:asciiTheme="minorEastAsia" w:hAnsiTheme="minorEastAsia" w:eastAsiaTheme="minorEastAsia" w:cstheme="minorEastAsia"/>
          <w:sz w:val="24"/>
        </w:rPr>
      </w:pPr>
      <w:bookmarkStart w:id="169" w:name="_Toc520424502"/>
      <w:bookmarkStart w:id="170" w:name="_Toc520647611"/>
      <w:bookmarkStart w:id="171" w:name="_Toc518803443"/>
      <w:r>
        <w:rPr>
          <w:rFonts w:hint="eastAsia" w:asciiTheme="minorEastAsia" w:hAnsiTheme="minorEastAsia" w:eastAsiaTheme="minorEastAsia" w:cstheme="minorEastAsia"/>
          <w:sz w:val="24"/>
        </w:rPr>
        <w:t>28.1提交履约保证金的时间：详见投标人须知资料表。</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28.1.1履约保证金用于补偿采购人因中标人不能履行其合同义务而蒙受的损失。</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28.1.2提交履约保证金形式：支票、汇票、本票或者金融机构、担保机构出具的保函等非现金形式。 </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28.1.3履约保证金在法定的服务质量保证期期满前应完全有效。</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28.1.4如果中标人未能按合同规定履行其义务，采购人有权从履约保证金中取得补偿。</w:t>
      </w:r>
    </w:p>
    <w:p>
      <w:pPr>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28.2如果中标人没有按照上述第27条的规定执行，采购人和采购代理机构将取消该中标决定，该中标人的投标保证金不予返还，同时将结果报政府采购监督管理部门备案。采购人和采购代理机构可将中标结果授予下一个中标人候选人，或重新招标。</w:t>
      </w:r>
    </w:p>
    <w:p>
      <w:pPr>
        <w:pStyle w:val="2"/>
        <w:spacing w:line="360" w:lineRule="auto"/>
        <w:ind w:left="899" w:hanging="899"/>
        <w:jc w:val="center"/>
        <w:rPr>
          <w:rFonts w:hint="default" w:asciiTheme="minorEastAsia" w:hAnsiTheme="minorEastAsia" w:eastAsiaTheme="minorEastAsia" w:cstheme="minorEastAsia"/>
          <w:sz w:val="24"/>
        </w:rPr>
      </w:pPr>
      <w:bookmarkStart w:id="172" w:name="_Toc310195727"/>
      <w:bookmarkStart w:id="173" w:name="_Toc5895201"/>
      <w:bookmarkStart w:id="174" w:name="_Toc61878492"/>
      <w:r>
        <w:rPr>
          <w:rFonts w:asciiTheme="minorEastAsia" w:hAnsiTheme="minorEastAsia" w:eastAsiaTheme="minorEastAsia" w:cstheme="minorEastAsia"/>
          <w:sz w:val="24"/>
        </w:rPr>
        <w:t>七、中标服务费</w:t>
      </w:r>
      <w:bookmarkEnd w:id="169"/>
      <w:bookmarkEnd w:id="170"/>
      <w:bookmarkEnd w:id="171"/>
      <w:bookmarkEnd w:id="172"/>
      <w:bookmarkEnd w:id="173"/>
      <w:bookmarkEnd w:id="174"/>
    </w:p>
    <w:p>
      <w:pPr>
        <w:pStyle w:val="2"/>
        <w:spacing w:line="360" w:lineRule="auto"/>
        <w:rPr>
          <w:rFonts w:hint="default" w:asciiTheme="minorEastAsia" w:hAnsiTheme="minorEastAsia" w:eastAsiaTheme="minorEastAsia" w:cstheme="minorEastAsia"/>
          <w:b/>
          <w:sz w:val="24"/>
        </w:rPr>
      </w:pPr>
      <w:bookmarkStart w:id="175" w:name="_Toc310195728"/>
      <w:bookmarkStart w:id="176" w:name="_Toc520647612"/>
      <w:bookmarkStart w:id="177" w:name="_Ref467306463"/>
      <w:bookmarkStart w:id="178" w:name="_Toc518803444"/>
      <w:bookmarkStart w:id="179" w:name="_Toc5895202"/>
      <w:bookmarkStart w:id="180" w:name="_Toc520424503"/>
      <w:bookmarkStart w:id="181" w:name="_Toc61878493"/>
      <w:r>
        <w:rPr>
          <w:rFonts w:asciiTheme="minorEastAsia" w:hAnsiTheme="minorEastAsia" w:eastAsiaTheme="minorEastAsia" w:cstheme="minorEastAsia"/>
          <w:b/>
          <w:sz w:val="24"/>
        </w:rPr>
        <w:t>29.中标服务费</w:t>
      </w:r>
      <w:bookmarkEnd w:id="175"/>
      <w:bookmarkEnd w:id="176"/>
      <w:bookmarkEnd w:id="177"/>
      <w:bookmarkEnd w:id="178"/>
      <w:bookmarkEnd w:id="179"/>
      <w:bookmarkEnd w:id="180"/>
      <w:bookmarkEnd w:id="181"/>
    </w:p>
    <w:p>
      <w:pPr>
        <w:pStyle w:val="117"/>
        <w:spacing w:line="360" w:lineRule="auto"/>
        <w:rPr>
          <w:rFonts w:asciiTheme="minorEastAsia" w:hAnsiTheme="minorEastAsia" w:eastAsiaTheme="minorEastAsia" w:cstheme="minorEastAsia"/>
          <w:sz w:val="24"/>
        </w:rPr>
      </w:pPr>
      <w:bookmarkStart w:id="182" w:name="_Ref467307288"/>
      <w:r>
        <w:rPr>
          <w:rFonts w:hint="eastAsia" w:asciiTheme="minorEastAsia" w:hAnsiTheme="minorEastAsia" w:eastAsiaTheme="minorEastAsia" w:cstheme="minorEastAsia"/>
          <w:sz w:val="24"/>
        </w:rPr>
        <w:t>29.1</w:t>
      </w:r>
      <w:bookmarkEnd w:id="182"/>
      <w:r>
        <w:rPr>
          <w:rFonts w:hint="eastAsia" w:asciiTheme="minorEastAsia" w:hAnsiTheme="minorEastAsia" w:eastAsiaTheme="minorEastAsia" w:cstheme="minorEastAsia"/>
          <w:sz w:val="24"/>
        </w:rPr>
        <w:t>采购代理机构参照原计价格[2002]1980号文、</w:t>
      </w:r>
      <w:r>
        <w:rPr>
          <w:rFonts w:hint="eastAsia" w:asciiTheme="minorEastAsia" w:hAnsiTheme="minorEastAsia" w:eastAsiaTheme="minorEastAsia" w:cstheme="minorEastAsia"/>
          <w:kern w:val="0"/>
          <w:sz w:val="24"/>
        </w:rPr>
        <w:t>发改办价格[2003]857号文及发改价格[2011]534号文有关规定下浮5%收取</w:t>
      </w:r>
      <w:r>
        <w:rPr>
          <w:rFonts w:hint="eastAsia" w:asciiTheme="minorEastAsia" w:hAnsiTheme="minorEastAsia" w:eastAsiaTheme="minorEastAsia" w:cstheme="minorEastAsia"/>
          <w:sz w:val="24"/>
        </w:rPr>
        <w:t>中标服务费用。此项费用不单独开列而应计入投标价。</w:t>
      </w:r>
    </w:p>
    <w:p>
      <w:pPr>
        <w:pStyle w:val="117"/>
        <w:spacing w:line="360" w:lineRule="auto"/>
        <w:rPr>
          <w:rFonts w:asciiTheme="minorEastAsia" w:hAnsiTheme="minorEastAsia" w:eastAsiaTheme="minorEastAsia" w:cstheme="minorEastAsia"/>
          <w:sz w:val="24"/>
        </w:rPr>
      </w:pPr>
      <w:bookmarkStart w:id="183" w:name="_Ref467307311"/>
      <w:r>
        <w:rPr>
          <w:rFonts w:hint="eastAsia" w:asciiTheme="minorEastAsia" w:hAnsiTheme="minorEastAsia" w:eastAsiaTheme="minorEastAsia" w:cstheme="minorEastAsia"/>
          <w:sz w:val="24"/>
        </w:rPr>
        <w:t>29.2中标通知书发出时向采购代理机构一次性缴付中标服务费。</w:t>
      </w:r>
      <w:bookmarkEnd w:id="183"/>
    </w:p>
    <w:p>
      <w:pPr>
        <w:pStyle w:val="117"/>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29.3中标服务费将以支票（北京地区）或电汇等方式收取。中标人如未按29.1和29.2条规定办理，采购代理机构将没收其投标保证金。</w:t>
      </w:r>
    </w:p>
    <w:p>
      <w:pPr>
        <w:pStyle w:val="117"/>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29.4招标文件明确规定中标服务费由中标人支付的，投标人应在投标文件中提供中标服务费承诺书。</w:t>
      </w:r>
    </w:p>
    <w:p>
      <w:pPr>
        <w:pStyle w:val="2"/>
        <w:spacing w:line="360" w:lineRule="auto"/>
        <w:ind w:left="899" w:hanging="899"/>
        <w:jc w:val="center"/>
        <w:rPr>
          <w:rFonts w:hint="default" w:asciiTheme="minorEastAsia" w:hAnsiTheme="minorEastAsia" w:eastAsiaTheme="minorEastAsia" w:cstheme="minorEastAsia"/>
          <w:sz w:val="24"/>
          <w:szCs w:val="24"/>
        </w:rPr>
      </w:pPr>
      <w:bookmarkStart w:id="184" w:name="_Toc61878494"/>
      <w:bookmarkStart w:id="185" w:name="_Toc5895203"/>
      <w:r>
        <w:rPr>
          <w:rFonts w:asciiTheme="minorEastAsia" w:hAnsiTheme="minorEastAsia" w:eastAsiaTheme="minorEastAsia" w:cstheme="minorEastAsia"/>
          <w:sz w:val="24"/>
          <w:szCs w:val="24"/>
        </w:rPr>
        <w:t>八、履约验收</w:t>
      </w:r>
      <w:bookmarkEnd w:id="184"/>
      <w:bookmarkEnd w:id="185"/>
    </w:p>
    <w:p>
      <w:pPr>
        <w:pStyle w:val="2"/>
        <w:spacing w:line="360" w:lineRule="auto"/>
        <w:rPr>
          <w:rFonts w:hint="default" w:asciiTheme="minorEastAsia" w:hAnsiTheme="minorEastAsia" w:eastAsiaTheme="minorEastAsia" w:cstheme="minorEastAsia"/>
          <w:b/>
          <w:sz w:val="24"/>
        </w:rPr>
      </w:pPr>
      <w:bookmarkStart w:id="186" w:name="_Toc61878495"/>
      <w:bookmarkStart w:id="187" w:name="_Toc5895204"/>
      <w:r>
        <w:rPr>
          <w:rFonts w:asciiTheme="minorEastAsia" w:hAnsiTheme="minorEastAsia" w:eastAsiaTheme="minorEastAsia" w:cstheme="minorEastAsia"/>
          <w:b/>
          <w:sz w:val="24"/>
        </w:rPr>
        <w:t>30.履约验收</w:t>
      </w:r>
      <w:bookmarkEnd w:id="186"/>
      <w:bookmarkEnd w:id="187"/>
    </w:p>
    <w:p>
      <w:pPr>
        <w:pStyle w:val="117"/>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30.1</w:t>
      </w:r>
      <w:r>
        <w:rPr>
          <w:rFonts w:hint="eastAsia" w:asciiTheme="minorEastAsia" w:hAnsiTheme="minorEastAsia" w:eastAsiaTheme="minorEastAsia" w:cstheme="minorEastAsia"/>
          <w:bCs/>
          <w:sz w:val="24"/>
        </w:rPr>
        <w:t>采购人或者其委托的采购代理机构应当组织对供应商履约的验收。大型或者复杂的政府采购项目，应当邀请国家认可的质量检测机构参加验收工作。验收方成员应当在验收书上签字，并承担相应的法律责任。</w:t>
      </w:r>
    </w:p>
    <w:p>
      <w:pPr>
        <w:pStyle w:val="117"/>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30.2采购人或者采购代理机构应当按照政府采购合同规定的技术、服务、安全标准组织对投标人履约情况进行验收，并出具验收书。验收书应当包括每一项技术、服务、安全标准的履约情况。</w:t>
      </w:r>
    </w:p>
    <w:p>
      <w:pPr>
        <w:pStyle w:val="2"/>
        <w:spacing w:line="360" w:lineRule="auto"/>
        <w:ind w:left="899" w:hanging="899"/>
        <w:jc w:val="center"/>
        <w:rPr>
          <w:rFonts w:hint="default" w:asciiTheme="minorEastAsia" w:hAnsiTheme="minorEastAsia" w:eastAsiaTheme="minorEastAsia" w:cstheme="minorEastAsia"/>
          <w:sz w:val="24"/>
          <w:szCs w:val="24"/>
        </w:rPr>
      </w:pPr>
      <w:bookmarkStart w:id="188" w:name="_Toc61878496"/>
      <w:bookmarkStart w:id="189" w:name="_Toc529197212"/>
      <w:bookmarkStart w:id="190" w:name="_Toc5895205"/>
      <w:r>
        <w:rPr>
          <w:rFonts w:asciiTheme="minorEastAsia" w:hAnsiTheme="minorEastAsia" w:eastAsiaTheme="minorEastAsia" w:cstheme="minorEastAsia"/>
          <w:sz w:val="24"/>
          <w:szCs w:val="24"/>
        </w:rPr>
        <w:t>九、询问与质疑</w:t>
      </w:r>
      <w:bookmarkEnd w:id="188"/>
      <w:bookmarkEnd w:id="189"/>
      <w:bookmarkEnd w:id="190"/>
    </w:p>
    <w:p>
      <w:pPr>
        <w:pStyle w:val="2"/>
        <w:spacing w:line="360" w:lineRule="auto"/>
        <w:rPr>
          <w:rFonts w:hint="default" w:asciiTheme="minorEastAsia" w:hAnsiTheme="minorEastAsia" w:eastAsiaTheme="minorEastAsia" w:cstheme="minorEastAsia"/>
          <w:b/>
          <w:sz w:val="24"/>
        </w:rPr>
      </w:pPr>
      <w:bookmarkStart w:id="191" w:name="_Toc61878497"/>
      <w:bookmarkStart w:id="192" w:name="_Toc5895206"/>
      <w:r>
        <w:rPr>
          <w:rFonts w:asciiTheme="minorEastAsia" w:hAnsiTheme="minorEastAsia" w:eastAsiaTheme="minorEastAsia" w:cstheme="minorEastAsia"/>
          <w:b/>
          <w:sz w:val="24"/>
        </w:rPr>
        <w:t>31.询问</w:t>
      </w:r>
      <w:bookmarkEnd w:id="191"/>
      <w:bookmarkEnd w:id="192"/>
    </w:p>
    <w:p>
      <w:pPr>
        <w:pStyle w:val="117"/>
        <w:spacing w:line="360" w:lineRule="auto"/>
        <w:ind w:firstLine="480" w:firstLineChars="200"/>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投标人对政府采购活动事项有疑问的，可以向采购代理机构提出询问，采购代理机构应当在3个工作日内对投标人依法提出的询问作出答复，但答复的内容不得涉及商业秘密。</w:t>
      </w:r>
    </w:p>
    <w:p>
      <w:pPr>
        <w:pStyle w:val="2"/>
        <w:spacing w:line="360" w:lineRule="auto"/>
        <w:rPr>
          <w:rFonts w:hint="default" w:asciiTheme="minorEastAsia" w:hAnsiTheme="minorEastAsia" w:eastAsiaTheme="minorEastAsia" w:cstheme="minorEastAsia"/>
          <w:b/>
          <w:sz w:val="24"/>
        </w:rPr>
      </w:pPr>
      <w:bookmarkStart w:id="193" w:name="_Toc5895207"/>
      <w:bookmarkStart w:id="194" w:name="_Toc61878498"/>
      <w:r>
        <w:rPr>
          <w:rFonts w:asciiTheme="minorEastAsia" w:hAnsiTheme="minorEastAsia" w:eastAsiaTheme="minorEastAsia" w:cstheme="minorEastAsia"/>
          <w:b/>
          <w:sz w:val="24"/>
        </w:rPr>
        <w:t>32.质疑</w:t>
      </w:r>
      <w:bookmarkEnd w:id="193"/>
      <w:bookmarkEnd w:id="194"/>
    </w:p>
    <w:p>
      <w:pPr>
        <w:pStyle w:val="117"/>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32.1投标人认为招标文件、采购过程、中标结果使自己的权益受到损害的，可以在知道或者应知其权益受到损害之日起7个工作日内，以书面形式向采购人、采购代理机构提出质疑。</w:t>
      </w:r>
    </w:p>
    <w:p>
      <w:pPr>
        <w:pStyle w:val="117"/>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32.2投标人应在法定质疑期内一次性提出针对同一采购程序环节的质疑。</w:t>
      </w:r>
    </w:p>
    <w:p>
      <w:pPr>
        <w:pStyle w:val="117"/>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32.3投标人提出质疑应当提交质疑函和必要的证明材料。</w:t>
      </w:r>
    </w:p>
    <w:p>
      <w:pPr>
        <w:pStyle w:val="117"/>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32.4投标人进行质疑时，应当书面提交质疑函正本一份、副本一份及电子版一份（word版）。</w:t>
      </w:r>
    </w:p>
    <w:p>
      <w:pPr>
        <w:pStyle w:val="117"/>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32.5质疑函应当采用政府采购供应商质疑函范本格式，应当包括下列主要内容：</w:t>
      </w:r>
    </w:p>
    <w:p>
      <w:pPr>
        <w:pStyle w:val="117"/>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32.5.1 投标人的姓名或者名称、地址、邮编、联系人及联系电话；</w:t>
      </w:r>
    </w:p>
    <w:p>
      <w:pPr>
        <w:pStyle w:val="117"/>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32.5.2质疑项目的名称、编号；</w:t>
      </w:r>
    </w:p>
    <w:p>
      <w:pPr>
        <w:pStyle w:val="117"/>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32.5.3具体、明确的质疑事项和与质疑事项相关的请求；</w:t>
      </w:r>
    </w:p>
    <w:p>
      <w:pPr>
        <w:pStyle w:val="117"/>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32.5.4事实依据；</w:t>
      </w:r>
    </w:p>
    <w:p>
      <w:pPr>
        <w:pStyle w:val="117"/>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32.5.5必要的法律依据；</w:t>
      </w:r>
    </w:p>
    <w:p>
      <w:pPr>
        <w:pStyle w:val="117"/>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32.5.6提出质疑的日期。</w:t>
      </w:r>
    </w:p>
    <w:p>
      <w:pPr>
        <w:pStyle w:val="117"/>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32.6投标人为自然人的，应当由本人签字；投标人为法人或者其他组织的，应当由法定代表人、主要负责人，或者其授权代表签字或者盖章，并加盖公章。</w:t>
      </w:r>
    </w:p>
    <w:p>
      <w:pPr>
        <w:pStyle w:val="117"/>
        <w:spacing w:line="360" w:lineRule="auto"/>
        <w:rPr>
          <w:rFonts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32.7质疑投标人进行虚假、恶意质疑的，采购代理机构将向财政主管部门进行汇报。</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Cs/>
          <w:color w:val="000000"/>
          <w:sz w:val="24"/>
        </w:rPr>
        <w:t>32.8</w:t>
      </w:r>
      <w:r>
        <w:rPr>
          <w:rFonts w:hint="eastAsia" w:asciiTheme="minorEastAsia" w:hAnsiTheme="minorEastAsia" w:eastAsiaTheme="minorEastAsia" w:cstheme="minorEastAsia"/>
          <w:sz w:val="24"/>
        </w:rPr>
        <w:t>接收质疑函的方式：书面形式</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联系部门：华采招标集团有限公司</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通讯地址：北京市丰台区广安路9号国投财富广场6号楼1601室</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联系电话：010-63509799-8080</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邮    箱：hczb101@163.com</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 系 人：招标二部孙佳睿、崔丽洁、贾东敏、刘向前</w:t>
      </w:r>
    </w:p>
    <w:p>
      <w:pPr>
        <w:pStyle w:val="117"/>
        <w:spacing w:line="360" w:lineRule="auto"/>
        <w:rPr>
          <w:rFonts w:asciiTheme="minorEastAsia" w:hAnsiTheme="minorEastAsia" w:eastAsiaTheme="minorEastAsia" w:cstheme="minorEastAsia"/>
          <w:bCs/>
          <w:color w:val="000000"/>
          <w:sz w:val="24"/>
        </w:rPr>
      </w:pPr>
    </w:p>
    <w:p>
      <w:pPr>
        <w:spacing w:line="360" w:lineRule="auto"/>
        <w:rPr>
          <w:rFonts w:asciiTheme="minorEastAsia" w:hAnsiTheme="minorEastAsia" w:eastAsiaTheme="minorEastAsia" w:cstheme="minorEastAsia"/>
          <w:iCs/>
          <w:szCs w:val="28"/>
        </w:rPr>
      </w:pPr>
      <w:bookmarkStart w:id="195" w:name="_Toc5895208"/>
      <w:bookmarkStart w:id="196" w:name="_Toc5919"/>
      <w:bookmarkStart w:id="197" w:name="_Toc421633338"/>
      <w:bookmarkStart w:id="198" w:name="_Toc310195729"/>
    </w:p>
    <w:p>
      <w:pPr>
        <w:spacing w:line="360" w:lineRule="auto"/>
        <w:rPr>
          <w:rFonts w:asciiTheme="minorEastAsia" w:hAnsiTheme="minorEastAsia" w:eastAsiaTheme="minorEastAsia" w:cstheme="minorEastAsia"/>
          <w:iCs/>
          <w:szCs w:val="28"/>
        </w:rPr>
      </w:pPr>
      <w:r>
        <w:rPr>
          <w:rFonts w:hint="eastAsia" w:asciiTheme="minorEastAsia" w:hAnsiTheme="minorEastAsia" w:eastAsiaTheme="minorEastAsia" w:cstheme="minorEastAsia"/>
          <w:iCs/>
          <w:szCs w:val="28"/>
        </w:rPr>
        <w:br w:type="page"/>
      </w:r>
    </w:p>
    <w:p>
      <w:pPr>
        <w:pStyle w:val="3"/>
        <w:numPr>
          <w:ilvl w:val="0"/>
          <w:numId w:val="3"/>
        </w:numPr>
        <w:spacing w:before="0" w:after="0" w:line="360" w:lineRule="auto"/>
      </w:pPr>
      <w:bookmarkStart w:id="199" w:name="_Toc61878499"/>
      <w:r>
        <w:rPr>
          <w:rFonts w:hint="eastAsia" w:asciiTheme="minorEastAsia" w:hAnsiTheme="minorEastAsia" w:eastAsiaTheme="minorEastAsia" w:cstheme="minorEastAsia"/>
          <w:bCs w:val="0"/>
          <w:iCs/>
          <w:kern w:val="2"/>
          <w:szCs w:val="28"/>
          <w:lang w:val="en-US"/>
        </w:rPr>
        <w:t>采购需求</w:t>
      </w:r>
      <w:bookmarkEnd w:id="195"/>
      <w:bookmarkEnd w:id="196"/>
      <w:bookmarkEnd w:id="199"/>
      <w:bookmarkStart w:id="200" w:name="_Toc81493385"/>
      <w:bookmarkStart w:id="201" w:name="_Toc38805597"/>
      <w:bookmarkStart w:id="202" w:name="_Toc514078604"/>
      <w:bookmarkStart w:id="203" w:name="_Toc37344380"/>
      <w:bookmarkStart w:id="204" w:name="_Toc41409600"/>
      <w:bookmarkStart w:id="205" w:name="_Toc41567910"/>
      <w:bookmarkStart w:id="206" w:name="_Toc514078605"/>
      <w:bookmarkStart w:id="207" w:name="_Toc444463861"/>
      <w:bookmarkStart w:id="208" w:name="_Toc5895209"/>
      <w:bookmarkStart w:id="209" w:name="_Toc19449"/>
    </w:p>
    <w:p>
      <w:pPr>
        <w:pStyle w:val="4"/>
        <w:spacing w:before="0" w:line="360" w:lineRule="auto"/>
        <w:rPr>
          <w:sz w:val="28"/>
          <w:szCs w:val="28"/>
        </w:rPr>
      </w:pPr>
      <w:r>
        <w:rPr>
          <w:rFonts w:hint="eastAsia"/>
          <w:sz w:val="28"/>
          <w:szCs w:val="28"/>
        </w:rPr>
        <w:t>第一节 项目总说明</w:t>
      </w:r>
      <w:bookmarkEnd w:id="200"/>
      <w:bookmarkEnd w:id="201"/>
      <w:bookmarkEnd w:id="202"/>
      <w:bookmarkEnd w:id="203"/>
      <w:bookmarkEnd w:id="204"/>
      <w:bookmarkEnd w:id="205"/>
    </w:p>
    <w:p>
      <w:pPr>
        <w:pStyle w:val="129"/>
        <w:numPr>
          <w:ilvl w:val="1"/>
          <w:numId w:val="4"/>
        </w:numPr>
      </w:pPr>
      <w:bookmarkStart w:id="210" w:name="_Toc37944427"/>
      <w:bookmarkStart w:id="211" w:name="_Toc41567911"/>
      <w:bookmarkStart w:id="212" w:name="_Toc41409601"/>
      <w:bookmarkStart w:id="213" w:name="_Toc37941201"/>
      <w:bookmarkStart w:id="214" w:name="_Toc81493386"/>
      <w:bookmarkStart w:id="215" w:name="_Toc38805599"/>
      <w:bookmarkStart w:id="216" w:name="_Toc37344382"/>
      <w:r>
        <w:t>项目</w:t>
      </w:r>
      <w:r>
        <w:rPr>
          <w:rFonts w:hint="eastAsia"/>
        </w:rPr>
        <w:t>总体</w:t>
      </w:r>
      <w:r>
        <w:t>目标</w:t>
      </w:r>
      <w:bookmarkEnd w:id="210"/>
      <w:bookmarkEnd w:id="211"/>
      <w:bookmarkEnd w:id="212"/>
      <w:bookmarkEnd w:id="213"/>
      <w:bookmarkEnd w:id="214"/>
    </w:p>
    <w:p>
      <w:pPr>
        <w:pStyle w:val="130"/>
        <w:ind w:firstLineChars="0"/>
        <w:jc w:val="left"/>
        <w:rPr>
          <w:sz w:val="24"/>
        </w:rPr>
      </w:pPr>
      <w:r>
        <w:rPr>
          <w:rFonts w:hint="eastAsia"/>
          <w:sz w:val="24"/>
        </w:rPr>
        <w:t>为深入挖掘国产遥感卫星应用潜力，充分发挥卫星工程效益，加快提升自主卫星遥感数据、信息和技术的支撑保障能力，为国家重大战略实施、自然资源管理提质增效、相关行业应用和社会公众提供优质的服务，建设新发展格局中的自然资源陆地遥感卫星应用系统责无旁贷。应用系统作为卫星工程六大系统之一，是国家民用空间基础设施建设的重要组成部分,是构建天地一体化卫星应用工程的地面基础，也是发挥卫星应用效能、实现卫星工程效益最大化的关键。</w:t>
      </w:r>
    </w:p>
    <w:p>
      <w:pPr>
        <w:pStyle w:val="130"/>
        <w:ind w:firstLineChars="0"/>
        <w:rPr>
          <w:sz w:val="24"/>
        </w:rPr>
      </w:pPr>
      <w:r>
        <w:rPr>
          <w:rFonts w:hint="eastAsia"/>
          <w:sz w:val="24"/>
        </w:rPr>
        <w:t>自然资源陆地遥感卫星应用系统建设总体目标是充分利用国家民用空间基础设施遥感卫星资源，</w:t>
      </w:r>
      <w:r>
        <w:rPr>
          <w:rFonts w:hint="eastAsia" w:ascii="Times" w:hAnsi="Times"/>
          <w:sz w:val="24"/>
          <w:lang w:val="zh-CN"/>
        </w:rPr>
        <w:t>在充分继承现有应用系统建设成果的基础上，对软件系统进行功能扩充和适应性改造，扩建计算机业务支撑平台，</w:t>
      </w:r>
      <w:r>
        <w:rPr>
          <w:rFonts w:hint="eastAsia" w:ascii="Times" w:hAnsi="Times"/>
          <w:sz w:val="24"/>
        </w:rPr>
        <w:t>建立面向“</w:t>
      </w:r>
      <w:r>
        <w:rPr>
          <w:rFonts w:hint="eastAsia" w:ascii="Times" w:hAnsi="Times"/>
          <w:sz w:val="24"/>
          <w:lang w:val="zh-CN"/>
        </w:rPr>
        <w:t>可见光、高光谱、合成孔径雷达（</w:t>
      </w:r>
      <w:r>
        <w:rPr>
          <w:rFonts w:ascii="Times" w:hAnsi="Times"/>
          <w:sz w:val="24"/>
          <w:lang w:val="zh-CN"/>
        </w:rPr>
        <w:t>SAR</w:t>
      </w:r>
      <w:r>
        <w:rPr>
          <w:rFonts w:hint="eastAsia" w:ascii="Times" w:hAnsi="Times"/>
          <w:sz w:val="24"/>
          <w:lang w:val="zh-CN"/>
        </w:rPr>
        <w:t>）、激光和重力</w:t>
      </w:r>
      <w:r>
        <w:rPr>
          <w:rFonts w:hint="eastAsia" w:ascii="Times" w:hAnsi="Times"/>
          <w:sz w:val="24"/>
        </w:rPr>
        <w:t>”等多类型卫星的</w:t>
      </w:r>
      <w:r>
        <w:rPr>
          <w:rFonts w:hint="eastAsia"/>
          <w:sz w:val="24"/>
        </w:rPr>
        <w:t>长期稳定的业务化运行系统。该系统的建立将使自然资源陆地遥感卫星效益得到充分发挥，长期、稳定、高效地将遥感卫星影像转化为高质量的信息及产品，为</w:t>
      </w:r>
      <w:r>
        <w:rPr>
          <w:rFonts w:hint="eastAsia" w:ascii="Times" w:hAnsi="Times"/>
          <w:sz w:val="24"/>
          <w:lang w:val="zh-CN"/>
        </w:rPr>
        <w:t>国家重大战略实施</w:t>
      </w:r>
      <w:r>
        <w:rPr>
          <w:rFonts w:hint="eastAsia" w:ascii="Times" w:hAnsi="Times"/>
          <w:sz w:val="24"/>
        </w:rPr>
        <w:t>提供有效的数据保障，</w:t>
      </w:r>
      <w:r>
        <w:rPr>
          <w:rFonts w:hint="eastAsia" w:ascii="Times" w:hAnsi="Times"/>
          <w:sz w:val="24"/>
          <w:lang w:val="zh-CN"/>
        </w:rPr>
        <w:t>为自然资源调查、监测、评价、监管、执法提供卫星遥感数据、信息及产品、技术和业务支撑。</w:t>
      </w:r>
      <w:r>
        <w:rPr>
          <w:rFonts w:hint="eastAsia" w:ascii="Times" w:hAnsi="Times"/>
          <w:sz w:val="24"/>
        </w:rPr>
        <w:t>同时</w:t>
      </w:r>
      <w:r>
        <w:rPr>
          <w:rFonts w:hint="eastAsia" w:ascii="Times" w:hAnsi="Times"/>
          <w:sz w:val="24"/>
          <w:lang w:val="zh-CN"/>
        </w:rPr>
        <w:t>逐步扩展至农林水利、生态环境、应急管理、区域规划、城市建设等重大行业应用，提升公众服务能力，充分发挥和释放国家民用空间基础设施卫星资源的应用效能</w:t>
      </w:r>
      <w:r>
        <w:rPr>
          <w:rFonts w:hint="eastAsia"/>
          <w:sz w:val="24"/>
        </w:rPr>
        <w:t>。</w:t>
      </w:r>
    </w:p>
    <w:p>
      <w:pPr>
        <w:pStyle w:val="130"/>
        <w:ind w:firstLineChars="0"/>
        <w:rPr>
          <w:sz w:val="24"/>
        </w:rPr>
      </w:pPr>
      <w:r>
        <w:rPr>
          <w:rFonts w:hint="eastAsia"/>
          <w:sz w:val="24"/>
        </w:rPr>
        <w:t>本项目作为卫星应用系统建设内容的一部分，依托国家民用空间基础设施建设,重点补充</w:t>
      </w:r>
      <w:r>
        <w:rPr>
          <w:rFonts w:ascii="Times" w:hAnsi="Times"/>
          <w:sz w:val="24"/>
          <w:lang w:val="zh-CN"/>
        </w:rPr>
        <w:t>多星的协调运行管理和调度</w:t>
      </w:r>
      <w:r>
        <w:rPr>
          <w:rFonts w:hint="eastAsia" w:ascii="Times" w:hAnsi="Times"/>
          <w:sz w:val="24"/>
          <w:lang w:val="zh-CN"/>
        </w:rPr>
        <w:t>、</w:t>
      </w:r>
      <w:r>
        <w:rPr>
          <w:rFonts w:ascii="Times" w:hAnsi="Times"/>
          <w:sz w:val="24"/>
          <w:lang w:val="zh-CN"/>
        </w:rPr>
        <w:t>卫星数据统筹</w:t>
      </w:r>
      <w:r>
        <w:rPr>
          <w:rFonts w:hint="eastAsia" w:ascii="Times" w:hAnsi="Times"/>
          <w:sz w:val="24"/>
          <w:lang w:val="zh-CN"/>
        </w:rPr>
        <w:t>、</w:t>
      </w:r>
      <w:r>
        <w:rPr>
          <w:rFonts w:ascii="Times" w:hAnsi="Times"/>
          <w:sz w:val="24"/>
          <w:lang w:val="zh-CN"/>
        </w:rPr>
        <w:t>数据产品归档管理</w:t>
      </w:r>
      <w:r>
        <w:rPr>
          <w:rFonts w:hint="eastAsia" w:ascii="Times" w:hAnsi="Times"/>
          <w:sz w:val="24"/>
          <w:lang w:val="zh-CN"/>
        </w:rPr>
        <w:t>和几何检校精度验证等能力，为自然资源调查、监测、评价、监管、执法提供基础支撑。</w:t>
      </w:r>
    </w:p>
    <w:p>
      <w:pPr>
        <w:pStyle w:val="129"/>
        <w:numPr>
          <w:ilvl w:val="1"/>
          <w:numId w:val="4"/>
        </w:numPr>
      </w:pPr>
      <w:bookmarkStart w:id="217" w:name="_Toc41409602"/>
      <w:bookmarkStart w:id="218" w:name="_Toc41567912"/>
      <w:bookmarkStart w:id="219" w:name="_Toc81493387"/>
      <w:r>
        <w:rPr>
          <w:rFonts w:hint="eastAsia"/>
        </w:rPr>
        <w:t>项目</w:t>
      </w:r>
      <w:bookmarkEnd w:id="215"/>
      <w:bookmarkEnd w:id="216"/>
      <w:bookmarkEnd w:id="217"/>
      <w:bookmarkEnd w:id="218"/>
      <w:r>
        <w:rPr>
          <w:rFonts w:hint="eastAsia"/>
        </w:rPr>
        <w:t>背景依据</w:t>
      </w:r>
      <w:bookmarkEnd w:id="219"/>
    </w:p>
    <w:p>
      <w:pPr>
        <w:pStyle w:val="130"/>
        <w:ind w:firstLineChars="0"/>
        <w:rPr>
          <w:sz w:val="24"/>
        </w:rPr>
      </w:pPr>
      <w:bookmarkStart w:id="220" w:name="_Toc361235837"/>
      <w:r>
        <w:rPr>
          <w:sz w:val="24"/>
        </w:rPr>
        <w:t>2015</w:t>
      </w:r>
      <w:r>
        <w:rPr>
          <w:rFonts w:hint="eastAsia"/>
          <w:sz w:val="24"/>
        </w:rPr>
        <w:t>年</w:t>
      </w:r>
      <w:r>
        <w:rPr>
          <w:sz w:val="24"/>
        </w:rPr>
        <w:t>4</w:t>
      </w:r>
      <w:r>
        <w:rPr>
          <w:rFonts w:hint="eastAsia"/>
          <w:sz w:val="24"/>
        </w:rPr>
        <w:t>月，国务院印发《关于加快推进生态文明建设的意见》，要求利用卫星遥感等技术手段，对自然资源和生态环境保护状况开展全天候监测，健全覆盖所有资源环境要素的监测网络体系。</w:t>
      </w:r>
    </w:p>
    <w:p>
      <w:pPr>
        <w:pStyle w:val="130"/>
        <w:ind w:firstLineChars="0"/>
        <w:rPr>
          <w:sz w:val="24"/>
        </w:rPr>
      </w:pPr>
      <w:r>
        <w:rPr>
          <w:sz w:val="24"/>
        </w:rPr>
        <w:t>2015</w:t>
      </w:r>
      <w:r>
        <w:rPr>
          <w:rFonts w:hint="eastAsia"/>
          <w:sz w:val="24"/>
        </w:rPr>
        <w:t>年</w:t>
      </w:r>
      <w:r>
        <w:rPr>
          <w:sz w:val="24"/>
        </w:rPr>
        <w:t>5</w:t>
      </w:r>
      <w:r>
        <w:rPr>
          <w:rFonts w:hint="eastAsia"/>
          <w:sz w:val="24"/>
        </w:rPr>
        <w:t>月国办印发的《国家民用空间基础设施中长期发展规划（</w:t>
      </w:r>
      <w:r>
        <w:rPr>
          <w:sz w:val="24"/>
        </w:rPr>
        <w:t>2015-2025</w:t>
      </w:r>
      <w:r>
        <w:rPr>
          <w:rFonts w:hint="eastAsia"/>
          <w:sz w:val="24"/>
        </w:rPr>
        <w:t>年）》指出，“民用空间基础设施既是信息化、智能化和现代化社会的战略性基础设施，也是推进科学发展、转变经济发展方式，实现创新驱动的重要手段和国家安全的重要支撑”，重点发展由陆地观测、海洋观测、大气观测三个系列，七个星座及三类专题卫星组成的遥感卫星系统，形成卫星遥感数据全球接收与全球服务能力；明确要求“有关应用部门负责将应用系统建设和运行纳入其业务发展规划，适度超前部署”。</w:t>
      </w:r>
    </w:p>
    <w:p>
      <w:pPr>
        <w:pStyle w:val="130"/>
        <w:ind w:firstLineChars="0"/>
        <w:rPr>
          <w:sz w:val="24"/>
        </w:rPr>
      </w:pPr>
      <w:r>
        <w:rPr>
          <w:sz w:val="24"/>
        </w:rPr>
        <w:t>2016</w:t>
      </w:r>
      <w:r>
        <w:rPr>
          <w:rFonts w:hint="eastAsia"/>
          <w:sz w:val="24"/>
        </w:rPr>
        <w:t>年</w:t>
      </w:r>
      <w:r>
        <w:rPr>
          <w:sz w:val="24"/>
        </w:rPr>
        <w:t>12</w:t>
      </w:r>
      <w:r>
        <w:rPr>
          <w:rFonts w:hint="eastAsia"/>
          <w:sz w:val="24"/>
        </w:rPr>
        <w:t>月，国务院印发《“十三五”国家信息化规划》提出，实施自然资源监测监管信息工程，建立全天候的自然资源监测技术体系，构建面向土地、海洋、能源、矿产资源、水、森林、草原、大气等多种资源的立体监控系统。</w:t>
      </w:r>
    </w:p>
    <w:p>
      <w:pPr>
        <w:pStyle w:val="130"/>
        <w:ind w:firstLineChars="0"/>
        <w:rPr>
          <w:sz w:val="24"/>
        </w:rPr>
      </w:pPr>
      <w:r>
        <w:rPr>
          <w:rFonts w:hint="eastAsia"/>
          <w:sz w:val="24"/>
        </w:rPr>
        <w:t>习近平总书记在党的十九大报告中提出改革生态环境监管体制，加强对生态文明建设的总体设计和组织领导，设立国有自然资源资产管理和自然生态监管机构。</w:t>
      </w:r>
      <w:r>
        <w:rPr>
          <w:sz w:val="24"/>
        </w:rPr>
        <w:t>2018</w:t>
      </w:r>
      <w:r>
        <w:rPr>
          <w:rFonts w:hint="eastAsia"/>
          <w:sz w:val="24"/>
        </w:rPr>
        <w:t>年</w:t>
      </w:r>
      <w:r>
        <w:rPr>
          <w:sz w:val="24"/>
        </w:rPr>
        <w:t>3</w:t>
      </w:r>
      <w:r>
        <w:rPr>
          <w:rFonts w:hint="eastAsia"/>
          <w:sz w:val="24"/>
        </w:rPr>
        <w:t>月，中共中央印发《深化党和国家机构改革方案》，提出组建自然资源部，统一行使全民所有自然资源资产所有者职责，统一行使所有国土空间用途管制和生态保护修复职责。面向新时代提高山水林田湖草等自然资源全要素、全覆盖、全天候调查监测及监管能力的新目标，迫切需要全面提升自然资源卫星遥感应用能力和服务水平。</w:t>
      </w:r>
    </w:p>
    <w:p>
      <w:pPr>
        <w:pStyle w:val="130"/>
        <w:ind w:firstLineChars="0"/>
        <w:rPr>
          <w:sz w:val="24"/>
        </w:rPr>
      </w:pPr>
      <w:r>
        <w:rPr>
          <w:sz w:val="24"/>
        </w:rPr>
        <w:t>2019</w:t>
      </w:r>
      <w:r>
        <w:rPr>
          <w:rFonts w:hint="eastAsia"/>
          <w:sz w:val="24"/>
        </w:rPr>
        <w:t>年</w:t>
      </w:r>
      <w:r>
        <w:rPr>
          <w:sz w:val="24"/>
        </w:rPr>
        <w:t>10</w:t>
      </w:r>
      <w:r>
        <w:rPr>
          <w:rFonts w:hint="eastAsia"/>
          <w:sz w:val="24"/>
        </w:rPr>
        <w:t>月，党的十九届四中全会提出，坚持和完善生态文明制度体系，促进人与自然和谐共生。生态文明建设是关系中华民族永续发展的千年大计，必须践行绿水青山就是金山银山的理念，坚持节约资源和保护环境的基本国策，坚持节约优先、保护优先、自然恢复为主的方针，坚定走生产发展、生活富裕、生态良好的文明发展道路，建设美丽中国。要实行最严格的生态环境保护制度，全面建立资源高效利用制度，健全生态保护和修复制度，严明生态环境保护责任制度。加快建立自然资源统一调查、评价、监测制度，健全自然资源监管体制。</w:t>
      </w:r>
    </w:p>
    <w:p>
      <w:pPr>
        <w:pStyle w:val="129"/>
        <w:numPr>
          <w:ilvl w:val="1"/>
          <w:numId w:val="4"/>
        </w:numPr>
      </w:pPr>
      <w:bookmarkStart w:id="221" w:name="_Toc41409603"/>
      <w:bookmarkStart w:id="222" w:name="_Toc37944429"/>
      <w:bookmarkStart w:id="223" w:name="_Toc11484569"/>
      <w:bookmarkStart w:id="224" w:name="_Toc41567913"/>
      <w:bookmarkStart w:id="225" w:name="_Toc530386405"/>
      <w:bookmarkStart w:id="226" w:name="_Toc37941203"/>
      <w:bookmarkStart w:id="227" w:name="_Toc38805600"/>
      <w:bookmarkStart w:id="228" w:name="_Toc81493388"/>
      <w:r>
        <w:rPr>
          <w:rFonts w:hint="eastAsia"/>
        </w:rPr>
        <w:t>总体系统</w:t>
      </w:r>
      <w:bookmarkEnd w:id="221"/>
      <w:bookmarkEnd w:id="222"/>
      <w:bookmarkEnd w:id="223"/>
      <w:bookmarkEnd w:id="224"/>
      <w:bookmarkEnd w:id="225"/>
      <w:bookmarkEnd w:id="226"/>
      <w:bookmarkEnd w:id="227"/>
      <w:r>
        <w:rPr>
          <w:rFonts w:hint="eastAsia"/>
        </w:rPr>
        <w:t>架构</w:t>
      </w:r>
      <w:bookmarkEnd w:id="228"/>
    </w:p>
    <w:p>
      <w:pPr>
        <w:pStyle w:val="131"/>
        <w:numPr>
          <w:ilvl w:val="2"/>
          <w:numId w:val="4"/>
        </w:numPr>
      </w:pPr>
      <w:r>
        <w:rPr>
          <w:rFonts w:hint="eastAsia"/>
        </w:rPr>
        <w:t>系统构成</w:t>
      </w:r>
    </w:p>
    <w:p>
      <w:pPr>
        <w:pStyle w:val="130"/>
        <w:ind w:firstLineChars="0"/>
        <w:rPr>
          <w:sz w:val="24"/>
        </w:rPr>
      </w:pPr>
      <w:r>
        <w:rPr>
          <w:rFonts w:hint="eastAsia"/>
          <w:sz w:val="24"/>
        </w:rPr>
        <w:t>卫星应用系统主要包括自然资源卫星运行管理与业务调度系统、自然资源卫星数据库管理系统、自然资源卫星检校与精度验证系统、自然资源卫星数据处理与基础产品生产系统、自然资源遥感调查监测系统、自然生态遥感调查监测系统、国土空间遥感监测评价系统、自然资源卫星数据产品质量检验系统、自然资源卫星影像云服务平台。</w:t>
      </w:r>
    </w:p>
    <w:p>
      <w:pPr>
        <w:pStyle w:val="132"/>
        <w:ind w:firstLine="0" w:firstLineChars="0"/>
        <w:jc w:val="center"/>
        <w:rPr>
          <w:rFonts w:ascii="Times" w:hAnsi="Times" w:eastAsia="黑体" w:cs="Arial"/>
          <w:b/>
          <w:snapToGrid w:val="0"/>
        </w:rPr>
      </w:pPr>
      <w:r>
        <w:rPr>
          <w:rFonts w:ascii="Times" w:hAnsi="Times" w:eastAsia="黑体" w:cs="Arial"/>
          <w:b/>
          <w:snapToGrid w:val="0"/>
        </w:rPr>
        <w:object>
          <v:shape id="_x0000_i1025" o:spt="75" type="#_x0000_t75" style="height:258pt;width:412.9pt;" o:ole="t" filled="f" o:preferrelative="t" stroked="f" coordsize="21600,21600">
            <v:path/>
            <v:fill on="f" focussize="0,0"/>
            <v:stroke on="f" joinstyle="miter"/>
            <v:imagedata r:id="rId23" o:title=""/>
            <o:lock v:ext="edit" aspectratio="t"/>
            <w10:wrap type="none"/>
            <w10:anchorlock/>
          </v:shape>
          <o:OLEObject Type="Embed" ProgID="Visio.Drawing.15" ShapeID="_x0000_i1025" DrawAspect="Content" ObjectID="_1468075725" r:id="rId22">
            <o:LockedField>false</o:LockedField>
          </o:OLEObject>
        </w:object>
      </w:r>
      <w:r>
        <w:rPr>
          <w:rFonts w:hint="eastAsia" w:ascii="Times" w:hAnsi="Times" w:eastAsia="黑体" w:cs="Arial"/>
          <w:b/>
          <w:snapToGrid w:val="0"/>
        </w:rPr>
        <w:t>图1系统架构</w:t>
      </w:r>
    </w:p>
    <w:p>
      <w:pPr>
        <w:pStyle w:val="130"/>
        <w:ind w:firstLineChars="0"/>
        <w:rPr>
          <w:sz w:val="24"/>
        </w:rPr>
      </w:pPr>
      <w:r>
        <w:rPr>
          <w:rFonts w:hint="eastAsia"/>
          <w:sz w:val="24"/>
        </w:rPr>
        <w:t>本项目建设内容为卫星应用系统建设的一部分，上图中“√”对应的分系统为本次项目建设内容。</w:t>
      </w:r>
    </w:p>
    <w:p>
      <w:pPr>
        <w:pStyle w:val="131"/>
        <w:numPr>
          <w:ilvl w:val="2"/>
          <w:numId w:val="4"/>
        </w:numPr>
      </w:pPr>
      <w:r>
        <w:rPr>
          <w:rFonts w:hint="eastAsia"/>
        </w:rPr>
        <w:t>部署环境</w:t>
      </w:r>
    </w:p>
    <w:p>
      <w:pPr>
        <w:pStyle w:val="130"/>
        <w:ind w:firstLineChars="0"/>
        <w:rPr>
          <w:rFonts w:ascii="Times" w:hAnsi="Times"/>
          <w:sz w:val="24"/>
        </w:rPr>
      </w:pPr>
      <w:r>
        <w:rPr>
          <w:rFonts w:hint="eastAsia"/>
          <w:sz w:val="24"/>
        </w:rPr>
        <w:t>卫星应用系统</w:t>
      </w:r>
      <w:r>
        <w:rPr>
          <w:rFonts w:hint="eastAsia" w:ascii="Times" w:hAnsi="Times"/>
          <w:sz w:val="24"/>
        </w:rPr>
        <w:t>基础</w:t>
      </w:r>
      <w:r>
        <w:rPr>
          <w:rFonts w:ascii="Times" w:hAnsi="Times"/>
          <w:sz w:val="24"/>
        </w:rPr>
        <w:t>设施</w:t>
      </w:r>
      <w:r>
        <w:rPr>
          <w:rFonts w:hint="eastAsia" w:ascii="Times" w:hAnsi="Times"/>
          <w:sz w:val="24"/>
        </w:rPr>
        <w:t>环境通过采用商用计算机设备、分布式存储设备、网络设备和安全设备，以及云管平台、数据库、操作系统等来实现卫星应用系统的基础硬件和软件支撑。基于基础软硬件之上构建的混合云架构是本项目建设部署的基础，使用云平台构建虚拟计算资源、虚拟存储资源和虚拟网络资源等，形成资源池，实现资源管理和引用的高可用和高性能，通过负载均衡功能合理分配用户访问和计算，支持在此基础上开发实现数据和应用的并行调度、动态迁移、以及系统和数据的容灾备份，同时符合</w:t>
      </w:r>
      <w:r>
        <w:rPr>
          <w:sz w:val="24"/>
        </w:rPr>
        <w:t>等保三级的</w:t>
      </w:r>
      <w:r>
        <w:rPr>
          <w:rFonts w:hint="eastAsia"/>
          <w:sz w:val="24"/>
        </w:rPr>
        <w:t>建设</w:t>
      </w:r>
      <w:r>
        <w:rPr>
          <w:sz w:val="24"/>
        </w:rPr>
        <w:t>要求</w:t>
      </w:r>
      <w:r>
        <w:rPr>
          <w:rFonts w:hint="eastAsia" w:ascii="Times" w:hAnsi="Times"/>
          <w:sz w:val="24"/>
        </w:rPr>
        <w:t>，确保了系统和数据安全。</w:t>
      </w:r>
    </w:p>
    <w:p>
      <w:pPr>
        <w:pStyle w:val="130"/>
        <w:ind w:firstLineChars="0"/>
        <w:rPr>
          <w:rFonts w:ascii="Times" w:hAnsi="Times"/>
          <w:sz w:val="24"/>
        </w:rPr>
      </w:pPr>
      <w:r>
        <w:rPr>
          <w:rFonts w:hint="eastAsia" w:ascii="Times" w:hAnsi="Times"/>
          <w:sz w:val="24"/>
        </w:rPr>
        <w:t>本项目建设内容部署在“内网”“外网”等业务区环境中。</w:t>
      </w:r>
    </w:p>
    <w:p>
      <w:pPr>
        <w:pStyle w:val="130"/>
        <w:ind w:firstLine="0" w:firstLineChars="0"/>
        <w:jc w:val="center"/>
        <w:rPr>
          <w:rFonts w:ascii="Times" w:hAnsi="Times"/>
        </w:rPr>
      </w:pPr>
      <w:r>
        <w:drawing>
          <wp:inline distT="0" distB="0" distL="114300" distR="114300">
            <wp:extent cx="5135245" cy="3219450"/>
            <wp:effectExtent l="0" t="0" r="8255"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24"/>
                    <a:srcRect l="8984" r="1898"/>
                    <a:stretch>
                      <a:fillRect/>
                    </a:stretch>
                  </pic:blipFill>
                  <pic:spPr>
                    <a:xfrm>
                      <a:off x="0" y="0"/>
                      <a:ext cx="5135245" cy="3219450"/>
                    </a:xfrm>
                    <a:prstGeom prst="rect">
                      <a:avLst/>
                    </a:prstGeom>
                    <a:noFill/>
                    <a:ln>
                      <a:noFill/>
                    </a:ln>
                  </pic:spPr>
                </pic:pic>
              </a:graphicData>
            </a:graphic>
          </wp:inline>
        </w:drawing>
      </w:r>
    </w:p>
    <w:p>
      <w:pPr>
        <w:pStyle w:val="132"/>
        <w:ind w:firstLine="0" w:firstLineChars="0"/>
        <w:jc w:val="center"/>
      </w:pPr>
      <w:r>
        <w:rPr>
          <w:rFonts w:hint="eastAsia" w:ascii="Times" w:hAnsi="Times" w:eastAsia="黑体" w:cs="Arial"/>
          <w:b/>
          <w:snapToGrid w:val="0"/>
        </w:rPr>
        <w:t>图</w:t>
      </w:r>
      <w:r>
        <w:rPr>
          <w:rFonts w:ascii="Times" w:hAnsi="Times" w:eastAsia="黑体" w:cs="Arial"/>
          <w:b/>
          <w:snapToGrid w:val="0"/>
        </w:rPr>
        <w:t>2</w:t>
      </w:r>
      <w:r>
        <w:rPr>
          <w:rFonts w:hint="eastAsia" w:ascii="Times" w:hAnsi="Times" w:eastAsia="黑体" w:cs="Arial"/>
          <w:b/>
          <w:snapToGrid w:val="0"/>
        </w:rPr>
        <w:t>基础设施环境</w:t>
      </w:r>
    </w:p>
    <w:p>
      <w:pPr>
        <w:pStyle w:val="131"/>
        <w:numPr>
          <w:ilvl w:val="2"/>
          <w:numId w:val="4"/>
        </w:numPr>
      </w:pPr>
      <w:r>
        <w:rPr>
          <w:rFonts w:hint="eastAsia"/>
        </w:rPr>
        <w:t>业务流程</w:t>
      </w:r>
    </w:p>
    <w:p>
      <w:pPr>
        <w:pStyle w:val="130"/>
        <w:ind w:firstLineChars="0"/>
        <w:rPr>
          <w:sz w:val="24"/>
        </w:rPr>
      </w:pPr>
      <w:r>
        <w:rPr>
          <w:rFonts w:hint="eastAsia"/>
          <w:sz w:val="24"/>
        </w:rPr>
        <w:t>卫星应用系统的建设、改造和升级是在现有的系统基础上进行，通过硬件、网络、软件系统的扩展和改造，支撑现有卫星和扩容承接国家投资的自然资源陆地观测业务卫星，兼顾同期在轨科研卫星观测，形成集卫星任务管理、业务产品协同生产、技术标准规范统一、信息资源同步共享的自然资源陆地遥感卫星业务应用系统。卫星应用系统建设、系统运行管理和数据产品生产服务的业务流程包括：总体设计与仿真、卫星运控、标准产品生产、业务产品生产、产品质量监测、数据产品管理、共享服务与综合应用，如下图所示。</w:t>
      </w:r>
    </w:p>
    <w:p>
      <w:pPr>
        <w:pStyle w:val="132"/>
        <w:ind w:firstLine="0" w:firstLineChars="0"/>
        <w:jc w:val="center"/>
        <w:rPr>
          <w:rFonts w:ascii="Times" w:hAnsi="Times" w:eastAsia="黑体" w:cs="Arial"/>
          <w:b/>
          <w:snapToGrid w:val="0"/>
        </w:rPr>
      </w:pPr>
      <w:r>
        <w:rPr>
          <w:rFonts w:ascii="Times" w:hAnsi="Times" w:eastAsia="黑体" w:cs="Arial"/>
          <w:b/>
        </w:rPr>
        <w:drawing>
          <wp:inline distT="0" distB="0" distL="114300" distR="114300">
            <wp:extent cx="5276215" cy="2251710"/>
            <wp:effectExtent l="0" t="0" r="635" b="1524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25"/>
                    <a:stretch>
                      <a:fillRect/>
                    </a:stretch>
                  </pic:blipFill>
                  <pic:spPr>
                    <a:xfrm>
                      <a:off x="0" y="0"/>
                      <a:ext cx="5276215" cy="2251710"/>
                    </a:xfrm>
                    <a:prstGeom prst="rect">
                      <a:avLst/>
                    </a:prstGeom>
                    <a:noFill/>
                    <a:ln>
                      <a:noFill/>
                    </a:ln>
                  </pic:spPr>
                </pic:pic>
              </a:graphicData>
            </a:graphic>
          </wp:inline>
        </w:drawing>
      </w:r>
    </w:p>
    <w:p>
      <w:pPr>
        <w:pStyle w:val="132"/>
        <w:ind w:firstLine="0" w:firstLineChars="0"/>
        <w:jc w:val="center"/>
        <w:rPr>
          <w:rFonts w:ascii="Times" w:hAnsi="Times" w:eastAsia="黑体" w:cs="Arial"/>
          <w:b/>
          <w:snapToGrid w:val="0"/>
        </w:rPr>
      </w:pPr>
      <w:r>
        <w:rPr>
          <w:rFonts w:hint="eastAsia" w:ascii="Times" w:hAnsi="Times" w:eastAsia="黑体" w:cs="Arial"/>
          <w:b/>
          <w:snapToGrid w:val="0"/>
        </w:rPr>
        <w:t>图3</w:t>
      </w:r>
      <w:r>
        <w:rPr>
          <w:rFonts w:ascii="Times" w:hAnsi="Times" w:eastAsia="黑体" w:cs="Arial"/>
          <w:b/>
          <w:snapToGrid w:val="0"/>
        </w:rPr>
        <w:t xml:space="preserve"> </w:t>
      </w:r>
      <w:r>
        <w:rPr>
          <w:rFonts w:hint="eastAsia" w:ascii="Times" w:hAnsi="Times" w:eastAsia="黑体" w:cs="Arial"/>
          <w:b/>
          <w:snapToGrid w:val="0"/>
        </w:rPr>
        <w:t>业务流程</w:t>
      </w:r>
    </w:p>
    <w:p>
      <w:pPr>
        <w:pStyle w:val="131"/>
        <w:numPr>
          <w:ilvl w:val="2"/>
          <w:numId w:val="4"/>
        </w:numPr>
      </w:pPr>
      <w:r>
        <w:rPr>
          <w:rFonts w:hint="eastAsia"/>
        </w:rPr>
        <w:t>业务接口</w:t>
      </w:r>
    </w:p>
    <w:p>
      <w:pPr>
        <w:pStyle w:val="130"/>
        <w:ind w:firstLineChars="0"/>
        <w:rPr>
          <w:sz w:val="24"/>
        </w:rPr>
      </w:pPr>
      <w:r>
        <w:rPr>
          <w:rFonts w:hint="eastAsia"/>
          <w:sz w:val="24"/>
        </w:rPr>
        <w:t>卫星应用系统业务接口如下图所示（本项目建设内容隶属于实框对应的系统）。</w:t>
      </w:r>
    </w:p>
    <w:p>
      <w:pPr>
        <w:pStyle w:val="132"/>
        <w:ind w:firstLine="0" w:firstLineChars="0"/>
        <w:jc w:val="center"/>
        <w:rPr>
          <w:rFonts w:ascii="Times" w:hAnsi="Times" w:eastAsia="黑体" w:cs="Arial"/>
          <w:b/>
          <w:snapToGrid w:val="0"/>
        </w:rPr>
      </w:pPr>
      <w:r>
        <w:rPr>
          <w:rFonts w:ascii="Times" w:hAnsi="Times" w:eastAsia="黑体" w:cs="Arial"/>
          <w:b/>
          <w:snapToGrid w:val="0"/>
        </w:rPr>
        <w:object>
          <v:shape id="_x0000_i1026" o:spt="75" type="#_x0000_t75" style="height:234.8pt;width:422.1pt;" o:ole="t" filled="f" o:preferrelative="t" stroked="f" coordsize="21600,21600">
            <v:path/>
            <v:fill on="f" focussize="0,0"/>
            <v:stroke on="f" joinstyle="miter"/>
            <v:imagedata r:id="rId27" o:title=""/>
            <o:lock v:ext="edit" aspectratio="t"/>
            <w10:wrap type="none"/>
            <w10:anchorlock/>
          </v:shape>
          <o:OLEObject Type="Embed" ProgID="Visio.Drawing.15" ShapeID="_x0000_i1026" DrawAspect="Content" ObjectID="_1468075726" r:id="rId26">
            <o:LockedField>false</o:LockedField>
          </o:OLEObject>
        </w:object>
      </w:r>
      <w:r>
        <w:rPr>
          <w:rFonts w:hint="eastAsia" w:ascii="Times" w:hAnsi="Times" w:eastAsia="黑体" w:cs="Arial"/>
          <w:b/>
          <w:snapToGrid w:val="0"/>
        </w:rPr>
        <w:t>图4</w:t>
      </w:r>
      <w:r>
        <w:rPr>
          <w:rFonts w:ascii="Times" w:hAnsi="Times" w:eastAsia="黑体" w:cs="Arial"/>
          <w:b/>
          <w:snapToGrid w:val="0"/>
        </w:rPr>
        <w:t xml:space="preserve"> </w:t>
      </w:r>
      <w:r>
        <w:rPr>
          <w:rFonts w:hint="eastAsia" w:ascii="Times" w:hAnsi="Times" w:eastAsia="黑体" w:cs="Arial"/>
          <w:b/>
          <w:snapToGrid w:val="0"/>
        </w:rPr>
        <w:t>业务接口</w:t>
      </w:r>
    </w:p>
    <w:p>
      <w:pPr>
        <w:pStyle w:val="130"/>
        <w:ind w:firstLineChars="0"/>
        <w:rPr>
          <w:sz w:val="24"/>
        </w:rPr>
      </w:pPr>
      <w:r>
        <w:rPr>
          <w:rFonts w:hint="eastAsia"/>
        </w:rPr>
        <w:t>（</w:t>
      </w:r>
      <w:r>
        <w:t>1</w:t>
      </w:r>
      <w:r>
        <w:rPr>
          <w:rFonts w:hint="eastAsia"/>
        </w:rPr>
        <w:t>）</w:t>
      </w:r>
      <w:r>
        <w:rPr>
          <w:rFonts w:hint="eastAsia"/>
          <w:sz w:val="24"/>
        </w:rPr>
        <w:t>在业务运行系统中，所有任务单指令均由自然资源卫星运行管理与业务调度系统发出，在各业务系统接到自然资源卫星运行管理与业务调度系统发出的任务单之后进行相应的处理、生产、质检、归档等处理，各分系统完成任务后向业务运行管理与调度业务系统反馈处理状态信息；</w:t>
      </w:r>
    </w:p>
    <w:p>
      <w:pPr>
        <w:pStyle w:val="130"/>
        <w:ind w:firstLineChars="0"/>
        <w:rPr>
          <w:sz w:val="24"/>
        </w:rPr>
      </w:pPr>
      <w:r>
        <w:rPr>
          <w:rFonts w:hint="eastAsia"/>
          <w:sz w:val="24"/>
        </w:rPr>
        <w:t>（</w:t>
      </w:r>
      <w:r>
        <w:rPr>
          <w:sz w:val="24"/>
        </w:rPr>
        <w:t>2</w:t>
      </w:r>
      <w:r>
        <w:rPr>
          <w:rFonts w:hint="eastAsia"/>
          <w:sz w:val="24"/>
        </w:rPr>
        <w:t>）所有数据产品均要经过自然资源卫星数据产品质量检验系统质检之后归档，需要质检的数据包括接收数据，各级产品生产分系统生产的业务产品。各分系统完成数据产品生产后要先存入工作空间，并向自然资源卫星数据产品质量检验系统提交质检申请，在完成质检之后，由自然资源卫星数据产品质量检验系统向自然资源卫星运行管理与业务调度系统交质检报告，如果合格，自然资源卫星运行管理与业务调度系统会向自然资源卫星数据库管理系统下发归档指令，自然资源卫星数据库管理系统会将工作空间的产品进行归档。</w:t>
      </w:r>
    </w:p>
    <w:p>
      <w:pPr>
        <w:widowControl/>
        <w:spacing w:line="360" w:lineRule="auto"/>
        <w:jc w:val="left"/>
        <w:rPr>
          <w:rFonts w:hAnsi="宋体"/>
        </w:rPr>
      </w:pPr>
      <w:r>
        <w:br w:type="page"/>
      </w:r>
    </w:p>
    <w:bookmarkEnd w:id="220"/>
    <w:p>
      <w:pPr>
        <w:pStyle w:val="128"/>
        <w:numPr>
          <w:ilvl w:val="0"/>
          <w:numId w:val="0"/>
        </w:numPr>
        <w:spacing w:line="360" w:lineRule="auto"/>
        <w:ind w:left="425"/>
        <w:jc w:val="both"/>
        <w:rPr>
          <w:sz w:val="28"/>
          <w:szCs w:val="28"/>
        </w:rPr>
      </w:pPr>
      <w:bookmarkStart w:id="229" w:name="_Toc41409606"/>
      <w:bookmarkStart w:id="230" w:name="_Toc41567916"/>
      <w:bookmarkStart w:id="231" w:name="_Toc81493389"/>
      <w:r>
        <w:rPr>
          <w:rFonts w:hint="eastAsia"/>
          <w:sz w:val="28"/>
          <w:szCs w:val="28"/>
        </w:rPr>
        <w:t>第二节 项目建设要求</w:t>
      </w:r>
      <w:bookmarkEnd w:id="206"/>
      <w:bookmarkEnd w:id="229"/>
      <w:bookmarkEnd w:id="230"/>
      <w:bookmarkEnd w:id="231"/>
    </w:p>
    <w:p>
      <w:pPr>
        <w:pStyle w:val="133"/>
        <w:rPr>
          <w:rFonts w:ascii="Times" w:hAnsi="Times"/>
          <w:sz w:val="24"/>
          <w:szCs w:val="24"/>
        </w:rPr>
      </w:pPr>
      <w:r>
        <w:rPr>
          <w:rFonts w:hint="eastAsia" w:ascii="Times" w:hAnsi="Times"/>
          <w:sz w:val="24"/>
          <w:szCs w:val="24"/>
        </w:rPr>
        <w:t>根据自然资源陆地遥感卫星应用系统建设方案的总体要求，本着</w:t>
      </w:r>
      <w:r>
        <w:rPr>
          <w:rFonts w:ascii="Times" w:hAnsi="Times"/>
          <w:sz w:val="24"/>
          <w:szCs w:val="24"/>
        </w:rPr>
        <w:t>“</w:t>
      </w:r>
      <w:r>
        <w:rPr>
          <w:rFonts w:hint="eastAsia" w:ascii="Times" w:hAnsi="Times"/>
          <w:sz w:val="24"/>
          <w:szCs w:val="24"/>
        </w:rPr>
        <w:t>超前设计、体系完备、架构灵活、边建边用、中期评估、适时演进</w:t>
      </w:r>
      <w:r>
        <w:rPr>
          <w:rFonts w:ascii="Times" w:hAnsi="Times"/>
          <w:sz w:val="24"/>
          <w:szCs w:val="24"/>
        </w:rPr>
        <w:t>”</w:t>
      </w:r>
      <w:r>
        <w:rPr>
          <w:rFonts w:hint="eastAsia" w:ascii="Times" w:hAnsi="Times"/>
          <w:sz w:val="24"/>
          <w:szCs w:val="24"/>
        </w:rPr>
        <w:t>的原则，在充分继承现有应用系统建设成果的基础上，针对性的开展软件系统进行功能扩充和适应性改造，按照以下</w:t>
      </w:r>
      <w:r>
        <w:rPr>
          <w:rFonts w:ascii="Times" w:hAnsi="Times"/>
          <w:sz w:val="24"/>
          <w:szCs w:val="24"/>
        </w:rPr>
        <w:t>2</w:t>
      </w:r>
      <w:r>
        <w:rPr>
          <w:rFonts w:hint="eastAsia" w:ascii="Times" w:hAnsi="Times"/>
          <w:sz w:val="24"/>
          <w:szCs w:val="24"/>
        </w:rPr>
        <w:t>个分包进行系统建设，具体要求详见各分包建设内容。</w:t>
      </w:r>
    </w:p>
    <w:p>
      <w:pPr>
        <w:pStyle w:val="2"/>
        <w:spacing w:line="360" w:lineRule="auto"/>
        <w:jc w:val="center"/>
        <w:rPr>
          <w:rFonts w:hint="default"/>
          <w:b/>
          <w:sz w:val="28"/>
          <w:szCs w:val="28"/>
        </w:rPr>
      </w:pPr>
      <w:bookmarkStart w:id="232" w:name="_Toc41409607"/>
      <w:bookmarkStart w:id="233" w:name="_Toc41567917"/>
      <w:bookmarkStart w:id="234" w:name="_Toc81493390"/>
      <w:bookmarkStart w:id="235" w:name="_Toc22640862"/>
      <w:bookmarkStart w:id="236" w:name="_Toc38629606"/>
      <w:bookmarkStart w:id="237" w:name="_Toc37259426"/>
      <w:bookmarkStart w:id="238" w:name="_Toc22640861"/>
      <w:bookmarkStart w:id="239" w:name="_Toc23233735"/>
      <w:r>
        <w:rPr>
          <w:b/>
          <w:sz w:val="28"/>
          <w:szCs w:val="28"/>
        </w:rPr>
        <w:t>第1包：</w:t>
      </w:r>
      <w:bookmarkEnd w:id="232"/>
      <w:bookmarkEnd w:id="233"/>
      <w:r>
        <w:rPr>
          <w:b/>
          <w:sz w:val="28"/>
          <w:szCs w:val="28"/>
        </w:rPr>
        <w:t xml:space="preserve"> 0.05米分辨率高精度地理参考数据技术服务</w:t>
      </w:r>
      <w:bookmarkEnd w:id="234"/>
    </w:p>
    <w:p>
      <w:pPr>
        <w:pStyle w:val="129"/>
        <w:numPr>
          <w:ilvl w:val="1"/>
          <w:numId w:val="5"/>
        </w:numPr>
      </w:pPr>
      <w:r>
        <w:rPr>
          <w:rFonts w:hint="eastAsia"/>
        </w:rPr>
        <w:t>建设内容</w:t>
      </w:r>
    </w:p>
    <w:p>
      <w:pPr>
        <w:pStyle w:val="133"/>
        <w:rPr>
          <w:sz w:val="24"/>
          <w:szCs w:val="24"/>
        </w:rPr>
      </w:pPr>
      <w:r>
        <w:rPr>
          <w:rFonts w:hint="eastAsia"/>
          <w:sz w:val="24"/>
          <w:szCs w:val="24"/>
        </w:rPr>
        <w:t>0.05米分辨率高精度地理参考数据（</w:t>
      </w:r>
      <w:r>
        <w:rPr>
          <w:rFonts w:hint="eastAsia"/>
          <w:sz w:val="24"/>
          <w:szCs w:val="24"/>
          <w:lang w:val="en-US"/>
        </w:rPr>
        <w:t>浙江地区</w:t>
      </w:r>
      <w:r>
        <w:rPr>
          <w:rFonts w:hint="eastAsia"/>
          <w:sz w:val="24"/>
          <w:szCs w:val="24"/>
        </w:rPr>
        <w:t>）。</w:t>
      </w:r>
    </w:p>
    <w:p>
      <w:pPr>
        <w:pStyle w:val="129"/>
        <w:numPr>
          <w:ilvl w:val="1"/>
          <w:numId w:val="5"/>
        </w:numPr>
      </w:pPr>
      <w:r>
        <w:rPr>
          <w:rFonts w:hint="eastAsia"/>
        </w:rPr>
        <w:t>技术指标及要求</w:t>
      </w:r>
    </w:p>
    <w:p>
      <w:pPr>
        <w:pStyle w:val="134"/>
        <w:ind w:left="-424" w:leftChars="-202" w:firstLine="484" w:firstLineChars="202"/>
        <w:rPr>
          <w:sz w:val="24"/>
          <w:szCs w:val="24"/>
        </w:rPr>
      </w:pPr>
      <w:r>
        <w:rPr>
          <w:rFonts w:hint="eastAsia"/>
          <w:sz w:val="24"/>
          <w:szCs w:val="24"/>
        </w:rPr>
        <w:t>1．数据源：投标方需要自备数据源按要求开展整合技术服务。数据连续区域面积大于36</w:t>
      </w:r>
      <w:r>
        <w:rPr>
          <w:sz w:val="24"/>
          <w:szCs w:val="24"/>
        </w:rPr>
        <w:t>3</w:t>
      </w:r>
      <w:r>
        <w:rPr>
          <w:rFonts w:hint="eastAsia"/>
          <w:sz w:val="24"/>
          <w:szCs w:val="24"/>
        </w:rPr>
        <w:t>平方公里，垂直卫星轨道方向大于33Km ，沿卫星轨道方向大于11Km 。DEM</w:t>
      </w:r>
      <w:r>
        <w:rPr>
          <w:sz w:val="24"/>
          <w:szCs w:val="24"/>
        </w:rPr>
        <w:t>/DSM精度优于</w:t>
      </w:r>
      <w:r>
        <w:rPr>
          <w:rFonts w:hint="eastAsia"/>
          <w:sz w:val="24"/>
          <w:szCs w:val="24"/>
        </w:rPr>
        <w:t>0.</w:t>
      </w:r>
      <w:r>
        <w:rPr>
          <w:sz w:val="24"/>
          <w:szCs w:val="24"/>
        </w:rPr>
        <w:t>15m</w:t>
      </w:r>
      <w:r>
        <w:rPr>
          <w:rFonts w:hint="eastAsia"/>
          <w:sz w:val="24"/>
          <w:szCs w:val="24"/>
        </w:rPr>
        <w:t>。</w:t>
      </w:r>
    </w:p>
    <w:p>
      <w:pPr>
        <w:pStyle w:val="134"/>
        <w:ind w:left="720" w:hanging="720"/>
        <w:rPr>
          <w:sz w:val="24"/>
          <w:szCs w:val="24"/>
        </w:rPr>
      </w:pPr>
      <w:r>
        <w:rPr>
          <w:rFonts w:hint="eastAsia"/>
          <w:sz w:val="24"/>
          <w:szCs w:val="24"/>
        </w:rPr>
        <w:t>2．数据格式要求：提供数据格式为GeoTIFF/IMG通用标准格式的影像数据。</w:t>
      </w:r>
    </w:p>
    <w:p>
      <w:pPr>
        <w:pStyle w:val="134"/>
        <w:ind w:left="720" w:hanging="720"/>
        <w:rPr>
          <w:sz w:val="24"/>
          <w:szCs w:val="24"/>
        </w:rPr>
      </w:pPr>
      <w:r>
        <w:rPr>
          <w:rFonts w:hint="eastAsia"/>
          <w:sz w:val="24"/>
          <w:szCs w:val="24"/>
        </w:rPr>
        <w:t>3．云量要求：保证摄区内云量覆盖小于</w:t>
      </w:r>
      <w:r>
        <w:rPr>
          <w:sz w:val="24"/>
          <w:szCs w:val="24"/>
        </w:rPr>
        <w:t>1</w:t>
      </w:r>
      <w:r>
        <w:rPr>
          <w:rFonts w:hint="eastAsia"/>
          <w:sz w:val="24"/>
          <w:szCs w:val="24"/>
        </w:rPr>
        <w:t>%。</w:t>
      </w:r>
    </w:p>
    <w:p>
      <w:pPr>
        <w:pStyle w:val="134"/>
        <w:ind w:left="720" w:hanging="720"/>
        <w:rPr>
          <w:sz w:val="24"/>
          <w:szCs w:val="24"/>
        </w:rPr>
      </w:pPr>
      <w:r>
        <w:rPr>
          <w:rFonts w:hint="eastAsia"/>
          <w:sz w:val="24"/>
          <w:szCs w:val="24"/>
        </w:rPr>
        <w:t>4．雪量要求：除常年积雪地区外，其它地区应无积雪。</w:t>
      </w:r>
    </w:p>
    <w:p>
      <w:pPr>
        <w:pStyle w:val="134"/>
        <w:ind w:left="-426" w:leftChars="-203" w:firstLine="424" w:firstLineChars="177"/>
        <w:rPr>
          <w:sz w:val="24"/>
          <w:szCs w:val="24"/>
        </w:rPr>
      </w:pPr>
      <w:r>
        <w:rPr>
          <w:rFonts w:hint="eastAsia"/>
          <w:sz w:val="24"/>
          <w:szCs w:val="24"/>
        </w:rPr>
        <w:t>5．影像质量：影像清晰，色彩、反差适中，无明显噪声，多光谱数据与全色数据时相一致。</w:t>
      </w:r>
    </w:p>
    <w:p>
      <w:pPr>
        <w:pStyle w:val="134"/>
        <w:ind w:left="-426" w:leftChars="-203" w:firstLine="424" w:firstLineChars="177"/>
        <w:rPr>
          <w:sz w:val="24"/>
          <w:szCs w:val="24"/>
        </w:rPr>
      </w:pPr>
      <w:r>
        <w:rPr>
          <w:rFonts w:hint="eastAsia"/>
          <w:sz w:val="24"/>
          <w:szCs w:val="24"/>
        </w:rPr>
        <w:t>6．DOM、DEM/DSM采用两种坐标系具体包括：WGS84地理坐标系/WGS84椭球高，CGCS2000国家大地坐标系/1985国家高程基准。DOM影像分辨率优于0.0</w:t>
      </w:r>
      <w:r>
        <w:rPr>
          <w:sz w:val="24"/>
          <w:szCs w:val="24"/>
        </w:rPr>
        <w:t>6</w:t>
      </w:r>
      <w:r>
        <w:rPr>
          <w:rFonts w:hint="eastAsia"/>
          <w:sz w:val="24"/>
          <w:szCs w:val="24"/>
        </w:rPr>
        <w:t>5m,DEM/DSM采用间隔</w:t>
      </w:r>
      <w:r>
        <w:rPr>
          <w:sz w:val="24"/>
          <w:szCs w:val="24"/>
        </w:rPr>
        <w:t>0.5</w:t>
      </w:r>
      <w:r>
        <w:rPr>
          <w:rFonts w:hint="eastAsia"/>
          <w:sz w:val="24"/>
          <w:szCs w:val="24"/>
        </w:rPr>
        <w:t xml:space="preserve">米,数据格式GeoTIFF/IMG。 </w:t>
      </w:r>
    </w:p>
    <w:p>
      <w:pPr>
        <w:pStyle w:val="134"/>
        <w:ind w:left="-426" w:leftChars="-203" w:firstLine="424" w:firstLineChars="177"/>
        <w:rPr>
          <w:sz w:val="24"/>
          <w:szCs w:val="24"/>
        </w:rPr>
      </w:pPr>
      <w:r>
        <w:rPr>
          <w:sz w:val="24"/>
          <w:szCs w:val="24"/>
        </w:rPr>
        <w:t>7</w:t>
      </w:r>
      <w:r>
        <w:rPr>
          <w:rFonts w:hint="eastAsia"/>
          <w:sz w:val="24"/>
          <w:szCs w:val="24"/>
        </w:rPr>
        <w:t>．DOM影像应清晰，层次丰富，幅与幅之间影像保持色调均匀，反差适中，图面上不得有影像处理留下的明显痕迹，DOM影像接边重叠带不允许出现明显的模糊和重影，相邻数字正射影像要严格接边。</w:t>
      </w:r>
    </w:p>
    <w:p>
      <w:pPr>
        <w:pStyle w:val="134"/>
        <w:ind w:left="-426" w:leftChars="-203" w:firstLine="424" w:firstLineChars="177"/>
        <w:rPr>
          <w:sz w:val="24"/>
          <w:szCs w:val="24"/>
        </w:rPr>
      </w:pPr>
      <w:r>
        <w:rPr>
          <w:rFonts w:hint="eastAsia"/>
          <w:sz w:val="24"/>
          <w:szCs w:val="24"/>
        </w:rPr>
        <w:t>8．侧视角：下视侧视角小于</w:t>
      </w:r>
      <w:r>
        <w:rPr>
          <w:sz w:val="24"/>
          <w:szCs w:val="24"/>
        </w:rPr>
        <w:t>1</w:t>
      </w:r>
      <w:r>
        <w:rPr>
          <w:rFonts w:hint="eastAsia"/>
          <w:sz w:val="24"/>
          <w:szCs w:val="24"/>
        </w:rPr>
        <w:t>0°，且当相邻条带侧视角过大影响测图精度时予以补摄。</w:t>
      </w:r>
    </w:p>
    <w:p>
      <w:pPr>
        <w:pStyle w:val="134"/>
        <w:ind w:left="-426" w:leftChars="-203" w:firstLine="424" w:firstLineChars="177"/>
        <w:rPr>
          <w:sz w:val="24"/>
          <w:szCs w:val="24"/>
        </w:rPr>
      </w:pPr>
      <w:r>
        <w:rPr>
          <w:sz w:val="24"/>
          <w:szCs w:val="24"/>
        </w:rPr>
        <w:t>9</w:t>
      </w:r>
      <w:r>
        <w:rPr>
          <w:rFonts w:hint="eastAsia"/>
          <w:sz w:val="24"/>
          <w:szCs w:val="24"/>
        </w:rPr>
        <w:t>．资料整理与移交：提供商应在收到数据后按照甲方要求，按时完成资料的整理工作，按期进行移交至项目全部完成。</w:t>
      </w:r>
    </w:p>
    <w:p>
      <w:pPr>
        <w:pStyle w:val="134"/>
        <w:ind w:left="720" w:hanging="720"/>
        <w:rPr>
          <w:sz w:val="24"/>
          <w:szCs w:val="24"/>
        </w:rPr>
      </w:pPr>
      <w:r>
        <w:rPr>
          <w:sz w:val="24"/>
          <w:szCs w:val="24"/>
        </w:rPr>
        <w:t>10</w:t>
      </w:r>
      <w:r>
        <w:rPr>
          <w:rFonts w:hint="eastAsia"/>
          <w:sz w:val="24"/>
          <w:szCs w:val="24"/>
        </w:rPr>
        <w:t>．提交资料内容：</w:t>
      </w:r>
    </w:p>
    <w:p>
      <w:pPr>
        <w:pStyle w:val="134"/>
        <w:ind w:firstLine="0" w:firstLineChars="0"/>
        <w:rPr>
          <w:sz w:val="24"/>
          <w:szCs w:val="24"/>
        </w:rPr>
      </w:pPr>
      <w:r>
        <w:rPr>
          <w:rFonts w:hint="eastAsia"/>
          <w:sz w:val="24"/>
          <w:szCs w:val="24"/>
        </w:rPr>
        <w:t>(</w:t>
      </w:r>
      <w:r>
        <w:rPr>
          <w:sz w:val="24"/>
          <w:szCs w:val="24"/>
        </w:rPr>
        <w:t>1)</w:t>
      </w:r>
      <w:r>
        <w:rPr>
          <w:rFonts w:hint="eastAsia"/>
          <w:sz w:val="24"/>
          <w:szCs w:val="24"/>
        </w:rPr>
        <w:t>具体</w:t>
      </w:r>
      <w:r>
        <w:rPr>
          <w:sz w:val="24"/>
          <w:szCs w:val="24"/>
        </w:rPr>
        <w:t>包含影像原始数据、POS</w:t>
      </w:r>
      <w:r>
        <w:rPr>
          <w:rFonts w:hint="eastAsia"/>
          <w:sz w:val="24"/>
          <w:szCs w:val="24"/>
        </w:rPr>
        <w:t>、控制点。原始影像地面采样间隔优于0.0</w:t>
      </w:r>
      <w:r>
        <w:rPr>
          <w:sz w:val="24"/>
          <w:szCs w:val="24"/>
        </w:rPr>
        <w:t>6</w:t>
      </w:r>
      <w:r>
        <w:rPr>
          <w:rFonts w:hint="eastAsia"/>
          <w:sz w:val="24"/>
          <w:szCs w:val="24"/>
        </w:rPr>
        <w:t>5m, 获取时间201</w:t>
      </w:r>
      <w:r>
        <w:rPr>
          <w:sz w:val="24"/>
          <w:szCs w:val="24"/>
        </w:rPr>
        <w:t>7</w:t>
      </w:r>
      <w:r>
        <w:rPr>
          <w:rFonts w:hint="eastAsia"/>
          <w:sz w:val="24"/>
          <w:szCs w:val="24"/>
        </w:rPr>
        <w:t>年1月1日至今（存储介质为双拷贝硬盘）。</w:t>
      </w:r>
    </w:p>
    <w:p>
      <w:pPr>
        <w:pStyle w:val="134"/>
        <w:ind w:firstLine="0" w:firstLineChars="0"/>
        <w:rPr>
          <w:sz w:val="24"/>
          <w:szCs w:val="24"/>
        </w:rPr>
      </w:pPr>
      <w:r>
        <w:rPr>
          <w:rFonts w:hint="eastAsia"/>
          <w:sz w:val="24"/>
          <w:szCs w:val="24"/>
        </w:rPr>
        <w:t>(2)处理过程数据:空三报告。</w:t>
      </w:r>
    </w:p>
    <w:p>
      <w:pPr>
        <w:pStyle w:val="134"/>
        <w:ind w:firstLine="0" w:firstLineChars="0"/>
        <w:rPr>
          <w:sz w:val="24"/>
          <w:szCs w:val="24"/>
        </w:rPr>
      </w:pPr>
      <w:r>
        <w:rPr>
          <w:rFonts w:hint="eastAsia"/>
          <w:sz w:val="24"/>
          <w:szCs w:val="24"/>
        </w:rPr>
        <w:t>(3)处理产品数据: DOM、DEM/DSM数据。</w:t>
      </w:r>
    </w:p>
    <w:p>
      <w:pPr>
        <w:pStyle w:val="134"/>
        <w:ind w:firstLine="0" w:firstLineChars="0"/>
        <w:rPr>
          <w:sz w:val="24"/>
          <w:szCs w:val="24"/>
        </w:rPr>
      </w:pPr>
      <w:r>
        <w:rPr>
          <w:rFonts w:hint="eastAsia"/>
          <w:sz w:val="24"/>
          <w:szCs w:val="24"/>
        </w:rPr>
        <w:t>(</w:t>
      </w:r>
      <w:r>
        <w:rPr>
          <w:sz w:val="24"/>
          <w:szCs w:val="24"/>
        </w:rPr>
        <w:t>4</w:t>
      </w:r>
      <w:r>
        <w:rPr>
          <w:rFonts w:hint="eastAsia"/>
          <w:sz w:val="24"/>
          <w:szCs w:val="24"/>
        </w:rPr>
        <w:t>)</w:t>
      </w:r>
      <w:r>
        <w:rPr>
          <w:sz w:val="24"/>
          <w:szCs w:val="24"/>
        </w:rPr>
        <w:t>第三方</w:t>
      </w:r>
      <w:r>
        <w:rPr>
          <w:rFonts w:hint="eastAsia"/>
          <w:sz w:val="24"/>
          <w:szCs w:val="24"/>
        </w:rPr>
        <w:t>测绘产品数据</w:t>
      </w:r>
      <w:r>
        <w:rPr>
          <w:sz w:val="24"/>
          <w:szCs w:val="24"/>
        </w:rPr>
        <w:t>质量检查</w:t>
      </w:r>
      <w:r>
        <w:rPr>
          <w:rFonts w:hint="eastAsia"/>
          <w:sz w:val="24"/>
          <w:szCs w:val="24"/>
        </w:rPr>
        <w:t>报告。</w:t>
      </w:r>
    </w:p>
    <w:p>
      <w:pPr>
        <w:pStyle w:val="133"/>
        <w:ind w:firstLine="0" w:firstLineChars="0"/>
        <w:rPr>
          <w:sz w:val="24"/>
          <w:szCs w:val="24"/>
        </w:rPr>
      </w:pPr>
      <w:r>
        <w:rPr>
          <w:rFonts w:hint="eastAsia"/>
          <w:sz w:val="24"/>
          <w:szCs w:val="24"/>
        </w:rPr>
        <w:t>1</w:t>
      </w:r>
      <w:r>
        <w:rPr>
          <w:sz w:val="24"/>
          <w:szCs w:val="24"/>
        </w:rPr>
        <w:t>1</w:t>
      </w:r>
      <w:r>
        <w:rPr>
          <w:rFonts w:hint="eastAsia"/>
          <w:sz w:val="24"/>
          <w:szCs w:val="24"/>
        </w:rPr>
        <w:t>．验收：验收依据为招标文件相关要求、合同要求、招标承诺等。</w:t>
      </w:r>
    </w:p>
    <w:p>
      <w:pPr>
        <w:pStyle w:val="133"/>
        <w:ind w:firstLine="0" w:firstLineChars="0"/>
        <w:rPr>
          <w:sz w:val="24"/>
          <w:szCs w:val="24"/>
        </w:rPr>
      </w:pPr>
    </w:p>
    <w:p>
      <w:pPr>
        <w:spacing w:line="360" w:lineRule="auto"/>
        <w:jc w:val="center"/>
        <w:rPr>
          <w:b/>
          <w:sz w:val="28"/>
          <w:szCs w:val="28"/>
        </w:rPr>
      </w:pPr>
      <w:bookmarkStart w:id="240" w:name="_Toc81493391"/>
      <w:r>
        <w:rPr>
          <w:b/>
          <w:sz w:val="28"/>
          <w:szCs w:val="28"/>
        </w:rPr>
        <w:t>第2包： 0.1米分辨率高精度地理参考数据技术服务</w:t>
      </w:r>
      <w:bookmarkEnd w:id="240"/>
    </w:p>
    <w:p>
      <w:pPr>
        <w:pStyle w:val="129"/>
        <w:numPr>
          <w:ilvl w:val="1"/>
          <w:numId w:val="6"/>
        </w:numPr>
      </w:pPr>
      <w:r>
        <w:rPr>
          <w:rFonts w:hint="eastAsia"/>
        </w:rPr>
        <w:t>建设内容</w:t>
      </w:r>
    </w:p>
    <w:p>
      <w:pPr>
        <w:pStyle w:val="133"/>
        <w:rPr>
          <w:sz w:val="24"/>
          <w:szCs w:val="24"/>
        </w:rPr>
      </w:pPr>
      <w:r>
        <w:rPr>
          <w:rFonts w:hint="eastAsia"/>
          <w:sz w:val="24"/>
          <w:szCs w:val="24"/>
        </w:rPr>
        <w:t>0.</w:t>
      </w:r>
      <w:r>
        <w:rPr>
          <w:sz w:val="24"/>
          <w:szCs w:val="24"/>
        </w:rPr>
        <w:t>1</w:t>
      </w:r>
      <w:r>
        <w:rPr>
          <w:rFonts w:hint="eastAsia"/>
          <w:sz w:val="24"/>
          <w:szCs w:val="24"/>
        </w:rPr>
        <w:t>米分辨率高精度地理参考数据（</w:t>
      </w:r>
      <w:r>
        <w:rPr>
          <w:rFonts w:hint="eastAsia"/>
          <w:sz w:val="24"/>
          <w:szCs w:val="24"/>
          <w:lang w:val="en-US"/>
        </w:rPr>
        <w:t>河北地区</w:t>
      </w:r>
      <w:r>
        <w:rPr>
          <w:rFonts w:hint="eastAsia"/>
          <w:sz w:val="24"/>
          <w:szCs w:val="24"/>
        </w:rPr>
        <w:t>）。</w:t>
      </w:r>
    </w:p>
    <w:p>
      <w:pPr>
        <w:pStyle w:val="129"/>
        <w:numPr>
          <w:ilvl w:val="1"/>
          <w:numId w:val="6"/>
        </w:numPr>
      </w:pPr>
      <w:r>
        <w:rPr>
          <w:rFonts w:hint="eastAsia"/>
        </w:rPr>
        <w:t>技术指标及要求</w:t>
      </w:r>
    </w:p>
    <w:p>
      <w:pPr>
        <w:pStyle w:val="134"/>
        <w:ind w:left="-567" w:leftChars="-270" w:firstLine="567" w:firstLineChars="270"/>
        <w:rPr>
          <w:sz w:val="24"/>
          <w:szCs w:val="24"/>
        </w:rPr>
      </w:pPr>
      <w:r>
        <w:rPr>
          <w:rFonts w:hint="eastAsia"/>
        </w:rPr>
        <w:t>1．</w:t>
      </w:r>
      <w:r>
        <w:rPr>
          <w:rFonts w:hint="eastAsia"/>
          <w:sz w:val="24"/>
          <w:szCs w:val="24"/>
        </w:rPr>
        <w:t>数据源：投标方需要自备数据源按要求开展整合技术服务。数据连续区域面积大于</w:t>
      </w:r>
      <w:r>
        <w:rPr>
          <w:sz w:val="24"/>
          <w:szCs w:val="24"/>
        </w:rPr>
        <w:t>50</w:t>
      </w:r>
      <w:r>
        <w:rPr>
          <w:rFonts w:hint="eastAsia"/>
          <w:sz w:val="24"/>
          <w:szCs w:val="24"/>
        </w:rPr>
        <w:t>0平方公里，垂直卫星轨道方向大于33Km ，沿卫星轨道方向大于11Km 。DEM</w:t>
      </w:r>
      <w:r>
        <w:rPr>
          <w:sz w:val="24"/>
          <w:szCs w:val="24"/>
        </w:rPr>
        <w:t>/DSM精度优于</w:t>
      </w:r>
      <w:r>
        <w:rPr>
          <w:rFonts w:hint="eastAsia"/>
          <w:sz w:val="24"/>
          <w:szCs w:val="24"/>
        </w:rPr>
        <w:t>0.</w:t>
      </w:r>
      <w:r>
        <w:rPr>
          <w:sz w:val="24"/>
          <w:szCs w:val="24"/>
        </w:rPr>
        <w:t>15m</w:t>
      </w:r>
      <w:r>
        <w:rPr>
          <w:rFonts w:hint="eastAsia"/>
          <w:sz w:val="24"/>
          <w:szCs w:val="24"/>
        </w:rPr>
        <w:t>。</w:t>
      </w:r>
    </w:p>
    <w:p>
      <w:pPr>
        <w:pStyle w:val="134"/>
        <w:ind w:left="720" w:hanging="720"/>
        <w:rPr>
          <w:sz w:val="24"/>
          <w:szCs w:val="24"/>
        </w:rPr>
      </w:pPr>
      <w:r>
        <w:rPr>
          <w:rFonts w:hint="eastAsia"/>
          <w:sz w:val="24"/>
          <w:szCs w:val="24"/>
        </w:rPr>
        <w:t>2．数据格式要求：提供数据格式为GeoTIFF/IMG通用标准格式的影像数据。</w:t>
      </w:r>
    </w:p>
    <w:p>
      <w:pPr>
        <w:pStyle w:val="134"/>
        <w:ind w:left="720" w:hanging="720"/>
        <w:rPr>
          <w:sz w:val="24"/>
          <w:szCs w:val="24"/>
        </w:rPr>
      </w:pPr>
      <w:r>
        <w:rPr>
          <w:rFonts w:hint="eastAsia"/>
          <w:sz w:val="24"/>
          <w:szCs w:val="24"/>
        </w:rPr>
        <w:t>3．云量要求：保证摄区内云量覆盖小于</w:t>
      </w:r>
      <w:r>
        <w:rPr>
          <w:sz w:val="24"/>
          <w:szCs w:val="24"/>
        </w:rPr>
        <w:t>1</w:t>
      </w:r>
      <w:r>
        <w:rPr>
          <w:rFonts w:hint="eastAsia"/>
          <w:sz w:val="24"/>
          <w:szCs w:val="24"/>
        </w:rPr>
        <w:t>%。</w:t>
      </w:r>
    </w:p>
    <w:p>
      <w:pPr>
        <w:pStyle w:val="134"/>
        <w:ind w:left="720" w:hanging="720"/>
        <w:rPr>
          <w:sz w:val="24"/>
          <w:szCs w:val="24"/>
        </w:rPr>
      </w:pPr>
      <w:r>
        <w:rPr>
          <w:rFonts w:hint="eastAsia"/>
          <w:sz w:val="24"/>
          <w:szCs w:val="24"/>
        </w:rPr>
        <w:t>4．雪量要求：除常年积雪地区外，其它地区应无积雪。</w:t>
      </w:r>
    </w:p>
    <w:p>
      <w:pPr>
        <w:pStyle w:val="134"/>
        <w:tabs>
          <w:tab w:val="left" w:pos="142"/>
        </w:tabs>
        <w:ind w:left="-567" w:leftChars="-270" w:firstLine="566" w:firstLineChars="236"/>
        <w:rPr>
          <w:sz w:val="24"/>
          <w:szCs w:val="24"/>
        </w:rPr>
      </w:pPr>
      <w:r>
        <w:rPr>
          <w:rFonts w:hint="eastAsia"/>
          <w:sz w:val="24"/>
          <w:szCs w:val="24"/>
        </w:rPr>
        <w:t>5．影像质量：影像清晰，色彩、反差适中，无明显噪声，多光谱数据与全色数据时相一致。</w:t>
      </w:r>
    </w:p>
    <w:p>
      <w:pPr>
        <w:pStyle w:val="134"/>
        <w:ind w:left="-567" w:leftChars="-270" w:firstLine="566" w:firstLineChars="236"/>
        <w:rPr>
          <w:sz w:val="24"/>
          <w:szCs w:val="24"/>
        </w:rPr>
      </w:pPr>
      <w:r>
        <w:rPr>
          <w:rFonts w:hint="eastAsia"/>
          <w:sz w:val="24"/>
          <w:szCs w:val="24"/>
        </w:rPr>
        <w:t>6．DOM、DEM/DSM采用两种坐标系具体包括：WGS84地理坐标系/WGS84椭球高，CGCS2000国家大地坐标系/1985国家高程基准。DOM影像分辨率0.05 m～0.</w:t>
      </w:r>
      <w:r>
        <w:rPr>
          <w:sz w:val="24"/>
          <w:szCs w:val="24"/>
        </w:rPr>
        <w:t>1</w:t>
      </w:r>
      <w:r>
        <w:rPr>
          <w:rFonts w:hint="eastAsia"/>
          <w:sz w:val="24"/>
          <w:szCs w:val="24"/>
        </w:rPr>
        <w:t>m,DEM/DSM采用间隔</w:t>
      </w:r>
      <w:r>
        <w:rPr>
          <w:sz w:val="24"/>
          <w:szCs w:val="24"/>
        </w:rPr>
        <w:t>0.5</w:t>
      </w:r>
      <w:r>
        <w:rPr>
          <w:rFonts w:hint="eastAsia"/>
          <w:sz w:val="24"/>
          <w:szCs w:val="24"/>
        </w:rPr>
        <w:t xml:space="preserve">米,数据格式GeoTIFF/IMG。 </w:t>
      </w:r>
    </w:p>
    <w:p>
      <w:pPr>
        <w:pStyle w:val="134"/>
        <w:ind w:left="-567" w:leftChars="-270" w:firstLine="566" w:firstLineChars="236"/>
        <w:rPr>
          <w:sz w:val="24"/>
          <w:szCs w:val="24"/>
        </w:rPr>
      </w:pPr>
      <w:r>
        <w:rPr>
          <w:sz w:val="24"/>
          <w:szCs w:val="24"/>
        </w:rPr>
        <w:t>7</w:t>
      </w:r>
      <w:r>
        <w:rPr>
          <w:rFonts w:hint="eastAsia"/>
          <w:sz w:val="24"/>
          <w:szCs w:val="24"/>
        </w:rPr>
        <w:t>．DOM影像应清晰，层次丰富，幅与幅之间影像保持色调均匀，反差适中，图面上不得有影像处理留下的明显痕迹，DOM影像接边重叠带不允许出现明显的模糊和重影，相邻数字正射影像要严格接边。</w:t>
      </w:r>
    </w:p>
    <w:p>
      <w:pPr>
        <w:pStyle w:val="134"/>
        <w:ind w:left="-567" w:leftChars="-270" w:firstLine="564" w:firstLineChars="235"/>
        <w:rPr>
          <w:sz w:val="24"/>
          <w:szCs w:val="24"/>
        </w:rPr>
      </w:pPr>
      <w:r>
        <w:rPr>
          <w:rFonts w:hint="eastAsia"/>
          <w:sz w:val="24"/>
          <w:szCs w:val="24"/>
        </w:rPr>
        <w:t>8．侧视角：下视侧视角小于</w:t>
      </w:r>
      <w:r>
        <w:rPr>
          <w:sz w:val="24"/>
          <w:szCs w:val="24"/>
        </w:rPr>
        <w:t>1</w:t>
      </w:r>
      <w:r>
        <w:rPr>
          <w:rFonts w:hint="eastAsia"/>
          <w:sz w:val="24"/>
          <w:szCs w:val="24"/>
        </w:rPr>
        <w:t>0°，且当相邻条带侧视角过大影响测图精度时予以补摄。</w:t>
      </w:r>
    </w:p>
    <w:p>
      <w:pPr>
        <w:pStyle w:val="134"/>
        <w:ind w:left="-567" w:leftChars="-270" w:firstLine="566" w:firstLineChars="236"/>
        <w:rPr>
          <w:sz w:val="24"/>
          <w:szCs w:val="24"/>
        </w:rPr>
      </w:pPr>
      <w:r>
        <w:rPr>
          <w:sz w:val="24"/>
          <w:szCs w:val="24"/>
        </w:rPr>
        <w:t>9</w:t>
      </w:r>
      <w:r>
        <w:rPr>
          <w:rFonts w:hint="eastAsia"/>
          <w:sz w:val="24"/>
          <w:szCs w:val="24"/>
        </w:rPr>
        <w:t>．资料整理与移交：提供商应在收到数据后按照甲方要求，按时完成资料的整理工作，按期进行移交至项目全部完成。</w:t>
      </w:r>
    </w:p>
    <w:p>
      <w:pPr>
        <w:pStyle w:val="134"/>
        <w:ind w:left="720" w:hanging="720"/>
        <w:rPr>
          <w:sz w:val="24"/>
          <w:szCs w:val="24"/>
        </w:rPr>
      </w:pPr>
      <w:r>
        <w:rPr>
          <w:sz w:val="24"/>
          <w:szCs w:val="24"/>
        </w:rPr>
        <w:t>10</w:t>
      </w:r>
      <w:r>
        <w:rPr>
          <w:rFonts w:hint="eastAsia"/>
          <w:sz w:val="24"/>
          <w:szCs w:val="24"/>
        </w:rPr>
        <w:t>．提交资料内容：</w:t>
      </w:r>
    </w:p>
    <w:p>
      <w:pPr>
        <w:pStyle w:val="134"/>
        <w:ind w:left="-567" w:leftChars="-270" w:firstLine="566" w:firstLineChars="236"/>
        <w:rPr>
          <w:sz w:val="24"/>
          <w:szCs w:val="24"/>
        </w:rPr>
      </w:pPr>
      <w:r>
        <w:rPr>
          <w:rFonts w:hint="eastAsia"/>
          <w:sz w:val="24"/>
          <w:szCs w:val="24"/>
        </w:rPr>
        <w:t>(</w:t>
      </w:r>
      <w:r>
        <w:rPr>
          <w:sz w:val="24"/>
          <w:szCs w:val="24"/>
        </w:rPr>
        <w:t>1)</w:t>
      </w:r>
      <w:r>
        <w:rPr>
          <w:rFonts w:hint="eastAsia"/>
          <w:sz w:val="24"/>
          <w:szCs w:val="24"/>
        </w:rPr>
        <w:t>具体</w:t>
      </w:r>
      <w:r>
        <w:rPr>
          <w:sz w:val="24"/>
          <w:szCs w:val="24"/>
        </w:rPr>
        <w:t>包含影像原始数据、POS</w:t>
      </w:r>
      <w:r>
        <w:rPr>
          <w:rFonts w:hint="eastAsia"/>
          <w:sz w:val="24"/>
          <w:szCs w:val="24"/>
        </w:rPr>
        <w:t>、控制点。原始影像地面采样间隔0.05m~0.</w:t>
      </w:r>
      <w:r>
        <w:rPr>
          <w:sz w:val="24"/>
          <w:szCs w:val="24"/>
        </w:rPr>
        <w:t>1</w:t>
      </w:r>
      <w:r>
        <w:rPr>
          <w:rFonts w:hint="eastAsia"/>
          <w:sz w:val="24"/>
          <w:szCs w:val="24"/>
        </w:rPr>
        <w:t>m, 获取时间201</w:t>
      </w:r>
      <w:r>
        <w:rPr>
          <w:sz w:val="24"/>
          <w:szCs w:val="24"/>
        </w:rPr>
        <w:t>7</w:t>
      </w:r>
      <w:r>
        <w:rPr>
          <w:rFonts w:hint="eastAsia"/>
          <w:sz w:val="24"/>
          <w:szCs w:val="24"/>
        </w:rPr>
        <w:t>年1月1日至今（存储介质为双拷贝硬盘）。</w:t>
      </w:r>
    </w:p>
    <w:p>
      <w:pPr>
        <w:pStyle w:val="134"/>
        <w:ind w:firstLine="0" w:firstLineChars="0"/>
        <w:rPr>
          <w:sz w:val="24"/>
          <w:szCs w:val="24"/>
        </w:rPr>
      </w:pPr>
      <w:r>
        <w:rPr>
          <w:rFonts w:hint="eastAsia"/>
          <w:sz w:val="24"/>
          <w:szCs w:val="24"/>
        </w:rPr>
        <w:t>(2)处理过程数据:空三报告。</w:t>
      </w:r>
    </w:p>
    <w:p>
      <w:pPr>
        <w:pStyle w:val="134"/>
        <w:ind w:firstLine="0" w:firstLineChars="0"/>
        <w:rPr>
          <w:sz w:val="24"/>
          <w:szCs w:val="24"/>
        </w:rPr>
      </w:pPr>
      <w:r>
        <w:rPr>
          <w:rFonts w:hint="eastAsia"/>
          <w:sz w:val="24"/>
          <w:szCs w:val="24"/>
        </w:rPr>
        <w:t>(3)处理产品数据: DOM、DEM/DSM数据。</w:t>
      </w:r>
    </w:p>
    <w:p>
      <w:pPr>
        <w:pStyle w:val="134"/>
        <w:ind w:firstLine="0" w:firstLineChars="0"/>
        <w:rPr>
          <w:sz w:val="24"/>
          <w:szCs w:val="24"/>
        </w:rPr>
      </w:pPr>
      <w:r>
        <w:rPr>
          <w:rFonts w:hint="eastAsia"/>
          <w:sz w:val="24"/>
          <w:szCs w:val="24"/>
        </w:rPr>
        <w:t>(</w:t>
      </w:r>
      <w:r>
        <w:rPr>
          <w:sz w:val="24"/>
          <w:szCs w:val="24"/>
        </w:rPr>
        <w:t>4</w:t>
      </w:r>
      <w:r>
        <w:rPr>
          <w:rFonts w:hint="eastAsia"/>
          <w:sz w:val="24"/>
          <w:szCs w:val="24"/>
        </w:rPr>
        <w:t>)</w:t>
      </w:r>
      <w:r>
        <w:rPr>
          <w:sz w:val="24"/>
          <w:szCs w:val="24"/>
        </w:rPr>
        <w:t>第三方</w:t>
      </w:r>
      <w:r>
        <w:rPr>
          <w:rFonts w:hint="eastAsia"/>
          <w:sz w:val="24"/>
          <w:szCs w:val="24"/>
        </w:rPr>
        <w:t>测绘产品数据</w:t>
      </w:r>
      <w:r>
        <w:rPr>
          <w:sz w:val="24"/>
          <w:szCs w:val="24"/>
        </w:rPr>
        <w:t>质量检查</w:t>
      </w:r>
      <w:r>
        <w:rPr>
          <w:rFonts w:hint="eastAsia"/>
          <w:sz w:val="24"/>
          <w:szCs w:val="24"/>
        </w:rPr>
        <w:t>报告。</w:t>
      </w:r>
    </w:p>
    <w:p>
      <w:pPr>
        <w:pStyle w:val="133"/>
        <w:ind w:firstLine="0" w:firstLineChars="0"/>
        <w:rPr>
          <w:sz w:val="24"/>
          <w:szCs w:val="24"/>
        </w:rPr>
      </w:pPr>
      <w:r>
        <w:rPr>
          <w:rFonts w:hint="eastAsia"/>
          <w:sz w:val="24"/>
          <w:szCs w:val="24"/>
        </w:rPr>
        <w:t>1</w:t>
      </w:r>
      <w:r>
        <w:rPr>
          <w:sz w:val="24"/>
          <w:szCs w:val="24"/>
        </w:rPr>
        <w:t>1</w:t>
      </w:r>
      <w:r>
        <w:rPr>
          <w:rFonts w:hint="eastAsia"/>
          <w:sz w:val="24"/>
          <w:szCs w:val="24"/>
        </w:rPr>
        <w:t>．验收：验收依据为招标文件相关要求、合同要求、招标承诺等。</w:t>
      </w:r>
    </w:p>
    <w:bookmarkEnd w:id="235"/>
    <w:bookmarkEnd w:id="236"/>
    <w:bookmarkEnd w:id="237"/>
    <w:bookmarkEnd w:id="238"/>
    <w:bookmarkEnd w:id="239"/>
    <w:p>
      <w:pPr>
        <w:pStyle w:val="135"/>
        <w:ind w:firstLine="0" w:firstLineChars="0"/>
        <w:rPr>
          <w:color w:val="000000"/>
          <w:szCs w:val="24"/>
        </w:rPr>
      </w:pPr>
    </w:p>
    <w:p>
      <w:pPr>
        <w:spacing w:line="360" w:lineRule="auto"/>
        <w:jc w:val="center"/>
        <w:rPr>
          <w:b/>
          <w:sz w:val="28"/>
          <w:szCs w:val="28"/>
        </w:rPr>
      </w:pPr>
      <w:r>
        <w:rPr>
          <w:b/>
          <w:sz w:val="28"/>
          <w:szCs w:val="28"/>
        </w:rPr>
        <w:t>第3包： 0.1米分辨率验证数据技术服务</w:t>
      </w:r>
    </w:p>
    <w:p>
      <w:pPr>
        <w:pStyle w:val="129"/>
        <w:numPr>
          <w:ilvl w:val="1"/>
          <w:numId w:val="6"/>
        </w:numPr>
      </w:pPr>
      <w:r>
        <w:rPr>
          <w:rFonts w:hint="eastAsia"/>
        </w:rPr>
        <w:t>建设内容</w:t>
      </w:r>
    </w:p>
    <w:p>
      <w:pPr>
        <w:pStyle w:val="133"/>
        <w:ind w:left="0" w:leftChars="-67" w:hanging="141" w:hangingChars="59"/>
        <w:rPr>
          <w:sz w:val="24"/>
          <w:szCs w:val="24"/>
        </w:rPr>
      </w:pPr>
      <w:r>
        <w:rPr>
          <w:rFonts w:hint="eastAsia"/>
          <w:sz w:val="24"/>
          <w:szCs w:val="24"/>
        </w:rPr>
        <w:t>0.1米分辨率验证数据技术服务（</w:t>
      </w:r>
      <w:r>
        <w:rPr>
          <w:rFonts w:hint="eastAsia"/>
          <w:sz w:val="24"/>
          <w:szCs w:val="24"/>
          <w:lang w:val="en-US"/>
        </w:rPr>
        <w:t>山东地区</w:t>
      </w:r>
      <w:r>
        <w:rPr>
          <w:rFonts w:hint="eastAsia"/>
          <w:sz w:val="24"/>
          <w:szCs w:val="24"/>
        </w:rPr>
        <w:t>）。</w:t>
      </w:r>
    </w:p>
    <w:p>
      <w:pPr>
        <w:pStyle w:val="129"/>
        <w:numPr>
          <w:ilvl w:val="1"/>
          <w:numId w:val="6"/>
        </w:numPr>
      </w:pPr>
      <w:r>
        <w:rPr>
          <w:rFonts w:hint="eastAsia"/>
        </w:rPr>
        <w:t>技术指标及要求</w:t>
      </w:r>
    </w:p>
    <w:p>
      <w:pPr>
        <w:pStyle w:val="134"/>
        <w:ind w:left="-567" w:leftChars="-270" w:firstLine="424" w:firstLineChars="177"/>
        <w:rPr>
          <w:rFonts w:asciiTheme="minorEastAsia" w:hAnsiTheme="minorEastAsia" w:eastAsiaTheme="minorEastAsia"/>
          <w:sz w:val="24"/>
          <w:szCs w:val="24"/>
        </w:rPr>
      </w:pPr>
      <w:r>
        <w:rPr>
          <w:rFonts w:hint="eastAsia" w:asciiTheme="minorEastAsia" w:hAnsiTheme="minorEastAsia" w:eastAsiaTheme="minorEastAsia"/>
          <w:sz w:val="24"/>
          <w:szCs w:val="24"/>
        </w:rPr>
        <w:t>1．数据源：投标方需要自备数据源按要求开展整合技术服务。数据连续区域面积大于</w:t>
      </w:r>
      <w:r>
        <w:rPr>
          <w:rFonts w:asciiTheme="minorEastAsia" w:hAnsiTheme="minorEastAsia" w:eastAsiaTheme="minorEastAsia"/>
          <w:sz w:val="24"/>
          <w:szCs w:val="24"/>
        </w:rPr>
        <w:t>363</w:t>
      </w:r>
      <w:r>
        <w:rPr>
          <w:rFonts w:hint="eastAsia" w:asciiTheme="minorEastAsia" w:hAnsiTheme="minorEastAsia" w:eastAsiaTheme="minorEastAsia"/>
          <w:sz w:val="24"/>
          <w:szCs w:val="24"/>
        </w:rPr>
        <w:t>平方公里，垂直卫星轨道方向大于33Km ，沿卫星轨道方向大于11Km 。DEM</w:t>
      </w:r>
      <w:r>
        <w:rPr>
          <w:rFonts w:asciiTheme="minorEastAsia" w:hAnsiTheme="minorEastAsia" w:eastAsiaTheme="minorEastAsia"/>
          <w:sz w:val="24"/>
          <w:szCs w:val="24"/>
        </w:rPr>
        <w:t>/DSM精度优于</w:t>
      </w:r>
      <w:r>
        <w:rPr>
          <w:rFonts w:hint="eastAsia" w:asciiTheme="minorEastAsia" w:hAnsiTheme="minorEastAsia" w:eastAsiaTheme="minorEastAsia"/>
          <w:sz w:val="24"/>
          <w:szCs w:val="24"/>
        </w:rPr>
        <w:t>0.</w:t>
      </w:r>
      <w:r>
        <w:rPr>
          <w:rFonts w:asciiTheme="minorEastAsia" w:hAnsiTheme="minorEastAsia" w:eastAsiaTheme="minorEastAsia"/>
          <w:sz w:val="24"/>
          <w:szCs w:val="24"/>
        </w:rPr>
        <w:t>15m</w:t>
      </w:r>
      <w:r>
        <w:rPr>
          <w:rFonts w:hint="eastAsia" w:asciiTheme="minorEastAsia" w:hAnsiTheme="minorEastAsia" w:eastAsiaTheme="minorEastAsia"/>
          <w:sz w:val="24"/>
          <w:szCs w:val="24"/>
        </w:rPr>
        <w:t>。</w:t>
      </w:r>
    </w:p>
    <w:p>
      <w:pPr>
        <w:pStyle w:val="134"/>
        <w:ind w:left="720" w:leftChars="-67" w:hanging="861" w:hangingChars="359"/>
        <w:rPr>
          <w:rFonts w:asciiTheme="minorEastAsia" w:hAnsiTheme="minorEastAsia" w:eastAsiaTheme="minorEastAsia"/>
          <w:sz w:val="24"/>
          <w:szCs w:val="24"/>
        </w:rPr>
      </w:pPr>
      <w:r>
        <w:rPr>
          <w:rFonts w:hint="eastAsia" w:asciiTheme="minorEastAsia" w:hAnsiTheme="minorEastAsia" w:eastAsiaTheme="minorEastAsia"/>
          <w:sz w:val="24"/>
          <w:szCs w:val="24"/>
        </w:rPr>
        <w:t>2．数据格式要求：提供数据格式为GeoTIFF/IMG通用标准格式的影像数据。</w:t>
      </w:r>
    </w:p>
    <w:p>
      <w:pPr>
        <w:pStyle w:val="134"/>
        <w:ind w:left="720" w:leftChars="-67" w:hanging="861" w:hangingChars="359"/>
        <w:rPr>
          <w:rFonts w:asciiTheme="minorEastAsia" w:hAnsiTheme="minorEastAsia" w:eastAsiaTheme="minorEastAsia"/>
          <w:sz w:val="24"/>
          <w:szCs w:val="24"/>
        </w:rPr>
      </w:pPr>
      <w:r>
        <w:rPr>
          <w:rFonts w:hint="eastAsia" w:asciiTheme="minorEastAsia" w:hAnsiTheme="minorEastAsia" w:eastAsiaTheme="minorEastAsia"/>
          <w:sz w:val="24"/>
          <w:szCs w:val="24"/>
        </w:rPr>
        <w:t>3．云量要求：保证摄区内云量覆盖小于</w:t>
      </w:r>
      <w:r>
        <w:rPr>
          <w:rFonts w:asciiTheme="minorEastAsia" w:hAnsiTheme="minorEastAsia" w:eastAsiaTheme="minorEastAsia"/>
          <w:sz w:val="24"/>
          <w:szCs w:val="24"/>
        </w:rPr>
        <w:t>1</w:t>
      </w:r>
      <w:r>
        <w:rPr>
          <w:rFonts w:hint="eastAsia" w:asciiTheme="minorEastAsia" w:hAnsiTheme="minorEastAsia" w:eastAsiaTheme="minorEastAsia"/>
          <w:sz w:val="24"/>
          <w:szCs w:val="24"/>
        </w:rPr>
        <w:t>%。</w:t>
      </w:r>
    </w:p>
    <w:p>
      <w:pPr>
        <w:pStyle w:val="134"/>
        <w:ind w:left="720" w:leftChars="-67" w:hanging="861" w:hangingChars="359"/>
        <w:rPr>
          <w:rFonts w:asciiTheme="minorEastAsia" w:hAnsiTheme="minorEastAsia" w:eastAsiaTheme="minorEastAsia"/>
          <w:sz w:val="24"/>
          <w:szCs w:val="24"/>
        </w:rPr>
      </w:pPr>
      <w:r>
        <w:rPr>
          <w:rFonts w:hint="eastAsia" w:asciiTheme="minorEastAsia" w:hAnsiTheme="minorEastAsia" w:eastAsiaTheme="minorEastAsia"/>
          <w:sz w:val="24"/>
          <w:szCs w:val="24"/>
        </w:rPr>
        <w:t>4．雪量要求：除常年积雪地区外，其它地区应无积雪。</w:t>
      </w:r>
    </w:p>
    <w:p>
      <w:pPr>
        <w:pStyle w:val="134"/>
        <w:ind w:left="-567" w:leftChars="-270" w:firstLine="424" w:firstLineChars="177"/>
        <w:rPr>
          <w:rFonts w:asciiTheme="minorEastAsia" w:hAnsiTheme="minorEastAsia" w:eastAsiaTheme="minorEastAsia"/>
          <w:sz w:val="24"/>
          <w:szCs w:val="24"/>
        </w:rPr>
      </w:pPr>
      <w:r>
        <w:rPr>
          <w:rFonts w:hint="eastAsia" w:asciiTheme="minorEastAsia" w:hAnsiTheme="minorEastAsia" w:eastAsiaTheme="minorEastAsia"/>
          <w:sz w:val="24"/>
          <w:szCs w:val="24"/>
        </w:rPr>
        <w:t>5．影像质量：影像清晰，色彩、反差适中，无明显噪声，多光谱数据与全色数据时相一致。</w:t>
      </w:r>
    </w:p>
    <w:p>
      <w:pPr>
        <w:pStyle w:val="134"/>
        <w:ind w:left="-567" w:leftChars="-270" w:firstLine="424" w:firstLineChars="0"/>
        <w:rPr>
          <w:rFonts w:asciiTheme="minorEastAsia" w:hAnsiTheme="minorEastAsia" w:eastAsiaTheme="minorEastAsia"/>
          <w:sz w:val="24"/>
          <w:szCs w:val="24"/>
        </w:rPr>
      </w:pPr>
      <w:r>
        <w:rPr>
          <w:rFonts w:hint="eastAsia" w:asciiTheme="minorEastAsia" w:hAnsiTheme="minorEastAsia" w:eastAsiaTheme="minorEastAsia"/>
          <w:sz w:val="24"/>
          <w:szCs w:val="24"/>
        </w:rPr>
        <w:t>6．DOM、DEM/DSM采用两种坐标系具体包括：WGS84地理坐标系/WGS84椭球高，CGCS2000国家大地坐标系/1985国家高程基准。DOM影像分辨率0.05 m～0.</w:t>
      </w:r>
      <w:r>
        <w:rPr>
          <w:rFonts w:asciiTheme="minorEastAsia" w:hAnsiTheme="minorEastAsia" w:eastAsiaTheme="minorEastAsia"/>
          <w:sz w:val="24"/>
          <w:szCs w:val="24"/>
        </w:rPr>
        <w:t>1</w:t>
      </w:r>
      <w:r>
        <w:rPr>
          <w:rFonts w:hint="eastAsia" w:asciiTheme="minorEastAsia" w:hAnsiTheme="minorEastAsia" w:eastAsiaTheme="minorEastAsia"/>
          <w:sz w:val="24"/>
          <w:szCs w:val="24"/>
        </w:rPr>
        <w:t>m,DEM/DSM采用间隔</w:t>
      </w:r>
      <w:r>
        <w:rPr>
          <w:rFonts w:asciiTheme="minorEastAsia" w:hAnsiTheme="minorEastAsia" w:eastAsiaTheme="minorEastAsia"/>
          <w:sz w:val="24"/>
          <w:szCs w:val="24"/>
        </w:rPr>
        <w:t>0.5</w:t>
      </w:r>
      <w:r>
        <w:rPr>
          <w:rFonts w:hint="eastAsia" w:asciiTheme="minorEastAsia" w:hAnsiTheme="minorEastAsia" w:eastAsiaTheme="minorEastAsia"/>
          <w:sz w:val="24"/>
          <w:szCs w:val="24"/>
        </w:rPr>
        <w:t xml:space="preserve">米,数据格式GeoTIFF/IMG。 </w:t>
      </w:r>
    </w:p>
    <w:p>
      <w:pPr>
        <w:pStyle w:val="134"/>
        <w:ind w:left="-567" w:leftChars="-270" w:firstLine="424" w:firstLineChars="177"/>
        <w:rPr>
          <w:rFonts w:asciiTheme="minorEastAsia" w:hAnsiTheme="minorEastAsia" w:eastAsiaTheme="minorEastAsia"/>
          <w:sz w:val="24"/>
          <w:szCs w:val="24"/>
        </w:rPr>
      </w:pPr>
      <w:r>
        <w:rPr>
          <w:rFonts w:asciiTheme="minorEastAsia" w:hAnsiTheme="minorEastAsia" w:eastAsiaTheme="minorEastAsia"/>
          <w:sz w:val="24"/>
          <w:szCs w:val="24"/>
        </w:rPr>
        <w:t>7</w:t>
      </w:r>
      <w:r>
        <w:rPr>
          <w:rFonts w:hint="eastAsia" w:asciiTheme="minorEastAsia" w:hAnsiTheme="minorEastAsia" w:eastAsiaTheme="minorEastAsia"/>
          <w:sz w:val="24"/>
          <w:szCs w:val="24"/>
        </w:rPr>
        <w:t>．DOM影像应清晰，层次丰富，幅与幅之间影像保持色调均匀，反差适中，图面上不得有影像处理留下的明显痕迹，DOM影像接边重叠带不允许出现明显的模糊和重影，相邻数字正射影像要严格接边。</w:t>
      </w:r>
    </w:p>
    <w:p>
      <w:pPr>
        <w:pStyle w:val="134"/>
        <w:ind w:left="-567" w:leftChars="-270" w:firstLine="424" w:firstLineChars="177"/>
        <w:rPr>
          <w:rFonts w:asciiTheme="minorEastAsia" w:hAnsiTheme="minorEastAsia" w:eastAsiaTheme="minorEastAsia"/>
          <w:sz w:val="24"/>
          <w:szCs w:val="24"/>
        </w:rPr>
      </w:pPr>
      <w:r>
        <w:rPr>
          <w:rFonts w:hint="eastAsia" w:asciiTheme="minorEastAsia" w:hAnsiTheme="minorEastAsia" w:eastAsiaTheme="minorEastAsia"/>
          <w:sz w:val="24"/>
          <w:szCs w:val="24"/>
        </w:rPr>
        <w:t>8．侧视角：下视侧视角小于</w:t>
      </w:r>
      <w:r>
        <w:rPr>
          <w:rFonts w:asciiTheme="minorEastAsia" w:hAnsiTheme="minorEastAsia" w:eastAsiaTheme="minorEastAsia"/>
          <w:sz w:val="24"/>
          <w:szCs w:val="24"/>
        </w:rPr>
        <w:t>1</w:t>
      </w:r>
      <w:r>
        <w:rPr>
          <w:rFonts w:hint="eastAsia" w:asciiTheme="minorEastAsia" w:hAnsiTheme="minorEastAsia" w:eastAsiaTheme="minorEastAsia"/>
          <w:sz w:val="24"/>
          <w:szCs w:val="24"/>
        </w:rPr>
        <w:t>0°，且当相邻条带侧视角过大影响测图精度时予以补摄。</w:t>
      </w:r>
    </w:p>
    <w:p>
      <w:pPr>
        <w:pStyle w:val="134"/>
        <w:ind w:left="-567" w:leftChars="-270" w:firstLine="566" w:firstLineChars="236"/>
        <w:rPr>
          <w:sz w:val="24"/>
          <w:szCs w:val="24"/>
        </w:rPr>
      </w:pPr>
      <w:r>
        <w:rPr>
          <w:rFonts w:asciiTheme="minorEastAsia" w:hAnsiTheme="minorEastAsia" w:eastAsiaTheme="minorEastAsia"/>
          <w:sz w:val="24"/>
          <w:szCs w:val="24"/>
        </w:rPr>
        <w:t>9</w:t>
      </w:r>
      <w:r>
        <w:rPr>
          <w:rFonts w:hint="eastAsia" w:asciiTheme="minorEastAsia" w:hAnsiTheme="minorEastAsia" w:eastAsiaTheme="minorEastAsia"/>
          <w:sz w:val="24"/>
          <w:szCs w:val="24"/>
        </w:rPr>
        <w:t>．</w:t>
      </w:r>
      <w:r>
        <w:rPr>
          <w:rFonts w:hint="eastAsia"/>
          <w:sz w:val="24"/>
          <w:szCs w:val="24"/>
        </w:rPr>
        <w:t>资料整理与移交：提供商应在收到数据后按照甲方要求，按时完成资料的整理工作，按期进行移交至项目全部完成。</w:t>
      </w:r>
    </w:p>
    <w:p>
      <w:pPr>
        <w:pStyle w:val="134"/>
        <w:ind w:left="720" w:hanging="720"/>
        <w:rPr>
          <w:sz w:val="24"/>
          <w:szCs w:val="24"/>
        </w:rPr>
      </w:pPr>
      <w:r>
        <w:rPr>
          <w:sz w:val="24"/>
          <w:szCs w:val="24"/>
        </w:rPr>
        <w:t>10</w:t>
      </w:r>
      <w:r>
        <w:rPr>
          <w:rFonts w:hint="eastAsia"/>
          <w:sz w:val="24"/>
          <w:szCs w:val="24"/>
        </w:rPr>
        <w:t>．提交资料内容：</w:t>
      </w:r>
    </w:p>
    <w:p>
      <w:pPr>
        <w:pStyle w:val="134"/>
        <w:ind w:left="-567" w:leftChars="-270" w:firstLine="566" w:firstLineChars="236"/>
        <w:rPr>
          <w:sz w:val="24"/>
          <w:szCs w:val="24"/>
        </w:rPr>
      </w:pPr>
      <w:r>
        <w:rPr>
          <w:rFonts w:hint="eastAsia"/>
          <w:sz w:val="24"/>
          <w:szCs w:val="24"/>
        </w:rPr>
        <w:t>(</w:t>
      </w:r>
      <w:r>
        <w:rPr>
          <w:sz w:val="24"/>
          <w:szCs w:val="24"/>
        </w:rPr>
        <w:t>1)</w:t>
      </w:r>
      <w:r>
        <w:rPr>
          <w:rFonts w:hint="eastAsia"/>
          <w:sz w:val="24"/>
          <w:szCs w:val="24"/>
        </w:rPr>
        <w:t>具体</w:t>
      </w:r>
      <w:r>
        <w:rPr>
          <w:sz w:val="24"/>
          <w:szCs w:val="24"/>
        </w:rPr>
        <w:t>包含影像原始数据、POS</w:t>
      </w:r>
      <w:r>
        <w:rPr>
          <w:rFonts w:hint="eastAsia"/>
          <w:sz w:val="24"/>
          <w:szCs w:val="24"/>
        </w:rPr>
        <w:t>、控制点。原始影像地面采样间隔0.05m~0.</w:t>
      </w:r>
      <w:r>
        <w:rPr>
          <w:sz w:val="24"/>
          <w:szCs w:val="24"/>
        </w:rPr>
        <w:t>1</w:t>
      </w:r>
      <w:r>
        <w:rPr>
          <w:rFonts w:hint="eastAsia"/>
          <w:sz w:val="24"/>
          <w:szCs w:val="24"/>
        </w:rPr>
        <w:t>m, 获取时间201</w:t>
      </w:r>
      <w:r>
        <w:rPr>
          <w:sz w:val="24"/>
          <w:szCs w:val="24"/>
        </w:rPr>
        <w:t>7</w:t>
      </w:r>
      <w:r>
        <w:rPr>
          <w:rFonts w:hint="eastAsia"/>
          <w:sz w:val="24"/>
          <w:szCs w:val="24"/>
        </w:rPr>
        <w:t>年1月1日至今（存储介质为双拷贝硬盘）。</w:t>
      </w:r>
    </w:p>
    <w:p>
      <w:pPr>
        <w:pStyle w:val="134"/>
        <w:ind w:firstLine="0" w:firstLineChars="0"/>
        <w:rPr>
          <w:sz w:val="24"/>
          <w:szCs w:val="24"/>
        </w:rPr>
      </w:pPr>
      <w:r>
        <w:rPr>
          <w:rFonts w:hint="eastAsia"/>
          <w:sz w:val="24"/>
          <w:szCs w:val="24"/>
        </w:rPr>
        <w:t>(2)处理过程数据:空三报告。</w:t>
      </w:r>
    </w:p>
    <w:p>
      <w:pPr>
        <w:pStyle w:val="134"/>
        <w:ind w:firstLine="0" w:firstLineChars="0"/>
        <w:rPr>
          <w:sz w:val="24"/>
          <w:szCs w:val="24"/>
        </w:rPr>
      </w:pPr>
      <w:r>
        <w:rPr>
          <w:rFonts w:hint="eastAsia"/>
          <w:sz w:val="24"/>
          <w:szCs w:val="24"/>
        </w:rPr>
        <w:t>(3)处理产品数据: DOM、DEM/DSM数据。</w:t>
      </w:r>
    </w:p>
    <w:p>
      <w:pPr>
        <w:pStyle w:val="134"/>
        <w:ind w:firstLine="0" w:firstLineChars="0"/>
        <w:rPr>
          <w:rFonts w:asciiTheme="minorEastAsia" w:hAnsiTheme="minorEastAsia" w:eastAsiaTheme="minorEastAsia"/>
          <w:sz w:val="24"/>
          <w:szCs w:val="24"/>
        </w:rPr>
      </w:pPr>
      <w:r>
        <w:rPr>
          <w:rFonts w:hint="eastAsia"/>
          <w:sz w:val="24"/>
          <w:szCs w:val="24"/>
        </w:rPr>
        <w:t>(</w:t>
      </w:r>
      <w:r>
        <w:rPr>
          <w:sz w:val="24"/>
          <w:szCs w:val="24"/>
        </w:rPr>
        <w:t>4</w:t>
      </w:r>
      <w:r>
        <w:rPr>
          <w:rFonts w:hint="eastAsia"/>
          <w:sz w:val="24"/>
          <w:szCs w:val="24"/>
        </w:rPr>
        <w:t>)</w:t>
      </w:r>
      <w:r>
        <w:rPr>
          <w:sz w:val="24"/>
          <w:szCs w:val="24"/>
        </w:rPr>
        <w:t>第三方</w:t>
      </w:r>
      <w:r>
        <w:rPr>
          <w:rFonts w:hint="eastAsia"/>
          <w:sz w:val="24"/>
          <w:szCs w:val="24"/>
        </w:rPr>
        <w:t>测绘产品数据</w:t>
      </w:r>
      <w:r>
        <w:rPr>
          <w:sz w:val="24"/>
          <w:szCs w:val="24"/>
        </w:rPr>
        <w:t>质量检查</w:t>
      </w:r>
      <w:r>
        <w:rPr>
          <w:rFonts w:hint="eastAsia"/>
          <w:sz w:val="24"/>
          <w:szCs w:val="24"/>
        </w:rPr>
        <w:t>报告。</w:t>
      </w:r>
    </w:p>
    <w:p>
      <w:pPr>
        <w:pStyle w:val="135"/>
        <w:ind w:left="-141" w:leftChars="-67" w:firstLine="0" w:firstLineChars="0"/>
        <w:rPr>
          <w:rFonts w:asciiTheme="minorEastAsia" w:hAnsiTheme="minorEastAsia" w:eastAsiaTheme="minorEastAsia"/>
          <w:sz w:val="24"/>
          <w:szCs w:val="24"/>
        </w:rPr>
      </w:pPr>
      <w:r>
        <w:rPr>
          <w:rFonts w:hint="eastAsia" w:asciiTheme="minorEastAsia" w:hAnsiTheme="minorEastAsia" w:eastAsiaTheme="minorEastAsia"/>
          <w:sz w:val="24"/>
          <w:szCs w:val="24"/>
        </w:rPr>
        <w:t>1</w:t>
      </w:r>
      <w:r>
        <w:rPr>
          <w:rFonts w:asciiTheme="minorEastAsia" w:hAnsiTheme="minorEastAsia" w:eastAsiaTheme="minorEastAsia"/>
          <w:sz w:val="24"/>
          <w:szCs w:val="24"/>
        </w:rPr>
        <w:t>1</w:t>
      </w:r>
      <w:r>
        <w:rPr>
          <w:rFonts w:hint="eastAsia" w:asciiTheme="minorEastAsia" w:hAnsiTheme="minorEastAsia" w:eastAsiaTheme="minorEastAsia"/>
          <w:sz w:val="24"/>
          <w:szCs w:val="24"/>
        </w:rPr>
        <w:t>．验收：验收依据为招标文件相关要求、合同要求、招标承诺等。</w:t>
      </w:r>
    </w:p>
    <w:p>
      <w:pPr>
        <w:pStyle w:val="135"/>
        <w:ind w:firstLine="0" w:firstLineChars="0"/>
        <w:rPr>
          <w:rFonts w:asciiTheme="minorEastAsia" w:hAnsiTheme="minorEastAsia" w:eastAsiaTheme="minorEastAsia"/>
          <w:sz w:val="24"/>
          <w:szCs w:val="24"/>
        </w:rPr>
      </w:pPr>
    </w:p>
    <w:p>
      <w:pPr>
        <w:pStyle w:val="135"/>
        <w:ind w:firstLine="0" w:firstLineChars="0"/>
        <w:rPr>
          <w:sz w:val="24"/>
          <w:szCs w:val="24"/>
        </w:rPr>
      </w:pPr>
      <w:r>
        <w:rPr>
          <w:rFonts w:hint="eastAsia" w:asciiTheme="minorEastAsia" w:hAnsiTheme="minorEastAsia" w:eastAsiaTheme="minorEastAsia"/>
          <w:sz w:val="24"/>
          <w:szCs w:val="24"/>
        </w:rPr>
        <w:t>服务期：签订合同后</w:t>
      </w:r>
      <w:r>
        <w:rPr>
          <w:rFonts w:hint="eastAsia"/>
          <w:sz w:val="24"/>
          <w:szCs w:val="24"/>
        </w:rPr>
        <w:t>12个月内，终验后提供12个月免费质保服务。</w:t>
      </w:r>
    </w:p>
    <w:p>
      <w:pPr>
        <w:pStyle w:val="135"/>
        <w:ind w:firstLine="0" w:firstLineChars="0"/>
        <w:rPr>
          <w:color w:val="000000"/>
          <w:szCs w:val="24"/>
        </w:rPr>
        <w:sectPr>
          <w:headerReference r:id="rId10" w:type="first"/>
          <w:headerReference r:id="rId8" w:type="default"/>
          <w:headerReference r:id="rId9" w:type="even"/>
          <w:pgSz w:w="11906" w:h="16838"/>
          <w:pgMar w:top="1440" w:right="1800" w:bottom="1440" w:left="1843" w:header="851" w:footer="992" w:gutter="0"/>
          <w:cols w:space="720" w:num="1"/>
          <w:docGrid w:type="lines" w:linePitch="312" w:charSpace="0"/>
        </w:sectPr>
      </w:pPr>
      <w:r>
        <w:rPr>
          <w:rFonts w:hint="eastAsia"/>
          <w:sz w:val="24"/>
          <w:szCs w:val="24"/>
        </w:rPr>
        <w:t>服务地点：采购人指定地点</w:t>
      </w:r>
    </w:p>
    <w:p>
      <w:pPr>
        <w:pStyle w:val="129"/>
        <w:numPr>
          <w:ilvl w:val="1"/>
          <w:numId w:val="7"/>
        </w:numPr>
      </w:pPr>
      <w:r>
        <w:rPr>
          <w:rFonts w:hint="eastAsia" w:ascii="微软雅黑" w:eastAsia="微软雅黑" w:cs="微软雅黑"/>
          <w:sz w:val="22"/>
          <w:szCs w:val="22"/>
        </w:rPr>
        <w:t>★</w:t>
      </w:r>
      <w:r>
        <w:rPr>
          <w:rFonts w:hint="eastAsia"/>
        </w:rPr>
        <w:t>承诺函</w:t>
      </w:r>
    </w:p>
    <w:p>
      <w:pPr>
        <w:pStyle w:val="20"/>
        <w:tabs>
          <w:tab w:val="left" w:pos="0"/>
        </w:tabs>
        <w:spacing w:after="156" w:afterLines="50" w:line="360" w:lineRule="auto"/>
        <w:jc w:val="center"/>
        <w:rPr>
          <w:rFonts w:hAnsi="宋体"/>
          <w:b/>
          <w:sz w:val="36"/>
          <w:szCs w:val="36"/>
        </w:rPr>
      </w:pPr>
      <w:r>
        <w:rPr>
          <w:rFonts w:hint="eastAsia" w:hAnsi="宋体"/>
          <w:b/>
          <w:sz w:val="36"/>
          <w:szCs w:val="36"/>
        </w:rPr>
        <w:t>承诺函</w:t>
      </w:r>
    </w:p>
    <w:p>
      <w:pPr>
        <w:pStyle w:val="20"/>
        <w:spacing w:after="156" w:afterLines="50" w:line="360" w:lineRule="auto"/>
        <w:rPr>
          <w:rFonts w:hAnsi="宋体" w:cs="Arial"/>
          <w:color w:val="000000"/>
          <w:sz w:val="24"/>
          <w:szCs w:val="24"/>
        </w:rPr>
      </w:pPr>
      <w:r>
        <w:rPr>
          <w:rFonts w:hint="eastAsia" w:hAnsi="宋体" w:cs="Arial"/>
          <w:color w:val="000000"/>
          <w:sz w:val="24"/>
          <w:szCs w:val="24"/>
        </w:rPr>
        <w:t>自然资源部国土卫星遥感应用中心</w:t>
      </w:r>
      <w:r>
        <w:rPr>
          <w:rFonts w:hAnsi="宋体" w:cs="Arial"/>
          <w:color w:val="000000"/>
          <w:sz w:val="24"/>
          <w:szCs w:val="24"/>
        </w:rPr>
        <w:t>：</w:t>
      </w:r>
    </w:p>
    <w:p>
      <w:pPr>
        <w:pStyle w:val="20"/>
        <w:spacing w:line="360" w:lineRule="auto"/>
        <w:rPr>
          <w:rFonts w:hAnsi="宋体" w:cs="Arial"/>
          <w:color w:val="000000"/>
          <w:sz w:val="24"/>
          <w:szCs w:val="24"/>
        </w:rPr>
      </w:pPr>
      <w:r>
        <w:rPr>
          <w:rFonts w:hAnsi="宋体" w:cs="Arial"/>
          <w:color w:val="000000"/>
          <w:sz w:val="24"/>
          <w:szCs w:val="24"/>
        </w:rPr>
        <w:t>在本次招标活动中，</w:t>
      </w:r>
      <w:r>
        <w:rPr>
          <w:rFonts w:hint="eastAsia" w:hAnsi="宋体" w:cs="Arial"/>
          <w:color w:val="000000"/>
          <w:sz w:val="24"/>
          <w:szCs w:val="24"/>
        </w:rPr>
        <w:t>投标人自</w:t>
      </w:r>
      <w:r>
        <w:rPr>
          <w:rFonts w:hAnsi="宋体" w:cs="Arial"/>
          <w:color w:val="000000"/>
          <w:sz w:val="24"/>
          <w:szCs w:val="24"/>
        </w:rPr>
        <w:t>愿做出以下承诺：</w:t>
      </w:r>
    </w:p>
    <w:p>
      <w:pPr>
        <w:pStyle w:val="135"/>
        <w:ind w:firstLine="500"/>
        <w:rPr>
          <w:sz w:val="24"/>
          <w:szCs w:val="24"/>
        </w:rPr>
      </w:pPr>
      <w:r>
        <w:rPr>
          <w:rFonts w:hint="eastAsia"/>
          <w:sz w:val="24"/>
          <w:szCs w:val="24"/>
        </w:rPr>
        <w:t>一、第三方软件服务及授权要求</w:t>
      </w:r>
    </w:p>
    <w:p>
      <w:pPr>
        <w:pStyle w:val="135"/>
        <w:ind w:firstLine="500"/>
        <w:rPr>
          <w:sz w:val="24"/>
          <w:szCs w:val="24"/>
        </w:rPr>
      </w:pPr>
      <w:r>
        <w:rPr>
          <w:rFonts w:hint="eastAsia"/>
          <w:sz w:val="24"/>
          <w:szCs w:val="24"/>
        </w:rPr>
        <w:t>本系统中凡是涉及使用到的由本投标人自行提供的第三方软件、服务或商业插件等，均已获得正版授权和原厂售后服务，</w:t>
      </w:r>
      <w:r>
        <w:rPr>
          <w:sz w:val="24"/>
          <w:szCs w:val="24"/>
        </w:rPr>
        <w:t>上述第三方</w:t>
      </w:r>
      <w:r>
        <w:rPr>
          <w:rFonts w:hint="eastAsia"/>
          <w:sz w:val="24"/>
          <w:szCs w:val="24"/>
        </w:rPr>
        <w:t>授权已全部覆盖系统运行的需求，且保证被授权人或最终用户为</w:t>
      </w:r>
      <w:r>
        <w:rPr>
          <w:sz w:val="24"/>
          <w:szCs w:val="24"/>
        </w:rPr>
        <w:t>招标人</w:t>
      </w:r>
      <w:r>
        <w:rPr>
          <w:rFonts w:hint="eastAsia"/>
          <w:sz w:val="24"/>
          <w:szCs w:val="24"/>
        </w:rPr>
        <w:t>，招标人享有终身合法、免费使用权，</w:t>
      </w:r>
      <w:r>
        <w:rPr>
          <w:sz w:val="24"/>
          <w:szCs w:val="24"/>
        </w:rPr>
        <w:t>上述</w:t>
      </w:r>
      <w:r>
        <w:rPr>
          <w:rFonts w:hint="eastAsia"/>
          <w:sz w:val="24"/>
          <w:szCs w:val="24"/>
        </w:rPr>
        <w:t>原厂售后服务期限不得少于该系统免费质保期限，若未达上述要求所产生的费用全部由</w:t>
      </w:r>
      <w:r>
        <w:rPr>
          <w:sz w:val="24"/>
          <w:szCs w:val="24"/>
        </w:rPr>
        <w:t>投标人</w:t>
      </w:r>
      <w:r>
        <w:rPr>
          <w:rFonts w:hint="eastAsia"/>
          <w:sz w:val="24"/>
          <w:szCs w:val="24"/>
        </w:rPr>
        <w:t>承担。</w:t>
      </w:r>
    </w:p>
    <w:p>
      <w:pPr>
        <w:pStyle w:val="135"/>
        <w:ind w:firstLine="500"/>
        <w:rPr>
          <w:sz w:val="24"/>
          <w:szCs w:val="24"/>
        </w:rPr>
      </w:pPr>
      <w:r>
        <w:rPr>
          <w:rFonts w:hint="eastAsia"/>
          <w:sz w:val="24"/>
          <w:szCs w:val="24"/>
        </w:rPr>
        <w:t>二、配合软件系统测试要求</w:t>
      </w:r>
    </w:p>
    <w:p>
      <w:pPr>
        <w:pStyle w:val="135"/>
        <w:ind w:firstLine="500"/>
        <w:rPr>
          <w:sz w:val="24"/>
          <w:szCs w:val="24"/>
        </w:rPr>
      </w:pPr>
      <w:r>
        <w:rPr>
          <w:rFonts w:hint="eastAsia"/>
          <w:sz w:val="24"/>
          <w:szCs w:val="24"/>
        </w:rPr>
        <w:t>投标人承诺中标后合同履行阶段（试运行阶段）按照合同约定将数据在招标人指定场所进行测试，测试人员由投标人负责派遣，负责现场测试环境的准备及待测试软件系统的部署，由招标人指派负责人进行现场监督、确认。经过招标人认可后系统进入试运行。</w:t>
      </w:r>
    </w:p>
    <w:p>
      <w:pPr>
        <w:pStyle w:val="135"/>
        <w:ind w:firstLine="500"/>
        <w:rPr>
          <w:sz w:val="24"/>
          <w:szCs w:val="24"/>
        </w:rPr>
      </w:pPr>
      <w:r>
        <w:rPr>
          <w:rFonts w:hint="eastAsia"/>
          <w:sz w:val="24"/>
          <w:szCs w:val="24"/>
        </w:rPr>
        <w:t>三、系统集成要求</w:t>
      </w:r>
    </w:p>
    <w:p>
      <w:pPr>
        <w:spacing w:line="360" w:lineRule="auto"/>
        <w:ind w:firstLine="500"/>
        <w:rPr>
          <w:rFonts w:hAnsi="宋体"/>
          <w:spacing w:val="5"/>
          <w:kern w:val="0"/>
          <w:sz w:val="24"/>
        </w:rPr>
      </w:pPr>
      <w:r>
        <w:rPr>
          <w:rFonts w:hint="eastAsia" w:hAnsi="宋体"/>
          <w:spacing w:val="5"/>
          <w:kern w:val="0"/>
          <w:sz w:val="24"/>
        </w:rPr>
        <w:t>投标人承诺承担与本次招标项目相关的系统软件集成责任。按照招标人要求，在总集成商的指导和协调下，与其他项目承建商一起，完成系统软件集成任务，主要包括：</w:t>
      </w:r>
    </w:p>
    <w:p>
      <w:pPr>
        <w:spacing w:line="360" w:lineRule="auto"/>
        <w:ind w:firstLine="500"/>
        <w:rPr>
          <w:rFonts w:hAnsi="宋体"/>
          <w:spacing w:val="5"/>
          <w:kern w:val="0"/>
          <w:sz w:val="24"/>
        </w:rPr>
      </w:pPr>
      <w:r>
        <w:rPr>
          <w:rFonts w:hint="eastAsia" w:hAnsi="宋体"/>
          <w:spacing w:val="5"/>
          <w:kern w:val="0"/>
          <w:sz w:val="24"/>
        </w:rPr>
        <w:t>（1）</w:t>
      </w:r>
      <w:r>
        <w:rPr>
          <w:rFonts w:hAnsi="宋体"/>
          <w:spacing w:val="5"/>
          <w:kern w:val="0"/>
          <w:sz w:val="24"/>
        </w:rPr>
        <w:t>按照项目整体架构设计以及总集研制的集成框架要求的开发语言、开发标准</w:t>
      </w:r>
      <w:r>
        <w:rPr>
          <w:rFonts w:hint="eastAsia" w:hAnsi="宋体"/>
          <w:spacing w:val="5"/>
          <w:kern w:val="0"/>
          <w:sz w:val="24"/>
        </w:rPr>
        <w:t>，完成包括界面集成、数据集成、接口集成、通讯集成等功能模块开发及集成工作，实现界面风格、登录服务、数据存储和访问、消息通信、工作流程的统一集成；</w:t>
      </w:r>
    </w:p>
    <w:p>
      <w:pPr>
        <w:spacing w:line="360" w:lineRule="auto"/>
        <w:ind w:firstLine="500"/>
        <w:rPr>
          <w:rFonts w:hAnsi="宋体"/>
          <w:spacing w:val="5"/>
          <w:kern w:val="0"/>
          <w:sz w:val="24"/>
        </w:rPr>
      </w:pPr>
      <w:r>
        <w:rPr>
          <w:rFonts w:hint="eastAsia" w:hAnsi="宋体"/>
          <w:spacing w:val="5"/>
          <w:kern w:val="0"/>
          <w:sz w:val="24"/>
        </w:rPr>
        <w:t>（2）</w:t>
      </w:r>
      <w:r>
        <w:rPr>
          <w:rFonts w:hAnsi="宋体"/>
          <w:spacing w:val="5"/>
          <w:kern w:val="0"/>
          <w:sz w:val="24"/>
        </w:rPr>
        <w:t>充分配合总集单位进行系统集成及测试等工作，满足甲方整体架构要求</w:t>
      </w:r>
      <w:r>
        <w:rPr>
          <w:rFonts w:hint="eastAsia" w:hAnsi="宋体"/>
          <w:spacing w:val="5"/>
          <w:kern w:val="0"/>
          <w:sz w:val="24"/>
        </w:rPr>
        <w:t>；</w:t>
      </w:r>
    </w:p>
    <w:p>
      <w:pPr>
        <w:spacing w:line="360" w:lineRule="auto"/>
        <w:ind w:firstLine="500"/>
        <w:rPr>
          <w:spacing w:val="5"/>
          <w:kern w:val="0"/>
          <w:sz w:val="24"/>
        </w:rPr>
      </w:pPr>
      <w:r>
        <w:rPr>
          <w:rFonts w:hint="eastAsia" w:hAnsi="宋体"/>
          <w:spacing w:val="5"/>
          <w:kern w:val="0"/>
          <w:sz w:val="24"/>
        </w:rPr>
        <w:t>（3）配合完</w:t>
      </w:r>
      <w:r>
        <w:rPr>
          <w:sz w:val="24"/>
        </w:rPr>
        <w:t>成其他与</w:t>
      </w:r>
      <w:r>
        <w:rPr>
          <w:rFonts w:hint="eastAsia"/>
          <w:sz w:val="24"/>
        </w:rPr>
        <w:t>卫星应用系统</w:t>
      </w:r>
      <w:r>
        <w:rPr>
          <w:sz w:val="24"/>
        </w:rPr>
        <w:t>总体建设有关的</w:t>
      </w:r>
      <w:r>
        <w:rPr>
          <w:rFonts w:hint="eastAsia" w:hAnsi="宋体"/>
          <w:spacing w:val="5"/>
          <w:kern w:val="0"/>
          <w:sz w:val="24"/>
        </w:rPr>
        <w:t>集成工作</w:t>
      </w:r>
      <w:r>
        <w:rPr>
          <w:rFonts w:hint="eastAsia"/>
          <w:spacing w:val="5"/>
          <w:kern w:val="0"/>
          <w:sz w:val="24"/>
        </w:rPr>
        <w:t>。</w:t>
      </w:r>
    </w:p>
    <w:p>
      <w:pPr>
        <w:spacing w:line="360" w:lineRule="auto"/>
        <w:ind w:firstLine="4560" w:firstLineChars="1900"/>
        <w:rPr>
          <w:sz w:val="24"/>
        </w:rPr>
      </w:pPr>
      <w:r>
        <w:rPr>
          <w:rFonts w:hint="eastAsia"/>
          <w:sz w:val="24"/>
        </w:rPr>
        <w:t>投标人：（盖章）</w:t>
      </w:r>
    </w:p>
    <w:p>
      <w:pPr>
        <w:pStyle w:val="2"/>
        <w:rPr>
          <w:rFonts w:hint="default"/>
          <w:lang w:val="en-US"/>
        </w:rPr>
      </w:pPr>
      <w:r>
        <w:rPr>
          <w:sz w:val="24"/>
          <w:lang w:val="en-US"/>
        </w:rPr>
        <w:t xml:space="preserve">                                      法定代表人或授权代表：（签字或盖章）</w:t>
      </w:r>
    </w:p>
    <w:p>
      <w:pPr>
        <w:pStyle w:val="136"/>
        <w:spacing w:line="360" w:lineRule="auto"/>
        <w:ind w:firstLine="480"/>
        <w:rPr>
          <w:b/>
          <w:sz w:val="24"/>
        </w:rPr>
      </w:pPr>
      <w:r>
        <w:rPr>
          <w:rFonts w:hint="eastAsia"/>
          <w:sz w:val="24"/>
        </w:rPr>
        <w:t xml:space="preserve">                                  日期：   年   月   日</w:t>
      </w:r>
    </w:p>
    <w:bookmarkEnd w:id="207"/>
    <w:p>
      <w:pPr>
        <w:pStyle w:val="3"/>
        <w:spacing w:line="360" w:lineRule="auto"/>
        <w:rPr>
          <w:rFonts w:asciiTheme="minorEastAsia" w:hAnsiTheme="minorEastAsia" w:eastAsiaTheme="minorEastAsia" w:cstheme="minorEastAsia"/>
        </w:rPr>
      </w:pPr>
      <w:bookmarkStart w:id="241" w:name="_Toc61878500"/>
      <w:r>
        <w:rPr>
          <w:rFonts w:hint="eastAsia" w:asciiTheme="minorEastAsia" w:hAnsiTheme="minorEastAsia" w:eastAsiaTheme="minorEastAsia" w:cstheme="minorEastAsia"/>
        </w:rPr>
        <w:t xml:space="preserve">第五章 </w:t>
      </w:r>
      <w:bookmarkEnd w:id="197"/>
      <w:bookmarkEnd w:id="208"/>
      <w:r>
        <w:rPr>
          <w:rFonts w:hint="eastAsia" w:asciiTheme="minorEastAsia" w:hAnsiTheme="minorEastAsia" w:eastAsiaTheme="minorEastAsia" w:cstheme="minorEastAsia"/>
        </w:rPr>
        <w:t>评标方法和评标标准</w:t>
      </w:r>
      <w:bookmarkEnd w:id="209"/>
      <w:bookmarkEnd w:id="241"/>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一、投标文件资格册审查</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                       项目编号：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评标地点：                       评标日期：</w:t>
      </w:r>
    </w:p>
    <w:tbl>
      <w:tblPr>
        <w:tblStyle w:val="49"/>
        <w:tblW w:w="4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2"/>
        <w:gridCol w:w="5739"/>
        <w:gridCol w:w="1833"/>
        <w:gridCol w:w="1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restart"/>
            <w:vAlign w:val="center"/>
          </w:tcPr>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资格性审查</w:t>
            </w:r>
          </w:p>
        </w:tc>
        <w:tc>
          <w:tcPr>
            <w:tcW w:w="3149" w:type="pct"/>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评审内容</w:t>
            </w:r>
          </w:p>
        </w:tc>
        <w:tc>
          <w:tcPr>
            <w:tcW w:w="1006" w:type="pct"/>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w:t>
            </w:r>
          </w:p>
        </w:tc>
        <w:tc>
          <w:tcPr>
            <w:tcW w:w="564" w:type="pct"/>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三证合一的营业执照或事业单位法人证书复印件；投标人是自然人的，应提供其有效的自然身份证明复印件</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注：①事业人单位提供《事业单位法人证书》、民办非企业单位提供《民办非企业单位登记证书》复印件。</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②提供的复印件须加盖本单位公章。</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投标人提供经会计师事务所出具2019年度或2020年度财务审计报告复印件（须加盖本单位公章）。如投标人无法提供2019年度或2020年度的财务审计报告，则须提供银行出具的有效资信证明。</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说明：1、银行资信证明是指投标人参加本次投标截止日前一年内银行出具的资信证明（成立一年内的公司可提交验资证明复印件并加盖投标人公章）,且无收受人和项目的限制，但开具银行有限制规定的除外；</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2、银行资信证明可以是复印件(须加盖投标人公章)，评标委员会保留审核原件的权利；银行资信证明的开具银行明确规定复印无效的，须提交原件；</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3、银行资信证明的开具银行明确规定背面有声明的，须提供资信证明背面复印件；</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4、银行资信证明应能说明该投标人与银行之间业务往来正常，企业信誉良好等；</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5、银行出具的存款证明不能替代银行资信证明，存款证明无效。</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有依法缴纳社会保障资金的良好记录，投标人逐月交纳社会保障资金的，须提供参加本次政府采购活动近半年内任意一个月的由银行出具的社会保障资金缴费凭证或社保机构出具的缴纳凭证复印件（须加盖本单位公章）；投标人逐年缴纳社会保障资金的，须提供参加本次政府采购活动上年度由银行出具的社会保障资金缴费凭证社保机构出具的缴纳凭证复印件（须加盖本单位公章）。</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注：依法不需要缴纳社会保障资金的投标人，须提供相应文件证明。</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有依法缴纳税收的良好记录，投标人提供参加本次政府采购活动近半年内任意一个月的由银行出具的缴纳凭证或纳税机关出具的缴纳凭证复印件（须加盖本单位公章）</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注：依法免税或零报税的投标人，须提供相应文件证明。</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参加本次政府采购活动前三年内，在经营活动中没有重大违法记录的声明（投标人须提供此声明，法定代表人或其授权代表签字，并加盖本单位公章）</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投标人须承诺不同投标人的法人、单位负责人不是同一人也不存在直接控股、管理关系，并加盖本单位公章（格式自拟）</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投标人须承诺已向采购代理机构购买招标文件并登记备案，并加盖本单位公章（格式自拟）</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Theme="minorEastAsia" w:hAnsiTheme="minorEastAsia" w:eastAsiaTheme="minorEastAsia" w:cstheme="minorEastAsia"/>
                <w:sz w:val="24"/>
              </w:rPr>
            </w:pPr>
          </w:p>
        </w:tc>
        <w:tc>
          <w:tcPr>
            <w:tcW w:w="3149" w:type="pct"/>
          </w:tcPr>
          <w:p>
            <w:pPr>
              <w:wordWrap w:val="0"/>
              <w:topLinePunct/>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未被列入“信用中国”网站（www.creditchina.gov.cn）、中国政府采购网（www.ccgp.gov.cn）信用记录失信被执行人、重大税收违法案件当事人名单、政府采购严重违法失信行为记录名单。</w:t>
            </w:r>
          </w:p>
          <w:p>
            <w:pPr>
              <w:wordWrap w:val="0"/>
              <w:topLinePunct/>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注：采购代理机构开标后查询结果页面打印并存档。</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30" w:type="pct"/>
            <w:gridSpan w:val="2"/>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结论</w:t>
            </w:r>
          </w:p>
        </w:tc>
        <w:tc>
          <w:tcPr>
            <w:tcW w:w="1006" w:type="pct"/>
          </w:tcPr>
          <w:p>
            <w:pPr>
              <w:spacing w:line="360" w:lineRule="auto"/>
              <w:rPr>
                <w:rFonts w:asciiTheme="minorEastAsia" w:hAnsiTheme="minorEastAsia" w:eastAsiaTheme="minorEastAsia" w:cstheme="minorEastAsia"/>
                <w:sz w:val="24"/>
              </w:rPr>
            </w:pPr>
          </w:p>
        </w:tc>
        <w:tc>
          <w:tcPr>
            <w:tcW w:w="564" w:type="pct"/>
          </w:tcPr>
          <w:p>
            <w:pPr>
              <w:spacing w:line="360" w:lineRule="auto"/>
              <w:rPr>
                <w:rFonts w:asciiTheme="minorEastAsia" w:hAnsiTheme="minorEastAsia" w:eastAsiaTheme="minorEastAsia" w:cstheme="minorEastAsia"/>
                <w:sz w:val="24"/>
              </w:rPr>
            </w:pPr>
          </w:p>
        </w:tc>
      </w:tr>
    </w:tbl>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采购代理机构/采购人签字：</w:t>
      </w:r>
    </w:p>
    <w:p>
      <w:pPr>
        <w:autoSpaceDE w:val="0"/>
        <w:autoSpaceDN w:val="0"/>
        <w:adjustRightInd w:val="0"/>
        <w:spacing w:line="360" w:lineRule="auto"/>
        <w:jc w:val="left"/>
        <w:rPr>
          <w:rFonts w:asciiTheme="minorEastAsia" w:hAnsiTheme="minorEastAsia" w:eastAsiaTheme="minorEastAsia" w:cstheme="minorEastAsia"/>
          <w:b/>
          <w:color w:val="000000"/>
          <w:kern w:val="0"/>
          <w:sz w:val="24"/>
        </w:rPr>
      </w:pPr>
    </w:p>
    <w:p>
      <w:pPr>
        <w:autoSpaceDE w:val="0"/>
        <w:autoSpaceDN w:val="0"/>
        <w:adjustRightInd w:val="0"/>
        <w:spacing w:line="360" w:lineRule="auto"/>
        <w:jc w:val="left"/>
        <w:rPr>
          <w:rFonts w:asciiTheme="minorEastAsia" w:hAnsiTheme="minorEastAsia" w:eastAsiaTheme="minorEastAsia" w:cstheme="minorEastAsia"/>
          <w:b/>
          <w:color w:val="000000"/>
          <w:kern w:val="0"/>
          <w:sz w:val="24"/>
        </w:rPr>
      </w:pPr>
      <w:r>
        <w:rPr>
          <w:rFonts w:hint="eastAsia" w:asciiTheme="minorEastAsia" w:hAnsiTheme="minorEastAsia" w:eastAsiaTheme="minorEastAsia" w:cstheme="minorEastAsia"/>
          <w:b/>
          <w:color w:val="000000"/>
          <w:kern w:val="0"/>
          <w:sz w:val="24"/>
        </w:rPr>
        <w:t>注：1、投标人资格审查均以投标人在资格册所提供的证明材料为准。若投标人未按要求提交证明材料，所造成的后果由投标人自行承担；</w:t>
      </w:r>
    </w:p>
    <w:p>
      <w:pPr>
        <w:autoSpaceDE w:val="0"/>
        <w:autoSpaceDN w:val="0"/>
        <w:adjustRightInd w:val="0"/>
        <w:spacing w:line="360" w:lineRule="auto"/>
        <w:ind w:firstLine="482" w:firstLineChars="200"/>
        <w:jc w:val="left"/>
        <w:rPr>
          <w:rFonts w:asciiTheme="minorEastAsia" w:hAnsiTheme="minorEastAsia" w:eastAsiaTheme="minorEastAsia" w:cstheme="minorEastAsia"/>
          <w:b/>
          <w:color w:val="000000"/>
          <w:kern w:val="0"/>
          <w:sz w:val="24"/>
        </w:rPr>
      </w:pPr>
      <w:r>
        <w:rPr>
          <w:rFonts w:hint="eastAsia" w:asciiTheme="minorEastAsia" w:hAnsiTheme="minorEastAsia" w:eastAsiaTheme="minorEastAsia" w:cstheme="minorEastAsia"/>
          <w:b/>
          <w:color w:val="000000"/>
          <w:kern w:val="0"/>
          <w:sz w:val="24"/>
        </w:rPr>
        <w:t>2、审查内容具体要求及格式详见第七章附件。</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sz w:val="24"/>
        </w:rPr>
        <w:br w:type="page"/>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二、投标文件商务技术册审查</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                      项目编号：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评标地点：                      评标日期：</w:t>
      </w:r>
    </w:p>
    <w:tbl>
      <w:tblPr>
        <w:tblStyle w:val="49"/>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4625"/>
        <w:gridCol w:w="708"/>
        <w:gridCol w:w="709"/>
        <w:gridCol w:w="709"/>
        <w:gridCol w:w="9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restart"/>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符合性审查</w:t>
            </w:r>
          </w:p>
        </w:tc>
        <w:tc>
          <w:tcPr>
            <w:tcW w:w="4625"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评审内容</w:t>
            </w:r>
          </w:p>
        </w:tc>
        <w:tc>
          <w:tcPr>
            <w:tcW w:w="708"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w:t>
            </w:r>
          </w:p>
        </w:tc>
        <w:tc>
          <w:tcPr>
            <w:tcW w:w="709"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w:t>
            </w:r>
          </w:p>
        </w:tc>
        <w:tc>
          <w:tcPr>
            <w:tcW w:w="709"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w:t>
            </w:r>
          </w:p>
        </w:tc>
        <w:tc>
          <w:tcPr>
            <w:tcW w:w="904"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投标报价是否超预算</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文件签署、盖章</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文件完整性、有效性</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投标有效期</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投标保证金</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是否对招标文件进行了实质性响应</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Theme="minorEastAsia" w:hAnsiTheme="minorEastAsia" w:eastAsiaTheme="minorEastAsia" w:cstheme="minorEastAsia"/>
                <w:sz w:val="24"/>
              </w:rPr>
            </w:pPr>
          </w:p>
        </w:tc>
        <w:tc>
          <w:tcPr>
            <w:tcW w:w="4625" w:type="dxa"/>
          </w:tcPr>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其他商务条款</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51" w:type="dxa"/>
            <w:gridSpan w:val="2"/>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结论</w:t>
            </w:r>
          </w:p>
        </w:tc>
        <w:tc>
          <w:tcPr>
            <w:tcW w:w="708"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709" w:type="dxa"/>
          </w:tcPr>
          <w:p>
            <w:pPr>
              <w:spacing w:line="360" w:lineRule="auto"/>
              <w:rPr>
                <w:rFonts w:asciiTheme="minorEastAsia" w:hAnsiTheme="minorEastAsia" w:eastAsiaTheme="minorEastAsia" w:cstheme="minorEastAsia"/>
                <w:sz w:val="24"/>
              </w:rPr>
            </w:pPr>
          </w:p>
        </w:tc>
        <w:tc>
          <w:tcPr>
            <w:tcW w:w="904" w:type="dxa"/>
          </w:tcPr>
          <w:p>
            <w:pPr>
              <w:spacing w:line="360" w:lineRule="auto"/>
              <w:rPr>
                <w:rFonts w:asciiTheme="minorEastAsia" w:hAnsiTheme="minorEastAsia" w:eastAsiaTheme="minorEastAsia" w:cstheme="minorEastAsia"/>
                <w:sz w:val="24"/>
              </w:rPr>
            </w:pPr>
          </w:p>
        </w:tc>
      </w:tr>
    </w:tbl>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评标委员会签字：</w:t>
      </w:r>
    </w:p>
    <w:p>
      <w:pPr>
        <w:widowControl/>
        <w:spacing w:line="360" w:lineRule="auto"/>
        <w:jc w:val="lef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三、评标办法</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（一）综合评分法，是指投标文件满足招标文件全部实质性要求，且按照评审因素的量化指标评审得分最高的投标人为中标候选人的评标方法。</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（二）评标时，评标委员会各成员应当独立对每个投标人的投标文件进行评价，并汇总每个投标人的得分。</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（三）价格分应当采用低价优先法计算，即满足招标文件要求且投标价格最低的投标报价为评标基准价，其价格分为满分。其他投标人的价格分统一按照下列公式计算：</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1.投标报价得分＝（评标基准价／投标报价）×100</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2.评标总得分＝F1×A1＋F2×A2＋……＋Fn×An</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 F1、F2……Fn分别为各项评审因素的得分；</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4.A1、A2、……An 分别为各项评审因素所占的权重（A1＋A2＋……＋An＝1）。</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5.评标过程中，不得去掉报价中的最高报价和最低报价。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6.因落实政府采购政策进行价格调整的，以调整后的价格计算评标基准价和投标报价。</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（四）中标人拒绝与采购人签订合同的，采购人可以按照评审报告推荐的中标候选人名单排序，确定下一候选人为中标人，也可以重新开展政府采购活动。</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评分细则：</w:t>
      </w:r>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414"/>
        <w:gridCol w:w="1149"/>
        <w:gridCol w:w="54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76" w:type="pct"/>
            <w:noWrap/>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序号</w:t>
            </w:r>
          </w:p>
        </w:tc>
        <w:tc>
          <w:tcPr>
            <w:tcW w:w="1363" w:type="pct"/>
            <w:gridSpan w:val="2"/>
            <w:noWrap/>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评审因素</w:t>
            </w:r>
          </w:p>
        </w:tc>
        <w:tc>
          <w:tcPr>
            <w:tcW w:w="2899" w:type="pct"/>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评分标准</w:t>
            </w:r>
          </w:p>
        </w:tc>
        <w:tc>
          <w:tcPr>
            <w:tcW w:w="362" w:type="pct"/>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376" w:type="pct"/>
            <w:noWrap/>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1</w:t>
            </w:r>
          </w:p>
        </w:tc>
        <w:tc>
          <w:tcPr>
            <w:tcW w:w="1363" w:type="pct"/>
            <w:gridSpan w:val="2"/>
            <w:noWrap/>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价格部分(20分)</w:t>
            </w:r>
          </w:p>
        </w:tc>
        <w:tc>
          <w:tcPr>
            <w:tcW w:w="2899" w:type="pct"/>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符合招标文件要求且投标价格最低的最终报价为评审基准价，其价格为满分。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其他投标人的价格得分</w:t>
            </w:r>
            <w:r>
              <w:rPr>
                <w:rFonts w:asciiTheme="minorEastAsia" w:hAnsiTheme="minorEastAsia" w:eastAsiaTheme="minorEastAsia"/>
                <w:sz w:val="24"/>
              </w:rPr>
              <w:t>=（评审基准价/投标总价）×</w:t>
            </w:r>
            <w:r>
              <w:rPr>
                <w:rFonts w:hint="eastAsia" w:asciiTheme="minorEastAsia" w:hAnsiTheme="minorEastAsia" w:eastAsiaTheme="minorEastAsia"/>
                <w:sz w:val="24"/>
              </w:rPr>
              <w:t>2</w:t>
            </w:r>
            <w:r>
              <w:rPr>
                <w:rFonts w:asciiTheme="minorEastAsia" w:hAnsiTheme="minorEastAsia" w:eastAsiaTheme="minorEastAsia"/>
                <w:sz w:val="24"/>
              </w:rPr>
              <w:t>0%×100</w:t>
            </w:r>
          </w:p>
        </w:tc>
        <w:tc>
          <w:tcPr>
            <w:tcW w:w="362" w:type="pct"/>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376" w:type="pct"/>
            <w:noWrap/>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2</w:t>
            </w:r>
          </w:p>
        </w:tc>
        <w:tc>
          <w:tcPr>
            <w:tcW w:w="752" w:type="pct"/>
            <w:vMerge w:val="restart"/>
            <w:noWrap/>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商务部分</w:t>
            </w:r>
          </w:p>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（22分）</w:t>
            </w:r>
          </w:p>
        </w:tc>
        <w:tc>
          <w:tcPr>
            <w:tcW w:w="611" w:type="pct"/>
            <w:noWrap/>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类似</w:t>
            </w:r>
          </w:p>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业绩</w:t>
            </w:r>
          </w:p>
        </w:tc>
        <w:tc>
          <w:tcPr>
            <w:tcW w:w="2899" w:type="pct"/>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201</w:t>
            </w:r>
            <w:r>
              <w:rPr>
                <w:rFonts w:hint="eastAsia" w:asciiTheme="minorEastAsia" w:hAnsiTheme="minorEastAsia" w:eastAsiaTheme="minorEastAsia"/>
                <w:sz w:val="24"/>
              </w:rPr>
              <w:t>8年以来投标人参与过国土、测绘等行业原始分辨率优于0.1米（含）的卫星数据获取或处理的成功案例，累计合同面积大于200万平方千米的得20分，每少10万平方千米减5分，最低得0分。注：须提供合同文本复印件加盖公章，未提供证明材料的本项不得分。</w:t>
            </w:r>
          </w:p>
        </w:tc>
        <w:tc>
          <w:tcPr>
            <w:tcW w:w="362" w:type="pct"/>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376" w:type="pct"/>
            <w:noWrap/>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752" w:type="pct"/>
            <w:vMerge w:val="continue"/>
            <w:noWrap/>
            <w:vAlign w:val="center"/>
          </w:tcPr>
          <w:p>
            <w:pPr>
              <w:spacing w:line="360" w:lineRule="auto"/>
              <w:jc w:val="center"/>
              <w:rPr>
                <w:rFonts w:asciiTheme="minorEastAsia" w:hAnsiTheme="minorEastAsia" w:eastAsiaTheme="minorEastAsia"/>
                <w:sz w:val="24"/>
              </w:rPr>
            </w:pPr>
          </w:p>
        </w:tc>
        <w:tc>
          <w:tcPr>
            <w:tcW w:w="611" w:type="pct"/>
            <w:noWrap/>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投标文件编制质量</w:t>
            </w:r>
          </w:p>
        </w:tc>
        <w:tc>
          <w:tcPr>
            <w:tcW w:w="2899" w:type="pct"/>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综合比较投标文件装订的规范性，目录页码对应准确、双面打印、复印清晰程度等，完全满足上述要求的得2分，有一项不满足的扣0.5分，扣完为止。</w:t>
            </w:r>
          </w:p>
        </w:tc>
        <w:tc>
          <w:tcPr>
            <w:tcW w:w="362" w:type="pct"/>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376" w:type="pct"/>
            <w:vMerge w:val="restart"/>
            <w:noWrap/>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4</w:t>
            </w:r>
          </w:p>
        </w:tc>
        <w:tc>
          <w:tcPr>
            <w:tcW w:w="752" w:type="pct"/>
            <w:vMerge w:val="restart"/>
            <w:noWrap/>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技术部分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（实施方案58分）</w:t>
            </w:r>
          </w:p>
        </w:tc>
        <w:tc>
          <w:tcPr>
            <w:tcW w:w="611" w:type="pct"/>
            <w:noWrap/>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数据源情况(20分)</w:t>
            </w:r>
          </w:p>
        </w:tc>
        <w:tc>
          <w:tcPr>
            <w:tcW w:w="2899" w:type="pct"/>
            <w:vAlign w:val="center"/>
          </w:tcPr>
          <w:p>
            <w:pPr>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根据影像数据质量、数据解决方案、应用情况等进行评审。</w:t>
            </w:r>
          </w:p>
          <w:p>
            <w:pPr>
              <w:pStyle w:val="120"/>
              <w:numPr>
                <w:ilvl w:val="0"/>
                <w:numId w:val="8"/>
              </w:numPr>
              <w:adjustRightInd w:val="0"/>
              <w:snapToGrid w:val="0"/>
              <w:spacing w:line="360" w:lineRule="auto"/>
              <w:ind w:left="0" w:firstLine="0" w:firstLineChars="0"/>
              <w:jc w:val="left"/>
              <w:rPr>
                <w:rFonts w:asciiTheme="minorEastAsia" w:hAnsiTheme="minorEastAsia" w:eastAsiaTheme="minorEastAsia"/>
                <w:sz w:val="24"/>
              </w:rPr>
            </w:pPr>
            <w:r>
              <w:rPr>
                <w:rFonts w:hint="eastAsia" w:asciiTheme="minorEastAsia" w:hAnsiTheme="minorEastAsia" w:eastAsiaTheme="minorEastAsia"/>
                <w:sz w:val="24"/>
              </w:rPr>
              <w:t>存档数据情况（10分）：根据符合技术</w:t>
            </w:r>
            <w:r>
              <w:rPr>
                <w:rFonts w:asciiTheme="minorEastAsia" w:hAnsiTheme="minorEastAsia" w:eastAsiaTheme="minorEastAsia"/>
                <w:sz w:val="24"/>
              </w:rPr>
              <w:t>要求</w:t>
            </w:r>
            <w:r>
              <w:rPr>
                <w:rFonts w:hint="eastAsia" w:asciiTheme="minorEastAsia" w:hAnsiTheme="minorEastAsia" w:eastAsiaTheme="minorEastAsia"/>
                <w:sz w:val="24"/>
              </w:rPr>
              <w:t>时相要求的合格存档数据面积多少评分：得分=存档面积/最大存档面积x</w:t>
            </w:r>
            <w:bookmarkStart w:id="331" w:name="_GoBack"/>
            <w:bookmarkEnd w:id="331"/>
            <w:r>
              <w:rPr>
                <w:rFonts w:asciiTheme="minorEastAsia" w:hAnsiTheme="minorEastAsia" w:eastAsiaTheme="minorEastAsia"/>
                <w:sz w:val="24"/>
              </w:rPr>
              <w:t>15</w:t>
            </w:r>
            <w:r>
              <w:rPr>
                <w:rFonts w:hint="eastAsia" w:asciiTheme="minorEastAsia" w:hAnsiTheme="minorEastAsia" w:eastAsiaTheme="minorEastAsia"/>
                <w:sz w:val="24"/>
              </w:rPr>
              <w:t>；</w:t>
            </w:r>
          </w:p>
          <w:p>
            <w:pPr>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注：投标人须提供有效证明文件（如数据采集、购置合同复印件等），否则评审时不予认可。</w:t>
            </w:r>
          </w:p>
          <w:p>
            <w:pPr>
              <w:spacing w:line="360" w:lineRule="auto"/>
              <w:jc w:val="left"/>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）数据质量（10分）：存档数据分辨率优于技术要求且满足数据获取时间，得10分；存档数据分辨率满足技术要求且满足数据获取时间，得8分；分辨率满足技术要求，数据获取时间</w:t>
            </w:r>
            <w:r>
              <w:rPr>
                <w:rFonts w:asciiTheme="minorEastAsia" w:hAnsiTheme="minorEastAsia" w:eastAsiaTheme="minorEastAsia"/>
                <w:sz w:val="24"/>
              </w:rPr>
              <w:t>不满足要求</w:t>
            </w:r>
            <w:r>
              <w:rPr>
                <w:rFonts w:hint="eastAsia" w:asciiTheme="minorEastAsia" w:hAnsiTheme="minorEastAsia" w:eastAsiaTheme="minorEastAsia"/>
                <w:sz w:val="24"/>
              </w:rPr>
              <w:t>得5分；分辨率不满足技术要求、数据获取时间</w:t>
            </w:r>
            <w:r>
              <w:rPr>
                <w:rFonts w:asciiTheme="minorEastAsia" w:hAnsiTheme="minorEastAsia" w:eastAsiaTheme="minorEastAsia"/>
                <w:sz w:val="24"/>
              </w:rPr>
              <w:t>不满足要求</w:t>
            </w:r>
            <w:r>
              <w:rPr>
                <w:rFonts w:hint="eastAsia" w:asciiTheme="minorEastAsia" w:hAnsiTheme="minorEastAsia" w:eastAsiaTheme="minorEastAsia"/>
                <w:sz w:val="24"/>
              </w:rPr>
              <w:t>得0分。</w:t>
            </w:r>
          </w:p>
        </w:tc>
        <w:tc>
          <w:tcPr>
            <w:tcW w:w="362" w:type="pct"/>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trPr>
        <w:tc>
          <w:tcPr>
            <w:tcW w:w="376" w:type="pct"/>
            <w:vMerge w:val="continue"/>
            <w:noWrap/>
            <w:vAlign w:val="center"/>
          </w:tcPr>
          <w:p>
            <w:pPr>
              <w:spacing w:line="360" w:lineRule="auto"/>
              <w:rPr>
                <w:rFonts w:asciiTheme="minorEastAsia" w:hAnsiTheme="minorEastAsia" w:eastAsiaTheme="minorEastAsia"/>
                <w:sz w:val="24"/>
              </w:rPr>
            </w:pPr>
          </w:p>
        </w:tc>
        <w:tc>
          <w:tcPr>
            <w:tcW w:w="752" w:type="pct"/>
            <w:vMerge w:val="continue"/>
            <w:noWrap/>
            <w:vAlign w:val="center"/>
          </w:tcPr>
          <w:p>
            <w:pPr>
              <w:spacing w:line="360" w:lineRule="auto"/>
              <w:rPr>
                <w:rFonts w:asciiTheme="minorEastAsia" w:hAnsiTheme="minorEastAsia" w:eastAsiaTheme="minorEastAsia"/>
                <w:sz w:val="24"/>
              </w:rPr>
            </w:pPr>
          </w:p>
        </w:tc>
        <w:tc>
          <w:tcPr>
            <w:tcW w:w="611" w:type="pct"/>
            <w:noWrap/>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数据处理方案(</w:t>
            </w:r>
            <w:r>
              <w:rPr>
                <w:rFonts w:asciiTheme="minorEastAsia" w:hAnsiTheme="minorEastAsia" w:eastAsiaTheme="minorEastAsia"/>
                <w:sz w:val="24"/>
              </w:rPr>
              <w:t>25</w:t>
            </w:r>
            <w:r>
              <w:rPr>
                <w:rFonts w:hint="eastAsia" w:asciiTheme="minorEastAsia" w:hAnsiTheme="minorEastAsia" w:eastAsiaTheme="minorEastAsia"/>
                <w:sz w:val="24"/>
              </w:rPr>
              <w:t>分)</w:t>
            </w:r>
          </w:p>
        </w:tc>
        <w:tc>
          <w:tcPr>
            <w:tcW w:w="2899" w:type="pct"/>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根据技术</w:t>
            </w:r>
            <w:r>
              <w:rPr>
                <w:rFonts w:asciiTheme="minorEastAsia" w:hAnsiTheme="minorEastAsia" w:eastAsiaTheme="minorEastAsia"/>
                <w:sz w:val="24"/>
              </w:rPr>
              <w:t>要求</w:t>
            </w:r>
            <w:r>
              <w:rPr>
                <w:rFonts w:hint="eastAsia" w:asciiTheme="minorEastAsia" w:hAnsiTheme="minorEastAsia" w:eastAsiaTheme="minorEastAsia"/>
                <w:sz w:val="24"/>
              </w:rPr>
              <w:t>中的处理</w:t>
            </w:r>
            <w:r>
              <w:rPr>
                <w:rFonts w:asciiTheme="minorEastAsia" w:hAnsiTheme="minorEastAsia" w:eastAsiaTheme="minorEastAsia"/>
                <w:sz w:val="24"/>
              </w:rPr>
              <w:t>要求对获取数据进行高精度处理</w:t>
            </w:r>
            <w:r>
              <w:rPr>
                <w:rFonts w:hint="eastAsia" w:asciiTheme="minorEastAsia" w:hAnsiTheme="minorEastAsia" w:eastAsiaTheme="minorEastAsia"/>
                <w:sz w:val="24"/>
              </w:rPr>
              <w:t>。评标委员会将分析数据检查报告进行精度。数据处理方案</w:t>
            </w:r>
            <w:r>
              <w:rPr>
                <w:rFonts w:asciiTheme="minorEastAsia" w:hAnsiTheme="minorEastAsia" w:eastAsiaTheme="minorEastAsia"/>
                <w:sz w:val="24"/>
              </w:rPr>
              <w:t>优于技术要求</w:t>
            </w:r>
            <w:r>
              <w:rPr>
                <w:rFonts w:hint="eastAsia" w:asciiTheme="minorEastAsia" w:hAnsiTheme="minorEastAsia" w:eastAsiaTheme="minorEastAsia"/>
                <w:sz w:val="24"/>
              </w:rPr>
              <w:t>得2</w:t>
            </w:r>
            <w:r>
              <w:rPr>
                <w:rFonts w:asciiTheme="minorEastAsia" w:hAnsiTheme="minorEastAsia" w:eastAsiaTheme="minorEastAsia"/>
                <w:sz w:val="24"/>
              </w:rPr>
              <w:t>5</w:t>
            </w:r>
            <w:r>
              <w:rPr>
                <w:rFonts w:hint="eastAsia" w:asciiTheme="minorEastAsia" w:hAnsiTheme="minorEastAsia" w:eastAsiaTheme="minorEastAsia"/>
                <w:sz w:val="24"/>
              </w:rPr>
              <w:t>分；数据处理方案全部</w:t>
            </w:r>
            <w:r>
              <w:rPr>
                <w:rFonts w:asciiTheme="minorEastAsia" w:hAnsiTheme="minorEastAsia" w:eastAsiaTheme="minorEastAsia"/>
                <w:sz w:val="24"/>
              </w:rPr>
              <w:t>满足技术要求</w:t>
            </w:r>
            <w:r>
              <w:rPr>
                <w:rFonts w:hint="eastAsia" w:asciiTheme="minorEastAsia" w:hAnsiTheme="minorEastAsia" w:eastAsiaTheme="minorEastAsia"/>
                <w:sz w:val="24"/>
              </w:rPr>
              <w:t>得15分；数据</w:t>
            </w:r>
            <w:r>
              <w:rPr>
                <w:rFonts w:asciiTheme="minorEastAsia" w:hAnsiTheme="minorEastAsia" w:eastAsiaTheme="minorEastAsia"/>
                <w:sz w:val="24"/>
              </w:rPr>
              <w:t>处理方案部分满足要求</w:t>
            </w:r>
            <w:r>
              <w:rPr>
                <w:rFonts w:hint="eastAsia" w:asciiTheme="minorEastAsia" w:hAnsiTheme="minorEastAsia" w:eastAsiaTheme="minorEastAsia"/>
                <w:sz w:val="24"/>
              </w:rPr>
              <w:t>得10分;其他得0分。</w:t>
            </w:r>
          </w:p>
        </w:tc>
        <w:tc>
          <w:tcPr>
            <w:tcW w:w="362" w:type="pct"/>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76" w:type="pct"/>
            <w:vMerge w:val="continue"/>
            <w:noWrap/>
            <w:vAlign w:val="center"/>
          </w:tcPr>
          <w:p>
            <w:pPr>
              <w:spacing w:line="360" w:lineRule="auto"/>
              <w:rPr>
                <w:rFonts w:asciiTheme="minorEastAsia" w:hAnsiTheme="minorEastAsia" w:eastAsiaTheme="minorEastAsia"/>
                <w:sz w:val="24"/>
              </w:rPr>
            </w:pPr>
          </w:p>
        </w:tc>
        <w:tc>
          <w:tcPr>
            <w:tcW w:w="752" w:type="pct"/>
            <w:vMerge w:val="continue"/>
            <w:noWrap/>
            <w:vAlign w:val="center"/>
          </w:tcPr>
          <w:p>
            <w:pPr>
              <w:spacing w:line="360" w:lineRule="auto"/>
              <w:rPr>
                <w:rFonts w:asciiTheme="minorEastAsia" w:hAnsiTheme="minorEastAsia" w:eastAsiaTheme="minorEastAsia"/>
                <w:sz w:val="24"/>
              </w:rPr>
            </w:pPr>
          </w:p>
        </w:tc>
        <w:tc>
          <w:tcPr>
            <w:tcW w:w="611" w:type="pct"/>
            <w:noWrap/>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保障措施（6分）</w:t>
            </w:r>
          </w:p>
        </w:tc>
        <w:tc>
          <w:tcPr>
            <w:tcW w:w="2899" w:type="pct"/>
            <w:vAlign w:val="center"/>
          </w:tcPr>
          <w:p>
            <w:pPr>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根据保障措施是否合理可行，是否能够有力保障影像资料的质量及按期交付、以及方案的有效实施等进行评价。合理、可行有保障及应急补充措施得6分，满足项目保障质量、按期交付但无应急补充措施得3分；不能满足用户需求得0分。</w:t>
            </w:r>
          </w:p>
        </w:tc>
        <w:tc>
          <w:tcPr>
            <w:tcW w:w="362" w:type="pct"/>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4" w:hRule="atLeast"/>
        </w:trPr>
        <w:tc>
          <w:tcPr>
            <w:tcW w:w="376" w:type="pct"/>
            <w:vMerge w:val="continue"/>
            <w:noWrap/>
            <w:vAlign w:val="center"/>
          </w:tcPr>
          <w:p>
            <w:pPr>
              <w:spacing w:line="360" w:lineRule="auto"/>
              <w:rPr>
                <w:rFonts w:asciiTheme="minorEastAsia" w:hAnsiTheme="minorEastAsia" w:eastAsiaTheme="minorEastAsia"/>
                <w:sz w:val="24"/>
              </w:rPr>
            </w:pPr>
          </w:p>
        </w:tc>
        <w:tc>
          <w:tcPr>
            <w:tcW w:w="752" w:type="pct"/>
            <w:vMerge w:val="continue"/>
            <w:noWrap/>
            <w:vAlign w:val="center"/>
          </w:tcPr>
          <w:p>
            <w:pPr>
              <w:spacing w:line="360" w:lineRule="auto"/>
              <w:rPr>
                <w:rFonts w:asciiTheme="minorEastAsia" w:hAnsiTheme="minorEastAsia" w:eastAsiaTheme="minorEastAsia"/>
                <w:sz w:val="24"/>
              </w:rPr>
            </w:pPr>
          </w:p>
        </w:tc>
        <w:tc>
          <w:tcPr>
            <w:tcW w:w="611" w:type="pct"/>
            <w:noWrap/>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提供进度（</w:t>
            </w:r>
            <w:r>
              <w:rPr>
                <w:rFonts w:asciiTheme="minorEastAsia" w:hAnsiTheme="minorEastAsia" w:eastAsiaTheme="minorEastAsia"/>
                <w:sz w:val="24"/>
              </w:rPr>
              <w:t>2</w:t>
            </w:r>
            <w:r>
              <w:rPr>
                <w:rFonts w:hint="eastAsia" w:asciiTheme="minorEastAsia" w:hAnsiTheme="minorEastAsia" w:eastAsiaTheme="minorEastAsia"/>
                <w:sz w:val="24"/>
              </w:rPr>
              <w:t>分）</w:t>
            </w:r>
          </w:p>
        </w:tc>
        <w:tc>
          <w:tcPr>
            <w:tcW w:w="2899" w:type="pct"/>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其余情况，根据影像数据的提供进度的合理性，以及提供进度在实质性满足招标文件要求的前提下对招标人的有利性(提供时间越短越好)进行相对比较。提供进度优于招标人时间要求的得2分；提供进度满足招标人时间要求的得1分；提供进度不满足招标文件要求，本项得0分。</w:t>
            </w:r>
          </w:p>
        </w:tc>
        <w:tc>
          <w:tcPr>
            <w:tcW w:w="362" w:type="pct"/>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76" w:type="pct"/>
            <w:vMerge w:val="continue"/>
            <w:noWrap/>
            <w:vAlign w:val="center"/>
          </w:tcPr>
          <w:p>
            <w:pPr>
              <w:spacing w:line="360" w:lineRule="auto"/>
              <w:rPr>
                <w:rFonts w:asciiTheme="minorEastAsia" w:hAnsiTheme="minorEastAsia" w:eastAsiaTheme="minorEastAsia"/>
                <w:sz w:val="24"/>
              </w:rPr>
            </w:pPr>
          </w:p>
        </w:tc>
        <w:tc>
          <w:tcPr>
            <w:tcW w:w="752" w:type="pct"/>
            <w:vMerge w:val="continue"/>
            <w:noWrap/>
            <w:vAlign w:val="center"/>
          </w:tcPr>
          <w:p>
            <w:pPr>
              <w:spacing w:line="360" w:lineRule="auto"/>
              <w:rPr>
                <w:rFonts w:asciiTheme="minorEastAsia" w:hAnsiTheme="minorEastAsia" w:eastAsiaTheme="minorEastAsia"/>
                <w:sz w:val="24"/>
              </w:rPr>
            </w:pPr>
          </w:p>
        </w:tc>
        <w:tc>
          <w:tcPr>
            <w:tcW w:w="611" w:type="pct"/>
            <w:noWrap/>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人员</w:t>
            </w:r>
          </w:p>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安排</w:t>
            </w:r>
          </w:p>
        </w:tc>
        <w:tc>
          <w:tcPr>
            <w:tcW w:w="2899" w:type="pct"/>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投标方项目负责人及团队人员安排是否结构合理、专业齐全、分工明确、技术能力及经验能够满足本项目需要进行评价。</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项目负责人为高级职称或具有5年以上相关从业经验，且团队人员中级职称比例50%以上的得5分；项目负责人为高级职称或具有5年以上相关从业经验，且团队人员中级职称比例30%以上的得3分；项目负责人为高级职称同时或5年以上相关从业经验，或团队人员中级职称比例30%以上的得1分（需提供人员学历证、职称证、社保证明等证明材料）。</w:t>
            </w:r>
          </w:p>
        </w:tc>
        <w:tc>
          <w:tcPr>
            <w:tcW w:w="362" w:type="pct"/>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5</w:t>
            </w:r>
          </w:p>
        </w:tc>
      </w:tr>
    </w:tbl>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 (1)a.如投标人为小型、微型企业，对其所投货物为小型和微型企业产品的价格给予6%的扣除，用扣除后的价格参与评审； b.投标人应在投标分项报价表中明示具体哪项产品属于小型和微型企业产品，列明单价及小型和微型产品总价，并如实按照附件格式要求填写“中小企业声明函”，并对声明的真实性负责；c.对未在分项报价表中列明或未按招标文件要求填写“中小企业声明函”或分项报价表与“中小企业声明函”内容不一致的，在价格评审时不予考虑。</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 监狱企业视同小型、微型企业, 监狱企业应当提供由省级以上监狱管理局、戒毒管理局(含新疆生产建设兵团)出具的属于监狱企业的证明文件。北京市监狱企业应当提供市监狱管理局、市教育矫治局出具的监狱企业的证明文件。</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（3）残疾人福利性单位视同小型、微型企业，符合条件的残疾人福利性单位应按照《财政部 民政部 中国残疾人联合会关于促进残疾人就业政府采购政策的通知》的规定提供《残疾人福利性单位声明函》（后附），并对声明的真实性负责。</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一、如采购的产品属于强制采购的，投标人必须为投标产品出具由国家确定的认证机构出具的、处于有效期之内的认证证书，否则其投标将被视为无效投标。</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二、如采购的产品属于优先采购的，投标人可以为投标产品出具由国家确定的认证机构出具的、处于有效期之内的认证证书，在评审时作加分因素。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rPr>
        <w:t>三、节能产品政府采购品目清单及环境标志产品政府采购品目清单，投标人可在“中国政府采购网”相关栏目中查询。</w:t>
      </w:r>
    </w:p>
    <w:bookmarkEnd w:id="198"/>
    <w:p>
      <w:pPr>
        <w:spacing w:line="360" w:lineRule="auto"/>
        <w:rPr>
          <w:rFonts w:asciiTheme="minorEastAsia" w:hAnsiTheme="minorEastAsia" w:eastAsiaTheme="minorEastAsia" w:cstheme="minorEastAsia"/>
        </w:rPr>
      </w:pPr>
      <w:bookmarkStart w:id="242" w:name="_Toc310195758"/>
      <w:bookmarkStart w:id="243" w:name="_Toc491790582"/>
      <w:bookmarkStart w:id="244" w:name="_Toc310195761"/>
      <w:bookmarkStart w:id="245" w:name="_Toc236642990"/>
      <w:bookmarkStart w:id="246" w:name="_Toc520356217"/>
      <w:bookmarkStart w:id="247" w:name="_Ref467988698"/>
      <w:bookmarkStart w:id="248" w:name="_Toc480942349"/>
    </w:p>
    <w:p>
      <w:pPr>
        <w:pStyle w:val="14"/>
        <w:spacing w:line="360" w:lineRule="auto"/>
        <w:rPr>
          <w:rFonts w:asciiTheme="minorEastAsia" w:hAnsiTheme="minorEastAsia" w:eastAsiaTheme="minorEastAsia"/>
        </w:rPr>
      </w:pPr>
    </w:p>
    <w:p>
      <w:pPr>
        <w:pStyle w:val="14"/>
        <w:spacing w:line="360" w:lineRule="auto"/>
        <w:rPr>
          <w:rFonts w:asciiTheme="minorEastAsia" w:hAnsiTheme="minorEastAsia" w:eastAsiaTheme="minorEastAsia"/>
        </w:rPr>
      </w:pPr>
    </w:p>
    <w:p>
      <w:pPr>
        <w:pStyle w:val="14"/>
        <w:spacing w:line="360" w:lineRule="auto"/>
        <w:rPr>
          <w:rFonts w:asciiTheme="minorEastAsia" w:hAnsiTheme="minorEastAsia" w:eastAsiaTheme="minorEastAsia"/>
        </w:rPr>
      </w:pPr>
    </w:p>
    <w:p>
      <w:pPr>
        <w:pStyle w:val="14"/>
        <w:spacing w:line="360" w:lineRule="auto"/>
        <w:rPr>
          <w:rFonts w:asciiTheme="minorEastAsia" w:hAnsiTheme="minorEastAsia" w:eastAsiaTheme="minorEastAsia"/>
        </w:rPr>
      </w:pPr>
    </w:p>
    <w:p>
      <w:pPr>
        <w:pStyle w:val="14"/>
        <w:spacing w:line="360" w:lineRule="auto"/>
        <w:rPr>
          <w:rFonts w:asciiTheme="minorEastAsia" w:hAnsiTheme="minorEastAsia" w:eastAsiaTheme="minorEastAsia"/>
        </w:rPr>
      </w:pPr>
    </w:p>
    <w:p>
      <w:pPr>
        <w:pStyle w:val="14"/>
        <w:spacing w:line="360" w:lineRule="auto"/>
        <w:rPr>
          <w:rFonts w:asciiTheme="minorEastAsia" w:hAnsiTheme="minorEastAsia" w:eastAsiaTheme="minorEastAsia"/>
        </w:rPr>
      </w:pPr>
    </w:p>
    <w:p>
      <w:pPr>
        <w:pStyle w:val="14"/>
        <w:spacing w:line="360" w:lineRule="auto"/>
        <w:rPr>
          <w:rFonts w:asciiTheme="minorEastAsia" w:hAnsiTheme="minorEastAsia" w:eastAsiaTheme="minorEastAsia"/>
        </w:rPr>
      </w:pPr>
    </w:p>
    <w:p>
      <w:pPr>
        <w:pStyle w:val="14"/>
        <w:spacing w:line="360" w:lineRule="auto"/>
        <w:rPr>
          <w:rFonts w:asciiTheme="minorEastAsia" w:hAnsiTheme="minorEastAsia" w:eastAsiaTheme="minorEastAsia"/>
        </w:rPr>
      </w:pPr>
    </w:p>
    <w:p>
      <w:pPr>
        <w:pStyle w:val="14"/>
        <w:spacing w:line="360" w:lineRule="auto"/>
        <w:rPr>
          <w:rFonts w:asciiTheme="minorEastAsia" w:hAnsiTheme="minorEastAsia" w:eastAsiaTheme="minorEastAsia"/>
        </w:rPr>
      </w:pPr>
    </w:p>
    <w:p>
      <w:pPr>
        <w:pStyle w:val="14"/>
        <w:spacing w:line="360" w:lineRule="auto"/>
        <w:rPr>
          <w:rFonts w:asciiTheme="minorEastAsia" w:hAnsiTheme="minorEastAsia" w:eastAsiaTheme="minorEastAsia"/>
        </w:rPr>
      </w:pPr>
    </w:p>
    <w:p>
      <w:pPr>
        <w:pStyle w:val="14"/>
        <w:spacing w:line="360" w:lineRule="auto"/>
        <w:rPr>
          <w:rFonts w:asciiTheme="minorEastAsia" w:hAnsiTheme="minorEastAsia" w:eastAsiaTheme="minorEastAsia"/>
        </w:rPr>
      </w:pPr>
    </w:p>
    <w:p>
      <w:pPr>
        <w:widowControl/>
        <w:jc w:val="left"/>
        <w:rPr>
          <w:rFonts w:asciiTheme="minorEastAsia" w:hAnsiTheme="minorEastAsia" w:eastAsiaTheme="minorEastAsia"/>
        </w:rPr>
      </w:pPr>
      <w:r>
        <w:rPr>
          <w:rFonts w:asciiTheme="minorEastAsia" w:hAnsiTheme="minorEastAsia" w:eastAsiaTheme="minorEastAsia"/>
        </w:rPr>
        <w:br w:type="page"/>
      </w:r>
    </w:p>
    <w:p>
      <w:pPr>
        <w:pStyle w:val="3"/>
        <w:numPr>
          <w:ilvl w:val="0"/>
          <w:numId w:val="9"/>
        </w:numPr>
        <w:spacing w:before="120" w:line="360" w:lineRule="auto"/>
        <w:rPr>
          <w:rFonts w:asciiTheme="minorEastAsia" w:hAnsiTheme="minorEastAsia" w:eastAsiaTheme="minorEastAsia" w:cstheme="minorEastAsia"/>
          <w:lang w:val="en-US"/>
        </w:rPr>
      </w:pPr>
      <w:bookmarkStart w:id="249" w:name="_Toc310195759"/>
      <w:bookmarkStart w:id="250" w:name="_Toc17536"/>
      <w:bookmarkStart w:id="251" w:name="_Toc5895210"/>
      <w:bookmarkStart w:id="252" w:name="_Toc61878501"/>
      <w:r>
        <w:rPr>
          <w:rFonts w:hint="eastAsia" w:asciiTheme="minorEastAsia" w:hAnsiTheme="minorEastAsia" w:eastAsiaTheme="minorEastAsia" w:cstheme="minorEastAsia"/>
        </w:rPr>
        <w:t>合同</w:t>
      </w:r>
      <w:bookmarkEnd w:id="242"/>
      <w:bookmarkEnd w:id="243"/>
      <w:bookmarkEnd w:id="249"/>
      <w:bookmarkEnd w:id="250"/>
      <w:bookmarkEnd w:id="251"/>
      <w:bookmarkStart w:id="253" w:name="_Toc22177"/>
      <w:r>
        <w:rPr>
          <w:rFonts w:hint="eastAsia" w:asciiTheme="minorEastAsia" w:hAnsiTheme="minorEastAsia" w:eastAsiaTheme="minorEastAsia" w:cstheme="minorEastAsia"/>
          <w:lang w:val="en-US"/>
        </w:rPr>
        <w:t>格式</w:t>
      </w:r>
      <w:bookmarkEnd w:id="252"/>
    </w:p>
    <w:p>
      <w:pPr>
        <w:widowControl/>
        <w:spacing w:line="360" w:lineRule="auto"/>
        <w:jc w:val="left"/>
        <w:rPr>
          <w:rFonts w:asciiTheme="minorEastAsia" w:hAnsiTheme="minorEastAsia" w:eastAsiaTheme="minorEastAsia"/>
        </w:rPr>
      </w:pPr>
    </w:p>
    <w:p>
      <w:pPr>
        <w:pStyle w:val="3"/>
        <w:spacing w:before="120" w:line="360" w:lineRule="auto"/>
        <w:rPr>
          <w:rFonts w:asciiTheme="minorEastAsia" w:hAnsiTheme="minorEastAsia" w:eastAsiaTheme="minorEastAsia" w:cstheme="minorEastAsia"/>
          <w:lang w:val="en-US"/>
        </w:rPr>
      </w:pPr>
      <w:r>
        <w:rPr>
          <w:rFonts w:hint="eastAsia" w:asciiTheme="minorEastAsia" w:hAnsiTheme="minorEastAsia" w:eastAsiaTheme="minorEastAsia" w:cstheme="minorEastAsia"/>
        </w:rPr>
        <w:t>合同</w:t>
      </w:r>
      <w:r>
        <w:rPr>
          <w:rFonts w:hint="eastAsia" w:asciiTheme="minorEastAsia" w:hAnsiTheme="minorEastAsia" w:eastAsiaTheme="minorEastAsia" w:cstheme="minorEastAsia"/>
          <w:lang w:val="en-US"/>
        </w:rPr>
        <w:t>格式</w:t>
      </w:r>
    </w:p>
    <w:p>
      <w:pPr>
        <w:widowControl/>
        <w:spacing w:line="360" w:lineRule="auto"/>
        <w:jc w:val="left"/>
        <w:rPr>
          <w:rFonts w:asciiTheme="minorEastAsia" w:hAnsiTheme="minorEastAsia" w:eastAsiaTheme="minorEastAsia"/>
        </w:rPr>
      </w:pPr>
    </w:p>
    <w:p>
      <w:pPr>
        <w:spacing w:line="360" w:lineRule="auto"/>
        <w:rPr>
          <w:rFonts w:asciiTheme="minorEastAsia" w:hAnsiTheme="minorEastAsia" w:eastAsiaTheme="minorEastAsia"/>
          <w:b/>
          <w:bCs/>
          <w:sz w:val="32"/>
        </w:rPr>
      </w:pPr>
      <w:r>
        <w:rPr>
          <w:rFonts w:asciiTheme="minorEastAsia" w:hAnsiTheme="minorEastAsia" w:eastAsiaTheme="minorEastAsia"/>
          <w:b/>
          <w:bCs/>
          <w:sz w:val="32"/>
        </w:rPr>
        <w:t>合同登记编号：</w:t>
      </w:r>
    </w:p>
    <w:tbl>
      <w:tblPr>
        <w:tblStyle w:val="48"/>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
        <w:gridCol w:w="414"/>
        <w:gridCol w:w="414"/>
        <w:gridCol w:w="414"/>
        <w:gridCol w:w="314"/>
        <w:gridCol w:w="414"/>
        <w:gridCol w:w="414"/>
        <w:gridCol w:w="414"/>
        <w:gridCol w:w="397"/>
        <w:gridCol w:w="320"/>
        <w:gridCol w:w="415"/>
        <w:gridCol w:w="415"/>
        <w:gridCol w:w="415"/>
        <w:gridCol w:w="415"/>
        <w:gridCol w:w="415"/>
        <w:gridCol w:w="415"/>
        <w:gridCol w:w="415"/>
        <w:gridCol w:w="430"/>
        <w:gridCol w:w="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34" w:hRule="atLeast"/>
        </w:trPr>
        <w:tc>
          <w:tcPr>
            <w:tcW w:w="430" w:type="dxa"/>
          </w:tcPr>
          <w:p>
            <w:pPr>
              <w:spacing w:line="360" w:lineRule="auto"/>
              <w:jc w:val="center"/>
              <w:rPr>
                <w:rFonts w:asciiTheme="minorEastAsia" w:hAnsiTheme="minorEastAsia" w:eastAsiaTheme="minorEastAsia"/>
                <w:b/>
                <w:bCs/>
                <w:sz w:val="32"/>
              </w:rPr>
            </w:pPr>
          </w:p>
        </w:tc>
        <w:tc>
          <w:tcPr>
            <w:tcW w:w="414" w:type="dxa"/>
          </w:tcPr>
          <w:p>
            <w:pPr>
              <w:spacing w:line="360" w:lineRule="auto"/>
              <w:jc w:val="center"/>
              <w:rPr>
                <w:rFonts w:asciiTheme="minorEastAsia" w:hAnsiTheme="minorEastAsia" w:eastAsiaTheme="minorEastAsia"/>
                <w:b/>
                <w:bCs/>
                <w:sz w:val="32"/>
              </w:rPr>
            </w:pPr>
          </w:p>
        </w:tc>
        <w:tc>
          <w:tcPr>
            <w:tcW w:w="414" w:type="dxa"/>
          </w:tcPr>
          <w:p>
            <w:pPr>
              <w:spacing w:line="360" w:lineRule="auto"/>
              <w:jc w:val="center"/>
              <w:rPr>
                <w:rFonts w:asciiTheme="minorEastAsia" w:hAnsiTheme="minorEastAsia" w:eastAsiaTheme="minorEastAsia"/>
                <w:b/>
                <w:bCs/>
                <w:sz w:val="32"/>
              </w:rPr>
            </w:pPr>
          </w:p>
        </w:tc>
        <w:tc>
          <w:tcPr>
            <w:tcW w:w="414" w:type="dxa"/>
          </w:tcPr>
          <w:p>
            <w:pPr>
              <w:spacing w:line="360" w:lineRule="auto"/>
              <w:jc w:val="center"/>
              <w:rPr>
                <w:rFonts w:asciiTheme="minorEastAsia" w:hAnsiTheme="minorEastAsia" w:eastAsiaTheme="minorEastAsia"/>
                <w:b/>
                <w:bCs/>
                <w:sz w:val="32"/>
              </w:rPr>
            </w:pPr>
          </w:p>
        </w:tc>
        <w:tc>
          <w:tcPr>
            <w:tcW w:w="314" w:type="dxa"/>
            <w:tcBorders>
              <w:top w:val="nil"/>
              <w:bottom w:val="nil"/>
            </w:tcBorders>
          </w:tcPr>
          <w:p>
            <w:pPr>
              <w:spacing w:line="360" w:lineRule="auto"/>
              <w:jc w:val="center"/>
              <w:rPr>
                <w:rFonts w:asciiTheme="minorEastAsia" w:hAnsiTheme="minorEastAsia" w:eastAsiaTheme="minorEastAsia"/>
                <w:b/>
                <w:bCs/>
                <w:sz w:val="32"/>
              </w:rPr>
            </w:pPr>
          </w:p>
        </w:tc>
        <w:tc>
          <w:tcPr>
            <w:tcW w:w="414" w:type="dxa"/>
          </w:tcPr>
          <w:p>
            <w:pPr>
              <w:spacing w:line="360" w:lineRule="auto"/>
              <w:jc w:val="center"/>
              <w:rPr>
                <w:rFonts w:asciiTheme="minorEastAsia" w:hAnsiTheme="minorEastAsia" w:eastAsiaTheme="minorEastAsia"/>
                <w:b/>
                <w:bCs/>
                <w:sz w:val="32"/>
              </w:rPr>
            </w:pPr>
          </w:p>
        </w:tc>
        <w:tc>
          <w:tcPr>
            <w:tcW w:w="414" w:type="dxa"/>
          </w:tcPr>
          <w:p>
            <w:pPr>
              <w:spacing w:line="360" w:lineRule="auto"/>
              <w:jc w:val="center"/>
              <w:rPr>
                <w:rFonts w:asciiTheme="minorEastAsia" w:hAnsiTheme="minorEastAsia" w:eastAsiaTheme="minorEastAsia"/>
                <w:b/>
                <w:bCs/>
                <w:sz w:val="32"/>
              </w:rPr>
            </w:pPr>
          </w:p>
        </w:tc>
        <w:tc>
          <w:tcPr>
            <w:tcW w:w="414" w:type="dxa"/>
          </w:tcPr>
          <w:p>
            <w:pPr>
              <w:spacing w:line="360" w:lineRule="auto"/>
              <w:jc w:val="center"/>
              <w:rPr>
                <w:rFonts w:asciiTheme="minorEastAsia" w:hAnsiTheme="minorEastAsia" w:eastAsiaTheme="minorEastAsia"/>
                <w:b/>
                <w:bCs/>
                <w:sz w:val="32"/>
              </w:rPr>
            </w:pPr>
          </w:p>
        </w:tc>
        <w:tc>
          <w:tcPr>
            <w:tcW w:w="397" w:type="dxa"/>
            <w:tcBorders>
              <w:top w:val="single" w:color="auto" w:sz="4" w:space="0"/>
              <w:bottom w:val="single" w:color="auto" w:sz="4" w:space="0"/>
            </w:tcBorders>
          </w:tcPr>
          <w:p>
            <w:pPr>
              <w:spacing w:line="360" w:lineRule="auto"/>
              <w:jc w:val="center"/>
              <w:rPr>
                <w:rFonts w:asciiTheme="minorEastAsia" w:hAnsiTheme="minorEastAsia" w:eastAsiaTheme="minorEastAsia"/>
                <w:b/>
                <w:bCs/>
                <w:sz w:val="32"/>
              </w:rPr>
            </w:pPr>
          </w:p>
        </w:tc>
        <w:tc>
          <w:tcPr>
            <w:tcW w:w="320" w:type="dxa"/>
            <w:tcBorders>
              <w:top w:val="nil"/>
              <w:bottom w:val="nil"/>
            </w:tcBorders>
          </w:tcPr>
          <w:p>
            <w:pPr>
              <w:spacing w:line="360" w:lineRule="auto"/>
              <w:jc w:val="center"/>
              <w:rPr>
                <w:rFonts w:asciiTheme="minorEastAsia" w:hAnsiTheme="minorEastAsia" w:eastAsiaTheme="minorEastAsia"/>
                <w:b/>
                <w:bCs/>
                <w:sz w:val="32"/>
              </w:rPr>
            </w:pPr>
          </w:p>
        </w:tc>
        <w:tc>
          <w:tcPr>
            <w:tcW w:w="415" w:type="dxa"/>
            <w:tcBorders>
              <w:top w:val="single" w:color="auto" w:sz="4" w:space="0"/>
            </w:tcBorders>
          </w:tcPr>
          <w:p>
            <w:pPr>
              <w:spacing w:line="360" w:lineRule="auto"/>
              <w:jc w:val="center"/>
              <w:rPr>
                <w:rFonts w:asciiTheme="minorEastAsia" w:hAnsiTheme="minorEastAsia" w:eastAsiaTheme="minorEastAsia"/>
                <w:b/>
                <w:bCs/>
                <w:sz w:val="32"/>
              </w:rPr>
            </w:pPr>
          </w:p>
        </w:tc>
        <w:tc>
          <w:tcPr>
            <w:tcW w:w="415" w:type="dxa"/>
            <w:tcBorders>
              <w:top w:val="single" w:color="auto" w:sz="4" w:space="0"/>
            </w:tcBorders>
          </w:tcPr>
          <w:p>
            <w:pPr>
              <w:spacing w:line="360" w:lineRule="auto"/>
              <w:jc w:val="center"/>
              <w:rPr>
                <w:rFonts w:asciiTheme="minorEastAsia" w:hAnsiTheme="minorEastAsia" w:eastAsiaTheme="minorEastAsia"/>
                <w:b/>
                <w:bCs/>
                <w:sz w:val="32"/>
              </w:rPr>
            </w:pPr>
          </w:p>
        </w:tc>
        <w:tc>
          <w:tcPr>
            <w:tcW w:w="415" w:type="dxa"/>
            <w:tcBorders>
              <w:top w:val="nil"/>
              <w:bottom w:val="nil"/>
            </w:tcBorders>
          </w:tcPr>
          <w:p>
            <w:pPr>
              <w:spacing w:line="360" w:lineRule="auto"/>
              <w:jc w:val="center"/>
              <w:rPr>
                <w:rFonts w:asciiTheme="minorEastAsia" w:hAnsiTheme="minorEastAsia" w:eastAsiaTheme="minorEastAsia"/>
                <w:b/>
                <w:bCs/>
                <w:sz w:val="32"/>
              </w:rPr>
            </w:pPr>
          </w:p>
        </w:tc>
        <w:tc>
          <w:tcPr>
            <w:tcW w:w="415" w:type="dxa"/>
            <w:tcBorders>
              <w:top w:val="single" w:color="auto" w:sz="4" w:space="0"/>
            </w:tcBorders>
          </w:tcPr>
          <w:p>
            <w:pPr>
              <w:spacing w:line="360" w:lineRule="auto"/>
              <w:jc w:val="center"/>
              <w:rPr>
                <w:rFonts w:asciiTheme="minorEastAsia" w:hAnsiTheme="minorEastAsia" w:eastAsiaTheme="minorEastAsia"/>
                <w:b/>
                <w:bCs/>
                <w:sz w:val="32"/>
              </w:rPr>
            </w:pPr>
          </w:p>
        </w:tc>
        <w:tc>
          <w:tcPr>
            <w:tcW w:w="415" w:type="dxa"/>
            <w:tcBorders>
              <w:top w:val="single" w:color="auto" w:sz="4" w:space="0"/>
            </w:tcBorders>
          </w:tcPr>
          <w:p>
            <w:pPr>
              <w:spacing w:line="360" w:lineRule="auto"/>
              <w:jc w:val="center"/>
              <w:rPr>
                <w:rFonts w:asciiTheme="minorEastAsia" w:hAnsiTheme="minorEastAsia" w:eastAsiaTheme="minorEastAsia"/>
                <w:b/>
                <w:bCs/>
                <w:sz w:val="32"/>
              </w:rPr>
            </w:pPr>
          </w:p>
        </w:tc>
        <w:tc>
          <w:tcPr>
            <w:tcW w:w="415" w:type="dxa"/>
          </w:tcPr>
          <w:p>
            <w:pPr>
              <w:spacing w:line="360" w:lineRule="auto"/>
              <w:rPr>
                <w:rFonts w:asciiTheme="minorEastAsia" w:hAnsiTheme="minorEastAsia" w:eastAsiaTheme="minorEastAsia"/>
                <w:b/>
                <w:bCs/>
                <w:sz w:val="32"/>
              </w:rPr>
            </w:pPr>
          </w:p>
        </w:tc>
        <w:tc>
          <w:tcPr>
            <w:tcW w:w="415" w:type="dxa"/>
          </w:tcPr>
          <w:p>
            <w:pPr>
              <w:spacing w:line="360" w:lineRule="auto"/>
              <w:rPr>
                <w:rFonts w:asciiTheme="minorEastAsia" w:hAnsiTheme="minorEastAsia" w:eastAsiaTheme="minorEastAsia"/>
                <w:b/>
                <w:bCs/>
                <w:sz w:val="32"/>
              </w:rPr>
            </w:pPr>
          </w:p>
        </w:tc>
        <w:tc>
          <w:tcPr>
            <w:tcW w:w="430" w:type="dxa"/>
          </w:tcPr>
          <w:p>
            <w:pPr>
              <w:spacing w:line="360" w:lineRule="auto"/>
              <w:rPr>
                <w:rFonts w:asciiTheme="minorEastAsia" w:hAnsiTheme="minorEastAsia" w:eastAsiaTheme="minorEastAsia"/>
                <w:b/>
                <w:bCs/>
                <w:sz w:val="32"/>
              </w:rPr>
            </w:pPr>
          </w:p>
        </w:tc>
        <w:tc>
          <w:tcPr>
            <w:tcW w:w="400" w:type="dxa"/>
          </w:tcPr>
          <w:p>
            <w:pPr>
              <w:spacing w:line="360" w:lineRule="auto"/>
              <w:rPr>
                <w:rFonts w:asciiTheme="minorEastAsia" w:hAnsiTheme="minorEastAsia" w:eastAsiaTheme="minorEastAsia"/>
                <w:b/>
                <w:bCs/>
                <w:sz w:val="32"/>
              </w:rPr>
            </w:pPr>
          </w:p>
        </w:tc>
      </w:tr>
    </w:tbl>
    <w:p>
      <w:pPr>
        <w:spacing w:line="360" w:lineRule="auto"/>
        <w:jc w:val="center"/>
        <w:rPr>
          <w:rFonts w:asciiTheme="minorEastAsia" w:hAnsiTheme="minorEastAsia" w:eastAsiaTheme="minorEastAsia"/>
          <w:sz w:val="32"/>
        </w:rPr>
      </w:pPr>
      <w:r>
        <w:rPr>
          <w:rFonts w:asciiTheme="minorEastAsia" w:hAnsiTheme="minorEastAsia" w:eastAsiaTheme="minorEastAsia"/>
          <w:sz w:val="32"/>
        </w:rPr>
        <w:t xml:space="preserve">        </w:t>
      </w:r>
    </w:p>
    <w:p>
      <w:pPr>
        <w:spacing w:line="360" w:lineRule="auto"/>
        <w:rPr>
          <w:rFonts w:asciiTheme="minorEastAsia" w:hAnsiTheme="minorEastAsia" w:eastAsiaTheme="minorEastAsia"/>
          <w:sz w:val="32"/>
        </w:rPr>
      </w:pPr>
      <w:r>
        <w:rPr>
          <w:rFonts w:asciiTheme="minorEastAsia" w:hAnsiTheme="minorEastAsia" w:eastAsiaTheme="minorEastAsia"/>
          <w:sz w:val="32"/>
        </w:rPr>
        <w:t xml:space="preserve">                   </w:t>
      </w:r>
    </w:p>
    <w:p>
      <w:pPr>
        <w:spacing w:line="360" w:lineRule="auto"/>
        <w:rPr>
          <w:rFonts w:asciiTheme="minorEastAsia" w:hAnsiTheme="minorEastAsia" w:eastAsiaTheme="minorEastAsia"/>
          <w:sz w:val="32"/>
        </w:rPr>
      </w:pPr>
      <w:r>
        <w:rPr>
          <w:rFonts w:asciiTheme="minorEastAsia" w:hAnsiTheme="minorEastAsia" w:eastAsiaTheme="minorEastAsia"/>
          <w:sz w:val="32"/>
        </w:rPr>
        <w:t xml:space="preserve">               </w:t>
      </w:r>
    </w:p>
    <w:p>
      <w:pPr>
        <w:spacing w:line="360" w:lineRule="auto"/>
        <w:jc w:val="center"/>
        <w:rPr>
          <w:rFonts w:asciiTheme="minorEastAsia" w:hAnsiTheme="minorEastAsia" w:eastAsiaTheme="minorEastAsia"/>
          <w:b/>
          <w:bCs/>
          <w:spacing w:val="208"/>
          <w:sz w:val="44"/>
        </w:rPr>
      </w:pPr>
      <w:r>
        <w:rPr>
          <w:rFonts w:asciiTheme="minorEastAsia" w:hAnsiTheme="minorEastAsia" w:eastAsiaTheme="minorEastAsia"/>
          <w:b/>
          <w:bCs/>
          <w:spacing w:val="208"/>
          <w:sz w:val="44"/>
        </w:rPr>
        <w:t>技术服务合同</w:t>
      </w:r>
    </w:p>
    <w:p>
      <w:pPr>
        <w:spacing w:line="360" w:lineRule="auto"/>
        <w:rPr>
          <w:rFonts w:asciiTheme="minorEastAsia" w:hAnsiTheme="minorEastAsia" w:eastAsiaTheme="minorEastAsia"/>
          <w:sz w:val="32"/>
        </w:rPr>
      </w:pPr>
    </w:p>
    <w:p>
      <w:pPr>
        <w:spacing w:line="360" w:lineRule="auto"/>
        <w:rPr>
          <w:rFonts w:asciiTheme="minorEastAsia" w:hAnsiTheme="minorEastAsia" w:eastAsiaTheme="minorEastAsia"/>
          <w:sz w:val="32"/>
        </w:rPr>
      </w:pPr>
    </w:p>
    <w:p>
      <w:pPr>
        <w:tabs>
          <w:tab w:val="left" w:pos="7350"/>
        </w:tabs>
        <w:spacing w:line="360" w:lineRule="auto"/>
        <w:ind w:left="1259" w:leftChars="295" w:hanging="640" w:hangingChars="200"/>
        <w:rPr>
          <w:rFonts w:asciiTheme="minorEastAsia" w:hAnsiTheme="minorEastAsia" w:eastAsiaTheme="minorEastAsia"/>
          <w:sz w:val="32"/>
          <w:szCs w:val="32"/>
        </w:rPr>
      </w:pPr>
      <w:r>
        <w:rPr>
          <w:rFonts w:asciiTheme="minorEastAsia" w:hAnsiTheme="minorEastAsia" w:eastAsiaTheme="minorEastAsia"/>
          <w:sz w:val="32"/>
        </w:rPr>
        <w:t>项目名称：</w:t>
      </w:r>
    </w:p>
    <w:p>
      <w:pPr>
        <w:tabs>
          <w:tab w:val="left" w:pos="7350"/>
        </w:tabs>
        <w:spacing w:line="360" w:lineRule="auto"/>
        <w:ind w:left="1259" w:leftChars="295" w:hanging="640" w:hangingChars="200"/>
        <w:rPr>
          <w:rFonts w:asciiTheme="minorEastAsia" w:hAnsiTheme="minorEastAsia" w:eastAsiaTheme="minorEastAsia"/>
          <w:sz w:val="32"/>
        </w:rPr>
      </w:pPr>
      <w:r>
        <w:rPr>
          <w:rFonts w:hint="eastAsia" w:asciiTheme="minorEastAsia" w:hAnsiTheme="minorEastAsia" w:eastAsiaTheme="minorEastAsia"/>
          <w:sz w:val="32"/>
        </w:rPr>
        <w:t>委托人</w:t>
      </w:r>
      <w:r>
        <w:rPr>
          <w:rFonts w:asciiTheme="minorEastAsia" w:hAnsiTheme="minorEastAsia" w:eastAsiaTheme="minorEastAsia"/>
          <w:sz w:val="32"/>
        </w:rPr>
        <w:t>：</w:t>
      </w:r>
    </w:p>
    <w:p>
      <w:pPr>
        <w:tabs>
          <w:tab w:val="left" w:pos="7350"/>
        </w:tabs>
        <w:spacing w:line="360" w:lineRule="auto"/>
        <w:ind w:left="1259" w:leftChars="295" w:hanging="640" w:hangingChars="200"/>
        <w:rPr>
          <w:rFonts w:asciiTheme="minorEastAsia" w:hAnsiTheme="minorEastAsia" w:eastAsiaTheme="minorEastAsia"/>
          <w:sz w:val="32"/>
        </w:rPr>
      </w:pPr>
      <w:r>
        <w:rPr>
          <w:rFonts w:asciiTheme="minorEastAsia" w:hAnsiTheme="minorEastAsia" w:eastAsiaTheme="minorEastAsia"/>
          <w:sz w:val="32"/>
        </w:rPr>
        <w:t>（甲方）</w:t>
      </w:r>
    </w:p>
    <w:p>
      <w:pPr>
        <w:tabs>
          <w:tab w:val="left" w:pos="7350"/>
        </w:tabs>
        <w:spacing w:line="360" w:lineRule="auto"/>
        <w:ind w:left="1259" w:leftChars="295" w:hanging="640" w:hangingChars="200"/>
        <w:rPr>
          <w:rFonts w:asciiTheme="minorEastAsia" w:hAnsiTheme="minorEastAsia" w:eastAsiaTheme="minorEastAsia"/>
          <w:sz w:val="32"/>
        </w:rPr>
      </w:pPr>
      <w:r>
        <w:rPr>
          <w:rFonts w:hint="eastAsia" w:asciiTheme="minorEastAsia" w:hAnsiTheme="minorEastAsia" w:eastAsiaTheme="minorEastAsia"/>
          <w:sz w:val="32"/>
        </w:rPr>
        <w:t>受托人：</w:t>
      </w:r>
    </w:p>
    <w:p>
      <w:pPr>
        <w:spacing w:line="360" w:lineRule="auto"/>
        <w:ind w:left="1259" w:leftChars="295" w:hanging="640" w:hangingChars="200"/>
        <w:rPr>
          <w:rFonts w:asciiTheme="minorEastAsia" w:hAnsiTheme="minorEastAsia" w:eastAsiaTheme="minorEastAsia"/>
          <w:sz w:val="32"/>
        </w:rPr>
      </w:pPr>
      <w:r>
        <w:rPr>
          <w:rFonts w:asciiTheme="minorEastAsia" w:hAnsiTheme="minorEastAsia" w:eastAsiaTheme="minorEastAsia"/>
          <w:sz w:val="32"/>
        </w:rPr>
        <w:t>（乙方）</w:t>
      </w:r>
    </w:p>
    <w:p>
      <w:pPr>
        <w:spacing w:line="360" w:lineRule="auto"/>
        <w:ind w:left="1259" w:leftChars="295" w:hanging="640" w:hangingChars="200"/>
        <w:rPr>
          <w:rFonts w:asciiTheme="minorEastAsia" w:hAnsiTheme="minorEastAsia" w:eastAsiaTheme="minorEastAsia"/>
          <w:sz w:val="32"/>
        </w:rPr>
      </w:pPr>
    </w:p>
    <w:p>
      <w:pPr>
        <w:spacing w:line="360" w:lineRule="auto"/>
        <w:ind w:left="1259" w:leftChars="295" w:hanging="640" w:hangingChars="200"/>
        <w:rPr>
          <w:rFonts w:asciiTheme="minorEastAsia" w:hAnsiTheme="minorEastAsia" w:eastAsiaTheme="minorEastAsia"/>
          <w:sz w:val="32"/>
        </w:rPr>
      </w:pPr>
      <w:r>
        <w:rPr>
          <w:rFonts w:asciiTheme="minorEastAsia" w:hAnsiTheme="minorEastAsia" w:eastAsiaTheme="minorEastAsia"/>
          <w:sz w:val="32"/>
        </w:rPr>
        <w:t>签订地点： 北京市</w:t>
      </w:r>
    </w:p>
    <w:p>
      <w:pPr>
        <w:spacing w:line="360" w:lineRule="auto"/>
        <w:ind w:left="1259" w:leftChars="295" w:hanging="640" w:hangingChars="200"/>
        <w:rPr>
          <w:rFonts w:asciiTheme="minorEastAsia" w:hAnsiTheme="minorEastAsia" w:eastAsiaTheme="minorEastAsia"/>
          <w:sz w:val="32"/>
        </w:rPr>
      </w:pPr>
      <w:r>
        <w:rPr>
          <w:rFonts w:asciiTheme="minorEastAsia" w:hAnsiTheme="minorEastAsia" w:eastAsiaTheme="minorEastAsia"/>
          <w:sz w:val="32"/>
        </w:rPr>
        <w:t>签订日期：</w:t>
      </w:r>
      <w:r>
        <w:rPr>
          <w:rFonts w:hint="eastAsia" w:asciiTheme="minorEastAsia" w:hAnsiTheme="minorEastAsia" w:eastAsiaTheme="minorEastAsia"/>
          <w:sz w:val="32"/>
        </w:rPr>
        <w:t xml:space="preserve">     </w:t>
      </w:r>
      <w:r>
        <w:rPr>
          <w:rFonts w:asciiTheme="minorEastAsia" w:hAnsiTheme="minorEastAsia" w:eastAsiaTheme="minorEastAsia"/>
          <w:sz w:val="32"/>
        </w:rPr>
        <w:t xml:space="preserve">年 </w:t>
      </w:r>
      <w:r>
        <w:rPr>
          <w:rFonts w:hint="eastAsia" w:asciiTheme="minorEastAsia" w:hAnsiTheme="minorEastAsia" w:eastAsiaTheme="minorEastAsia"/>
          <w:sz w:val="32"/>
        </w:rPr>
        <w:t xml:space="preserve">  </w:t>
      </w:r>
      <w:r>
        <w:rPr>
          <w:rFonts w:asciiTheme="minorEastAsia" w:hAnsiTheme="minorEastAsia" w:eastAsiaTheme="minorEastAsia"/>
          <w:sz w:val="32"/>
        </w:rPr>
        <w:t xml:space="preserve">月 </w:t>
      </w:r>
      <w:r>
        <w:rPr>
          <w:rFonts w:hint="eastAsia" w:asciiTheme="minorEastAsia" w:hAnsiTheme="minorEastAsia" w:eastAsiaTheme="minorEastAsia"/>
          <w:sz w:val="32"/>
        </w:rPr>
        <w:t xml:space="preserve">  </w:t>
      </w:r>
      <w:r>
        <w:rPr>
          <w:rFonts w:asciiTheme="minorEastAsia" w:hAnsiTheme="minorEastAsia" w:eastAsiaTheme="minorEastAsia"/>
          <w:sz w:val="32"/>
        </w:rPr>
        <w:t>日</w:t>
      </w:r>
    </w:p>
    <w:p>
      <w:pPr>
        <w:spacing w:line="360" w:lineRule="auto"/>
        <w:ind w:left="1259" w:leftChars="295" w:hanging="640" w:hangingChars="200"/>
        <w:rPr>
          <w:rFonts w:asciiTheme="minorEastAsia" w:hAnsiTheme="minorEastAsia" w:eastAsiaTheme="minorEastAsia"/>
          <w:sz w:val="32"/>
        </w:rPr>
      </w:pPr>
      <w:r>
        <w:rPr>
          <w:rFonts w:asciiTheme="minorEastAsia" w:hAnsiTheme="minorEastAsia" w:eastAsiaTheme="minorEastAsia"/>
          <w:sz w:val="32"/>
        </w:rPr>
        <w:t>有效期限：</w:t>
      </w:r>
      <w:r>
        <w:rPr>
          <w:rFonts w:hint="eastAsia" w:asciiTheme="minorEastAsia" w:hAnsiTheme="minorEastAsia" w:eastAsiaTheme="minorEastAsia"/>
          <w:sz w:val="32"/>
        </w:rPr>
        <w:t xml:space="preserve">     </w:t>
      </w:r>
      <w:r>
        <w:rPr>
          <w:rFonts w:asciiTheme="minorEastAsia" w:hAnsiTheme="minorEastAsia" w:eastAsiaTheme="minorEastAsia"/>
          <w:sz w:val="32"/>
        </w:rPr>
        <w:t>年</w:t>
      </w:r>
      <w:r>
        <w:rPr>
          <w:rFonts w:hint="eastAsia" w:asciiTheme="minorEastAsia" w:hAnsiTheme="minorEastAsia" w:eastAsiaTheme="minorEastAsia"/>
          <w:sz w:val="32"/>
        </w:rPr>
        <w:t xml:space="preserve">   </w:t>
      </w:r>
      <w:r>
        <w:rPr>
          <w:rFonts w:asciiTheme="minorEastAsia" w:hAnsiTheme="minorEastAsia" w:eastAsiaTheme="minorEastAsia"/>
          <w:sz w:val="32"/>
        </w:rPr>
        <w:t>月</w:t>
      </w:r>
      <w:r>
        <w:rPr>
          <w:rFonts w:hint="eastAsia" w:asciiTheme="minorEastAsia" w:hAnsiTheme="minorEastAsia" w:eastAsiaTheme="minorEastAsia"/>
          <w:sz w:val="32"/>
        </w:rPr>
        <w:t xml:space="preserve">   </w:t>
      </w:r>
      <w:r>
        <w:rPr>
          <w:rFonts w:asciiTheme="minorEastAsia" w:hAnsiTheme="minorEastAsia" w:eastAsiaTheme="minorEastAsia"/>
          <w:sz w:val="32"/>
        </w:rPr>
        <w:t>日至</w:t>
      </w:r>
      <w:r>
        <w:rPr>
          <w:rFonts w:hint="eastAsia" w:asciiTheme="minorEastAsia" w:hAnsiTheme="minorEastAsia" w:eastAsiaTheme="minorEastAsia"/>
          <w:sz w:val="32"/>
        </w:rPr>
        <w:t xml:space="preserve">    </w:t>
      </w:r>
      <w:r>
        <w:rPr>
          <w:rFonts w:asciiTheme="minorEastAsia" w:hAnsiTheme="minorEastAsia" w:eastAsiaTheme="minorEastAsia"/>
          <w:sz w:val="32"/>
        </w:rPr>
        <w:t>年</w:t>
      </w:r>
      <w:r>
        <w:rPr>
          <w:rFonts w:hint="eastAsia" w:asciiTheme="minorEastAsia" w:hAnsiTheme="minorEastAsia" w:eastAsiaTheme="minorEastAsia"/>
          <w:sz w:val="32"/>
        </w:rPr>
        <w:t xml:space="preserve">   </w:t>
      </w:r>
      <w:r>
        <w:rPr>
          <w:rFonts w:asciiTheme="minorEastAsia" w:hAnsiTheme="minorEastAsia" w:eastAsiaTheme="minorEastAsia"/>
          <w:sz w:val="32"/>
        </w:rPr>
        <w:t>月</w:t>
      </w:r>
      <w:r>
        <w:rPr>
          <w:rFonts w:hint="eastAsia" w:asciiTheme="minorEastAsia" w:hAnsiTheme="minorEastAsia" w:eastAsiaTheme="minorEastAsia"/>
          <w:sz w:val="32"/>
        </w:rPr>
        <w:t xml:space="preserve">   </w:t>
      </w:r>
      <w:r>
        <w:rPr>
          <w:rFonts w:asciiTheme="minorEastAsia" w:hAnsiTheme="minorEastAsia" w:eastAsiaTheme="minorEastAsia"/>
          <w:sz w:val="32"/>
        </w:rPr>
        <w:t>日</w:t>
      </w:r>
    </w:p>
    <w:p>
      <w:pPr>
        <w:spacing w:line="360" w:lineRule="auto"/>
        <w:rPr>
          <w:rFonts w:asciiTheme="minorEastAsia" w:hAnsiTheme="minorEastAsia" w:eastAsiaTheme="minorEastAsia"/>
          <w:sz w:val="32"/>
        </w:rPr>
      </w:pPr>
    </w:p>
    <w:p>
      <w:pPr>
        <w:tabs>
          <w:tab w:val="left" w:pos="1625"/>
        </w:tabs>
        <w:spacing w:line="360" w:lineRule="auto"/>
        <w:jc w:val="center"/>
        <w:rPr>
          <w:rFonts w:asciiTheme="minorEastAsia" w:hAnsiTheme="minorEastAsia" w:eastAsiaTheme="minorEastAsia"/>
          <w:spacing w:val="62"/>
          <w:sz w:val="28"/>
        </w:rPr>
      </w:pPr>
      <w:r>
        <w:rPr>
          <w:rFonts w:asciiTheme="minorEastAsia" w:hAnsiTheme="minorEastAsia" w:eastAsiaTheme="minorEastAsia"/>
          <w:spacing w:val="62"/>
          <w:sz w:val="28"/>
        </w:rPr>
        <w:t>北京技术市场管理办公室</w:t>
      </w:r>
    </w:p>
    <w:p>
      <w:pPr>
        <w:spacing w:line="360" w:lineRule="auto"/>
        <w:rPr>
          <w:rFonts w:asciiTheme="minorEastAsia" w:hAnsiTheme="minorEastAsia" w:eastAsiaTheme="minorEastAsia"/>
          <w:spacing w:val="68"/>
          <w:sz w:val="24"/>
        </w:rPr>
      </w:pPr>
    </w:p>
    <w:p>
      <w:pPr>
        <w:spacing w:line="360" w:lineRule="auto"/>
        <w:rPr>
          <w:rFonts w:asciiTheme="minorEastAsia" w:hAnsiTheme="minorEastAsia" w:eastAsiaTheme="minorEastAsia"/>
          <w:spacing w:val="68"/>
          <w:sz w:val="24"/>
        </w:rPr>
      </w:pPr>
      <w:r>
        <w:rPr>
          <w:rFonts w:asciiTheme="minorEastAsia" w:hAnsiTheme="minorEastAsia" w:eastAsiaTheme="minorEastAsia"/>
          <w:spacing w:val="68"/>
          <w:sz w:val="24"/>
        </w:rPr>
        <w:t>填写说明</w:t>
      </w:r>
    </w:p>
    <w:p>
      <w:pPr>
        <w:spacing w:line="360" w:lineRule="auto"/>
        <w:rPr>
          <w:rFonts w:asciiTheme="minorEastAsia" w:hAnsiTheme="minorEastAsia" w:eastAsiaTheme="minorEastAsia"/>
          <w:sz w:val="24"/>
        </w:rPr>
      </w:pP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一、“合同登记编号”由技术合同登记处填写。</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二、技术开发合同是指当事人之间就新技术、新产品、新工艺和新材料及其系统的研究开发所订立的合同。技术开发合同包括委托开发合同和合作开发合同。</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三、计划内项目应填写国务院部委、省、自治区、直辖市、计划单列市、地、市（县）级计划。不属于上述计划的项目此栏划（/）表示。</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四、标的技术的内容、范围及要求</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包括开发项目应达到的开发目的、使用范围、技术经济指标及效益情况。</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五、研究开发计划</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包括当事人各方实施开发项目的阶段进度、各个阶段要解决的技术问题、达到的目标和完成的期限等。</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六、本合同的履行方式（包括成果提交方式及数量）</w:t>
      </w:r>
    </w:p>
    <w:p>
      <w:pPr>
        <w:spacing w:line="360" w:lineRule="auto"/>
        <w:ind w:firstLine="486" w:firstLineChars="225"/>
        <w:rPr>
          <w:rFonts w:asciiTheme="minorEastAsia" w:hAnsiTheme="minorEastAsia" w:eastAsiaTheme="minorEastAsia"/>
          <w:spacing w:val="-12"/>
          <w:sz w:val="24"/>
        </w:rPr>
      </w:pPr>
      <w:r>
        <w:rPr>
          <w:rFonts w:hint="eastAsia" w:asciiTheme="minorEastAsia" w:hAnsiTheme="minorEastAsia" w:eastAsiaTheme="minorEastAsia"/>
          <w:spacing w:val="-12"/>
          <w:sz w:val="24"/>
        </w:rPr>
        <w:t>1．原始影像数据（含轨道参数等文件）；</w:t>
      </w:r>
    </w:p>
    <w:p>
      <w:pPr>
        <w:spacing w:line="360" w:lineRule="auto"/>
        <w:ind w:firstLine="486" w:firstLineChars="225"/>
        <w:rPr>
          <w:rFonts w:asciiTheme="minorEastAsia" w:hAnsiTheme="minorEastAsia" w:eastAsiaTheme="minorEastAsia"/>
          <w:spacing w:val="-12"/>
          <w:sz w:val="24"/>
        </w:rPr>
      </w:pPr>
      <w:r>
        <w:rPr>
          <w:rFonts w:hint="eastAsia" w:asciiTheme="minorEastAsia" w:hAnsiTheme="minorEastAsia" w:eastAsiaTheme="minorEastAsia"/>
          <w:spacing w:val="-12"/>
          <w:sz w:val="24"/>
        </w:rPr>
        <w:t>2．快视影像数据（含矢量接图表数据）；</w:t>
      </w:r>
    </w:p>
    <w:p>
      <w:pPr>
        <w:spacing w:line="360" w:lineRule="auto"/>
        <w:ind w:firstLine="486" w:firstLineChars="225"/>
        <w:rPr>
          <w:rFonts w:asciiTheme="minorEastAsia" w:hAnsiTheme="minorEastAsia" w:eastAsiaTheme="minorEastAsia"/>
          <w:spacing w:val="-12"/>
          <w:sz w:val="24"/>
        </w:rPr>
      </w:pPr>
      <w:r>
        <w:rPr>
          <w:rFonts w:hint="eastAsia" w:asciiTheme="minorEastAsia" w:hAnsiTheme="minorEastAsia" w:eastAsiaTheme="minorEastAsia"/>
          <w:spacing w:val="-12"/>
          <w:sz w:val="24"/>
        </w:rPr>
        <w:t>3．影像范围结合图；</w:t>
      </w:r>
    </w:p>
    <w:p>
      <w:pPr>
        <w:spacing w:line="360" w:lineRule="auto"/>
        <w:ind w:firstLine="486" w:firstLineChars="225"/>
        <w:rPr>
          <w:rFonts w:asciiTheme="minorEastAsia" w:hAnsiTheme="minorEastAsia" w:eastAsiaTheme="minorEastAsia"/>
          <w:spacing w:val="-12"/>
          <w:sz w:val="24"/>
        </w:rPr>
      </w:pPr>
      <w:r>
        <w:rPr>
          <w:rFonts w:hint="eastAsia" w:asciiTheme="minorEastAsia" w:hAnsiTheme="minorEastAsia" w:eastAsiaTheme="minorEastAsia"/>
          <w:spacing w:val="-12"/>
          <w:sz w:val="24"/>
        </w:rPr>
        <w:t>4．影像资料自检报告；</w:t>
      </w:r>
    </w:p>
    <w:p>
      <w:pPr>
        <w:spacing w:line="360" w:lineRule="auto"/>
        <w:ind w:firstLine="486" w:firstLineChars="225"/>
        <w:rPr>
          <w:rFonts w:asciiTheme="minorEastAsia" w:hAnsiTheme="minorEastAsia" w:eastAsiaTheme="minorEastAsia"/>
          <w:spacing w:val="-12"/>
          <w:sz w:val="24"/>
        </w:rPr>
      </w:pPr>
      <w:r>
        <w:rPr>
          <w:rFonts w:hint="eastAsia" w:asciiTheme="minorEastAsia" w:hAnsiTheme="minorEastAsia" w:eastAsiaTheme="minorEastAsia"/>
          <w:spacing w:val="-12"/>
          <w:sz w:val="24"/>
        </w:rPr>
        <w:t>5．遥感影像资料移交书；</w:t>
      </w:r>
    </w:p>
    <w:p>
      <w:pPr>
        <w:spacing w:line="360" w:lineRule="auto"/>
        <w:ind w:firstLine="486" w:firstLineChars="225"/>
        <w:rPr>
          <w:rFonts w:asciiTheme="minorEastAsia" w:hAnsiTheme="minorEastAsia" w:eastAsiaTheme="minorEastAsia"/>
          <w:spacing w:val="-12"/>
          <w:sz w:val="24"/>
        </w:rPr>
      </w:pPr>
      <w:r>
        <w:rPr>
          <w:rFonts w:hint="eastAsia" w:asciiTheme="minorEastAsia" w:hAnsiTheme="minorEastAsia" w:eastAsiaTheme="minorEastAsia"/>
          <w:spacing w:val="-12"/>
          <w:sz w:val="24"/>
        </w:rPr>
        <w:t>6．其它相关资料。</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七、技术情报和资料的保密</w:t>
      </w:r>
    </w:p>
    <w:p>
      <w:pPr>
        <w:spacing w:line="360" w:lineRule="auto"/>
        <w:ind w:firstLine="486" w:firstLineChars="225"/>
        <w:rPr>
          <w:rFonts w:asciiTheme="minorEastAsia" w:hAnsiTheme="minorEastAsia" w:eastAsiaTheme="minorEastAsia"/>
          <w:spacing w:val="-12"/>
          <w:sz w:val="24"/>
        </w:rPr>
      </w:pPr>
      <w:r>
        <w:rPr>
          <w:rFonts w:asciiTheme="minorEastAsia" w:hAnsiTheme="minorEastAsia" w:eastAsiaTheme="minorEastAsia"/>
          <w:spacing w:val="-12"/>
          <w:sz w:val="24"/>
        </w:rPr>
        <w:t>包括当事人各方情报和资料保密义务的内容、期限和泄漏技术秘密应承担的责任。</w:t>
      </w:r>
    </w:p>
    <w:p>
      <w:pPr>
        <w:spacing w:line="360" w:lineRule="auto"/>
        <w:ind w:firstLine="486" w:firstLineChars="225"/>
        <w:rPr>
          <w:rFonts w:asciiTheme="minorEastAsia" w:hAnsiTheme="minorEastAsia" w:eastAsiaTheme="minorEastAsia"/>
          <w:spacing w:val="-12"/>
          <w:sz w:val="24"/>
        </w:rPr>
        <w:sectPr>
          <w:headerReference r:id="rId11" w:type="first"/>
          <w:footerReference r:id="rId12" w:type="even"/>
          <w:pgSz w:w="11906" w:h="16838"/>
          <w:pgMar w:top="1418" w:right="1361" w:bottom="1361" w:left="1361" w:header="851" w:footer="992" w:gutter="0"/>
          <w:cols w:space="720" w:num="1"/>
          <w:titlePg/>
          <w:docGrid w:type="lines" w:linePitch="312" w:charSpace="0"/>
        </w:sectPr>
      </w:pPr>
      <w:r>
        <w:rPr>
          <w:rFonts w:asciiTheme="minorEastAsia" w:hAnsiTheme="minorEastAsia" w:eastAsiaTheme="minorEastAsia"/>
          <w:spacing w:val="-12"/>
          <w:sz w:val="24"/>
        </w:rPr>
        <w:t>八、本合同书中，凡是当事人约定认为无需填写的条款，在该条款填写的空白处划（/）表示。</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甲方：</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乙方：</w:t>
      </w:r>
      <w:r>
        <w:rPr>
          <w:rFonts w:asciiTheme="minorEastAsia" w:hAnsiTheme="minorEastAsia" w:eastAsiaTheme="minorEastAsia"/>
          <w:b/>
          <w:sz w:val="24"/>
        </w:rPr>
        <w:t xml:space="preserve">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依照《中华人民共和国民法典》等法律法规和自然资源部国土卫星遥感应用中心业务项目合同管理规定，甲乙双方就自然资源部国土卫星遥感应用中心高精度地理参考数据技术服务工作项目，经协商一致签订本项目合同，约定如下：</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第一条 工作项目名称、任务数量、技术指标质量要求</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一</w:t>
      </w:r>
      <w:r>
        <w:rPr>
          <w:rFonts w:asciiTheme="minorEastAsia" w:hAnsiTheme="minorEastAsia" w:eastAsiaTheme="minorEastAsia"/>
          <w:sz w:val="24"/>
        </w:rPr>
        <w:t>)</w:t>
      </w:r>
      <w:r>
        <w:rPr>
          <w:rFonts w:hint="eastAsia" w:asciiTheme="minorEastAsia" w:hAnsiTheme="minorEastAsia" w:eastAsiaTheme="minorEastAsia"/>
          <w:sz w:val="24"/>
        </w:rPr>
        <w:t>工作项目名称：</w:t>
      </w:r>
      <w:r>
        <w:rPr>
          <w:rFonts w:hint="eastAsia" w:asciiTheme="minorEastAsia" w:hAnsiTheme="minorEastAsia" w:eastAsiaTheme="minorEastAsia" w:cstheme="minorEastAsia"/>
          <w:sz w:val="24"/>
        </w:rPr>
        <w:t>自然资源部国土卫星遥感应用中心高精度地理参考数据技术服务</w:t>
      </w:r>
      <w:r>
        <w:rPr>
          <w:rFonts w:asciiTheme="minorEastAsia" w:hAnsiTheme="minorEastAsia" w:eastAsiaTheme="minorEastAsia"/>
          <w:sz w:val="24"/>
        </w:rPr>
        <w:t xml:space="preserve"> </w:t>
      </w:r>
    </w:p>
    <w:p>
      <w:pPr>
        <w:pStyle w:val="2"/>
        <w:spacing w:line="360" w:lineRule="auto"/>
        <w:jc w:val="center"/>
        <w:rPr>
          <w:rFonts w:hint="default"/>
          <w:b/>
          <w:sz w:val="24"/>
          <w:szCs w:val="24"/>
        </w:rPr>
      </w:pPr>
      <w:r>
        <w:rPr>
          <w:b/>
          <w:sz w:val="24"/>
          <w:szCs w:val="24"/>
        </w:rPr>
        <w:t>第1包： 0.05米分辨率高精度地理参考数据技术服务</w:t>
      </w:r>
    </w:p>
    <w:p>
      <w:pPr>
        <w:pStyle w:val="129"/>
        <w:numPr>
          <w:ilvl w:val="1"/>
          <w:numId w:val="5"/>
        </w:numPr>
      </w:pPr>
      <w:r>
        <w:rPr>
          <w:rFonts w:hint="eastAsia"/>
        </w:rPr>
        <w:t>建设内容</w:t>
      </w:r>
    </w:p>
    <w:p>
      <w:pPr>
        <w:pStyle w:val="133"/>
        <w:rPr>
          <w:sz w:val="24"/>
          <w:szCs w:val="24"/>
        </w:rPr>
      </w:pPr>
      <w:r>
        <w:rPr>
          <w:rFonts w:hint="eastAsia"/>
          <w:sz w:val="24"/>
          <w:szCs w:val="24"/>
        </w:rPr>
        <w:t>0.05米分辨率高精度地理参考数据。</w:t>
      </w:r>
    </w:p>
    <w:p>
      <w:pPr>
        <w:pStyle w:val="129"/>
        <w:numPr>
          <w:ilvl w:val="1"/>
          <w:numId w:val="5"/>
        </w:numPr>
      </w:pPr>
      <w:r>
        <w:rPr>
          <w:rFonts w:hint="eastAsia"/>
        </w:rPr>
        <w:t>技术指标及要求</w:t>
      </w:r>
    </w:p>
    <w:p>
      <w:pPr>
        <w:pStyle w:val="134"/>
        <w:ind w:left="-424" w:leftChars="-202" w:firstLine="484" w:firstLineChars="202"/>
        <w:rPr>
          <w:sz w:val="24"/>
          <w:szCs w:val="24"/>
        </w:rPr>
      </w:pPr>
      <w:r>
        <w:rPr>
          <w:rFonts w:hint="eastAsia"/>
          <w:sz w:val="24"/>
          <w:szCs w:val="24"/>
        </w:rPr>
        <w:t>1．数据源：投标方需要自备数据源按要求开展整合技术服务。数据连续区域面积大于36</w:t>
      </w:r>
      <w:r>
        <w:rPr>
          <w:sz w:val="24"/>
          <w:szCs w:val="24"/>
        </w:rPr>
        <w:t>3</w:t>
      </w:r>
      <w:r>
        <w:rPr>
          <w:rFonts w:hint="eastAsia"/>
          <w:sz w:val="24"/>
          <w:szCs w:val="24"/>
        </w:rPr>
        <w:t>平方公里，垂直卫星轨道方向大于33Km ，沿卫星轨道方向大于11Km 。DEM</w:t>
      </w:r>
      <w:r>
        <w:rPr>
          <w:sz w:val="24"/>
          <w:szCs w:val="24"/>
        </w:rPr>
        <w:t>/DSM精度优于</w:t>
      </w:r>
      <w:r>
        <w:rPr>
          <w:rFonts w:hint="eastAsia"/>
          <w:sz w:val="24"/>
          <w:szCs w:val="24"/>
        </w:rPr>
        <w:t>0.</w:t>
      </w:r>
      <w:r>
        <w:rPr>
          <w:sz w:val="24"/>
          <w:szCs w:val="24"/>
        </w:rPr>
        <w:t>15m</w:t>
      </w:r>
      <w:r>
        <w:rPr>
          <w:rFonts w:hint="eastAsia"/>
          <w:sz w:val="24"/>
          <w:szCs w:val="24"/>
        </w:rPr>
        <w:t>。</w:t>
      </w:r>
    </w:p>
    <w:p>
      <w:pPr>
        <w:pStyle w:val="134"/>
        <w:ind w:left="720" w:hanging="720"/>
        <w:rPr>
          <w:sz w:val="24"/>
          <w:szCs w:val="24"/>
        </w:rPr>
      </w:pPr>
      <w:r>
        <w:rPr>
          <w:rFonts w:hint="eastAsia"/>
          <w:sz w:val="24"/>
          <w:szCs w:val="24"/>
        </w:rPr>
        <w:t>2．数据格式要求：提供数据格式为GeoTIFF/IMG等通用标准格式的影像数据。</w:t>
      </w:r>
    </w:p>
    <w:p>
      <w:pPr>
        <w:pStyle w:val="134"/>
        <w:ind w:left="720" w:hanging="720"/>
        <w:rPr>
          <w:sz w:val="24"/>
          <w:szCs w:val="24"/>
        </w:rPr>
      </w:pPr>
      <w:r>
        <w:rPr>
          <w:rFonts w:hint="eastAsia"/>
          <w:sz w:val="24"/>
          <w:szCs w:val="24"/>
        </w:rPr>
        <w:t>3．云量要求：保证摄区内云量覆盖小于</w:t>
      </w:r>
      <w:r>
        <w:rPr>
          <w:sz w:val="24"/>
          <w:szCs w:val="24"/>
        </w:rPr>
        <w:t>1</w:t>
      </w:r>
      <w:r>
        <w:rPr>
          <w:rFonts w:hint="eastAsia"/>
          <w:sz w:val="24"/>
          <w:szCs w:val="24"/>
        </w:rPr>
        <w:t>%。</w:t>
      </w:r>
    </w:p>
    <w:p>
      <w:pPr>
        <w:pStyle w:val="134"/>
        <w:ind w:left="720" w:hanging="720"/>
        <w:rPr>
          <w:sz w:val="24"/>
          <w:szCs w:val="24"/>
        </w:rPr>
      </w:pPr>
      <w:r>
        <w:rPr>
          <w:rFonts w:hint="eastAsia"/>
          <w:sz w:val="24"/>
          <w:szCs w:val="24"/>
        </w:rPr>
        <w:t>4．雪量要求：除常年积雪地区外，其它地区应无积雪。</w:t>
      </w:r>
    </w:p>
    <w:p>
      <w:pPr>
        <w:pStyle w:val="134"/>
        <w:ind w:left="-426" w:leftChars="-203" w:firstLine="424" w:firstLineChars="177"/>
        <w:rPr>
          <w:sz w:val="24"/>
          <w:szCs w:val="24"/>
        </w:rPr>
      </w:pPr>
      <w:r>
        <w:rPr>
          <w:rFonts w:hint="eastAsia"/>
          <w:sz w:val="24"/>
          <w:szCs w:val="24"/>
        </w:rPr>
        <w:t>5．影像质量：影像清晰，色彩、反差适中，无明显噪声，多光谱数据与全色数据时相一致。</w:t>
      </w:r>
    </w:p>
    <w:p>
      <w:pPr>
        <w:pStyle w:val="134"/>
        <w:ind w:left="-426" w:leftChars="-203" w:firstLine="424" w:firstLineChars="177"/>
        <w:rPr>
          <w:sz w:val="24"/>
          <w:szCs w:val="24"/>
        </w:rPr>
      </w:pPr>
      <w:r>
        <w:rPr>
          <w:rFonts w:hint="eastAsia"/>
          <w:sz w:val="24"/>
          <w:szCs w:val="24"/>
        </w:rPr>
        <w:t>6．DOM、DEM/DSM采用两种坐标系具体包括：WGS84地理坐标系/WGS84椭球高，CGCS2000国家大地坐标系/1985国家高程基准。DOM影像分辨率优于0.0</w:t>
      </w:r>
      <w:r>
        <w:rPr>
          <w:sz w:val="24"/>
          <w:szCs w:val="24"/>
        </w:rPr>
        <w:t>6</w:t>
      </w:r>
      <w:r>
        <w:rPr>
          <w:rFonts w:hint="eastAsia"/>
          <w:sz w:val="24"/>
          <w:szCs w:val="24"/>
        </w:rPr>
        <w:t>5m,DEM/DSM采用间隔</w:t>
      </w:r>
      <w:r>
        <w:rPr>
          <w:sz w:val="24"/>
          <w:szCs w:val="24"/>
        </w:rPr>
        <w:t>0.5</w:t>
      </w:r>
      <w:r>
        <w:rPr>
          <w:rFonts w:hint="eastAsia"/>
          <w:sz w:val="24"/>
          <w:szCs w:val="24"/>
        </w:rPr>
        <w:t xml:space="preserve">米,数据格式GeoTiff/IMG。 </w:t>
      </w:r>
    </w:p>
    <w:p>
      <w:pPr>
        <w:pStyle w:val="134"/>
        <w:ind w:left="-426" w:leftChars="-203" w:firstLine="424" w:firstLineChars="177"/>
        <w:rPr>
          <w:sz w:val="24"/>
          <w:szCs w:val="24"/>
        </w:rPr>
      </w:pPr>
      <w:r>
        <w:rPr>
          <w:sz w:val="24"/>
          <w:szCs w:val="24"/>
        </w:rPr>
        <w:t>7</w:t>
      </w:r>
      <w:r>
        <w:rPr>
          <w:rFonts w:hint="eastAsia"/>
          <w:sz w:val="24"/>
          <w:szCs w:val="24"/>
        </w:rPr>
        <w:t>．DOM影像应清晰，层次丰富，幅与幅之间影像尽量保持色调均匀，反差适中，图面上不得有影像处理留下的明显痕迹，DOM影像接边重叠带不允许出现明显的模糊和重影，相邻数字正射影像要严格接边。</w:t>
      </w:r>
    </w:p>
    <w:p>
      <w:pPr>
        <w:pStyle w:val="134"/>
        <w:ind w:left="-426" w:leftChars="-203" w:firstLine="424" w:firstLineChars="177"/>
        <w:rPr>
          <w:sz w:val="24"/>
          <w:szCs w:val="24"/>
        </w:rPr>
      </w:pPr>
      <w:r>
        <w:rPr>
          <w:rFonts w:hint="eastAsia"/>
          <w:sz w:val="24"/>
          <w:szCs w:val="24"/>
        </w:rPr>
        <w:t>8．侧视角：下视侧视角小于</w:t>
      </w:r>
      <w:r>
        <w:rPr>
          <w:sz w:val="24"/>
          <w:szCs w:val="24"/>
        </w:rPr>
        <w:t>1</w:t>
      </w:r>
      <w:r>
        <w:rPr>
          <w:rFonts w:hint="eastAsia"/>
          <w:sz w:val="24"/>
          <w:szCs w:val="24"/>
        </w:rPr>
        <w:t>0°，且当相邻条带侧视角过大影响测图精度时予以补摄。</w:t>
      </w:r>
    </w:p>
    <w:p>
      <w:pPr>
        <w:pStyle w:val="134"/>
        <w:ind w:left="-426" w:leftChars="-203" w:firstLine="424" w:firstLineChars="177"/>
        <w:rPr>
          <w:sz w:val="24"/>
          <w:szCs w:val="24"/>
        </w:rPr>
      </w:pPr>
      <w:r>
        <w:rPr>
          <w:sz w:val="24"/>
          <w:szCs w:val="24"/>
        </w:rPr>
        <w:t>9</w:t>
      </w:r>
      <w:r>
        <w:rPr>
          <w:rFonts w:hint="eastAsia"/>
          <w:sz w:val="24"/>
          <w:szCs w:val="24"/>
        </w:rPr>
        <w:t>．资料整理与移交：提供商应在收到数据后按照甲方要求，尽快完成资料的整理工作，分期分批进行移交至项目全部完成。</w:t>
      </w:r>
    </w:p>
    <w:p>
      <w:pPr>
        <w:pStyle w:val="134"/>
        <w:ind w:left="720" w:hanging="720"/>
        <w:rPr>
          <w:sz w:val="24"/>
          <w:szCs w:val="24"/>
        </w:rPr>
      </w:pPr>
      <w:r>
        <w:rPr>
          <w:sz w:val="24"/>
          <w:szCs w:val="24"/>
        </w:rPr>
        <w:t>10</w:t>
      </w:r>
      <w:r>
        <w:rPr>
          <w:rFonts w:hint="eastAsia"/>
          <w:sz w:val="24"/>
          <w:szCs w:val="24"/>
        </w:rPr>
        <w:t>．提交资料内容：</w:t>
      </w:r>
    </w:p>
    <w:p>
      <w:pPr>
        <w:pStyle w:val="134"/>
        <w:ind w:firstLine="0" w:firstLineChars="0"/>
        <w:rPr>
          <w:sz w:val="24"/>
          <w:szCs w:val="24"/>
        </w:rPr>
      </w:pPr>
      <w:r>
        <w:rPr>
          <w:rFonts w:hint="eastAsia"/>
          <w:sz w:val="24"/>
          <w:szCs w:val="24"/>
        </w:rPr>
        <w:t>(</w:t>
      </w:r>
      <w:r>
        <w:rPr>
          <w:sz w:val="24"/>
          <w:szCs w:val="24"/>
        </w:rPr>
        <w:t>1)</w:t>
      </w:r>
      <w:r>
        <w:rPr>
          <w:rFonts w:hint="eastAsia"/>
          <w:sz w:val="24"/>
          <w:szCs w:val="24"/>
        </w:rPr>
        <w:t>具体</w:t>
      </w:r>
      <w:r>
        <w:rPr>
          <w:sz w:val="24"/>
          <w:szCs w:val="24"/>
        </w:rPr>
        <w:t>包含影像原始数据、POS</w:t>
      </w:r>
      <w:r>
        <w:rPr>
          <w:rFonts w:hint="eastAsia"/>
          <w:sz w:val="24"/>
          <w:szCs w:val="24"/>
        </w:rPr>
        <w:t>、控制点。原始影像地面采样间隔优于0.0</w:t>
      </w:r>
      <w:r>
        <w:rPr>
          <w:sz w:val="24"/>
          <w:szCs w:val="24"/>
        </w:rPr>
        <w:t>6</w:t>
      </w:r>
      <w:r>
        <w:rPr>
          <w:rFonts w:hint="eastAsia"/>
          <w:sz w:val="24"/>
          <w:szCs w:val="24"/>
        </w:rPr>
        <w:t>5m, 获取时间201</w:t>
      </w:r>
      <w:r>
        <w:rPr>
          <w:sz w:val="24"/>
          <w:szCs w:val="24"/>
        </w:rPr>
        <w:t>7</w:t>
      </w:r>
      <w:r>
        <w:rPr>
          <w:rFonts w:hint="eastAsia"/>
          <w:sz w:val="24"/>
          <w:szCs w:val="24"/>
        </w:rPr>
        <w:t>年以后。</w:t>
      </w:r>
    </w:p>
    <w:p>
      <w:pPr>
        <w:pStyle w:val="134"/>
        <w:ind w:firstLine="0" w:firstLineChars="0"/>
        <w:rPr>
          <w:sz w:val="24"/>
          <w:szCs w:val="24"/>
        </w:rPr>
      </w:pPr>
      <w:r>
        <w:rPr>
          <w:rFonts w:hint="eastAsia"/>
          <w:sz w:val="24"/>
          <w:szCs w:val="24"/>
        </w:rPr>
        <w:t>(2)处理过程数据:空三报告。</w:t>
      </w:r>
    </w:p>
    <w:p>
      <w:pPr>
        <w:pStyle w:val="134"/>
        <w:ind w:firstLine="0" w:firstLineChars="0"/>
        <w:rPr>
          <w:sz w:val="24"/>
          <w:szCs w:val="24"/>
        </w:rPr>
      </w:pPr>
      <w:r>
        <w:rPr>
          <w:rFonts w:hint="eastAsia"/>
          <w:sz w:val="24"/>
          <w:szCs w:val="24"/>
        </w:rPr>
        <w:t>(3)处理产品数据: DOM、DEM/DSM、</w:t>
      </w:r>
    </w:p>
    <w:p>
      <w:pPr>
        <w:pStyle w:val="134"/>
        <w:ind w:firstLine="0" w:firstLineChars="0"/>
        <w:rPr>
          <w:sz w:val="24"/>
          <w:szCs w:val="24"/>
        </w:rPr>
      </w:pPr>
      <w:r>
        <w:rPr>
          <w:rFonts w:hint="eastAsia"/>
          <w:sz w:val="24"/>
          <w:szCs w:val="24"/>
        </w:rPr>
        <w:t>(</w:t>
      </w:r>
      <w:r>
        <w:rPr>
          <w:sz w:val="24"/>
          <w:szCs w:val="24"/>
        </w:rPr>
        <w:t>4</w:t>
      </w:r>
      <w:r>
        <w:rPr>
          <w:rFonts w:hint="eastAsia"/>
          <w:sz w:val="24"/>
          <w:szCs w:val="24"/>
        </w:rPr>
        <w:t>)</w:t>
      </w:r>
      <w:r>
        <w:rPr>
          <w:sz w:val="24"/>
          <w:szCs w:val="24"/>
        </w:rPr>
        <w:t>第三方质量检查</w:t>
      </w:r>
      <w:r>
        <w:rPr>
          <w:rFonts w:hint="eastAsia"/>
          <w:sz w:val="24"/>
          <w:szCs w:val="24"/>
        </w:rPr>
        <w:t>报告。</w:t>
      </w:r>
    </w:p>
    <w:p>
      <w:pPr>
        <w:pStyle w:val="133"/>
        <w:ind w:firstLine="0" w:firstLineChars="0"/>
        <w:rPr>
          <w:sz w:val="24"/>
          <w:szCs w:val="24"/>
        </w:rPr>
      </w:pPr>
      <w:r>
        <w:rPr>
          <w:rFonts w:hint="eastAsia"/>
          <w:sz w:val="24"/>
          <w:szCs w:val="24"/>
        </w:rPr>
        <w:t>1</w:t>
      </w:r>
      <w:r>
        <w:rPr>
          <w:sz w:val="24"/>
          <w:szCs w:val="24"/>
        </w:rPr>
        <w:t>1</w:t>
      </w:r>
      <w:r>
        <w:rPr>
          <w:rFonts w:hint="eastAsia"/>
          <w:sz w:val="24"/>
          <w:szCs w:val="24"/>
        </w:rPr>
        <w:t>．验收：验收依据为招标文件相关要求、合同要求、招标承诺等。</w:t>
      </w:r>
    </w:p>
    <w:p>
      <w:pPr>
        <w:pStyle w:val="133"/>
        <w:ind w:firstLine="0" w:firstLineChars="0"/>
        <w:rPr>
          <w:sz w:val="24"/>
          <w:szCs w:val="24"/>
        </w:rPr>
      </w:pPr>
    </w:p>
    <w:p>
      <w:pPr>
        <w:spacing w:line="360" w:lineRule="auto"/>
        <w:jc w:val="center"/>
        <w:rPr>
          <w:b/>
          <w:sz w:val="24"/>
        </w:rPr>
      </w:pPr>
      <w:r>
        <w:rPr>
          <w:b/>
          <w:sz w:val="24"/>
        </w:rPr>
        <w:t>第2包： 0.1米分辨率高精度地理参考数据技术服务</w:t>
      </w:r>
    </w:p>
    <w:p>
      <w:pPr>
        <w:pStyle w:val="129"/>
        <w:numPr>
          <w:ilvl w:val="1"/>
          <w:numId w:val="6"/>
        </w:numPr>
      </w:pPr>
      <w:r>
        <w:rPr>
          <w:rFonts w:hint="eastAsia"/>
        </w:rPr>
        <w:t>建设内容</w:t>
      </w:r>
    </w:p>
    <w:p>
      <w:pPr>
        <w:pStyle w:val="133"/>
        <w:rPr>
          <w:sz w:val="24"/>
          <w:szCs w:val="24"/>
        </w:rPr>
      </w:pPr>
      <w:r>
        <w:rPr>
          <w:rFonts w:hint="eastAsia"/>
          <w:sz w:val="24"/>
          <w:szCs w:val="24"/>
        </w:rPr>
        <w:t>0.</w:t>
      </w:r>
      <w:r>
        <w:rPr>
          <w:sz w:val="24"/>
          <w:szCs w:val="24"/>
        </w:rPr>
        <w:t>1</w:t>
      </w:r>
      <w:r>
        <w:rPr>
          <w:rFonts w:hint="eastAsia"/>
          <w:sz w:val="24"/>
          <w:szCs w:val="24"/>
        </w:rPr>
        <w:t>米分辨率高精度地理参考数据。</w:t>
      </w:r>
    </w:p>
    <w:p>
      <w:pPr>
        <w:pStyle w:val="129"/>
        <w:numPr>
          <w:ilvl w:val="1"/>
          <w:numId w:val="6"/>
        </w:numPr>
      </w:pPr>
      <w:r>
        <w:rPr>
          <w:rFonts w:hint="eastAsia"/>
        </w:rPr>
        <w:t>技术指标及要求</w:t>
      </w:r>
    </w:p>
    <w:p>
      <w:pPr>
        <w:pStyle w:val="134"/>
        <w:ind w:left="-567" w:leftChars="-270" w:firstLine="567" w:firstLineChars="270"/>
        <w:rPr>
          <w:sz w:val="24"/>
          <w:szCs w:val="24"/>
        </w:rPr>
      </w:pPr>
      <w:r>
        <w:rPr>
          <w:rFonts w:hint="eastAsia"/>
        </w:rPr>
        <w:t>1．</w:t>
      </w:r>
      <w:r>
        <w:rPr>
          <w:rFonts w:hint="eastAsia"/>
          <w:sz w:val="24"/>
          <w:szCs w:val="24"/>
        </w:rPr>
        <w:t>数据源：投标方需要自备数据源按要求开展整合技术服务。数据连续区域面积大于</w:t>
      </w:r>
      <w:r>
        <w:rPr>
          <w:sz w:val="24"/>
          <w:szCs w:val="24"/>
        </w:rPr>
        <w:t>50</w:t>
      </w:r>
      <w:r>
        <w:rPr>
          <w:rFonts w:hint="eastAsia"/>
          <w:sz w:val="24"/>
          <w:szCs w:val="24"/>
        </w:rPr>
        <w:t>0平方公里，垂直卫星轨道方向大于33Km ，沿卫星轨道方向大于11Km 。DEM</w:t>
      </w:r>
      <w:r>
        <w:rPr>
          <w:sz w:val="24"/>
          <w:szCs w:val="24"/>
        </w:rPr>
        <w:t>/DSM精度优于</w:t>
      </w:r>
      <w:r>
        <w:rPr>
          <w:rFonts w:hint="eastAsia"/>
          <w:sz w:val="24"/>
          <w:szCs w:val="24"/>
        </w:rPr>
        <w:t>0.</w:t>
      </w:r>
      <w:r>
        <w:rPr>
          <w:sz w:val="24"/>
          <w:szCs w:val="24"/>
        </w:rPr>
        <w:t>15m</w:t>
      </w:r>
      <w:r>
        <w:rPr>
          <w:rFonts w:hint="eastAsia"/>
          <w:sz w:val="24"/>
          <w:szCs w:val="24"/>
        </w:rPr>
        <w:t>。</w:t>
      </w:r>
    </w:p>
    <w:p>
      <w:pPr>
        <w:pStyle w:val="134"/>
        <w:ind w:left="720" w:hanging="720"/>
        <w:rPr>
          <w:sz w:val="24"/>
          <w:szCs w:val="24"/>
        </w:rPr>
      </w:pPr>
      <w:r>
        <w:rPr>
          <w:rFonts w:hint="eastAsia"/>
          <w:sz w:val="24"/>
          <w:szCs w:val="24"/>
        </w:rPr>
        <w:t>2．数据格式要求：提供数据格式为GeoTIFF/IMG等通用标准格式的影像数据。</w:t>
      </w:r>
    </w:p>
    <w:p>
      <w:pPr>
        <w:pStyle w:val="134"/>
        <w:ind w:left="720" w:hanging="720"/>
        <w:rPr>
          <w:sz w:val="24"/>
          <w:szCs w:val="24"/>
        </w:rPr>
      </w:pPr>
      <w:r>
        <w:rPr>
          <w:rFonts w:hint="eastAsia"/>
          <w:sz w:val="24"/>
          <w:szCs w:val="24"/>
        </w:rPr>
        <w:t>3．云量要求：保证摄区内云量覆盖小于</w:t>
      </w:r>
      <w:r>
        <w:rPr>
          <w:sz w:val="24"/>
          <w:szCs w:val="24"/>
        </w:rPr>
        <w:t>1</w:t>
      </w:r>
      <w:r>
        <w:rPr>
          <w:rFonts w:hint="eastAsia"/>
          <w:sz w:val="24"/>
          <w:szCs w:val="24"/>
        </w:rPr>
        <w:t>%。</w:t>
      </w:r>
    </w:p>
    <w:p>
      <w:pPr>
        <w:pStyle w:val="134"/>
        <w:ind w:left="720" w:hanging="720"/>
        <w:rPr>
          <w:sz w:val="24"/>
          <w:szCs w:val="24"/>
        </w:rPr>
      </w:pPr>
      <w:r>
        <w:rPr>
          <w:rFonts w:hint="eastAsia"/>
          <w:sz w:val="24"/>
          <w:szCs w:val="24"/>
        </w:rPr>
        <w:t>4．雪量要求：除常年积雪地区外，其它地区应无积雪。</w:t>
      </w:r>
    </w:p>
    <w:p>
      <w:pPr>
        <w:pStyle w:val="134"/>
        <w:tabs>
          <w:tab w:val="left" w:pos="142"/>
        </w:tabs>
        <w:ind w:left="-567" w:leftChars="-270" w:firstLine="566" w:firstLineChars="236"/>
        <w:rPr>
          <w:sz w:val="24"/>
          <w:szCs w:val="24"/>
        </w:rPr>
      </w:pPr>
      <w:r>
        <w:rPr>
          <w:rFonts w:hint="eastAsia"/>
          <w:sz w:val="24"/>
          <w:szCs w:val="24"/>
        </w:rPr>
        <w:t>5．影像质量：影像清晰，色彩、反差适中，无明显噪声，多光谱数据与全色数据时相一致。</w:t>
      </w:r>
    </w:p>
    <w:p>
      <w:pPr>
        <w:pStyle w:val="134"/>
        <w:ind w:left="-567" w:leftChars="-270" w:firstLine="566" w:firstLineChars="236"/>
        <w:rPr>
          <w:sz w:val="24"/>
          <w:szCs w:val="24"/>
        </w:rPr>
      </w:pPr>
      <w:r>
        <w:rPr>
          <w:rFonts w:hint="eastAsia"/>
          <w:sz w:val="24"/>
          <w:szCs w:val="24"/>
        </w:rPr>
        <w:t>6．DOM、DEM/DSM采用两种坐标系具体包括：WGS84地理坐标系/WGS84椭球高，CGCS2000国家大地坐标系/1985国家高程基准。DOM影像分辨率0.05 m～0.</w:t>
      </w:r>
      <w:r>
        <w:rPr>
          <w:sz w:val="24"/>
          <w:szCs w:val="24"/>
        </w:rPr>
        <w:t>1</w:t>
      </w:r>
      <w:r>
        <w:rPr>
          <w:rFonts w:hint="eastAsia"/>
          <w:sz w:val="24"/>
          <w:szCs w:val="24"/>
        </w:rPr>
        <w:t>m,DEM/DSM采用间隔</w:t>
      </w:r>
      <w:r>
        <w:rPr>
          <w:sz w:val="24"/>
          <w:szCs w:val="24"/>
        </w:rPr>
        <w:t>0.5</w:t>
      </w:r>
      <w:r>
        <w:rPr>
          <w:rFonts w:hint="eastAsia"/>
          <w:sz w:val="24"/>
          <w:szCs w:val="24"/>
        </w:rPr>
        <w:t xml:space="preserve">米,数据格式GeoTiff/IMG。 </w:t>
      </w:r>
    </w:p>
    <w:p>
      <w:pPr>
        <w:pStyle w:val="134"/>
        <w:ind w:left="-567" w:leftChars="-270" w:firstLine="566" w:firstLineChars="236"/>
        <w:rPr>
          <w:sz w:val="24"/>
          <w:szCs w:val="24"/>
        </w:rPr>
      </w:pPr>
      <w:r>
        <w:rPr>
          <w:sz w:val="24"/>
          <w:szCs w:val="24"/>
        </w:rPr>
        <w:t>7</w:t>
      </w:r>
      <w:r>
        <w:rPr>
          <w:rFonts w:hint="eastAsia"/>
          <w:sz w:val="24"/>
          <w:szCs w:val="24"/>
        </w:rPr>
        <w:t>．DOM影像应清晰，层次丰富，幅与幅之间影像尽量保持色调均匀，反差适中，图面上不得有影像处理留下的明显痕迹，DOM影像接边重叠带不允许出现明显的模糊和重影，相邻数字正射影像要严格接边。</w:t>
      </w:r>
    </w:p>
    <w:p>
      <w:pPr>
        <w:pStyle w:val="134"/>
        <w:ind w:left="-567" w:leftChars="-270" w:firstLine="564" w:firstLineChars="235"/>
        <w:rPr>
          <w:sz w:val="24"/>
          <w:szCs w:val="24"/>
        </w:rPr>
      </w:pPr>
      <w:r>
        <w:rPr>
          <w:rFonts w:hint="eastAsia"/>
          <w:sz w:val="24"/>
          <w:szCs w:val="24"/>
        </w:rPr>
        <w:t>8．侧视角：下视侧视角小于</w:t>
      </w:r>
      <w:r>
        <w:rPr>
          <w:sz w:val="24"/>
          <w:szCs w:val="24"/>
        </w:rPr>
        <w:t>1</w:t>
      </w:r>
      <w:r>
        <w:rPr>
          <w:rFonts w:hint="eastAsia"/>
          <w:sz w:val="24"/>
          <w:szCs w:val="24"/>
        </w:rPr>
        <w:t>0°，且当相邻条带侧视角过大影响测图精度时予以补摄。</w:t>
      </w:r>
    </w:p>
    <w:p>
      <w:pPr>
        <w:pStyle w:val="134"/>
        <w:ind w:left="-567" w:leftChars="-270" w:firstLine="566" w:firstLineChars="236"/>
        <w:rPr>
          <w:sz w:val="24"/>
          <w:szCs w:val="24"/>
        </w:rPr>
      </w:pPr>
      <w:r>
        <w:rPr>
          <w:sz w:val="24"/>
          <w:szCs w:val="24"/>
        </w:rPr>
        <w:t>9</w:t>
      </w:r>
      <w:r>
        <w:rPr>
          <w:rFonts w:hint="eastAsia"/>
          <w:sz w:val="24"/>
          <w:szCs w:val="24"/>
        </w:rPr>
        <w:t>．资料整理与移交：提供商应在收到数据后按照甲方要求，尽快完成资料的整理工作，分期分批进行移交至项目全部完成。</w:t>
      </w:r>
    </w:p>
    <w:p>
      <w:pPr>
        <w:pStyle w:val="134"/>
        <w:ind w:left="720" w:hanging="720"/>
        <w:rPr>
          <w:sz w:val="24"/>
          <w:szCs w:val="24"/>
        </w:rPr>
      </w:pPr>
      <w:r>
        <w:rPr>
          <w:sz w:val="24"/>
          <w:szCs w:val="24"/>
        </w:rPr>
        <w:t>10</w:t>
      </w:r>
      <w:r>
        <w:rPr>
          <w:rFonts w:hint="eastAsia"/>
          <w:sz w:val="24"/>
          <w:szCs w:val="24"/>
        </w:rPr>
        <w:t>．提交资料内容：</w:t>
      </w:r>
    </w:p>
    <w:p>
      <w:pPr>
        <w:pStyle w:val="134"/>
        <w:ind w:left="-567" w:leftChars="-270" w:firstLine="566" w:firstLineChars="236"/>
        <w:rPr>
          <w:sz w:val="24"/>
          <w:szCs w:val="24"/>
        </w:rPr>
      </w:pPr>
      <w:r>
        <w:rPr>
          <w:rFonts w:hint="eastAsia"/>
          <w:sz w:val="24"/>
          <w:szCs w:val="24"/>
        </w:rPr>
        <w:t>(</w:t>
      </w:r>
      <w:r>
        <w:rPr>
          <w:sz w:val="24"/>
          <w:szCs w:val="24"/>
        </w:rPr>
        <w:t>1)</w:t>
      </w:r>
      <w:r>
        <w:rPr>
          <w:rFonts w:hint="eastAsia"/>
          <w:sz w:val="24"/>
          <w:szCs w:val="24"/>
        </w:rPr>
        <w:t>具体</w:t>
      </w:r>
      <w:r>
        <w:rPr>
          <w:sz w:val="24"/>
          <w:szCs w:val="24"/>
        </w:rPr>
        <w:t>包含影像原始数据、POS</w:t>
      </w:r>
      <w:r>
        <w:rPr>
          <w:rFonts w:hint="eastAsia"/>
          <w:sz w:val="24"/>
          <w:szCs w:val="24"/>
        </w:rPr>
        <w:t>、控制点。原始影像地面采样间隔0.05m~0.</w:t>
      </w:r>
      <w:r>
        <w:rPr>
          <w:sz w:val="24"/>
          <w:szCs w:val="24"/>
        </w:rPr>
        <w:t>1</w:t>
      </w:r>
      <w:r>
        <w:rPr>
          <w:rFonts w:hint="eastAsia"/>
          <w:sz w:val="24"/>
          <w:szCs w:val="24"/>
        </w:rPr>
        <w:t>m, 获取时间201</w:t>
      </w:r>
      <w:r>
        <w:rPr>
          <w:sz w:val="24"/>
          <w:szCs w:val="24"/>
        </w:rPr>
        <w:t>7</w:t>
      </w:r>
      <w:r>
        <w:rPr>
          <w:rFonts w:hint="eastAsia"/>
          <w:sz w:val="24"/>
          <w:szCs w:val="24"/>
        </w:rPr>
        <w:t>年以后。</w:t>
      </w:r>
    </w:p>
    <w:p>
      <w:pPr>
        <w:pStyle w:val="134"/>
        <w:ind w:firstLine="0" w:firstLineChars="0"/>
        <w:rPr>
          <w:sz w:val="24"/>
          <w:szCs w:val="24"/>
        </w:rPr>
      </w:pPr>
      <w:r>
        <w:rPr>
          <w:rFonts w:hint="eastAsia"/>
          <w:sz w:val="24"/>
          <w:szCs w:val="24"/>
        </w:rPr>
        <w:t>(2)处理过程数据:空三报告。</w:t>
      </w:r>
    </w:p>
    <w:p>
      <w:pPr>
        <w:pStyle w:val="134"/>
        <w:ind w:firstLine="0" w:firstLineChars="0"/>
        <w:rPr>
          <w:sz w:val="24"/>
          <w:szCs w:val="24"/>
        </w:rPr>
      </w:pPr>
      <w:r>
        <w:rPr>
          <w:rFonts w:hint="eastAsia"/>
          <w:sz w:val="24"/>
          <w:szCs w:val="24"/>
        </w:rPr>
        <w:t>(3)处理产品数据: DOM、DEM/DSM、</w:t>
      </w:r>
    </w:p>
    <w:p>
      <w:pPr>
        <w:pStyle w:val="134"/>
        <w:ind w:firstLine="0" w:firstLineChars="0"/>
        <w:rPr>
          <w:sz w:val="24"/>
          <w:szCs w:val="24"/>
        </w:rPr>
      </w:pPr>
      <w:r>
        <w:rPr>
          <w:rFonts w:hint="eastAsia"/>
          <w:sz w:val="24"/>
          <w:szCs w:val="24"/>
        </w:rPr>
        <w:t>(</w:t>
      </w:r>
      <w:r>
        <w:rPr>
          <w:sz w:val="24"/>
          <w:szCs w:val="24"/>
        </w:rPr>
        <w:t>4</w:t>
      </w:r>
      <w:r>
        <w:rPr>
          <w:rFonts w:hint="eastAsia"/>
          <w:sz w:val="24"/>
          <w:szCs w:val="24"/>
        </w:rPr>
        <w:t>)</w:t>
      </w:r>
      <w:r>
        <w:rPr>
          <w:sz w:val="24"/>
          <w:szCs w:val="24"/>
        </w:rPr>
        <w:t>第三方质量检查</w:t>
      </w:r>
      <w:r>
        <w:rPr>
          <w:rFonts w:hint="eastAsia"/>
          <w:sz w:val="24"/>
          <w:szCs w:val="24"/>
        </w:rPr>
        <w:t>报告。</w:t>
      </w:r>
    </w:p>
    <w:p>
      <w:pPr>
        <w:pStyle w:val="133"/>
        <w:ind w:firstLine="0" w:firstLineChars="0"/>
        <w:rPr>
          <w:sz w:val="24"/>
          <w:szCs w:val="24"/>
        </w:rPr>
      </w:pPr>
      <w:r>
        <w:rPr>
          <w:rFonts w:hint="eastAsia"/>
          <w:sz w:val="24"/>
          <w:szCs w:val="24"/>
        </w:rPr>
        <w:t>1</w:t>
      </w:r>
      <w:r>
        <w:rPr>
          <w:sz w:val="24"/>
          <w:szCs w:val="24"/>
        </w:rPr>
        <w:t>1</w:t>
      </w:r>
      <w:r>
        <w:rPr>
          <w:rFonts w:hint="eastAsia"/>
          <w:sz w:val="24"/>
          <w:szCs w:val="24"/>
        </w:rPr>
        <w:t>．验收：验收依据为招标文件相关要求、合同要求、招标承诺等。</w:t>
      </w:r>
    </w:p>
    <w:p>
      <w:pPr>
        <w:pStyle w:val="135"/>
        <w:ind w:firstLine="0" w:firstLineChars="0"/>
        <w:rPr>
          <w:color w:val="000000"/>
          <w:szCs w:val="24"/>
        </w:rPr>
      </w:pPr>
    </w:p>
    <w:p>
      <w:pPr>
        <w:spacing w:line="360" w:lineRule="auto"/>
        <w:jc w:val="center"/>
        <w:rPr>
          <w:b/>
          <w:sz w:val="24"/>
        </w:rPr>
      </w:pPr>
      <w:r>
        <w:rPr>
          <w:b/>
          <w:sz w:val="24"/>
        </w:rPr>
        <w:t>第3包： 0.1米分辨率验证数据技术服务</w:t>
      </w:r>
    </w:p>
    <w:p>
      <w:pPr>
        <w:pStyle w:val="129"/>
        <w:numPr>
          <w:ilvl w:val="1"/>
          <w:numId w:val="6"/>
        </w:numPr>
      </w:pPr>
      <w:r>
        <w:rPr>
          <w:rFonts w:hint="eastAsia"/>
        </w:rPr>
        <w:t>建设内容</w:t>
      </w:r>
    </w:p>
    <w:p>
      <w:pPr>
        <w:pStyle w:val="133"/>
        <w:ind w:left="0" w:leftChars="-67" w:hanging="141" w:hangingChars="59"/>
        <w:rPr>
          <w:sz w:val="24"/>
          <w:szCs w:val="24"/>
        </w:rPr>
      </w:pPr>
      <w:r>
        <w:rPr>
          <w:rFonts w:hint="eastAsia"/>
          <w:sz w:val="24"/>
          <w:szCs w:val="24"/>
        </w:rPr>
        <w:t>0.1米分辨率验证数据技术服务。</w:t>
      </w:r>
    </w:p>
    <w:p>
      <w:pPr>
        <w:pStyle w:val="129"/>
        <w:numPr>
          <w:ilvl w:val="1"/>
          <w:numId w:val="6"/>
        </w:numPr>
      </w:pPr>
      <w:r>
        <w:rPr>
          <w:rFonts w:hint="eastAsia"/>
          <w:sz w:val="30"/>
          <w:szCs w:val="30"/>
        </w:rPr>
        <w:t>技术指标及要求</w:t>
      </w:r>
    </w:p>
    <w:p>
      <w:pPr>
        <w:pStyle w:val="134"/>
        <w:ind w:left="-567" w:leftChars="-270" w:firstLine="424" w:firstLineChars="177"/>
        <w:rPr>
          <w:rFonts w:asciiTheme="minorEastAsia" w:hAnsiTheme="minorEastAsia" w:eastAsiaTheme="minorEastAsia"/>
          <w:sz w:val="24"/>
          <w:szCs w:val="24"/>
        </w:rPr>
      </w:pPr>
      <w:r>
        <w:rPr>
          <w:rFonts w:hint="eastAsia" w:asciiTheme="minorEastAsia" w:hAnsiTheme="minorEastAsia" w:eastAsiaTheme="minorEastAsia"/>
          <w:sz w:val="24"/>
          <w:szCs w:val="24"/>
        </w:rPr>
        <w:t>1．数据源：投标方需要自备数据源按要求开展整合技术服务。数据连续区域面积大于</w:t>
      </w:r>
      <w:r>
        <w:rPr>
          <w:rFonts w:asciiTheme="minorEastAsia" w:hAnsiTheme="minorEastAsia" w:eastAsiaTheme="minorEastAsia"/>
          <w:sz w:val="24"/>
          <w:szCs w:val="24"/>
        </w:rPr>
        <w:t>363</w:t>
      </w:r>
      <w:r>
        <w:rPr>
          <w:rFonts w:hint="eastAsia" w:asciiTheme="minorEastAsia" w:hAnsiTheme="minorEastAsia" w:eastAsiaTheme="minorEastAsia"/>
          <w:sz w:val="24"/>
          <w:szCs w:val="24"/>
        </w:rPr>
        <w:t>平方公里，垂直卫星轨道方向大于33Km ，沿卫星轨道方向大于11Km 。DEM</w:t>
      </w:r>
      <w:r>
        <w:rPr>
          <w:rFonts w:asciiTheme="minorEastAsia" w:hAnsiTheme="minorEastAsia" w:eastAsiaTheme="minorEastAsia"/>
          <w:sz w:val="24"/>
          <w:szCs w:val="24"/>
        </w:rPr>
        <w:t>/DSM精度优于</w:t>
      </w:r>
      <w:r>
        <w:rPr>
          <w:rFonts w:hint="eastAsia" w:asciiTheme="minorEastAsia" w:hAnsiTheme="minorEastAsia" w:eastAsiaTheme="minorEastAsia"/>
          <w:sz w:val="24"/>
          <w:szCs w:val="24"/>
        </w:rPr>
        <w:t>0.</w:t>
      </w:r>
      <w:r>
        <w:rPr>
          <w:rFonts w:asciiTheme="minorEastAsia" w:hAnsiTheme="minorEastAsia" w:eastAsiaTheme="minorEastAsia"/>
          <w:sz w:val="24"/>
          <w:szCs w:val="24"/>
        </w:rPr>
        <w:t>15m</w:t>
      </w:r>
      <w:r>
        <w:rPr>
          <w:rFonts w:hint="eastAsia" w:asciiTheme="minorEastAsia" w:hAnsiTheme="minorEastAsia" w:eastAsiaTheme="minorEastAsia"/>
          <w:sz w:val="24"/>
          <w:szCs w:val="24"/>
        </w:rPr>
        <w:t>。</w:t>
      </w:r>
    </w:p>
    <w:p>
      <w:pPr>
        <w:pStyle w:val="134"/>
        <w:ind w:left="720" w:leftChars="-67" w:hanging="861" w:hangingChars="359"/>
        <w:rPr>
          <w:rFonts w:asciiTheme="minorEastAsia" w:hAnsiTheme="minorEastAsia" w:eastAsiaTheme="minorEastAsia"/>
          <w:sz w:val="24"/>
          <w:szCs w:val="24"/>
        </w:rPr>
      </w:pPr>
      <w:r>
        <w:rPr>
          <w:rFonts w:hint="eastAsia" w:asciiTheme="minorEastAsia" w:hAnsiTheme="minorEastAsia" w:eastAsiaTheme="minorEastAsia"/>
          <w:sz w:val="24"/>
          <w:szCs w:val="24"/>
        </w:rPr>
        <w:t>2．数据格式要求：提供数据格式为GeoTIFF/IMG等通用标准格式的影像数据。</w:t>
      </w:r>
    </w:p>
    <w:p>
      <w:pPr>
        <w:pStyle w:val="134"/>
        <w:ind w:left="720" w:leftChars="-67" w:hanging="861" w:hangingChars="359"/>
        <w:rPr>
          <w:rFonts w:asciiTheme="minorEastAsia" w:hAnsiTheme="minorEastAsia" w:eastAsiaTheme="minorEastAsia"/>
          <w:sz w:val="24"/>
          <w:szCs w:val="24"/>
        </w:rPr>
      </w:pPr>
      <w:r>
        <w:rPr>
          <w:rFonts w:hint="eastAsia" w:asciiTheme="minorEastAsia" w:hAnsiTheme="minorEastAsia" w:eastAsiaTheme="minorEastAsia"/>
          <w:sz w:val="24"/>
          <w:szCs w:val="24"/>
        </w:rPr>
        <w:t>3．云量要求：保证摄区内云量覆盖小于</w:t>
      </w:r>
      <w:r>
        <w:rPr>
          <w:rFonts w:asciiTheme="minorEastAsia" w:hAnsiTheme="minorEastAsia" w:eastAsiaTheme="minorEastAsia"/>
          <w:sz w:val="24"/>
          <w:szCs w:val="24"/>
        </w:rPr>
        <w:t>1</w:t>
      </w:r>
      <w:r>
        <w:rPr>
          <w:rFonts w:hint="eastAsia" w:asciiTheme="minorEastAsia" w:hAnsiTheme="minorEastAsia" w:eastAsiaTheme="minorEastAsia"/>
          <w:sz w:val="24"/>
          <w:szCs w:val="24"/>
        </w:rPr>
        <w:t>%。</w:t>
      </w:r>
    </w:p>
    <w:p>
      <w:pPr>
        <w:pStyle w:val="134"/>
        <w:ind w:left="720" w:leftChars="-67" w:hanging="861" w:hangingChars="359"/>
        <w:rPr>
          <w:rFonts w:asciiTheme="minorEastAsia" w:hAnsiTheme="minorEastAsia" w:eastAsiaTheme="minorEastAsia"/>
          <w:sz w:val="24"/>
          <w:szCs w:val="24"/>
        </w:rPr>
      </w:pPr>
      <w:r>
        <w:rPr>
          <w:rFonts w:hint="eastAsia" w:asciiTheme="minorEastAsia" w:hAnsiTheme="minorEastAsia" w:eastAsiaTheme="minorEastAsia"/>
          <w:sz w:val="24"/>
          <w:szCs w:val="24"/>
        </w:rPr>
        <w:t>4．雪量要求：除常年积雪地区外，其它地区应无积雪。</w:t>
      </w:r>
    </w:p>
    <w:p>
      <w:pPr>
        <w:pStyle w:val="134"/>
        <w:ind w:left="-567" w:leftChars="-270" w:firstLine="424" w:firstLineChars="177"/>
        <w:rPr>
          <w:rFonts w:asciiTheme="minorEastAsia" w:hAnsiTheme="minorEastAsia" w:eastAsiaTheme="minorEastAsia"/>
          <w:sz w:val="24"/>
          <w:szCs w:val="24"/>
        </w:rPr>
      </w:pPr>
      <w:r>
        <w:rPr>
          <w:rFonts w:hint="eastAsia" w:asciiTheme="minorEastAsia" w:hAnsiTheme="minorEastAsia" w:eastAsiaTheme="minorEastAsia"/>
          <w:sz w:val="24"/>
          <w:szCs w:val="24"/>
        </w:rPr>
        <w:t>5．影像质量：影像清晰，色彩、反差适中，无明显噪声，多光谱数据与全色数据时相一致。</w:t>
      </w:r>
    </w:p>
    <w:p>
      <w:pPr>
        <w:pStyle w:val="134"/>
        <w:ind w:left="-567" w:leftChars="-270" w:firstLine="424" w:firstLineChars="0"/>
        <w:rPr>
          <w:rFonts w:asciiTheme="minorEastAsia" w:hAnsiTheme="minorEastAsia" w:eastAsiaTheme="minorEastAsia"/>
          <w:sz w:val="24"/>
          <w:szCs w:val="24"/>
        </w:rPr>
      </w:pPr>
      <w:r>
        <w:rPr>
          <w:rFonts w:hint="eastAsia" w:asciiTheme="minorEastAsia" w:hAnsiTheme="minorEastAsia" w:eastAsiaTheme="minorEastAsia"/>
          <w:sz w:val="24"/>
          <w:szCs w:val="24"/>
        </w:rPr>
        <w:t>6．DOM、DEM/DSM采用两种坐标系具体包括：WGS84地理坐标系/WGS84椭球高，CGCS2000国家大地坐标系/1985国家高程基准。DOM影像分辨率0.05 m～0.</w:t>
      </w:r>
      <w:r>
        <w:rPr>
          <w:rFonts w:asciiTheme="minorEastAsia" w:hAnsiTheme="minorEastAsia" w:eastAsiaTheme="minorEastAsia"/>
          <w:sz w:val="24"/>
          <w:szCs w:val="24"/>
        </w:rPr>
        <w:t>1</w:t>
      </w:r>
      <w:r>
        <w:rPr>
          <w:rFonts w:hint="eastAsia" w:asciiTheme="minorEastAsia" w:hAnsiTheme="minorEastAsia" w:eastAsiaTheme="minorEastAsia"/>
          <w:sz w:val="24"/>
          <w:szCs w:val="24"/>
        </w:rPr>
        <w:t>m,DEM/DSM采用间隔</w:t>
      </w:r>
      <w:r>
        <w:rPr>
          <w:rFonts w:asciiTheme="minorEastAsia" w:hAnsiTheme="minorEastAsia" w:eastAsiaTheme="minorEastAsia"/>
          <w:sz w:val="24"/>
          <w:szCs w:val="24"/>
        </w:rPr>
        <w:t>0.5</w:t>
      </w:r>
      <w:r>
        <w:rPr>
          <w:rFonts w:hint="eastAsia" w:asciiTheme="minorEastAsia" w:hAnsiTheme="minorEastAsia" w:eastAsiaTheme="minorEastAsia"/>
          <w:sz w:val="24"/>
          <w:szCs w:val="24"/>
        </w:rPr>
        <w:t xml:space="preserve">米,数据格式GeoTiff/IMG。 </w:t>
      </w:r>
    </w:p>
    <w:p>
      <w:pPr>
        <w:pStyle w:val="134"/>
        <w:ind w:left="-567" w:leftChars="-270" w:firstLine="424" w:firstLineChars="177"/>
        <w:rPr>
          <w:rFonts w:asciiTheme="minorEastAsia" w:hAnsiTheme="minorEastAsia" w:eastAsiaTheme="minorEastAsia"/>
          <w:sz w:val="24"/>
          <w:szCs w:val="24"/>
        </w:rPr>
      </w:pPr>
      <w:r>
        <w:rPr>
          <w:rFonts w:asciiTheme="minorEastAsia" w:hAnsiTheme="minorEastAsia" w:eastAsiaTheme="minorEastAsia"/>
          <w:sz w:val="24"/>
          <w:szCs w:val="24"/>
        </w:rPr>
        <w:t>7</w:t>
      </w:r>
      <w:r>
        <w:rPr>
          <w:rFonts w:hint="eastAsia" w:asciiTheme="minorEastAsia" w:hAnsiTheme="minorEastAsia" w:eastAsiaTheme="minorEastAsia"/>
          <w:sz w:val="24"/>
          <w:szCs w:val="24"/>
        </w:rPr>
        <w:t>．DOM影像应清晰，层次丰富，幅与幅之间影像尽量保持色调均匀，反差适中，图面上不得有影像处理留下的明显痕迹，DOM影像接边重叠带不允许出现明显的模糊和重影，相邻数字正射影像要严格接边。</w:t>
      </w:r>
    </w:p>
    <w:p>
      <w:pPr>
        <w:pStyle w:val="134"/>
        <w:ind w:left="-567" w:leftChars="-270" w:firstLine="424" w:firstLineChars="177"/>
        <w:rPr>
          <w:rFonts w:asciiTheme="minorEastAsia" w:hAnsiTheme="minorEastAsia" w:eastAsiaTheme="minorEastAsia"/>
          <w:sz w:val="24"/>
          <w:szCs w:val="24"/>
        </w:rPr>
      </w:pPr>
      <w:r>
        <w:rPr>
          <w:rFonts w:hint="eastAsia" w:asciiTheme="minorEastAsia" w:hAnsiTheme="minorEastAsia" w:eastAsiaTheme="minorEastAsia"/>
          <w:sz w:val="24"/>
          <w:szCs w:val="24"/>
        </w:rPr>
        <w:t>8．侧视角：下视侧视角小于</w:t>
      </w:r>
      <w:r>
        <w:rPr>
          <w:rFonts w:asciiTheme="minorEastAsia" w:hAnsiTheme="minorEastAsia" w:eastAsiaTheme="minorEastAsia"/>
          <w:sz w:val="24"/>
          <w:szCs w:val="24"/>
        </w:rPr>
        <w:t>1</w:t>
      </w:r>
      <w:r>
        <w:rPr>
          <w:rFonts w:hint="eastAsia" w:asciiTheme="minorEastAsia" w:hAnsiTheme="minorEastAsia" w:eastAsiaTheme="minorEastAsia"/>
          <w:sz w:val="24"/>
          <w:szCs w:val="24"/>
        </w:rPr>
        <w:t>0°，且当相邻条带侧视角过大影响测图精度时予以补摄。</w:t>
      </w:r>
    </w:p>
    <w:p>
      <w:pPr>
        <w:pStyle w:val="134"/>
        <w:ind w:left="-567" w:leftChars="-270" w:firstLine="422" w:firstLineChars="176"/>
        <w:rPr>
          <w:rFonts w:asciiTheme="minorEastAsia" w:hAnsiTheme="minorEastAsia" w:eastAsiaTheme="minorEastAsia"/>
          <w:sz w:val="24"/>
          <w:szCs w:val="24"/>
        </w:rPr>
      </w:pPr>
      <w:r>
        <w:rPr>
          <w:rFonts w:asciiTheme="minorEastAsia" w:hAnsiTheme="minorEastAsia" w:eastAsiaTheme="minorEastAsia"/>
          <w:sz w:val="24"/>
          <w:szCs w:val="24"/>
        </w:rPr>
        <w:t>9</w:t>
      </w:r>
      <w:r>
        <w:rPr>
          <w:rFonts w:hint="eastAsia" w:asciiTheme="minorEastAsia" w:hAnsiTheme="minorEastAsia" w:eastAsiaTheme="minorEastAsia"/>
          <w:sz w:val="24"/>
          <w:szCs w:val="24"/>
        </w:rPr>
        <w:t>．资料整理与移交：提供商应在收到数据后按照甲方要求，尽快完成资料的整理工作，分期分批进行移交至项目全部完成。</w:t>
      </w:r>
    </w:p>
    <w:p>
      <w:pPr>
        <w:pStyle w:val="134"/>
        <w:ind w:left="720" w:leftChars="-67" w:hanging="861" w:hangingChars="359"/>
        <w:rPr>
          <w:rFonts w:asciiTheme="minorEastAsia" w:hAnsiTheme="minorEastAsia" w:eastAsiaTheme="minorEastAsia"/>
          <w:sz w:val="24"/>
          <w:szCs w:val="24"/>
        </w:rPr>
      </w:pPr>
      <w:r>
        <w:rPr>
          <w:rFonts w:asciiTheme="minorEastAsia" w:hAnsiTheme="minorEastAsia" w:eastAsiaTheme="minorEastAsia"/>
          <w:sz w:val="24"/>
          <w:szCs w:val="24"/>
        </w:rPr>
        <w:t>10</w:t>
      </w:r>
      <w:r>
        <w:rPr>
          <w:rFonts w:hint="eastAsia" w:asciiTheme="minorEastAsia" w:hAnsiTheme="minorEastAsia" w:eastAsiaTheme="minorEastAsia"/>
          <w:sz w:val="24"/>
          <w:szCs w:val="24"/>
        </w:rPr>
        <w:t>．提交资料内容：</w:t>
      </w:r>
    </w:p>
    <w:p>
      <w:pPr>
        <w:pStyle w:val="134"/>
        <w:ind w:left="-142" w:firstLine="0" w:firstLineChars="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具体</w:t>
      </w:r>
      <w:r>
        <w:rPr>
          <w:rFonts w:asciiTheme="minorEastAsia" w:hAnsiTheme="minorEastAsia" w:eastAsiaTheme="minorEastAsia"/>
          <w:sz w:val="24"/>
          <w:szCs w:val="24"/>
        </w:rPr>
        <w:t>包含影像原始数据、POS</w:t>
      </w:r>
      <w:r>
        <w:rPr>
          <w:rFonts w:hint="eastAsia" w:asciiTheme="minorEastAsia" w:hAnsiTheme="minorEastAsia" w:eastAsiaTheme="minorEastAsia"/>
          <w:sz w:val="24"/>
          <w:szCs w:val="24"/>
        </w:rPr>
        <w:t>、控制点。原始影像地面采样间隔0.05m~0.</w:t>
      </w:r>
      <w:r>
        <w:rPr>
          <w:rFonts w:asciiTheme="minorEastAsia" w:hAnsiTheme="minorEastAsia" w:eastAsiaTheme="minorEastAsia"/>
          <w:sz w:val="24"/>
          <w:szCs w:val="24"/>
        </w:rPr>
        <w:t>1</w:t>
      </w:r>
      <w:r>
        <w:rPr>
          <w:rFonts w:hint="eastAsia" w:asciiTheme="minorEastAsia" w:hAnsiTheme="minorEastAsia" w:eastAsiaTheme="minorEastAsia"/>
          <w:sz w:val="24"/>
          <w:szCs w:val="24"/>
        </w:rPr>
        <w:t>m, 获取时间201</w:t>
      </w:r>
      <w:r>
        <w:rPr>
          <w:rFonts w:asciiTheme="minorEastAsia" w:hAnsiTheme="minorEastAsia" w:eastAsiaTheme="minorEastAsia"/>
          <w:sz w:val="24"/>
          <w:szCs w:val="24"/>
        </w:rPr>
        <w:t>7</w:t>
      </w:r>
      <w:r>
        <w:rPr>
          <w:rFonts w:hint="eastAsia" w:asciiTheme="minorEastAsia" w:hAnsiTheme="minorEastAsia" w:eastAsiaTheme="minorEastAsia"/>
          <w:sz w:val="24"/>
          <w:szCs w:val="24"/>
        </w:rPr>
        <w:t>年以后。</w:t>
      </w:r>
    </w:p>
    <w:p>
      <w:pPr>
        <w:pStyle w:val="134"/>
        <w:ind w:left="-142" w:firstLine="0" w:firstLineChars="0"/>
        <w:rPr>
          <w:rFonts w:asciiTheme="minorEastAsia" w:hAnsiTheme="minorEastAsia" w:eastAsiaTheme="minorEastAsia"/>
          <w:sz w:val="24"/>
          <w:szCs w:val="24"/>
        </w:rPr>
      </w:pPr>
      <w:r>
        <w:rPr>
          <w:rFonts w:hint="eastAsia" w:asciiTheme="minorEastAsia" w:hAnsiTheme="minorEastAsia" w:eastAsiaTheme="minorEastAsia"/>
          <w:sz w:val="24"/>
          <w:szCs w:val="24"/>
        </w:rPr>
        <w:t>(2)处理过程数据:空三报告。</w:t>
      </w:r>
    </w:p>
    <w:p>
      <w:pPr>
        <w:pStyle w:val="134"/>
        <w:ind w:left="-142" w:firstLine="0" w:firstLineChars="0"/>
        <w:rPr>
          <w:rFonts w:asciiTheme="minorEastAsia" w:hAnsiTheme="minorEastAsia" w:eastAsiaTheme="minorEastAsia"/>
          <w:sz w:val="24"/>
          <w:szCs w:val="24"/>
        </w:rPr>
      </w:pPr>
      <w:r>
        <w:rPr>
          <w:rFonts w:hint="eastAsia" w:asciiTheme="minorEastAsia" w:hAnsiTheme="minorEastAsia" w:eastAsiaTheme="minorEastAsia"/>
          <w:sz w:val="24"/>
          <w:szCs w:val="24"/>
        </w:rPr>
        <w:t>(3)处理产品数据: DOM、DEM/DSM、</w:t>
      </w:r>
    </w:p>
    <w:p>
      <w:pPr>
        <w:pStyle w:val="134"/>
        <w:ind w:left="-284" w:firstLine="142" w:firstLineChars="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w:t>
      </w:r>
      <w:r>
        <w:rPr>
          <w:rFonts w:asciiTheme="minorEastAsia" w:hAnsiTheme="minorEastAsia" w:eastAsiaTheme="minorEastAsia"/>
          <w:sz w:val="24"/>
          <w:szCs w:val="24"/>
        </w:rPr>
        <w:t>第三方质量检查</w:t>
      </w:r>
      <w:r>
        <w:rPr>
          <w:rFonts w:hint="eastAsia" w:asciiTheme="minorEastAsia" w:hAnsiTheme="minorEastAsia" w:eastAsiaTheme="minorEastAsia"/>
          <w:sz w:val="24"/>
          <w:szCs w:val="24"/>
        </w:rPr>
        <w:t>报告。</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1</w:t>
      </w:r>
      <w:r>
        <w:rPr>
          <w:rFonts w:hint="eastAsia" w:asciiTheme="minorEastAsia" w:hAnsiTheme="minorEastAsia" w:eastAsiaTheme="minorEastAsia"/>
          <w:sz w:val="24"/>
        </w:rPr>
        <w:t>．验收：验收依据为招标文件相关要求、合同要求、招标承诺等。</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bCs/>
          <w:sz w:val="24"/>
        </w:rPr>
        <w:t xml:space="preserve">第二条 </w:t>
      </w:r>
      <w:r>
        <w:rPr>
          <w:rFonts w:hint="eastAsia" w:asciiTheme="minorEastAsia" w:hAnsiTheme="minorEastAsia" w:eastAsiaTheme="minorEastAsia"/>
          <w:b/>
          <w:sz w:val="24"/>
        </w:rPr>
        <w:t>履行期限：</w:t>
      </w:r>
    </w:p>
    <w:p>
      <w:pPr>
        <w:spacing w:line="360" w:lineRule="auto"/>
        <w:ind w:firstLine="480" w:firstLineChars="200"/>
        <w:rPr>
          <w:rFonts w:asciiTheme="minorEastAsia" w:hAnsiTheme="minorEastAsia" w:eastAsiaTheme="minorEastAsia"/>
          <w:sz w:val="24"/>
        </w:rPr>
      </w:pPr>
      <w:bookmarkStart w:id="254" w:name="OLE_LINK4"/>
      <w:r>
        <w:rPr>
          <w:rFonts w:hint="eastAsia" w:asciiTheme="minorEastAsia" w:hAnsiTheme="minorEastAsia" w:eastAsiaTheme="minorEastAsia"/>
          <w:sz w:val="24"/>
        </w:rPr>
        <w:t>签订合同后</w:t>
      </w:r>
      <w:r>
        <w:rPr>
          <w:rFonts w:hint="eastAsia"/>
          <w:sz w:val="24"/>
        </w:rPr>
        <w:t>12个月内，终验后提供12个月免费质保服务。</w:t>
      </w:r>
    </w:p>
    <w:bookmarkEnd w:id="254"/>
    <w:p>
      <w:pPr>
        <w:tabs>
          <w:tab w:val="right" w:pos="7980"/>
        </w:tabs>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bCs/>
          <w:sz w:val="24"/>
        </w:rPr>
        <w:t xml:space="preserve">第三条 </w:t>
      </w:r>
      <w:r>
        <w:rPr>
          <w:rFonts w:hint="eastAsia" w:asciiTheme="minorEastAsia" w:hAnsiTheme="minorEastAsia" w:eastAsiaTheme="minorEastAsia"/>
          <w:b/>
          <w:sz w:val="24"/>
        </w:rPr>
        <w:t>权利义务</w:t>
      </w:r>
    </w:p>
    <w:p>
      <w:pPr>
        <w:tabs>
          <w:tab w:val="right" w:pos="7980"/>
        </w:tabs>
        <w:spacing w:line="360" w:lineRule="auto"/>
        <w:ind w:firstLine="480" w:firstLineChars="200"/>
        <w:outlineLvl w:val="0"/>
        <w:rPr>
          <w:rFonts w:asciiTheme="minorEastAsia" w:hAnsiTheme="minorEastAsia" w:eastAsiaTheme="minorEastAsia"/>
          <w:sz w:val="24"/>
        </w:rPr>
      </w:pPr>
      <w:r>
        <w:rPr>
          <w:rFonts w:hint="eastAsia" w:asciiTheme="minorEastAsia" w:hAnsiTheme="minorEastAsia" w:eastAsiaTheme="minorEastAsia"/>
          <w:sz w:val="24"/>
        </w:rPr>
        <w:t>（一）甲方权利义务</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．甲方有权及时获知数据拍摄情况和影响拍摄的卫星健康状况，随时监督、检查乙方履行合同进展情况；</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．甲方或者其委托单位有权对乙方采集的相关卫星数据质量和乙方经费使用情况等进行实时监督检查；</w:t>
      </w:r>
      <w:r>
        <w:rPr>
          <w:rFonts w:asciiTheme="minorEastAsia" w:hAnsiTheme="minorEastAsia" w:eastAsiaTheme="minorEastAsia"/>
          <w:sz w:val="24"/>
        </w:rPr>
        <w:t xml:space="preserve"> </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．乙方提交数据未达质量要求时，甲方有权要求乙方在规定的时间内重新采集符合数据质量要求的该区域数据并免费更换；</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．数据应急补充启动后，甲方有权根据应急补充的原则采购其他数据源；</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．甲方有义务对约定范围内符合质量要求的存档和编程接收的约定数据，按合同价格购买，并按照甲乙方商定的方式和日期向乙方付款。</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rPr>
        <w:t>．甲方协调其他相关部门对乙方进行必要的配合。</w:t>
      </w:r>
    </w:p>
    <w:p>
      <w:pPr>
        <w:tabs>
          <w:tab w:val="right" w:pos="7980"/>
        </w:tabs>
        <w:spacing w:line="360" w:lineRule="auto"/>
        <w:ind w:firstLine="480" w:firstLineChars="200"/>
        <w:outlineLvl w:val="0"/>
        <w:rPr>
          <w:rFonts w:asciiTheme="minorEastAsia" w:hAnsiTheme="minorEastAsia" w:eastAsiaTheme="minorEastAsia"/>
          <w:sz w:val="24"/>
        </w:rPr>
      </w:pPr>
      <w:r>
        <w:rPr>
          <w:rFonts w:hint="eastAsia" w:asciiTheme="minorEastAsia" w:hAnsiTheme="minorEastAsia" w:eastAsiaTheme="minorEastAsia"/>
          <w:sz w:val="24"/>
        </w:rPr>
        <w:t>（二）乙方权利义务</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．按照甲方审定的接收计划完成本合同约定义务，每周至少1次向甲方分批次提交合格数据。</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乙方承诺对质量不符合要求的数据，重新编程接收。</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．自2021年**月**日始，乙方应在数据拍摄之日起</w:t>
      </w:r>
      <w:r>
        <w:rPr>
          <w:rFonts w:asciiTheme="minorEastAsia" w:hAnsiTheme="minorEastAsia" w:eastAsiaTheme="minorEastAsia"/>
          <w:sz w:val="24"/>
        </w:rPr>
        <w:t>5</w:t>
      </w:r>
      <w:r>
        <w:rPr>
          <w:rFonts w:hint="eastAsia" w:asciiTheme="minorEastAsia" w:hAnsiTheme="minorEastAsia" w:eastAsiaTheme="minorEastAsia"/>
          <w:sz w:val="24"/>
        </w:rPr>
        <w:t>个工作日内将合同任务区内所拍摄到的合格数据提交给甲方；乙方投标时同意提供的其任务区以外的补缝数据，乙方应在甲方发出订单之日起</w:t>
      </w:r>
      <w:r>
        <w:rPr>
          <w:rFonts w:asciiTheme="minorEastAsia" w:hAnsiTheme="minorEastAsia" w:eastAsiaTheme="minorEastAsia"/>
          <w:sz w:val="24"/>
        </w:rPr>
        <w:t>5</w:t>
      </w:r>
      <w:r>
        <w:rPr>
          <w:rFonts w:hint="eastAsia" w:asciiTheme="minorEastAsia" w:hAnsiTheme="minorEastAsia" w:eastAsiaTheme="minorEastAsia"/>
          <w:sz w:val="24"/>
        </w:rPr>
        <w:t>个工作日以内提交给甲方。</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．按照甲方要求的时间与内容，如实编报项目进展、经费使用情况等报表，报送甲方并及时解答甲方提出的有关询问。</w:t>
      </w:r>
    </w:p>
    <w:p>
      <w:pPr>
        <w:spacing w:line="360" w:lineRule="auto"/>
        <w:ind w:firstLine="480" w:firstLineChars="200"/>
        <w:rPr>
          <w:rFonts w:asciiTheme="minorEastAsia" w:hAnsiTheme="minorEastAsia" w:eastAsiaTheme="minorEastAsia"/>
          <w:color w:val="FF0000"/>
          <w:sz w:val="24"/>
        </w:rPr>
      </w:pPr>
      <w:r>
        <w:rPr>
          <w:rFonts w:asciiTheme="minorEastAsia" w:hAnsiTheme="minorEastAsia" w:eastAsiaTheme="minorEastAsia"/>
          <w:sz w:val="24"/>
        </w:rPr>
        <w:t>4</w:t>
      </w:r>
      <w:r>
        <w:rPr>
          <w:rFonts w:hint="eastAsia" w:asciiTheme="minorEastAsia" w:hAnsiTheme="minorEastAsia" w:eastAsiaTheme="minorEastAsia"/>
          <w:sz w:val="24"/>
        </w:rPr>
        <w:t>．至**年**月**日，对本合同任务区内乙方未能完成的区域，甲方有权根据应急补充的原则采购其他数据。在采购其他数据之前，甲方应告知乙方，乙方接收到告知后</w:t>
      </w:r>
      <w:r>
        <w:rPr>
          <w:rFonts w:asciiTheme="minorEastAsia" w:hAnsiTheme="minorEastAsia" w:eastAsiaTheme="minorEastAsia"/>
          <w:sz w:val="24"/>
        </w:rPr>
        <w:t>1</w:t>
      </w:r>
      <w:r>
        <w:rPr>
          <w:rFonts w:hint="eastAsia" w:asciiTheme="minorEastAsia" w:hAnsiTheme="minorEastAsia" w:eastAsiaTheme="minorEastAsia"/>
          <w:sz w:val="24"/>
        </w:rPr>
        <w:t>天之内如能拍到该区域的全部或部分数据，甲方仍然接受该数据。甲方未采购其他数据的地区乙方应继续按照合同要求对甲方未采购其他数据的区域进行数据采集。</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．乙方必须如实说明数据质量，数据质量存在任何问题均应及时向甲方说明并提出解决方案。</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rPr>
        <w:t>．乙方承担保证安全义务，对于造成人身损害或财产损失的，乙方承担损害赔偿等法律责任。</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7</w:t>
      </w:r>
      <w:r>
        <w:rPr>
          <w:rFonts w:hint="eastAsia" w:asciiTheme="minorEastAsia" w:hAnsiTheme="minorEastAsia" w:eastAsiaTheme="minorEastAsia"/>
          <w:sz w:val="24"/>
        </w:rPr>
        <w:t>．乙方声明和保证，乙方系依据中国法律规定注册成立并有效存续的主体，具备经营和提供本合同所述服务项目的资格和能力，乙方提供**、**、**卫星数据履行本合同的全部义务，不存在侵犯任何第三方合法权益的情形。</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8</w:t>
      </w:r>
      <w:r>
        <w:rPr>
          <w:rFonts w:hint="eastAsia" w:asciiTheme="minorEastAsia" w:hAnsiTheme="minorEastAsia" w:eastAsiaTheme="minorEastAsia"/>
          <w:sz w:val="24"/>
        </w:rPr>
        <w:t>．未经甲方书面同意，乙方不得将本合同所列项目或工作内容的任何部分进行分包、转包或委托给第三方。</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9</w:t>
      </w:r>
      <w:r>
        <w:rPr>
          <w:rFonts w:hint="eastAsia" w:asciiTheme="minorEastAsia" w:hAnsiTheme="minorEastAsia" w:eastAsiaTheme="minorEastAsia"/>
          <w:sz w:val="24"/>
        </w:rPr>
        <w:t>．乙方对项目经费实行单独核算、专款专用，保证项目经费的合理使用。项目经费必须用于完成本合同约定的目的，不得挤占、截留和挪用。乙方有义务按照甲方的管理要求按期提供经费使用情况和有关财务资料，并于项目成果验收时提交项目竣工决算报告。经费使用过程中，乙方应严格遵守财政部、自然资源部及甲方的有关经费管理规定。</w:t>
      </w:r>
    </w:p>
    <w:p>
      <w:pPr>
        <w:spacing w:line="360" w:lineRule="auto"/>
        <w:ind w:firstLine="480" w:firstLineChars="200"/>
        <w:rPr>
          <w:rFonts w:cs="宋体" w:asciiTheme="minorEastAsia" w:hAnsiTheme="minorEastAsia" w:eastAsiaTheme="minorEastAsia"/>
          <w:kern w:val="0"/>
          <w:sz w:val="24"/>
          <w:lang w:val="zh-CN"/>
        </w:rPr>
      </w:pPr>
      <w:r>
        <w:rPr>
          <w:rFonts w:asciiTheme="minorEastAsia" w:hAnsiTheme="minorEastAsia" w:eastAsiaTheme="minorEastAsia"/>
          <w:sz w:val="24"/>
        </w:rPr>
        <w:t>10</w:t>
      </w:r>
      <w:r>
        <w:rPr>
          <w:rFonts w:hint="eastAsia" w:asciiTheme="minorEastAsia" w:hAnsiTheme="minorEastAsia" w:eastAsiaTheme="minorEastAsia"/>
          <w:sz w:val="24"/>
        </w:rPr>
        <w:t>．</w:t>
      </w:r>
      <w:r>
        <w:rPr>
          <w:rFonts w:hint="eastAsia" w:cs="宋体" w:asciiTheme="minorEastAsia" w:hAnsiTheme="minorEastAsia" w:eastAsiaTheme="minorEastAsia"/>
          <w:kern w:val="0"/>
          <w:sz w:val="24"/>
          <w:lang w:val="zh-CN"/>
        </w:rPr>
        <w:t>乙方应在甲方支付合同款项前提供合法票据。</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11</w:t>
      </w:r>
      <w:r>
        <w:rPr>
          <w:rFonts w:hint="eastAsia" w:asciiTheme="minorEastAsia" w:hAnsiTheme="minorEastAsia" w:eastAsiaTheme="minorEastAsia"/>
          <w:sz w:val="24"/>
        </w:rPr>
        <w:t>．当甲方需要乙方代理的数据源对任务区外其他地区进行应急补充时，乙方同意按照招标文件规定的数据应急补充价格标准执行，并及时提供数据应急补充服务。</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12</w:t>
      </w:r>
      <w:r>
        <w:rPr>
          <w:rFonts w:hint="eastAsia" w:asciiTheme="minorEastAsia" w:hAnsiTheme="minorEastAsia" w:eastAsiaTheme="minorEastAsia"/>
          <w:sz w:val="24"/>
        </w:rPr>
        <w:t>．乙方根据甲方管理要求，向甲方派遣</w:t>
      </w:r>
      <w:r>
        <w:rPr>
          <w:rFonts w:asciiTheme="minorEastAsia" w:hAnsiTheme="minorEastAsia" w:eastAsiaTheme="minorEastAsia"/>
          <w:sz w:val="24"/>
        </w:rPr>
        <w:t>1-2</w:t>
      </w:r>
      <w:r>
        <w:rPr>
          <w:rFonts w:hint="eastAsia" w:asciiTheme="minorEastAsia" w:hAnsiTheme="minorEastAsia" w:eastAsiaTheme="minorEastAsia"/>
          <w:sz w:val="24"/>
        </w:rPr>
        <w:t>名遥感数据方面技术人员，按甲方要求于合同签订后至项目结束，全程集中参加甲方组织的遥感数据质量检查和分发等相关工作。派遣人员工资、福利、食宿、交通等费用由乙方承担。</w:t>
      </w:r>
    </w:p>
    <w:p>
      <w:pPr>
        <w:tabs>
          <w:tab w:val="right" w:pos="7980"/>
        </w:tabs>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bCs/>
          <w:sz w:val="24"/>
        </w:rPr>
        <w:t>第四条</w:t>
      </w:r>
      <w:r>
        <w:rPr>
          <w:rFonts w:asciiTheme="minorEastAsia" w:hAnsiTheme="minorEastAsia" w:eastAsiaTheme="minorEastAsia"/>
          <w:sz w:val="24"/>
        </w:rPr>
        <w:t xml:space="preserve"> </w:t>
      </w:r>
      <w:r>
        <w:rPr>
          <w:rFonts w:hint="eastAsia" w:asciiTheme="minorEastAsia" w:hAnsiTheme="minorEastAsia" w:eastAsiaTheme="minorEastAsia"/>
          <w:b/>
          <w:sz w:val="24"/>
        </w:rPr>
        <w:t>价格及经费的支付</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1．支付时间与方式：甲方购买乙方采集的</w:t>
      </w:r>
      <w:r>
        <w:rPr>
          <w:rFonts w:hint="eastAsia" w:asciiTheme="minorEastAsia" w:hAnsiTheme="minorEastAsia" w:eastAsiaTheme="minorEastAsia"/>
          <w:sz w:val="24"/>
          <w:u w:val="single"/>
        </w:rPr>
        <w:t>**万</w:t>
      </w:r>
      <w:r>
        <w:rPr>
          <w:rFonts w:hint="eastAsia" w:asciiTheme="minorEastAsia" w:hAnsiTheme="minorEastAsia" w:eastAsiaTheme="minorEastAsia"/>
          <w:sz w:val="24"/>
        </w:rPr>
        <w:t>平方千米</w:t>
      </w:r>
      <w:r>
        <w:rPr>
          <w:rFonts w:hint="eastAsia" w:asciiTheme="minorEastAsia" w:hAnsiTheme="minorEastAsia" w:eastAsiaTheme="minorEastAsia"/>
          <w:sz w:val="24"/>
          <w:u w:val="single"/>
        </w:rPr>
        <w:t>分辨率</w:t>
      </w:r>
      <w:r>
        <w:rPr>
          <w:rFonts w:hint="eastAsia" w:cs="宋体" w:asciiTheme="minorEastAsia" w:hAnsiTheme="minorEastAsia" w:eastAsiaTheme="minorEastAsia"/>
          <w:kern w:val="0"/>
          <w:sz w:val="24"/>
          <w:u w:val="single"/>
        </w:rPr>
        <w:t>优于**</w:t>
      </w:r>
      <w:r>
        <w:rPr>
          <w:rFonts w:hint="eastAsia" w:asciiTheme="minorEastAsia" w:hAnsiTheme="minorEastAsia" w:eastAsiaTheme="minorEastAsia"/>
          <w:sz w:val="24"/>
          <w:u w:val="single"/>
        </w:rPr>
        <w:t>米</w:t>
      </w:r>
      <w:r>
        <w:rPr>
          <w:rFonts w:hint="eastAsia" w:cs="宋体" w:asciiTheme="minorEastAsia" w:hAnsiTheme="minorEastAsia" w:eastAsiaTheme="minorEastAsia"/>
          <w:kern w:val="0"/>
          <w:sz w:val="24"/>
          <w:u w:val="single"/>
        </w:rPr>
        <w:t>全色、多光谱影像</w:t>
      </w:r>
      <w:r>
        <w:rPr>
          <w:rFonts w:hint="eastAsia" w:asciiTheme="minorEastAsia" w:hAnsiTheme="minorEastAsia" w:eastAsiaTheme="minorEastAsia"/>
          <w:sz w:val="24"/>
        </w:rPr>
        <w:t>数据</w:t>
      </w:r>
      <w:r>
        <w:rPr>
          <w:rFonts w:asciiTheme="minorEastAsia" w:hAnsiTheme="minorEastAsia" w:eastAsiaTheme="minorEastAsia"/>
          <w:sz w:val="24"/>
        </w:rPr>
        <w:t>,</w:t>
      </w:r>
      <w:r>
        <w:rPr>
          <w:rFonts w:hint="eastAsia" w:asciiTheme="minorEastAsia" w:hAnsiTheme="minorEastAsia" w:eastAsiaTheme="minorEastAsia"/>
          <w:sz w:val="24"/>
        </w:rPr>
        <w:t>甲方支付经费总额为</w:t>
      </w:r>
      <w:r>
        <w:rPr>
          <w:rFonts w:hint="eastAsia" w:asciiTheme="minorEastAsia" w:hAnsiTheme="minorEastAsia" w:eastAsiaTheme="minorEastAsia"/>
          <w:sz w:val="24"/>
          <w:u w:val="single"/>
        </w:rPr>
        <w:t xml:space="preserve"> </w:t>
      </w:r>
      <w:r>
        <w:rPr>
          <w:rFonts w:hint="eastAsia" w:cs="Courier New" w:asciiTheme="minorEastAsia" w:hAnsiTheme="minorEastAsia" w:eastAsiaTheme="minorEastAsia"/>
          <w:bCs/>
          <w:sz w:val="24"/>
          <w:u w:val="single"/>
        </w:rPr>
        <w:t>****元（大写：**万元整）</w:t>
      </w:r>
      <w:r>
        <w:rPr>
          <w:rFonts w:hint="eastAsia" w:asciiTheme="minorEastAsia" w:hAnsiTheme="minorEastAsia" w:eastAsiaTheme="minorEastAsia"/>
          <w:sz w:val="24"/>
        </w:rPr>
        <w:t>人民币。自本合同签订日起</w:t>
      </w:r>
      <w:r>
        <w:rPr>
          <w:rFonts w:asciiTheme="minorEastAsia" w:hAnsiTheme="minorEastAsia" w:eastAsiaTheme="minorEastAsia"/>
          <w:sz w:val="24"/>
        </w:rPr>
        <w:t>15</w:t>
      </w:r>
      <w:r>
        <w:rPr>
          <w:rFonts w:hint="eastAsia" w:asciiTheme="minorEastAsia" w:hAnsiTheme="minorEastAsia" w:eastAsiaTheme="minorEastAsia"/>
          <w:sz w:val="24"/>
        </w:rPr>
        <w:t>个工作日内由甲方支付乙方不超过经费总额的8</w:t>
      </w:r>
      <w:r>
        <w:rPr>
          <w:rFonts w:asciiTheme="minorEastAsia" w:hAnsiTheme="minorEastAsia" w:eastAsiaTheme="minorEastAsia"/>
          <w:sz w:val="24"/>
        </w:rPr>
        <w:t>0%</w:t>
      </w:r>
      <w:r>
        <w:rPr>
          <w:rFonts w:hint="eastAsia" w:asciiTheme="minorEastAsia" w:hAnsiTheme="minorEastAsia" w:eastAsiaTheme="minorEastAsia"/>
          <w:sz w:val="24"/>
        </w:rPr>
        <w:t>；项目结束后，根据项目最终数据提交情况，进行金额结算支付余款。</w:t>
      </w:r>
    </w:p>
    <w:p>
      <w:pPr>
        <w:spacing w:line="360" w:lineRule="auto"/>
        <w:ind w:firstLine="480" w:firstLineChars="200"/>
        <w:outlineLvl w:val="0"/>
        <w:rPr>
          <w:rFonts w:asciiTheme="minorEastAsia" w:hAnsiTheme="minorEastAsia" w:eastAsiaTheme="minorEastAsia"/>
          <w:sz w:val="24"/>
        </w:rPr>
      </w:pPr>
      <w:r>
        <w:rPr>
          <w:rFonts w:hint="eastAsia" w:asciiTheme="minorEastAsia" w:hAnsiTheme="minorEastAsia" w:eastAsiaTheme="minorEastAsia"/>
          <w:sz w:val="24"/>
        </w:rPr>
        <w:t>2．项目最终结算</w:t>
      </w:r>
    </w:p>
    <w:p>
      <w:pPr>
        <w:tabs>
          <w:tab w:val="right" w:pos="7980"/>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在项目通过验收且提交全部成果后</w:t>
      </w:r>
      <w:r>
        <w:rPr>
          <w:rFonts w:asciiTheme="minorEastAsia" w:hAnsiTheme="minorEastAsia" w:eastAsiaTheme="minorEastAsia"/>
          <w:sz w:val="24"/>
        </w:rPr>
        <w:t>,</w:t>
      </w:r>
      <w:r>
        <w:rPr>
          <w:rFonts w:hint="eastAsia" w:asciiTheme="minorEastAsia" w:hAnsiTheme="minorEastAsia" w:eastAsiaTheme="minorEastAsia"/>
          <w:sz w:val="24"/>
        </w:rPr>
        <w:t>根据《项目成果验收单》确定应支付的余款金额。</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项目总价</w:t>
      </w:r>
      <w:r>
        <w:rPr>
          <w:rFonts w:asciiTheme="minorEastAsia" w:hAnsiTheme="minorEastAsia" w:eastAsiaTheme="minorEastAsia"/>
          <w:sz w:val="24"/>
        </w:rPr>
        <w:t xml:space="preserve"> = </w:t>
      </w:r>
      <w:r>
        <w:rPr>
          <w:rFonts w:hint="eastAsia" w:asciiTheme="minorEastAsia" w:hAnsiTheme="minorEastAsia" w:eastAsiaTheme="minorEastAsia"/>
          <w:sz w:val="24"/>
        </w:rPr>
        <w:t>中标单价×提供数据有效覆盖面积-违约金</w:t>
      </w:r>
    </w:p>
    <w:p>
      <w:pPr>
        <w:tabs>
          <w:tab w:val="right" w:pos="7980"/>
        </w:tabs>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bCs/>
          <w:sz w:val="24"/>
        </w:rPr>
        <w:t xml:space="preserve">第五条 </w:t>
      </w:r>
      <w:r>
        <w:rPr>
          <w:rFonts w:hint="eastAsia" w:asciiTheme="minorEastAsia" w:hAnsiTheme="minorEastAsia" w:eastAsiaTheme="minorEastAsia"/>
          <w:b/>
          <w:sz w:val="24"/>
        </w:rPr>
        <w:t>成果和资料的保密与归属</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对于甲方和其他部门提供的行政界线等基础资料，乙方应严格按照有关法律法规加强保密、妥善保管、合理使用，不得向任何第三方提供或用于本合同以外的任何其他项目，并且乙方应建立完善的内部保密制度和采取有效的内部保密措施。项目结束后一周以内全部资料按规定销毁。如果违反规定，承担泄密责任。</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对于甲方提供的有关区域坐标，乙方只能传至承担本合同任务的编程部门，并加强检查，保证不在其他部门扩散，且于合同终止后销毁，不得存档保留。如承担本合同任务的编程部门为国外的卫星公司，区域坐标为内部文件的，须对该坐标文件进行完全脱密处理，乙方不得将区域坐标文件直接传至国外卫星公司。</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．本保密条款具有独立法律效力，不因合同其他条款无效或解除而失效；合同终止后，甲乙双方亦应持续履行本条所述各项保密责任。</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．乙方负有对提交甲方的数据脱密的责任。</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．本合同所涉及的数据版权均属乙方所有。甲方购买的数据可应用于包括但不限于****项目在内的自然资源系统项目。</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rPr>
        <w:t>．甲方不得向与自然资源系统项目无关的主体自行转让或赠送乙方</w:t>
      </w:r>
      <w:r>
        <w:rPr>
          <w:rFonts w:asciiTheme="minorEastAsia" w:hAnsiTheme="minorEastAsia" w:eastAsiaTheme="minorEastAsia"/>
          <w:sz w:val="24"/>
        </w:rPr>
        <w:t>提供的</w:t>
      </w:r>
      <w:r>
        <w:rPr>
          <w:rFonts w:hint="eastAsia" w:asciiTheme="minorEastAsia" w:hAnsiTheme="minorEastAsia" w:eastAsiaTheme="minorEastAsia"/>
          <w:sz w:val="24"/>
        </w:rPr>
        <w:t>数据。经处理加工后的成果产品不在此列。</w:t>
      </w:r>
    </w:p>
    <w:p>
      <w:pPr>
        <w:tabs>
          <w:tab w:val="right" w:pos="7980"/>
        </w:tabs>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bCs/>
          <w:sz w:val="24"/>
        </w:rPr>
        <w:t xml:space="preserve">第六条 </w:t>
      </w:r>
      <w:r>
        <w:rPr>
          <w:rFonts w:hint="eastAsia" w:asciiTheme="minorEastAsia" w:hAnsiTheme="minorEastAsia" w:eastAsiaTheme="minorEastAsia"/>
          <w:b/>
          <w:sz w:val="24"/>
        </w:rPr>
        <w:t>合同的生效、变更与终止</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．本合同自双方签字盖章之日起生效。</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因自然灾害（不包括天气因素）、战争、国家计划或政策调整以及卫星故障（不包括已过设计寿命的卫星故障）等不可抗拒的原因，使合同无法履行时，经双方协商一致可变更或解除本合同，或上述情形导致合同无法履行超过</w:t>
      </w:r>
      <w:r>
        <w:rPr>
          <w:rFonts w:asciiTheme="minorEastAsia" w:hAnsiTheme="minorEastAsia" w:eastAsiaTheme="minorEastAsia"/>
          <w:sz w:val="24"/>
        </w:rPr>
        <w:t>30</w:t>
      </w:r>
      <w:r>
        <w:rPr>
          <w:rFonts w:hint="eastAsia" w:asciiTheme="minorEastAsia" w:hAnsiTheme="minorEastAsia" w:eastAsiaTheme="minorEastAsia"/>
          <w:sz w:val="24"/>
        </w:rPr>
        <w:t>日时，本合同解除。届时，按照乙方实际已经提交的合格数据和成果结算实际合同价款，如果甲方预先支付的合同款项高于实际合同价款，乙方应于</w:t>
      </w:r>
      <w:r>
        <w:rPr>
          <w:rFonts w:asciiTheme="minorEastAsia" w:hAnsiTheme="minorEastAsia" w:eastAsiaTheme="minorEastAsia"/>
          <w:sz w:val="24"/>
        </w:rPr>
        <w:t>30</w:t>
      </w:r>
      <w:r>
        <w:rPr>
          <w:rFonts w:hint="eastAsia" w:asciiTheme="minorEastAsia" w:hAnsiTheme="minorEastAsia" w:eastAsiaTheme="minorEastAsia"/>
          <w:sz w:val="24"/>
        </w:rPr>
        <w:t>日内向甲方退还超出部分的价款。</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本合同履行过程中，如遇国家计划、政策的调整或国家财政调整等原因导致甲方无法拨付项目经费，或无法按时拨付经费时，导致解除本合同时，甲方应及时通知乙方并提供相应文件，届时，按照乙方实际提交的合格数据和成果结算实际合同价款，不需承担违约责任。</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．在合同履行过程中，乙方如发现工作实际与项目设计不符或确认项目工作确无前景时，应以书面形式及时通知甲方，并提出对原项目工作方案修改或终止意见，经甲方书面认可后修改或终止。</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．乙方提交的项目工作成果经甲方验收合格，并按规定汇交全部成果资料，甲方支付最终经费，合同终止。</w:t>
      </w:r>
    </w:p>
    <w:p>
      <w:pPr>
        <w:tabs>
          <w:tab w:val="right" w:pos="7980"/>
        </w:tabs>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bCs/>
          <w:sz w:val="24"/>
        </w:rPr>
        <w:t xml:space="preserve">第七条 </w:t>
      </w:r>
      <w:r>
        <w:rPr>
          <w:rFonts w:hint="eastAsia" w:asciiTheme="minorEastAsia" w:hAnsiTheme="minorEastAsia" w:eastAsiaTheme="minorEastAsia"/>
          <w:b/>
          <w:sz w:val="24"/>
        </w:rPr>
        <w:t>违约责任</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．除第六条第四款规定以外，因甲方过错原因造成乙方停工、返工及合同终止所发生的实际损失，由甲方承担。</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．除第六条第四款规定以外，甲方拖欠乙方项目款，每延迟</w:t>
      </w:r>
      <w:r>
        <w:rPr>
          <w:rFonts w:asciiTheme="minorEastAsia" w:hAnsiTheme="minorEastAsia" w:eastAsiaTheme="minorEastAsia"/>
          <w:sz w:val="24"/>
        </w:rPr>
        <w:t>15</w:t>
      </w:r>
      <w:r>
        <w:rPr>
          <w:rFonts w:hint="eastAsia" w:asciiTheme="minorEastAsia" w:hAnsiTheme="minorEastAsia" w:eastAsiaTheme="minorEastAsia"/>
          <w:sz w:val="24"/>
        </w:rPr>
        <w:t>日，应向乙方支付相当于拖欠项目款</w:t>
      </w:r>
      <w:r>
        <w:rPr>
          <w:rFonts w:asciiTheme="minorEastAsia" w:hAnsiTheme="minorEastAsia" w:eastAsiaTheme="minorEastAsia"/>
          <w:sz w:val="24"/>
        </w:rPr>
        <w:t>2%</w:t>
      </w:r>
      <w:r>
        <w:rPr>
          <w:rFonts w:hint="eastAsia" w:asciiTheme="minorEastAsia" w:hAnsiTheme="minorEastAsia" w:eastAsiaTheme="minorEastAsia"/>
          <w:sz w:val="24"/>
        </w:rPr>
        <w:t>的违约金。因政府有关部门没有及时拨款造成拖欠的除外。</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．乙方在项目实施过程中出现质量问题，甲方有权要求乙方返工并有权决定扣减有质量问题数据的相应部分项目经费作为违约金，情节严重的可扣除有质量问题数据的全部经费，直至解除合同。</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．乙方在非不可抗拒的原因的情况下，未能接收到合同要求数量全部的合格数据时，须向甲方支付相应的违约金。违约金额按以下计算：</w:t>
      </w:r>
    </w:p>
    <w:p>
      <w:pPr>
        <w:tabs>
          <w:tab w:val="right" w:pos="7980"/>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违约金额=（合同指定面积</w:t>
      </w:r>
      <w:r>
        <w:rPr>
          <w:rFonts w:asciiTheme="minorEastAsia" w:hAnsiTheme="minorEastAsia" w:eastAsiaTheme="minorEastAsia"/>
          <w:sz w:val="24"/>
        </w:rPr>
        <w:t>-</w:t>
      </w:r>
      <w:r>
        <w:rPr>
          <w:rFonts w:hint="eastAsia" w:asciiTheme="minorEastAsia" w:hAnsiTheme="minorEastAsia" w:eastAsiaTheme="minorEastAsia"/>
          <w:sz w:val="24"/>
        </w:rPr>
        <w:t>实际完成面积）×卫星数据单价×2</w:t>
      </w:r>
      <w:r>
        <w:rPr>
          <w:rFonts w:asciiTheme="minorEastAsia" w:hAnsiTheme="minorEastAsia" w:eastAsiaTheme="minorEastAsia"/>
          <w:sz w:val="24"/>
        </w:rPr>
        <w:t>0%</w:t>
      </w:r>
      <w:r>
        <w:rPr>
          <w:rFonts w:hint="eastAsia" w:asciiTheme="minorEastAsia" w:hAnsiTheme="minorEastAsia" w:eastAsiaTheme="minorEastAsia"/>
          <w:sz w:val="24"/>
        </w:rPr>
        <w:t>。</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．乙方未经甲方书面同意将项目中的部分工作内容分包、转包、委托给第三方承担的，甲方有权要求乙方予以纠正或解除合同。甲方有权追回已支付的费用。</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rPr>
        <w:t>．乙方向甲方提交的所有工作成果必须保证真实可靠，一经发现存在弄虚作假的行为，甲方有权追回已付项目款，解除合同，乙方按照弄虚作假获得项目款数额的两倍承担违约责任。</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7</w:t>
      </w:r>
      <w:r>
        <w:rPr>
          <w:rFonts w:hint="eastAsia" w:asciiTheme="minorEastAsia" w:hAnsiTheme="minorEastAsia" w:eastAsiaTheme="minorEastAsia"/>
          <w:sz w:val="24"/>
        </w:rPr>
        <w:t>．甲乙双方任何一方由于不可抗拒的原因不能履行合同时，应及时向对方通报不能履行或不能完全履行的理由，在取得有关机关证明以后，根据具体情况可部分或全部免除责任。</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8</w:t>
      </w:r>
      <w:r>
        <w:rPr>
          <w:rFonts w:hint="eastAsia" w:asciiTheme="minorEastAsia" w:hAnsiTheme="minorEastAsia" w:eastAsiaTheme="minorEastAsia"/>
          <w:sz w:val="24"/>
        </w:rPr>
        <w:t>．如任何一方违反成果归属相关约定，应向对方支付</w:t>
      </w:r>
      <w:r>
        <w:rPr>
          <w:rFonts w:asciiTheme="minorEastAsia" w:hAnsiTheme="minorEastAsia" w:eastAsiaTheme="minorEastAsia"/>
          <w:sz w:val="24"/>
        </w:rPr>
        <w:t>100</w:t>
      </w:r>
      <w:r>
        <w:rPr>
          <w:rFonts w:hint="eastAsia" w:asciiTheme="minorEastAsia" w:hAnsiTheme="minorEastAsia" w:eastAsiaTheme="minorEastAsia"/>
          <w:sz w:val="24"/>
        </w:rPr>
        <w:t>万元人民币的违约金，如果违约金不足弥补守约方因此遭受的损失，违约方还应赔偿不足部分的实际损失。</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9</w:t>
      </w:r>
      <w:r>
        <w:rPr>
          <w:rFonts w:hint="eastAsia" w:asciiTheme="minorEastAsia" w:hAnsiTheme="minorEastAsia" w:eastAsiaTheme="minorEastAsia"/>
          <w:sz w:val="24"/>
        </w:rPr>
        <w:t>．如任何一方违反保密责任的相关约定，造成泄密后果，应向对方支付人民币</w:t>
      </w:r>
      <w:r>
        <w:rPr>
          <w:rFonts w:asciiTheme="minorEastAsia" w:hAnsiTheme="minorEastAsia" w:eastAsiaTheme="minorEastAsia"/>
          <w:sz w:val="24"/>
        </w:rPr>
        <w:t>100</w:t>
      </w:r>
      <w:r>
        <w:rPr>
          <w:rFonts w:hint="eastAsia" w:asciiTheme="minorEastAsia" w:hAnsiTheme="minorEastAsia" w:eastAsiaTheme="minorEastAsia"/>
          <w:sz w:val="24"/>
        </w:rPr>
        <w:t>万元的违约金。</w:t>
      </w:r>
    </w:p>
    <w:p>
      <w:pPr>
        <w:tabs>
          <w:tab w:val="right" w:pos="7980"/>
        </w:tabs>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bCs/>
          <w:sz w:val="24"/>
        </w:rPr>
        <w:t xml:space="preserve">第八条 </w:t>
      </w:r>
      <w:r>
        <w:rPr>
          <w:rFonts w:hint="eastAsia" w:asciiTheme="minorEastAsia" w:hAnsiTheme="minorEastAsia" w:eastAsiaTheme="minorEastAsia"/>
          <w:b/>
          <w:sz w:val="24"/>
        </w:rPr>
        <w:t>争议的解决</w:t>
      </w:r>
    </w:p>
    <w:p>
      <w:pPr>
        <w:tabs>
          <w:tab w:val="right" w:pos="7980"/>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合同履行中发生争议时，双方应通过友好协商解决。协商不成时，提请双方有关主管部门协调解决。仍不能达成一致的，应向北京仲裁委员会申请仲裁。</w:t>
      </w:r>
    </w:p>
    <w:p>
      <w:pPr>
        <w:tabs>
          <w:tab w:val="right" w:pos="7980"/>
        </w:tabs>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bCs/>
          <w:sz w:val="24"/>
        </w:rPr>
        <w:t xml:space="preserve">第九条 </w:t>
      </w:r>
      <w:r>
        <w:rPr>
          <w:rFonts w:hint="eastAsia" w:asciiTheme="minorEastAsia" w:hAnsiTheme="minorEastAsia" w:eastAsiaTheme="minorEastAsia"/>
          <w:b/>
          <w:sz w:val="24"/>
        </w:rPr>
        <w:t>合同附件</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．中标供应商通知书；</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．实施方案</w:t>
      </w:r>
      <w:r>
        <w:rPr>
          <w:rFonts w:asciiTheme="minorEastAsia" w:hAnsiTheme="minorEastAsia" w:eastAsiaTheme="minorEastAsia"/>
          <w:sz w:val="24"/>
        </w:rPr>
        <w:t xml:space="preserve"> </w:t>
      </w:r>
    </w:p>
    <w:p>
      <w:pPr>
        <w:tabs>
          <w:tab w:val="left" w:pos="1260"/>
          <w:tab w:val="right" w:pos="7980"/>
        </w:tabs>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bCs/>
          <w:sz w:val="24"/>
        </w:rPr>
        <w:t xml:space="preserve">第十条 </w:t>
      </w:r>
      <w:r>
        <w:rPr>
          <w:rFonts w:hint="eastAsia" w:asciiTheme="minorEastAsia" w:hAnsiTheme="minorEastAsia" w:eastAsiaTheme="minorEastAsia"/>
          <w:b/>
          <w:sz w:val="24"/>
        </w:rPr>
        <w:t>其他条款</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．本合同一式六份，甲乙双方各执三份，具有同等法律效力。</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．本合同未尽事宜，经双方协调一致，应增加补充条款。补充条款是合同的组成部分。</w:t>
      </w:r>
    </w:p>
    <w:p>
      <w:pPr>
        <w:tabs>
          <w:tab w:val="right" w:pos="7980"/>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．本合同所有附件以及双方对合同所作的变更文件、洽商纪要、信件及法定代表人的委托书等有关资料，都是合同的组成部分，具有同等法律效力。</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．双方建立定期或不定期沟通机制，协商解决合同过程中的重大问题。</w:t>
      </w:r>
    </w:p>
    <w:p>
      <w:pPr>
        <w:spacing w:line="360" w:lineRule="auto"/>
        <w:rPr>
          <w:rFonts w:asciiTheme="minorEastAsia" w:hAnsiTheme="minorEastAsia" w:eastAsiaTheme="minorEastAsia"/>
          <w:sz w:val="24"/>
        </w:rPr>
      </w:pPr>
      <w:r>
        <w:rPr>
          <w:rFonts w:asciiTheme="minorEastAsia" w:hAnsiTheme="minorEastAsia" w:eastAsiaTheme="minorEastAsia"/>
          <w:sz w:val="24"/>
        </w:rPr>
        <w:t xml:space="preserve">                                     </w:t>
      </w:r>
    </w:p>
    <w:tbl>
      <w:tblPr>
        <w:tblStyle w:val="48"/>
        <w:tblW w:w="0" w:type="auto"/>
        <w:tblInd w:w="0" w:type="dxa"/>
        <w:tblLayout w:type="fixed"/>
        <w:tblCellMar>
          <w:top w:w="0" w:type="dxa"/>
          <w:left w:w="108" w:type="dxa"/>
          <w:bottom w:w="0" w:type="dxa"/>
          <w:right w:w="108" w:type="dxa"/>
        </w:tblCellMar>
      </w:tblPr>
      <w:tblGrid>
        <w:gridCol w:w="4700"/>
        <w:gridCol w:w="4700"/>
      </w:tblGrid>
      <w:tr>
        <w:tblPrEx>
          <w:tblCellMar>
            <w:top w:w="0" w:type="dxa"/>
            <w:left w:w="108" w:type="dxa"/>
            <w:bottom w:w="0" w:type="dxa"/>
            <w:right w:w="108" w:type="dxa"/>
          </w:tblCellMar>
        </w:tblPrEx>
        <w:tc>
          <w:tcPr>
            <w:tcW w:w="4700" w:type="dxa"/>
          </w:tcPr>
          <w:p>
            <w:pPr>
              <w:pStyle w:val="14"/>
              <w:spacing w:after="0" w:line="360" w:lineRule="auto"/>
              <w:ind w:left="142"/>
              <w:rPr>
                <w:rFonts w:cs="Calibri" w:asciiTheme="minorEastAsia" w:hAnsiTheme="minorEastAsia" w:eastAsiaTheme="minorEastAsia"/>
                <w:sz w:val="24"/>
              </w:rPr>
            </w:pPr>
            <w:r>
              <w:rPr>
                <w:rFonts w:hint="eastAsia" w:cs="Calibri" w:asciiTheme="minorEastAsia" w:hAnsiTheme="minorEastAsia" w:eastAsiaTheme="minorEastAsia"/>
                <w:sz w:val="24"/>
              </w:rPr>
              <w:t>甲    方</w:t>
            </w:r>
            <w:r>
              <w:rPr>
                <w:rFonts w:cs="Calibri" w:asciiTheme="minorEastAsia" w:hAnsiTheme="minorEastAsia" w:eastAsiaTheme="minorEastAsia"/>
                <w:sz w:val="24"/>
              </w:rPr>
              <w:t>：（</w:t>
            </w:r>
            <w:r>
              <w:rPr>
                <w:rFonts w:hint="eastAsia" w:cs="Calibri" w:asciiTheme="minorEastAsia" w:hAnsiTheme="minorEastAsia" w:eastAsiaTheme="minorEastAsia"/>
                <w:sz w:val="24"/>
              </w:rPr>
              <w:t>合同</w:t>
            </w:r>
            <w:r>
              <w:rPr>
                <w:rFonts w:cs="Calibri" w:asciiTheme="minorEastAsia" w:hAnsiTheme="minorEastAsia" w:eastAsiaTheme="minorEastAsia"/>
                <w:sz w:val="24"/>
              </w:rPr>
              <w:t>专用章）</w:t>
            </w:r>
          </w:p>
          <w:p>
            <w:pPr>
              <w:pStyle w:val="14"/>
              <w:spacing w:after="0" w:line="360" w:lineRule="auto"/>
              <w:ind w:left="142"/>
              <w:rPr>
                <w:rFonts w:cs="Calibri" w:asciiTheme="minorEastAsia" w:hAnsiTheme="minorEastAsia" w:eastAsiaTheme="minorEastAsia"/>
                <w:sz w:val="24"/>
              </w:rPr>
            </w:pPr>
            <w:r>
              <w:rPr>
                <w:rFonts w:hint="eastAsia" w:cs="Calibri" w:asciiTheme="minorEastAsia" w:hAnsiTheme="minorEastAsia" w:eastAsiaTheme="minorEastAsia"/>
                <w:sz w:val="24"/>
              </w:rPr>
              <w:t>法定代表人</w:t>
            </w:r>
          </w:p>
          <w:p>
            <w:pPr>
              <w:pStyle w:val="14"/>
              <w:spacing w:after="0" w:line="360" w:lineRule="auto"/>
              <w:ind w:left="-1" w:leftChars="-732" w:hanging="1536" w:hangingChars="640"/>
              <w:rPr>
                <w:rFonts w:cs="Calibri" w:asciiTheme="minorEastAsia" w:hAnsiTheme="minorEastAsia" w:eastAsiaTheme="minorEastAsia"/>
                <w:sz w:val="24"/>
                <w:u w:val="single"/>
              </w:rPr>
            </w:pPr>
            <w:r>
              <w:rPr>
                <w:rFonts w:hint="eastAsia" w:cs="Calibri" w:asciiTheme="minorEastAsia" w:hAnsiTheme="minorEastAsia" w:eastAsiaTheme="minorEastAsia"/>
                <w:sz w:val="24"/>
              </w:rPr>
              <w:t>或委托代表人</w:t>
            </w:r>
            <w:r>
              <w:rPr>
                <w:rFonts w:cs="Calibri" w:asciiTheme="minorEastAsia" w:hAnsiTheme="minorEastAsia" w:eastAsiaTheme="minorEastAsia"/>
                <w:sz w:val="24"/>
              </w:rPr>
              <w:t>（签字）：</w:t>
            </w:r>
            <w:r>
              <w:rPr>
                <w:rFonts w:cs="Calibri" w:asciiTheme="minorEastAsia" w:hAnsiTheme="minorEastAsia" w:eastAsiaTheme="minorEastAsia"/>
                <w:sz w:val="24"/>
                <w:u w:val="single"/>
              </w:rPr>
              <w:t xml:space="preserve">    </w:t>
            </w:r>
            <w:r>
              <w:rPr>
                <w:rFonts w:hint="eastAsia" w:cs="Calibri" w:asciiTheme="minorEastAsia" w:hAnsiTheme="minorEastAsia" w:eastAsiaTheme="minorEastAsia"/>
                <w:sz w:val="24"/>
                <w:u w:val="single"/>
              </w:rPr>
              <w:t>______</w:t>
            </w:r>
          </w:p>
          <w:p>
            <w:pPr>
              <w:pStyle w:val="14"/>
              <w:spacing w:after="0" w:line="360" w:lineRule="auto"/>
              <w:ind w:left="-6" w:leftChars="-3" w:firstLine="160" w:firstLineChars="67"/>
              <w:rPr>
                <w:rFonts w:cs="Calibri" w:asciiTheme="minorEastAsia" w:hAnsiTheme="minorEastAsia" w:eastAsiaTheme="minorEastAsia"/>
                <w:sz w:val="24"/>
              </w:rPr>
            </w:pPr>
            <w:r>
              <w:rPr>
                <w:rFonts w:hint="eastAsia" w:cs="Calibri" w:asciiTheme="minorEastAsia" w:hAnsiTheme="minorEastAsia" w:eastAsiaTheme="minorEastAsia"/>
                <w:sz w:val="24"/>
              </w:rPr>
              <w:t>签字日期：</w:t>
            </w:r>
            <w:r>
              <w:rPr>
                <w:rFonts w:hint="eastAsia" w:cs="Calibri" w:asciiTheme="minorEastAsia" w:hAnsiTheme="minorEastAsia" w:eastAsiaTheme="minorEastAsia"/>
                <w:sz w:val="24"/>
                <w:u w:val="single"/>
              </w:rPr>
              <w:t>______</w:t>
            </w:r>
            <w:r>
              <w:rPr>
                <w:rFonts w:hint="eastAsia" w:cs="Calibri" w:asciiTheme="minorEastAsia" w:hAnsiTheme="minorEastAsia" w:eastAsiaTheme="minorEastAsia"/>
                <w:sz w:val="24"/>
              </w:rPr>
              <w:t>年</w:t>
            </w:r>
            <w:r>
              <w:rPr>
                <w:rFonts w:hint="eastAsia" w:cs="Calibri" w:asciiTheme="minorEastAsia" w:hAnsiTheme="minorEastAsia" w:eastAsiaTheme="minorEastAsia"/>
                <w:sz w:val="24"/>
                <w:u w:val="single"/>
              </w:rPr>
              <w:t>_____</w:t>
            </w:r>
            <w:r>
              <w:rPr>
                <w:rFonts w:hint="eastAsia" w:cs="Calibri" w:asciiTheme="minorEastAsia" w:hAnsiTheme="minorEastAsia" w:eastAsiaTheme="minorEastAsia"/>
                <w:sz w:val="24"/>
              </w:rPr>
              <w:t>月</w:t>
            </w:r>
            <w:r>
              <w:rPr>
                <w:rFonts w:hint="eastAsia" w:cs="Calibri" w:asciiTheme="minorEastAsia" w:hAnsiTheme="minorEastAsia" w:eastAsiaTheme="minorEastAsia"/>
                <w:sz w:val="24"/>
                <w:u w:val="single"/>
              </w:rPr>
              <w:t>_____</w:t>
            </w:r>
            <w:r>
              <w:rPr>
                <w:rFonts w:hint="eastAsia" w:cs="Calibri" w:asciiTheme="minorEastAsia" w:hAnsiTheme="minorEastAsia" w:eastAsiaTheme="minorEastAsia"/>
                <w:sz w:val="24"/>
              </w:rPr>
              <w:t>日</w:t>
            </w:r>
          </w:p>
          <w:p>
            <w:pPr>
              <w:pStyle w:val="14"/>
              <w:spacing w:after="0" w:line="360" w:lineRule="auto"/>
              <w:ind w:left="-4" w:leftChars="-2" w:firstLine="160" w:firstLineChars="67"/>
              <w:rPr>
                <w:rFonts w:cs="Calibri" w:asciiTheme="minorEastAsia" w:hAnsiTheme="minorEastAsia" w:eastAsiaTheme="minorEastAsia"/>
                <w:sz w:val="24"/>
                <w:u w:val="single"/>
              </w:rPr>
            </w:pPr>
            <w:r>
              <w:rPr>
                <w:rFonts w:hint="eastAsia" w:cs="Calibri" w:asciiTheme="minorEastAsia" w:hAnsiTheme="minorEastAsia" w:eastAsiaTheme="minorEastAsia"/>
                <w:sz w:val="24"/>
              </w:rPr>
              <w:t>联系人：</w:t>
            </w:r>
            <w:r>
              <w:rPr>
                <w:rFonts w:hint="eastAsia" w:cs="Calibri" w:asciiTheme="minorEastAsia" w:hAnsiTheme="minorEastAsia" w:eastAsiaTheme="minorEastAsia"/>
                <w:sz w:val="24"/>
                <w:u w:val="single"/>
              </w:rPr>
              <w:t xml:space="preserve">        _______</w:t>
            </w:r>
          </w:p>
          <w:p>
            <w:pPr>
              <w:pStyle w:val="14"/>
              <w:spacing w:after="0" w:line="360" w:lineRule="auto"/>
              <w:ind w:firstLine="141" w:firstLineChars="59"/>
              <w:rPr>
                <w:rFonts w:cs="Calibri" w:asciiTheme="minorEastAsia" w:hAnsiTheme="minorEastAsia" w:eastAsiaTheme="minorEastAsia"/>
                <w:sz w:val="24"/>
                <w:u w:val="single"/>
              </w:rPr>
            </w:pPr>
            <w:r>
              <w:rPr>
                <w:rFonts w:cs="Calibri" w:asciiTheme="minorEastAsia" w:hAnsiTheme="minorEastAsia" w:eastAsiaTheme="minorEastAsia"/>
                <w:sz w:val="24"/>
              </w:rPr>
              <w:t>电　话：</w:t>
            </w:r>
            <w:r>
              <w:rPr>
                <w:rFonts w:hint="eastAsia" w:cs="Calibri" w:asciiTheme="minorEastAsia" w:hAnsiTheme="minorEastAsia" w:eastAsiaTheme="minorEastAsia"/>
                <w:sz w:val="24"/>
                <w:u w:val="single"/>
              </w:rPr>
              <w:t xml:space="preserve">   _______</w:t>
            </w:r>
          </w:p>
          <w:p>
            <w:pPr>
              <w:pStyle w:val="14"/>
              <w:spacing w:after="0" w:line="360" w:lineRule="auto"/>
              <w:ind w:firstLine="141" w:firstLineChars="59"/>
              <w:rPr>
                <w:rFonts w:cs="Calibri" w:asciiTheme="minorEastAsia" w:hAnsiTheme="minorEastAsia" w:eastAsiaTheme="minorEastAsia"/>
                <w:sz w:val="24"/>
                <w:u w:val="single"/>
              </w:rPr>
            </w:pPr>
            <w:r>
              <w:rPr>
                <w:rFonts w:hint="eastAsia" w:cs="Calibri" w:asciiTheme="minorEastAsia" w:hAnsiTheme="minorEastAsia" w:eastAsiaTheme="minorEastAsia"/>
                <w:sz w:val="24"/>
              </w:rPr>
              <w:t>电子信箱：</w:t>
            </w:r>
            <w:r>
              <w:rPr>
                <w:rFonts w:hint="eastAsia" w:cs="Calibri" w:asciiTheme="minorEastAsia" w:hAnsiTheme="minorEastAsia" w:eastAsiaTheme="minorEastAsia"/>
                <w:sz w:val="24"/>
                <w:u w:val="single"/>
              </w:rPr>
              <w:t xml:space="preserve">           ___</w:t>
            </w:r>
          </w:p>
          <w:p>
            <w:pPr>
              <w:pStyle w:val="14"/>
              <w:spacing w:after="0" w:line="360" w:lineRule="auto"/>
              <w:ind w:firstLine="141" w:firstLineChars="59"/>
              <w:rPr>
                <w:rFonts w:cs="Calibri" w:asciiTheme="minorEastAsia" w:hAnsiTheme="minorEastAsia" w:eastAsiaTheme="minorEastAsia"/>
                <w:sz w:val="24"/>
                <w:u w:val="single"/>
              </w:rPr>
            </w:pPr>
            <w:r>
              <w:rPr>
                <w:rFonts w:cs="Calibri" w:asciiTheme="minorEastAsia" w:hAnsiTheme="minorEastAsia" w:eastAsiaTheme="minorEastAsia"/>
                <w:sz w:val="24"/>
              </w:rPr>
              <w:t>地　　址：</w:t>
            </w:r>
            <w:r>
              <w:rPr>
                <w:rFonts w:cs="Calibri" w:asciiTheme="minorEastAsia" w:hAnsiTheme="minorEastAsia" w:eastAsiaTheme="minorEastAsia"/>
                <w:sz w:val="24"/>
                <w:u w:val="single"/>
              </w:rPr>
              <w:t xml:space="preserve"> </w:t>
            </w:r>
            <w:r>
              <w:rPr>
                <w:rFonts w:hint="eastAsia" w:cs="Calibri" w:asciiTheme="minorEastAsia" w:hAnsiTheme="minorEastAsia" w:eastAsiaTheme="minorEastAsia"/>
                <w:sz w:val="24"/>
                <w:u w:val="single"/>
              </w:rPr>
              <w:t xml:space="preserve">          </w:t>
            </w:r>
          </w:p>
          <w:p>
            <w:pPr>
              <w:pStyle w:val="14"/>
              <w:spacing w:after="0" w:line="360" w:lineRule="auto"/>
              <w:ind w:left="1680"/>
              <w:rPr>
                <w:rFonts w:cs="Calibri" w:asciiTheme="minorEastAsia" w:hAnsiTheme="minorEastAsia" w:eastAsiaTheme="minorEastAsia"/>
                <w:sz w:val="24"/>
              </w:rPr>
            </w:pPr>
          </w:p>
          <w:p>
            <w:pPr>
              <w:pStyle w:val="14"/>
              <w:spacing w:after="0" w:line="360" w:lineRule="auto"/>
              <w:ind w:firstLine="141" w:firstLineChars="59"/>
              <w:rPr>
                <w:rFonts w:cs="Calibri" w:asciiTheme="minorEastAsia" w:hAnsiTheme="minorEastAsia" w:eastAsiaTheme="minorEastAsia"/>
                <w:sz w:val="24"/>
                <w:u w:val="single"/>
              </w:rPr>
            </w:pPr>
            <w:r>
              <w:rPr>
                <w:rFonts w:cs="Calibri" w:asciiTheme="minorEastAsia" w:hAnsiTheme="minorEastAsia" w:eastAsiaTheme="minorEastAsia"/>
                <w:sz w:val="24"/>
              </w:rPr>
              <w:t>邮政编码：</w:t>
            </w:r>
            <w:r>
              <w:rPr>
                <w:rFonts w:hint="eastAsia" w:cs="Calibri" w:asciiTheme="minorEastAsia" w:hAnsiTheme="minorEastAsia" w:eastAsiaTheme="minorEastAsia"/>
                <w:sz w:val="24"/>
                <w:u w:val="single"/>
              </w:rPr>
              <w:t xml:space="preserve">         _____</w:t>
            </w:r>
          </w:p>
          <w:p>
            <w:pPr>
              <w:pStyle w:val="14"/>
              <w:spacing w:after="0" w:line="360" w:lineRule="auto"/>
              <w:ind w:firstLine="141" w:firstLineChars="59"/>
              <w:rPr>
                <w:rFonts w:cs="Calibri" w:asciiTheme="minorEastAsia" w:hAnsiTheme="minorEastAsia" w:eastAsiaTheme="minorEastAsia"/>
                <w:sz w:val="24"/>
                <w:u w:val="single"/>
              </w:rPr>
            </w:pPr>
            <w:r>
              <w:rPr>
                <w:rFonts w:cs="Calibri" w:asciiTheme="minorEastAsia" w:hAnsiTheme="minorEastAsia" w:eastAsiaTheme="minorEastAsia"/>
                <w:sz w:val="24"/>
              </w:rPr>
              <w:t>开户银行：</w:t>
            </w:r>
            <w:r>
              <w:rPr>
                <w:rFonts w:hint="eastAsia" w:cs="Calibri"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p>
          <w:p>
            <w:pPr>
              <w:pStyle w:val="14"/>
              <w:spacing w:after="0" w:line="360" w:lineRule="auto"/>
              <w:ind w:firstLine="141" w:firstLineChars="59"/>
              <w:rPr>
                <w:rFonts w:cs="宋体" w:asciiTheme="minorEastAsia" w:hAnsiTheme="minorEastAsia" w:eastAsiaTheme="minorEastAsia"/>
                <w:sz w:val="24"/>
              </w:rPr>
            </w:pPr>
            <w:r>
              <w:rPr>
                <w:rFonts w:cs="Calibri" w:asciiTheme="minorEastAsia" w:hAnsiTheme="minorEastAsia" w:eastAsiaTheme="minorEastAsia"/>
                <w:sz w:val="24"/>
              </w:rPr>
              <w:t>账　　号：</w:t>
            </w:r>
            <w:r>
              <w:rPr>
                <w:rFonts w:hint="eastAsia" w:cs="Calibri" w:asciiTheme="minorEastAsia" w:hAnsiTheme="minorEastAsia" w:eastAsiaTheme="minorEastAsia"/>
                <w:sz w:val="24"/>
                <w:u w:val="single"/>
              </w:rPr>
              <w:t xml:space="preserve">            _</w:t>
            </w:r>
          </w:p>
        </w:tc>
        <w:tc>
          <w:tcPr>
            <w:tcW w:w="4700" w:type="dxa"/>
          </w:tcPr>
          <w:p>
            <w:pPr>
              <w:pStyle w:val="14"/>
              <w:spacing w:after="0" w:line="360" w:lineRule="auto"/>
              <w:rPr>
                <w:rFonts w:cs="Calibri" w:asciiTheme="minorEastAsia" w:hAnsiTheme="minorEastAsia" w:eastAsiaTheme="minorEastAsia"/>
                <w:sz w:val="24"/>
              </w:rPr>
            </w:pPr>
            <w:r>
              <w:rPr>
                <w:rFonts w:hint="eastAsia" w:cs="Calibri" w:asciiTheme="minorEastAsia" w:hAnsiTheme="minorEastAsia" w:eastAsiaTheme="minorEastAsia"/>
                <w:sz w:val="24"/>
              </w:rPr>
              <w:t>乙    方</w:t>
            </w:r>
            <w:r>
              <w:rPr>
                <w:rFonts w:cs="Calibri" w:asciiTheme="minorEastAsia" w:hAnsiTheme="minorEastAsia" w:eastAsiaTheme="minorEastAsia"/>
                <w:sz w:val="24"/>
              </w:rPr>
              <w:t>：（</w:t>
            </w:r>
            <w:r>
              <w:rPr>
                <w:rFonts w:hint="eastAsia" w:cs="Calibri" w:asciiTheme="minorEastAsia" w:hAnsiTheme="minorEastAsia" w:eastAsiaTheme="minorEastAsia"/>
                <w:sz w:val="24"/>
              </w:rPr>
              <w:t>合同</w:t>
            </w:r>
            <w:r>
              <w:rPr>
                <w:rFonts w:cs="Calibri" w:asciiTheme="minorEastAsia" w:hAnsiTheme="minorEastAsia" w:eastAsiaTheme="minorEastAsia"/>
                <w:sz w:val="24"/>
              </w:rPr>
              <w:t>专用章）</w:t>
            </w:r>
          </w:p>
          <w:p>
            <w:pPr>
              <w:pStyle w:val="14"/>
              <w:spacing w:after="0" w:line="360" w:lineRule="auto"/>
              <w:rPr>
                <w:rFonts w:cs="Calibri" w:asciiTheme="minorEastAsia" w:hAnsiTheme="minorEastAsia" w:eastAsiaTheme="minorEastAsia"/>
                <w:sz w:val="24"/>
              </w:rPr>
            </w:pPr>
            <w:r>
              <w:rPr>
                <w:rFonts w:hint="eastAsia" w:cs="Calibri" w:asciiTheme="minorEastAsia" w:hAnsiTheme="minorEastAsia" w:eastAsiaTheme="minorEastAsia"/>
                <w:sz w:val="24"/>
              </w:rPr>
              <w:t>法定代表人</w:t>
            </w:r>
          </w:p>
          <w:p>
            <w:pPr>
              <w:pStyle w:val="14"/>
              <w:spacing w:after="0" w:line="360" w:lineRule="auto"/>
              <w:rPr>
                <w:rFonts w:cs="Calibri" w:asciiTheme="minorEastAsia" w:hAnsiTheme="minorEastAsia" w:eastAsiaTheme="minorEastAsia"/>
                <w:sz w:val="24"/>
                <w:u w:val="single"/>
              </w:rPr>
            </w:pPr>
            <w:r>
              <w:rPr>
                <w:rFonts w:hint="eastAsia" w:cs="Calibri" w:asciiTheme="minorEastAsia" w:hAnsiTheme="minorEastAsia" w:eastAsiaTheme="minorEastAsia"/>
                <w:sz w:val="24"/>
              </w:rPr>
              <w:t>或委托代表人</w:t>
            </w:r>
            <w:r>
              <w:rPr>
                <w:rFonts w:cs="Calibri" w:asciiTheme="minorEastAsia" w:hAnsiTheme="minorEastAsia" w:eastAsiaTheme="minorEastAsia"/>
                <w:sz w:val="24"/>
              </w:rPr>
              <w:t>（签字）：</w:t>
            </w:r>
            <w:r>
              <w:rPr>
                <w:rFonts w:cs="Calibri" w:asciiTheme="minorEastAsia" w:hAnsiTheme="minorEastAsia" w:eastAsiaTheme="minorEastAsia"/>
                <w:sz w:val="24"/>
                <w:u w:val="single"/>
              </w:rPr>
              <w:t xml:space="preserve">    </w:t>
            </w:r>
            <w:r>
              <w:rPr>
                <w:rFonts w:hint="eastAsia" w:cs="Calibri" w:asciiTheme="minorEastAsia" w:hAnsiTheme="minorEastAsia" w:eastAsiaTheme="minorEastAsia"/>
                <w:sz w:val="24"/>
                <w:u w:val="single"/>
              </w:rPr>
              <w:t>______</w:t>
            </w:r>
          </w:p>
          <w:p>
            <w:pPr>
              <w:pStyle w:val="14"/>
              <w:spacing w:after="0" w:line="360" w:lineRule="auto"/>
              <w:rPr>
                <w:rFonts w:cs="Calibri" w:asciiTheme="minorEastAsia" w:hAnsiTheme="minorEastAsia" w:eastAsiaTheme="minorEastAsia"/>
                <w:sz w:val="24"/>
              </w:rPr>
            </w:pPr>
            <w:r>
              <w:rPr>
                <w:rFonts w:hint="eastAsia" w:cs="Calibri" w:asciiTheme="minorEastAsia" w:hAnsiTheme="minorEastAsia" w:eastAsiaTheme="minorEastAsia"/>
                <w:sz w:val="24"/>
              </w:rPr>
              <w:t>签字日期：</w:t>
            </w:r>
            <w:r>
              <w:rPr>
                <w:rFonts w:hint="eastAsia" w:cs="Calibri" w:asciiTheme="minorEastAsia" w:hAnsiTheme="minorEastAsia" w:eastAsiaTheme="minorEastAsia"/>
                <w:sz w:val="24"/>
                <w:u w:val="single"/>
              </w:rPr>
              <w:t>______</w:t>
            </w:r>
            <w:r>
              <w:rPr>
                <w:rFonts w:hint="eastAsia" w:cs="Calibri" w:asciiTheme="minorEastAsia" w:hAnsiTheme="minorEastAsia" w:eastAsiaTheme="minorEastAsia"/>
                <w:sz w:val="24"/>
              </w:rPr>
              <w:t>年</w:t>
            </w:r>
            <w:r>
              <w:rPr>
                <w:rFonts w:hint="eastAsia" w:cs="Calibri" w:asciiTheme="minorEastAsia" w:hAnsiTheme="minorEastAsia" w:eastAsiaTheme="minorEastAsia"/>
                <w:sz w:val="24"/>
                <w:u w:val="single"/>
              </w:rPr>
              <w:t>_____</w:t>
            </w:r>
            <w:r>
              <w:rPr>
                <w:rFonts w:hint="eastAsia" w:cs="Calibri" w:asciiTheme="minorEastAsia" w:hAnsiTheme="minorEastAsia" w:eastAsiaTheme="minorEastAsia"/>
                <w:sz w:val="24"/>
              </w:rPr>
              <w:t>月</w:t>
            </w:r>
            <w:r>
              <w:rPr>
                <w:rFonts w:hint="eastAsia" w:cs="Calibri" w:asciiTheme="minorEastAsia" w:hAnsiTheme="minorEastAsia" w:eastAsiaTheme="minorEastAsia"/>
                <w:sz w:val="24"/>
                <w:u w:val="single"/>
              </w:rPr>
              <w:t>_____</w:t>
            </w:r>
            <w:r>
              <w:rPr>
                <w:rFonts w:hint="eastAsia" w:cs="Calibri" w:asciiTheme="minorEastAsia" w:hAnsiTheme="minorEastAsia" w:eastAsiaTheme="minorEastAsia"/>
                <w:sz w:val="24"/>
              </w:rPr>
              <w:t>日</w:t>
            </w:r>
          </w:p>
          <w:p>
            <w:pPr>
              <w:pStyle w:val="14"/>
              <w:spacing w:after="0" w:line="360" w:lineRule="auto"/>
              <w:rPr>
                <w:rFonts w:cs="Calibri" w:asciiTheme="minorEastAsia" w:hAnsiTheme="minorEastAsia" w:eastAsiaTheme="minorEastAsia"/>
                <w:sz w:val="24"/>
                <w:u w:val="single"/>
              </w:rPr>
            </w:pPr>
            <w:r>
              <w:rPr>
                <w:rFonts w:hint="eastAsia" w:cs="Calibri" w:asciiTheme="minorEastAsia" w:hAnsiTheme="minorEastAsia" w:eastAsiaTheme="minorEastAsia"/>
                <w:sz w:val="24"/>
              </w:rPr>
              <w:t>联系人：</w:t>
            </w:r>
            <w:r>
              <w:rPr>
                <w:rFonts w:hint="eastAsia" w:cs="Calibri" w:asciiTheme="minorEastAsia" w:hAnsiTheme="minorEastAsia" w:eastAsiaTheme="minorEastAsia"/>
                <w:sz w:val="24"/>
                <w:u w:val="single"/>
              </w:rPr>
              <w:t xml:space="preserve">         _______</w:t>
            </w:r>
          </w:p>
          <w:p>
            <w:pPr>
              <w:pStyle w:val="14"/>
              <w:spacing w:after="0" w:line="360" w:lineRule="auto"/>
              <w:rPr>
                <w:rFonts w:cs="Calibri" w:asciiTheme="minorEastAsia" w:hAnsiTheme="minorEastAsia" w:eastAsiaTheme="minorEastAsia"/>
                <w:sz w:val="24"/>
                <w:u w:val="single"/>
              </w:rPr>
            </w:pPr>
            <w:r>
              <w:rPr>
                <w:rFonts w:cs="Calibri" w:asciiTheme="minorEastAsia" w:hAnsiTheme="minorEastAsia" w:eastAsiaTheme="minorEastAsia"/>
                <w:sz w:val="24"/>
              </w:rPr>
              <w:t>电　话：</w:t>
            </w:r>
            <w:r>
              <w:rPr>
                <w:rFonts w:hint="eastAsia" w:cs="Calibri" w:asciiTheme="minorEastAsia" w:hAnsiTheme="minorEastAsia" w:eastAsiaTheme="minorEastAsia"/>
                <w:sz w:val="24"/>
                <w:u w:val="single"/>
              </w:rPr>
              <w:t xml:space="preserve">   _______</w:t>
            </w:r>
          </w:p>
          <w:p>
            <w:pPr>
              <w:pStyle w:val="14"/>
              <w:spacing w:after="0" w:line="360" w:lineRule="auto"/>
              <w:rPr>
                <w:rFonts w:cs="Calibri" w:asciiTheme="minorEastAsia" w:hAnsiTheme="minorEastAsia" w:eastAsiaTheme="minorEastAsia"/>
                <w:sz w:val="24"/>
                <w:u w:val="single"/>
              </w:rPr>
            </w:pPr>
            <w:r>
              <w:rPr>
                <w:rFonts w:hint="eastAsia" w:cs="Calibri" w:asciiTheme="minorEastAsia" w:hAnsiTheme="minorEastAsia" w:eastAsiaTheme="minorEastAsia"/>
                <w:sz w:val="24"/>
              </w:rPr>
              <w:t>电子信箱：</w:t>
            </w:r>
            <w:r>
              <w:rPr>
                <w:rFonts w:hint="eastAsia" w:cs="Calibri" w:asciiTheme="minorEastAsia" w:hAnsiTheme="minorEastAsia" w:eastAsiaTheme="minorEastAsia"/>
                <w:sz w:val="24"/>
                <w:u w:val="single"/>
              </w:rPr>
              <w:t xml:space="preserve">               </w:t>
            </w:r>
          </w:p>
          <w:p>
            <w:pPr>
              <w:pStyle w:val="14"/>
              <w:spacing w:after="0" w:line="360" w:lineRule="auto"/>
              <w:rPr>
                <w:rFonts w:cs="Calibri" w:asciiTheme="minorEastAsia" w:hAnsiTheme="minorEastAsia" w:eastAsiaTheme="minorEastAsia"/>
                <w:sz w:val="24"/>
                <w:u w:val="single"/>
              </w:rPr>
            </w:pPr>
            <w:r>
              <w:rPr>
                <w:rFonts w:cs="Calibri" w:asciiTheme="minorEastAsia" w:hAnsiTheme="minorEastAsia" w:eastAsiaTheme="minorEastAsia"/>
                <w:sz w:val="24"/>
              </w:rPr>
              <w:t>地　　址：</w:t>
            </w:r>
            <w:r>
              <w:rPr>
                <w:rFonts w:hint="eastAsia" w:cs="Calibri" w:asciiTheme="minorEastAsia" w:hAnsiTheme="minorEastAsia" w:eastAsiaTheme="minorEastAsia"/>
                <w:sz w:val="24"/>
                <w:u w:val="single"/>
              </w:rPr>
              <w:t xml:space="preserve">                  </w:t>
            </w:r>
          </w:p>
          <w:p>
            <w:pPr>
              <w:pStyle w:val="14"/>
              <w:spacing w:after="0" w:line="360" w:lineRule="auto"/>
              <w:rPr>
                <w:rFonts w:cs="Calibri" w:asciiTheme="minorEastAsia" w:hAnsiTheme="minorEastAsia" w:eastAsiaTheme="minorEastAsia"/>
                <w:sz w:val="24"/>
                <w:u w:val="single"/>
              </w:rPr>
            </w:pPr>
            <w:r>
              <w:rPr>
                <w:rFonts w:cs="Calibri" w:asciiTheme="minorEastAsia" w:hAnsiTheme="minorEastAsia" w:eastAsiaTheme="minorEastAsia"/>
                <w:sz w:val="24"/>
              </w:rPr>
              <w:t>邮政编码：</w:t>
            </w:r>
            <w:r>
              <w:rPr>
                <w:rFonts w:hint="eastAsia" w:cs="Calibri" w:asciiTheme="minorEastAsia" w:hAnsiTheme="minorEastAsia" w:eastAsiaTheme="minorEastAsia"/>
                <w:sz w:val="24"/>
                <w:u w:val="single"/>
              </w:rPr>
              <w:t xml:space="preserve">         _____</w:t>
            </w:r>
          </w:p>
          <w:p>
            <w:pPr>
              <w:pStyle w:val="14"/>
              <w:spacing w:after="0" w:line="360" w:lineRule="auto"/>
              <w:rPr>
                <w:rFonts w:cs="Calibri" w:asciiTheme="minorEastAsia" w:hAnsiTheme="minorEastAsia" w:eastAsiaTheme="minorEastAsia"/>
                <w:sz w:val="24"/>
                <w:u w:val="single"/>
              </w:rPr>
            </w:pPr>
            <w:r>
              <w:rPr>
                <w:rFonts w:cs="Calibri" w:asciiTheme="minorEastAsia" w:hAnsiTheme="minorEastAsia" w:eastAsiaTheme="minorEastAsia"/>
                <w:sz w:val="24"/>
              </w:rPr>
              <w:t>开户银行：</w:t>
            </w:r>
            <w:r>
              <w:rPr>
                <w:rFonts w:hint="eastAsia" w:cs="Calibri" w:asciiTheme="minorEastAsia" w:hAnsiTheme="minorEastAsia" w:eastAsiaTheme="minorEastAsia"/>
                <w:sz w:val="24"/>
                <w:u w:val="single"/>
              </w:rPr>
              <w:t xml:space="preserve"> </w:t>
            </w:r>
          </w:p>
          <w:p>
            <w:pPr>
              <w:pStyle w:val="14"/>
              <w:spacing w:after="0" w:line="360" w:lineRule="auto"/>
              <w:rPr>
                <w:rFonts w:cs="宋体" w:asciiTheme="minorEastAsia" w:hAnsiTheme="minorEastAsia" w:eastAsiaTheme="minorEastAsia"/>
                <w:sz w:val="24"/>
              </w:rPr>
            </w:pPr>
            <w:r>
              <w:rPr>
                <w:rFonts w:cs="Calibri" w:asciiTheme="minorEastAsia" w:hAnsiTheme="minorEastAsia" w:eastAsiaTheme="minorEastAsia"/>
                <w:sz w:val="24"/>
              </w:rPr>
              <w:t>账　　号：</w:t>
            </w:r>
            <w:r>
              <w:rPr>
                <w:rFonts w:hint="eastAsia" w:cs="Calibri" w:asciiTheme="minorEastAsia" w:hAnsiTheme="minorEastAsia" w:eastAsiaTheme="minorEastAsia"/>
                <w:sz w:val="24"/>
                <w:u w:val="single"/>
              </w:rPr>
              <w:t xml:space="preserve">                  </w:t>
            </w:r>
          </w:p>
        </w:tc>
      </w:tr>
    </w:tbl>
    <w:p>
      <w:pPr>
        <w:spacing w:line="360" w:lineRule="auto"/>
        <w:jc w:val="center"/>
        <w:rPr>
          <w:rFonts w:asciiTheme="minorEastAsia" w:hAnsiTheme="minorEastAsia" w:eastAsiaTheme="minorEastAsia"/>
          <w:b/>
          <w:bCs/>
          <w:spacing w:val="72"/>
          <w:sz w:val="36"/>
        </w:rPr>
      </w:pPr>
      <w:r>
        <w:rPr>
          <w:rFonts w:asciiTheme="minorEastAsia" w:hAnsiTheme="minorEastAsia" w:eastAsiaTheme="minorEastAsia"/>
          <w:b/>
          <w:bCs/>
          <w:spacing w:val="72"/>
          <w:sz w:val="36"/>
        </w:rPr>
        <w:t>印花税票粘贴处</w:t>
      </w:r>
    </w:p>
    <w:p>
      <w:pPr>
        <w:spacing w:line="360" w:lineRule="auto"/>
        <w:jc w:val="center"/>
        <w:rPr>
          <w:rFonts w:asciiTheme="minorEastAsia" w:hAnsiTheme="minorEastAsia" w:eastAsiaTheme="minorEastAsia"/>
          <w:b/>
          <w:bCs/>
          <w:spacing w:val="72"/>
          <w:sz w:val="36"/>
        </w:rPr>
      </w:pPr>
      <w:r>
        <w:rPr>
          <w:rFonts w:asciiTheme="minorEastAsia" w:hAnsiTheme="minorEastAsia" w:eastAsiaTheme="minorEastAsia"/>
          <w:b/>
          <w:bCs/>
          <w:spacing w:val="72"/>
          <w:sz w:val="36"/>
        </w:rPr>
        <w:t>～～～～～～～～～</w:t>
      </w:r>
    </w:p>
    <w:p>
      <w:pPr>
        <w:spacing w:line="360" w:lineRule="auto"/>
        <w:rPr>
          <w:rFonts w:asciiTheme="minorEastAsia" w:hAnsiTheme="minorEastAsia" w:eastAsiaTheme="minorEastAsia"/>
          <w:b/>
          <w:bCs/>
          <w:spacing w:val="72"/>
          <w:sz w:val="36"/>
        </w:rPr>
      </w:pPr>
    </w:p>
    <w:tbl>
      <w:tblPr>
        <w:tblStyle w:val="48"/>
        <w:tblpPr w:leftFromText="180" w:rightFromText="180" w:vertAnchor="text" w:horzAnchor="margin" w:tblpXSpec="center" w:tblpY="210"/>
        <w:tblW w:w="0" w:type="auto"/>
        <w:tblInd w:w="0" w:type="dxa"/>
        <w:tblBorders>
          <w:top w:val="single" w:color="auto" w:sz="18" w:space="0"/>
          <w:left w:val="single" w:color="auto" w:sz="18" w:space="0"/>
          <w:bottom w:val="single" w:color="auto" w:sz="18" w:space="0"/>
          <w:right w:val="single" w:color="auto" w:sz="18" w:space="0"/>
          <w:insideH w:val="single" w:color="auto" w:sz="18" w:space="0"/>
          <w:insideV w:val="single" w:color="auto" w:sz="18" w:space="0"/>
        </w:tblBorders>
        <w:tblLayout w:type="fixed"/>
        <w:tblCellMar>
          <w:top w:w="0" w:type="dxa"/>
          <w:left w:w="108" w:type="dxa"/>
          <w:bottom w:w="0" w:type="dxa"/>
          <w:right w:w="108" w:type="dxa"/>
        </w:tblCellMar>
      </w:tblPr>
      <w:tblGrid>
        <w:gridCol w:w="8485"/>
      </w:tblGrid>
      <w:tr>
        <w:tblPrEx>
          <w:tblBorders>
            <w:top w:val="single" w:color="auto" w:sz="18" w:space="0"/>
            <w:left w:val="single" w:color="auto" w:sz="18" w:space="0"/>
            <w:bottom w:val="single" w:color="auto" w:sz="18" w:space="0"/>
            <w:right w:val="single" w:color="auto" w:sz="18" w:space="0"/>
            <w:insideH w:val="single" w:color="auto" w:sz="18" w:space="0"/>
            <w:insideV w:val="single" w:color="auto" w:sz="18" w:space="0"/>
          </w:tblBorders>
          <w:tblCellMar>
            <w:top w:w="0" w:type="dxa"/>
            <w:left w:w="108" w:type="dxa"/>
            <w:bottom w:w="0" w:type="dxa"/>
            <w:right w:w="108" w:type="dxa"/>
          </w:tblCellMar>
        </w:tblPrEx>
        <w:trPr>
          <w:trHeight w:val="5050" w:hRule="atLeast"/>
        </w:trPr>
        <w:tc>
          <w:tcPr>
            <w:tcW w:w="8485" w:type="dxa"/>
          </w:tcPr>
          <w:p>
            <w:pPr>
              <w:spacing w:line="360" w:lineRule="auto"/>
              <w:rPr>
                <w:rFonts w:asciiTheme="minorEastAsia" w:hAnsiTheme="minorEastAsia" w:eastAsiaTheme="minorEastAsia"/>
                <w:spacing w:val="18"/>
                <w:sz w:val="30"/>
              </w:rPr>
            </w:pPr>
            <w:r>
              <w:rPr>
                <w:rFonts w:asciiTheme="minorEastAsia" w:hAnsiTheme="minorEastAsia" w:eastAsiaTheme="minorEastAsia"/>
                <w:spacing w:val="18"/>
                <w:sz w:val="30"/>
              </w:rPr>
              <w:t>登记机关审查登记栏：</w:t>
            </w:r>
          </w:p>
          <w:p>
            <w:pPr>
              <w:spacing w:line="360" w:lineRule="auto"/>
              <w:rPr>
                <w:rFonts w:asciiTheme="minorEastAsia" w:hAnsiTheme="minorEastAsia" w:eastAsiaTheme="minorEastAsia"/>
                <w:spacing w:val="18"/>
                <w:sz w:val="30"/>
              </w:rPr>
            </w:pPr>
          </w:p>
          <w:p>
            <w:pPr>
              <w:spacing w:line="360" w:lineRule="auto"/>
              <w:rPr>
                <w:rFonts w:asciiTheme="minorEastAsia" w:hAnsiTheme="minorEastAsia" w:eastAsiaTheme="minorEastAsia"/>
                <w:spacing w:val="18"/>
                <w:sz w:val="30"/>
              </w:rPr>
            </w:pPr>
          </w:p>
          <w:p>
            <w:pPr>
              <w:spacing w:line="360" w:lineRule="auto"/>
              <w:rPr>
                <w:rFonts w:asciiTheme="minorEastAsia" w:hAnsiTheme="minorEastAsia" w:eastAsiaTheme="minorEastAsia"/>
                <w:spacing w:val="18"/>
                <w:sz w:val="30"/>
              </w:rPr>
            </w:pPr>
          </w:p>
          <w:p>
            <w:pPr>
              <w:spacing w:line="360" w:lineRule="auto"/>
              <w:rPr>
                <w:rFonts w:asciiTheme="minorEastAsia" w:hAnsiTheme="minorEastAsia" w:eastAsiaTheme="minorEastAsia"/>
                <w:spacing w:val="18"/>
                <w:sz w:val="30"/>
              </w:rPr>
            </w:pPr>
          </w:p>
          <w:p>
            <w:pPr>
              <w:spacing w:line="360" w:lineRule="auto"/>
              <w:rPr>
                <w:rFonts w:asciiTheme="minorEastAsia" w:hAnsiTheme="minorEastAsia" w:eastAsiaTheme="minorEastAsia"/>
                <w:spacing w:val="18"/>
                <w:sz w:val="30"/>
              </w:rPr>
            </w:pPr>
          </w:p>
          <w:p>
            <w:pPr>
              <w:spacing w:line="360" w:lineRule="auto"/>
              <w:rPr>
                <w:rFonts w:asciiTheme="minorEastAsia" w:hAnsiTheme="minorEastAsia" w:eastAsiaTheme="minorEastAsia"/>
                <w:spacing w:val="18"/>
                <w:sz w:val="30"/>
              </w:rPr>
            </w:pPr>
            <w:r>
              <w:rPr>
                <w:rFonts w:asciiTheme="minorEastAsia" w:hAnsiTheme="minorEastAsia" w:eastAsiaTheme="minorEastAsia"/>
                <w:spacing w:val="18"/>
                <w:sz w:val="30"/>
              </w:rPr>
              <w:t>经办人：          技术合同登记处机关（专用章）</w:t>
            </w:r>
          </w:p>
          <w:p>
            <w:pPr>
              <w:spacing w:line="360" w:lineRule="auto"/>
              <w:rPr>
                <w:rFonts w:asciiTheme="minorEastAsia" w:hAnsiTheme="minorEastAsia" w:eastAsiaTheme="minorEastAsia"/>
                <w:spacing w:val="18"/>
                <w:sz w:val="30"/>
              </w:rPr>
            </w:pPr>
            <w:r>
              <w:rPr>
                <w:rFonts w:asciiTheme="minorEastAsia" w:hAnsiTheme="minorEastAsia" w:eastAsiaTheme="minorEastAsia"/>
                <w:spacing w:val="18"/>
                <w:sz w:val="30"/>
              </w:rPr>
              <w:t xml:space="preserve">                          年   月   日</w:t>
            </w:r>
          </w:p>
        </w:tc>
      </w:tr>
    </w:tbl>
    <w:p>
      <w:pPr>
        <w:widowControl/>
        <w:spacing w:line="360" w:lineRule="auto"/>
        <w:jc w:val="left"/>
        <w:rPr>
          <w:rFonts w:asciiTheme="minorEastAsia" w:hAnsiTheme="minorEastAsia" w:eastAsiaTheme="minorEastAsia"/>
        </w:rPr>
      </w:pPr>
    </w:p>
    <w:bookmarkEnd w:id="253"/>
    <w:p>
      <w:pPr>
        <w:spacing w:before="120" w:line="360" w:lineRule="auto"/>
        <w:jc w:val="center"/>
        <w:outlineLvl w:val="0"/>
        <w:rPr>
          <w:rFonts w:asciiTheme="minorEastAsia" w:hAnsiTheme="minorEastAsia" w:eastAsiaTheme="minorEastAsia" w:cstheme="minorEastAsia"/>
          <w:b/>
          <w:kern w:val="44"/>
          <w:sz w:val="28"/>
          <w:szCs w:val="28"/>
        </w:rPr>
      </w:pPr>
      <w:bookmarkStart w:id="255" w:name="_Toc61878502"/>
      <w:bookmarkStart w:id="256" w:name="_Toc9602"/>
      <w:bookmarkStart w:id="257" w:name="_Toc5895213"/>
      <w:r>
        <w:rPr>
          <w:rFonts w:hint="eastAsia" w:asciiTheme="minorEastAsia" w:hAnsiTheme="minorEastAsia" w:eastAsiaTheme="minorEastAsia" w:cstheme="minorEastAsia"/>
          <w:b/>
          <w:kern w:val="44"/>
          <w:sz w:val="28"/>
          <w:szCs w:val="28"/>
        </w:rPr>
        <w:t>第七章 投标文件格式</w:t>
      </w:r>
      <w:bookmarkEnd w:id="244"/>
      <w:bookmarkEnd w:id="255"/>
      <w:bookmarkEnd w:id="256"/>
      <w:bookmarkEnd w:id="257"/>
    </w:p>
    <w:p>
      <w:pPr>
        <w:pStyle w:val="3"/>
        <w:spacing w:line="360" w:lineRule="auto"/>
        <w:jc w:val="left"/>
        <w:rPr>
          <w:rFonts w:asciiTheme="minorEastAsia" w:hAnsiTheme="minorEastAsia" w:eastAsiaTheme="minorEastAsia" w:cstheme="minorEastAsia"/>
        </w:rPr>
      </w:pPr>
      <w:bookmarkStart w:id="258" w:name="_Toc497842879"/>
      <w:bookmarkStart w:id="259" w:name="_Toc61878503"/>
      <w:bookmarkStart w:id="260" w:name="_Toc523911431"/>
      <w:bookmarkStart w:id="261" w:name="_Toc5895214"/>
      <w:bookmarkStart w:id="262" w:name="_Toc509828980"/>
      <w:bookmarkStart w:id="263" w:name="_Toc28106"/>
      <w:bookmarkStart w:id="264" w:name="_Hlk515386850"/>
      <w:r>
        <w:rPr>
          <w:rFonts w:hint="eastAsia" w:asciiTheme="minorEastAsia" w:hAnsiTheme="minorEastAsia" w:eastAsiaTheme="minorEastAsia" w:cstheme="minorEastAsia"/>
        </w:rPr>
        <w:t>一、投标文件资格册</w:t>
      </w:r>
      <w:bookmarkEnd w:id="258"/>
      <w:bookmarkEnd w:id="259"/>
      <w:bookmarkEnd w:id="260"/>
      <w:bookmarkEnd w:id="261"/>
      <w:bookmarkEnd w:id="262"/>
      <w:bookmarkEnd w:id="263"/>
    </w:p>
    <w:p>
      <w:pPr>
        <w:pStyle w:val="56"/>
        <w:ind w:left="0" w:leftChars="0" w:firstLine="0" w:firstLineChars="0"/>
        <w:rPr>
          <w:rFonts w:asciiTheme="minorEastAsia" w:hAnsiTheme="minorEastAsia" w:eastAsiaTheme="minorEastAsia"/>
          <w:sz w:val="24"/>
        </w:rPr>
      </w:pPr>
      <w:r>
        <w:rPr>
          <w:rFonts w:hint="eastAsia" w:asciiTheme="minorEastAsia" w:hAnsiTheme="minorEastAsia" w:eastAsiaTheme="minorEastAsia" w:cstheme="minorEastAsia"/>
          <w:color w:val="111F2C"/>
          <w:sz w:val="24"/>
          <w:shd w:val="clear" w:color="auto" w:fill="FFFFFF"/>
        </w:rPr>
        <w:t>1. 三证合一的营业执照或事业单位法人证书复印件；投标人是自然人的，应提供其有效的自然身份证明复印件</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注：①事业人单位提供《事业单位法人证书》、民办非企业单位提供《民办非企业单位登记证书》复印件。</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②提供的复印件须加盖本单位公章。</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2.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3.投标人提供经会计师事务所出具2019年度</w:t>
      </w:r>
      <w:r>
        <w:rPr>
          <w:rFonts w:hint="eastAsia" w:asciiTheme="minorEastAsia" w:hAnsiTheme="minorEastAsia" w:eastAsiaTheme="minorEastAsia" w:cstheme="minorEastAsia"/>
          <w:sz w:val="24"/>
        </w:rPr>
        <w:t>或2020年度</w:t>
      </w:r>
      <w:r>
        <w:rPr>
          <w:rFonts w:hint="eastAsia" w:asciiTheme="minorEastAsia" w:hAnsiTheme="minorEastAsia" w:eastAsiaTheme="minorEastAsia" w:cstheme="minorEastAsia"/>
          <w:color w:val="111F2C"/>
          <w:sz w:val="24"/>
          <w:shd w:val="clear" w:color="auto" w:fill="FFFFFF"/>
        </w:rPr>
        <w:t>财务审计报告复印件（须加盖本单位公章）。如投标人无法提供2019年度</w:t>
      </w:r>
      <w:r>
        <w:rPr>
          <w:rFonts w:hint="eastAsia" w:asciiTheme="minorEastAsia" w:hAnsiTheme="minorEastAsia" w:eastAsiaTheme="minorEastAsia" w:cstheme="minorEastAsia"/>
          <w:sz w:val="24"/>
        </w:rPr>
        <w:t>或2020年度</w:t>
      </w:r>
      <w:r>
        <w:rPr>
          <w:rFonts w:hint="eastAsia" w:asciiTheme="minorEastAsia" w:hAnsiTheme="minorEastAsia" w:eastAsiaTheme="minorEastAsia" w:cstheme="minorEastAsia"/>
          <w:color w:val="111F2C"/>
          <w:sz w:val="24"/>
          <w:shd w:val="clear" w:color="auto" w:fill="FFFFFF"/>
        </w:rPr>
        <w:t>的财务审计报告，则须提供银行出具的有效资信证明。</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说明：（1）银行资信证明是指投标人参加本次投标截止日前一年内银行出具的资信证明（成立一年内的公司可提交验资证明复印件并加盖投标人公章）,且无收受人和项目的限制，但开具银行有限制规定的除外；</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（2）银行资信证明可以是复印件(须加盖投标人公章)，评标委员会保留审核原件的权利；银行资信证明的开具银行明确规定复印无效的，须提交原件；</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（3）银行资信证明的开具银行明确规定背面有声明的，须提供资信证明背面复印件；</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（4）银行资信证明应能说明该投标人与银行之间业务往来正常，企业信誉良好等；</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（5）银行出具的存款证明不能替代银行资信证明，存款证明无效。</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4. 有依法缴纳社会保障资金的良好记录（投标人逐月交纳社会保障资金的，须提供参加本次政府采购活动近半年内任意一个月</w:t>
      </w:r>
      <w:r>
        <w:rPr>
          <w:rFonts w:hint="eastAsia" w:asciiTheme="minorEastAsia" w:hAnsiTheme="minorEastAsia" w:eastAsiaTheme="minorEastAsia" w:cstheme="minorEastAsia"/>
          <w:sz w:val="24"/>
        </w:rPr>
        <w:t>的</w:t>
      </w:r>
      <w:r>
        <w:rPr>
          <w:rFonts w:hint="eastAsia" w:asciiTheme="minorEastAsia" w:hAnsiTheme="minorEastAsia" w:eastAsiaTheme="minorEastAsia" w:cstheme="minorEastAsia"/>
          <w:color w:val="111F2C"/>
          <w:sz w:val="24"/>
          <w:shd w:val="clear" w:color="auto" w:fill="FFFFFF"/>
        </w:rPr>
        <w:t>由银行出具的社会保障资金缴费凭证</w:t>
      </w:r>
      <w:r>
        <w:rPr>
          <w:rFonts w:hint="eastAsia" w:asciiTheme="minorEastAsia" w:hAnsiTheme="minorEastAsia" w:eastAsiaTheme="minorEastAsia" w:cstheme="minorEastAsia"/>
          <w:sz w:val="24"/>
        </w:rPr>
        <w:t>或社保机构出具的缴纳凭证</w:t>
      </w:r>
      <w:r>
        <w:rPr>
          <w:rFonts w:hint="eastAsia" w:asciiTheme="minorEastAsia" w:hAnsiTheme="minorEastAsia" w:eastAsiaTheme="minorEastAsia" w:cstheme="minorEastAsia"/>
          <w:color w:val="111F2C"/>
          <w:sz w:val="24"/>
          <w:shd w:val="clear" w:color="auto" w:fill="FFFFFF"/>
        </w:rPr>
        <w:t>复印件（须加盖本单位公章）；投标人逐年缴纳社会保障资金的，须提供参加本次政府采购活动上年度由银行出具的社会保障资金缴费凭证</w:t>
      </w:r>
      <w:r>
        <w:rPr>
          <w:rFonts w:hint="eastAsia" w:asciiTheme="minorEastAsia" w:hAnsiTheme="minorEastAsia" w:eastAsiaTheme="minorEastAsia" w:cstheme="minorEastAsia"/>
          <w:sz w:val="24"/>
        </w:rPr>
        <w:t>或社保机构出具的缴纳凭证</w:t>
      </w:r>
      <w:r>
        <w:rPr>
          <w:rFonts w:hint="eastAsia" w:asciiTheme="minorEastAsia" w:hAnsiTheme="minorEastAsia" w:eastAsiaTheme="minorEastAsia" w:cstheme="minorEastAsia"/>
          <w:color w:val="111F2C"/>
          <w:sz w:val="24"/>
          <w:shd w:val="clear" w:color="auto" w:fill="FFFFFF"/>
        </w:rPr>
        <w:t>复印件（须加盖本单位公章）。</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注：依法不需要缴纳社会保障资金的投标人，须提供相应文件证明。</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5. 有依法缴纳税收的良好记录（投标人提供参加本次政府采购活动近半年内任意一个月</w:t>
      </w:r>
      <w:r>
        <w:rPr>
          <w:rFonts w:hint="eastAsia" w:asciiTheme="minorEastAsia" w:hAnsiTheme="minorEastAsia" w:eastAsiaTheme="minorEastAsia" w:cstheme="minorEastAsia"/>
          <w:sz w:val="24"/>
        </w:rPr>
        <w:t>的</w:t>
      </w:r>
      <w:r>
        <w:rPr>
          <w:rFonts w:hint="eastAsia" w:asciiTheme="minorEastAsia" w:hAnsiTheme="minorEastAsia" w:eastAsiaTheme="minorEastAsia" w:cstheme="minorEastAsia"/>
          <w:color w:val="111F2C"/>
          <w:sz w:val="24"/>
          <w:shd w:val="clear" w:color="auto" w:fill="FFFFFF"/>
        </w:rPr>
        <w:t>由银行出具的缴纳凭证</w:t>
      </w:r>
      <w:r>
        <w:rPr>
          <w:rFonts w:hint="eastAsia" w:asciiTheme="minorEastAsia" w:hAnsiTheme="minorEastAsia" w:eastAsiaTheme="minorEastAsia" w:cstheme="minorEastAsia"/>
          <w:sz w:val="24"/>
        </w:rPr>
        <w:t>或纳税机关出具的缴纳凭证</w:t>
      </w:r>
      <w:r>
        <w:rPr>
          <w:rFonts w:hint="eastAsia" w:asciiTheme="minorEastAsia" w:hAnsiTheme="minorEastAsia" w:eastAsiaTheme="minorEastAsia" w:cstheme="minorEastAsia"/>
          <w:color w:val="111F2C"/>
          <w:sz w:val="24"/>
          <w:shd w:val="clear" w:color="auto" w:fill="FFFFFF"/>
        </w:rPr>
        <w:t>复印件（须加盖本单位公章）。</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注：依法免税或零报税的投标人，须提供相应文件证明。</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6.参加本次政府采购活动前三年内，在经营活动中没有重大违法记录的声明（投标人须提供此声明，法定代表人或其授权代表签字，并加盖本单位公章）。</w:t>
      </w:r>
    </w:p>
    <w:p>
      <w:pPr>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color w:val="111F2C"/>
          <w:sz w:val="24"/>
          <w:shd w:val="clear" w:color="auto" w:fill="FFFFFF"/>
        </w:rPr>
        <w:t>7.投标人须承诺不同投标人的法人、单位负责人不是同一人也不存在直接控股、管理关系，须加盖本单位公章（格式自拟）</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rPr>
        <w:t>8.</w:t>
      </w:r>
      <w:r>
        <w:rPr>
          <w:rFonts w:hint="eastAsia" w:asciiTheme="minorEastAsia" w:hAnsiTheme="minorEastAsia" w:eastAsiaTheme="minorEastAsia" w:cstheme="minorEastAsia"/>
          <w:color w:val="111F2C"/>
          <w:sz w:val="24"/>
          <w:shd w:val="clear" w:color="auto" w:fill="FFFFFF"/>
        </w:rPr>
        <w:t>投标人须承诺已向采购代理机构购买招标文件并登记备案，须加盖本单位公章（格式自拟）</w:t>
      </w:r>
    </w:p>
    <w:p>
      <w:pPr>
        <w:widowControl/>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 三证合一的营业执照或事业单位法人证书复印件；投标人是自然人的，应提供其有效的自然身份证明复印件</w:t>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注：①事业人单位提供《事业单位法人证书》、民办非企业单位提供《民办非企业单位登记证书》复印件。</w:t>
      </w:r>
    </w:p>
    <w:p>
      <w:pPr>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②提供的复印件须加盖本单位公章。</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r>
    </w:p>
    <w:p>
      <w:pPr>
        <w:pStyle w:val="47"/>
        <w:spacing w:line="360" w:lineRule="auto"/>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r>
        <w:rPr>
          <w:rFonts w:asciiTheme="minorEastAsia" w:hAnsiTheme="minorEastAsia" w:eastAsiaTheme="minorEastAsia" w:cstheme="minorEastAsia"/>
          <w:sz w:val="24"/>
        </w:rPr>
        <w:t>.</w:t>
      </w:r>
      <w:r>
        <w:rPr>
          <w:rFonts w:hint="eastAsia" w:asciiTheme="minorEastAsia" w:hAnsiTheme="minorEastAsia" w:eastAsiaTheme="minorEastAsia" w:cstheme="minorEastAsia"/>
          <w:sz w:val="24"/>
        </w:rPr>
        <w:t>法定代表人授权委托书（格式）</w:t>
      </w:r>
    </w:p>
    <w:p>
      <w:pPr>
        <w:pStyle w:val="20"/>
        <w:spacing w:line="360" w:lineRule="auto"/>
        <w:ind w:left="840" w:firstLine="480"/>
        <w:jc w:val="center"/>
        <w:rPr>
          <w:rFonts w:asciiTheme="minorEastAsia" w:hAnsiTheme="minorEastAsia" w:eastAsiaTheme="minorEastAsia" w:cstheme="minorEastAsia"/>
          <w:sz w:val="24"/>
          <w:u w:val="single"/>
        </w:rPr>
      </w:pPr>
    </w:p>
    <w:p>
      <w:pPr>
        <w:pStyle w:val="20"/>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本授权书声明：注册于</w:t>
      </w:r>
      <w:r>
        <w:rPr>
          <w:rFonts w:hint="eastAsia" w:asciiTheme="minorEastAsia" w:hAnsiTheme="minorEastAsia" w:eastAsiaTheme="minorEastAsia" w:cstheme="minorEastAsia"/>
          <w:i/>
          <w:sz w:val="24"/>
          <w:u w:val="single"/>
        </w:rPr>
        <w:t>（国家或地区的名称）</w:t>
      </w:r>
      <w:r>
        <w:rPr>
          <w:rFonts w:hint="eastAsia" w:asciiTheme="minorEastAsia" w:hAnsiTheme="minorEastAsia" w:eastAsiaTheme="minorEastAsia" w:cstheme="minorEastAsia"/>
          <w:sz w:val="24"/>
        </w:rPr>
        <w:t>的</w:t>
      </w:r>
      <w:r>
        <w:rPr>
          <w:rFonts w:hint="eastAsia" w:asciiTheme="minorEastAsia" w:hAnsiTheme="minorEastAsia" w:eastAsiaTheme="minorEastAsia" w:cstheme="minorEastAsia"/>
          <w:i/>
          <w:sz w:val="24"/>
          <w:u w:val="single"/>
        </w:rPr>
        <w:t>（公司名称）</w:t>
      </w:r>
      <w:r>
        <w:rPr>
          <w:rFonts w:hint="eastAsia" w:asciiTheme="minorEastAsia" w:hAnsiTheme="minorEastAsia" w:eastAsiaTheme="minorEastAsia" w:cstheme="minorEastAsia"/>
          <w:sz w:val="24"/>
        </w:rPr>
        <w:t>的在下面签字的（</w:t>
      </w:r>
      <w:r>
        <w:rPr>
          <w:rFonts w:hint="eastAsia" w:asciiTheme="minorEastAsia" w:hAnsiTheme="minorEastAsia" w:eastAsiaTheme="minorEastAsia" w:cstheme="minorEastAsia"/>
          <w:i/>
          <w:sz w:val="24"/>
          <w:u w:val="single"/>
        </w:rPr>
        <w:t>法定代表人姓名、职务</w:t>
      </w:r>
      <w:r>
        <w:rPr>
          <w:rFonts w:hint="eastAsia" w:asciiTheme="minorEastAsia" w:hAnsiTheme="minorEastAsia" w:eastAsiaTheme="minorEastAsia" w:cstheme="minorEastAsia"/>
          <w:sz w:val="24"/>
        </w:rPr>
        <w:t>）代表本公司授权</w:t>
      </w:r>
      <w:r>
        <w:rPr>
          <w:rFonts w:hint="eastAsia" w:asciiTheme="minorEastAsia" w:hAnsiTheme="minorEastAsia" w:eastAsiaTheme="minorEastAsia" w:cstheme="minorEastAsia"/>
          <w:i/>
          <w:sz w:val="24"/>
          <w:u w:val="single"/>
        </w:rPr>
        <w:t>（单位名称）</w:t>
      </w:r>
      <w:r>
        <w:rPr>
          <w:rFonts w:hint="eastAsia" w:asciiTheme="minorEastAsia" w:hAnsiTheme="minorEastAsia" w:eastAsiaTheme="minorEastAsia" w:cstheme="minorEastAsia"/>
          <w:sz w:val="24"/>
        </w:rPr>
        <w:t>的在下面签字的</w:t>
      </w:r>
      <w:r>
        <w:rPr>
          <w:rFonts w:hint="eastAsia" w:asciiTheme="minorEastAsia" w:hAnsiTheme="minorEastAsia" w:eastAsiaTheme="minorEastAsia" w:cstheme="minorEastAsia"/>
          <w:i/>
          <w:sz w:val="24"/>
          <w:u w:val="single"/>
        </w:rPr>
        <w:t>（被授权人的姓名、职务）</w:t>
      </w:r>
      <w:r>
        <w:rPr>
          <w:rFonts w:hint="eastAsia" w:asciiTheme="minorEastAsia" w:hAnsiTheme="minorEastAsia" w:eastAsiaTheme="minorEastAsia" w:cstheme="minorEastAsia"/>
          <w:sz w:val="24"/>
        </w:rPr>
        <w:t>为本公司的授权代表，就</w:t>
      </w:r>
      <w:r>
        <w:rPr>
          <w:rFonts w:hint="eastAsia" w:asciiTheme="minorEastAsia" w:hAnsiTheme="minorEastAsia" w:eastAsiaTheme="minorEastAsia" w:cstheme="minorEastAsia"/>
          <w:i/>
          <w:sz w:val="24"/>
          <w:u w:val="single"/>
        </w:rPr>
        <w:t>（项目名称）</w:t>
      </w:r>
      <w:r>
        <w:rPr>
          <w:rFonts w:hint="eastAsia" w:asciiTheme="minorEastAsia" w:hAnsiTheme="minorEastAsia" w:eastAsiaTheme="minorEastAsia" w:cstheme="minorEastAsia"/>
          <w:sz w:val="24"/>
        </w:rPr>
        <w:t>投标，以本公司名义处理一切与之有关的事务。　　</w:t>
      </w:r>
    </w:p>
    <w:p>
      <w:pPr>
        <w:pStyle w:val="20"/>
        <w:tabs>
          <w:tab w:val="left" w:pos="5580"/>
        </w:tabs>
        <w:spacing w:line="360" w:lineRule="auto"/>
        <w:ind w:left="840"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本授权书于   年   月   日生效，特此声明。</w:t>
      </w:r>
    </w:p>
    <w:p>
      <w:pPr>
        <w:pStyle w:val="20"/>
        <w:tabs>
          <w:tab w:val="left" w:pos="5580"/>
        </w:tabs>
        <w:spacing w:line="360" w:lineRule="auto"/>
        <w:ind w:left="840" w:hanging="131"/>
        <w:rPr>
          <w:rFonts w:asciiTheme="minorEastAsia" w:hAnsiTheme="minorEastAsia" w:eastAsiaTheme="minorEastAsia" w:cstheme="minorEastAsia"/>
          <w:sz w:val="24"/>
        </w:rPr>
      </w:pPr>
    </w:p>
    <w:tbl>
      <w:tblPr>
        <w:tblStyle w:val="48"/>
        <w:tblW w:w="5495" w:type="dxa"/>
        <w:tblInd w:w="0" w:type="dxa"/>
        <w:tblLayout w:type="fixed"/>
        <w:tblCellMar>
          <w:top w:w="0" w:type="dxa"/>
          <w:left w:w="108" w:type="dxa"/>
          <w:bottom w:w="0" w:type="dxa"/>
          <w:right w:w="108" w:type="dxa"/>
        </w:tblCellMar>
      </w:tblPr>
      <w:tblGrid>
        <w:gridCol w:w="2943"/>
        <w:gridCol w:w="284"/>
        <w:gridCol w:w="2268"/>
      </w:tblGrid>
      <w:tr>
        <w:tblPrEx>
          <w:tblCellMar>
            <w:top w:w="0" w:type="dxa"/>
            <w:left w:w="108" w:type="dxa"/>
            <w:bottom w:w="0" w:type="dxa"/>
            <w:right w:w="108" w:type="dxa"/>
          </w:tblCellMar>
        </w:tblPrEx>
        <w:tc>
          <w:tcPr>
            <w:tcW w:w="2943" w:type="dxa"/>
          </w:tcPr>
          <w:p>
            <w:pPr>
              <w:pStyle w:val="20"/>
              <w:tabs>
                <w:tab w:val="left" w:pos="5580"/>
              </w:tabs>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法定代表人签字或盖章：</w:t>
            </w:r>
          </w:p>
        </w:tc>
        <w:tc>
          <w:tcPr>
            <w:tcW w:w="2552" w:type="dxa"/>
            <w:gridSpan w:val="2"/>
          </w:tcPr>
          <w:p>
            <w:pPr>
              <w:pStyle w:val="20"/>
              <w:tabs>
                <w:tab w:val="left" w:pos="5580"/>
              </w:tabs>
              <w:spacing w:line="360" w:lineRule="auto"/>
              <w:ind w:left="840" w:firstLine="480"/>
              <w:rPr>
                <w:rFonts w:asciiTheme="minorEastAsia" w:hAnsiTheme="minorEastAsia" w:eastAsiaTheme="minorEastAsia" w:cstheme="minorEastAsia"/>
                <w:sz w:val="24"/>
                <w:u w:val="single"/>
              </w:rPr>
            </w:pPr>
          </w:p>
        </w:tc>
      </w:tr>
      <w:tr>
        <w:tblPrEx>
          <w:tblCellMar>
            <w:top w:w="0" w:type="dxa"/>
            <w:left w:w="108" w:type="dxa"/>
            <w:bottom w:w="0" w:type="dxa"/>
            <w:right w:w="108" w:type="dxa"/>
          </w:tblCellMar>
        </w:tblPrEx>
        <w:tc>
          <w:tcPr>
            <w:tcW w:w="3227" w:type="dxa"/>
            <w:gridSpan w:val="2"/>
          </w:tcPr>
          <w:p>
            <w:pPr>
              <w:pStyle w:val="20"/>
              <w:tabs>
                <w:tab w:val="left" w:pos="5580"/>
              </w:tabs>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授权代表签字：</w:t>
            </w:r>
          </w:p>
        </w:tc>
        <w:tc>
          <w:tcPr>
            <w:tcW w:w="2268" w:type="dxa"/>
          </w:tcPr>
          <w:p>
            <w:pPr>
              <w:pStyle w:val="20"/>
              <w:tabs>
                <w:tab w:val="left" w:pos="5580"/>
              </w:tabs>
              <w:spacing w:line="360" w:lineRule="auto"/>
              <w:ind w:left="840" w:firstLine="480"/>
              <w:rPr>
                <w:rFonts w:asciiTheme="minorEastAsia" w:hAnsiTheme="minorEastAsia" w:eastAsiaTheme="minorEastAsia" w:cstheme="minorEastAsia"/>
                <w:sz w:val="24"/>
                <w:u w:val="single"/>
              </w:rPr>
            </w:pPr>
          </w:p>
        </w:tc>
      </w:tr>
      <w:tr>
        <w:trPr>
          <w:trHeight w:val="80" w:hRule="atLeast"/>
        </w:trPr>
        <w:tc>
          <w:tcPr>
            <w:tcW w:w="2943" w:type="dxa"/>
          </w:tcPr>
          <w:p>
            <w:pPr>
              <w:pStyle w:val="20"/>
              <w:tabs>
                <w:tab w:val="left" w:pos="5580"/>
              </w:tabs>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投标人(盖章)：</w:t>
            </w:r>
          </w:p>
        </w:tc>
        <w:tc>
          <w:tcPr>
            <w:tcW w:w="2552" w:type="dxa"/>
            <w:gridSpan w:val="2"/>
          </w:tcPr>
          <w:p>
            <w:pPr>
              <w:pStyle w:val="20"/>
              <w:tabs>
                <w:tab w:val="left" w:pos="5580"/>
              </w:tabs>
              <w:spacing w:line="360" w:lineRule="auto"/>
              <w:ind w:left="840" w:firstLine="480"/>
              <w:rPr>
                <w:rFonts w:asciiTheme="minorEastAsia" w:hAnsiTheme="minorEastAsia" w:eastAsiaTheme="minorEastAsia" w:cstheme="minorEastAsia"/>
                <w:sz w:val="24"/>
                <w:u w:val="single"/>
              </w:rPr>
            </w:pPr>
          </w:p>
        </w:tc>
      </w:tr>
    </w:tbl>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p>
    <w:p>
      <w:pPr>
        <w:spacing w:line="360" w:lineRule="auto"/>
        <w:jc w:val="center"/>
        <w:rPr>
          <w:rFonts w:asciiTheme="minorEastAsia" w:hAnsiTheme="minorEastAsia" w:eastAsiaTheme="minorEastAsia" w:cstheme="minorEastAsia"/>
          <w:sz w:val="24"/>
        </w:rPr>
      </w:pPr>
    </w:p>
    <w:p>
      <w:pPr>
        <w:spacing w:line="360" w:lineRule="auto"/>
        <w:jc w:val="center"/>
        <w:rPr>
          <w:rFonts w:asciiTheme="minorEastAsia" w:hAnsiTheme="minorEastAsia" w:eastAsiaTheme="minorEastAsia" w:cstheme="minorEastAsia"/>
          <w:sz w:val="24"/>
        </w:rPr>
      </w:pPr>
    </w:p>
    <w:p>
      <w:pPr>
        <w:spacing w:line="360" w:lineRule="auto"/>
        <w:jc w:val="center"/>
        <w:rPr>
          <w:rFonts w:asciiTheme="minorEastAsia" w:hAnsiTheme="minorEastAsia" w:eastAsiaTheme="minorEastAsia" w:cstheme="minorEastAsia"/>
          <w:sz w:val="24"/>
        </w:rPr>
      </w:pPr>
    </w:p>
    <w:p>
      <w:pPr>
        <w:spacing w:line="360" w:lineRule="auto"/>
        <w:jc w:val="center"/>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3.投标人提供经会计师事务所出具的2019年度</w:t>
      </w:r>
      <w:r>
        <w:rPr>
          <w:rFonts w:hint="eastAsia" w:asciiTheme="minorEastAsia" w:hAnsiTheme="minorEastAsia" w:eastAsiaTheme="minorEastAsia" w:cstheme="minorEastAsia"/>
          <w:sz w:val="24"/>
        </w:rPr>
        <w:t>或2020年度</w:t>
      </w:r>
      <w:r>
        <w:rPr>
          <w:rFonts w:hint="eastAsia" w:asciiTheme="minorEastAsia" w:hAnsiTheme="minorEastAsia" w:eastAsiaTheme="minorEastAsia" w:cstheme="minorEastAsia"/>
          <w:color w:val="111F2C"/>
          <w:sz w:val="24"/>
          <w:shd w:val="clear" w:color="auto" w:fill="FFFFFF"/>
        </w:rPr>
        <w:t>财务审计报告复印件（须加盖本单位公章）。如投标人无法提供2019年度</w:t>
      </w:r>
      <w:r>
        <w:rPr>
          <w:rFonts w:hint="eastAsia" w:asciiTheme="minorEastAsia" w:hAnsiTheme="minorEastAsia" w:eastAsiaTheme="minorEastAsia" w:cstheme="minorEastAsia"/>
          <w:sz w:val="24"/>
        </w:rPr>
        <w:t>或2020年度</w:t>
      </w:r>
      <w:r>
        <w:rPr>
          <w:rFonts w:hint="eastAsia" w:asciiTheme="minorEastAsia" w:hAnsiTheme="minorEastAsia" w:eastAsiaTheme="minorEastAsia" w:cstheme="minorEastAsia"/>
          <w:color w:val="111F2C"/>
          <w:sz w:val="24"/>
          <w:shd w:val="clear" w:color="auto" w:fill="FFFFFF"/>
        </w:rPr>
        <w:t>的财务审计报告，则须提供银行出具的有效资信证明。</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说明：（1）银行资信证明是指投标人参加本次投标截止日前一年内银行出具的资信证明（成立一年内的公司可提交验资证明复印件并加盖投标人公章）,且无收受人和项目的限制，但开具银行有限制规定的除外；</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（2）银行资信证明可以是复印件(须加盖投标人公章)，评标委员会保留审核原件的权利；银行资信证明的开具银行明确规定复印无效的，须提交原件；</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（3）银行资信证明的开具银行明确规定背面有声明的，须提供资信证明背面复印件；</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（4）银行资信证明应能说明该投标人与银行之间业务往来正常，企业信誉良好等；</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（5）银行出具的存款证明不能替代银行资信证明，存款证明无效。</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br w:type="page"/>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4.有依法缴纳社会保障资金的良好记录，投标人逐月交纳社会保障资金的，须提供参加本次政府采购活动近半年内任意一个月由银行出具的社会保障资金缴费凭证</w:t>
      </w:r>
      <w:r>
        <w:rPr>
          <w:rFonts w:hint="eastAsia" w:asciiTheme="minorEastAsia" w:hAnsiTheme="minorEastAsia" w:eastAsiaTheme="minorEastAsia" w:cstheme="minorEastAsia"/>
          <w:sz w:val="24"/>
        </w:rPr>
        <w:t>或社保机构出具的缴纳凭证</w:t>
      </w:r>
      <w:r>
        <w:rPr>
          <w:rFonts w:hint="eastAsia" w:asciiTheme="minorEastAsia" w:hAnsiTheme="minorEastAsia" w:eastAsiaTheme="minorEastAsia" w:cstheme="minorEastAsia"/>
          <w:color w:val="111F2C"/>
          <w:sz w:val="24"/>
          <w:shd w:val="clear" w:color="auto" w:fill="FFFFFF"/>
        </w:rPr>
        <w:t>复印件（须加盖本单位公章）；投标人逐年缴纳社会保障资金的，须提供参加本次政府采购活动上年度由银行出具的社会保障资金缴费凭证</w:t>
      </w:r>
      <w:r>
        <w:rPr>
          <w:rFonts w:hint="eastAsia" w:asciiTheme="minorEastAsia" w:hAnsiTheme="minorEastAsia" w:eastAsiaTheme="minorEastAsia" w:cstheme="minorEastAsia"/>
          <w:sz w:val="24"/>
        </w:rPr>
        <w:t>或社保机构出具的缴纳凭证</w:t>
      </w:r>
      <w:r>
        <w:rPr>
          <w:rFonts w:hint="eastAsia" w:asciiTheme="minorEastAsia" w:hAnsiTheme="minorEastAsia" w:eastAsiaTheme="minorEastAsia" w:cstheme="minorEastAsia"/>
          <w:color w:val="111F2C"/>
          <w:sz w:val="24"/>
          <w:shd w:val="clear" w:color="auto" w:fill="FFFFFF"/>
        </w:rPr>
        <w:t>复印件（须加盖本单位公章）。</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注：依法不需要缴纳社会保障资金的投标人，须提供相应文件证明。</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br w:type="page"/>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t>5.有依法缴纳税收的良好记录，投标人提供参加本次政府采购活动近半年内任意一个月由银行出具的缴纳凭证</w:t>
      </w:r>
      <w:r>
        <w:rPr>
          <w:rFonts w:hint="eastAsia" w:asciiTheme="minorEastAsia" w:hAnsiTheme="minorEastAsia" w:eastAsiaTheme="minorEastAsia" w:cstheme="minorEastAsia"/>
          <w:sz w:val="24"/>
        </w:rPr>
        <w:t>或纳税机关出具的缴纳凭证</w:t>
      </w:r>
      <w:r>
        <w:rPr>
          <w:rFonts w:hint="eastAsia" w:asciiTheme="minorEastAsia" w:hAnsiTheme="minorEastAsia" w:eastAsiaTheme="minorEastAsia" w:cstheme="minorEastAsia"/>
          <w:color w:val="111F2C"/>
          <w:sz w:val="24"/>
          <w:shd w:val="clear" w:color="auto" w:fill="FFFFFF"/>
        </w:rPr>
        <w:t>复印件（须加盖本单位公章）</w:t>
      </w:r>
      <w:r>
        <w:rPr>
          <w:rFonts w:hint="eastAsia" w:asciiTheme="minorEastAsia" w:hAnsiTheme="minorEastAsia" w:eastAsiaTheme="minorEastAsia" w:cstheme="minorEastAsia"/>
          <w:color w:val="111F2C"/>
          <w:sz w:val="24"/>
        </w:rPr>
        <w:br w:type="textWrapping"/>
      </w:r>
      <w:r>
        <w:rPr>
          <w:rFonts w:hint="eastAsia" w:asciiTheme="minorEastAsia" w:hAnsiTheme="minorEastAsia" w:eastAsiaTheme="minorEastAsia" w:cstheme="minorEastAsia"/>
          <w:color w:val="111F2C"/>
          <w:sz w:val="24"/>
          <w:shd w:val="clear" w:color="auto" w:fill="FFFFFF"/>
        </w:rPr>
        <w:t>注：依法免税或零报税的投标人，须提供相应文件证明。</w:t>
      </w:r>
    </w:p>
    <w:p>
      <w:pPr>
        <w:spacing w:line="360" w:lineRule="auto"/>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shd w:val="clear" w:color="auto" w:fill="FFFFFF"/>
        </w:rPr>
        <w:br w:type="page"/>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w:t>
      </w:r>
      <w:r>
        <w:rPr>
          <w:rFonts w:asciiTheme="minorEastAsia" w:hAnsiTheme="minorEastAsia" w:eastAsiaTheme="minorEastAsia" w:cstheme="minorEastAsia"/>
          <w:sz w:val="24"/>
        </w:rPr>
        <w:t>.</w:t>
      </w:r>
      <w:r>
        <w:rPr>
          <w:rFonts w:hint="eastAsia" w:asciiTheme="minorEastAsia" w:hAnsiTheme="minorEastAsia" w:eastAsiaTheme="minorEastAsia" w:cstheme="minorEastAsia"/>
          <w:sz w:val="24"/>
        </w:rPr>
        <w:t>参加本次政府采购活动前三年内，在经营活动中没有重大违法记录的声明（投标人须提供此声明，法定代表人或其授权代表签字，并加盖本单位公章）。</w:t>
      </w:r>
    </w:p>
    <w:p>
      <w:pPr>
        <w:spacing w:line="360" w:lineRule="auto"/>
        <w:ind w:left="1044" w:leftChars="97" w:hanging="840" w:hangingChars="400"/>
        <w:rPr>
          <w:rFonts w:asciiTheme="minorEastAsia" w:hAnsiTheme="minorEastAsia" w:eastAsiaTheme="minorEastAsia" w:cstheme="minorEastAsia"/>
        </w:rPr>
      </w:pPr>
    </w:p>
    <w:p>
      <w:pPr>
        <w:pStyle w:val="9"/>
        <w:spacing w:line="360" w:lineRule="auto"/>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pPr>
        <w:pStyle w:val="9"/>
        <w:spacing w:line="360" w:lineRule="auto"/>
        <w:ind w:firstLine="480" w:firstLineChars="200"/>
        <w:rPr>
          <w:rFonts w:asciiTheme="minorEastAsia" w:hAnsiTheme="minorEastAsia" w:eastAsiaTheme="minorEastAsia" w:cstheme="minorEastAsia"/>
        </w:rPr>
      </w:pPr>
    </w:p>
    <w:p>
      <w:pPr>
        <w:pStyle w:val="9"/>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我公司在参加本次政府采购活动前三年内，在经营活动中没有重大违法记录。</w:t>
      </w:r>
    </w:p>
    <w:p>
      <w:pPr>
        <w:pStyle w:val="9"/>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特此声明。</w:t>
      </w:r>
    </w:p>
    <w:p>
      <w:pPr>
        <w:pStyle w:val="9"/>
        <w:spacing w:line="360" w:lineRule="auto"/>
        <w:ind w:firstLine="480" w:firstLineChars="200"/>
        <w:rPr>
          <w:rFonts w:asciiTheme="minorEastAsia" w:hAnsiTheme="minorEastAsia" w:eastAsiaTheme="minorEastAsia" w:cstheme="minorEastAsia"/>
        </w:rPr>
      </w:pPr>
    </w:p>
    <w:p>
      <w:pPr>
        <w:pStyle w:val="9"/>
        <w:spacing w:line="360" w:lineRule="auto"/>
        <w:ind w:firstLine="480" w:firstLineChars="200"/>
        <w:rPr>
          <w:rFonts w:asciiTheme="minorEastAsia" w:hAnsiTheme="minorEastAsia" w:eastAsiaTheme="minorEastAsia" w:cstheme="minorEastAsia"/>
        </w:rPr>
      </w:pPr>
    </w:p>
    <w:p>
      <w:pPr>
        <w:pStyle w:val="9"/>
        <w:spacing w:line="360" w:lineRule="auto"/>
        <w:ind w:firstLine="480" w:firstLineChars="200"/>
        <w:rPr>
          <w:rFonts w:asciiTheme="minorEastAsia" w:hAnsiTheme="minorEastAsia" w:eastAsiaTheme="minorEastAsia" w:cstheme="minorEastAsia"/>
        </w:rPr>
      </w:pPr>
    </w:p>
    <w:p>
      <w:pPr>
        <w:pStyle w:val="9"/>
        <w:spacing w:line="360" w:lineRule="auto"/>
        <w:jc w:val="both"/>
        <w:rPr>
          <w:rFonts w:asciiTheme="minorEastAsia" w:hAnsiTheme="minorEastAsia" w:eastAsiaTheme="minorEastAsia" w:cstheme="minorEastAsia"/>
        </w:rPr>
      </w:pPr>
      <w:r>
        <w:rPr>
          <w:rFonts w:hint="eastAsia" w:asciiTheme="minorEastAsia" w:hAnsiTheme="minorEastAsia" w:eastAsiaTheme="minorEastAsia" w:cstheme="minorEastAsia"/>
        </w:rPr>
        <w:t>法定代表人或其授权代表签字：</w:t>
      </w:r>
    </w:p>
    <w:p>
      <w:pPr>
        <w:pStyle w:val="9"/>
        <w:spacing w:line="360" w:lineRule="auto"/>
        <w:jc w:val="both"/>
        <w:rPr>
          <w:rFonts w:asciiTheme="minorEastAsia" w:hAnsiTheme="minorEastAsia" w:eastAsiaTheme="minorEastAsia" w:cstheme="minorEastAsia"/>
        </w:rPr>
      </w:pPr>
      <w:r>
        <w:rPr>
          <w:rFonts w:hint="eastAsia" w:asciiTheme="minorEastAsia" w:hAnsiTheme="minorEastAsia" w:eastAsiaTheme="minorEastAsia" w:cstheme="minorEastAsia"/>
        </w:rPr>
        <w:t>投标人公章</w:t>
      </w:r>
    </w:p>
    <w:p>
      <w:pPr>
        <w:pStyle w:val="9"/>
        <w:spacing w:line="360" w:lineRule="auto"/>
        <w:ind w:firstLine="424" w:firstLineChars="177"/>
        <w:rPr>
          <w:rFonts w:asciiTheme="minorEastAsia" w:hAnsiTheme="minorEastAsia" w:eastAsiaTheme="minorEastAsia" w:cstheme="minorEastAsia"/>
        </w:rPr>
      </w:pPr>
      <w:r>
        <w:rPr>
          <w:rFonts w:hint="eastAsia" w:asciiTheme="minorEastAsia" w:hAnsiTheme="minorEastAsia" w:eastAsiaTheme="minorEastAsia" w:cstheme="minorEastAsia"/>
        </w:rPr>
        <w:t>年 月 日</w:t>
      </w:r>
      <w:bookmarkEnd w:id="264"/>
    </w:p>
    <w:p>
      <w:pPr>
        <w:widowControl/>
        <w:spacing w:line="360" w:lineRule="auto"/>
        <w:jc w:val="left"/>
        <w:rPr>
          <w:rFonts w:asciiTheme="minorEastAsia" w:hAnsiTheme="minorEastAsia" w:eastAsiaTheme="minorEastAsia" w:cstheme="minorEastAsia"/>
          <w:b/>
          <w:kern w:val="44"/>
          <w:sz w:val="28"/>
          <w:szCs w:val="28"/>
        </w:rPr>
      </w:pPr>
      <w:r>
        <w:rPr>
          <w:rFonts w:hint="eastAsia" w:asciiTheme="minorEastAsia" w:hAnsiTheme="minorEastAsia" w:eastAsiaTheme="minorEastAsia" w:cstheme="minorEastAsia"/>
          <w:b/>
          <w:kern w:val="44"/>
          <w:sz w:val="28"/>
          <w:szCs w:val="28"/>
        </w:rPr>
        <w:br w:type="page"/>
      </w:r>
    </w:p>
    <w:p>
      <w:pPr>
        <w:spacing w:line="360" w:lineRule="auto"/>
        <w:jc w:val="left"/>
        <w:rPr>
          <w:rFonts w:asciiTheme="minorEastAsia" w:hAnsiTheme="minorEastAsia" w:eastAsiaTheme="minorEastAsia" w:cstheme="minorEastAsia"/>
          <w:color w:val="111F2C"/>
          <w:sz w:val="24"/>
          <w:shd w:val="clear" w:color="auto" w:fill="FFFFFF"/>
        </w:rPr>
      </w:pPr>
      <w:bookmarkStart w:id="265" w:name="_Toc17932"/>
      <w:bookmarkStart w:id="266" w:name="_Toc5895215"/>
      <w:bookmarkStart w:id="267" w:name="_Toc523911432"/>
      <w:r>
        <w:rPr>
          <w:rFonts w:hint="eastAsia" w:asciiTheme="minorEastAsia" w:hAnsiTheme="minorEastAsia" w:eastAsiaTheme="minorEastAsia" w:cstheme="minorEastAsia"/>
          <w:color w:val="111F2C"/>
          <w:sz w:val="24"/>
          <w:shd w:val="clear" w:color="auto" w:fill="FFFFFF"/>
        </w:rPr>
        <w:t>7.投标人须承诺不同投标人的法人、单位负责人不是同一人也不存在直接控股、管理关系，须加盖本单位公章（格式自拟）</w:t>
      </w:r>
    </w:p>
    <w:p>
      <w:pPr>
        <w:pStyle w:val="56"/>
        <w:rPr>
          <w:rFonts w:asciiTheme="minorEastAsia" w:hAnsiTheme="minorEastAsia" w:eastAsiaTheme="minorEastAsia"/>
          <w:shd w:val="clear" w:color="auto" w:fill="FFFFFF"/>
        </w:rPr>
      </w:pPr>
      <w:r>
        <w:rPr>
          <w:rFonts w:asciiTheme="minorEastAsia" w:hAnsiTheme="minorEastAsia" w:eastAsiaTheme="minorEastAsia"/>
          <w:shd w:val="clear" w:color="auto" w:fill="FFFFFF"/>
        </w:rPr>
        <w:br w:type="page"/>
      </w:r>
    </w:p>
    <w:p>
      <w:pPr>
        <w:spacing w:line="360" w:lineRule="auto"/>
        <w:jc w:val="left"/>
        <w:rPr>
          <w:rFonts w:asciiTheme="minorEastAsia" w:hAnsiTheme="minorEastAsia" w:eastAsiaTheme="minorEastAsia" w:cstheme="minorEastAsia"/>
          <w:color w:val="111F2C"/>
          <w:sz w:val="24"/>
          <w:shd w:val="clear" w:color="auto" w:fill="FFFFFF"/>
        </w:rPr>
      </w:pPr>
      <w:r>
        <w:rPr>
          <w:rFonts w:hint="eastAsia" w:asciiTheme="minorEastAsia" w:hAnsiTheme="minorEastAsia" w:eastAsiaTheme="minorEastAsia" w:cstheme="minorEastAsia"/>
          <w:color w:val="111F2C"/>
          <w:sz w:val="24"/>
        </w:rPr>
        <w:t>8</w:t>
      </w:r>
      <w:r>
        <w:rPr>
          <w:rFonts w:asciiTheme="minorEastAsia" w:hAnsiTheme="minorEastAsia" w:eastAsiaTheme="minorEastAsia" w:cstheme="minorEastAsia"/>
          <w:color w:val="111F2C"/>
          <w:sz w:val="24"/>
        </w:rPr>
        <w:t>.</w:t>
      </w:r>
      <w:r>
        <w:rPr>
          <w:rFonts w:hint="eastAsia" w:asciiTheme="minorEastAsia" w:hAnsiTheme="minorEastAsia" w:eastAsiaTheme="minorEastAsia" w:cstheme="minorEastAsia"/>
          <w:color w:val="111F2C"/>
          <w:sz w:val="24"/>
          <w:shd w:val="clear" w:color="auto" w:fill="FFFFFF"/>
        </w:rPr>
        <w:t>投标人须承诺已向采购代理机构购买招标文件并登记备案，须加盖本单位公章（格式自拟）</w:t>
      </w:r>
    </w:p>
    <w:p>
      <w:pPr>
        <w:pStyle w:val="14"/>
        <w:spacing w:line="360" w:lineRule="auto"/>
        <w:rPr>
          <w:rFonts w:asciiTheme="minorEastAsia" w:hAnsiTheme="minorEastAsia" w:eastAsiaTheme="minorEastAsia"/>
          <w:shd w:val="clear" w:color="auto" w:fill="FFFFFF"/>
        </w:rPr>
      </w:pPr>
      <w:r>
        <w:rPr>
          <w:rFonts w:asciiTheme="minorEastAsia" w:hAnsiTheme="minorEastAsia" w:eastAsiaTheme="minorEastAsia"/>
          <w:shd w:val="clear" w:color="auto" w:fill="FFFFFF"/>
        </w:rPr>
        <w:br w:type="page"/>
      </w:r>
    </w:p>
    <w:p>
      <w:pPr>
        <w:spacing w:line="360" w:lineRule="auto"/>
        <w:rPr>
          <w:rFonts w:asciiTheme="minorEastAsia" w:hAnsiTheme="minorEastAsia" w:eastAsiaTheme="minorEastAsia" w:cstheme="minorEastAsia"/>
          <w:b/>
          <w:kern w:val="44"/>
          <w:sz w:val="28"/>
          <w:szCs w:val="28"/>
        </w:rPr>
      </w:pPr>
      <w:bookmarkStart w:id="268" w:name="_Toc61878504"/>
      <w:r>
        <w:rPr>
          <w:rFonts w:hint="eastAsia" w:asciiTheme="minorEastAsia" w:hAnsiTheme="minorEastAsia" w:eastAsiaTheme="minorEastAsia" w:cstheme="minorEastAsia"/>
          <w:b/>
          <w:kern w:val="44"/>
          <w:sz w:val="28"/>
          <w:szCs w:val="28"/>
        </w:rPr>
        <w:t>二、投标文件商务技术册</w:t>
      </w:r>
      <w:bookmarkEnd w:id="265"/>
      <w:bookmarkEnd w:id="266"/>
      <w:bookmarkEnd w:id="267"/>
      <w:bookmarkEnd w:id="268"/>
    </w:p>
    <w:p>
      <w:pPr>
        <w:pStyle w:val="2"/>
        <w:tabs>
          <w:tab w:val="left" w:pos="900"/>
        </w:tabs>
        <w:spacing w:line="360" w:lineRule="auto"/>
        <w:jc w:val="center"/>
        <w:rPr>
          <w:rFonts w:hint="default" w:asciiTheme="minorEastAsia" w:hAnsiTheme="minorEastAsia" w:eastAsiaTheme="minorEastAsia" w:cstheme="minorEastAsia"/>
          <w:sz w:val="24"/>
        </w:rPr>
      </w:pPr>
      <w:bookmarkStart w:id="269" w:name="_Toc61878505"/>
      <w:bookmarkStart w:id="270" w:name="_Toc523911433"/>
      <w:bookmarkStart w:id="271" w:name="_Toc5895216"/>
      <w:bookmarkStart w:id="272" w:name="_Toc310195762"/>
      <w:r>
        <w:rPr>
          <w:rFonts w:asciiTheme="minorEastAsia" w:hAnsiTheme="minorEastAsia" w:eastAsiaTheme="minorEastAsia" w:cstheme="minorEastAsia"/>
          <w:sz w:val="24"/>
        </w:rPr>
        <w:t>1 投标函</w:t>
      </w:r>
      <w:bookmarkEnd w:id="269"/>
      <w:bookmarkEnd w:id="270"/>
      <w:bookmarkEnd w:id="271"/>
      <w:bookmarkEnd w:id="272"/>
    </w:p>
    <w:p>
      <w:pPr>
        <w:tabs>
          <w:tab w:val="left" w:pos="5580"/>
        </w:tabs>
        <w:spacing w:before="120" w:line="360" w:lineRule="auto"/>
        <w:jc w:val="center"/>
        <w:rPr>
          <w:rFonts w:asciiTheme="minorEastAsia" w:hAnsiTheme="minorEastAsia" w:eastAsiaTheme="minorEastAsia" w:cstheme="minorEastAsia"/>
          <w:b/>
          <w:sz w:val="24"/>
        </w:rPr>
      </w:pPr>
    </w:p>
    <w:p>
      <w:pPr>
        <w:tabs>
          <w:tab w:val="left" w:pos="5580"/>
        </w:tabs>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致：（采购代理机构）</w:t>
      </w:r>
    </w:p>
    <w:p>
      <w:pPr>
        <w:pStyle w:val="117"/>
        <w:spacing w:line="360" w:lineRule="auto"/>
        <w:ind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根据贵方为</w:t>
      </w:r>
      <w:r>
        <w:rPr>
          <w:rFonts w:hint="eastAsia" w:asciiTheme="minorEastAsia" w:hAnsiTheme="minorEastAsia" w:eastAsiaTheme="minorEastAsia" w:cstheme="minorEastAsia"/>
          <w:sz w:val="24"/>
          <w:u w:val="single"/>
        </w:rPr>
        <w:t>(项目名称)</w:t>
      </w:r>
      <w:r>
        <w:rPr>
          <w:rFonts w:hint="eastAsia" w:asciiTheme="minorEastAsia" w:hAnsiTheme="minorEastAsia" w:eastAsiaTheme="minorEastAsia" w:cstheme="minorEastAsia"/>
          <w:sz w:val="24"/>
        </w:rPr>
        <w:t xml:space="preserve"> 招标采购服务</w:t>
      </w:r>
      <w:r>
        <w:rPr>
          <w:rFonts w:hint="eastAsia" w:asciiTheme="minorEastAsia" w:hAnsiTheme="minorEastAsia" w:eastAsiaTheme="minorEastAsia" w:cstheme="minorEastAsia"/>
          <w:sz w:val="24"/>
          <w:u w:val="single"/>
        </w:rPr>
        <w:t>(项目编号、包号)</w:t>
      </w:r>
      <w:r>
        <w:rPr>
          <w:rFonts w:hint="eastAsia" w:asciiTheme="minorEastAsia" w:hAnsiTheme="minorEastAsia" w:eastAsiaTheme="minorEastAsia" w:cstheme="minorEastAsia"/>
          <w:sz w:val="24"/>
        </w:rPr>
        <w:t xml:space="preserve">的投标邀请,签字代表 </w:t>
      </w:r>
      <w:r>
        <w:rPr>
          <w:rFonts w:hint="eastAsia" w:asciiTheme="minorEastAsia" w:hAnsiTheme="minorEastAsia" w:eastAsiaTheme="minorEastAsia" w:cstheme="minorEastAsia"/>
          <w:sz w:val="24"/>
          <w:u w:val="single"/>
        </w:rPr>
        <w:t>(姓名、职务)</w:t>
      </w:r>
      <w:r>
        <w:rPr>
          <w:rFonts w:hint="eastAsia" w:asciiTheme="minorEastAsia" w:hAnsiTheme="minorEastAsia" w:eastAsiaTheme="minorEastAsia" w:cstheme="minorEastAsia"/>
          <w:sz w:val="24"/>
        </w:rPr>
        <w:t>经正式授权并代表投标人</w:t>
      </w:r>
      <w:r>
        <w:rPr>
          <w:rFonts w:hint="eastAsia" w:asciiTheme="minorEastAsia" w:hAnsiTheme="minorEastAsia" w:eastAsiaTheme="minorEastAsia" w:cstheme="minorEastAsia"/>
          <w:sz w:val="24"/>
          <w:u w:val="single"/>
        </w:rPr>
        <w:t>（投标人名称、地址）</w:t>
      </w:r>
      <w:r>
        <w:rPr>
          <w:rFonts w:hint="eastAsia" w:asciiTheme="minorEastAsia" w:hAnsiTheme="minorEastAsia" w:eastAsiaTheme="minorEastAsia" w:cstheme="minorEastAsia"/>
          <w:sz w:val="24"/>
        </w:rPr>
        <w:t>提交下述文件正本</w:t>
      </w:r>
      <w:r>
        <w:rPr>
          <w:rFonts w:hint="eastAsia" w:asciiTheme="minorEastAsia" w:hAnsiTheme="minorEastAsia" w:eastAsiaTheme="minorEastAsia" w:cstheme="minorEastAsia"/>
          <w:sz w:val="24"/>
          <w:u w:val="single"/>
        </w:rPr>
        <w:t xml:space="preserve"> 一 </w:t>
      </w:r>
      <w:r>
        <w:rPr>
          <w:rFonts w:hint="eastAsia" w:asciiTheme="minorEastAsia" w:hAnsiTheme="minorEastAsia" w:eastAsiaTheme="minorEastAsia" w:cstheme="minorEastAsia"/>
          <w:sz w:val="24"/>
        </w:rPr>
        <w:t>份及副本</w:t>
      </w:r>
      <w:r>
        <w:rPr>
          <w:rFonts w:hint="eastAsia" w:asciiTheme="minorEastAsia" w:hAnsiTheme="minorEastAsia" w:eastAsiaTheme="minorEastAsia" w:cstheme="minorEastAsia"/>
          <w:sz w:val="24"/>
          <w:u w:val="single"/>
        </w:rPr>
        <w:t xml:space="preserve"> 五 </w:t>
      </w:r>
      <w:r>
        <w:rPr>
          <w:rFonts w:hint="eastAsia" w:asciiTheme="minorEastAsia" w:hAnsiTheme="minorEastAsia" w:eastAsiaTheme="minorEastAsia" w:cstheme="minorEastAsia"/>
          <w:sz w:val="24"/>
        </w:rPr>
        <w:t>份及电子文档____套：</w:t>
      </w:r>
    </w:p>
    <w:p>
      <w:pPr>
        <w:pStyle w:val="117"/>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1.投 标 函</w:t>
      </w:r>
    </w:p>
    <w:p>
      <w:pPr>
        <w:pStyle w:val="117"/>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2.开标一览表</w:t>
      </w:r>
    </w:p>
    <w:p>
      <w:pPr>
        <w:pStyle w:val="117"/>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3.投标分项报价表</w:t>
      </w:r>
    </w:p>
    <w:p>
      <w:pPr>
        <w:pStyle w:val="117"/>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4.技术规格偏离表</w:t>
      </w:r>
    </w:p>
    <w:p>
      <w:pPr>
        <w:pStyle w:val="117"/>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5.商务条款偏离表</w:t>
      </w:r>
    </w:p>
    <w:p>
      <w:pPr>
        <w:pStyle w:val="117"/>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6.业绩案例一览表</w:t>
      </w:r>
    </w:p>
    <w:p>
      <w:pPr>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7.投标人基本情况表</w:t>
      </w:r>
    </w:p>
    <w:p>
      <w:pPr>
        <w:pStyle w:val="117"/>
        <w:spacing w:line="360" w:lineRule="auto"/>
        <w:ind w:firstLine="424" w:firstLineChars="177"/>
        <w:rPr>
          <w:rFonts w:asciiTheme="minorEastAsia" w:hAnsiTheme="minorEastAsia" w:eastAsiaTheme="minorEastAsia" w:cstheme="minorEastAsia"/>
        </w:rPr>
      </w:pPr>
      <w:r>
        <w:rPr>
          <w:rFonts w:hint="eastAsia" w:asciiTheme="minorEastAsia" w:hAnsiTheme="minorEastAsia" w:eastAsiaTheme="minorEastAsia" w:cstheme="minorEastAsia"/>
          <w:sz w:val="24"/>
        </w:rPr>
        <w:t>8.服务方案</w:t>
      </w:r>
    </w:p>
    <w:p>
      <w:pPr>
        <w:pStyle w:val="117"/>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9.售后服务及培训计划</w:t>
      </w:r>
    </w:p>
    <w:p>
      <w:pPr>
        <w:pStyle w:val="117"/>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 提交投标保证金的证明材料（如适用）</w:t>
      </w:r>
    </w:p>
    <w:p>
      <w:pPr>
        <w:pStyle w:val="117"/>
        <w:spacing w:line="360" w:lineRule="auto"/>
        <w:ind w:firstLine="424" w:firstLineChars="177"/>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11.中标服务费承诺书</w:t>
      </w:r>
    </w:p>
    <w:p>
      <w:pPr>
        <w:spacing w:line="360" w:lineRule="auto"/>
        <w:ind w:firstLine="424" w:firstLineChars="177"/>
        <w:rPr>
          <w:rFonts w:asciiTheme="minorEastAsia" w:hAnsiTheme="minorEastAsia" w:eastAsiaTheme="minorEastAsia" w:cstheme="minorEastAsia"/>
          <w:sz w:val="24"/>
          <w:lang w:val="en-GB"/>
        </w:rPr>
      </w:pPr>
      <w:r>
        <w:rPr>
          <w:rFonts w:hint="eastAsia" w:asciiTheme="minorEastAsia" w:hAnsiTheme="minorEastAsia" w:eastAsiaTheme="minorEastAsia" w:cstheme="minorEastAsia"/>
          <w:sz w:val="24"/>
          <w:lang w:val="en-GB"/>
        </w:rPr>
        <w:t>12.</w:t>
      </w:r>
      <w:r>
        <w:rPr>
          <w:rFonts w:hint="eastAsia" w:asciiTheme="minorEastAsia" w:hAnsiTheme="minorEastAsia" w:eastAsiaTheme="minorEastAsia"/>
        </w:rPr>
        <w:t xml:space="preserve"> </w:t>
      </w:r>
      <w:r>
        <w:rPr>
          <w:rFonts w:hint="eastAsia" w:asciiTheme="minorEastAsia" w:hAnsiTheme="minorEastAsia" w:eastAsiaTheme="minorEastAsia" w:cstheme="minorEastAsia"/>
          <w:sz w:val="24"/>
          <w:lang w:val="en-GB"/>
        </w:rPr>
        <w:t>中小企业声明函</w:t>
      </w:r>
    </w:p>
    <w:p>
      <w:pPr>
        <w:spacing w:line="360" w:lineRule="auto"/>
        <w:ind w:firstLine="424" w:firstLineChars="177"/>
        <w:rPr>
          <w:rFonts w:asciiTheme="minorEastAsia" w:hAnsiTheme="minorEastAsia" w:eastAsiaTheme="minorEastAsia" w:cstheme="minorEastAsia"/>
          <w:sz w:val="24"/>
          <w:lang w:val="en-GB"/>
        </w:rPr>
      </w:pPr>
      <w:r>
        <w:rPr>
          <w:rFonts w:hint="eastAsia" w:asciiTheme="minorEastAsia" w:hAnsiTheme="minorEastAsia" w:eastAsiaTheme="minorEastAsia" w:cstheme="minorEastAsia"/>
          <w:sz w:val="24"/>
        </w:rPr>
        <w:t>13.</w:t>
      </w:r>
      <w:r>
        <w:rPr>
          <w:rFonts w:hint="eastAsia" w:asciiTheme="minorEastAsia" w:hAnsiTheme="minorEastAsia" w:eastAsiaTheme="minorEastAsia" w:cstheme="minorEastAsia"/>
          <w:sz w:val="24"/>
          <w:lang w:val="en-GB"/>
        </w:rPr>
        <w:t>残疾人福利性单位声明函（如适用）</w:t>
      </w:r>
    </w:p>
    <w:p>
      <w:pPr>
        <w:pStyle w:val="20"/>
        <w:tabs>
          <w:tab w:val="left" w:pos="5580"/>
        </w:tabs>
        <w:spacing w:line="360" w:lineRule="auto"/>
        <w:ind w:firstLine="424" w:firstLineChars="177"/>
        <w:jc w:val="left"/>
        <w:rPr>
          <w:rFonts w:asciiTheme="minorEastAsia" w:hAnsiTheme="minorEastAsia" w:eastAsiaTheme="minorEastAsia" w:cstheme="minorEastAsia"/>
          <w:sz w:val="24"/>
          <w:lang w:val="en-GB"/>
        </w:rPr>
      </w:pPr>
      <w:r>
        <w:rPr>
          <w:rFonts w:hint="eastAsia" w:asciiTheme="minorEastAsia" w:hAnsiTheme="minorEastAsia" w:eastAsiaTheme="minorEastAsia" w:cstheme="minorEastAsia"/>
          <w:sz w:val="24"/>
          <w:lang w:val="en-GB"/>
        </w:rPr>
        <w:t>14.</w:t>
      </w:r>
      <w:r>
        <w:rPr>
          <w:rFonts w:hint="eastAsia" w:asciiTheme="minorEastAsia" w:hAnsiTheme="minorEastAsia" w:eastAsiaTheme="minorEastAsia" w:cstheme="minorEastAsia"/>
          <w:sz w:val="24"/>
        </w:rPr>
        <w:t>监狱、戒毒企业声明函（如适用）</w:t>
      </w:r>
    </w:p>
    <w:p>
      <w:pPr>
        <w:pStyle w:val="20"/>
        <w:tabs>
          <w:tab w:val="left" w:pos="5580"/>
        </w:tabs>
        <w:spacing w:line="360" w:lineRule="auto"/>
        <w:ind w:firstLine="424" w:firstLineChars="177"/>
        <w:jc w:val="left"/>
        <w:rPr>
          <w:rFonts w:asciiTheme="minorEastAsia" w:hAnsiTheme="minorEastAsia" w:eastAsiaTheme="minorEastAsia" w:cstheme="minorEastAsia"/>
          <w:sz w:val="24"/>
          <w:szCs w:val="24"/>
          <w:lang w:val="en-GB"/>
        </w:rPr>
      </w:pPr>
      <w:r>
        <w:rPr>
          <w:rFonts w:hint="eastAsia" w:asciiTheme="minorEastAsia" w:hAnsiTheme="minorEastAsia" w:eastAsiaTheme="minorEastAsia" w:cstheme="minorEastAsia"/>
          <w:sz w:val="24"/>
          <w:lang w:val="en-GB"/>
        </w:rPr>
        <w:t>15.</w:t>
      </w:r>
      <w:r>
        <w:rPr>
          <w:rFonts w:hint="eastAsia" w:asciiTheme="minorEastAsia" w:hAnsiTheme="minorEastAsia" w:eastAsiaTheme="minorEastAsia" w:cstheme="minorEastAsia"/>
          <w:sz w:val="24"/>
        </w:rPr>
        <w:t>投标人认为必要的其他证明文件</w:t>
      </w:r>
    </w:p>
    <w:p>
      <w:pPr>
        <w:pStyle w:val="20"/>
        <w:tabs>
          <w:tab w:val="left" w:pos="525"/>
          <w:tab w:val="left" w:pos="945"/>
          <w:tab w:val="left" w:pos="5580"/>
        </w:tabs>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在此，</w:t>
      </w:r>
      <w:r>
        <w:rPr>
          <w:rFonts w:hint="eastAsia" w:asciiTheme="minorEastAsia" w:hAnsiTheme="minorEastAsia" w:eastAsiaTheme="minorEastAsia" w:cstheme="minorEastAsia"/>
          <w:sz w:val="24"/>
          <w:lang w:val="en-US"/>
        </w:rPr>
        <w:t>授权</w:t>
      </w:r>
      <w:r>
        <w:rPr>
          <w:rFonts w:hint="eastAsia" w:asciiTheme="minorEastAsia" w:hAnsiTheme="minorEastAsia" w:eastAsiaTheme="minorEastAsia" w:cstheme="minorEastAsia"/>
          <w:sz w:val="24"/>
        </w:rPr>
        <w:t>代表宣布同意如下：</w:t>
      </w:r>
    </w:p>
    <w:p>
      <w:pPr>
        <w:pStyle w:val="20"/>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lang w:val="en-US"/>
        </w:rPr>
        <w:t>1）所附投标价格表中规定的应提交和交付的服务投标总价为</w:t>
      </w:r>
      <w:r>
        <w:rPr>
          <w:rFonts w:hint="eastAsia" w:asciiTheme="minorEastAsia" w:hAnsiTheme="minorEastAsia" w:eastAsiaTheme="minorEastAsia" w:cstheme="minorEastAsia"/>
          <w:bCs/>
          <w:sz w:val="24"/>
          <w:u w:val="single"/>
          <w:lang w:val="en-US"/>
        </w:rPr>
        <w:t xml:space="preserve">人民币          </w:t>
      </w:r>
      <w:r>
        <w:rPr>
          <w:rFonts w:hint="eastAsia" w:asciiTheme="minorEastAsia" w:hAnsiTheme="minorEastAsia" w:eastAsiaTheme="minorEastAsia" w:cstheme="minorEastAsia"/>
          <w:bCs/>
          <w:sz w:val="24"/>
          <w:lang w:val="en-US"/>
        </w:rPr>
        <w:t>（用文字和数字表示的投标总价）。</w:t>
      </w:r>
      <w:r>
        <w:rPr>
          <w:rFonts w:hint="eastAsia" w:asciiTheme="minorEastAsia" w:hAnsiTheme="minorEastAsia" w:eastAsiaTheme="minorEastAsia" w:cstheme="minorEastAsia"/>
          <w:bCs/>
          <w:sz w:val="24"/>
          <w:lang w:val="en-US"/>
        </w:rPr>
        <w:br w:type="textWrapping"/>
      </w:r>
      <w:r>
        <w:rPr>
          <w:rFonts w:hint="eastAsia" w:asciiTheme="minorEastAsia" w:hAnsiTheme="minorEastAsia" w:eastAsiaTheme="minorEastAsia" w:cstheme="minorEastAsia"/>
          <w:bCs/>
          <w:sz w:val="24"/>
          <w:lang w:val="en-US"/>
        </w:rPr>
        <w:t>2）投标人将按招标文件的规定履行合同责任和义务。</w:t>
      </w:r>
      <w:r>
        <w:rPr>
          <w:rFonts w:hint="eastAsia" w:asciiTheme="minorEastAsia" w:hAnsiTheme="minorEastAsia" w:eastAsiaTheme="minorEastAsia" w:cstheme="minorEastAsia"/>
          <w:bCs/>
          <w:sz w:val="24"/>
          <w:lang w:val="en-US"/>
        </w:rPr>
        <w:br w:type="textWrapping"/>
      </w:r>
      <w:r>
        <w:rPr>
          <w:rFonts w:hint="eastAsia" w:asciiTheme="minorEastAsia" w:hAnsiTheme="minorEastAsia" w:eastAsiaTheme="minorEastAsia" w:cstheme="minorEastAsia"/>
          <w:bCs/>
          <w:sz w:val="24"/>
          <w:lang w:val="en-US"/>
        </w:rPr>
        <w:t>3）投标人已详细审查全部招标文件。我们完全理解并同意放弃对这方面有不明及误解的权利。</w:t>
      </w:r>
      <w:r>
        <w:rPr>
          <w:rFonts w:hint="eastAsia" w:asciiTheme="minorEastAsia" w:hAnsiTheme="minorEastAsia" w:eastAsiaTheme="minorEastAsia" w:cstheme="minorEastAsia"/>
          <w:bCs/>
          <w:sz w:val="24"/>
          <w:lang w:val="en-US"/>
        </w:rPr>
        <w:br w:type="textWrapping"/>
      </w:r>
      <w:r>
        <w:rPr>
          <w:rFonts w:hint="eastAsia" w:asciiTheme="minorEastAsia" w:hAnsiTheme="minorEastAsia" w:eastAsiaTheme="minorEastAsia" w:cstheme="minorEastAsia"/>
          <w:bCs/>
          <w:sz w:val="24"/>
          <w:lang w:val="en-US"/>
        </w:rPr>
        <w:t>4）本投标有效期为自开标之日起</w:t>
      </w:r>
      <w:r>
        <w:rPr>
          <w:rFonts w:hint="eastAsia" w:asciiTheme="minorEastAsia" w:hAnsiTheme="minorEastAsia" w:eastAsiaTheme="minorEastAsia" w:cstheme="minorEastAsia"/>
          <w:bCs/>
          <w:sz w:val="24"/>
          <w:u w:val="single"/>
          <w:lang w:val="en-US"/>
        </w:rPr>
        <w:t xml:space="preserve"> 90个</w:t>
      </w:r>
      <w:r>
        <w:rPr>
          <w:rFonts w:hint="eastAsia" w:asciiTheme="minorEastAsia" w:hAnsiTheme="minorEastAsia" w:eastAsiaTheme="minorEastAsia" w:cstheme="minorEastAsia"/>
          <w:bCs/>
          <w:sz w:val="24"/>
          <w:lang w:val="en-US"/>
        </w:rPr>
        <w:t>日历日。</w:t>
      </w:r>
      <w:r>
        <w:rPr>
          <w:rFonts w:hint="eastAsia" w:asciiTheme="minorEastAsia" w:hAnsiTheme="minorEastAsia" w:eastAsiaTheme="minorEastAsia" w:cstheme="minorEastAsia"/>
          <w:bCs/>
          <w:sz w:val="24"/>
          <w:lang w:val="en-US"/>
        </w:rPr>
        <w:br w:type="textWrapping"/>
      </w:r>
      <w:r>
        <w:rPr>
          <w:rFonts w:hint="eastAsia" w:asciiTheme="minorEastAsia" w:hAnsiTheme="minorEastAsia" w:eastAsiaTheme="minorEastAsia" w:cstheme="minorEastAsia"/>
          <w:bCs/>
          <w:sz w:val="24"/>
          <w:lang w:val="en-US"/>
        </w:rPr>
        <w:t>5）在规定的开标时间后，投标人保证遵守招标文件中有关保证金的规定。</w:t>
      </w:r>
      <w:r>
        <w:rPr>
          <w:rFonts w:hint="eastAsia" w:asciiTheme="minorEastAsia" w:hAnsiTheme="minorEastAsia" w:eastAsiaTheme="minorEastAsia" w:cstheme="minorEastAsia"/>
          <w:bCs/>
          <w:sz w:val="24"/>
          <w:lang w:val="en-US"/>
        </w:rPr>
        <w:br w:type="textWrapping"/>
      </w:r>
      <w:r>
        <w:rPr>
          <w:rFonts w:hint="eastAsia" w:asciiTheme="minorEastAsia" w:hAnsiTheme="minorEastAsia" w:eastAsiaTheme="minorEastAsia" w:cstheme="minorEastAsia"/>
          <w:bCs/>
          <w:sz w:val="24"/>
          <w:lang w:val="en-US"/>
        </w:rPr>
        <w:t>6）我方与采购人聘请的为此项目提供咨询服务的公司及任何附属机构均无关联，我方不是采购人的附属机构。</w:t>
      </w:r>
      <w:r>
        <w:rPr>
          <w:rFonts w:hint="eastAsia" w:asciiTheme="minorEastAsia" w:hAnsiTheme="minorEastAsia" w:eastAsiaTheme="minorEastAsia" w:cstheme="minorEastAsia"/>
          <w:bCs/>
          <w:sz w:val="24"/>
          <w:lang w:val="en-US"/>
        </w:rPr>
        <w:br w:type="textWrapping"/>
      </w:r>
      <w:r>
        <w:rPr>
          <w:rFonts w:hint="eastAsia" w:asciiTheme="minorEastAsia" w:hAnsiTheme="minorEastAsia" w:eastAsiaTheme="minorEastAsia" w:cstheme="minorEastAsia"/>
          <w:bCs/>
          <w:sz w:val="24"/>
          <w:lang w:val="en-US"/>
        </w:rPr>
        <w:t>7）投标人同意提供按照贵方可能要求的与其投标有关的一切数据或资料，完全理解贵方不一定接受最低价的投标。</w:t>
      </w:r>
      <w:r>
        <w:rPr>
          <w:rFonts w:hint="eastAsia" w:asciiTheme="minorEastAsia" w:hAnsiTheme="minorEastAsia" w:eastAsiaTheme="minorEastAsia" w:cstheme="minorEastAsia"/>
          <w:bCs/>
          <w:sz w:val="24"/>
          <w:lang w:val="en-US"/>
        </w:rPr>
        <w:br w:type="textWrapping"/>
      </w:r>
      <w:r>
        <w:rPr>
          <w:rFonts w:hint="eastAsia" w:asciiTheme="minorEastAsia" w:hAnsiTheme="minorEastAsia" w:eastAsiaTheme="minorEastAsia" w:cstheme="minorEastAsia"/>
          <w:bCs/>
          <w:sz w:val="24"/>
          <w:lang w:val="en-US"/>
        </w:rPr>
        <w:t>8）与本投标有关的一切正式往来信函请寄：</w:t>
      </w:r>
    </w:p>
    <w:p>
      <w:pPr>
        <w:pStyle w:val="20"/>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地址：_________________________     传真：________________________</w:t>
      </w:r>
    </w:p>
    <w:p>
      <w:pPr>
        <w:pStyle w:val="20"/>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电话：_________________________     邮箱：________________________</w:t>
      </w:r>
    </w:p>
    <w:p>
      <w:pPr>
        <w:pStyle w:val="20"/>
        <w:tabs>
          <w:tab w:val="left" w:pos="5580"/>
        </w:tabs>
        <w:spacing w:line="360" w:lineRule="auto"/>
        <w:rPr>
          <w:rFonts w:asciiTheme="minorEastAsia" w:hAnsiTheme="minorEastAsia" w:eastAsiaTheme="minorEastAsia" w:cstheme="minorEastAsia"/>
          <w:sz w:val="24"/>
        </w:rPr>
      </w:pPr>
    </w:p>
    <w:p>
      <w:pPr>
        <w:pStyle w:val="20"/>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授权代表签字：______________</w:t>
      </w:r>
    </w:p>
    <w:p>
      <w:pPr>
        <w:pStyle w:val="20"/>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投标人名称：_________________</w:t>
      </w:r>
    </w:p>
    <w:p>
      <w:pPr>
        <w:pStyle w:val="20"/>
        <w:tabs>
          <w:tab w:val="left" w:pos="5580"/>
        </w:tabs>
        <w:spacing w:line="360" w:lineRule="auto"/>
        <w:ind w:left="420"/>
        <w:rPr>
          <w:rFonts w:asciiTheme="minorEastAsia" w:hAnsiTheme="minorEastAsia" w:eastAsiaTheme="minorEastAsia" w:cstheme="minorEastAsia"/>
          <w:sz w:val="24"/>
        </w:rPr>
      </w:pPr>
    </w:p>
    <w:p>
      <w:pPr>
        <w:pStyle w:val="20"/>
        <w:tabs>
          <w:tab w:val="left" w:pos="5580"/>
        </w:tabs>
        <w:spacing w:line="360" w:lineRule="auto"/>
        <w:ind w:left="42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开户名全称：</w:t>
      </w:r>
    </w:p>
    <w:p>
      <w:pPr>
        <w:pStyle w:val="20"/>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开户银行：</w:t>
      </w:r>
    </w:p>
    <w:p>
      <w:pPr>
        <w:pStyle w:val="20"/>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银行账号：</w:t>
      </w:r>
    </w:p>
    <w:p>
      <w:pPr>
        <w:pStyle w:val="20"/>
        <w:tabs>
          <w:tab w:val="left" w:pos="5580"/>
        </w:tabs>
        <w:spacing w:line="360" w:lineRule="auto"/>
        <w:ind w:left="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公    章：</w:t>
      </w:r>
    </w:p>
    <w:p>
      <w:pPr>
        <w:pStyle w:val="20"/>
        <w:tabs>
          <w:tab w:val="left" w:pos="5580"/>
        </w:tabs>
        <w:spacing w:line="360" w:lineRule="auto"/>
        <w:ind w:left="42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日    期：</w:t>
      </w:r>
    </w:p>
    <w:p>
      <w:pPr>
        <w:pStyle w:val="20"/>
        <w:tabs>
          <w:tab w:val="left" w:pos="5580"/>
        </w:tabs>
        <w:spacing w:line="360" w:lineRule="auto"/>
        <w:ind w:left="840"/>
        <w:jc w:val="left"/>
        <w:rPr>
          <w:rFonts w:asciiTheme="minorEastAsia" w:hAnsiTheme="minorEastAsia" w:eastAsiaTheme="minorEastAsia" w:cstheme="minorEastAsia"/>
          <w:sz w:val="24"/>
          <w:szCs w:val="24"/>
          <w:lang w:val="en-US"/>
        </w:rPr>
      </w:pPr>
    </w:p>
    <w:p>
      <w:pPr>
        <w:pStyle w:val="20"/>
        <w:tabs>
          <w:tab w:val="left" w:pos="5580"/>
        </w:tabs>
        <w:spacing w:line="360" w:lineRule="auto"/>
        <w:ind w:left="840"/>
        <w:jc w:val="left"/>
        <w:rPr>
          <w:rFonts w:asciiTheme="minorEastAsia" w:hAnsiTheme="minorEastAsia" w:eastAsiaTheme="minorEastAsia" w:cstheme="minorEastAsia"/>
          <w:sz w:val="24"/>
          <w:szCs w:val="24"/>
          <w:lang w:val="en-US"/>
        </w:rPr>
      </w:pPr>
    </w:p>
    <w:p>
      <w:pPr>
        <w:pStyle w:val="20"/>
        <w:tabs>
          <w:tab w:val="left" w:pos="5580"/>
        </w:tabs>
        <w:spacing w:line="360" w:lineRule="auto"/>
        <w:ind w:left="840"/>
        <w:jc w:val="left"/>
        <w:rPr>
          <w:rFonts w:asciiTheme="minorEastAsia" w:hAnsiTheme="minorEastAsia" w:eastAsiaTheme="minorEastAsia" w:cstheme="minorEastAsia"/>
          <w:sz w:val="24"/>
          <w:u w:val="single"/>
        </w:rPr>
        <w:sectPr>
          <w:headerReference r:id="rId13" w:type="first"/>
          <w:footerReference r:id="rId15" w:type="first"/>
          <w:footerReference r:id="rId14" w:type="default"/>
          <w:pgSz w:w="11907" w:h="16840"/>
          <w:pgMar w:top="1089" w:right="1418" w:bottom="1400" w:left="1418" w:header="851" w:footer="851" w:gutter="0"/>
          <w:cols w:space="720" w:num="1"/>
          <w:docGrid w:linePitch="462" w:charSpace="0"/>
        </w:sectPr>
      </w:pPr>
    </w:p>
    <w:p>
      <w:pPr>
        <w:pStyle w:val="2"/>
        <w:tabs>
          <w:tab w:val="left" w:pos="900"/>
        </w:tabs>
        <w:spacing w:line="360" w:lineRule="auto"/>
        <w:jc w:val="center"/>
        <w:rPr>
          <w:rFonts w:hint="default" w:asciiTheme="minorEastAsia" w:hAnsiTheme="minorEastAsia" w:eastAsiaTheme="minorEastAsia" w:cstheme="minorEastAsia"/>
          <w:sz w:val="24"/>
        </w:rPr>
      </w:pPr>
      <w:bookmarkStart w:id="273" w:name="_Toc310195763"/>
      <w:bookmarkStart w:id="274" w:name="_Toc5895217"/>
      <w:bookmarkStart w:id="275" w:name="_Toc480942350"/>
      <w:bookmarkStart w:id="276" w:name="_Toc523911434"/>
      <w:bookmarkStart w:id="277" w:name="_Ref467988705"/>
      <w:bookmarkStart w:id="278" w:name="_Toc236642991"/>
      <w:bookmarkStart w:id="279" w:name="_Toc520356218"/>
      <w:bookmarkStart w:id="280" w:name="_Toc61878506"/>
      <w:r>
        <w:rPr>
          <w:rFonts w:asciiTheme="minorEastAsia" w:hAnsiTheme="minorEastAsia" w:eastAsiaTheme="minorEastAsia" w:cstheme="minorEastAsia"/>
          <w:sz w:val="24"/>
        </w:rPr>
        <w:t xml:space="preserve">2 </w:t>
      </w:r>
      <w:bookmarkEnd w:id="273"/>
      <w:bookmarkEnd w:id="274"/>
      <w:bookmarkEnd w:id="275"/>
      <w:bookmarkEnd w:id="276"/>
      <w:bookmarkEnd w:id="277"/>
      <w:bookmarkEnd w:id="278"/>
      <w:bookmarkEnd w:id="279"/>
      <w:r>
        <w:rPr>
          <w:rFonts w:asciiTheme="minorEastAsia" w:hAnsiTheme="minorEastAsia" w:eastAsiaTheme="minorEastAsia" w:cstheme="minorEastAsia"/>
          <w:sz w:val="24"/>
        </w:rPr>
        <w:t>开标一览表</w:t>
      </w:r>
      <w:bookmarkEnd w:id="280"/>
    </w:p>
    <w:p>
      <w:pPr>
        <w:tabs>
          <w:tab w:val="left" w:pos="1800"/>
          <w:tab w:val="left" w:pos="5580"/>
        </w:tabs>
        <w:spacing w:line="360" w:lineRule="auto"/>
        <w:jc w:val="left"/>
        <w:rPr>
          <w:rFonts w:asciiTheme="minorEastAsia" w:hAnsiTheme="minorEastAsia" w:eastAsiaTheme="minorEastAsia" w:cstheme="minorEastAsia"/>
          <w:sz w:val="24"/>
        </w:rPr>
      </w:pPr>
    </w:p>
    <w:p>
      <w:pPr>
        <w:tabs>
          <w:tab w:val="left" w:pos="1800"/>
          <w:tab w:val="left" w:pos="5580"/>
        </w:tabs>
        <w:spacing w:line="360" w:lineRule="auto"/>
        <w:ind w:firstLine="600" w:firstLineChars="25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                                  项目编号：                                 包号：</w:t>
      </w:r>
    </w:p>
    <w:p>
      <w:pPr>
        <w:tabs>
          <w:tab w:val="left" w:pos="1800"/>
          <w:tab w:val="left" w:pos="5580"/>
        </w:tabs>
        <w:spacing w:line="360" w:lineRule="auto"/>
        <w:jc w:val="left"/>
        <w:rPr>
          <w:rFonts w:asciiTheme="minorEastAsia" w:hAnsiTheme="minorEastAsia" w:eastAsiaTheme="minorEastAsia" w:cstheme="minorEastAsia"/>
          <w:sz w:val="24"/>
        </w:rPr>
      </w:pPr>
    </w:p>
    <w:tbl>
      <w:tblPr>
        <w:tblStyle w:val="48"/>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2311"/>
        <w:gridCol w:w="1895"/>
        <w:gridCol w:w="2333"/>
        <w:gridCol w:w="1795"/>
        <w:gridCol w:w="2333"/>
        <w:gridCol w:w="1890"/>
        <w:gridCol w:w="182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04" w:type="pct"/>
            <w:tcBorders>
              <w:top w:val="single" w:color="auto" w:sz="12" w:space="0"/>
            </w:tcBorders>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w:t>
            </w:r>
          </w:p>
        </w:tc>
        <w:tc>
          <w:tcPr>
            <w:tcW w:w="1470" w:type="pct"/>
            <w:gridSpan w:val="2"/>
            <w:tcBorders>
              <w:top w:val="single" w:color="auto" w:sz="12" w:space="0"/>
            </w:tcBorders>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投标总价</w:t>
            </w:r>
          </w:p>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（大写/小写，单位：元）</w:t>
            </w:r>
          </w:p>
        </w:tc>
        <w:tc>
          <w:tcPr>
            <w:tcW w:w="624" w:type="pct"/>
            <w:tcBorders>
              <w:top w:val="single" w:color="auto" w:sz="12" w:space="0"/>
            </w:tcBorders>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投标保证金</w:t>
            </w:r>
          </w:p>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（有/无）</w:t>
            </w:r>
          </w:p>
        </w:tc>
        <w:tc>
          <w:tcPr>
            <w:tcW w:w="811" w:type="pct"/>
            <w:tcBorders>
              <w:top w:val="single" w:color="auto" w:sz="12" w:space="0"/>
            </w:tcBorders>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服务期</w:t>
            </w:r>
          </w:p>
        </w:tc>
        <w:tc>
          <w:tcPr>
            <w:tcW w:w="657" w:type="pct"/>
            <w:tcBorders>
              <w:top w:val="single" w:color="auto" w:sz="12" w:space="0"/>
            </w:tcBorders>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服务地点</w:t>
            </w:r>
          </w:p>
        </w:tc>
        <w:tc>
          <w:tcPr>
            <w:tcW w:w="634" w:type="pct"/>
            <w:tcBorders>
              <w:top w:val="single" w:color="auto" w:sz="12" w:space="0"/>
            </w:tcBorders>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779" w:hRule="atLeast"/>
          <w:jc w:val="center"/>
        </w:trPr>
        <w:tc>
          <w:tcPr>
            <w:tcW w:w="804" w:type="pct"/>
            <w:vMerge w:val="restart"/>
            <w:vAlign w:val="center"/>
          </w:tcPr>
          <w:p>
            <w:pPr>
              <w:tabs>
                <w:tab w:val="left" w:pos="5580"/>
              </w:tabs>
              <w:spacing w:line="360" w:lineRule="auto"/>
              <w:jc w:val="center"/>
              <w:rPr>
                <w:rFonts w:asciiTheme="minorEastAsia" w:hAnsiTheme="minorEastAsia" w:eastAsiaTheme="minorEastAsia" w:cstheme="minorEastAsia"/>
                <w:sz w:val="24"/>
              </w:rPr>
            </w:pPr>
          </w:p>
          <w:p>
            <w:pPr>
              <w:tabs>
                <w:tab w:val="left" w:pos="5580"/>
              </w:tabs>
              <w:spacing w:line="360" w:lineRule="auto"/>
              <w:jc w:val="center"/>
              <w:rPr>
                <w:rFonts w:asciiTheme="minorEastAsia" w:hAnsiTheme="minorEastAsia" w:eastAsiaTheme="minorEastAsia" w:cstheme="minorEastAsia"/>
                <w:sz w:val="24"/>
              </w:rPr>
            </w:pPr>
          </w:p>
          <w:p>
            <w:pPr>
              <w:tabs>
                <w:tab w:val="left" w:pos="5580"/>
              </w:tabs>
              <w:spacing w:line="360" w:lineRule="auto"/>
              <w:jc w:val="center"/>
              <w:rPr>
                <w:rFonts w:asciiTheme="minorEastAsia" w:hAnsiTheme="minorEastAsia" w:eastAsiaTheme="minorEastAsia" w:cstheme="minorEastAsia"/>
                <w:sz w:val="24"/>
              </w:rPr>
            </w:pPr>
          </w:p>
        </w:tc>
        <w:tc>
          <w:tcPr>
            <w:tcW w:w="659" w:type="pct"/>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人民币小写：</w:t>
            </w:r>
          </w:p>
        </w:tc>
        <w:tc>
          <w:tcPr>
            <w:tcW w:w="811" w:type="pct"/>
            <w:vAlign w:val="center"/>
          </w:tcPr>
          <w:p>
            <w:pPr>
              <w:tabs>
                <w:tab w:val="left" w:pos="5580"/>
              </w:tabs>
              <w:spacing w:line="360" w:lineRule="auto"/>
              <w:jc w:val="center"/>
              <w:rPr>
                <w:rFonts w:asciiTheme="minorEastAsia" w:hAnsiTheme="minorEastAsia" w:eastAsiaTheme="minorEastAsia" w:cstheme="minorEastAsia"/>
                <w:sz w:val="24"/>
              </w:rPr>
            </w:pPr>
          </w:p>
        </w:tc>
        <w:tc>
          <w:tcPr>
            <w:tcW w:w="624" w:type="pct"/>
            <w:vMerge w:val="restart"/>
            <w:vAlign w:val="center"/>
          </w:tcPr>
          <w:p>
            <w:pPr>
              <w:tabs>
                <w:tab w:val="left" w:pos="5580"/>
              </w:tabs>
              <w:spacing w:line="360" w:lineRule="auto"/>
              <w:jc w:val="center"/>
              <w:rPr>
                <w:rFonts w:asciiTheme="minorEastAsia" w:hAnsiTheme="minorEastAsia" w:eastAsiaTheme="minorEastAsia" w:cstheme="minorEastAsia"/>
                <w:sz w:val="24"/>
              </w:rPr>
            </w:pPr>
          </w:p>
        </w:tc>
        <w:tc>
          <w:tcPr>
            <w:tcW w:w="811" w:type="pct"/>
            <w:vMerge w:val="restart"/>
            <w:vAlign w:val="center"/>
          </w:tcPr>
          <w:p>
            <w:pPr>
              <w:tabs>
                <w:tab w:val="left" w:pos="5580"/>
              </w:tabs>
              <w:spacing w:line="360" w:lineRule="auto"/>
              <w:jc w:val="center"/>
              <w:rPr>
                <w:rFonts w:asciiTheme="minorEastAsia" w:hAnsiTheme="minorEastAsia" w:eastAsiaTheme="minorEastAsia" w:cstheme="minorEastAsia"/>
                <w:sz w:val="24"/>
              </w:rPr>
            </w:pPr>
          </w:p>
        </w:tc>
        <w:tc>
          <w:tcPr>
            <w:tcW w:w="657" w:type="pct"/>
            <w:vMerge w:val="restart"/>
            <w:vAlign w:val="center"/>
          </w:tcPr>
          <w:p>
            <w:pPr>
              <w:tabs>
                <w:tab w:val="left" w:pos="5580"/>
              </w:tabs>
              <w:spacing w:line="360" w:lineRule="auto"/>
              <w:jc w:val="center"/>
              <w:rPr>
                <w:rFonts w:asciiTheme="minorEastAsia" w:hAnsiTheme="minorEastAsia" w:eastAsiaTheme="minorEastAsia" w:cstheme="minorEastAsia"/>
                <w:sz w:val="24"/>
              </w:rPr>
            </w:pPr>
          </w:p>
        </w:tc>
        <w:tc>
          <w:tcPr>
            <w:tcW w:w="634" w:type="pct"/>
            <w:vMerge w:val="restart"/>
            <w:vAlign w:val="center"/>
          </w:tcPr>
          <w:p>
            <w:pPr>
              <w:tabs>
                <w:tab w:val="left" w:pos="5580"/>
              </w:tabs>
              <w:spacing w:line="360" w:lineRule="auto"/>
              <w:jc w:val="center"/>
              <w:rPr>
                <w:rFonts w:asciiTheme="minorEastAsia" w:hAnsiTheme="minorEastAsia" w:eastAsiaTheme="minorEastAsia" w:cstheme="minorEastAsia"/>
                <w:sz w:val="24"/>
              </w:rPr>
            </w:pPr>
          </w:p>
          <w:p>
            <w:pPr>
              <w:tabs>
                <w:tab w:val="left" w:pos="5580"/>
              </w:tabs>
              <w:spacing w:line="360" w:lineRule="auto"/>
              <w:jc w:val="center"/>
              <w:rPr>
                <w:rFonts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778" w:hRule="atLeast"/>
          <w:jc w:val="center"/>
        </w:trPr>
        <w:tc>
          <w:tcPr>
            <w:tcW w:w="804" w:type="pct"/>
            <w:vMerge w:val="continue"/>
            <w:vAlign w:val="center"/>
          </w:tcPr>
          <w:p>
            <w:pPr>
              <w:tabs>
                <w:tab w:val="left" w:pos="5580"/>
              </w:tabs>
              <w:spacing w:line="360" w:lineRule="auto"/>
              <w:jc w:val="center"/>
              <w:rPr>
                <w:rFonts w:asciiTheme="minorEastAsia" w:hAnsiTheme="minorEastAsia" w:eastAsiaTheme="minorEastAsia" w:cstheme="minorEastAsia"/>
                <w:sz w:val="24"/>
              </w:rPr>
            </w:pPr>
          </w:p>
        </w:tc>
        <w:tc>
          <w:tcPr>
            <w:tcW w:w="659" w:type="pct"/>
            <w:vAlign w:val="center"/>
          </w:tcPr>
          <w:p>
            <w:pPr>
              <w:tabs>
                <w:tab w:val="left" w:pos="5580"/>
              </w:tabs>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人民币大写：</w:t>
            </w:r>
          </w:p>
        </w:tc>
        <w:tc>
          <w:tcPr>
            <w:tcW w:w="811" w:type="pct"/>
            <w:vAlign w:val="center"/>
          </w:tcPr>
          <w:p>
            <w:pPr>
              <w:tabs>
                <w:tab w:val="left" w:pos="5580"/>
              </w:tabs>
              <w:spacing w:line="360" w:lineRule="auto"/>
              <w:jc w:val="center"/>
              <w:rPr>
                <w:rFonts w:asciiTheme="minorEastAsia" w:hAnsiTheme="minorEastAsia" w:eastAsiaTheme="minorEastAsia" w:cstheme="minorEastAsia"/>
                <w:sz w:val="24"/>
              </w:rPr>
            </w:pPr>
          </w:p>
        </w:tc>
        <w:tc>
          <w:tcPr>
            <w:tcW w:w="624" w:type="pct"/>
            <w:vMerge w:val="continue"/>
            <w:vAlign w:val="center"/>
          </w:tcPr>
          <w:p>
            <w:pPr>
              <w:tabs>
                <w:tab w:val="left" w:pos="5580"/>
              </w:tabs>
              <w:spacing w:line="360" w:lineRule="auto"/>
              <w:jc w:val="center"/>
              <w:rPr>
                <w:rFonts w:asciiTheme="minorEastAsia" w:hAnsiTheme="minorEastAsia" w:eastAsiaTheme="minorEastAsia" w:cstheme="minorEastAsia"/>
                <w:sz w:val="24"/>
              </w:rPr>
            </w:pPr>
          </w:p>
        </w:tc>
        <w:tc>
          <w:tcPr>
            <w:tcW w:w="811" w:type="pct"/>
            <w:vMerge w:val="continue"/>
            <w:vAlign w:val="center"/>
          </w:tcPr>
          <w:p>
            <w:pPr>
              <w:tabs>
                <w:tab w:val="left" w:pos="5580"/>
              </w:tabs>
              <w:spacing w:line="360" w:lineRule="auto"/>
              <w:jc w:val="center"/>
              <w:rPr>
                <w:rFonts w:asciiTheme="minorEastAsia" w:hAnsiTheme="minorEastAsia" w:eastAsiaTheme="minorEastAsia" w:cstheme="minorEastAsia"/>
                <w:sz w:val="24"/>
              </w:rPr>
            </w:pPr>
          </w:p>
        </w:tc>
        <w:tc>
          <w:tcPr>
            <w:tcW w:w="657" w:type="pct"/>
            <w:vMerge w:val="continue"/>
            <w:vAlign w:val="center"/>
          </w:tcPr>
          <w:p>
            <w:pPr>
              <w:tabs>
                <w:tab w:val="left" w:pos="5580"/>
              </w:tabs>
              <w:spacing w:line="360" w:lineRule="auto"/>
              <w:jc w:val="center"/>
              <w:rPr>
                <w:rFonts w:asciiTheme="minorEastAsia" w:hAnsiTheme="minorEastAsia" w:eastAsiaTheme="minorEastAsia" w:cstheme="minorEastAsia"/>
                <w:sz w:val="24"/>
              </w:rPr>
            </w:pPr>
          </w:p>
        </w:tc>
        <w:tc>
          <w:tcPr>
            <w:tcW w:w="634" w:type="pct"/>
            <w:vMerge w:val="continue"/>
            <w:vAlign w:val="center"/>
          </w:tcPr>
          <w:p>
            <w:pPr>
              <w:tabs>
                <w:tab w:val="left" w:pos="5580"/>
              </w:tabs>
              <w:spacing w:line="360" w:lineRule="auto"/>
              <w:jc w:val="center"/>
              <w:rPr>
                <w:rFonts w:asciiTheme="minorEastAsia" w:hAnsiTheme="minorEastAsia" w:eastAsiaTheme="minorEastAsia" w:cstheme="minorEastAsia"/>
                <w:sz w:val="24"/>
              </w:rPr>
            </w:pPr>
          </w:p>
        </w:tc>
      </w:tr>
    </w:tbl>
    <w:p>
      <w:pPr>
        <w:pStyle w:val="20"/>
        <w:tabs>
          <w:tab w:val="left" w:pos="5580"/>
        </w:tabs>
        <w:spacing w:before="120" w:line="360" w:lineRule="auto"/>
        <w:ind w:left="840"/>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投标人名称（盖章）：</w:t>
      </w:r>
    </w:p>
    <w:p>
      <w:pPr>
        <w:spacing w:line="360" w:lineRule="auto"/>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rPr>
        <w:t>授权</w:t>
      </w:r>
      <w:r>
        <w:rPr>
          <w:rFonts w:hint="eastAsia" w:asciiTheme="minorEastAsia" w:hAnsiTheme="minorEastAsia" w:eastAsiaTheme="minorEastAsia" w:cstheme="minorEastAsia"/>
          <w:sz w:val="24"/>
          <w:szCs w:val="21"/>
          <w:lang w:val="zh-CN"/>
        </w:rPr>
        <w:t>代表（签字）：</w:t>
      </w:r>
    </w:p>
    <w:p>
      <w:pPr>
        <w:spacing w:line="360" w:lineRule="auto"/>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注:</w:t>
      </w:r>
    </w:p>
    <w:p>
      <w:pPr>
        <w:spacing w:line="360" w:lineRule="auto"/>
        <w:rPr>
          <w:rFonts w:asciiTheme="minorEastAsia" w:hAnsiTheme="minorEastAsia" w:eastAsiaTheme="minorEastAsia" w:cstheme="minorEastAsia"/>
          <w:sz w:val="24"/>
          <w:szCs w:val="21"/>
          <w:lang w:val="zh-CN"/>
        </w:rPr>
      </w:pPr>
      <w:r>
        <w:rPr>
          <w:rFonts w:asciiTheme="minorEastAsia" w:hAnsiTheme="minorEastAsia" w:eastAsiaTheme="minorEastAsia" w:cstheme="minorEastAsia"/>
          <w:sz w:val="24"/>
          <w:szCs w:val="21"/>
          <w:lang w:val="zh-CN"/>
        </w:rPr>
        <w:t>1</w:t>
      </w:r>
      <w:r>
        <w:rPr>
          <w:rFonts w:hint="eastAsia" w:asciiTheme="minorEastAsia" w:hAnsiTheme="minorEastAsia" w:eastAsiaTheme="minorEastAsia" w:cstheme="minorEastAsia"/>
          <w:sz w:val="24"/>
          <w:szCs w:val="21"/>
          <w:lang w:val="zh-CN"/>
        </w:rPr>
        <w:t>、本次报价为投标人提供一年服务的总价</w:t>
      </w:r>
    </w:p>
    <w:p>
      <w:pPr>
        <w:spacing w:line="360" w:lineRule="auto"/>
        <w:rPr>
          <w:rFonts w:asciiTheme="minorEastAsia" w:hAnsiTheme="minorEastAsia" w:eastAsiaTheme="minorEastAsia" w:cstheme="minorEastAsia"/>
          <w:sz w:val="24"/>
          <w:szCs w:val="21"/>
          <w:lang w:val="zh-CN"/>
        </w:rPr>
      </w:pPr>
      <w:r>
        <w:rPr>
          <w:rFonts w:asciiTheme="minorEastAsia" w:hAnsiTheme="minorEastAsia" w:eastAsiaTheme="minorEastAsia" w:cstheme="minorEastAsia"/>
          <w:sz w:val="24"/>
          <w:szCs w:val="21"/>
          <w:lang w:val="zh-CN"/>
        </w:rPr>
        <w:t>2</w:t>
      </w:r>
      <w:r>
        <w:rPr>
          <w:rFonts w:hint="eastAsia" w:asciiTheme="minorEastAsia" w:hAnsiTheme="minorEastAsia" w:eastAsiaTheme="minorEastAsia" w:cstheme="minorEastAsia"/>
          <w:sz w:val="24"/>
          <w:szCs w:val="21"/>
          <w:lang w:val="zh-CN"/>
        </w:rPr>
        <w:t>、此表应按投标人须知的规定密封标记并单独递交。</w:t>
      </w:r>
    </w:p>
    <w:p>
      <w:pPr>
        <w:spacing w:line="360" w:lineRule="auto"/>
        <w:rPr>
          <w:rFonts w:asciiTheme="minorEastAsia" w:hAnsiTheme="minorEastAsia" w:eastAsiaTheme="minorEastAsia" w:cstheme="minorEastAsia"/>
          <w:sz w:val="24"/>
          <w:szCs w:val="21"/>
          <w:lang w:val="zh-CN"/>
        </w:rPr>
      </w:pPr>
      <w:r>
        <w:rPr>
          <w:rFonts w:asciiTheme="minorEastAsia" w:hAnsiTheme="minorEastAsia" w:eastAsiaTheme="minorEastAsia" w:cstheme="minorEastAsia"/>
          <w:sz w:val="24"/>
          <w:szCs w:val="21"/>
          <w:lang w:val="zh-CN"/>
        </w:rPr>
        <w:t>3</w:t>
      </w:r>
      <w:r>
        <w:rPr>
          <w:rFonts w:hint="eastAsia" w:asciiTheme="minorEastAsia" w:hAnsiTheme="minorEastAsia" w:eastAsiaTheme="minorEastAsia" w:cstheme="minorEastAsia"/>
          <w:sz w:val="24"/>
          <w:szCs w:val="21"/>
          <w:lang w:val="zh-CN"/>
        </w:rPr>
        <w:t>、此表中，投标总价应和“3投标分项报价表”中的总价相一致。</w:t>
      </w:r>
    </w:p>
    <w:p>
      <w:pPr>
        <w:pStyle w:val="14"/>
        <w:spacing w:line="360" w:lineRule="auto"/>
        <w:rPr>
          <w:rFonts w:asciiTheme="minorEastAsia" w:hAnsiTheme="minorEastAsia" w:eastAsiaTheme="minorEastAsia"/>
          <w:lang w:val="zh-CN"/>
        </w:rPr>
        <w:sectPr>
          <w:footerReference r:id="rId16" w:type="default"/>
          <w:pgSz w:w="16840" w:h="11907" w:orient="landscape"/>
          <w:pgMar w:top="1418" w:right="1400" w:bottom="1418" w:left="1089" w:header="851" w:footer="992" w:gutter="0"/>
          <w:cols w:space="720" w:num="1"/>
          <w:docGrid w:linePitch="312" w:charSpace="0"/>
        </w:sectPr>
      </w:pPr>
    </w:p>
    <w:p>
      <w:pPr>
        <w:pStyle w:val="2"/>
        <w:tabs>
          <w:tab w:val="left" w:pos="900"/>
        </w:tabs>
        <w:spacing w:line="360" w:lineRule="auto"/>
        <w:jc w:val="center"/>
        <w:rPr>
          <w:rFonts w:hint="default" w:asciiTheme="minorEastAsia" w:hAnsiTheme="minorEastAsia" w:eastAsiaTheme="minorEastAsia" w:cstheme="minorEastAsia"/>
          <w:sz w:val="24"/>
        </w:rPr>
      </w:pPr>
      <w:bookmarkStart w:id="281" w:name="_Toc366858502"/>
      <w:bookmarkStart w:id="282" w:name="_Toc5895218"/>
      <w:bookmarkStart w:id="283" w:name="_Toc61878507"/>
      <w:bookmarkStart w:id="284" w:name="_Toc310195764"/>
      <w:bookmarkStart w:id="285" w:name="_Toc523911435"/>
      <w:bookmarkStart w:id="286" w:name="_Toc310195765"/>
      <w:bookmarkStart w:id="287" w:name="_Toc236642992"/>
      <w:r>
        <w:rPr>
          <w:rFonts w:asciiTheme="minorEastAsia" w:hAnsiTheme="minorEastAsia" w:eastAsiaTheme="minorEastAsia" w:cstheme="minorEastAsia"/>
          <w:sz w:val="24"/>
        </w:rPr>
        <w:t>3 投标分项报价表</w:t>
      </w:r>
      <w:bookmarkEnd w:id="281"/>
      <w:bookmarkEnd w:id="282"/>
      <w:bookmarkEnd w:id="283"/>
      <w:bookmarkEnd w:id="284"/>
      <w:bookmarkEnd w:id="285"/>
    </w:p>
    <w:p>
      <w:pPr>
        <w:pStyle w:val="9"/>
        <w:spacing w:line="360" w:lineRule="auto"/>
        <w:ind w:firstLine="5262" w:firstLineChars="2184"/>
        <w:rPr>
          <w:rFonts w:asciiTheme="minorEastAsia" w:hAnsiTheme="minorEastAsia" w:eastAsiaTheme="minorEastAsia" w:cstheme="minorEastAsia"/>
          <w:b/>
          <w:szCs w:val="24"/>
        </w:rPr>
      </w:pPr>
    </w:p>
    <w:p>
      <w:pPr>
        <w:pStyle w:val="20"/>
        <w:spacing w:line="360" w:lineRule="auto"/>
        <w:ind w:left="84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rPr>
        <w:t>项目名称：</w:t>
      </w:r>
      <w:r>
        <w:rPr>
          <w:rFonts w:hint="eastAsia" w:asciiTheme="minorEastAsia" w:hAnsiTheme="minorEastAsia" w:eastAsiaTheme="minorEastAsia" w:cstheme="minorEastAsia"/>
          <w:sz w:val="24"/>
          <w:szCs w:val="24"/>
        </w:rPr>
        <w:t xml:space="preserve">__________                       项目编号：_______________ </w:t>
      </w:r>
      <w:r>
        <w:rPr>
          <w:rFonts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包号：</w:t>
      </w:r>
      <w:r>
        <w:rPr>
          <w:rFonts w:hint="eastAsia" w:asciiTheme="minorEastAsia" w:hAnsiTheme="minorEastAsia" w:eastAsiaTheme="minorEastAsia" w:cstheme="minorEastAsia"/>
          <w:sz w:val="24"/>
          <w:szCs w:val="24"/>
          <w:u w:val="single"/>
        </w:rPr>
        <w:t xml:space="preserve"> </w:t>
      </w:r>
      <w:r>
        <w:rPr>
          <w:rFonts w:asciiTheme="minorEastAsia" w:hAnsiTheme="minorEastAsia" w:eastAsiaTheme="minorEastAsia" w:cstheme="minorEastAsia"/>
          <w:sz w:val="24"/>
          <w:szCs w:val="24"/>
          <w:u w:val="single"/>
        </w:rPr>
        <w:t xml:space="preserve">      </w:t>
      </w:r>
    </w:p>
    <w:tbl>
      <w:tblPr>
        <w:tblStyle w:val="48"/>
        <w:tblW w:w="1318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362"/>
        <w:gridCol w:w="3061"/>
        <w:gridCol w:w="992"/>
        <w:gridCol w:w="1134"/>
        <w:gridCol w:w="1542"/>
        <w:gridCol w:w="1134"/>
        <w:gridCol w:w="143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tcBorders>
              <w:top w:val="single" w:color="auto" w:sz="12" w:space="0"/>
            </w:tcBorders>
            <w:vAlign w:val="center"/>
          </w:tcPr>
          <w:p>
            <w:pPr>
              <w:pStyle w:val="20"/>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2362" w:type="dxa"/>
            <w:tcBorders>
              <w:top w:val="single" w:color="auto" w:sz="12" w:space="0"/>
            </w:tcBorders>
            <w:vAlign w:val="center"/>
          </w:tcPr>
          <w:p>
            <w:pPr>
              <w:pStyle w:val="20"/>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3061" w:type="dxa"/>
            <w:tcBorders>
              <w:top w:val="single" w:color="auto" w:sz="12" w:space="0"/>
            </w:tcBorders>
            <w:vAlign w:val="center"/>
          </w:tcPr>
          <w:p>
            <w:pPr>
              <w:pStyle w:val="20"/>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服务内容</w:t>
            </w:r>
          </w:p>
        </w:tc>
        <w:tc>
          <w:tcPr>
            <w:tcW w:w="992" w:type="dxa"/>
            <w:tcBorders>
              <w:top w:val="single" w:color="auto" w:sz="12" w:space="0"/>
            </w:tcBorders>
            <w:vAlign w:val="center"/>
          </w:tcPr>
          <w:p>
            <w:pPr>
              <w:pStyle w:val="20"/>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1134" w:type="dxa"/>
            <w:tcBorders>
              <w:top w:val="single" w:color="auto" w:sz="12" w:space="0"/>
            </w:tcBorders>
            <w:vAlign w:val="center"/>
          </w:tcPr>
          <w:p>
            <w:pPr>
              <w:pStyle w:val="20"/>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服务期</w:t>
            </w:r>
          </w:p>
        </w:tc>
        <w:tc>
          <w:tcPr>
            <w:tcW w:w="1542" w:type="dxa"/>
            <w:tcBorders>
              <w:top w:val="single" w:color="auto" w:sz="12" w:space="0"/>
            </w:tcBorders>
            <w:vAlign w:val="center"/>
          </w:tcPr>
          <w:p>
            <w:pPr>
              <w:pStyle w:val="20"/>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服务地点</w:t>
            </w:r>
          </w:p>
        </w:tc>
        <w:tc>
          <w:tcPr>
            <w:tcW w:w="1134" w:type="dxa"/>
            <w:tcBorders>
              <w:top w:val="single" w:color="auto" w:sz="12" w:space="0"/>
            </w:tcBorders>
            <w:vAlign w:val="center"/>
          </w:tcPr>
          <w:p>
            <w:pPr>
              <w:pStyle w:val="20"/>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单价</w:t>
            </w:r>
          </w:p>
        </w:tc>
        <w:tc>
          <w:tcPr>
            <w:tcW w:w="1435" w:type="dxa"/>
            <w:tcBorders>
              <w:top w:val="single" w:color="auto" w:sz="12" w:space="0"/>
            </w:tcBorders>
            <w:vAlign w:val="center"/>
          </w:tcPr>
          <w:p>
            <w:pPr>
              <w:pStyle w:val="20"/>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0"/>
              <w:spacing w:line="360" w:lineRule="auto"/>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2362" w:type="dxa"/>
            <w:vAlign w:val="center"/>
          </w:tcPr>
          <w:p>
            <w:pPr>
              <w:pStyle w:val="20"/>
              <w:spacing w:line="360" w:lineRule="auto"/>
              <w:ind w:left="840"/>
              <w:rPr>
                <w:rFonts w:asciiTheme="minorEastAsia" w:hAnsiTheme="minorEastAsia" w:eastAsiaTheme="minorEastAsia" w:cstheme="minorEastAsia"/>
                <w:sz w:val="24"/>
                <w:szCs w:val="24"/>
              </w:rPr>
            </w:pPr>
          </w:p>
        </w:tc>
        <w:tc>
          <w:tcPr>
            <w:tcW w:w="3061"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992"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134"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542"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134"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435" w:type="dxa"/>
            <w:vAlign w:val="center"/>
          </w:tcPr>
          <w:p>
            <w:pPr>
              <w:pStyle w:val="20"/>
              <w:spacing w:line="360" w:lineRule="auto"/>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0"/>
              <w:spacing w:line="360" w:lineRule="auto"/>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2362" w:type="dxa"/>
            <w:vAlign w:val="center"/>
          </w:tcPr>
          <w:p>
            <w:pPr>
              <w:pStyle w:val="20"/>
              <w:spacing w:line="360" w:lineRule="auto"/>
              <w:ind w:left="840"/>
              <w:rPr>
                <w:rFonts w:asciiTheme="minorEastAsia" w:hAnsiTheme="minorEastAsia" w:eastAsiaTheme="minorEastAsia" w:cstheme="minorEastAsia"/>
                <w:sz w:val="24"/>
                <w:szCs w:val="24"/>
              </w:rPr>
            </w:pPr>
          </w:p>
        </w:tc>
        <w:tc>
          <w:tcPr>
            <w:tcW w:w="3061"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992"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134"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542"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134"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435" w:type="dxa"/>
            <w:vAlign w:val="center"/>
          </w:tcPr>
          <w:p>
            <w:pPr>
              <w:pStyle w:val="20"/>
              <w:spacing w:line="360" w:lineRule="auto"/>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0"/>
              <w:spacing w:line="360" w:lineRule="auto"/>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2362" w:type="dxa"/>
            <w:vAlign w:val="center"/>
          </w:tcPr>
          <w:p>
            <w:pPr>
              <w:pStyle w:val="20"/>
              <w:spacing w:line="360" w:lineRule="auto"/>
              <w:ind w:left="840"/>
              <w:rPr>
                <w:rFonts w:asciiTheme="minorEastAsia" w:hAnsiTheme="minorEastAsia" w:eastAsiaTheme="minorEastAsia" w:cstheme="minorEastAsia"/>
                <w:sz w:val="24"/>
                <w:szCs w:val="24"/>
              </w:rPr>
            </w:pPr>
          </w:p>
        </w:tc>
        <w:tc>
          <w:tcPr>
            <w:tcW w:w="3061"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992"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134"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542"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134"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435" w:type="dxa"/>
            <w:vAlign w:val="center"/>
          </w:tcPr>
          <w:p>
            <w:pPr>
              <w:pStyle w:val="20"/>
              <w:spacing w:line="360" w:lineRule="auto"/>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0"/>
              <w:spacing w:line="360" w:lineRule="auto"/>
              <w:ind w:left="84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2362" w:type="dxa"/>
            <w:vAlign w:val="center"/>
          </w:tcPr>
          <w:p>
            <w:pPr>
              <w:pStyle w:val="20"/>
              <w:spacing w:line="360" w:lineRule="auto"/>
              <w:ind w:left="840"/>
              <w:rPr>
                <w:rFonts w:asciiTheme="minorEastAsia" w:hAnsiTheme="minorEastAsia" w:eastAsiaTheme="minorEastAsia" w:cstheme="minorEastAsia"/>
                <w:sz w:val="24"/>
                <w:szCs w:val="24"/>
              </w:rPr>
            </w:pPr>
          </w:p>
        </w:tc>
        <w:tc>
          <w:tcPr>
            <w:tcW w:w="3061"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992"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134"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542"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134"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435" w:type="dxa"/>
            <w:vAlign w:val="center"/>
          </w:tcPr>
          <w:p>
            <w:pPr>
              <w:pStyle w:val="20"/>
              <w:spacing w:line="360" w:lineRule="auto"/>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0"/>
              <w:spacing w:line="360" w:lineRule="auto"/>
              <w:ind w:firstLine="120" w:firstLineChars="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2362" w:type="dxa"/>
            <w:vAlign w:val="center"/>
          </w:tcPr>
          <w:p>
            <w:pPr>
              <w:pStyle w:val="20"/>
              <w:spacing w:line="360" w:lineRule="auto"/>
              <w:ind w:left="840"/>
              <w:rPr>
                <w:rFonts w:asciiTheme="minorEastAsia" w:hAnsiTheme="minorEastAsia" w:eastAsiaTheme="minorEastAsia" w:cstheme="minorEastAsia"/>
                <w:sz w:val="24"/>
                <w:szCs w:val="24"/>
              </w:rPr>
            </w:pPr>
          </w:p>
        </w:tc>
        <w:tc>
          <w:tcPr>
            <w:tcW w:w="3061"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992"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134"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542"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134" w:type="dxa"/>
            <w:vAlign w:val="center"/>
          </w:tcPr>
          <w:p>
            <w:pPr>
              <w:pStyle w:val="20"/>
              <w:spacing w:line="360" w:lineRule="auto"/>
              <w:ind w:left="840"/>
              <w:jc w:val="center"/>
              <w:rPr>
                <w:rFonts w:asciiTheme="minorEastAsia" w:hAnsiTheme="minorEastAsia" w:eastAsiaTheme="minorEastAsia" w:cstheme="minorEastAsia"/>
                <w:sz w:val="24"/>
                <w:szCs w:val="24"/>
              </w:rPr>
            </w:pPr>
          </w:p>
        </w:tc>
        <w:tc>
          <w:tcPr>
            <w:tcW w:w="1435" w:type="dxa"/>
            <w:vAlign w:val="center"/>
          </w:tcPr>
          <w:p>
            <w:pPr>
              <w:pStyle w:val="20"/>
              <w:spacing w:line="360" w:lineRule="auto"/>
              <w:ind w:left="840"/>
              <w:jc w:val="center"/>
              <w:rPr>
                <w:rFonts w:asciiTheme="minorEastAsia" w:hAnsiTheme="minorEastAsia" w:eastAsiaTheme="minorEastAsia" w:cs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1751" w:type="dxa"/>
            <w:gridSpan w:val="7"/>
            <w:tcBorders>
              <w:bottom w:val="single" w:color="auto" w:sz="12" w:space="0"/>
            </w:tcBorders>
            <w:vAlign w:val="center"/>
          </w:tcPr>
          <w:p>
            <w:pPr>
              <w:pStyle w:val="20"/>
              <w:spacing w:before="156" w:line="360" w:lineRule="auto"/>
              <w:ind w:left="840"/>
              <w:jc w:val="righ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总计</w:t>
            </w:r>
          </w:p>
        </w:tc>
        <w:tc>
          <w:tcPr>
            <w:tcW w:w="1435" w:type="dxa"/>
            <w:tcBorders>
              <w:bottom w:val="single" w:color="auto" w:sz="12" w:space="0"/>
            </w:tcBorders>
            <w:vAlign w:val="center"/>
          </w:tcPr>
          <w:p>
            <w:pPr>
              <w:pStyle w:val="20"/>
              <w:spacing w:line="360" w:lineRule="auto"/>
              <w:ind w:left="840"/>
              <w:jc w:val="center"/>
              <w:rPr>
                <w:rFonts w:asciiTheme="minorEastAsia" w:hAnsiTheme="minorEastAsia" w:eastAsiaTheme="minorEastAsia" w:cstheme="minorEastAsia"/>
                <w:sz w:val="24"/>
                <w:szCs w:val="24"/>
              </w:rPr>
            </w:pPr>
          </w:p>
        </w:tc>
      </w:tr>
    </w:tbl>
    <w:p>
      <w:pPr>
        <w:pStyle w:val="20"/>
        <w:spacing w:line="360" w:lineRule="auto"/>
        <w:ind w:left="840"/>
        <w:rPr>
          <w:rFonts w:asciiTheme="minorEastAsia" w:hAnsiTheme="minorEastAsia" w:eastAsiaTheme="minorEastAsia" w:cstheme="minorEastAsia"/>
          <w:sz w:val="24"/>
          <w:szCs w:val="24"/>
        </w:rPr>
      </w:pPr>
    </w:p>
    <w:p>
      <w:pPr>
        <w:pStyle w:val="20"/>
        <w:tabs>
          <w:tab w:val="left" w:pos="5580"/>
        </w:tabs>
        <w:spacing w:before="120" w:line="360" w:lineRule="auto"/>
        <w:ind w:left="8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投标人名称（盖章）：</w:t>
      </w:r>
    </w:p>
    <w:p>
      <w:pPr>
        <w:pStyle w:val="20"/>
        <w:tabs>
          <w:tab w:val="left" w:pos="5580"/>
        </w:tabs>
        <w:spacing w:before="120" w:line="360" w:lineRule="auto"/>
        <w:ind w:left="8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授权代表（签字）：</w:t>
      </w:r>
    </w:p>
    <w:p>
      <w:pPr>
        <w:pStyle w:val="20"/>
        <w:spacing w:line="360" w:lineRule="auto"/>
        <w:ind w:left="8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w:t>
      </w:r>
    </w:p>
    <w:p>
      <w:pPr>
        <w:pStyle w:val="20"/>
        <w:spacing w:line="360" w:lineRule="auto"/>
        <w:ind w:left="84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rPr>
        <w:t>本次报价为投标人提供一年服务的总价</w:t>
      </w:r>
    </w:p>
    <w:p>
      <w:pPr>
        <w:pStyle w:val="20"/>
        <w:spacing w:line="360" w:lineRule="auto"/>
        <w:ind w:left="84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rPr>
        <w:t>.如果单价计算的结果与总价不一致，以单价金额计算结果为准。</w:t>
      </w:r>
    </w:p>
    <w:p>
      <w:pPr>
        <w:pStyle w:val="20"/>
        <w:spacing w:line="360" w:lineRule="auto"/>
        <w:ind w:left="84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rPr>
        <w:t>.上述各项所列内容，投标人认为如需详细分项报价的，应另页描述。</w:t>
      </w:r>
    </w:p>
    <w:p>
      <w:pPr>
        <w:pStyle w:val="20"/>
        <w:spacing w:line="360" w:lineRule="auto"/>
        <w:rPr>
          <w:rFonts w:asciiTheme="minorEastAsia" w:hAnsiTheme="minorEastAsia" w:eastAsiaTheme="minorEastAsia" w:cstheme="minorEastAsia"/>
          <w:sz w:val="24"/>
          <w:szCs w:val="24"/>
        </w:rPr>
        <w:sectPr>
          <w:pgSz w:w="16840" w:h="11907" w:orient="landscape"/>
          <w:pgMar w:top="1418" w:right="1400" w:bottom="1418" w:left="1089" w:header="851" w:footer="992" w:gutter="0"/>
          <w:cols w:space="720" w:num="1"/>
          <w:docGrid w:linePitch="312" w:charSpace="0"/>
        </w:sectPr>
      </w:pPr>
    </w:p>
    <w:bookmarkEnd w:id="286"/>
    <w:bookmarkEnd w:id="287"/>
    <w:p>
      <w:pPr>
        <w:pStyle w:val="2"/>
        <w:tabs>
          <w:tab w:val="left" w:pos="900"/>
        </w:tabs>
        <w:spacing w:line="360" w:lineRule="auto"/>
        <w:jc w:val="center"/>
        <w:rPr>
          <w:rFonts w:hint="default" w:asciiTheme="minorEastAsia" w:hAnsiTheme="minorEastAsia" w:eastAsiaTheme="minorEastAsia" w:cstheme="minorEastAsia"/>
          <w:sz w:val="24"/>
        </w:rPr>
      </w:pPr>
      <w:bookmarkStart w:id="288" w:name="_Toc523911437"/>
      <w:bookmarkStart w:id="289" w:name="_Toc61878508"/>
      <w:bookmarkStart w:id="290" w:name="_Toc310195766"/>
      <w:bookmarkStart w:id="291" w:name="_Toc5895220"/>
      <w:bookmarkStart w:id="292" w:name="_Toc236642993"/>
      <w:r>
        <w:rPr>
          <w:rFonts w:asciiTheme="minorEastAsia" w:hAnsiTheme="minorEastAsia" w:eastAsiaTheme="minorEastAsia" w:cstheme="minorEastAsia"/>
          <w:sz w:val="24"/>
        </w:rPr>
        <w:t>4 技术规格偏离表</w:t>
      </w:r>
      <w:bookmarkEnd w:id="288"/>
      <w:bookmarkEnd w:id="289"/>
      <w:bookmarkEnd w:id="290"/>
      <w:bookmarkEnd w:id="291"/>
    </w:p>
    <w:bookmarkEnd w:id="292"/>
    <w:p>
      <w:pPr>
        <w:pStyle w:val="20"/>
        <w:spacing w:line="360" w:lineRule="auto"/>
        <w:ind w:left="840"/>
        <w:rPr>
          <w:rFonts w:asciiTheme="minorEastAsia" w:hAnsiTheme="minorEastAsia" w:eastAsiaTheme="minorEastAsia" w:cstheme="minorEastAsia"/>
          <w:sz w:val="24"/>
        </w:rPr>
      </w:pPr>
    </w:p>
    <w:p>
      <w:pPr>
        <w:pStyle w:val="20"/>
        <w:spacing w:line="360" w:lineRule="auto"/>
        <w:ind w:left="84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项目名称:</w:t>
      </w:r>
      <w:r>
        <w:rPr>
          <w:rFonts w:hint="eastAsia" w:asciiTheme="minorEastAsia" w:hAnsiTheme="minorEastAsia" w:eastAsiaTheme="minorEastAsia" w:cstheme="minorEastAsia"/>
          <w:sz w:val="24"/>
          <w:u w:val="single"/>
        </w:rPr>
        <w:t xml:space="preserve">___________ </w:t>
      </w:r>
      <w:r>
        <w:rPr>
          <w:rFonts w:hint="eastAsia" w:asciiTheme="minorEastAsia" w:hAnsiTheme="minorEastAsia" w:eastAsiaTheme="minorEastAsia" w:cstheme="minorEastAsia"/>
          <w:sz w:val="24"/>
        </w:rPr>
        <w:t>项目编号:</w:t>
      </w:r>
      <w:r>
        <w:rPr>
          <w:rFonts w:hint="eastAsia" w:asciiTheme="minorEastAsia" w:hAnsiTheme="minorEastAsia" w:eastAsiaTheme="minorEastAsia" w:cstheme="minorEastAsia"/>
          <w:sz w:val="24"/>
          <w:u w:val="single"/>
        </w:rPr>
        <w:t>____________</w:t>
      </w:r>
      <w:r>
        <w:rPr>
          <w:rFonts w:hint="eastAsia" w:asciiTheme="minorEastAsia" w:hAnsiTheme="minorEastAsia" w:eastAsiaTheme="minorEastAsia" w:cstheme="minorEastAsia"/>
          <w:sz w:val="24"/>
        </w:rPr>
        <w:t xml:space="preserve"> 包号：</w:t>
      </w:r>
      <w:r>
        <w:rPr>
          <w:rFonts w:hint="eastAsia" w:asciiTheme="minorEastAsia" w:hAnsiTheme="minorEastAsia" w:eastAsiaTheme="minorEastAsia" w:cstheme="minorEastAsia"/>
          <w:sz w:val="24"/>
          <w:u w:val="single"/>
        </w:rPr>
        <w:t xml:space="preserve"> </w:t>
      </w:r>
      <w:r>
        <w:rPr>
          <w:rFonts w:asciiTheme="minorEastAsia" w:hAnsiTheme="minorEastAsia" w:eastAsiaTheme="minorEastAsia" w:cstheme="minorEastAsia"/>
          <w:sz w:val="24"/>
          <w:u w:val="single"/>
        </w:rPr>
        <w:t xml:space="preserve">          </w:t>
      </w:r>
    </w:p>
    <w:tbl>
      <w:tblPr>
        <w:tblStyle w:val="48"/>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057"/>
        <w:gridCol w:w="1715"/>
        <w:gridCol w:w="1673"/>
        <w:gridCol w:w="1585"/>
        <w:gridCol w:w="1713"/>
        <w:gridCol w:w="154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56" w:type="pct"/>
            <w:tcBorders>
              <w:top w:val="single" w:color="auto" w:sz="12" w:space="0"/>
            </w:tcBorders>
            <w:vAlign w:val="center"/>
          </w:tcPr>
          <w:p>
            <w:pPr>
              <w:pStyle w:val="20"/>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序号</w:t>
            </w:r>
          </w:p>
        </w:tc>
        <w:tc>
          <w:tcPr>
            <w:tcW w:w="926" w:type="pct"/>
            <w:tcBorders>
              <w:top w:val="single" w:color="auto" w:sz="12" w:space="0"/>
            </w:tcBorders>
            <w:vAlign w:val="center"/>
          </w:tcPr>
          <w:p>
            <w:pPr>
              <w:pStyle w:val="20"/>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服务名称</w:t>
            </w:r>
          </w:p>
        </w:tc>
        <w:tc>
          <w:tcPr>
            <w:tcW w:w="903" w:type="pct"/>
            <w:tcBorders>
              <w:top w:val="single" w:color="auto" w:sz="12" w:space="0"/>
            </w:tcBorders>
            <w:vAlign w:val="center"/>
          </w:tcPr>
          <w:p>
            <w:pPr>
              <w:pStyle w:val="20"/>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招标规格</w:t>
            </w:r>
          </w:p>
        </w:tc>
        <w:tc>
          <w:tcPr>
            <w:tcW w:w="856" w:type="pct"/>
            <w:tcBorders>
              <w:top w:val="single" w:color="auto" w:sz="12" w:space="0"/>
            </w:tcBorders>
            <w:vAlign w:val="center"/>
          </w:tcPr>
          <w:p>
            <w:pPr>
              <w:pStyle w:val="20"/>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投标规格</w:t>
            </w:r>
          </w:p>
        </w:tc>
        <w:tc>
          <w:tcPr>
            <w:tcW w:w="925" w:type="pct"/>
            <w:tcBorders>
              <w:top w:val="single" w:color="auto" w:sz="12" w:space="0"/>
            </w:tcBorders>
            <w:vAlign w:val="center"/>
          </w:tcPr>
          <w:p>
            <w:pPr>
              <w:pStyle w:val="20"/>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响应/偏离情况</w:t>
            </w:r>
          </w:p>
        </w:tc>
        <w:tc>
          <w:tcPr>
            <w:tcW w:w="833" w:type="pct"/>
            <w:tcBorders>
              <w:top w:val="single" w:color="auto" w:sz="12" w:space="0"/>
            </w:tcBorders>
            <w:vAlign w:val="center"/>
          </w:tcPr>
          <w:p>
            <w:pPr>
              <w:pStyle w:val="20"/>
              <w:spacing w:line="360" w:lineRule="auto"/>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0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5"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3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0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5"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3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0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5"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3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0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5"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3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0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5"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3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0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5"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3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0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5"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3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0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5"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3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5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0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5"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3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0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5"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3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0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56"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5"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3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556" w:type="pct"/>
            <w:tcBorders>
              <w:bottom w:val="single" w:color="auto" w:sz="12" w:space="0"/>
            </w:tcBorders>
            <w:vAlign w:val="center"/>
          </w:tcPr>
          <w:p>
            <w:pPr>
              <w:pStyle w:val="20"/>
              <w:spacing w:line="360" w:lineRule="auto"/>
              <w:ind w:left="840"/>
              <w:jc w:val="center"/>
              <w:rPr>
                <w:rFonts w:asciiTheme="minorEastAsia" w:hAnsiTheme="minorEastAsia" w:eastAsiaTheme="minorEastAsia" w:cstheme="minorEastAsia"/>
                <w:sz w:val="24"/>
                <w:lang w:val="en-US"/>
              </w:rPr>
            </w:pPr>
            <w:r>
              <w:rPr>
                <w:rFonts w:hint="eastAsia" w:asciiTheme="minorEastAsia" w:hAnsiTheme="minorEastAsia" w:eastAsiaTheme="minorEastAsia" w:cstheme="minorEastAsia"/>
                <w:sz w:val="24"/>
                <w:lang w:val="en-US"/>
              </w:rPr>
              <w:t xml:space="preserve"> </w:t>
            </w:r>
          </w:p>
        </w:tc>
        <w:tc>
          <w:tcPr>
            <w:tcW w:w="926" w:type="pct"/>
            <w:tcBorders>
              <w:bottom w:val="single" w:color="auto" w:sz="12" w:space="0"/>
            </w:tcBorders>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03" w:type="pct"/>
            <w:tcBorders>
              <w:bottom w:val="single" w:color="auto" w:sz="12" w:space="0"/>
            </w:tcBorders>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56" w:type="pct"/>
            <w:tcBorders>
              <w:bottom w:val="single" w:color="auto" w:sz="12" w:space="0"/>
            </w:tcBorders>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925" w:type="pct"/>
            <w:tcBorders>
              <w:bottom w:val="single" w:color="auto" w:sz="12" w:space="0"/>
            </w:tcBorders>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33" w:type="pct"/>
            <w:tcBorders>
              <w:bottom w:val="single" w:color="auto" w:sz="12" w:space="0"/>
            </w:tcBorders>
            <w:vAlign w:val="center"/>
          </w:tcPr>
          <w:p>
            <w:pPr>
              <w:pStyle w:val="20"/>
              <w:spacing w:line="360" w:lineRule="auto"/>
              <w:ind w:left="840"/>
              <w:jc w:val="center"/>
              <w:rPr>
                <w:rFonts w:asciiTheme="minorEastAsia" w:hAnsiTheme="minorEastAsia" w:eastAsiaTheme="minorEastAsia" w:cstheme="minorEastAsia"/>
                <w:sz w:val="24"/>
                <w:lang w:val="en-US"/>
              </w:rPr>
            </w:pPr>
          </w:p>
        </w:tc>
      </w:tr>
    </w:tbl>
    <w:p>
      <w:pPr>
        <w:pStyle w:val="20"/>
        <w:spacing w:line="360" w:lineRule="auto"/>
        <w:ind w:left="315" w:leftChars="15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投标人的技术偏差必须如实填写，并应对“响应/偏离情况”做出必要说明。投标人应对故意隐瞒技术偏差的行为承担责任。对招标文件有任何偏离应列明“正偏离”或“负偏离”，如对招标文件无偏离应标明“无偏离”。</w:t>
      </w:r>
    </w:p>
    <w:p>
      <w:pPr>
        <w:pStyle w:val="20"/>
        <w:tabs>
          <w:tab w:val="left" w:pos="5580"/>
        </w:tabs>
        <w:spacing w:before="120" w:line="360" w:lineRule="auto"/>
        <w:ind w:left="8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投标人名称（盖章）：</w:t>
      </w:r>
    </w:p>
    <w:p>
      <w:pPr>
        <w:pStyle w:val="20"/>
        <w:tabs>
          <w:tab w:val="left" w:pos="5580"/>
        </w:tabs>
        <w:spacing w:before="120" w:line="360" w:lineRule="auto"/>
        <w:ind w:left="84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授权代表（签字）：</w:t>
      </w:r>
    </w:p>
    <w:p>
      <w:pPr>
        <w:pStyle w:val="20"/>
        <w:tabs>
          <w:tab w:val="left" w:pos="5580"/>
        </w:tabs>
        <w:spacing w:before="120" w:line="360" w:lineRule="auto"/>
        <w:ind w:left="84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24"/>
        </w:rPr>
        <w:t>注：此表格经授权代表签字方有效。</w:t>
      </w:r>
    </w:p>
    <w:p>
      <w:pPr>
        <w:pStyle w:val="2"/>
        <w:tabs>
          <w:tab w:val="left" w:pos="900"/>
        </w:tabs>
        <w:spacing w:line="360" w:lineRule="auto"/>
        <w:jc w:val="center"/>
        <w:rPr>
          <w:rFonts w:hint="default" w:asciiTheme="minorEastAsia" w:hAnsiTheme="minorEastAsia" w:eastAsiaTheme="minorEastAsia" w:cstheme="minorEastAsia"/>
          <w:sz w:val="24"/>
        </w:rPr>
      </w:pPr>
      <w:bookmarkStart w:id="293" w:name="_Toc310195767"/>
      <w:bookmarkStart w:id="294" w:name="_Toc236642994"/>
      <w:r>
        <w:rPr>
          <w:rFonts w:asciiTheme="minorEastAsia" w:hAnsiTheme="minorEastAsia" w:eastAsiaTheme="minorEastAsia" w:cstheme="minorEastAsia"/>
          <w:sz w:val="24"/>
        </w:rPr>
        <w:br w:type="page"/>
      </w:r>
      <w:bookmarkStart w:id="295" w:name="_Toc523911438"/>
      <w:bookmarkStart w:id="296" w:name="_Toc5895221"/>
      <w:bookmarkStart w:id="297" w:name="_Toc61878509"/>
      <w:r>
        <w:rPr>
          <w:rFonts w:asciiTheme="minorEastAsia" w:hAnsiTheme="minorEastAsia" w:eastAsiaTheme="minorEastAsia" w:cstheme="minorEastAsia"/>
          <w:sz w:val="24"/>
        </w:rPr>
        <w:t>5</w:t>
      </w:r>
      <w:r>
        <w:rPr>
          <w:rFonts w:asciiTheme="minorEastAsia" w:hAnsiTheme="minorEastAsia" w:eastAsiaTheme="minorEastAsia" w:cstheme="minorEastAsia"/>
          <w:sz w:val="24"/>
          <w:lang w:val="en-US"/>
        </w:rPr>
        <w:t xml:space="preserve"> </w:t>
      </w:r>
      <w:r>
        <w:rPr>
          <w:rFonts w:asciiTheme="minorEastAsia" w:hAnsiTheme="minorEastAsia" w:eastAsiaTheme="minorEastAsia" w:cstheme="minorEastAsia"/>
          <w:sz w:val="24"/>
        </w:rPr>
        <w:t>商务条款偏离表</w:t>
      </w:r>
      <w:bookmarkEnd w:id="293"/>
      <w:bookmarkEnd w:id="295"/>
      <w:bookmarkEnd w:id="296"/>
      <w:bookmarkEnd w:id="297"/>
    </w:p>
    <w:p>
      <w:pPr>
        <w:pStyle w:val="20"/>
        <w:spacing w:line="360" w:lineRule="auto"/>
        <w:ind w:left="840"/>
        <w:rPr>
          <w:rFonts w:asciiTheme="minorEastAsia" w:hAnsiTheme="minorEastAsia" w:eastAsiaTheme="minorEastAsia" w:cstheme="minorEastAsia"/>
          <w:sz w:val="24"/>
        </w:rPr>
      </w:pPr>
    </w:p>
    <w:p>
      <w:pPr>
        <w:pStyle w:val="20"/>
        <w:spacing w:line="360" w:lineRule="auto"/>
        <w:ind w:left="840" w:firstLine="120" w:firstLineChars="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w:t>
      </w:r>
      <w:r>
        <w:rPr>
          <w:rFonts w:hint="eastAsia" w:asciiTheme="minorEastAsia" w:hAnsiTheme="minorEastAsia" w:eastAsiaTheme="minorEastAsia" w:cstheme="minorEastAsia"/>
          <w:sz w:val="24"/>
          <w:u w:val="single"/>
        </w:rPr>
        <w:t xml:space="preserve">____________ </w:t>
      </w:r>
      <w:r>
        <w:rPr>
          <w:rFonts w:hint="eastAsia" w:asciiTheme="minorEastAsia" w:hAnsiTheme="minorEastAsia" w:eastAsiaTheme="minorEastAsia" w:cstheme="minorEastAsia"/>
          <w:sz w:val="24"/>
        </w:rPr>
        <w:t xml:space="preserve"> 项目编号:</w:t>
      </w:r>
      <w:r>
        <w:rPr>
          <w:rFonts w:hint="eastAsia" w:asciiTheme="minorEastAsia" w:hAnsiTheme="minorEastAsia" w:eastAsiaTheme="minorEastAsia" w:cstheme="minorEastAsia"/>
          <w:sz w:val="24"/>
          <w:u w:val="single"/>
        </w:rPr>
        <w:t>_____________</w:t>
      </w:r>
      <w:r>
        <w:rPr>
          <w:rFonts w:hint="eastAsia" w:asciiTheme="minorEastAsia" w:hAnsiTheme="minorEastAsia" w:eastAsiaTheme="minorEastAsia" w:cstheme="minorEastAsia"/>
          <w:sz w:val="24"/>
        </w:rPr>
        <w:t xml:space="preserve"> 包号：</w:t>
      </w:r>
      <w:r>
        <w:rPr>
          <w:rFonts w:hint="eastAsia" w:asciiTheme="minorEastAsia" w:hAnsiTheme="minorEastAsia" w:eastAsiaTheme="minorEastAsia" w:cstheme="minorEastAsia"/>
          <w:sz w:val="24"/>
          <w:u w:val="single"/>
        </w:rPr>
        <w:t xml:space="preserve"> </w:t>
      </w:r>
      <w:r>
        <w:rPr>
          <w:rFonts w:asciiTheme="minorEastAsia" w:hAnsiTheme="minorEastAsia" w:eastAsiaTheme="minorEastAsia" w:cstheme="minorEastAsia"/>
          <w:sz w:val="24"/>
          <w:u w:val="single"/>
        </w:rPr>
        <w:t xml:space="preserve">          </w:t>
      </w:r>
    </w:p>
    <w:tbl>
      <w:tblPr>
        <w:tblStyle w:val="48"/>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2652"/>
        <w:gridCol w:w="2652"/>
        <w:gridCol w:w="1659"/>
        <w:gridCol w:w="149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8" w:type="pct"/>
            <w:tcBorders>
              <w:top w:val="single" w:color="auto" w:sz="12" w:space="0"/>
            </w:tcBorders>
            <w:vAlign w:val="center"/>
          </w:tcPr>
          <w:p>
            <w:pPr>
              <w:pStyle w:val="117"/>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428" w:type="pct"/>
            <w:tcBorders>
              <w:top w:val="single" w:color="auto" w:sz="12" w:space="0"/>
            </w:tcBorders>
            <w:vAlign w:val="center"/>
          </w:tcPr>
          <w:p>
            <w:pPr>
              <w:pStyle w:val="117"/>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招标文件商务条款</w:t>
            </w:r>
          </w:p>
        </w:tc>
        <w:tc>
          <w:tcPr>
            <w:tcW w:w="1428" w:type="pct"/>
            <w:tcBorders>
              <w:top w:val="single" w:color="auto" w:sz="12" w:space="0"/>
            </w:tcBorders>
            <w:vAlign w:val="center"/>
          </w:tcPr>
          <w:p>
            <w:pPr>
              <w:pStyle w:val="117"/>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投标文件商务条款</w:t>
            </w:r>
          </w:p>
        </w:tc>
        <w:tc>
          <w:tcPr>
            <w:tcW w:w="893" w:type="pct"/>
            <w:tcBorders>
              <w:top w:val="single" w:color="auto" w:sz="12" w:space="0"/>
            </w:tcBorders>
            <w:vAlign w:val="center"/>
          </w:tcPr>
          <w:p>
            <w:pPr>
              <w:pStyle w:val="117"/>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响应/偏离情况</w:t>
            </w:r>
          </w:p>
        </w:tc>
        <w:tc>
          <w:tcPr>
            <w:tcW w:w="803" w:type="pct"/>
            <w:tcBorders>
              <w:top w:val="single" w:color="auto" w:sz="12" w:space="0"/>
            </w:tcBorders>
            <w:vAlign w:val="center"/>
          </w:tcPr>
          <w:p>
            <w:pPr>
              <w:pStyle w:val="117"/>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jc w:val="center"/>
        </w:trPr>
        <w:tc>
          <w:tcPr>
            <w:tcW w:w="44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9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0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9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0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9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0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9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0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9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0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9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0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9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0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9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0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9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0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9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0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9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0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93" w:type="pct"/>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03" w:type="pct"/>
            <w:vAlign w:val="center"/>
          </w:tcPr>
          <w:p>
            <w:pPr>
              <w:pStyle w:val="20"/>
              <w:spacing w:line="360" w:lineRule="auto"/>
              <w:ind w:left="840"/>
              <w:jc w:val="center"/>
              <w:rPr>
                <w:rFonts w:asciiTheme="minorEastAsia" w:hAnsiTheme="minorEastAsia" w:eastAsiaTheme="minorEastAsia" w:cstheme="minorEastAsia"/>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8" w:type="pct"/>
            <w:tcBorders>
              <w:bottom w:val="single" w:color="auto" w:sz="12" w:space="0"/>
            </w:tcBorders>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tcBorders>
              <w:bottom w:val="single" w:color="auto" w:sz="12" w:space="0"/>
            </w:tcBorders>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1428" w:type="pct"/>
            <w:tcBorders>
              <w:bottom w:val="single" w:color="auto" w:sz="12" w:space="0"/>
            </w:tcBorders>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93" w:type="pct"/>
            <w:tcBorders>
              <w:bottom w:val="single" w:color="auto" w:sz="12" w:space="0"/>
            </w:tcBorders>
            <w:vAlign w:val="center"/>
          </w:tcPr>
          <w:p>
            <w:pPr>
              <w:pStyle w:val="20"/>
              <w:spacing w:line="360" w:lineRule="auto"/>
              <w:ind w:left="840"/>
              <w:jc w:val="center"/>
              <w:rPr>
                <w:rFonts w:asciiTheme="minorEastAsia" w:hAnsiTheme="minorEastAsia" w:eastAsiaTheme="minorEastAsia" w:cstheme="minorEastAsia"/>
                <w:sz w:val="24"/>
                <w:lang w:val="en-US"/>
              </w:rPr>
            </w:pPr>
          </w:p>
        </w:tc>
        <w:tc>
          <w:tcPr>
            <w:tcW w:w="803" w:type="pct"/>
            <w:tcBorders>
              <w:bottom w:val="single" w:color="auto" w:sz="12" w:space="0"/>
            </w:tcBorders>
            <w:vAlign w:val="center"/>
          </w:tcPr>
          <w:p>
            <w:pPr>
              <w:pStyle w:val="20"/>
              <w:spacing w:line="360" w:lineRule="auto"/>
              <w:ind w:left="840"/>
              <w:jc w:val="center"/>
              <w:rPr>
                <w:rFonts w:asciiTheme="minorEastAsia" w:hAnsiTheme="minorEastAsia" w:eastAsiaTheme="minorEastAsia" w:cstheme="minorEastAsia"/>
                <w:sz w:val="24"/>
                <w:lang w:val="en-US"/>
              </w:rPr>
            </w:pPr>
          </w:p>
        </w:tc>
      </w:tr>
    </w:tbl>
    <w:p>
      <w:pPr>
        <w:pStyle w:val="20"/>
        <w:spacing w:line="360" w:lineRule="auto"/>
        <w:ind w:left="8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注：投标人如果对包括交货期、付款方式/条件、质保期及合同条款在内的商务条款的响应有任何偏离，请在本表中详细填写；如对商务条款没有偏离，请注明“无偏离”。</w:t>
      </w:r>
    </w:p>
    <w:p>
      <w:pPr>
        <w:pStyle w:val="20"/>
        <w:spacing w:line="360" w:lineRule="auto"/>
        <w:ind w:left="840"/>
        <w:rPr>
          <w:rFonts w:asciiTheme="minorEastAsia" w:hAnsiTheme="minorEastAsia" w:eastAsiaTheme="minorEastAsia" w:cstheme="minorEastAsia"/>
          <w:sz w:val="24"/>
        </w:rPr>
      </w:pPr>
    </w:p>
    <w:p>
      <w:pPr>
        <w:pStyle w:val="20"/>
        <w:tabs>
          <w:tab w:val="left" w:pos="5580"/>
        </w:tabs>
        <w:spacing w:before="120" w:line="360" w:lineRule="auto"/>
        <w:ind w:left="8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投标人名称（盖章）：</w:t>
      </w:r>
    </w:p>
    <w:p>
      <w:pPr>
        <w:pStyle w:val="20"/>
        <w:tabs>
          <w:tab w:val="left" w:pos="5580"/>
        </w:tabs>
        <w:spacing w:before="120" w:line="360" w:lineRule="auto"/>
        <w:ind w:left="84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授权代表（签字）：</w:t>
      </w:r>
    </w:p>
    <w:p>
      <w:pPr>
        <w:pStyle w:val="20"/>
        <w:tabs>
          <w:tab w:val="left" w:pos="5580"/>
        </w:tabs>
        <w:spacing w:before="120" w:line="360" w:lineRule="auto"/>
        <w:ind w:left="8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注：此表格经授权代表签字方有效。</w:t>
      </w:r>
    </w:p>
    <w:bookmarkEnd w:id="294"/>
    <w:p>
      <w:pPr>
        <w:spacing w:line="360" w:lineRule="auto"/>
        <w:rPr>
          <w:rFonts w:asciiTheme="minorEastAsia" w:hAnsiTheme="minorEastAsia" w:eastAsiaTheme="minorEastAsia" w:cstheme="minorEastAsia"/>
          <w:sz w:val="24"/>
        </w:rPr>
      </w:pPr>
      <w:bookmarkStart w:id="298" w:name="_Toc236642997"/>
    </w:p>
    <w:p>
      <w:pPr>
        <w:pStyle w:val="2"/>
        <w:tabs>
          <w:tab w:val="left" w:pos="900"/>
        </w:tabs>
        <w:spacing w:line="360" w:lineRule="auto"/>
        <w:jc w:val="center"/>
        <w:rPr>
          <w:rFonts w:hint="default" w:asciiTheme="minorEastAsia" w:hAnsiTheme="minorEastAsia" w:eastAsiaTheme="minorEastAsia" w:cstheme="minorEastAsia"/>
          <w:sz w:val="28"/>
          <w:szCs w:val="28"/>
        </w:rPr>
      </w:pPr>
      <w:bookmarkStart w:id="299" w:name="_Toc310195769"/>
      <w:bookmarkStart w:id="300" w:name="_Toc523911439"/>
      <w:bookmarkStart w:id="301" w:name="_Toc5895222"/>
      <w:bookmarkStart w:id="302" w:name="_Toc61878510"/>
      <w:r>
        <w:rPr>
          <w:rFonts w:asciiTheme="minorEastAsia" w:hAnsiTheme="minorEastAsia" w:eastAsiaTheme="minorEastAsia" w:cstheme="minorEastAsia"/>
          <w:sz w:val="24"/>
        </w:rPr>
        <w:t>6 业绩案例一览表</w:t>
      </w:r>
      <w:bookmarkEnd w:id="299"/>
      <w:bookmarkEnd w:id="300"/>
      <w:bookmarkEnd w:id="301"/>
      <w:bookmarkEnd w:id="302"/>
    </w:p>
    <w:tbl>
      <w:tblPr>
        <w:tblStyle w:val="48"/>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序号</w:t>
            </w:r>
          </w:p>
        </w:tc>
        <w:tc>
          <w:tcPr>
            <w:tcW w:w="1980" w:type="dxa"/>
            <w:vAlign w:val="center"/>
          </w:tcPr>
          <w:p>
            <w:pPr>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项目名称</w:t>
            </w:r>
          </w:p>
        </w:tc>
        <w:tc>
          <w:tcPr>
            <w:tcW w:w="1260"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用户名称</w:t>
            </w:r>
          </w:p>
        </w:tc>
        <w:tc>
          <w:tcPr>
            <w:tcW w:w="1260"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合同金额</w:t>
            </w:r>
          </w:p>
        </w:tc>
        <w:tc>
          <w:tcPr>
            <w:tcW w:w="1440"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用户联系人</w:t>
            </w:r>
          </w:p>
        </w:tc>
        <w:tc>
          <w:tcPr>
            <w:tcW w:w="1778"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用户联系电话</w:t>
            </w:r>
          </w:p>
        </w:tc>
        <w:tc>
          <w:tcPr>
            <w:tcW w:w="720" w:type="dxa"/>
            <w:vAlign w:val="center"/>
          </w:tcPr>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pPr>
              <w:spacing w:line="360" w:lineRule="auto"/>
              <w:jc w:val="center"/>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pPr>
              <w:spacing w:line="360" w:lineRule="auto"/>
              <w:jc w:val="center"/>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pPr>
              <w:spacing w:line="360" w:lineRule="auto"/>
              <w:jc w:val="center"/>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rPr>
                <w:rFonts w:asciiTheme="minorEastAsia" w:hAnsiTheme="minorEastAsia" w:eastAsiaTheme="minorEastAsia" w:cstheme="minorEastAsia"/>
                <w:sz w:val="24"/>
              </w:rPr>
            </w:pPr>
          </w:p>
        </w:tc>
        <w:tc>
          <w:tcPr>
            <w:tcW w:w="198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260" w:type="dxa"/>
            <w:vAlign w:val="center"/>
          </w:tcPr>
          <w:p>
            <w:pPr>
              <w:spacing w:line="360" w:lineRule="auto"/>
              <w:rPr>
                <w:rFonts w:asciiTheme="minorEastAsia" w:hAnsiTheme="minorEastAsia" w:eastAsiaTheme="minorEastAsia" w:cstheme="minorEastAsia"/>
                <w:sz w:val="24"/>
              </w:rPr>
            </w:pPr>
          </w:p>
        </w:tc>
        <w:tc>
          <w:tcPr>
            <w:tcW w:w="1440" w:type="dxa"/>
            <w:vAlign w:val="center"/>
          </w:tcPr>
          <w:p>
            <w:pPr>
              <w:spacing w:line="360" w:lineRule="auto"/>
              <w:rPr>
                <w:rFonts w:asciiTheme="minorEastAsia" w:hAnsiTheme="minorEastAsia" w:eastAsiaTheme="minorEastAsia" w:cstheme="minorEastAsia"/>
                <w:sz w:val="24"/>
              </w:rPr>
            </w:pPr>
          </w:p>
        </w:tc>
        <w:tc>
          <w:tcPr>
            <w:tcW w:w="1778" w:type="dxa"/>
            <w:vAlign w:val="center"/>
          </w:tcPr>
          <w:p>
            <w:pPr>
              <w:spacing w:line="360" w:lineRule="auto"/>
              <w:rPr>
                <w:rFonts w:asciiTheme="minorEastAsia" w:hAnsiTheme="minorEastAsia" w:eastAsiaTheme="minorEastAsia" w:cstheme="minorEastAsia"/>
                <w:sz w:val="24"/>
              </w:rPr>
            </w:pPr>
          </w:p>
        </w:tc>
        <w:tc>
          <w:tcPr>
            <w:tcW w:w="720" w:type="dxa"/>
            <w:vAlign w:val="center"/>
          </w:tcPr>
          <w:p>
            <w:pPr>
              <w:spacing w:line="360" w:lineRule="auto"/>
              <w:rPr>
                <w:rFonts w:asciiTheme="minorEastAsia" w:hAnsiTheme="minorEastAsia" w:eastAsiaTheme="minorEastAsia" w:cstheme="minorEastAsia"/>
                <w:sz w:val="24"/>
              </w:rPr>
            </w:pPr>
          </w:p>
        </w:tc>
      </w:tr>
    </w:tbl>
    <w:p>
      <w:pPr>
        <w:tabs>
          <w:tab w:val="left" w:pos="5580"/>
        </w:tabs>
        <w:spacing w:before="360" w:line="360" w:lineRule="auto"/>
        <w:ind w:left="1232" w:leftChars="300" w:hanging="602" w:hangingChars="250"/>
        <w:rPr>
          <w:rFonts w:asciiTheme="minorEastAsia" w:hAnsiTheme="minorEastAsia" w:eastAsiaTheme="minorEastAsia" w:cstheme="minorEastAsia"/>
          <w:sz w:val="24"/>
        </w:rPr>
      </w:pPr>
      <w:r>
        <w:rPr>
          <w:rFonts w:hint="eastAsia" w:asciiTheme="minorEastAsia" w:hAnsiTheme="minorEastAsia" w:eastAsiaTheme="minorEastAsia" w:cstheme="minorEastAsia"/>
          <w:b/>
          <w:kern w:val="0"/>
          <w:sz w:val="24"/>
          <w:szCs w:val="20"/>
        </w:rPr>
        <w:t>注：</w:t>
      </w:r>
      <w:r>
        <w:rPr>
          <w:rFonts w:hint="eastAsia" w:asciiTheme="minorEastAsia" w:hAnsiTheme="minorEastAsia" w:eastAsiaTheme="minorEastAsia" w:cstheme="minorEastAsia"/>
          <w:b/>
          <w:sz w:val="24"/>
        </w:rPr>
        <w:t>（所提供合同复印件加盖投标人公章，复印件需体现合同签订时间、合同金额、双方盖章页，评委保留对上述资料原件审核的权力）。</w:t>
      </w:r>
    </w:p>
    <w:p>
      <w:pPr>
        <w:tabs>
          <w:tab w:val="left" w:pos="5580"/>
        </w:tabs>
        <w:spacing w:before="360" w:line="360" w:lineRule="auto"/>
        <w:ind w:left="1214" w:leftChars="428" w:hanging="315" w:hangingChars="150"/>
        <w:rPr>
          <w:rFonts w:asciiTheme="minorEastAsia" w:hAnsiTheme="minorEastAsia" w:eastAsiaTheme="minorEastAsia" w:cstheme="minorEastAsia"/>
        </w:rPr>
      </w:pPr>
    </w:p>
    <w:p>
      <w:pPr>
        <w:tabs>
          <w:tab w:val="left" w:pos="5580"/>
        </w:tabs>
        <w:spacing w:before="360" w:line="360" w:lineRule="auto"/>
        <w:ind w:left="1214" w:leftChars="428" w:hanging="315" w:hangingChars="150"/>
        <w:rPr>
          <w:rFonts w:asciiTheme="minorEastAsia" w:hAnsiTheme="minorEastAsia" w:eastAsiaTheme="minorEastAsia" w:cstheme="minorEastAsia"/>
        </w:rPr>
      </w:pPr>
    </w:p>
    <w:p>
      <w:pPr>
        <w:tabs>
          <w:tab w:val="left" w:pos="5580"/>
        </w:tabs>
        <w:spacing w:before="360" w:line="360" w:lineRule="auto"/>
        <w:ind w:left="1214" w:leftChars="428" w:hanging="315" w:hangingChars="150"/>
        <w:rPr>
          <w:rFonts w:asciiTheme="minorEastAsia" w:hAnsiTheme="minorEastAsia" w:eastAsiaTheme="minorEastAsia" w:cstheme="minorEastAsia"/>
        </w:rPr>
      </w:pPr>
    </w:p>
    <w:p>
      <w:pPr>
        <w:tabs>
          <w:tab w:val="left" w:pos="5580"/>
        </w:tabs>
        <w:spacing w:before="360" w:line="360" w:lineRule="auto"/>
        <w:ind w:left="1214" w:leftChars="428" w:hanging="315" w:hangingChars="150"/>
        <w:rPr>
          <w:rFonts w:asciiTheme="minorEastAsia" w:hAnsiTheme="minorEastAsia" w:eastAsiaTheme="minorEastAsia" w:cstheme="minorEastAsia"/>
        </w:rPr>
      </w:pPr>
    </w:p>
    <w:p>
      <w:pPr>
        <w:tabs>
          <w:tab w:val="left" w:pos="5580"/>
        </w:tabs>
        <w:spacing w:before="360" w:line="360" w:lineRule="auto"/>
        <w:ind w:left="1214" w:leftChars="428" w:hanging="315" w:hangingChars="150"/>
        <w:rPr>
          <w:rFonts w:asciiTheme="minorEastAsia" w:hAnsiTheme="minorEastAsia" w:eastAsiaTheme="minorEastAsia" w:cstheme="minorEastAsia"/>
        </w:rPr>
      </w:pPr>
    </w:p>
    <w:p>
      <w:pPr>
        <w:widowControl/>
        <w:spacing w:line="360" w:lineRule="auto"/>
        <w:jc w:val="left"/>
        <w:rPr>
          <w:rFonts w:asciiTheme="minorEastAsia" w:hAnsiTheme="minorEastAsia" w:eastAsiaTheme="minorEastAsia" w:cstheme="minorEastAsia"/>
        </w:rPr>
        <w:sectPr>
          <w:footerReference r:id="rId19" w:type="first"/>
          <w:footerReference r:id="rId17" w:type="default"/>
          <w:footerReference r:id="rId18" w:type="even"/>
          <w:pgSz w:w="11907" w:h="16840"/>
          <w:pgMar w:top="1089" w:right="1418" w:bottom="1400" w:left="1418" w:header="851" w:footer="992" w:gutter="0"/>
          <w:cols w:space="720" w:num="1"/>
          <w:docGrid w:linePitch="312" w:charSpace="0"/>
        </w:sectPr>
      </w:pPr>
      <w:r>
        <w:rPr>
          <w:rFonts w:hint="eastAsia" w:asciiTheme="minorEastAsia" w:hAnsiTheme="minorEastAsia" w:eastAsiaTheme="minorEastAsia" w:cstheme="minorEastAsia"/>
        </w:rPr>
        <w:br w:type="page"/>
      </w:r>
    </w:p>
    <w:p>
      <w:pPr>
        <w:pStyle w:val="2"/>
        <w:tabs>
          <w:tab w:val="left" w:pos="900"/>
        </w:tabs>
        <w:spacing w:line="360" w:lineRule="auto"/>
        <w:jc w:val="center"/>
        <w:rPr>
          <w:rFonts w:hint="default" w:asciiTheme="minorEastAsia" w:hAnsiTheme="minorEastAsia" w:eastAsiaTheme="minorEastAsia" w:cstheme="minorEastAsia"/>
          <w:sz w:val="24"/>
        </w:rPr>
      </w:pPr>
      <w:bookmarkStart w:id="303" w:name="_Toc507514592"/>
      <w:bookmarkStart w:id="304" w:name="_Toc499304712"/>
      <w:bookmarkStart w:id="305" w:name="_Toc61878511"/>
      <w:bookmarkStart w:id="306" w:name="_Toc5895223"/>
      <w:bookmarkStart w:id="307" w:name="_Toc523911440"/>
      <w:r>
        <w:rPr>
          <w:rFonts w:asciiTheme="minorEastAsia" w:hAnsiTheme="minorEastAsia" w:eastAsiaTheme="minorEastAsia" w:cstheme="minorEastAsia"/>
          <w:sz w:val="24"/>
        </w:rPr>
        <w:t>7 投标人基本情况表</w:t>
      </w:r>
      <w:bookmarkEnd w:id="303"/>
      <w:bookmarkEnd w:id="304"/>
      <w:bookmarkEnd w:id="305"/>
      <w:bookmarkEnd w:id="306"/>
      <w:bookmarkEnd w:id="307"/>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投标人名称：（公章）                                                       填表日期：</w:t>
      </w:r>
    </w:p>
    <w:tbl>
      <w:tblPr>
        <w:tblStyle w:val="48"/>
        <w:tblW w:w="1396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6"/>
        <w:gridCol w:w="614"/>
        <w:gridCol w:w="520"/>
        <w:gridCol w:w="1134"/>
        <w:gridCol w:w="761"/>
        <w:gridCol w:w="90"/>
        <w:gridCol w:w="855"/>
        <w:gridCol w:w="210"/>
        <w:gridCol w:w="75"/>
        <w:gridCol w:w="702"/>
        <w:gridCol w:w="1276"/>
        <w:gridCol w:w="1276"/>
        <w:gridCol w:w="766"/>
        <w:gridCol w:w="84"/>
        <w:gridCol w:w="126"/>
        <w:gridCol w:w="976"/>
        <w:gridCol w:w="316"/>
        <w:gridCol w:w="419"/>
        <w:gridCol w:w="704"/>
        <w:gridCol w:w="17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单位名称</w:t>
            </w:r>
          </w:p>
        </w:tc>
        <w:tc>
          <w:tcPr>
            <w:tcW w:w="4184"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77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电话</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主管部门</w:t>
            </w:r>
          </w:p>
        </w:tc>
        <w:tc>
          <w:tcPr>
            <w:tcW w:w="76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8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企业负责人</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7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职务</w:t>
            </w:r>
          </w:p>
        </w:tc>
        <w:tc>
          <w:tcPr>
            <w:tcW w:w="17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地址</w:t>
            </w:r>
          </w:p>
        </w:tc>
        <w:tc>
          <w:tcPr>
            <w:tcW w:w="4184"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77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传真</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经济类型</w:t>
            </w:r>
          </w:p>
        </w:tc>
        <w:tc>
          <w:tcPr>
            <w:tcW w:w="76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8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授权代表</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7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职务</w:t>
            </w:r>
          </w:p>
        </w:tc>
        <w:tc>
          <w:tcPr>
            <w:tcW w:w="17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一、单位简历及机构</w:t>
            </w:r>
          </w:p>
        </w:tc>
        <w:tc>
          <w:tcPr>
            <w:tcW w:w="4961" w:type="dxa"/>
            <w:gridSpan w:val="9"/>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单位优势及特长</w:t>
            </w:r>
          </w:p>
        </w:tc>
        <w:tc>
          <w:tcPr>
            <w:tcW w:w="6452" w:type="dxa"/>
            <w:gridSpan w:val="9"/>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5" w:hRule="atLeast"/>
        </w:trPr>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二、单位概况</w:t>
            </w: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职工总数</w:t>
            </w:r>
          </w:p>
        </w:tc>
        <w:tc>
          <w:tcPr>
            <w:tcW w:w="1654" w:type="dxa"/>
            <w:gridSpan w:val="2"/>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p>
          <w:p>
            <w:pPr>
              <w:spacing w:line="360" w:lineRule="auto"/>
              <w:ind w:left="1080" w:hanging="1080" w:hangingChars="45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人</w:t>
            </w:r>
          </w:p>
        </w:tc>
        <w:tc>
          <w:tcPr>
            <w:tcW w:w="2693" w:type="dxa"/>
            <w:gridSpan w:val="6"/>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生产工人         人</w:t>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工程技术人员     人</w:t>
            </w: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上一年主要经济指标</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指标名称</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计算单位</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实际完成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1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2693"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工业总产值</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2693"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实现利润</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338"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流动资金</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761"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资金来源</w:t>
            </w: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自有资金</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主要产品</w:t>
            </w: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313"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76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银行贷款</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4"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固定资产</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原值万元</w:t>
            </w:r>
          </w:p>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净值万元</w:t>
            </w:r>
          </w:p>
        </w:tc>
        <w:tc>
          <w:tcPr>
            <w:tcW w:w="761"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资金性质</w:t>
            </w: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生产性</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7"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76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非生产性</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3"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2693" w:type="dxa"/>
            <w:gridSpan w:val="6"/>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厂房建筑面积平方米</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三、主要产品情况</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产品名称</w:t>
            </w: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型号</w:t>
            </w: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上年产量</w:t>
            </w: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上年产值</w:t>
            </w: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产品技术先进水平</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优质品率</w:t>
            </w: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一等品率</w:t>
            </w: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曾获何级何种奖励</w:t>
            </w: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主要用户名称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285"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225"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stheme="minorEastAsia"/>
                <w:color w:val="000000"/>
                <w:sz w:val="24"/>
              </w:rPr>
            </w:pPr>
          </w:p>
        </w:tc>
      </w:tr>
    </w:tbl>
    <w:p>
      <w:pPr>
        <w:spacing w:line="360" w:lineRule="auto"/>
        <w:rPr>
          <w:rFonts w:asciiTheme="minorEastAsia" w:hAnsiTheme="minorEastAsia" w:eastAsiaTheme="minorEastAsia" w:cstheme="minorEastAsia"/>
          <w:color w:val="000000"/>
          <w:sz w:val="24"/>
        </w:rPr>
        <w:sectPr>
          <w:pgSz w:w="16838" w:h="11906" w:orient="landscape"/>
          <w:pgMar w:top="1797" w:right="1440" w:bottom="1797" w:left="1440" w:header="851" w:footer="992" w:gutter="0"/>
          <w:cols w:space="720" w:num="1"/>
          <w:docGrid w:linePitch="312" w:charSpace="0"/>
        </w:sectPr>
      </w:pPr>
    </w:p>
    <w:p>
      <w:pPr>
        <w:pStyle w:val="2"/>
        <w:tabs>
          <w:tab w:val="left" w:pos="900"/>
        </w:tabs>
        <w:spacing w:line="360" w:lineRule="auto"/>
        <w:jc w:val="center"/>
        <w:rPr>
          <w:rFonts w:hint="default" w:asciiTheme="minorEastAsia" w:hAnsiTheme="minorEastAsia" w:eastAsiaTheme="minorEastAsia" w:cstheme="minorEastAsia"/>
          <w:sz w:val="30"/>
          <w:szCs w:val="30"/>
        </w:rPr>
      </w:pPr>
      <w:bookmarkStart w:id="308" w:name="_Toc5895225"/>
      <w:bookmarkStart w:id="309" w:name="_Toc523911442"/>
      <w:bookmarkStart w:id="310" w:name="_Toc61878512"/>
      <w:bookmarkStart w:id="311" w:name="_Toc310195770"/>
      <w:r>
        <w:rPr>
          <w:rFonts w:asciiTheme="minorEastAsia" w:hAnsiTheme="minorEastAsia" w:eastAsiaTheme="minorEastAsia" w:cstheme="minorEastAsia"/>
          <w:sz w:val="24"/>
        </w:rPr>
        <w:t>8 服务方案</w:t>
      </w:r>
      <w:bookmarkEnd w:id="308"/>
      <w:bookmarkEnd w:id="309"/>
      <w:bookmarkEnd w:id="310"/>
    </w:p>
    <w:p>
      <w:pPr>
        <w:pStyle w:val="86"/>
        <w:ind w:firstLine="0" w:firstLineChars="0"/>
        <w:jc w:val="center"/>
        <w:rPr>
          <w:rFonts w:asciiTheme="minorEastAsia" w:hAnsiTheme="minorEastAsia" w:eastAsiaTheme="minorEastAsia" w:cstheme="minorEastAsia"/>
        </w:rPr>
      </w:pPr>
      <w:bookmarkStart w:id="312" w:name="_Toc31453"/>
      <w:r>
        <w:rPr>
          <w:rFonts w:hint="eastAsia" w:asciiTheme="minorEastAsia" w:hAnsiTheme="minorEastAsia" w:eastAsiaTheme="minorEastAsia" w:cstheme="minorEastAsia"/>
        </w:rPr>
        <w:t>（投标人自行提供）</w:t>
      </w:r>
      <w:bookmarkEnd w:id="311"/>
      <w:bookmarkEnd w:id="312"/>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spacing w:line="360" w:lineRule="auto"/>
        <w:ind w:firstLine="2940" w:firstLineChars="1400"/>
        <w:rPr>
          <w:rFonts w:asciiTheme="minorEastAsia" w:hAnsiTheme="minorEastAsia" w:eastAsiaTheme="minorEastAsia" w:cstheme="minorEastAsia"/>
        </w:rPr>
      </w:pPr>
    </w:p>
    <w:p>
      <w:pPr>
        <w:widowControl/>
        <w:spacing w:line="360" w:lineRule="auto"/>
        <w:jc w:val="left"/>
        <w:rPr>
          <w:rFonts w:asciiTheme="minorEastAsia" w:hAnsiTheme="minorEastAsia" w:eastAsiaTheme="minorEastAsia" w:cstheme="minorEastAsia"/>
        </w:rPr>
      </w:pPr>
    </w:p>
    <w:p>
      <w:pPr>
        <w:pStyle w:val="2"/>
        <w:tabs>
          <w:tab w:val="left" w:pos="900"/>
        </w:tabs>
        <w:spacing w:line="360" w:lineRule="auto"/>
        <w:jc w:val="center"/>
        <w:rPr>
          <w:rFonts w:hint="default" w:asciiTheme="minorEastAsia" w:hAnsiTheme="minorEastAsia" w:eastAsiaTheme="minorEastAsia" w:cstheme="minorEastAsia"/>
          <w:sz w:val="24"/>
        </w:rPr>
      </w:pPr>
      <w:bookmarkStart w:id="313" w:name="_Toc61878513"/>
      <w:bookmarkStart w:id="314" w:name="_Toc5895226"/>
      <w:r>
        <w:rPr>
          <w:rFonts w:asciiTheme="minorEastAsia" w:hAnsiTheme="minorEastAsia" w:eastAsiaTheme="minorEastAsia" w:cstheme="minorEastAsia"/>
          <w:sz w:val="24"/>
        </w:rPr>
        <w:t>9 售后服务及培训计划</w:t>
      </w:r>
      <w:bookmarkEnd w:id="313"/>
      <w:bookmarkEnd w:id="314"/>
    </w:p>
    <w:p>
      <w:pPr>
        <w:widowControl/>
        <w:spacing w:line="360" w:lineRule="auto"/>
        <w:jc w:val="left"/>
        <w:rPr>
          <w:rFonts w:asciiTheme="minorEastAsia" w:hAnsiTheme="minorEastAsia" w:eastAsiaTheme="minorEastAsia" w:cstheme="minorEastAsia"/>
        </w:rPr>
      </w:pPr>
      <w:r>
        <w:rPr>
          <w:rFonts w:hint="eastAsia" w:asciiTheme="minorEastAsia" w:hAnsiTheme="minorEastAsia" w:eastAsiaTheme="minorEastAsia" w:cstheme="minorEastAsia"/>
        </w:rPr>
        <w:br w:type="page"/>
      </w:r>
    </w:p>
    <w:p>
      <w:pPr>
        <w:pStyle w:val="9"/>
        <w:spacing w:line="360" w:lineRule="auto"/>
        <w:ind w:firstLine="0"/>
        <w:jc w:val="center"/>
        <w:outlineLvl w:val="2"/>
        <w:rPr>
          <w:rFonts w:asciiTheme="minorEastAsia" w:hAnsiTheme="minorEastAsia" w:eastAsiaTheme="minorEastAsia" w:cstheme="minorEastAsia"/>
        </w:rPr>
      </w:pPr>
      <w:bookmarkStart w:id="315" w:name="_Toc61878514"/>
      <w:bookmarkStart w:id="316" w:name="_Toc310195772"/>
      <w:r>
        <w:rPr>
          <w:rFonts w:hint="eastAsia" w:asciiTheme="minorEastAsia" w:hAnsiTheme="minorEastAsia" w:eastAsiaTheme="minorEastAsia" w:cstheme="minorEastAsia"/>
        </w:rPr>
        <w:t>10 提交投标保证金的证明材料（如适用）</w:t>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t>（须加盖本单位公章）</w:t>
      </w:r>
      <w:bookmarkEnd w:id="315"/>
    </w:p>
    <w:p>
      <w:pPr>
        <w:widowControl/>
        <w:spacing w:line="360" w:lineRule="auto"/>
        <w:jc w:val="left"/>
        <w:rPr>
          <w:rFonts w:asciiTheme="minorEastAsia" w:hAnsiTheme="minorEastAsia" w:eastAsiaTheme="minorEastAsia" w:cstheme="minorEastAsia"/>
        </w:rPr>
      </w:pPr>
      <w:r>
        <w:rPr>
          <w:rFonts w:hint="eastAsia" w:asciiTheme="minorEastAsia" w:hAnsiTheme="minorEastAsia" w:eastAsiaTheme="minorEastAsia" w:cstheme="minorEastAsia"/>
        </w:rPr>
        <w:br w:type="page"/>
      </w:r>
    </w:p>
    <w:p>
      <w:pPr>
        <w:pStyle w:val="2"/>
        <w:tabs>
          <w:tab w:val="left" w:pos="900"/>
        </w:tabs>
        <w:spacing w:line="360" w:lineRule="auto"/>
        <w:jc w:val="center"/>
        <w:rPr>
          <w:rFonts w:hint="default" w:asciiTheme="minorEastAsia" w:hAnsiTheme="minorEastAsia" w:eastAsiaTheme="minorEastAsia" w:cstheme="minorEastAsia"/>
          <w:sz w:val="24"/>
        </w:rPr>
      </w:pPr>
      <w:bookmarkStart w:id="317" w:name="_Toc523911444"/>
      <w:bookmarkStart w:id="318" w:name="_Toc5895227"/>
      <w:bookmarkStart w:id="319" w:name="_Toc61878515"/>
      <w:r>
        <w:rPr>
          <w:rFonts w:asciiTheme="minorEastAsia" w:hAnsiTheme="minorEastAsia" w:eastAsiaTheme="minorEastAsia" w:cstheme="minorEastAsia"/>
          <w:sz w:val="24"/>
        </w:rPr>
        <w:t>11 中标服务费承诺书</w:t>
      </w:r>
      <w:bookmarkEnd w:id="316"/>
      <w:bookmarkEnd w:id="317"/>
      <w:bookmarkEnd w:id="318"/>
      <w:bookmarkEnd w:id="319"/>
    </w:p>
    <w:p>
      <w:pPr>
        <w:pStyle w:val="9"/>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致：华采招标集团有限公司</w:t>
      </w:r>
    </w:p>
    <w:p>
      <w:pPr>
        <w:widowControl/>
        <w:spacing w:line="360" w:lineRule="auto"/>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sz w:val="24"/>
        </w:rPr>
        <w:t>我们在贵公司组织的</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项目招标中若获中标（项目编号：</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），我们保证在领取中标通知书时按招标文件的规定，以支票、电汇或现金，向贵公司一次性支付应该交纳的中标服务费用。收费标准参照国家原计价格[2002]1980号文、</w:t>
      </w:r>
      <w:r>
        <w:rPr>
          <w:rFonts w:hint="eastAsia" w:asciiTheme="minorEastAsia" w:hAnsiTheme="minorEastAsia" w:eastAsiaTheme="minorEastAsia" w:cstheme="minorEastAsia"/>
          <w:kern w:val="0"/>
          <w:sz w:val="24"/>
        </w:rPr>
        <w:t>发改办价格[2003]857号文及发改价格[2011]534号文有关规定</w:t>
      </w:r>
      <w:r>
        <w:rPr>
          <w:rFonts w:hint="eastAsia"/>
          <w:sz w:val="24"/>
        </w:rPr>
        <w:t>下浮</w:t>
      </w:r>
      <w:r>
        <w:rPr>
          <w:sz w:val="24"/>
        </w:rPr>
        <w:t>5%</w:t>
      </w:r>
      <w:r>
        <w:rPr>
          <w:rFonts w:hint="eastAsia" w:asciiTheme="minorEastAsia" w:hAnsiTheme="minorEastAsia" w:eastAsiaTheme="minorEastAsia" w:cstheme="minorEastAsia"/>
          <w:kern w:val="0"/>
          <w:sz w:val="24"/>
        </w:rPr>
        <w:t>向中标人收取</w:t>
      </w:r>
      <w:r>
        <w:rPr>
          <w:rFonts w:hint="eastAsia" w:asciiTheme="minorEastAsia" w:hAnsiTheme="minorEastAsia" w:eastAsiaTheme="minorEastAsia" w:cstheme="minorEastAsia"/>
          <w:sz w:val="24"/>
        </w:rPr>
        <w:t>中标服务费用。</w:t>
      </w: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特此承诺</w:t>
      </w: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承诺方法定名称：</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地址：</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电话：</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传真：</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邮编：</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承诺方授权代表签字：</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rPr>
        <w:t>（承诺方盖章）</w:t>
      </w:r>
    </w:p>
    <w:p>
      <w:pPr>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承诺日期：</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z w:val="24"/>
          <w:u w:val="single"/>
        </w:rPr>
        <w:tab/>
      </w:r>
    </w:p>
    <w:p>
      <w:pPr>
        <w:pStyle w:val="9"/>
        <w:spacing w:line="360" w:lineRule="auto"/>
        <w:rPr>
          <w:rFonts w:asciiTheme="minorEastAsia" w:hAnsiTheme="minorEastAsia" w:eastAsiaTheme="minorEastAsia" w:cstheme="minorEastAsia"/>
        </w:rPr>
      </w:pPr>
    </w:p>
    <w:p>
      <w:pPr>
        <w:pStyle w:val="9"/>
        <w:spacing w:line="360" w:lineRule="auto"/>
        <w:rPr>
          <w:rFonts w:asciiTheme="minorEastAsia" w:hAnsiTheme="minorEastAsia" w:eastAsiaTheme="minorEastAsia" w:cstheme="minorEastAsia"/>
        </w:rPr>
      </w:pPr>
    </w:p>
    <w:bookmarkEnd w:id="298"/>
    <w:p>
      <w:pPr>
        <w:tabs>
          <w:tab w:val="left" w:pos="5580"/>
        </w:tabs>
        <w:spacing w:before="360" w:line="360" w:lineRule="auto"/>
        <w:rPr>
          <w:rFonts w:asciiTheme="minorEastAsia" w:hAnsiTheme="minorEastAsia" w:eastAsiaTheme="minorEastAsia" w:cstheme="minorEastAsia"/>
          <w:bCs/>
          <w:sz w:val="24"/>
        </w:rPr>
      </w:pPr>
    </w:p>
    <w:p>
      <w:pPr>
        <w:tabs>
          <w:tab w:val="left" w:pos="5580"/>
        </w:tabs>
        <w:spacing w:before="360" w:line="360" w:lineRule="auto"/>
        <w:rPr>
          <w:rFonts w:asciiTheme="minorEastAsia" w:hAnsiTheme="minorEastAsia" w:eastAsiaTheme="minorEastAsia" w:cstheme="minorEastAsia"/>
          <w:bCs/>
          <w:sz w:val="24"/>
        </w:rPr>
      </w:pPr>
    </w:p>
    <w:p>
      <w:pPr>
        <w:pStyle w:val="2"/>
        <w:tabs>
          <w:tab w:val="left" w:pos="900"/>
        </w:tabs>
        <w:spacing w:line="360" w:lineRule="auto"/>
        <w:jc w:val="center"/>
        <w:rPr>
          <w:rFonts w:hint="default" w:asciiTheme="minorEastAsia" w:hAnsiTheme="minorEastAsia" w:eastAsiaTheme="minorEastAsia" w:cstheme="minorEastAsia"/>
          <w:sz w:val="32"/>
          <w:szCs w:val="32"/>
        </w:rPr>
      </w:pPr>
      <w:bookmarkStart w:id="320" w:name="_Toc324255621"/>
      <w:bookmarkStart w:id="321" w:name="_Toc5895228"/>
      <w:bookmarkStart w:id="322" w:name="_Toc386123377"/>
      <w:bookmarkStart w:id="323" w:name="_Toc523911448"/>
      <w:bookmarkStart w:id="324" w:name="_Toc61878516"/>
      <w:r>
        <w:rPr>
          <w:rFonts w:asciiTheme="minorEastAsia" w:hAnsiTheme="minorEastAsia" w:eastAsiaTheme="minorEastAsia" w:cstheme="minorEastAsia"/>
          <w:sz w:val="24"/>
        </w:rPr>
        <w:t>12</w:t>
      </w:r>
      <w:r>
        <w:rPr>
          <w:rFonts w:asciiTheme="minorEastAsia" w:hAnsiTheme="minorEastAsia" w:eastAsiaTheme="minorEastAsia" w:cstheme="minorEastAsia"/>
          <w:sz w:val="24"/>
          <w:lang w:val="en-US"/>
        </w:rPr>
        <w:t xml:space="preserve"> </w:t>
      </w:r>
      <w:bookmarkEnd w:id="320"/>
      <w:bookmarkEnd w:id="321"/>
      <w:bookmarkEnd w:id="322"/>
      <w:bookmarkEnd w:id="323"/>
      <w:r>
        <w:rPr>
          <w:rFonts w:asciiTheme="minorEastAsia" w:hAnsiTheme="minorEastAsia" w:eastAsiaTheme="minorEastAsia" w:cstheme="minorEastAsia"/>
          <w:sz w:val="24"/>
        </w:rPr>
        <w:t>中小企业声明函</w:t>
      </w:r>
      <w:bookmarkEnd w:id="324"/>
    </w:p>
    <w:p>
      <w:pPr>
        <w:spacing w:line="360" w:lineRule="auto"/>
        <w:ind w:left="1080" w:leftChars="257" w:hanging="540"/>
        <w:jc w:val="center"/>
        <w:rPr>
          <w:rFonts w:asciiTheme="minorEastAsia" w:hAnsiTheme="minorEastAsia" w:eastAsiaTheme="minorEastAsia" w:cstheme="minorEastAsia"/>
          <w:b/>
          <w:kern w:val="0"/>
          <w:sz w:val="24"/>
          <w:szCs w:val="20"/>
        </w:rPr>
      </w:pPr>
    </w:p>
    <w:p>
      <w:pPr>
        <w:autoSpaceDE w:val="0"/>
        <w:autoSpaceDN w:val="0"/>
        <w:adjustRightInd w:val="0"/>
        <w:spacing w:line="360" w:lineRule="auto"/>
        <w:jc w:val="center"/>
        <w:rPr>
          <w:rFonts w:cs="宋体" w:asciiTheme="minorEastAsia" w:hAnsiTheme="minorEastAsia" w:eastAsiaTheme="minorEastAsia"/>
          <w:kern w:val="0"/>
          <w:sz w:val="28"/>
          <w:szCs w:val="28"/>
        </w:rPr>
      </w:pPr>
      <w:r>
        <w:rPr>
          <w:rFonts w:hint="eastAsia" w:asciiTheme="minorEastAsia" w:hAnsiTheme="minorEastAsia" w:eastAsiaTheme="minorEastAsia" w:cstheme="minorEastAsia"/>
          <w:color w:val="000000"/>
          <w:kern w:val="0"/>
          <w:szCs w:val="21"/>
        </w:rPr>
        <w:t>　</w:t>
      </w:r>
      <w:bookmarkStart w:id="325" w:name="_Hlk61878436"/>
      <w:r>
        <w:rPr>
          <w:rFonts w:hint="eastAsia" w:cs="宋体" w:asciiTheme="minorEastAsia" w:hAnsiTheme="minorEastAsia" w:eastAsiaTheme="minorEastAsia"/>
          <w:kern w:val="0"/>
          <w:sz w:val="28"/>
          <w:szCs w:val="28"/>
        </w:rPr>
        <w:t>中小企业声明函</w:t>
      </w:r>
      <w:bookmarkEnd w:id="325"/>
      <w:r>
        <w:rPr>
          <w:rFonts w:hint="eastAsia" w:cs="宋体" w:asciiTheme="minorEastAsia" w:hAnsiTheme="minorEastAsia" w:eastAsiaTheme="minorEastAsia"/>
          <w:kern w:val="0"/>
          <w:sz w:val="28"/>
          <w:szCs w:val="28"/>
        </w:rPr>
        <w:t>（服务）</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本公司（联合体）郑重声明，根据《政府采购促进中小企业发展管理办法》（财库﹝</w:t>
      </w:r>
      <w:r>
        <w:rPr>
          <w:rFonts w:cs="仿宋" w:asciiTheme="minorEastAsia" w:hAnsiTheme="minorEastAsia" w:eastAsiaTheme="minorEastAsia"/>
          <w:kern w:val="0"/>
          <w:sz w:val="24"/>
        </w:rPr>
        <w:t>2020</w:t>
      </w:r>
      <w:r>
        <w:rPr>
          <w:rFonts w:hint="eastAsia" w:cs="仿宋" w:asciiTheme="minorEastAsia" w:hAnsiTheme="minorEastAsia" w:eastAsiaTheme="minorEastAsia"/>
          <w:kern w:val="0"/>
          <w:sz w:val="24"/>
        </w:rPr>
        <w:t>﹞</w:t>
      </w:r>
      <w:r>
        <w:rPr>
          <w:rFonts w:cs="仿宋" w:asciiTheme="minorEastAsia" w:hAnsiTheme="minorEastAsia" w:eastAsiaTheme="minorEastAsia"/>
          <w:kern w:val="0"/>
          <w:sz w:val="24"/>
        </w:rPr>
        <w:t xml:space="preserve">46 </w:t>
      </w:r>
      <w:r>
        <w:rPr>
          <w:rFonts w:hint="eastAsia" w:cs="仿宋" w:asciiTheme="minorEastAsia" w:hAnsiTheme="minorEastAsia" w:eastAsiaTheme="minorEastAsia"/>
          <w:kern w:val="0"/>
          <w:sz w:val="24"/>
        </w:rPr>
        <w:t>号）的规定，本公司（联合体）参加</w:t>
      </w:r>
      <w:r>
        <w:rPr>
          <w:rFonts w:hint="eastAsia" w:cs="仿宋" w:asciiTheme="minorEastAsia" w:hAnsiTheme="minorEastAsia" w:eastAsiaTheme="minorEastAsia"/>
          <w:kern w:val="0"/>
          <w:sz w:val="24"/>
          <w:u w:val="single"/>
        </w:rPr>
        <w:t xml:space="preserve">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（单位名称）的（项目名称）采购活动，服务全部由符合政策要求的中小企业承接。相关企业（含联合体中的中小企业、签订分包意向协议的中小企业）的具体情况如下：</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cs="仿宋" w:asciiTheme="minorEastAsia" w:hAnsiTheme="minorEastAsia" w:eastAsiaTheme="minorEastAsia"/>
          <w:kern w:val="0"/>
          <w:sz w:val="24"/>
        </w:rPr>
        <w:t xml:space="preserve">1.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（标的名称）</w:t>
      </w:r>
      <w:r>
        <w:rPr>
          <w:rFonts w:cs="仿宋" w:asciiTheme="minorEastAsia" w:hAnsiTheme="minorEastAsia" w:eastAsiaTheme="minorEastAsia"/>
          <w:kern w:val="0"/>
          <w:sz w:val="24"/>
        </w:rPr>
        <w:t xml:space="preserve"> </w:t>
      </w:r>
      <w:r>
        <w:rPr>
          <w:rFonts w:hint="eastAsia" w:cs="仿宋" w:asciiTheme="minorEastAsia" w:hAnsiTheme="minorEastAsia" w:eastAsiaTheme="minorEastAsia"/>
          <w:kern w:val="0"/>
          <w:sz w:val="24"/>
        </w:rPr>
        <w:t>，属于（采购文件中明确的所属行业）；承建（承接）企业为</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（企业名称），从业人员</w:t>
      </w:r>
      <w:r>
        <w:rPr>
          <w:rFonts w:hint="eastAsia" w:cs="仿宋" w:asciiTheme="minorEastAsia" w:hAnsiTheme="minorEastAsia" w:eastAsiaTheme="minorEastAsia"/>
          <w:kern w:val="0"/>
          <w:sz w:val="24"/>
          <w:u w:val="single"/>
        </w:rPr>
        <w:t xml:space="preserve">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人，营业收入为</w:t>
      </w:r>
      <w:r>
        <w:rPr>
          <w:rFonts w:hint="eastAsia" w:cs="仿宋" w:asciiTheme="minorEastAsia" w:hAnsiTheme="minorEastAsia" w:eastAsiaTheme="minorEastAsia"/>
          <w:kern w:val="0"/>
          <w:sz w:val="24"/>
          <w:u w:val="single"/>
        </w:rPr>
        <w:t xml:space="preserve">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万元，资产总额为</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万元¹，属于（中型企业、小型企业、微型企业）；</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cs="仿宋" w:asciiTheme="minorEastAsia" w:hAnsiTheme="minorEastAsia" w:eastAsiaTheme="minorEastAsia"/>
          <w:kern w:val="0"/>
          <w:sz w:val="24"/>
        </w:rPr>
        <w:t>2.</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（标的名称）</w:t>
      </w:r>
      <w:r>
        <w:rPr>
          <w:rFonts w:cs="仿宋" w:asciiTheme="minorEastAsia" w:hAnsiTheme="minorEastAsia" w:eastAsiaTheme="minorEastAsia"/>
          <w:kern w:val="0"/>
          <w:sz w:val="24"/>
        </w:rPr>
        <w:t xml:space="preserve"> </w:t>
      </w:r>
      <w:r>
        <w:rPr>
          <w:rFonts w:hint="eastAsia" w:cs="仿宋" w:asciiTheme="minorEastAsia" w:hAnsiTheme="minorEastAsia" w:eastAsiaTheme="minorEastAsia"/>
          <w:kern w:val="0"/>
          <w:sz w:val="24"/>
        </w:rPr>
        <w:t xml:space="preserve">，属于（采购文件中明确的所属行业）；承建（承接）企业为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（企业名称），从业人员</w:t>
      </w:r>
      <w:r>
        <w:rPr>
          <w:rFonts w:hint="eastAsia" w:cs="仿宋" w:asciiTheme="minorEastAsia" w:hAnsiTheme="minorEastAsia" w:eastAsiaTheme="minorEastAsia"/>
          <w:kern w:val="0"/>
          <w:sz w:val="24"/>
          <w:u w:val="single"/>
        </w:rPr>
        <w:t xml:space="preserve">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 xml:space="preserve">人，营业收入为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 xml:space="preserve">万元，资产总额为 </w:t>
      </w:r>
      <w:r>
        <w:rPr>
          <w:rFonts w:cs="仿宋" w:asciiTheme="minorEastAsia" w:hAnsiTheme="minorEastAsia" w:eastAsiaTheme="minorEastAsia"/>
          <w:kern w:val="0"/>
          <w:sz w:val="24"/>
          <w:u w:val="single"/>
        </w:rPr>
        <w:t xml:space="preserve">    </w:t>
      </w:r>
      <w:r>
        <w:rPr>
          <w:rFonts w:hint="eastAsia" w:cs="仿宋" w:asciiTheme="minorEastAsia" w:hAnsiTheme="minorEastAsia" w:eastAsiaTheme="minorEastAsia"/>
          <w:kern w:val="0"/>
          <w:sz w:val="24"/>
        </w:rPr>
        <w:t>万元，属于（中型企业、小型企业、微型企业）；</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以上企业，不属于大企业的分支机构，不存在控股股东为大企业的情形，也不存在与大企业的负责人为同一人的情形。</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本企业对上述声明内容的真实性负责。如有虚假，将依法承担相应责任。</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企业名称（盖章）：</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r>
        <w:rPr>
          <w:rFonts w:hint="eastAsia" w:cs="仿宋" w:asciiTheme="minorEastAsia" w:hAnsiTheme="minorEastAsia" w:eastAsiaTheme="minorEastAsia"/>
          <w:kern w:val="0"/>
          <w:sz w:val="24"/>
        </w:rPr>
        <w:t>日期：</w:t>
      </w: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cs="仿宋" w:asciiTheme="minorEastAsia" w:hAnsiTheme="minorEastAsia" w:eastAsiaTheme="minorEastAsia"/>
          <w:kern w:val="0"/>
          <w:sz w:val="24"/>
        </w:rPr>
      </w:pPr>
    </w:p>
    <w:p>
      <w:pPr>
        <w:spacing w:line="360" w:lineRule="auto"/>
        <w:rPr>
          <w:rFonts w:cs="宋体" w:asciiTheme="minorEastAsia" w:hAnsiTheme="minorEastAsia" w:eastAsiaTheme="minorEastAsia"/>
          <w:kern w:val="0"/>
          <w:sz w:val="24"/>
        </w:rPr>
      </w:pPr>
      <w:r>
        <w:rPr>
          <w:rFonts w:cs="TimesNewRomanPSMT" w:asciiTheme="minorEastAsia" w:hAnsiTheme="minorEastAsia" w:eastAsiaTheme="minorEastAsia"/>
          <w:kern w:val="0"/>
          <w:sz w:val="24"/>
        </w:rPr>
        <w:t xml:space="preserve">1 </w:t>
      </w:r>
      <w:r>
        <w:rPr>
          <w:rFonts w:hint="eastAsia" w:cs="宋体" w:asciiTheme="minorEastAsia" w:hAnsiTheme="minorEastAsia" w:eastAsiaTheme="minorEastAsia"/>
          <w:kern w:val="0"/>
          <w:sz w:val="24"/>
        </w:rPr>
        <w:t>从业人员、营业收入、资产总额填报上一年度数据，无上一年度数据的新成立企业可不填报。</w:t>
      </w:r>
    </w:p>
    <w:p>
      <w:pPr>
        <w:spacing w:line="360" w:lineRule="auto"/>
        <w:ind w:firstLine="424" w:firstLineChars="177"/>
        <w:jc w:val="center"/>
        <w:outlineLvl w:val="2"/>
        <w:rPr>
          <w:rFonts w:asciiTheme="minorEastAsia" w:hAnsiTheme="minorEastAsia" w:eastAsiaTheme="minorEastAsia" w:cstheme="minorEastAsia"/>
          <w:sz w:val="24"/>
          <w:lang w:val="en-GB"/>
        </w:rPr>
      </w:pPr>
      <w:bookmarkStart w:id="326" w:name="_Toc61878517"/>
      <w:r>
        <w:rPr>
          <w:rFonts w:hint="eastAsia" w:asciiTheme="minorEastAsia" w:hAnsiTheme="minorEastAsia" w:eastAsiaTheme="minorEastAsia" w:cstheme="minorEastAsia"/>
          <w:sz w:val="24"/>
        </w:rPr>
        <w:t>13</w:t>
      </w:r>
      <w:r>
        <w:rPr>
          <w:rFonts w:hint="eastAsia" w:asciiTheme="minorEastAsia" w:hAnsiTheme="minorEastAsia" w:eastAsiaTheme="minorEastAsia" w:cstheme="minorEastAsia"/>
          <w:sz w:val="24"/>
          <w:lang w:val="en-GB"/>
        </w:rPr>
        <w:t xml:space="preserve"> 残疾人福利性单位声明函（如适用）</w:t>
      </w:r>
      <w:bookmarkEnd w:id="326"/>
    </w:p>
    <w:p>
      <w:pPr>
        <w:pStyle w:val="47"/>
        <w:spacing w:line="360" w:lineRule="auto"/>
        <w:rPr>
          <w:rFonts w:asciiTheme="minorEastAsia" w:hAnsiTheme="minorEastAsia" w:eastAsiaTheme="minorEastAsia" w:cstheme="minorEastAsia"/>
          <w:lang w:val="en-GB"/>
        </w:rPr>
      </w:pPr>
    </w:p>
    <w:p>
      <w:pPr>
        <w:pStyle w:val="9"/>
        <w:spacing w:line="360" w:lineRule="auto"/>
        <w:ind w:firstLine="600" w:firstLineChars="250"/>
        <w:rPr>
          <w:rFonts w:asciiTheme="minorEastAsia" w:hAnsiTheme="minorEastAsia" w:eastAsiaTheme="minorEastAsia" w:cstheme="minorEastAsia"/>
          <w:lang w:val="en-US"/>
        </w:rPr>
      </w:pPr>
      <w:r>
        <w:rPr>
          <w:rFonts w:hint="eastAsia" w:asciiTheme="minorEastAsia" w:hAnsiTheme="minorEastAsia" w:eastAsiaTheme="minorEastAsia" w:cstheme="minorEastAsia"/>
          <w:lang w:val="en-US"/>
        </w:rPr>
        <w:t>本单位郑重声明，根据《财政部民政部中国残疾人联合会关于促进残疾人就业政府采购政策的通知》（财库〔2017〕 141号）的规定，本单位为符合条件的残疾人福利性单位，且本单位参加_____</w:t>
      </w:r>
      <w:r>
        <w:rPr>
          <w:rFonts w:hint="eastAsia" w:asciiTheme="minorEastAsia" w:hAnsiTheme="minorEastAsia" w:eastAsiaTheme="minorEastAsia" w:cstheme="minorEastAsia"/>
          <w:u w:val="single"/>
        </w:rPr>
        <w:t>（采购人名称）</w:t>
      </w:r>
      <w:r>
        <w:rPr>
          <w:rFonts w:hint="eastAsia" w:asciiTheme="minorEastAsia" w:hAnsiTheme="minorEastAsia" w:eastAsiaTheme="minorEastAsia" w:cstheme="minorEastAsia"/>
          <w:lang w:val="en-US"/>
        </w:rPr>
        <w:t>单位的____</w:t>
      </w:r>
      <w:r>
        <w:rPr>
          <w:rFonts w:hint="eastAsia" w:asciiTheme="minorEastAsia" w:hAnsiTheme="minorEastAsia" w:eastAsiaTheme="minorEastAsia" w:cstheme="minorEastAsia"/>
          <w:u w:val="single"/>
        </w:rPr>
        <w:t>（项目名称）</w:t>
      </w:r>
      <w:r>
        <w:rPr>
          <w:rFonts w:hint="eastAsia" w:asciiTheme="minorEastAsia" w:hAnsiTheme="minorEastAsia" w:eastAsiaTheme="minorEastAsia" w:cstheme="minorEastAsia"/>
          <w:lang w:val="en-US"/>
        </w:rPr>
        <w:t>采购活动提供本单位制造的货物（由本单位承担工程/提供服务），或者提供其他残疾人福利性单位制造的货物（不包括使用非残疾人福利性单位注册商标的货物）。</w:t>
      </w:r>
    </w:p>
    <w:p>
      <w:pPr>
        <w:pStyle w:val="9"/>
        <w:spacing w:line="360" w:lineRule="auto"/>
        <w:rPr>
          <w:rFonts w:asciiTheme="minorEastAsia" w:hAnsiTheme="minorEastAsia" w:eastAsiaTheme="minorEastAsia" w:cstheme="minorEastAsia"/>
          <w:lang w:val="en-US"/>
        </w:rPr>
      </w:pPr>
      <w:r>
        <w:rPr>
          <w:rFonts w:hint="eastAsia" w:asciiTheme="minorEastAsia" w:hAnsiTheme="minorEastAsia" w:eastAsiaTheme="minorEastAsia" w:cstheme="minorEastAsia"/>
          <w:lang w:val="en-US"/>
        </w:rPr>
        <w:t>本单位对上述声明的真实性负责。如有虚假，将依法承担相应责任。</w:t>
      </w:r>
    </w:p>
    <w:p>
      <w:pPr>
        <w:pStyle w:val="9"/>
        <w:spacing w:line="360" w:lineRule="auto"/>
        <w:rPr>
          <w:rFonts w:asciiTheme="minorEastAsia" w:hAnsiTheme="minorEastAsia" w:eastAsiaTheme="minorEastAsia" w:cstheme="minorEastAsia"/>
          <w:lang w:val="en-US"/>
        </w:rPr>
      </w:pPr>
    </w:p>
    <w:p>
      <w:pPr>
        <w:pStyle w:val="9"/>
        <w:spacing w:line="360" w:lineRule="auto"/>
        <w:rPr>
          <w:rFonts w:asciiTheme="minorEastAsia" w:hAnsiTheme="minorEastAsia" w:eastAsiaTheme="minorEastAsia" w:cstheme="minorEastAsia"/>
          <w:lang w:val="en-US"/>
        </w:rPr>
      </w:pPr>
    </w:p>
    <w:p>
      <w:pPr>
        <w:pStyle w:val="9"/>
        <w:spacing w:line="360" w:lineRule="auto"/>
        <w:rPr>
          <w:rFonts w:asciiTheme="minorEastAsia" w:hAnsiTheme="minorEastAsia" w:eastAsiaTheme="minorEastAsia" w:cstheme="minorEastAsia"/>
          <w:lang w:val="en-US"/>
        </w:rPr>
      </w:pPr>
      <w:r>
        <w:rPr>
          <w:rFonts w:hint="eastAsia" w:asciiTheme="minorEastAsia" w:hAnsiTheme="minorEastAsia" w:eastAsiaTheme="minorEastAsia" w:cstheme="minorEastAsia"/>
          <w:lang w:val="en-US"/>
        </w:rPr>
        <w:t>投标人名称（盖章）：</w:t>
      </w:r>
    </w:p>
    <w:p>
      <w:pPr>
        <w:pStyle w:val="9"/>
        <w:spacing w:line="360" w:lineRule="auto"/>
        <w:rPr>
          <w:rFonts w:asciiTheme="minorEastAsia" w:hAnsiTheme="minorEastAsia" w:eastAsiaTheme="minorEastAsia" w:cstheme="minorEastAsia"/>
          <w:lang w:val="en-US"/>
        </w:rPr>
      </w:pPr>
      <w:r>
        <w:rPr>
          <w:rFonts w:hint="eastAsia" w:asciiTheme="minorEastAsia" w:hAnsiTheme="minorEastAsia" w:eastAsiaTheme="minorEastAsia" w:cstheme="minorEastAsia"/>
          <w:lang w:val="en-US"/>
        </w:rPr>
        <w:t>日期：</w:t>
      </w:r>
    </w:p>
    <w:p>
      <w:pPr>
        <w:widowControl/>
        <w:spacing w:line="360" w:lineRule="auto"/>
        <w:jc w:val="left"/>
        <w:rPr>
          <w:rFonts w:asciiTheme="minorEastAsia" w:hAnsiTheme="minorEastAsia" w:eastAsiaTheme="minorEastAsia" w:cstheme="minorEastAsia"/>
          <w:kern w:val="0"/>
          <w:sz w:val="24"/>
          <w:szCs w:val="20"/>
          <w:lang w:val="zh-CN"/>
        </w:rPr>
      </w:pPr>
      <w:r>
        <w:rPr>
          <w:rFonts w:hint="eastAsia" w:asciiTheme="minorEastAsia" w:hAnsiTheme="minorEastAsia" w:eastAsiaTheme="minorEastAsia" w:cstheme="minorEastAsia"/>
          <w:kern w:val="0"/>
          <w:sz w:val="24"/>
          <w:szCs w:val="20"/>
          <w:lang w:val="zh-CN"/>
        </w:rPr>
        <w:br w:type="page"/>
      </w:r>
    </w:p>
    <w:p>
      <w:pPr>
        <w:pStyle w:val="2"/>
        <w:tabs>
          <w:tab w:val="left" w:pos="900"/>
        </w:tabs>
        <w:spacing w:line="360" w:lineRule="auto"/>
        <w:jc w:val="center"/>
        <w:rPr>
          <w:rFonts w:hint="default" w:asciiTheme="minorEastAsia" w:hAnsiTheme="minorEastAsia" w:eastAsiaTheme="minorEastAsia" w:cstheme="minorEastAsia"/>
          <w:bCs/>
          <w:sz w:val="24"/>
          <w:szCs w:val="28"/>
        </w:rPr>
      </w:pPr>
      <w:bookmarkStart w:id="327" w:name="_Toc5895229"/>
      <w:bookmarkStart w:id="328" w:name="_Toc61878518"/>
      <w:r>
        <w:rPr>
          <w:rFonts w:asciiTheme="minorEastAsia" w:hAnsiTheme="minorEastAsia" w:eastAsiaTheme="minorEastAsia" w:cstheme="minorEastAsia"/>
          <w:sz w:val="24"/>
        </w:rPr>
        <w:t xml:space="preserve">14 </w:t>
      </w:r>
      <w:r>
        <w:rPr>
          <w:rFonts w:asciiTheme="minorEastAsia" w:hAnsiTheme="minorEastAsia" w:eastAsiaTheme="minorEastAsia" w:cstheme="minorEastAsia"/>
          <w:bCs/>
          <w:sz w:val="24"/>
          <w:szCs w:val="28"/>
        </w:rPr>
        <w:t>监狱、戒毒企业声明函（如适用）</w:t>
      </w:r>
      <w:bookmarkEnd w:id="327"/>
      <w:bookmarkEnd w:id="328"/>
    </w:p>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sz w:val="24"/>
        </w:rPr>
        <w:t>（如为监狱、戒毒企业，须提供声明函）</w:t>
      </w:r>
    </w:p>
    <w:p>
      <w:pPr>
        <w:spacing w:line="360" w:lineRule="auto"/>
        <w:jc w:val="center"/>
        <w:rPr>
          <w:rFonts w:asciiTheme="minorEastAsia" w:hAnsiTheme="minorEastAsia" w:eastAsiaTheme="minorEastAsia" w:cstheme="minorEastAsia"/>
          <w:b/>
          <w:bCs/>
          <w:sz w:val="24"/>
        </w:rPr>
      </w:pPr>
    </w:p>
    <w:p>
      <w:pPr>
        <w:pStyle w:val="102"/>
        <w:widowControl w:val="0"/>
        <w:spacing w:line="360" w:lineRule="auto"/>
        <w:ind w:firstLine="371" w:firstLineChars="177"/>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本公司为______（请填写：监狱、戒毒）企业。即，本公司同时满足以下条件：</w:t>
      </w:r>
    </w:p>
    <w:p>
      <w:pPr>
        <w:pStyle w:val="102"/>
        <w:widowControl w:val="0"/>
        <w:spacing w:line="360" w:lineRule="auto"/>
        <w:ind w:firstLine="371" w:firstLineChars="177"/>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1.本公司为______（请填写：监狱、戒毒）企业。</w:t>
      </w:r>
    </w:p>
    <w:p>
      <w:pPr>
        <w:pStyle w:val="102"/>
        <w:widowControl w:val="0"/>
        <w:spacing w:line="360" w:lineRule="auto"/>
        <w:ind w:firstLine="371" w:firstLineChars="177"/>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2.本公司参加</w:t>
      </w:r>
      <w:r>
        <w:rPr>
          <w:rFonts w:hint="eastAsia" w:asciiTheme="minorEastAsia" w:hAnsiTheme="minorEastAsia" w:eastAsiaTheme="minorEastAsia" w:cstheme="minorEastAsia"/>
          <w:kern w:val="2"/>
          <w:u w:val="single"/>
        </w:rPr>
        <w:t xml:space="preserve">     （采购人名称）</w:t>
      </w:r>
      <w:r>
        <w:rPr>
          <w:rFonts w:hint="eastAsia" w:asciiTheme="minorEastAsia" w:hAnsiTheme="minorEastAsia" w:eastAsiaTheme="minorEastAsia" w:cstheme="minorEastAsia"/>
          <w:kern w:val="2"/>
        </w:rPr>
        <w:t>单位的</w:t>
      </w:r>
      <w:r>
        <w:rPr>
          <w:rFonts w:hint="eastAsia" w:asciiTheme="minorEastAsia" w:hAnsiTheme="minorEastAsia" w:eastAsiaTheme="minorEastAsia" w:cstheme="minorEastAsia"/>
          <w:kern w:val="2"/>
          <w:u w:val="single"/>
        </w:rPr>
        <w:t xml:space="preserve">      （项目名称）</w:t>
      </w:r>
      <w:r>
        <w:rPr>
          <w:rFonts w:hint="eastAsia" w:asciiTheme="minorEastAsia" w:hAnsiTheme="minorEastAsia" w:eastAsiaTheme="minorEastAsia" w:cstheme="minorEastAsia"/>
          <w:kern w:val="2"/>
        </w:rPr>
        <w:t>采购活动提供本企业制造的货物，由本企业承担工程、提供服务，或者提供其他______（请填写：监狱、戒毒）企业制造的货物。</w:t>
      </w:r>
    </w:p>
    <w:p>
      <w:pPr>
        <w:pStyle w:val="102"/>
        <w:widowControl w:val="0"/>
        <w:spacing w:line="360" w:lineRule="auto"/>
        <w:ind w:firstLine="371" w:firstLineChars="177"/>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本公司对上述声明的真实性负责。如有虚假，将依法承担相应责任。</w:t>
      </w:r>
    </w:p>
    <w:p>
      <w:pPr>
        <w:spacing w:line="360" w:lineRule="auto"/>
        <w:ind w:firstLine="152"/>
        <w:jc w:val="righ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投标人名称（盖章）：</w:t>
      </w:r>
    </w:p>
    <w:p>
      <w:pPr>
        <w:spacing w:line="360" w:lineRule="auto"/>
        <w:ind w:firstLine="426"/>
        <w:jc w:val="righ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日           期：</w:t>
      </w:r>
    </w:p>
    <w:p>
      <w:pPr>
        <w:pStyle w:val="102"/>
        <w:widowControl w:val="0"/>
        <w:spacing w:line="360" w:lineRule="auto"/>
        <w:ind w:firstLine="373" w:firstLineChars="177"/>
        <w:rPr>
          <w:rFonts w:asciiTheme="minorEastAsia" w:hAnsiTheme="minorEastAsia" w:eastAsiaTheme="minorEastAsia" w:cstheme="minorEastAsia"/>
          <w:b/>
          <w:kern w:val="2"/>
        </w:rPr>
      </w:pPr>
    </w:p>
    <w:p>
      <w:pPr>
        <w:pStyle w:val="102"/>
        <w:widowControl w:val="0"/>
        <w:spacing w:line="360" w:lineRule="auto"/>
        <w:ind w:firstLine="426" w:firstLineChars="177"/>
        <w:rPr>
          <w:rFonts w:asciiTheme="minorEastAsia" w:hAnsiTheme="minorEastAsia" w:eastAsiaTheme="minorEastAsia" w:cstheme="minorEastAsia"/>
          <w:b/>
          <w:kern w:val="2"/>
          <w:sz w:val="24"/>
          <w:szCs w:val="24"/>
        </w:rPr>
      </w:pPr>
      <w:r>
        <w:rPr>
          <w:rFonts w:hint="eastAsia" w:asciiTheme="minorEastAsia" w:hAnsiTheme="minorEastAsia" w:eastAsiaTheme="minorEastAsia" w:cstheme="minorEastAsia"/>
          <w:b/>
          <w:kern w:val="2"/>
          <w:sz w:val="24"/>
          <w:szCs w:val="24"/>
        </w:rPr>
        <w:t>注：</w:t>
      </w:r>
    </w:p>
    <w:p>
      <w:pPr>
        <w:pStyle w:val="102"/>
        <w:widowControl w:val="0"/>
        <w:spacing w:line="360" w:lineRule="auto"/>
        <w:ind w:left="372" w:leftChars="177"/>
        <w:rPr>
          <w:rFonts w:asciiTheme="minorEastAsia" w:hAnsiTheme="minorEastAsia" w:eastAsiaTheme="minorEastAsia" w:cstheme="minorEastAsia"/>
          <w:b/>
          <w:kern w:val="2"/>
          <w:sz w:val="24"/>
          <w:szCs w:val="24"/>
        </w:rPr>
      </w:pPr>
      <w:r>
        <w:rPr>
          <w:rFonts w:hint="eastAsia" w:asciiTheme="minorEastAsia" w:hAnsiTheme="minorEastAsia" w:eastAsiaTheme="minorEastAsia" w:cstheme="minorEastAsia"/>
          <w:b/>
          <w:kern w:val="2"/>
          <w:sz w:val="24"/>
          <w:szCs w:val="24"/>
        </w:rPr>
        <w:t>(1)不符合上述情形的投标人无须提供上述声明函件。</w:t>
      </w:r>
      <w:r>
        <w:rPr>
          <w:rFonts w:hint="eastAsia" w:asciiTheme="minorEastAsia" w:hAnsiTheme="minorEastAsia" w:eastAsiaTheme="minorEastAsia" w:cstheme="minorEastAsia"/>
          <w:b/>
          <w:kern w:val="2"/>
          <w:sz w:val="24"/>
          <w:szCs w:val="24"/>
        </w:rPr>
        <w:br w:type="textWrapping"/>
      </w:r>
      <w:r>
        <w:rPr>
          <w:rFonts w:hint="eastAsia" w:asciiTheme="minorEastAsia" w:hAnsiTheme="minorEastAsia" w:eastAsiaTheme="minorEastAsia" w:cstheme="minorEastAsia"/>
          <w:b/>
          <w:kern w:val="2"/>
          <w:sz w:val="24"/>
          <w:szCs w:val="24"/>
        </w:rPr>
        <w:t>(2)提供市监狱管理局、市教育矫治局出具的监狱企业的证明文件。</w:t>
      </w:r>
      <w:r>
        <w:rPr>
          <w:rFonts w:hint="eastAsia" w:asciiTheme="minorEastAsia" w:hAnsiTheme="minorEastAsia" w:eastAsiaTheme="minorEastAsia" w:cstheme="minorEastAsia"/>
          <w:b/>
          <w:kern w:val="2"/>
          <w:sz w:val="24"/>
          <w:szCs w:val="24"/>
        </w:rPr>
        <w:br w:type="textWrapping"/>
      </w:r>
      <w:r>
        <w:rPr>
          <w:rFonts w:hint="eastAsia" w:asciiTheme="minorEastAsia" w:hAnsiTheme="minorEastAsia" w:eastAsiaTheme="minorEastAsia" w:cstheme="minorEastAsia"/>
          <w:b/>
          <w:kern w:val="2"/>
          <w:sz w:val="24"/>
          <w:szCs w:val="24"/>
        </w:rPr>
        <w:t>(3)在政府采购活动中，监狱企业视同小型、微型企业，享受预留份额、评审中价格扣除等政府采购促进中小企业发展的相关政策。向监狱企业采购的金额，计入面向中小企业采购的统计数据。</w:t>
      </w:r>
    </w:p>
    <w:p>
      <w:pPr>
        <w:tabs>
          <w:tab w:val="left" w:pos="5580"/>
        </w:tabs>
        <w:spacing w:before="120" w:line="360" w:lineRule="auto"/>
        <w:ind w:left="-2" w:leftChars="-1" w:firstLine="2"/>
        <w:jc w:val="center"/>
        <w:rPr>
          <w:rFonts w:asciiTheme="minorEastAsia" w:hAnsiTheme="minorEastAsia" w:eastAsiaTheme="minorEastAsia" w:cstheme="minorEastAsia"/>
          <w:sz w:val="24"/>
        </w:rPr>
      </w:pPr>
    </w:p>
    <w:p>
      <w:pPr>
        <w:pStyle w:val="9"/>
        <w:spacing w:line="360" w:lineRule="auto"/>
        <w:ind w:firstLine="0"/>
        <w:rPr>
          <w:rFonts w:asciiTheme="minorEastAsia" w:hAnsiTheme="minorEastAsia" w:eastAsiaTheme="minorEastAsia" w:cstheme="minorEastAsia"/>
          <w:lang w:val="en-US"/>
        </w:rPr>
        <w:sectPr>
          <w:pgSz w:w="11907" w:h="16840"/>
          <w:pgMar w:top="1089" w:right="1418" w:bottom="1400" w:left="1418" w:header="851" w:footer="992" w:gutter="0"/>
          <w:cols w:space="720" w:num="1"/>
          <w:docGrid w:linePitch="312" w:charSpace="0"/>
        </w:sectPr>
      </w:pPr>
    </w:p>
    <w:p>
      <w:pPr>
        <w:widowControl/>
        <w:spacing w:line="360" w:lineRule="auto"/>
        <w:jc w:val="center"/>
        <w:outlineLvl w:val="2"/>
        <w:rPr>
          <w:rFonts w:asciiTheme="minorEastAsia" w:hAnsiTheme="minorEastAsia" w:eastAsiaTheme="minorEastAsia" w:cstheme="minorEastAsia"/>
          <w:sz w:val="24"/>
        </w:rPr>
      </w:pPr>
      <w:bookmarkStart w:id="329" w:name="_Toc61878519"/>
      <w:bookmarkStart w:id="330" w:name="_Toc5895231"/>
      <w:r>
        <w:rPr>
          <w:rFonts w:hint="eastAsia" w:asciiTheme="minorEastAsia" w:hAnsiTheme="minorEastAsia" w:eastAsiaTheme="minorEastAsia" w:cstheme="minorEastAsia"/>
          <w:sz w:val="24"/>
        </w:rPr>
        <w:t>15投标人认为必要的其他证明文件</w:t>
      </w:r>
      <w:bookmarkEnd w:id="329"/>
      <w:bookmarkEnd w:id="330"/>
    </w:p>
    <w:bookmarkEnd w:id="245"/>
    <w:bookmarkEnd w:id="246"/>
    <w:bookmarkEnd w:id="247"/>
    <w:bookmarkEnd w:id="248"/>
    <w:p>
      <w:pPr>
        <w:spacing w:before="120" w:line="360" w:lineRule="auto"/>
        <w:jc w:val="center"/>
        <w:outlineLvl w:val="0"/>
        <w:rPr>
          <w:rFonts w:asciiTheme="minorEastAsia" w:hAnsiTheme="minorEastAsia" w:eastAsiaTheme="minorEastAsia" w:cstheme="minorEastAsia"/>
          <w:b/>
          <w:kern w:val="44"/>
          <w:sz w:val="28"/>
          <w:szCs w:val="28"/>
        </w:rPr>
      </w:pPr>
    </w:p>
    <w:sectPr>
      <w:pgSz w:w="11907" w:h="16840"/>
      <w:pgMar w:top="1089" w:right="1418" w:bottom="1400" w:left="1418"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kzidenz Grotesk BQ">
    <w:altName w:val="新宋体"/>
    <w:panose1 w:val="00000000000000000000"/>
    <w:charset w:val="00"/>
    <w:family w:val="swiss"/>
    <w:pitch w:val="default"/>
    <w:sig w:usb0="00000000" w:usb1="00000000" w:usb2="00000010" w:usb3="00000000" w:csb0="00040001" w:csb1="00000000"/>
  </w:font>
  <w:font w:name="新宋体">
    <w:panose1 w:val="02010609030101010101"/>
    <w:charset w:val="86"/>
    <w:family w:val="auto"/>
    <w:pitch w:val="default"/>
    <w:sig w:usb0="00000283" w:usb1="288F0000" w:usb2="00000006" w:usb3="00000000" w:csb0="00040001" w:csb1="00000000"/>
  </w:font>
  <w:font w:name="Frutiger Roman">
    <w:altName w:val="Lucida Sans Unicode"/>
    <w:panose1 w:val="00000000000000000000"/>
    <w:charset w:val="00"/>
    <w:family w:val="swiss"/>
    <w:pitch w:val="default"/>
    <w:sig w:usb0="00000000" w:usb1="00000000" w:usb2="00000000" w:usb3="00000000" w:csb0="00000013" w:csb1="00000000"/>
  </w:font>
  <w:font w:name="Lucida Sans Unicode">
    <w:panose1 w:val="020B0602030504020204"/>
    <w:charset w:val="00"/>
    <w:family w:val="auto"/>
    <w:pitch w:val="default"/>
    <w:sig w:usb0="80001AFF" w:usb1="0000396B" w:usb2="00000000" w:usb3="00000000" w:csb0="200000BF" w:csb1="D7F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Helvetica Neue">
    <w:altName w:val="Arial"/>
    <w:panose1 w:val="00000000000000000000"/>
    <w:charset w:val="00"/>
    <w:family w:val="roman"/>
    <w:pitch w:val="default"/>
    <w:sig w:usb0="00000000" w:usb1="00000000" w:usb2="00000000" w:usb3="00000000" w:csb0="00000000" w:csb1="00000000"/>
  </w:font>
  <w:font w:name="Times">
    <w:altName w:val="Times New Roman"/>
    <w:panose1 w:val="02020603050405020304"/>
    <w:charset w:val="00"/>
    <w:family w:val="roman"/>
    <w:pitch w:val="default"/>
    <w:sig w:usb0="00000000" w:usb1="00000000" w:usb2="00000009" w:usb3="00000000" w:csb0="000001FF" w:csb1="00000000"/>
  </w:font>
  <w:font w:name="TimesNewRomanPSMT">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52"/>
      </w:rPr>
    </w:pPr>
    <w:r>
      <w:fldChar w:fldCharType="begin"/>
    </w:r>
    <w:r>
      <w:rPr>
        <w:rStyle w:val="52"/>
      </w:rPr>
      <w:instrText xml:space="preserve">PAGE  </w:instrText>
    </w:r>
    <w:r>
      <w:fldChar w:fldCharType="end"/>
    </w:r>
  </w:p>
  <w:p>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52"/>
      </w:rPr>
    </w:pPr>
    <w:r>
      <w:fldChar w:fldCharType="begin"/>
    </w:r>
    <w:r>
      <w:rPr>
        <w:rStyle w:val="52"/>
      </w:rPr>
      <w:instrText xml:space="preserve">PAGE  </w:instrText>
    </w:r>
    <w:r>
      <w:fldChar w:fldCharType="separate"/>
    </w:r>
    <w:r>
      <w:rPr>
        <w:rStyle w:val="52"/>
      </w:rPr>
      <w:t>6</w: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52"/>
      </w:rPr>
    </w:pPr>
    <w:r>
      <w:fldChar w:fldCharType="begin"/>
    </w:r>
    <w:r>
      <w:rPr>
        <w:rStyle w:val="52"/>
      </w:rPr>
      <w:instrText xml:space="preserve">PAGE  </w:instrText>
    </w:r>
    <w:r>
      <w:fldChar w:fldCharType="end"/>
    </w:r>
  </w:p>
  <w:p>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rPr>
                              <w:rFonts w:hint="eastAsia"/>
                            </w:rPr>
                            <w:fldChar w:fldCharType="begin"/>
                          </w:r>
                          <w:r>
                            <w:rPr>
                              <w:rFonts w:hint="eastAsia"/>
                            </w:rPr>
                            <w:instrText xml:space="preserve"> PAGE  \* MERGEFORMAT </w:instrText>
                          </w:r>
                          <w:r>
                            <w:rPr>
                              <w:rFonts w:hint="eastAsia"/>
                            </w:rPr>
                            <w:fldChar w:fldCharType="separate"/>
                          </w:r>
                          <w:r>
                            <w:t>65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6"/>
                    </w:pPr>
                    <w:r>
                      <w:rPr>
                        <w:rFonts w:hint="eastAsia"/>
                      </w:rPr>
                      <w:fldChar w:fldCharType="begin"/>
                    </w:r>
                    <w:r>
                      <w:rPr>
                        <w:rFonts w:hint="eastAsia"/>
                      </w:rPr>
                      <w:instrText xml:space="preserve"> PAGE  \* MERGEFORMAT </w:instrText>
                    </w:r>
                    <w:r>
                      <w:rPr>
                        <w:rFonts w:hint="eastAsia"/>
                      </w:rPr>
                      <w:fldChar w:fldCharType="separate"/>
                    </w:r>
                    <w:r>
                      <w:t>65</w:t>
                    </w:r>
                    <w:r>
                      <w:rPr>
                        <w:rFonts w:hint="eastAsia"/>
                      </w:rPr>
                      <w:fldChar w:fldCharType="end"/>
                    </w:r>
                  </w:p>
                </w:txbxContent>
              </v:textbox>
            </v:shape>
          </w:pict>
        </mc:Fallback>
      </mc:AlternateContent>
    </w:r>
  </w:p>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rPr>
        <w:szCs w:val="18"/>
      </w:rPr>
    </w:pPr>
    <w:r>
      <w:rPr>
        <w:rFonts w:hint="eastAsia"/>
      </w:rPr>
      <w:t xml:space="preserve">2                        </w:t>
    </w:r>
    <w:r>
      <w:rPr>
        <w:rFonts w:hint="eastAsia"/>
        <w:szCs w:val="18"/>
      </w:rPr>
      <w:t>华采招标有限公司(HCZB)</w:t>
    </w:r>
  </w:p>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right="360"/>
      <w:rPr>
        <w:rFonts w:hAnsi="宋体"/>
      </w:rP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rPr>
                              <w:rFonts w:hint="eastAsia"/>
                            </w:rPr>
                            <w:fldChar w:fldCharType="begin"/>
                          </w:r>
                          <w:r>
                            <w:rPr>
                              <w:rFonts w:hint="eastAsia"/>
                            </w:rPr>
                            <w:instrText xml:space="preserve"> PAGE  \* MERGEFORMAT </w:instrText>
                          </w:r>
                          <w:r>
                            <w:rPr>
                              <w:rFonts w:hint="eastAsia"/>
                            </w:rPr>
                            <w:fldChar w:fldCharType="separate"/>
                          </w:r>
                          <w:r>
                            <w:t>67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26"/>
                    </w:pPr>
                    <w:r>
                      <w:rPr>
                        <w:rFonts w:hint="eastAsia"/>
                      </w:rPr>
                      <w:fldChar w:fldCharType="begin"/>
                    </w:r>
                    <w:r>
                      <w:rPr>
                        <w:rFonts w:hint="eastAsia"/>
                      </w:rPr>
                      <w:instrText xml:space="preserve"> PAGE  \* MERGEFORMAT </w:instrText>
                    </w:r>
                    <w:r>
                      <w:rPr>
                        <w:rFonts w:hint="eastAsia"/>
                      </w:rPr>
                      <w:fldChar w:fldCharType="separate"/>
                    </w:r>
                    <w:r>
                      <w:t>67</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rPr>
                              <w:rFonts w:hint="eastAsia"/>
                            </w:rPr>
                            <w:fldChar w:fldCharType="begin"/>
                          </w:r>
                          <w:r>
                            <w:rPr>
                              <w:rFonts w:hint="eastAsia"/>
                            </w:rPr>
                            <w:instrText xml:space="preserve"> PAGE  \* MERGEFORMAT </w:instrText>
                          </w:r>
                          <w:r>
                            <w:rPr>
                              <w:rFonts w:hint="eastAsia"/>
                            </w:rPr>
                            <w:fldChar w:fldCharType="separate"/>
                          </w:r>
                          <w:r>
                            <w:t>80</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6"/>
                    </w:pPr>
                    <w:r>
                      <w:rPr>
                        <w:rFonts w:hint="eastAsia"/>
                      </w:rPr>
                      <w:fldChar w:fldCharType="begin"/>
                    </w:r>
                    <w:r>
                      <w:rPr>
                        <w:rFonts w:hint="eastAsia"/>
                      </w:rPr>
                      <w:instrText xml:space="preserve"> PAGE  \* MERGEFORMAT </w:instrText>
                    </w:r>
                    <w:r>
                      <w:rPr>
                        <w:rFonts w:hint="eastAsia"/>
                      </w:rPr>
                      <w:fldChar w:fldCharType="separate"/>
                    </w:r>
                    <w:r>
                      <w:t>80</w:t>
                    </w:r>
                    <w:r>
                      <w:rPr>
                        <w:rFonts w:hint="eastAsia"/>
                      </w:rPr>
                      <w:fldChar w:fldCharType="end"/>
                    </w:r>
                  </w:p>
                </w:txbxContent>
              </v:textbox>
            </v:shape>
          </w:pict>
        </mc:Fallback>
      </mc:AlternateContent>
    </w:r>
  </w:p>
  <w:p>
    <w:pPr>
      <w:pStyle w:val="26"/>
      <w:jc w:val="right"/>
      <w:rPr>
        <w:rFonts w:hAnsi="宋体"/>
      </w:rPr>
    </w:pPr>
    <w:r>
      <w:rPr>
        <w:rFonts w:hint="eastAsia" w:ascii="仿宋_GB2312" w:eastAsia="仿宋_GB2312"/>
      </w:rPr>
      <w:t>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52"/>
      </w:rPr>
    </w:pPr>
    <w:r>
      <w:fldChar w:fldCharType="begin"/>
    </w:r>
    <w:r>
      <w:rPr>
        <w:rStyle w:val="52"/>
      </w:rPr>
      <w:instrText xml:space="preserve">PAGE  </w:instrText>
    </w:r>
    <w:r>
      <w:fldChar w:fldCharType="separate"/>
    </w:r>
    <w:r>
      <w:rPr>
        <w:rStyle w:val="52"/>
      </w:rPr>
      <w:t>66</w:t>
    </w:r>
    <w:r>
      <w:fldChar w:fldCharType="end"/>
    </w:r>
  </w:p>
  <w:p>
    <w:pPr>
      <w:pStyle w:val="26"/>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right" w:y="1"/>
      <w:rPr>
        <w:rStyle w:val="52"/>
      </w:rPr>
    </w:pPr>
  </w:p>
  <w:p>
    <w:pPr>
      <w:pStyle w:val="26"/>
      <w:ind w:right="36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jc w:val="center"/>
      <w:rPr>
        <w:rFonts w:ascii="Cambria"/>
        <w:color w:val="FF0000"/>
        <w:sz w:val="20"/>
        <w:szCs w:val="20"/>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rPr>
        <w:rFonts w:ascii="Cambria"/>
        <w:sz w:val="20"/>
        <w:szCs w:val="20"/>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0"/>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76" w:lineRule="auto"/>
      <w:rPr>
        <w:rFonts w:ascii="Cambria"/>
        <w:sz w:val="18"/>
        <w:szCs w:val="18"/>
        <w:u w:val="single"/>
      </w:rPr>
    </w:pPr>
  </w:p>
  <w:p>
    <w:pPr>
      <w:spacing w:line="360" w:lineRule="auto"/>
      <w:jc w:val="left"/>
      <w:rPr>
        <w:rFonts w:ascii="Cambria"/>
        <w:sz w:val="18"/>
        <w:szCs w:val="18"/>
        <w:u w:val="single"/>
      </w:rPr>
    </w:pPr>
    <w:r>
      <w:rPr>
        <w:rFonts w:hint="eastAsia" w:ascii="Cambria"/>
        <w:sz w:val="18"/>
        <w:szCs w:val="18"/>
        <w:u w:val="single"/>
      </w:rPr>
      <w:t xml:space="preserve">向基础教育倾斜-2015年北京市青少年校园足球-全国校园足球冠军杯赛项目                HCZB-2015-ZB1446                                        </w:t>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F3B099"/>
    <w:multiLevelType w:val="singleLevel"/>
    <w:tmpl w:val="D7F3B099"/>
    <w:lvl w:ilvl="0" w:tentative="0">
      <w:start w:val="6"/>
      <w:numFmt w:val="chineseCounting"/>
      <w:suff w:val="space"/>
      <w:lvlText w:val="第%1章"/>
      <w:lvlJc w:val="left"/>
      <w:rPr>
        <w:rFonts w:hint="eastAsia"/>
      </w:rPr>
    </w:lvl>
  </w:abstractNum>
  <w:abstractNum w:abstractNumId="1">
    <w:nsid w:val="00000006"/>
    <w:multiLevelType w:val="multilevel"/>
    <w:tmpl w:val="00000006"/>
    <w:lvl w:ilvl="0" w:tentative="0">
      <w:start w:val="1"/>
      <w:numFmt w:val="decimal"/>
      <w:lvlText w:val="%1"/>
      <w:lvlJc w:val="left"/>
      <w:pPr>
        <w:tabs>
          <w:tab w:val="left" w:pos="432"/>
        </w:tabs>
        <w:ind w:left="432" w:hanging="432"/>
      </w:pPr>
      <w:rPr>
        <w:rFonts w:hint="default" w:ascii="微软雅黑" w:hAnsi="微软雅黑" w:eastAsia="微软雅黑" w:cs="Times New Roman"/>
      </w:rPr>
    </w:lvl>
    <w:lvl w:ilvl="1" w:tentative="0">
      <w:start w:val="1"/>
      <w:numFmt w:val="decimal"/>
      <w:lvlText w:val="%1.%2"/>
      <w:lvlJc w:val="left"/>
      <w:pPr>
        <w:tabs>
          <w:tab w:val="left" w:pos="2986"/>
        </w:tabs>
        <w:ind w:left="2986" w:hanging="576"/>
      </w:pPr>
      <w:rPr>
        <w:rFonts w:hint="default" w:ascii="微软雅黑" w:hAnsi="微软雅黑" w:eastAsia="微软雅黑" w:cs="Times New Roman"/>
      </w:r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
    <w:nsid w:val="3CB645BE"/>
    <w:multiLevelType w:val="multilevel"/>
    <w:tmpl w:val="3CB645B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10022CB"/>
    <w:multiLevelType w:val="multilevel"/>
    <w:tmpl w:val="510022CB"/>
    <w:lvl w:ilvl="0" w:tentative="0">
      <w:start w:val="1"/>
      <w:numFmt w:val="decimal"/>
      <w:lvlText w:val="%1"/>
      <w:lvlJc w:val="left"/>
      <w:pPr>
        <w:ind w:left="425" w:hanging="425"/>
      </w:pPr>
      <w:rPr>
        <w:rFonts w:hint="eastAsia"/>
        <w:lang w:val="en-US"/>
      </w:rPr>
    </w:lvl>
    <w:lvl w:ilvl="1" w:tentative="0">
      <w:start w:val="1"/>
      <w:numFmt w:val="decimal"/>
      <w:lvlText w:val="%1.%2"/>
      <w:lvlJc w:val="left"/>
      <w:pPr>
        <w:tabs>
          <w:tab w:val="left" w:pos="0"/>
        </w:tabs>
        <w:ind w:left="0" w:firstLine="0"/>
      </w:pPr>
      <w:rPr>
        <w:rFonts w:hint="default" w:ascii="宋体" w:hAnsi="宋体" w:eastAsia="宋体" w:cs="宋体"/>
      </w:rPr>
    </w:lvl>
    <w:lvl w:ilvl="2" w:tentative="0">
      <w:start w:val="1"/>
      <w:numFmt w:val="decimal"/>
      <w:lvlText w:val="%1.%2.%3"/>
      <w:lvlJc w:val="left"/>
      <w:pPr>
        <w:tabs>
          <w:tab w:val="left" w:pos="0"/>
        </w:tabs>
        <w:ind w:left="0" w:firstLine="0"/>
      </w:pPr>
      <w:rPr>
        <w:rFonts w:hint="default" w:ascii="宋体" w:hAnsi="宋体" w:eastAsia="宋体" w:cs="宋体"/>
      </w:rPr>
    </w:lvl>
    <w:lvl w:ilvl="3" w:tentative="0">
      <w:start w:val="1"/>
      <w:numFmt w:val="decimal"/>
      <w:lvlText w:val="%1.%2.%3.%4"/>
      <w:lvlJc w:val="left"/>
      <w:pPr>
        <w:tabs>
          <w:tab w:val="left" w:pos="0"/>
        </w:tabs>
        <w:ind w:left="0" w:firstLine="0"/>
      </w:pPr>
      <w:rPr>
        <w:rFonts w:hint="default" w:ascii="宋体" w:hAnsi="宋体" w:eastAsia="宋体" w:cs="宋体"/>
        <w:b/>
        <w:i w:val="0"/>
        <w:sz w:val="24"/>
      </w:rPr>
    </w:lvl>
    <w:lvl w:ilvl="4" w:tentative="0">
      <w:start w:val="1"/>
      <w:numFmt w:val="decimal"/>
      <w:lvlText w:val="%1.%2.%3.%4.%5"/>
      <w:lvlJc w:val="left"/>
      <w:pPr>
        <w:ind w:left="2551" w:hanging="850"/>
      </w:pPr>
      <w:rPr>
        <w:rFonts w:hint="default" w:ascii="宋体" w:hAnsi="宋体" w:eastAsia="宋体" w:cs="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571A5753"/>
    <w:multiLevelType w:val="multilevel"/>
    <w:tmpl w:val="571A5753"/>
    <w:lvl w:ilvl="0" w:tentative="0">
      <w:start w:val="1"/>
      <w:numFmt w:val="decimal"/>
      <w:lvlText w:val="%1"/>
      <w:lvlJc w:val="left"/>
      <w:pPr>
        <w:ind w:left="425" w:hanging="425"/>
      </w:pPr>
      <w:rPr>
        <w:rFonts w:hint="eastAsia"/>
        <w:lang w:val="en-US"/>
      </w:rPr>
    </w:lvl>
    <w:lvl w:ilvl="1" w:tentative="0">
      <w:start w:val="1"/>
      <w:numFmt w:val="decimal"/>
      <w:lvlText w:val="%1.%2"/>
      <w:lvlJc w:val="left"/>
      <w:pPr>
        <w:tabs>
          <w:tab w:val="left" w:pos="0"/>
        </w:tabs>
        <w:ind w:left="0" w:firstLine="0"/>
      </w:pPr>
      <w:rPr>
        <w:rFonts w:hint="default" w:ascii="宋体" w:hAnsi="宋体" w:eastAsia="宋体" w:cs="宋体"/>
      </w:rPr>
    </w:lvl>
    <w:lvl w:ilvl="2" w:tentative="0">
      <w:start w:val="1"/>
      <w:numFmt w:val="decimal"/>
      <w:lvlText w:val="%1.%2.%3"/>
      <w:lvlJc w:val="left"/>
      <w:pPr>
        <w:tabs>
          <w:tab w:val="left" w:pos="0"/>
        </w:tabs>
        <w:ind w:left="0" w:firstLine="0"/>
      </w:pPr>
      <w:rPr>
        <w:rFonts w:hint="default" w:ascii="宋体" w:hAnsi="宋体" w:eastAsia="宋体" w:cs="宋体"/>
      </w:rPr>
    </w:lvl>
    <w:lvl w:ilvl="3" w:tentative="0">
      <w:start w:val="1"/>
      <w:numFmt w:val="decimal"/>
      <w:lvlText w:val="%1.%2.%3.%4"/>
      <w:lvlJc w:val="left"/>
      <w:pPr>
        <w:tabs>
          <w:tab w:val="left" w:pos="0"/>
        </w:tabs>
        <w:ind w:left="0" w:firstLine="0"/>
      </w:pPr>
      <w:rPr>
        <w:rFonts w:hint="default" w:ascii="宋体" w:hAnsi="宋体" w:eastAsia="宋体" w:cs="宋体"/>
        <w:b/>
        <w:i w:val="0"/>
        <w:sz w:val="24"/>
      </w:rPr>
    </w:lvl>
    <w:lvl w:ilvl="4" w:tentative="0">
      <w:start w:val="1"/>
      <w:numFmt w:val="decimal"/>
      <w:lvlText w:val="%1.%2.%3.%4.%5"/>
      <w:lvlJc w:val="left"/>
      <w:pPr>
        <w:ind w:left="2551" w:hanging="850"/>
      </w:pPr>
      <w:rPr>
        <w:rFonts w:hint="default" w:ascii="宋体" w:hAnsi="宋体" w:eastAsia="宋体" w:cs="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
    <w:nsid w:val="58126968"/>
    <w:multiLevelType w:val="multilevel"/>
    <w:tmpl w:val="58126968"/>
    <w:lvl w:ilvl="0" w:tentative="0">
      <w:start w:val="1"/>
      <w:numFmt w:val="decimal"/>
      <w:lvlText w:val="%1"/>
      <w:lvlJc w:val="left"/>
      <w:pPr>
        <w:ind w:left="425" w:hanging="425"/>
      </w:pPr>
      <w:rPr>
        <w:rFonts w:hint="eastAsia"/>
        <w:lang w:val="en-US"/>
      </w:rPr>
    </w:lvl>
    <w:lvl w:ilvl="1" w:tentative="0">
      <w:start w:val="1"/>
      <w:numFmt w:val="decimal"/>
      <w:lvlText w:val="%1.%2"/>
      <w:lvlJc w:val="left"/>
      <w:pPr>
        <w:tabs>
          <w:tab w:val="left" w:pos="0"/>
        </w:tabs>
        <w:ind w:left="0" w:firstLine="0"/>
      </w:pPr>
      <w:rPr>
        <w:rFonts w:hint="default" w:ascii="宋体" w:hAnsi="宋体" w:eastAsia="宋体" w:cs="宋体"/>
      </w:rPr>
    </w:lvl>
    <w:lvl w:ilvl="2" w:tentative="0">
      <w:start w:val="1"/>
      <w:numFmt w:val="decimal"/>
      <w:lvlText w:val="%1.%2.%3"/>
      <w:lvlJc w:val="left"/>
      <w:pPr>
        <w:tabs>
          <w:tab w:val="left" w:pos="0"/>
        </w:tabs>
        <w:ind w:left="0" w:firstLine="0"/>
      </w:pPr>
      <w:rPr>
        <w:rFonts w:hint="default" w:ascii="宋体" w:hAnsi="宋体" w:eastAsia="宋体" w:cs="宋体"/>
      </w:rPr>
    </w:lvl>
    <w:lvl w:ilvl="3" w:tentative="0">
      <w:start w:val="1"/>
      <w:numFmt w:val="decimal"/>
      <w:lvlText w:val="%1.%2.%3.%4"/>
      <w:lvlJc w:val="left"/>
      <w:pPr>
        <w:tabs>
          <w:tab w:val="left" w:pos="0"/>
        </w:tabs>
        <w:ind w:left="0" w:firstLine="0"/>
      </w:pPr>
      <w:rPr>
        <w:rFonts w:hint="default" w:ascii="宋体" w:hAnsi="宋体" w:eastAsia="宋体" w:cs="宋体"/>
        <w:b/>
        <w:i w:val="0"/>
        <w:sz w:val="24"/>
      </w:rPr>
    </w:lvl>
    <w:lvl w:ilvl="4" w:tentative="0">
      <w:start w:val="1"/>
      <w:numFmt w:val="decimal"/>
      <w:lvlText w:val="%1.%2.%3.%4.%5"/>
      <w:lvlJc w:val="left"/>
      <w:pPr>
        <w:ind w:left="2551" w:hanging="850"/>
      </w:pPr>
      <w:rPr>
        <w:rFonts w:hint="default" w:ascii="宋体" w:hAnsi="宋体" w:eastAsia="宋体" w:cs="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6B91CDF2"/>
    <w:multiLevelType w:val="multilevel"/>
    <w:tmpl w:val="6B91CDF2"/>
    <w:lvl w:ilvl="0" w:tentative="0">
      <w:start w:val="1"/>
      <w:numFmt w:val="decimal"/>
      <w:lvlText w:val="%1"/>
      <w:lvlJc w:val="left"/>
      <w:pPr>
        <w:ind w:left="425" w:hanging="425"/>
      </w:pPr>
      <w:rPr>
        <w:rFonts w:hint="eastAsia"/>
        <w:lang w:val="en-US"/>
      </w:rPr>
    </w:lvl>
    <w:lvl w:ilvl="1" w:tentative="0">
      <w:start w:val="1"/>
      <w:numFmt w:val="decimal"/>
      <w:lvlText w:val="%1.%2"/>
      <w:lvlJc w:val="left"/>
      <w:pPr>
        <w:tabs>
          <w:tab w:val="left" w:pos="0"/>
        </w:tabs>
        <w:ind w:left="0" w:firstLine="0"/>
      </w:pPr>
      <w:rPr>
        <w:rFonts w:hint="default" w:ascii="宋体" w:hAnsi="宋体" w:eastAsia="宋体" w:cs="宋体"/>
      </w:rPr>
    </w:lvl>
    <w:lvl w:ilvl="2" w:tentative="0">
      <w:start w:val="1"/>
      <w:numFmt w:val="decimal"/>
      <w:lvlText w:val="%1.%2.%3"/>
      <w:lvlJc w:val="left"/>
      <w:pPr>
        <w:tabs>
          <w:tab w:val="left" w:pos="0"/>
        </w:tabs>
        <w:ind w:left="0" w:firstLine="0"/>
      </w:pPr>
      <w:rPr>
        <w:rFonts w:hint="default" w:ascii="宋体" w:hAnsi="宋体" w:eastAsia="宋体" w:cs="宋体"/>
      </w:rPr>
    </w:lvl>
    <w:lvl w:ilvl="3" w:tentative="0">
      <w:start w:val="1"/>
      <w:numFmt w:val="decimal"/>
      <w:lvlText w:val="%1.%2.%3.%4"/>
      <w:lvlJc w:val="left"/>
      <w:pPr>
        <w:tabs>
          <w:tab w:val="left" w:pos="0"/>
        </w:tabs>
        <w:ind w:left="0" w:firstLine="0"/>
      </w:pPr>
      <w:rPr>
        <w:rFonts w:hint="default" w:ascii="宋体" w:hAnsi="宋体" w:eastAsia="宋体" w:cs="宋体"/>
        <w:b/>
        <w:i w:val="0"/>
        <w:sz w:val="24"/>
      </w:rPr>
    </w:lvl>
    <w:lvl w:ilvl="4" w:tentative="0">
      <w:start w:val="1"/>
      <w:numFmt w:val="decimal"/>
      <w:lvlText w:val="%1.%2.%3.%4.%5"/>
      <w:lvlJc w:val="left"/>
      <w:pPr>
        <w:ind w:left="2551" w:hanging="850"/>
      </w:pPr>
      <w:rPr>
        <w:rFonts w:hint="default" w:ascii="宋体" w:hAnsi="宋体" w:eastAsia="宋体" w:cs="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72A66695"/>
    <w:multiLevelType w:val="singleLevel"/>
    <w:tmpl w:val="72A66695"/>
    <w:lvl w:ilvl="0" w:tentative="0">
      <w:start w:val="4"/>
      <w:numFmt w:val="chineseCounting"/>
      <w:suff w:val="space"/>
      <w:lvlText w:val="第%1章"/>
      <w:lvlJc w:val="left"/>
      <w:rPr>
        <w:rFonts w:hint="eastAsia"/>
      </w:rPr>
    </w:lvl>
  </w:abstractNum>
  <w:abstractNum w:abstractNumId="8">
    <w:nsid w:val="76D3462B"/>
    <w:multiLevelType w:val="multilevel"/>
    <w:tmpl w:val="76D3462B"/>
    <w:lvl w:ilvl="0" w:tentative="0">
      <w:start w:val="1"/>
      <w:numFmt w:val="chineseCountingThousand"/>
      <w:pStyle w:val="128"/>
      <w:lvlText w:val="%1、"/>
      <w:lvlJc w:val="left"/>
      <w:pPr>
        <w:ind w:left="425" w:hanging="425"/>
      </w:pPr>
      <w:rPr>
        <w:rFonts w:hint="eastAsia"/>
        <w:lang w:val="en-US"/>
      </w:rPr>
    </w:lvl>
    <w:lvl w:ilvl="1" w:tentative="0">
      <w:start w:val="1"/>
      <w:numFmt w:val="decimal"/>
      <w:isLgl/>
      <w:lvlText w:val="%1.%2"/>
      <w:lvlJc w:val="left"/>
      <w:pPr>
        <w:ind w:left="851" w:hanging="567"/>
      </w:pPr>
      <w:rPr>
        <w:rFonts w:hint="eastAsia"/>
      </w:rPr>
    </w:lvl>
    <w:lvl w:ilvl="2" w:tentative="0">
      <w:start w:val="1"/>
      <w:numFmt w:val="decimal"/>
      <w:pStyle w:val="129"/>
      <w:isLgl/>
      <w:lvlText w:val="%1.%2.%3"/>
      <w:lvlJc w:val="left"/>
      <w:pPr>
        <w:ind w:left="1418" w:hanging="567"/>
      </w:pPr>
      <w:rPr>
        <w:rFonts w:hint="eastAsia"/>
      </w:rPr>
    </w:lvl>
    <w:lvl w:ilvl="3" w:tentative="0">
      <w:start w:val="1"/>
      <w:numFmt w:val="decimal"/>
      <w:pStyle w:val="131"/>
      <w:isLgl/>
      <w:lvlText w:val="%1.%2.%3.%4"/>
      <w:lvlJc w:val="left"/>
      <w:pPr>
        <w:ind w:left="1984" w:hanging="708"/>
      </w:pPr>
      <w:rPr>
        <w:rFonts w:hint="eastAsia" w:ascii="宋体" w:eastAsia="宋体"/>
        <w:b/>
        <w:i w:val="0"/>
        <w:sz w:val="24"/>
      </w:rPr>
    </w:lvl>
    <w:lvl w:ilvl="4" w:tentative="0">
      <w:start w:val="1"/>
      <w:numFmt w:val="decimal"/>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1"/>
  </w:num>
  <w:num w:numId="2">
    <w:abstractNumId w:val="8"/>
  </w:num>
  <w:num w:numId="3">
    <w:abstractNumId w:val="7"/>
  </w:num>
  <w:num w:numId="4">
    <w:abstractNumId w:val="6"/>
  </w:num>
  <w:num w:numId="5">
    <w:abstractNumId w:val="5"/>
  </w:num>
  <w:num w:numId="6">
    <w:abstractNumId w:val="3"/>
  </w:num>
  <w:num w:numId="7">
    <w:abstractNumId w:val="4"/>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666"/>
    <w:rsid w:val="00000085"/>
    <w:rsid w:val="0000052F"/>
    <w:rsid w:val="0000223B"/>
    <w:rsid w:val="00004741"/>
    <w:rsid w:val="0000781D"/>
    <w:rsid w:val="00011035"/>
    <w:rsid w:val="000132BB"/>
    <w:rsid w:val="00014545"/>
    <w:rsid w:val="00015781"/>
    <w:rsid w:val="00025F58"/>
    <w:rsid w:val="000271CD"/>
    <w:rsid w:val="00027321"/>
    <w:rsid w:val="00035D42"/>
    <w:rsid w:val="00036752"/>
    <w:rsid w:val="00037FB6"/>
    <w:rsid w:val="00060675"/>
    <w:rsid w:val="0006183C"/>
    <w:rsid w:val="0006383A"/>
    <w:rsid w:val="00063F07"/>
    <w:rsid w:val="00064164"/>
    <w:rsid w:val="00071311"/>
    <w:rsid w:val="00071D7C"/>
    <w:rsid w:val="00073865"/>
    <w:rsid w:val="000747FB"/>
    <w:rsid w:val="000802B9"/>
    <w:rsid w:val="000826DA"/>
    <w:rsid w:val="00082CC9"/>
    <w:rsid w:val="000847D2"/>
    <w:rsid w:val="00084FAD"/>
    <w:rsid w:val="00086F3B"/>
    <w:rsid w:val="00087239"/>
    <w:rsid w:val="00087CA8"/>
    <w:rsid w:val="00092666"/>
    <w:rsid w:val="00095EFF"/>
    <w:rsid w:val="000A51BC"/>
    <w:rsid w:val="000A5FF5"/>
    <w:rsid w:val="000B205A"/>
    <w:rsid w:val="000B4055"/>
    <w:rsid w:val="000B518E"/>
    <w:rsid w:val="000B51AF"/>
    <w:rsid w:val="000B682C"/>
    <w:rsid w:val="000C0E8F"/>
    <w:rsid w:val="000C426D"/>
    <w:rsid w:val="000E1FD3"/>
    <w:rsid w:val="000E2156"/>
    <w:rsid w:val="000E53E6"/>
    <w:rsid w:val="000E7565"/>
    <w:rsid w:val="000F35DA"/>
    <w:rsid w:val="000F51CF"/>
    <w:rsid w:val="000F51D4"/>
    <w:rsid w:val="000F663D"/>
    <w:rsid w:val="00102F73"/>
    <w:rsid w:val="00103F13"/>
    <w:rsid w:val="00106306"/>
    <w:rsid w:val="00106945"/>
    <w:rsid w:val="001074C7"/>
    <w:rsid w:val="00107C6E"/>
    <w:rsid w:val="00125DCD"/>
    <w:rsid w:val="001264CF"/>
    <w:rsid w:val="00131B01"/>
    <w:rsid w:val="001440C1"/>
    <w:rsid w:val="00152CD8"/>
    <w:rsid w:val="00153FD7"/>
    <w:rsid w:val="001560A9"/>
    <w:rsid w:val="00156236"/>
    <w:rsid w:val="001601C4"/>
    <w:rsid w:val="00162D6F"/>
    <w:rsid w:val="00174C19"/>
    <w:rsid w:val="00177A12"/>
    <w:rsid w:val="001826F6"/>
    <w:rsid w:val="00182950"/>
    <w:rsid w:val="0018300D"/>
    <w:rsid w:val="00183028"/>
    <w:rsid w:val="00183B0A"/>
    <w:rsid w:val="001A1C39"/>
    <w:rsid w:val="001A3A6A"/>
    <w:rsid w:val="001A4A33"/>
    <w:rsid w:val="001A56B9"/>
    <w:rsid w:val="001A57A7"/>
    <w:rsid w:val="001B1018"/>
    <w:rsid w:val="001B6816"/>
    <w:rsid w:val="001B75B0"/>
    <w:rsid w:val="001C26AA"/>
    <w:rsid w:val="001C438F"/>
    <w:rsid w:val="001D031B"/>
    <w:rsid w:val="001D2BE8"/>
    <w:rsid w:val="001E01E2"/>
    <w:rsid w:val="001E10D2"/>
    <w:rsid w:val="001E2183"/>
    <w:rsid w:val="001E2BDB"/>
    <w:rsid w:val="001E3254"/>
    <w:rsid w:val="001E4C9E"/>
    <w:rsid w:val="001E7A79"/>
    <w:rsid w:val="001E7F9B"/>
    <w:rsid w:val="001F227B"/>
    <w:rsid w:val="00206150"/>
    <w:rsid w:val="00211340"/>
    <w:rsid w:val="00213B04"/>
    <w:rsid w:val="00213D88"/>
    <w:rsid w:val="00216081"/>
    <w:rsid w:val="00216A30"/>
    <w:rsid w:val="00220CFA"/>
    <w:rsid w:val="002337A5"/>
    <w:rsid w:val="0023384E"/>
    <w:rsid w:val="00234656"/>
    <w:rsid w:val="002352A1"/>
    <w:rsid w:val="00235BED"/>
    <w:rsid w:val="00240F34"/>
    <w:rsid w:val="002419AC"/>
    <w:rsid w:val="00242428"/>
    <w:rsid w:val="00242A43"/>
    <w:rsid w:val="002441ED"/>
    <w:rsid w:val="00245BDF"/>
    <w:rsid w:val="00250EE0"/>
    <w:rsid w:val="0025330F"/>
    <w:rsid w:val="0025373F"/>
    <w:rsid w:val="00255AC5"/>
    <w:rsid w:val="00263540"/>
    <w:rsid w:val="00267C01"/>
    <w:rsid w:val="00281791"/>
    <w:rsid w:val="00283B8D"/>
    <w:rsid w:val="0028564C"/>
    <w:rsid w:val="00291AFB"/>
    <w:rsid w:val="00293CFA"/>
    <w:rsid w:val="002970EC"/>
    <w:rsid w:val="00297772"/>
    <w:rsid w:val="002A1F1B"/>
    <w:rsid w:val="002A2360"/>
    <w:rsid w:val="002A4860"/>
    <w:rsid w:val="002A55FF"/>
    <w:rsid w:val="002A6821"/>
    <w:rsid w:val="002A717C"/>
    <w:rsid w:val="002C71BC"/>
    <w:rsid w:val="002C7375"/>
    <w:rsid w:val="002D0034"/>
    <w:rsid w:val="002D23F6"/>
    <w:rsid w:val="002D70B5"/>
    <w:rsid w:val="002D7D9F"/>
    <w:rsid w:val="002E32A7"/>
    <w:rsid w:val="002E6C28"/>
    <w:rsid w:val="002F4F79"/>
    <w:rsid w:val="002F5844"/>
    <w:rsid w:val="002F6E20"/>
    <w:rsid w:val="00306026"/>
    <w:rsid w:val="00315227"/>
    <w:rsid w:val="003166BF"/>
    <w:rsid w:val="00316E43"/>
    <w:rsid w:val="00320405"/>
    <w:rsid w:val="00320679"/>
    <w:rsid w:val="00322CB2"/>
    <w:rsid w:val="00322DDB"/>
    <w:rsid w:val="00323939"/>
    <w:rsid w:val="00332446"/>
    <w:rsid w:val="00332CF9"/>
    <w:rsid w:val="00335882"/>
    <w:rsid w:val="00340189"/>
    <w:rsid w:val="00340E89"/>
    <w:rsid w:val="003448CE"/>
    <w:rsid w:val="0035156C"/>
    <w:rsid w:val="00351A94"/>
    <w:rsid w:val="00356FC0"/>
    <w:rsid w:val="00363640"/>
    <w:rsid w:val="003656B9"/>
    <w:rsid w:val="0037157B"/>
    <w:rsid w:val="00371E30"/>
    <w:rsid w:val="00373F2F"/>
    <w:rsid w:val="0037478E"/>
    <w:rsid w:val="00376177"/>
    <w:rsid w:val="00377043"/>
    <w:rsid w:val="0038083F"/>
    <w:rsid w:val="00382A8E"/>
    <w:rsid w:val="00386E15"/>
    <w:rsid w:val="00387138"/>
    <w:rsid w:val="00387A23"/>
    <w:rsid w:val="00395C20"/>
    <w:rsid w:val="00397A9D"/>
    <w:rsid w:val="003A39C2"/>
    <w:rsid w:val="003A3B0E"/>
    <w:rsid w:val="003B3279"/>
    <w:rsid w:val="003B36B4"/>
    <w:rsid w:val="003B3B40"/>
    <w:rsid w:val="003B3DA8"/>
    <w:rsid w:val="003B3FAE"/>
    <w:rsid w:val="003B5BFE"/>
    <w:rsid w:val="003B6D4A"/>
    <w:rsid w:val="003C0371"/>
    <w:rsid w:val="003C0A0D"/>
    <w:rsid w:val="003C22EB"/>
    <w:rsid w:val="003C2AD8"/>
    <w:rsid w:val="003C71AA"/>
    <w:rsid w:val="003C733C"/>
    <w:rsid w:val="003D0238"/>
    <w:rsid w:val="003D425B"/>
    <w:rsid w:val="003D57DE"/>
    <w:rsid w:val="003D75C1"/>
    <w:rsid w:val="003D78EB"/>
    <w:rsid w:val="003E512D"/>
    <w:rsid w:val="003E51F3"/>
    <w:rsid w:val="003F1455"/>
    <w:rsid w:val="003F4A40"/>
    <w:rsid w:val="003F6965"/>
    <w:rsid w:val="00403225"/>
    <w:rsid w:val="00404C2E"/>
    <w:rsid w:val="00410CAF"/>
    <w:rsid w:val="00414102"/>
    <w:rsid w:val="00416D61"/>
    <w:rsid w:val="00420D71"/>
    <w:rsid w:val="00423873"/>
    <w:rsid w:val="00424352"/>
    <w:rsid w:val="004247DE"/>
    <w:rsid w:val="004304E1"/>
    <w:rsid w:val="00431112"/>
    <w:rsid w:val="0043210B"/>
    <w:rsid w:val="0043459A"/>
    <w:rsid w:val="00437B16"/>
    <w:rsid w:val="00440904"/>
    <w:rsid w:val="00440FD4"/>
    <w:rsid w:val="004421FE"/>
    <w:rsid w:val="00442701"/>
    <w:rsid w:val="004439B9"/>
    <w:rsid w:val="004445F3"/>
    <w:rsid w:val="00445ABB"/>
    <w:rsid w:val="004463A0"/>
    <w:rsid w:val="00450E2C"/>
    <w:rsid w:val="00454B9D"/>
    <w:rsid w:val="00454D86"/>
    <w:rsid w:val="00460642"/>
    <w:rsid w:val="0046152F"/>
    <w:rsid w:val="0046480B"/>
    <w:rsid w:val="00464B45"/>
    <w:rsid w:val="00465015"/>
    <w:rsid w:val="00467752"/>
    <w:rsid w:val="00470EFC"/>
    <w:rsid w:val="00476862"/>
    <w:rsid w:val="004802C6"/>
    <w:rsid w:val="004828A3"/>
    <w:rsid w:val="00491EE2"/>
    <w:rsid w:val="004958BD"/>
    <w:rsid w:val="004A1F78"/>
    <w:rsid w:val="004A26AB"/>
    <w:rsid w:val="004A7C36"/>
    <w:rsid w:val="004B02F5"/>
    <w:rsid w:val="004B4351"/>
    <w:rsid w:val="004C4AD8"/>
    <w:rsid w:val="004C6289"/>
    <w:rsid w:val="004C77C1"/>
    <w:rsid w:val="004D12FB"/>
    <w:rsid w:val="004D1567"/>
    <w:rsid w:val="004D263B"/>
    <w:rsid w:val="004D6BF6"/>
    <w:rsid w:val="004D6D3F"/>
    <w:rsid w:val="004D79E9"/>
    <w:rsid w:val="004D7C65"/>
    <w:rsid w:val="004E0920"/>
    <w:rsid w:val="004E28A3"/>
    <w:rsid w:val="004E3563"/>
    <w:rsid w:val="004E36FB"/>
    <w:rsid w:val="004E6F88"/>
    <w:rsid w:val="004F100B"/>
    <w:rsid w:val="004F2075"/>
    <w:rsid w:val="004F373D"/>
    <w:rsid w:val="004F3E65"/>
    <w:rsid w:val="005039E6"/>
    <w:rsid w:val="00504E27"/>
    <w:rsid w:val="0050606E"/>
    <w:rsid w:val="00507F2B"/>
    <w:rsid w:val="00507F62"/>
    <w:rsid w:val="00513660"/>
    <w:rsid w:val="0051761F"/>
    <w:rsid w:val="00517D12"/>
    <w:rsid w:val="005304B9"/>
    <w:rsid w:val="00532FCD"/>
    <w:rsid w:val="005343CD"/>
    <w:rsid w:val="00534F8D"/>
    <w:rsid w:val="005455D1"/>
    <w:rsid w:val="00546C8A"/>
    <w:rsid w:val="00550676"/>
    <w:rsid w:val="00555B80"/>
    <w:rsid w:val="0056096A"/>
    <w:rsid w:val="00560F3B"/>
    <w:rsid w:val="00563491"/>
    <w:rsid w:val="00563955"/>
    <w:rsid w:val="00564F4E"/>
    <w:rsid w:val="00565BE8"/>
    <w:rsid w:val="00571FDE"/>
    <w:rsid w:val="005724D6"/>
    <w:rsid w:val="00573E07"/>
    <w:rsid w:val="00574DDA"/>
    <w:rsid w:val="00581134"/>
    <w:rsid w:val="00581ABF"/>
    <w:rsid w:val="005833D8"/>
    <w:rsid w:val="0058519B"/>
    <w:rsid w:val="00586108"/>
    <w:rsid w:val="00586B97"/>
    <w:rsid w:val="005915BF"/>
    <w:rsid w:val="0059169F"/>
    <w:rsid w:val="00592EAD"/>
    <w:rsid w:val="005934E7"/>
    <w:rsid w:val="005A65F3"/>
    <w:rsid w:val="005A7809"/>
    <w:rsid w:val="005A7A84"/>
    <w:rsid w:val="005B0F40"/>
    <w:rsid w:val="005D0A26"/>
    <w:rsid w:val="005D32D7"/>
    <w:rsid w:val="005D4E78"/>
    <w:rsid w:val="005E4A5C"/>
    <w:rsid w:val="005E6A66"/>
    <w:rsid w:val="005F277C"/>
    <w:rsid w:val="005F2F25"/>
    <w:rsid w:val="006037C4"/>
    <w:rsid w:val="00603E06"/>
    <w:rsid w:val="006109D3"/>
    <w:rsid w:val="00611779"/>
    <w:rsid w:val="006142A7"/>
    <w:rsid w:val="0062067C"/>
    <w:rsid w:val="0062288D"/>
    <w:rsid w:val="00632808"/>
    <w:rsid w:val="00634FAD"/>
    <w:rsid w:val="0063566F"/>
    <w:rsid w:val="006360F3"/>
    <w:rsid w:val="0064422D"/>
    <w:rsid w:val="00645129"/>
    <w:rsid w:val="00646509"/>
    <w:rsid w:val="00650FBC"/>
    <w:rsid w:val="006517F2"/>
    <w:rsid w:val="00652DC4"/>
    <w:rsid w:val="00655173"/>
    <w:rsid w:val="006556E5"/>
    <w:rsid w:val="006607EB"/>
    <w:rsid w:val="00665BD3"/>
    <w:rsid w:val="00667E2E"/>
    <w:rsid w:val="00670961"/>
    <w:rsid w:val="0067303B"/>
    <w:rsid w:val="006776A2"/>
    <w:rsid w:val="006808BF"/>
    <w:rsid w:val="00683A7B"/>
    <w:rsid w:val="00683CFC"/>
    <w:rsid w:val="0068591D"/>
    <w:rsid w:val="00685C5F"/>
    <w:rsid w:val="00685F46"/>
    <w:rsid w:val="0068602B"/>
    <w:rsid w:val="00692F14"/>
    <w:rsid w:val="00696765"/>
    <w:rsid w:val="00697BA3"/>
    <w:rsid w:val="006A3840"/>
    <w:rsid w:val="006A3E77"/>
    <w:rsid w:val="006A4A3B"/>
    <w:rsid w:val="006A5659"/>
    <w:rsid w:val="006A6900"/>
    <w:rsid w:val="006A6F37"/>
    <w:rsid w:val="006B01E4"/>
    <w:rsid w:val="006B2109"/>
    <w:rsid w:val="006B2F6B"/>
    <w:rsid w:val="006B6692"/>
    <w:rsid w:val="006C0C29"/>
    <w:rsid w:val="006D23CF"/>
    <w:rsid w:val="006D4BAA"/>
    <w:rsid w:val="006D5554"/>
    <w:rsid w:val="006E20DC"/>
    <w:rsid w:val="006E25E7"/>
    <w:rsid w:val="006E29E5"/>
    <w:rsid w:val="006E7D5B"/>
    <w:rsid w:val="006F16B3"/>
    <w:rsid w:val="006F325C"/>
    <w:rsid w:val="006F4140"/>
    <w:rsid w:val="006F4E58"/>
    <w:rsid w:val="006F65E8"/>
    <w:rsid w:val="00700721"/>
    <w:rsid w:val="007012AF"/>
    <w:rsid w:val="00702324"/>
    <w:rsid w:val="00704AC6"/>
    <w:rsid w:val="0071489E"/>
    <w:rsid w:val="00723C27"/>
    <w:rsid w:val="007244F3"/>
    <w:rsid w:val="007244F4"/>
    <w:rsid w:val="00726A0A"/>
    <w:rsid w:val="007300DD"/>
    <w:rsid w:val="007307B2"/>
    <w:rsid w:val="0073110F"/>
    <w:rsid w:val="007331EC"/>
    <w:rsid w:val="007370D3"/>
    <w:rsid w:val="00744105"/>
    <w:rsid w:val="00746E93"/>
    <w:rsid w:val="00747F57"/>
    <w:rsid w:val="00751DEE"/>
    <w:rsid w:val="00753421"/>
    <w:rsid w:val="0075389D"/>
    <w:rsid w:val="007611A3"/>
    <w:rsid w:val="007619F5"/>
    <w:rsid w:val="00762631"/>
    <w:rsid w:val="00763680"/>
    <w:rsid w:val="00765E81"/>
    <w:rsid w:val="00766B17"/>
    <w:rsid w:val="00771ED9"/>
    <w:rsid w:val="00776488"/>
    <w:rsid w:val="00785567"/>
    <w:rsid w:val="007867F8"/>
    <w:rsid w:val="00790489"/>
    <w:rsid w:val="007912EC"/>
    <w:rsid w:val="007946AF"/>
    <w:rsid w:val="007959E3"/>
    <w:rsid w:val="00795D7A"/>
    <w:rsid w:val="007967DB"/>
    <w:rsid w:val="007972C1"/>
    <w:rsid w:val="00797D18"/>
    <w:rsid w:val="007A1610"/>
    <w:rsid w:val="007A2989"/>
    <w:rsid w:val="007A2F68"/>
    <w:rsid w:val="007A38CD"/>
    <w:rsid w:val="007A51FF"/>
    <w:rsid w:val="007A64BF"/>
    <w:rsid w:val="007B6308"/>
    <w:rsid w:val="007B74D8"/>
    <w:rsid w:val="007C0E21"/>
    <w:rsid w:val="007C3CB0"/>
    <w:rsid w:val="007C7931"/>
    <w:rsid w:val="007C7ABB"/>
    <w:rsid w:val="007D1DBD"/>
    <w:rsid w:val="007D3143"/>
    <w:rsid w:val="007D63C4"/>
    <w:rsid w:val="007D6534"/>
    <w:rsid w:val="007D698F"/>
    <w:rsid w:val="007E0F51"/>
    <w:rsid w:val="007E1AD3"/>
    <w:rsid w:val="007E2F56"/>
    <w:rsid w:val="007E39A3"/>
    <w:rsid w:val="007F630F"/>
    <w:rsid w:val="007F6CAD"/>
    <w:rsid w:val="00807981"/>
    <w:rsid w:val="00814226"/>
    <w:rsid w:val="00814BBD"/>
    <w:rsid w:val="008159C4"/>
    <w:rsid w:val="008159C7"/>
    <w:rsid w:val="00820838"/>
    <w:rsid w:val="008208F0"/>
    <w:rsid w:val="00824B78"/>
    <w:rsid w:val="008254F9"/>
    <w:rsid w:val="00825925"/>
    <w:rsid w:val="00827650"/>
    <w:rsid w:val="008277AD"/>
    <w:rsid w:val="00832A97"/>
    <w:rsid w:val="0083787A"/>
    <w:rsid w:val="00841EEB"/>
    <w:rsid w:val="00843191"/>
    <w:rsid w:val="00847F9E"/>
    <w:rsid w:val="00850814"/>
    <w:rsid w:val="00850BA7"/>
    <w:rsid w:val="00861A38"/>
    <w:rsid w:val="008637D6"/>
    <w:rsid w:val="00864103"/>
    <w:rsid w:val="00874C5A"/>
    <w:rsid w:val="00875DAE"/>
    <w:rsid w:val="00880999"/>
    <w:rsid w:val="00881BCF"/>
    <w:rsid w:val="00882A3F"/>
    <w:rsid w:val="00882F15"/>
    <w:rsid w:val="0088346F"/>
    <w:rsid w:val="00885E86"/>
    <w:rsid w:val="008903BB"/>
    <w:rsid w:val="00892F21"/>
    <w:rsid w:val="008937DB"/>
    <w:rsid w:val="0089495E"/>
    <w:rsid w:val="008A176A"/>
    <w:rsid w:val="008A18D4"/>
    <w:rsid w:val="008A28AB"/>
    <w:rsid w:val="008A454B"/>
    <w:rsid w:val="008A4883"/>
    <w:rsid w:val="008A6324"/>
    <w:rsid w:val="008A7BF9"/>
    <w:rsid w:val="008B5FCB"/>
    <w:rsid w:val="008B646B"/>
    <w:rsid w:val="008C3DA9"/>
    <w:rsid w:val="008C77F8"/>
    <w:rsid w:val="008D0BAD"/>
    <w:rsid w:val="008D2AA9"/>
    <w:rsid w:val="008D435D"/>
    <w:rsid w:val="008F35FC"/>
    <w:rsid w:val="008F4C35"/>
    <w:rsid w:val="008F6EDD"/>
    <w:rsid w:val="009009E0"/>
    <w:rsid w:val="00901F49"/>
    <w:rsid w:val="00906D50"/>
    <w:rsid w:val="00915542"/>
    <w:rsid w:val="00920860"/>
    <w:rsid w:val="009227D8"/>
    <w:rsid w:val="00924974"/>
    <w:rsid w:val="00932021"/>
    <w:rsid w:val="00933544"/>
    <w:rsid w:val="009343ED"/>
    <w:rsid w:val="009359AE"/>
    <w:rsid w:val="009410C5"/>
    <w:rsid w:val="009428AE"/>
    <w:rsid w:val="009432EE"/>
    <w:rsid w:val="00945D9A"/>
    <w:rsid w:val="00946C72"/>
    <w:rsid w:val="009518E3"/>
    <w:rsid w:val="009532D1"/>
    <w:rsid w:val="00954F70"/>
    <w:rsid w:val="00960074"/>
    <w:rsid w:val="00961211"/>
    <w:rsid w:val="00964416"/>
    <w:rsid w:val="009704A8"/>
    <w:rsid w:val="00971C7E"/>
    <w:rsid w:val="00971D28"/>
    <w:rsid w:val="00972219"/>
    <w:rsid w:val="009727A7"/>
    <w:rsid w:val="009771ED"/>
    <w:rsid w:val="00980C43"/>
    <w:rsid w:val="00984581"/>
    <w:rsid w:val="00984BD6"/>
    <w:rsid w:val="00985620"/>
    <w:rsid w:val="0099143F"/>
    <w:rsid w:val="00992C43"/>
    <w:rsid w:val="009A0851"/>
    <w:rsid w:val="009A295F"/>
    <w:rsid w:val="009A5578"/>
    <w:rsid w:val="009A65E9"/>
    <w:rsid w:val="009A7A90"/>
    <w:rsid w:val="009B5DED"/>
    <w:rsid w:val="009C61DE"/>
    <w:rsid w:val="009C6C30"/>
    <w:rsid w:val="009D0221"/>
    <w:rsid w:val="009D3929"/>
    <w:rsid w:val="009E2758"/>
    <w:rsid w:val="009E370A"/>
    <w:rsid w:val="009E7C75"/>
    <w:rsid w:val="009F20DE"/>
    <w:rsid w:val="009F2CEB"/>
    <w:rsid w:val="009F4324"/>
    <w:rsid w:val="009F47C5"/>
    <w:rsid w:val="009F56E3"/>
    <w:rsid w:val="009F67BA"/>
    <w:rsid w:val="00A00795"/>
    <w:rsid w:val="00A012AC"/>
    <w:rsid w:val="00A021C5"/>
    <w:rsid w:val="00A07690"/>
    <w:rsid w:val="00A07C63"/>
    <w:rsid w:val="00A10B3A"/>
    <w:rsid w:val="00A12D57"/>
    <w:rsid w:val="00A13F8E"/>
    <w:rsid w:val="00A154B1"/>
    <w:rsid w:val="00A168CB"/>
    <w:rsid w:val="00A20501"/>
    <w:rsid w:val="00A2140F"/>
    <w:rsid w:val="00A31B59"/>
    <w:rsid w:val="00A31FE4"/>
    <w:rsid w:val="00A32582"/>
    <w:rsid w:val="00A361F6"/>
    <w:rsid w:val="00A370E7"/>
    <w:rsid w:val="00A4152E"/>
    <w:rsid w:val="00A42970"/>
    <w:rsid w:val="00A43723"/>
    <w:rsid w:val="00A44865"/>
    <w:rsid w:val="00A4690B"/>
    <w:rsid w:val="00A533B0"/>
    <w:rsid w:val="00A53581"/>
    <w:rsid w:val="00A5516E"/>
    <w:rsid w:val="00A57043"/>
    <w:rsid w:val="00A64F74"/>
    <w:rsid w:val="00A7156A"/>
    <w:rsid w:val="00A741AC"/>
    <w:rsid w:val="00A77FAB"/>
    <w:rsid w:val="00A8250A"/>
    <w:rsid w:val="00A846CB"/>
    <w:rsid w:val="00A87AFF"/>
    <w:rsid w:val="00A904AF"/>
    <w:rsid w:val="00AA21A3"/>
    <w:rsid w:val="00AA25F0"/>
    <w:rsid w:val="00AA32F1"/>
    <w:rsid w:val="00AA3AD1"/>
    <w:rsid w:val="00AA4472"/>
    <w:rsid w:val="00AA6B46"/>
    <w:rsid w:val="00AB23A7"/>
    <w:rsid w:val="00AB6748"/>
    <w:rsid w:val="00AC0724"/>
    <w:rsid w:val="00AC643C"/>
    <w:rsid w:val="00AD27F2"/>
    <w:rsid w:val="00AD5FBB"/>
    <w:rsid w:val="00AE0D8F"/>
    <w:rsid w:val="00AE388C"/>
    <w:rsid w:val="00AE41B4"/>
    <w:rsid w:val="00AE5CFC"/>
    <w:rsid w:val="00AE6286"/>
    <w:rsid w:val="00AF39E8"/>
    <w:rsid w:val="00AF4F40"/>
    <w:rsid w:val="00AF69D5"/>
    <w:rsid w:val="00AF727F"/>
    <w:rsid w:val="00B00C87"/>
    <w:rsid w:val="00B01279"/>
    <w:rsid w:val="00B0465E"/>
    <w:rsid w:val="00B10D86"/>
    <w:rsid w:val="00B15442"/>
    <w:rsid w:val="00B224DB"/>
    <w:rsid w:val="00B24AD6"/>
    <w:rsid w:val="00B27919"/>
    <w:rsid w:val="00B27FF8"/>
    <w:rsid w:val="00B40997"/>
    <w:rsid w:val="00B45B84"/>
    <w:rsid w:val="00B5163B"/>
    <w:rsid w:val="00B51F2D"/>
    <w:rsid w:val="00B526AB"/>
    <w:rsid w:val="00B54835"/>
    <w:rsid w:val="00B571FE"/>
    <w:rsid w:val="00B574A6"/>
    <w:rsid w:val="00B630A0"/>
    <w:rsid w:val="00B655CA"/>
    <w:rsid w:val="00B661C1"/>
    <w:rsid w:val="00B665C9"/>
    <w:rsid w:val="00B7085E"/>
    <w:rsid w:val="00B709F3"/>
    <w:rsid w:val="00B74D96"/>
    <w:rsid w:val="00B803A5"/>
    <w:rsid w:val="00B811C7"/>
    <w:rsid w:val="00B820BC"/>
    <w:rsid w:val="00B82EC3"/>
    <w:rsid w:val="00B85A89"/>
    <w:rsid w:val="00B900D0"/>
    <w:rsid w:val="00B90458"/>
    <w:rsid w:val="00B92E3C"/>
    <w:rsid w:val="00B92E87"/>
    <w:rsid w:val="00B95512"/>
    <w:rsid w:val="00BA7BB9"/>
    <w:rsid w:val="00BB12E6"/>
    <w:rsid w:val="00BB1A99"/>
    <w:rsid w:val="00BB3D27"/>
    <w:rsid w:val="00BB56DF"/>
    <w:rsid w:val="00BB573C"/>
    <w:rsid w:val="00BB5FEB"/>
    <w:rsid w:val="00BC1E49"/>
    <w:rsid w:val="00BC23B4"/>
    <w:rsid w:val="00BC28D9"/>
    <w:rsid w:val="00BC4158"/>
    <w:rsid w:val="00BC5ED8"/>
    <w:rsid w:val="00BD5498"/>
    <w:rsid w:val="00BD63B3"/>
    <w:rsid w:val="00BE17FF"/>
    <w:rsid w:val="00BF1320"/>
    <w:rsid w:val="00BF1AE4"/>
    <w:rsid w:val="00BF3152"/>
    <w:rsid w:val="00C1024F"/>
    <w:rsid w:val="00C12A18"/>
    <w:rsid w:val="00C20E42"/>
    <w:rsid w:val="00C21E86"/>
    <w:rsid w:val="00C27DFA"/>
    <w:rsid w:val="00C328A4"/>
    <w:rsid w:val="00C33088"/>
    <w:rsid w:val="00C33328"/>
    <w:rsid w:val="00C342C4"/>
    <w:rsid w:val="00C361E8"/>
    <w:rsid w:val="00C37856"/>
    <w:rsid w:val="00C44512"/>
    <w:rsid w:val="00C45461"/>
    <w:rsid w:val="00C627C9"/>
    <w:rsid w:val="00C62DB4"/>
    <w:rsid w:val="00C65D0A"/>
    <w:rsid w:val="00C708C5"/>
    <w:rsid w:val="00C74071"/>
    <w:rsid w:val="00C74B4D"/>
    <w:rsid w:val="00C7755A"/>
    <w:rsid w:val="00C8138B"/>
    <w:rsid w:val="00C82F55"/>
    <w:rsid w:val="00C832A6"/>
    <w:rsid w:val="00C854D2"/>
    <w:rsid w:val="00C8679E"/>
    <w:rsid w:val="00C9034B"/>
    <w:rsid w:val="00C931C8"/>
    <w:rsid w:val="00C93392"/>
    <w:rsid w:val="00C93BB9"/>
    <w:rsid w:val="00C94B8E"/>
    <w:rsid w:val="00C959F9"/>
    <w:rsid w:val="00C95A12"/>
    <w:rsid w:val="00CA1C57"/>
    <w:rsid w:val="00CA2944"/>
    <w:rsid w:val="00CB5422"/>
    <w:rsid w:val="00CC1728"/>
    <w:rsid w:val="00CC475C"/>
    <w:rsid w:val="00CC59E1"/>
    <w:rsid w:val="00CD0D32"/>
    <w:rsid w:val="00CD11C5"/>
    <w:rsid w:val="00CD1C0F"/>
    <w:rsid w:val="00CF4EBF"/>
    <w:rsid w:val="00D0011D"/>
    <w:rsid w:val="00D04A35"/>
    <w:rsid w:val="00D05047"/>
    <w:rsid w:val="00D05636"/>
    <w:rsid w:val="00D103B1"/>
    <w:rsid w:val="00D126CD"/>
    <w:rsid w:val="00D12D6B"/>
    <w:rsid w:val="00D15812"/>
    <w:rsid w:val="00D15C0F"/>
    <w:rsid w:val="00D17088"/>
    <w:rsid w:val="00D22527"/>
    <w:rsid w:val="00D249DC"/>
    <w:rsid w:val="00D25723"/>
    <w:rsid w:val="00D4141B"/>
    <w:rsid w:val="00D4169E"/>
    <w:rsid w:val="00D429C3"/>
    <w:rsid w:val="00D465B7"/>
    <w:rsid w:val="00D50185"/>
    <w:rsid w:val="00D530ED"/>
    <w:rsid w:val="00D55297"/>
    <w:rsid w:val="00D55AAD"/>
    <w:rsid w:val="00D57F3C"/>
    <w:rsid w:val="00D600F7"/>
    <w:rsid w:val="00D62CCF"/>
    <w:rsid w:val="00D73676"/>
    <w:rsid w:val="00D752BC"/>
    <w:rsid w:val="00D77507"/>
    <w:rsid w:val="00D80746"/>
    <w:rsid w:val="00D80CB5"/>
    <w:rsid w:val="00D840F0"/>
    <w:rsid w:val="00D87C65"/>
    <w:rsid w:val="00D94703"/>
    <w:rsid w:val="00D95C44"/>
    <w:rsid w:val="00D97D8E"/>
    <w:rsid w:val="00DA1D0F"/>
    <w:rsid w:val="00DA26E8"/>
    <w:rsid w:val="00DB27B3"/>
    <w:rsid w:val="00DB2DC6"/>
    <w:rsid w:val="00DB43C9"/>
    <w:rsid w:val="00DB6A3F"/>
    <w:rsid w:val="00DB7E4A"/>
    <w:rsid w:val="00DC2ABC"/>
    <w:rsid w:val="00DC5D3A"/>
    <w:rsid w:val="00DC7095"/>
    <w:rsid w:val="00DD24CE"/>
    <w:rsid w:val="00DD498E"/>
    <w:rsid w:val="00DE0EEB"/>
    <w:rsid w:val="00DE4295"/>
    <w:rsid w:val="00DE5012"/>
    <w:rsid w:val="00DE6FF9"/>
    <w:rsid w:val="00DE7A7E"/>
    <w:rsid w:val="00DF0191"/>
    <w:rsid w:val="00DF0F5C"/>
    <w:rsid w:val="00DF24BF"/>
    <w:rsid w:val="00DF271F"/>
    <w:rsid w:val="00DF5DFF"/>
    <w:rsid w:val="00E01D37"/>
    <w:rsid w:val="00E02444"/>
    <w:rsid w:val="00E03C4A"/>
    <w:rsid w:val="00E043D1"/>
    <w:rsid w:val="00E0525B"/>
    <w:rsid w:val="00E07117"/>
    <w:rsid w:val="00E07937"/>
    <w:rsid w:val="00E12E8F"/>
    <w:rsid w:val="00E1477C"/>
    <w:rsid w:val="00E17F47"/>
    <w:rsid w:val="00E248AC"/>
    <w:rsid w:val="00E320F0"/>
    <w:rsid w:val="00E40DFB"/>
    <w:rsid w:val="00E41D42"/>
    <w:rsid w:val="00E50030"/>
    <w:rsid w:val="00E52AB5"/>
    <w:rsid w:val="00E5574E"/>
    <w:rsid w:val="00E60567"/>
    <w:rsid w:val="00E66400"/>
    <w:rsid w:val="00E66F31"/>
    <w:rsid w:val="00E70093"/>
    <w:rsid w:val="00E7170C"/>
    <w:rsid w:val="00E72A52"/>
    <w:rsid w:val="00E8393E"/>
    <w:rsid w:val="00E9266C"/>
    <w:rsid w:val="00E93968"/>
    <w:rsid w:val="00E958A8"/>
    <w:rsid w:val="00E966D0"/>
    <w:rsid w:val="00EA1E82"/>
    <w:rsid w:val="00EA2B03"/>
    <w:rsid w:val="00EA2C5D"/>
    <w:rsid w:val="00EA349C"/>
    <w:rsid w:val="00EA3543"/>
    <w:rsid w:val="00EA3CA1"/>
    <w:rsid w:val="00EA42B2"/>
    <w:rsid w:val="00EA5167"/>
    <w:rsid w:val="00EA54F2"/>
    <w:rsid w:val="00EA5BAF"/>
    <w:rsid w:val="00EB284A"/>
    <w:rsid w:val="00EB5898"/>
    <w:rsid w:val="00EB5F93"/>
    <w:rsid w:val="00EC35E1"/>
    <w:rsid w:val="00EC3FDC"/>
    <w:rsid w:val="00ED08DB"/>
    <w:rsid w:val="00ED2FC4"/>
    <w:rsid w:val="00EE4C9D"/>
    <w:rsid w:val="00EE5305"/>
    <w:rsid w:val="00EE7277"/>
    <w:rsid w:val="00F050FC"/>
    <w:rsid w:val="00F06030"/>
    <w:rsid w:val="00F112A9"/>
    <w:rsid w:val="00F13E9D"/>
    <w:rsid w:val="00F212A1"/>
    <w:rsid w:val="00F22DB2"/>
    <w:rsid w:val="00F25697"/>
    <w:rsid w:val="00F2617A"/>
    <w:rsid w:val="00F309A5"/>
    <w:rsid w:val="00F33A97"/>
    <w:rsid w:val="00F40603"/>
    <w:rsid w:val="00F41B18"/>
    <w:rsid w:val="00F441DD"/>
    <w:rsid w:val="00F44F3F"/>
    <w:rsid w:val="00F461AD"/>
    <w:rsid w:val="00F47249"/>
    <w:rsid w:val="00F55CF3"/>
    <w:rsid w:val="00F56FA5"/>
    <w:rsid w:val="00F64901"/>
    <w:rsid w:val="00F7093E"/>
    <w:rsid w:val="00F7109F"/>
    <w:rsid w:val="00F827E0"/>
    <w:rsid w:val="00F84A78"/>
    <w:rsid w:val="00F85555"/>
    <w:rsid w:val="00F85755"/>
    <w:rsid w:val="00F86656"/>
    <w:rsid w:val="00F8774E"/>
    <w:rsid w:val="00F87D6F"/>
    <w:rsid w:val="00F93BB8"/>
    <w:rsid w:val="00F95FC6"/>
    <w:rsid w:val="00FA0037"/>
    <w:rsid w:val="00FB1059"/>
    <w:rsid w:val="00FB68B5"/>
    <w:rsid w:val="00FC18B2"/>
    <w:rsid w:val="00FC25F7"/>
    <w:rsid w:val="00FC268B"/>
    <w:rsid w:val="00FC4776"/>
    <w:rsid w:val="00FC6CF5"/>
    <w:rsid w:val="00FF2898"/>
    <w:rsid w:val="00FF4365"/>
    <w:rsid w:val="00FF7144"/>
    <w:rsid w:val="010C420C"/>
    <w:rsid w:val="011737A8"/>
    <w:rsid w:val="022009D7"/>
    <w:rsid w:val="02A649FD"/>
    <w:rsid w:val="03234BC5"/>
    <w:rsid w:val="035443F0"/>
    <w:rsid w:val="042E3D95"/>
    <w:rsid w:val="04745FAF"/>
    <w:rsid w:val="049E0F2A"/>
    <w:rsid w:val="04AC126E"/>
    <w:rsid w:val="04FA0AC5"/>
    <w:rsid w:val="06717980"/>
    <w:rsid w:val="068C1CAD"/>
    <w:rsid w:val="06AE0212"/>
    <w:rsid w:val="06F32772"/>
    <w:rsid w:val="072529ED"/>
    <w:rsid w:val="07712607"/>
    <w:rsid w:val="080669BC"/>
    <w:rsid w:val="08C40A30"/>
    <w:rsid w:val="0A107341"/>
    <w:rsid w:val="0BEA5062"/>
    <w:rsid w:val="0C065D60"/>
    <w:rsid w:val="0CFF4508"/>
    <w:rsid w:val="0D710EC8"/>
    <w:rsid w:val="0D8A75B1"/>
    <w:rsid w:val="0DB61763"/>
    <w:rsid w:val="0E1736AE"/>
    <w:rsid w:val="0E3F346B"/>
    <w:rsid w:val="0F5A746F"/>
    <w:rsid w:val="0FBF65A6"/>
    <w:rsid w:val="0FF95749"/>
    <w:rsid w:val="11210DD5"/>
    <w:rsid w:val="11386696"/>
    <w:rsid w:val="11447FDD"/>
    <w:rsid w:val="11572061"/>
    <w:rsid w:val="118E15DE"/>
    <w:rsid w:val="11E70CE6"/>
    <w:rsid w:val="1223270E"/>
    <w:rsid w:val="12B84805"/>
    <w:rsid w:val="130D3F5C"/>
    <w:rsid w:val="13706DDF"/>
    <w:rsid w:val="1466204D"/>
    <w:rsid w:val="14950A86"/>
    <w:rsid w:val="14AA1890"/>
    <w:rsid w:val="15F45AF7"/>
    <w:rsid w:val="161D798D"/>
    <w:rsid w:val="16FE6371"/>
    <w:rsid w:val="171A6A48"/>
    <w:rsid w:val="183D5238"/>
    <w:rsid w:val="18843E07"/>
    <w:rsid w:val="191E06A2"/>
    <w:rsid w:val="194A3D3B"/>
    <w:rsid w:val="1A5A63FB"/>
    <w:rsid w:val="1A87308F"/>
    <w:rsid w:val="1AD55A23"/>
    <w:rsid w:val="1C196555"/>
    <w:rsid w:val="1D3F3E9A"/>
    <w:rsid w:val="1D6C34B5"/>
    <w:rsid w:val="1D976A75"/>
    <w:rsid w:val="1E1623F3"/>
    <w:rsid w:val="1E5C2E2F"/>
    <w:rsid w:val="1E810EEC"/>
    <w:rsid w:val="1F222933"/>
    <w:rsid w:val="1FE0155F"/>
    <w:rsid w:val="2012333D"/>
    <w:rsid w:val="20C30CEE"/>
    <w:rsid w:val="20E80859"/>
    <w:rsid w:val="21B56C3B"/>
    <w:rsid w:val="21B6440C"/>
    <w:rsid w:val="21E4752C"/>
    <w:rsid w:val="21F85E9F"/>
    <w:rsid w:val="234D3E55"/>
    <w:rsid w:val="244A5ED5"/>
    <w:rsid w:val="26D2411B"/>
    <w:rsid w:val="2710362F"/>
    <w:rsid w:val="27652152"/>
    <w:rsid w:val="27961640"/>
    <w:rsid w:val="27D0490C"/>
    <w:rsid w:val="28D36F49"/>
    <w:rsid w:val="28D76A0D"/>
    <w:rsid w:val="28E76056"/>
    <w:rsid w:val="290751EF"/>
    <w:rsid w:val="29183124"/>
    <w:rsid w:val="29454A74"/>
    <w:rsid w:val="298C48C7"/>
    <w:rsid w:val="2A350DAC"/>
    <w:rsid w:val="2AA1283F"/>
    <w:rsid w:val="2AC16BD0"/>
    <w:rsid w:val="2C0F5B3A"/>
    <w:rsid w:val="2C643B47"/>
    <w:rsid w:val="2D56686E"/>
    <w:rsid w:val="2DAB01C8"/>
    <w:rsid w:val="2E071D80"/>
    <w:rsid w:val="2ECB722C"/>
    <w:rsid w:val="3073119B"/>
    <w:rsid w:val="30C524C6"/>
    <w:rsid w:val="30E45D0B"/>
    <w:rsid w:val="30FE2491"/>
    <w:rsid w:val="3155115B"/>
    <w:rsid w:val="31B67B44"/>
    <w:rsid w:val="31C355F6"/>
    <w:rsid w:val="324F2EB6"/>
    <w:rsid w:val="327044EC"/>
    <w:rsid w:val="327938AC"/>
    <w:rsid w:val="3293387A"/>
    <w:rsid w:val="33D05E23"/>
    <w:rsid w:val="348567A8"/>
    <w:rsid w:val="34B3752E"/>
    <w:rsid w:val="356C6225"/>
    <w:rsid w:val="35E620FB"/>
    <w:rsid w:val="365502C9"/>
    <w:rsid w:val="3665533B"/>
    <w:rsid w:val="366C4942"/>
    <w:rsid w:val="36E34470"/>
    <w:rsid w:val="36E9301C"/>
    <w:rsid w:val="37A03338"/>
    <w:rsid w:val="39B84FA1"/>
    <w:rsid w:val="3A0C01CD"/>
    <w:rsid w:val="3A6217A5"/>
    <w:rsid w:val="3B4339AD"/>
    <w:rsid w:val="3BA04123"/>
    <w:rsid w:val="3CD26E03"/>
    <w:rsid w:val="3D027900"/>
    <w:rsid w:val="3DC30395"/>
    <w:rsid w:val="3E040B15"/>
    <w:rsid w:val="3E6005E3"/>
    <w:rsid w:val="3F301C26"/>
    <w:rsid w:val="3F325A8D"/>
    <w:rsid w:val="3F9C593B"/>
    <w:rsid w:val="3FC324CF"/>
    <w:rsid w:val="406A491E"/>
    <w:rsid w:val="40846B81"/>
    <w:rsid w:val="40A346EB"/>
    <w:rsid w:val="4154515C"/>
    <w:rsid w:val="42296259"/>
    <w:rsid w:val="42AD0510"/>
    <w:rsid w:val="453B3680"/>
    <w:rsid w:val="45866132"/>
    <w:rsid w:val="45A457BA"/>
    <w:rsid w:val="45BE64CE"/>
    <w:rsid w:val="463E0DA7"/>
    <w:rsid w:val="467E338D"/>
    <w:rsid w:val="47535631"/>
    <w:rsid w:val="4788551B"/>
    <w:rsid w:val="47E14742"/>
    <w:rsid w:val="486B2820"/>
    <w:rsid w:val="48B758E6"/>
    <w:rsid w:val="49872BD1"/>
    <w:rsid w:val="49A06192"/>
    <w:rsid w:val="49D52740"/>
    <w:rsid w:val="49F8132A"/>
    <w:rsid w:val="4A496361"/>
    <w:rsid w:val="4AE35B30"/>
    <w:rsid w:val="4B755BA8"/>
    <w:rsid w:val="4BEF3ABB"/>
    <w:rsid w:val="4BF4377A"/>
    <w:rsid w:val="4C601C1D"/>
    <w:rsid w:val="4CB825C4"/>
    <w:rsid w:val="4D121426"/>
    <w:rsid w:val="4D304DB6"/>
    <w:rsid w:val="4DFE1854"/>
    <w:rsid w:val="4EC55F8A"/>
    <w:rsid w:val="4EDA029D"/>
    <w:rsid w:val="4F19454A"/>
    <w:rsid w:val="4FB03A5B"/>
    <w:rsid w:val="4FE84F81"/>
    <w:rsid w:val="50144180"/>
    <w:rsid w:val="520B3AE7"/>
    <w:rsid w:val="524D4E2F"/>
    <w:rsid w:val="53825685"/>
    <w:rsid w:val="53917972"/>
    <w:rsid w:val="53C85A3C"/>
    <w:rsid w:val="5402230E"/>
    <w:rsid w:val="54991496"/>
    <w:rsid w:val="54B82D9F"/>
    <w:rsid w:val="54CB6960"/>
    <w:rsid w:val="551C495B"/>
    <w:rsid w:val="566327C2"/>
    <w:rsid w:val="573F401C"/>
    <w:rsid w:val="57866C9E"/>
    <w:rsid w:val="57B56DD8"/>
    <w:rsid w:val="59224E16"/>
    <w:rsid w:val="59497670"/>
    <w:rsid w:val="5963327D"/>
    <w:rsid w:val="597A4670"/>
    <w:rsid w:val="597C78E7"/>
    <w:rsid w:val="5ADB273C"/>
    <w:rsid w:val="5B786645"/>
    <w:rsid w:val="5C4218C2"/>
    <w:rsid w:val="5C5B6DBD"/>
    <w:rsid w:val="5C636C6B"/>
    <w:rsid w:val="5D132CE3"/>
    <w:rsid w:val="5D815286"/>
    <w:rsid w:val="5DF87772"/>
    <w:rsid w:val="604356E0"/>
    <w:rsid w:val="617308B6"/>
    <w:rsid w:val="6245345D"/>
    <w:rsid w:val="62A24F60"/>
    <w:rsid w:val="62C02FE7"/>
    <w:rsid w:val="63901CB6"/>
    <w:rsid w:val="640A7410"/>
    <w:rsid w:val="648B4024"/>
    <w:rsid w:val="64901228"/>
    <w:rsid w:val="651644A5"/>
    <w:rsid w:val="66373794"/>
    <w:rsid w:val="669B6419"/>
    <w:rsid w:val="66D4405E"/>
    <w:rsid w:val="67F620FF"/>
    <w:rsid w:val="68243197"/>
    <w:rsid w:val="682A031E"/>
    <w:rsid w:val="688947EA"/>
    <w:rsid w:val="68F252CC"/>
    <w:rsid w:val="692E53AE"/>
    <w:rsid w:val="69B46269"/>
    <w:rsid w:val="6BFE66F5"/>
    <w:rsid w:val="6C562A44"/>
    <w:rsid w:val="6D59117E"/>
    <w:rsid w:val="6D9972E0"/>
    <w:rsid w:val="6DFA3430"/>
    <w:rsid w:val="6E9267BA"/>
    <w:rsid w:val="6ED36EDD"/>
    <w:rsid w:val="6F553C8B"/>
    <w:rsid w:val="6FD11431"/>
    <w:rsid w:val="705E778D"/>
    <w:rsid w:val="70B76F11"/>
    <w:rsid w:val="710D052F"/>
    <w:rsid w:val="71CD61D2"/>
    <w:rsid w:val="726B48A8"/>
    <w:rsid w:val="72713DF1"/>
    <w:rsid w:val="72E1597F"/>
    <w:rsid w:val="767B2D46"/>
    <w:rsid w:val="76C548D0"/>
    <w:rsid w:val="77CF050F"/>
    <w:rsid w:val="77F160B9"/>
    <w:rsid w:val="79485330"/>
    <w:rsid w:val="795100C0"/>
    <w:rsid w:val="797D444D"/>
    <w:rsid w:val="7B671E56"/>
    <w:rsid w:val="7B6E356E"/>
    <w:rsid w:val="7BD94585"/>
    <w:rsid w:val="7C076D3C"/>
    <w:rsid w:val="7C5F330D"/>
    <w:rsid w:val="7C9F3232"/>
    <w:rsid w:val="7D1E480F"/>
    <w:rsid w:val="7E0867A3"/>
    <w:rsid w:val="7E52403B"/>
    <w:rsid w:val="7E937D41"/>
    <w:rsid w:val="7E961D75"/>
    <w:rsid w:val="7F0A350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7"/>
    <w:qFormat/>
    <w:uiPriority w:val="99"/>
    <w:pPr>
      <w:keepNext/>
      <w:keepLines/>
      <w:autoSpaceDE w:val="0"/>
      <w:autoSpaceDN w:val="0"/>
      <w:adjustRightInd w:val="0"/>
      <w:spacing w:before="240" w:after="120" w:line="300" w:lineRule="auto"/>
      <w:jc w:val="center"/>
      <w:outlineLvl w:val="0"/>
    </w:pPr>
    <w:rPr>
      <w:b/>
      <w:bCs/>
      <w:kern w:val="44"/>
      <w:sz w:val="28"/>
      <w:szCs w:val="44"/>
      <w:lang w:val="zh-CN"/>
    </w:rPr>
  </w:style>
  <w:style w:type="paragraph" w:styleId="4">
    <w:name w:val="heading 2"/>
    <w:basedOn w:val="1"/>
    <w:next w:val="1"/>
    <w:link w:val="58"/>
    <w:qFormat/>
    <w:uiPriority w:val="0"/>
    <w:pPr>
      <w:keepNext/>
      <w:keepLines/>
      <w:autoSpaceDE w:val="0"/>
      <w:autoSpaceDN w:val="0"/>
      <w:adjustRightInd w:val="0"/>
      <w:spacing w:before="120" w:line="300" w:lineRule="auto"/>
      <w:jc w:val="center"/>
      <w:outlineLvl w:val="1"/>
    </w:pPr>
    <w:rPr>
      <w:rFonts w:ascii="Cambria" w:hAnsi="Cambria"/>
      <w:b/>
      <w:bCs/>
      <w:sz w:val="32"/>
      <w:szCs w:val="32"/>
      <w:lang w:val="zh-CN"/>
    </w:rPr>
  </w:style>
  <w:style w:type="paragraph" w:styleId="2">
    <w:name w:val="heading 3"/>
    <w:basedOn w:val="1"/>
    <w:next w:val="1"/>
    <w:link w:val="59"/>
    <w:qFormat/>
    <w:uiPriority w:val="0"/>
    <w:pPr>
      <w:keepNext/>
      <w:keepLines/>
      <w:autoSpaceDE w:val="0"/>
      <w:autoSpaceDN w:val="0"/>
      <w:adjustRightInd w:val="0"/>
      <w:spacing w:before="360" w:after="120"/>
      <w:jc w:val="left"/>
      <w:outlineLvl w:val="2"/>
    </w:pPr>
    <w:rPr>
      <w:rFonts w:hint="eastAsia" w:ascii="宋体" w:hAnsi="宋体"/>
      <w:kern w:val="0"/>
      <w:sz w:val="20"/>
      <w:szCs w:val="20"/>
      <w:lang w:val="zh-CN"/>
    </w:rPr>
  </w:style>
  <w:style w:type="paragraph" w:styleId="5">
    <w:name w:val="heading 4"/>
    <w:basedOn w:val="1"/>
    <w:next w:val="1"/>
    <w:link w:val="60"/>
    <w:qFormat/>
    <w:uiPriority w:val="0"/>
    <w:pPr>
      <w:keepNext/>
      <w:keepLines/>
      <w:spacing w:before="280" w:after="290" w:line="372" w:lineRule="auto"/>
      <w:outlineLvl w:val="3"/>
    </w:pPr>
    <w:rPr>
      <w:rFonts w:ascii="Cambria" w:hAnsi="Cambria"/>
      <w:b/>
      <w:bCs/>
      <w:sz w:val="28"/>
      <w:szCs w:val="28"/>
      <w:lang w:val="zh-CN"/>
    </w:rPr>
  </w:style>
  <w:style w:type="paragraph" w:styleId="6">
    <w:name w:val="heading 5"/>
    <w:basedOn w:val="1"/>
    <w:next w:val="1"/>
    <w:qFormat/>
    <w:uiPriority w:val="0"/>
    <w:pPr>
      <w:keepNext/>
      <w:keepLines/>
      <w:numPr>
        <w:ilvl w:val="4"/>
        <w:numId w:val="1"/>
      </w:numPr>
      <w:spacing w:before="100" w:beforeAutospacing="1" w:after="100" w:afterAutospacing="1" w:line="360" w:lineRule="auto"/>
      <w:outlineLvl w:val="4"/>
    </w:pPr>
    <w:rPr>
      <w:b/>
      <w:bCs/>
      <w:sz w:val="28"/>
      <w:szCs w:val="28"/>
    </w:rPr>
  </w:style>
  <w:style w:type="character" w:default="1" w:styleId="50">
    <w:name w:val="Default Paragraph Font"/>
    <w:semiHidden/>
    <w:unhideWhenUsed/>
    <w:uiPriority w:val="1"/>
  </w:style>
  <w:style w:type="table" w:default="1" w:styleId="48">
    <w:name w:val="Normal Table"/>
    <w:semiHidden/>
    <w:unhideWhenUsed/>
    <w:uiPriority w:val="99"/>
    <w:tblPr>
      <w:tblCellMar>
        <w:top w:w="0" w:type="dxa"/>
        <w:left w:w="108" w:type="dxa"/>
        <w:bottom w:w="0" w:type="dxa"/>
        <w:right w:w="108" w:type="dxa"/>
      </w:tblCellMar>
    </w:tblPr>
  </w:style>
  <w:style w:type="paragraph" w:styleId="7">
    <w:name w:val="toc 7"/>
    <w:basedOn w:val="1"/>
    <w:next w:val="1"/>
    <w:qFormat/>
    <w:uiPriority w:val="39"/>
    <w:pPr>
      <w:ind w:left="1260"/>
      <w:jc w:val="left"/>
    </w:pPr>
    <w:rPr>
      <w:sz w:val="20"/>
      <w:szCs w:val="20"/>
    </w:rPr>
  </w:style>
  <w:style w:type="paragraph" w:styleId="8">
    <w:name w:val="index 8"/>
    <w:basedOn w:val="1"/>
    <w:next w:val="1"/>
    <w:qFormat/>
    <w:uiPriority w:val="0"/>
    <w:pPr>
      <w:ind w:left="1400" w:leftChars="1400"/>
    </w:pPr>
  </w:style>
  <w:style w:type="paragraph" w:styleId="9">
    <w:name w:val="Normal Indent"/>
    <w:basedOn w:val="1"/>
    <w:link w:val="115"/>
    <w:qFormat/>
    <w:uiPriority w:val="0"/>
    <w:pPr>
      <w:autoSpaceDE w:val="0"/>
      <w:autoSpaceDN w:val="0"/>
      <w:adjustRightInd w:val="0"/>
      <w:ind w:firstLine="420"/>
      <w:jc w:val="left"/>
    </w:pPr>
    <w:rPr>
      <w:rFonts w:ascii="宋体"/>
      <w:kern w:val="0"/>
      <w:sz w:val="24"/>
      <w:szCs w:val="20"/>
      <w:lang w:val="zh-CN"/>
    </w:rPr>
  </w:style>
  <w:style w:type="paragraph" w:styleId="10">
    <w:name w:val="index 5"/>
    <w:basedOn w:val="1"/>
    <w:next w:val="1"/>
    <w:qFormat/>
    <w:uiPriority w:val="0"/>
    <w:pPr>
      <w:ind w:left="800" w:leftChars="800"/>
    </w:pPr>
  </w:style>
  <w:style w:type="paragraph" w:styleId="11">
    <w:name w:val="Document Map"/>
    <w:basedOn w:val="1"/>
    <w:link w:val="65"/>
    <w:qFormat/>
    <w:uiPriority w:val="0"/>
    <w:pPr>
      <w:shd w:val="clear" w:color="auto" w:fill="000080"/>
    </w:pPr>
    <w:rPr>
      <w:kern w:val="0"/>
      <w:sz w:val="16"/>
      <w:szCs w:val="16"/>
      <w:lang w:val="zh-CN"/>
    </w:rPr>
  </w:style>
  <w:style w:type="paragraph" w:styleId="12">
    <w:name w:val="annotation text"/>
    <w:basedOn w:val="1"/>
    <w:link w:val="61"/>
    <w:unhideWhenUsed/>
    <w:qFormat/>
    <w:uiPriority w:val="99"/>
    <w:pPr>
      <w:jc w:val="left"/>
    </w:pPr>
  </w:style>
  <w:style w:type="paragraph" w:styleId="13">
    <w:name w:val="index 6"/>
    <w:basedOn w:val="1"/>
    <w:next w:val="1"/>
    <w:qFormat/>
    <w:uiPriority w:val="0"/>
    <w:pPr>
      <w:ind w:left="1000" w:leftChars="1000"/>
    </w:pPr>
  </w:style>
  <w:style w:type="paragraph" w:styleId="14">
    <w:name w:val="Body Text"/>
    <w:basedOn w:val="1"/>
    <w:link w:val="63"/>
    <w:unhideWhenUsed/>
    <w:qFormat/>
    <w:uiPriority w:val="0"/>
    <w:pPr>
      <w:spacing w:after="120"/>
    </w:pPr>
  </w:style>
  <w:style w:type="paragraph" w:styleId="15">
    <w:name w:val="Body Text Indent"/>
    <w:basedOn w:val="1"/>
    <w:link w:val="126"/>
    <w:qFormat/>
    <w:uiPriority w:val="99"/>
    <w:pPr>
      <w:tabs>
        <w:tab w:val="left" w:pos="5580"/>
      </w:tabs>
      <w:spacing w:before="120" w:line="360" w:lineRule="auto"/>
      <w:ind w:firstLine="454"/>
    </w:pPr>
    <w:rPr>
      <w:sz w:val="24"/>
      <w:lang w:val="zh-CN"/>
    </w:rPr>
  </w:style>
  <w:style w:type="paragraph" w:styleId="16">
    <w:name w:val="List 2"/>
    <w:basedOn w:val="1"/>
    <w:qFormat/>
    <w:uiPriority w:val="0"/>
    <w:pPr>
      <w:ind w:left="100" w:leftChars="200" w:hanging="200" w:hangingChars="200"/>
    </w:pPr>
  </w:style>
  <w:style w:type="paragraph" w:styleId="17">
    <w:name w:val="index 4"/>
    <w:basedOn w:val="1"/>
    <w:next w:val="1"/>
    <w:qFormat/>
    <w:uiPriority w:val="0"/>
    <w:pPr>
      <w:ind w:left="600" w:leftChars="600"/>
    </w:pPr>
  </w:style>
  <w:style w:type="paragraph" w:styleId="18">
    <w:name w:val="toc 5"/>
    <w:basedOn w:val="1"/>
    <w:next w:val="1"/>
    <w:qFormat/>
    <w:uiPriority w:val="39"/>
    <w:pPr>
      <w:ind w:left="840"/>
      <w:jc w:val="left"/>
    </w:pPr>
    <w:rPr>
      <w:sz w:val="20"/>
      <w:szCs w:val="20"/>
    </w:rPr>
  </w:style>
  <w:style w:type="paragraph" w:styleId="19">
    <w:name w:val="toc 3"/>
    <w:basedOn w:val="1"/>
    <w:next w:val="1"/>
    <w:qFormat/>
    <w:uiPriority w:val="39"/>
    <w:pPr>
      <w:tabs>
        <w:tab w:val="right" w:leader="dot" w:pos="8998"/>
      </w:tabs>
      <w:ind w:left="420"/>
      <w:jc w:val="left"/>
    </w:pPr>
    <w:rPr>
      <w:sz w:val="20"/>
      <w:szCs w:val="20"/>
    </w:rPr>
  </w:style>
  <w:style w:type="paragraph" w:styleId="20">
    <w:name w:val="Plain Text"/>
    <w:basedOn w:val="1"/>
    <w:link w:val="82"/>
    <w:qFormat/>
    <w:uiPriority w:val="0"/>
    <w:rPr>
      <w:rFonts w:ascii="宋体" w:hAnsi="Courier New"/>
      <w:szCs w:val="21"/>
      <w:lang w:val="zh-CN"/>
    </w:rPr>
  </w:style>
  <w:style w:type="paragraph" w:styleId="21">
    <w:name w:val="toc 8"/>
    <w:basedOn w:val="1"/>
    <w:next w:val="1"/>
    <w:qFormat/>
    <w:uiPriority w:val="39"/>
    <w:pPr>
      <w:ind w:left="1470"/>
      <w:jc w:val="left"/>
    </w:pPr>
    <w:rPr>
      <w:sz w:val="20"/>
      <w:szCs w:val="20"/>
    </w:rPr>
  </w:style>
  <w:style w:type="paragraph" w:styleId="22">
    <w:name w:val="index 3"/>
    <w:basedOn w:val="1"/>
    <w:next w:val="1"/>
    <w:qFormat/>
    <w:uiPriority w:val="0"/>
    <w:pPr>
      <w:ind w:left="400" w:leftChars="400"/>
    </w:pPr>
  </w:style>
  <w:style w:type="paragraph" w:styleId="23">
    <w:name w:val="Date"/>
    <w:basedOn w:val="1"/>
    <w:next w:val="1"/>
    <w:link w:val="68"/>
    <w:qFormat/>
    <w:uiPriority w:val="0"/>
    <w:pPr>
      <w:ind w:left="100" w:leftChars="2500"/>
    </w:pPr>
    <w:rPr>
      <w:sz w:val="24"/>
      <w:lang w:val="zh-CN"/>
    </w:rPr>
  </w:style>
  <w:style w:type="paragraph" w:styleId="24">
    <w:name w:val="Body Text Indent 2"/>
    <w:basedOn w:val="1"/>
    <w:link w:val="69"/>
    <w:qFormat/>
    <w:uiPriority w:val="0"/>
    <w:pPr>
      <w:ind w:firstLine="480" w:firstLineChars="200"/>
    </w:pPr>
    <w:rPr>
      <w:sz w:val="24"/>
      <w:lang w:val="zh-CN"/>
    </w:rPr>
  </w:style>
  <w:style w:type="paragraph" w:styleId="25">
    <w:name w:val="Balloon Text"/>
    <w:basedOn w:val="1"/>
    <w:link w:val="70"/>
    <w:qFormat/>
    <w:uiPriority w:val="0"/>
    <w:rPr>
      <w:szCs w:val="20"/>
      <w:lang w:val="zh-CN"/>
    </w:rPr>
  </w:style>
  <w:style w:type="paragraph" w:styleId="26">
    <w:name w:val="footer"/>
    <w:basedOn w:val="1"/>
    <w:link w:val="71"/>
    <w:qFormat/>
    <w:uiPriority w:val="99"/>
    <w:pPr>
      <w:tabs>
        <w:tab w:val="center" w:pos="4153"/>
        <w:tab w:val="right" w:pos="8306"/>
      </w:tabs>
      <w:autoSpaceDE w:val="0"/>
      <w:autoSpaceDN w:val="0"/>
      <w:adjustRightInd w:val="0"/>
      <w:snapToGrid w:val="0"/>
      <w:jc w:val="left"/>
    </w:pPr>
    <w:rPr>
      <w:rFonts w:ascii="宋体"/>
      <w:kern w:val="0"/>
      <w:sz w:val="18"/>
      <w:szCs w:val="20"/>
      <w:lang w:val="zh-CN"/>
    </w:rPr>
  </w:style>
  <w:style w:type="paragraph" w:styleId="27">
    <w:name w:val="header"/>
    <w:basedOn w:val="1"/>
    <w:link w:val="72"/>
    <w:qFormat/>
    <w:uiPriority w:val="0"/>
    <w:pPr>
      <w:pBdr>
        <w:bottom w:val="single" w:color="auto" w:sz="6" w:space="1"/>
      </w:pBdr>
      <w:tabs>
        <w:tab w:val="center" w:pos="4153"/>
        <w:tab w:val="right" w:pos="8306"/>
      </w:tabs>
      <w:snapToGrid w:val="0"/>
      <w:jc w:val="center"/>
    </w:pPr>
    <w:rPr>
      <w:sz w:val="18"/>
      <w:szCs w:val="18"/>
      <w:lang w:val="zh-CN"/>
    </w:rPr>
  </w:style>
  <w:style w:type="paragraph" w:styleId="28">
    <w:name w:val="Signature"/>
    <w:basedOn w:val="1"/>
    <w:link w:val="73"/>
    <w:qFormat/>
    <w:uiPriority w:val="0"/>
    <w:pPr>
      <w:adjustRightInd w:val="0"/>
      <w:spacing w:after="600" w:line="312" w:lineRule="atLeast"/>
      <w:jc w:val="center"/>
      <w:textAlignment w:val="baseline"/>
    </w:pPr>
    <w:rPr>
      <w:rFonts w:eastAsia="仿宋_GB2312"/>
      <w:kern w:val="0"/>
      <w:sz w:val="24"/>
      <w:szCs w:val="20"/>
      <w:lang w:val="zh-CN"/>
    </w:rPr>
  </w:style>
  <w:style w:type="paragraph" w:styleId="29">
    <w:name w:val="toc 1"/>
    <w:basedOn w:val="1"/>
    <w:next w:val="1"/>
    <w:qFormat/>
    <w:uiPriority w:val="39"/>
    <w:pPr>
      <w:tabs>
        <w:tab w:val="right" w:leader="dot" w:pos="9061"/>
      </w:tabs>
      <w:spacing w:before="120"/>
      <w:jc w:val="center"/>
    </w:pPr>
    <w:rPr>
      <w:b/>
      <w:bCs/>
      <w:iCs/>
      <w:sz w:val="24"/>
    </w:rPr>
  </w:style>
  <w:style w:type="paragraph" w:styleId="30">
    <w:name w:val="toc 4"/>
    <w:basedOn w:val="1"/>
    <w:next w:val="1"/>
    <w:qFormat/>
    <w:uiPriority w:val="39"/>
    <w:pPr>
      <w:ind w:left="630"/>
      <w:jc w:val="left"/>
    </w:pPr>
    <w:rPr>
      <w:sz w:val="20"/>
      <w:szCs w:val="20"/>
    </w:rPr>
  </w:style>
  <w:style w:type="paragraph" w:styleId="31">
    <w:name w:val="index heading"/>
    <w:basedOn w:val="1"/>
    <w:next w:val="32"/>
    <w:qFormat/>
    <w:uiPriority w:val="0"/>
  </w:style>
  <w:style w:type="paragraph" w:styleId="32">
    <w:name w:val="index 1"/>
    <w:basedOn w:val="1"/>
    <w:next w:val="1"/>
    <w:unhideWhenUsed/>
    <w:qFormat/>
    <w:uiPriority w:val="0"/>
  </w:style>
  <w:style w:type="paragraph" w:styleId="33">
    <w:name w:val="toc 6"/>
    <w:basedOn w:val="1"/>
    <w:next w:val="1"/>
    <w:qFormat/>
    <w:uiPriority w:val="39"/>
    <w:pPr>
      <w:ind w:left="1050"/>
      <w:jc w:val="left"/>
    </w:pPr>
    <w:rPr>
      <w:sz w:val="20"/>
      <w:szCs w:val="20"/>
    </w:rPr>
  </w:style>
  <w:style w:type="paragraph" w:styleId="34">
    <w:name w:val="Body Text Indent 3"/>
    <w:basedOn w:val="1"/>
    <w:link w:val="74"/>
    <w:qFormat/>
    <w:uiPriority w:val="0"/>
    <w:pPr>
      <w:autoSpaceDE w:val="0"/>
      <w:autoSpaceDN w:val="0"/>
      <w:adjustRightInd w:val="0"/>
      <w:spacing w:before="120" w:line="22" w:lineRule="atLeast"/>
      <w:ind w:left="720" w:firstLine="480"/>
      <w:jc w:val="left"/>
    </w:pPr>
    <w:rPr>
      <w:sz w:val="16"/>
      <w:szCs w:val="16"/>
      <w:lang w:val="zh-CN"/>
    </w:rPr>
  </w:style>
  <w:style w:type="paragraph" w:styleId="35">
    <w:name w:val="index 7"/>
    <w:basedOn w:val="1"/>
    <w:next w:val="1"/>
    <w:qFormat/>
    <w:uiPriority w:val="0"/>
    <w:pPr>
      <w:ind w:left="1200" w:leftChars="1200"/>
    </w:pPr>
  </w:style>
  <w:style w:type="paragraph" w:styleId="36">
    <w:name w:val="index 9"/>
    <w:basedOn w:val="1"/>
    <w:next w:val="1"/>
    <w:qFormat/>
    <w:uiPriority w:val="0"/>
    <w:pPr>
      <w:ind w:left="1600" w:leftChars="1600"/>
    </w:pPr>
  </w:style>
  <w:style w:type="paragraph" w:styleId="37">
    <w:name w:val="table of figures"/>
    <w:basedOn w:val="1"/>
    <w:next w:val="1"/>
    <w:qFormat/>
    <w:uiPriority w:val="0"/>
    <w:pPr>
      <w:ind w:left="840" w:leftChars="200" w:hanging="420" w:hangingChars="200"/>
    </w:pPr>
  </w:style>
  <w:style w:type="paragraph" w:styleId="38">
    <w:name w:val="toc 2"/>
    <w:basedOn w:val="1"/>
    <w:next w:val="1"/>
    <w:qFormat/>
    <w:uiPriority w:val="39"/>
    <w:pPr>
      <w:tabs>
        <w:tab w:val="right" w:leader="underscore" w:pos="9061"/>
      </w:tabs>
      <w:spacing w:before="120"/>
    </w:pPr>
    <w:rPr>
      <w:rFonts w:ascii="宋体" w:hAnsi="宋体"/>
      <w:bCs/>
      <w:i/>
      <w:color w:val="000000"/>
      <w:kern w:val="44"/>
      <w:sz w:val="24"/>
    </w:rPr>
  </w:style>
  <w:style w:type="paragraph" w:styleId="39">
    <w:name w:val="toc 9"/>
    <w:basedOn w:val="1"/>
    <w:next w:val="1"/>
    <w:qFormat/>
    <w:uiPriority w:val="39"/>
    <w:pPr>
      <w:ind w:left="1680"/>
      <w:jc w:val="left"/>
    </w:pPr>
    <w:rPr>
      <w:sz w:val="20"/>
      <w:szCs w:val="20"/>
    </w:rPr>
  </w:style>
  <w:style w:type="paragraph" w:styleId="40">
    <w:name w:val="Body Text 2"/>
    <w:basedOn w:val="1"/>
    <w:link w:val="75"/>
    <w:qFormat/>
    <w:uiPriority w:val="0"/>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41">
    <w:name w:val="Message Header"/>
    <w:basedOn w:val="1"/>
    <w:link w:val="76"/>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lang w:val="zh-CN"/>
    </w:rPr>
  </w:style>
  <w:style w:type="paragraph" w:styleId="42">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3">
    <w:name w:val="index 2"/>
    <w:basedOn w:val="1"/>
    <w:next w:val="1"/>
    <w:qFormat/>
    <w:uiPriority w:val="0"/>
    <w:pPr>
      <w:ind w:left="200" w:leftChars="200"/>
    </w:pPr>
  </w:style>
  <w:style w:type="paragraph" w:styleId="44">
    <w:name w:val="Title"/>
    <w:basedOn w:val="1"/>
    <w:link w:val="77"/>
    <w:qFormat/>
    <w:uiPriority w:val="0"/>
    <w:pPr>
      <w:spacing w:before="240" w:after="60"/>
      <w:jc w:val="center"/>
      <w:outlineLvl w:val="0"/>
    </w:pPr>
    <w:rPr>
      <w:rFonts w:ascii="Arial" w:hAnsi="Arial"/>
      <w:b/>
      <w:bCs/>
      <w:sz w:val="32"/>
      <w:szCs w:val="32"/>
      <w:lang w:val="zh-CN"/>
    </w:rPr>
  </w:style>
  <w:style w:type="paragraph" w:styleId="45">
    <w:name w:val="annotation subject"/>
    <w:basedOn w:val="12"/>
    <w:next w:val="12"/>
    <w:link w:val="62"/>
    <w:qFormat/>
    <w:uiPriority w:val="0"/>
    <w:rPr>
      <w:b/>
      <w:bCs/>
      <w:lang w:val="zh-CN"/>
    </w:rPr>
  </w:style>
  <w:style w:type="paragraph" w:styleId="46">
    <w:name w:val="Body Text First Indent"/>
    <w:basedOn w:val="14"/>
    <w:link w:val="64"/>
    <w:qFormat/>
    <w:uiPriority w:val="0"/>
    <w:pPr>
      <w:tabs>
        <w:tab w:val="left" w:pos="567"/>
      </w:tabs>
      <w:ind w:firstLine="420" w:firstLineChars="100"/>
    </w:pPr>
    <w:rPr>
      <w:lang w:val="zh-CN"/>
    </w:rPr>
  </w:style>
  <w:style w:type="paragraph" w:styleId="47">
    <w:name w:val="Body Text First Indent 2"/>
    <w:basedOn w:val="15"/>
    <w:link w:val="127"/>
    <w:qFormat/>
    <w:uiPriority w:val="0"/>
    <w:pPr>
      <w:spacing w:after="120" w:line="240" w:lineRule="auto"/>
      <w:ind w:left="420" w:leftChars="200" w:firstLine="420" w:firstLineChars="200"/>
    </w:pPr>
    <w:rPr>
      <w:sz w:val="21"/>
      <w:szCs w:val="20"/>
    </w:rPr>
  </w:style>
  <w:style w:type="table" w:styleId="49">
    <w:name w:val="Table Grid"/>
    <w:basedOn w:val="4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page number"/>
    <w:qFormat/>
    <w:uiPriority w:val="0"/>
    <w:rPr>
      <w:rFonts w:cs="Times New Roman"/>
    </w:rPr>
  </w:style>
  <w:style w:type="character" w:styleId="53">
    <w:name w:val="Emphasis"/>
    <w:qFormat/>
    <w:uiPriority w:val="0"/>
    <w:rPr>
      <w:i/>
      <w:iCs/>
    </w:rPr>
  </w:style>
  <w:style w:type="character" w:styleId="54">
    <w:name w:val="Hyperlink"/>
    <w:qFormat/>
    <w:uiPriority w:val="99"/>
    <w:rPr>
      <w:rFonts w:cs="Times New Roman"/>
      <w:color w:val="0000FF"/>
      <w:u w:val="single"/>
    </w:rPr>
  </w:style>
  <w:style w:type="character" w:styleId="55">
    <w:name w:val="annotation reference"/>
    <w:qFormat/>
    <w:uiPriority w:val="99"/>
    <w:rPr>
      <w:rFonts w:cs="Times New Roman"/>
      <w:sz w:val="21"/>
      <w:szCs w:val="21"/>
    </w:rPr>
  </w:style>
  <w:style w:type="paragraph" w:customStyle="1" w:styleId="56">
    <w:name w:val="首行缩进"/>
    <w:basedOn w:val="1"/>
    <w:qFormat/>
    <w:uiPriority w:val="0"/>
    <w:pPr>
      <w:spacing w:line="360" w:lineRule="auto"/>
      <w:ind w:left="210" w:leftChars="100" w:firstLine="420" w:firstLineChars="200"/>
    </w:pPr>
    <w:rPr>
      <w:rFonts w:ascii="宋体" w:hAnsi="宋体"/>
    </w:rPr>
  </w:style>
  <w:style w:type="character" w:customStyle="1" w:styleId="57">
    <w:name w:val="标题 1 Char"/>
    <w:basedOn w:val="50"/>
    <w:link w:val="3"/>
    <w:qFormat/>
    <w:uiPriority w:val="99"/>
    <w:rPr>
      <w:rFonts w:ascii="Times New Roman" w:hAnsi="Times New Roman" w:eastAsia="宋体" w:cs="Times New Roman"/>
      <w:b/>
      <w:bCs/>
      <w:kern w:val="44"/>
      <w:sz w:val="28"/>
      <w:szCs w:val="44"/>
      <w:lang w:val="zh-CN"/>
    </w:rPr>
  </w:style>
  <w:style w:type="character" w:customStyle="1" w:styleId="58">
    <w:name w:val="标题 2 Char"/>
    <w:basedOn w:val="50"/>
    <w:link w:val="4"/>
    <w:qFormat/>
    <w:uiPriority w:val="0"/>
    <w:rPr>
      <w:rFonts w:ascii="Cambria" w:hAnsi="Cambria" w:eastAsia="宋体" w:cs="Times New Roman"/>
      <w:b/>
      <w:bCs/>
      <w:sz w:val="32"/>
      <w:szCs w:val="32"/>
      <w:lang w:val="zh-CN"/>
    </w:rPr>
  </w:style>
  <w:style w:type="character" w:customStyle="1" w:styleId="59">
    <w:name w:val="标题 3 Char"/>
    <w:basedOn w:val="50"/>
    <w:link w:val="2"/>
    <w:qFormat/>
    <w:uiPriority w:val="0"/>
    <w:rPr>
      <w:rFonts w:ascii="宋体" w:hAnsi="宋体" w:eastAsia="宋体" w:cs="Times New Roman"/>
      <w:kern w:val="0"/>
      <w:sz w:val="20"/>
      <w:szCs w:val="20"/>
      <w:lang w:val="zh-CN"/>
    </w:rPr>
  </w:style>
  <w:style w:type="character" w:customStyle="1" w:styleId="60">
    <w:name w:val="标题 4 Char"/>
    <w:basedOn w:val="50"/>
    <w:link w:val="5"/>
    <w:qFormat/>
    <w:uiPriority w:val="0"/>
    <w:rPr>
      <w:rFonts w:ascii="Cambria" w:hAnsi="Cambria" w:eastAsia="宋体" w:cs="Times New Roman"/>
      <w:b/>
      <w:bCs/>
      <w:sz w:val="28"/>
      <w:szCs w:val="28"/>
      <w:lang w:val="zh-CN"/>
    </w:rPr>
  </w:style>
  <w:style w:type="character" w:customStyle="1" w:styleId="61">
    <w:name w:val="批注文字 Char"/>
    <w:basedOn w:val="50"/>
    <w:link w:val="12"/>
    <w:qFormat/>
    <w:uiPriority w:val="99"/>
    <w:rPr>
      <w:rFonts w:ascii="Times New Roman" w:hAnsi="Times New Roman" w:eastAsia="宋体" w:cs="Times New Roman"/>
      <w:szCs w:val="24"/>
    </w:rPr>
  </w:style>
  <w:style w:type="character" w:customStyle="1" w:styleId="62">
    <w:name w:val="批注主题 Char"/>
    <w:basedOn w:val="61"/>
    <w:link w:val="45"/>
    <w:qFormat/>
    <w:uiPriority w:val="0"/>
    <w:rPr>
      <w:rFonts w:ascii="Times New Roman" w:hAnsi="Times New Roman" w:eastAsia="宋体" w:cs="Times New Roman"/>
      <w:b/>
      <w:bCs/>
      <w:szCs w:val="24"/>
      <w:lang w:val="zh-CN"/>
    </w:rPr>
  </w:style>
  <w:style w:type="character" w:customStyle="1" w:styleId="63">
    <w:name w:val="正文文本 Char"/>
    <w:basedOn w:val="50"/>
    <w:link w:val="14"/>
    <w:qFormat/>
    <w:uiPriority w:val="0"/>
    <w:rPr>
      <w:rFonts w:ascii="Times New Roman" w:hAnsi="Times New Roman" w:eastAsia="宋体" w:cs="Times New Roman"/>
      <w:szCs w:val="24"/>
    </w:rPr>
  </w:style>
  <w:style w:type="character" w:customStyle="1" w:styleId="64">
    <w:name w:val="正文首行缩进 Char"/>
    <w:basedOn w:val="63"/>
    <w:link w:val="46"/>
    <w:qFormat/>
    <w:uiPriority w:val="0"/>
    <w:rPr>
      <w:rFonts w:ascii="Times New Roman" w:hAnsi="Times New Roman" w:eastAsia="宋体" w:cs="Times New Roman"/>
      <w:szCs w:val="24"/>
      <w:lang w:val="zh-CN"/>
    </w:rPr>
  </w:style>
  <w:style w:type="character" w:customStyle="1" w:styleId="65">
    <w:name w:val="文档结构图 Char"/>
    <w:basedOn w:val="50"/>
    <w:link w:val="11"/>
    <w:qFormat/>
    <w:uiPriority w:val="0"/>
    <w:rPr>
      <w:rFonts w:ascii="Times New Roman" w:hAnsi="Times New Roman" w:eastAsia="宋体" w:cs="Times New Roman"/>
      <w:kern w:val="0"/>
      <w:sz w:val="16"/>
      <w:szCs w:val="16"/>
      <w:shd w:val="clear" w:color="auto" w:fill="000080"/>
      <w:lang w:val="zh-CN"/>
    </w:rPr>
  </w:style>
  <w:style w:type="character" w:customStyle="1" w:styleId="66">
    <w:name w:val="正文文本缩进 字符"/>
    <w:basedOn w:val="50"/>
    <w:qFormat/>
    <w:uiPriority w:val="99"/>
    <w:rPr>
      <w:rFonts w:ascii="Times New Roman" w:hAnsi="Times New Roman" w:eastAsia="宋体" w:cs="Times New Roman"/>
      <w:sz w:val="24"/>
      <w:szCs w:val="24"/>
      <w:lang w:val="zh-CN"/>
    </w:rPr>
  </w:style>
  <w:style w:type="character" w:customStyle="1" w:styleId="67">
    <w:name w:val="纯文本 Char"/>
    <w:basedOn w:val="50"/>
    <w:qFormat/>
    <w:uiPriority w:val="0"/>
    <w:rPr>
      <w:rFonts w:ascii="宋体" w:hAnsi="Courier New" w:eastAsia="宋体" w:cs="Courier New"/>
      <w:szCs w:val="21"/>
    </w:rPr>
  </w:style>
  <w:style w:type="character" w:customStyle="1" w:styleId="68">
    <w:name w:val="日期 Char"/>
    <w:basedOn w:val="50"/>
    <w:link w:val="23"/>
    <w:qFormat/>
    <w:uiPriority w:val="0"/>
    <w:rPr>
      <w:rFonts w:ascii="Times New Roman" w:hAnsi="Times New Roman" w:eastAsia="宋体" w:cs="Times New Roman"/>
      <w:sz w:val="24"/>
      <w:szCs w:val="24"/>
      <w:lang w:val="zh-CN"/>
    </w:rPr>
  </w:style>
  <w:style w:type="character" w:customStyle="1" w:styleId="69">
    <w:name w:val="正文文本缩进 2 Char"/>
    <w:basedOn w:val="50"/>
    <w:link w:val="24"/>
    <w:qFormat/>
    <w:uiPriority w:val="0"/>
    <w:rPr>
      <w:rFonts w:ascii="Times New Roman" w:hAnsi="Times New Roman" w:eastAsia="宋体" w:cs="Times New Roman"/>
      <w:sz w:val="24"/>
      <w:szCs w:val="24"/>
      <w:lang w:val="zh-CN"/>
    </w:rPr>
  </w:style>
  <w:style w:type="character" w:customStyle="1" w:styleId="70">
    <w:name w:val="批注框文本 Char"/>
    <w:basedOn w:val="50"/>
    <w:link w:val="25"/>
    <w:qFormat/>
    <w:uiPriority w:val="0"/>
    <w:rPr>
      <w:rFonts w:ascii="Times New Roman" w:hAnsi="Times New Roman" w:eastAsia="宋体" w:cs="Times New Roman"/>
      <w:szCs w:val="20"/>
      <w:lang w:val="zh-CN"/>
    </w:rPr>
  </w:style>
  <w:style w:type="character" w:customStyle="1" w:styleId="71">
    <w:name w:val="页脚 Char"/>
    <w:basedOn w:val="50"/>
    <w:link w:val="26"/>
    <w:qFormat/>
    <w:uiPriority w:val="99"/>
    <w:rPr>
      <w:rFonts w:ascii="宋体" w:hAnsi="Times New Roman" w:eastAsia="宋体" w:cs="Times New Roman"/>
      <w:kern w:val="0"/>
      <w:sz w:val="18"/>
      <w:szCs w:val="20"/>
      <w:lang w:val="zh-CN"/>
    </w:rPr>
  </w:style>
  <w:style w:type="character" w:customStyle="1" w:styleId="72">
    <w:name w:val="页眉 Char"/>
    <w:basedOn w:val="50"/>
    <w:link w:val="27"/>
    <w:qFormat/>
    <w:uiPriority w:val="0"/>
    <w:rPr>
      <w:rFonts w:ascii="Times New Roman" w:hAnsi="Times New Roman" w:eastAsia="宋体" w:cs="Times New Roman"/>
      <w:sz w:val="18"/>
      <w:szCs w:val="18"/>
      <w:lang w:val="zh-CN"/>
    </w:rPr>
  </w:style>
  <w:style w:type="character" w:customStyle="1" w:styleId="73">
    <w:name w:val="签名 Char"/>
    <w:basedOn w:val="50"/>
    <w:link w:val="28"/>
    <w:qFormat/>
    <w:uiPriority w:val="0"/>
    <w:rPr>
      <w:rFonts w:ascii="Times New Roman" w:hAnsi="Times New Roman" w:eastAsia="仿宋_GB2312" w:cs="Times New Roman"/>
      <w:kern w:val="0"/>
      <w:sz w:val="24"/>
      <w:szCs w:val="20"/>
      <w:lang w:val="zh-CN"/>
    </w:rPr>
  </w:style>
  <w:style w:type="character" w:customStyle="1" w:styleId="74">
    <w:name w:val="正文文本缩进 3 Char"/>
    <w:basedOn w:val="50"/>
    <w:link w:val="34"/>
    <w:qFormat/>
    <w:uiPriority w:val="0"/>
    <w:rPr>
      <w:rFonts w:ascii="Times New Roman" w:hAnsi="Times New Roman" w:eastAsia="宋体" w:cs="Times New Roman"/>
      <w:sz w:val="16"/>
      <w:szCs w:val="16"/>
      <w:lang w:val="zh-CN"/>
    </w:rPr>
  </w:style>
  <w:style w:type="character" w:customStyle="1" w:styleId="75">
    <w:name w:val="正文文本 2 Char"/>
    <w:basedOn w:val="50"/>
    <w:link w:val="40"/>
    <w:qFormat/>
    <w:uiPriority w:val="0"/>
    <w:rPr>
      <w:rFonts w:ascii="宋体" w:hAnsi="Times New Roman" w:eastAsia="宋体" w:cs="Times New Roman"/>
      <w:color w:val="000000"/>
      <w:kern w:val="0"/>
      <w:sz w:val="28"/>
      <w:szCs w:val="20"/>
      <w:lang w:val="en-GB"/>
    </w:rPr>
  </w:style>
  <w:style w:type="character" w:customStyle="1" w:styleId="76">
    <w:name w:val="信息标题 Char"/>
    <w:basedOn w:val="50"/>
    <w:link w:val="41"/>
    <w:qFormat/>
    <w:uiPriority w:val="0"/>
    <w:rPr>
      <w:rFonts w:ascii="Cambria" w:hAnsi="Cambria" w:eastAsia="宋体" w:cs="Times New Roman"/>
      <w:sz w:val="24"/>
      <w:szCs w:val="24"/>
      <w:shd w:val="pct20" w:color="auto" w:fill="auto"/>
      <w:lang w:val="zh-CN"/>
    </w:rPr>
  </w:style>
  <w:style w:type="character" w:customStyle="1" w:styleId="77">
    <w:name w:val="标题 Char"/>
    <w:basedOn w:val="50"/>
    <w:link w:val="44"/>
    <w:qFormat/>
    <w:uiPriority w:val="0"/>
    <w:rPr>
      <w:rFonts w:ascii="Arial" w:hAnsi="Arial" w:eastAsia="宋体" w:cs="Times New Roman"/>
      <w:b/>
      <w:bCs/>
      <w:sz w:val="32"/>
      <w:szCs w:val="32"/>
      <w:lang w:val="zh-CN"/>
    </w:rPr>
  </w:style>
  <w:style w:type="character" w:customStyle="1" w:styleId="78">
    <w:name w:val="medium_text1"/>
    <w:qFormat/>
    <w:uiPriority w:val="0"/>
    <w:rPr>
      <w:sz w:val="24"/>
      <w:szCs w:val="24"/>
    </w:rPr>
  </w:style>
  <w:style w:type="character" w:customStyle="1" w:styleId="79">
    <w:name w:val="apple-converted-space"/>
    <w:basedOn w:val="50"/>
    <w:qFormat/>
    <w:uiPriority w:val="0"/>
  </w:style>
  <w:style w:type="character" w:customStyle="1" w:styleId="80">
    <w:name w:val="页眉 Char Char"/>
    <w:qFormat/>
    <w:uiPriority w:val="0"/>
    <w:rPr>
      <w:rFonts w:cs="Times New Roman"/>
      <w:kern w:val="2"/>
      <w:sz w:val="18"/>
      <w:szCs w:val="18"/>
    </w:rPr>
  </w:style>
  <w:style w:type="character" w:customStyle="1" w:styleId="81">
    <w:name w:val="short_text1"/>
    <w:qFormat/>
    <w:uiPriority w:val="0"/>
    <w:rPr>
      <w:sz w:val="26"/>
      <w:szCs w:val="26"/>
    </w:rPr>
  </w:style>
  <w:style w:type="character" w:customStyle="1" w:styleId="82">
    <w:name w:val="纯文本 Char1"/>
    <w:link w:val="20"/>
    <w:qFormat/>
    <w:uiPriority w:val="0"/>
    <w:rPr>
      <w:rFonts w:ascii="宋体" w:hAnsi="Courier New" w:eastAsia="宋体" w:cs="Times New Roman"/>
      <w:szCs w:val="21"/>
      <w:lang w:val="zh-CN"/>
    </w:rPr>
  </w:style>
  <w:style w:type="character" w:customStyle="1" w:styleId="83">
    <w:name w:val="普通文字1 Char Char"/>
    <w:qFormat/>
    <w:uiPriority w:val="0"/>
    <w:rPr>
      <w:rFonts w:ascii="宋体" w:hAnsi="Courier New" w:eastAsia="宋体"/>
      <w:kern w:val="2"/>
      <w:sz w:val="21"/>
      <w:lang w:val="en-US" w:eastAsia="zh-CN" w:bidi="ar-SA"/>
    </w:rPr>
  </w:style>
  <w:style w:type="character" w:customStyle="1" w:styleId="84">
    <w:name w:val="标题2 Char"/>
    <w:qFormat/>
    <w:uiPriority w:val="0"/>
    <w:rPr>
      <w:rFonts w:ascii="Arial" w:hAnsi="Arial" w:eastAsia="黑体" w:cs="Times New Roman"/>
      <w:b/>
      <w:kern w:val="0"/>
      <w:sz w:val="30"/>
      <w:szCs w:val="20"/>
    </w:rPr>
  </w:style>
  <w:style w:type="character" w:customStyle="1" w:styleId="85">
    <w:name w:val="标准文本 Char Char"/>
    <w:link w:val="86"/>
    <w:qFormat/>
    <w:uiPriority w:val="0"/>
    <w:rPr>
      <w:rFonts w:eastAsia="宋体" w:cs="宋体"/>
      <w:sz w:val="24"/>
    </w:rPr>
  </w:style>
  <w:style w:type="paragraph" w:customStyle="1" w:styleId="86">
    <w:name w:val="标准文本"/>
    <w:basedOn w:val="1"/>
    <w:link w:val="85"/>
    <w:qFormat/>
    <w:uiPriority w:val="0"/>
    <w:pPr>
      <w:spacing w:line="360" w:lineRule="auto"/>
      <w:ind w:firstLine="480" w:firstLineChars="200"/>
    </w:pPr>
    <w:rPr>
      <w:rFonts w:cs="宋体" w:asciiTheme="minorHAnsi" w:hAnsiTheme="minorHAnsi"/>
      <w:sz w:val="24"/>
      <w:szCs w:val="22"/>
    </w:rPr>
  </w:style>
  <w:style w:type="character" w:customStyle="1" w:styleId="87">
    <w:name w:val="ca-2"/>
    <w:basedOn w:val="50"/>
    <w:qFormat/>
    <w:uiPriority w:val="0"/>
  </w:style>
  <w:style w:type="character" w:customStyle="1" w:styleId="88">
    <w:name w:val="H1 Char"/>
    <w:qFormat/>
    <w:uiPriority w:val="0"/>
    <w:rPr>
      <w:rFonts w:ascii="宋体" w:hAnsi="Times New Roman" w:eastAsia="宋体" w:cs="Times New Roman"/>
      <w:b/>
      <w:kern w:val="44"/>
      <w:sz w:val="32"/>
      <w:szCs w:val="20"/>
    </w:rPr>
  </w:style>
  <w:style w:type="character" w:customStyle="1" w:styleId="89">
    <w:name w:val="apple-style-span"/>
    <w:qFormat/>
    <w:uiPriority w:val="0"/>
    <w:rPr>
      <w:rFonts w:cs="Times New Roman"/>
    </w:rPr>
  </w:style>
  <w:style w:type="paragraph" w:customStyle="1" w:styleId="90">
    <w:name w:val="Default"/>
    <w:qFormat/>
    <w:uiPriority w:val="0"/>
    <w:pPr>
      <w:widowControl w:val="0"/>
      <w:autoSpaceDE w:val="0"/>
      <w:autoSpaceDN w:val="0"/>
      <w:adjustRightInd w:val="0"/>
    </w:pPr>
    <w:rPr>
      <w:rFonts w:ascii="Akzidenz Grotesk BQ" w:hAnsi="Akzidenz Grotesk BQ" w:eastAsia="宋体" w:cs="Akzidenz Grotesk BQ"/>
      <w:color w:val="000000"/>
      <w:sz w:val="24"/>
      <w:szCs w:val="24"/>
      <w:lang w:val="en-US" w:eastAsia="zh-CN" w:bidi="ar-SA"/>
    </w:rPr>
  </w:style>
  <w:style w:type="paragraph" w:customStyle="1" w:styleId="91">
    <w:name w:val="Pa9"/>
    <w:basedOn w:val="90"/>
    <w:next w:val="90"/>
    <w:qFormat/>
    <w:uiPriority w:val="0"/>
    <w:pPr>
      <w:spacing w:before="120" w:line="161" w:lineRule="atLeast"/>
    </w:pPr>
    <w:rPr>
      <w:rFonts w:cs="Times New Roman"/>
      <w:color w:val="auto"/>
    </w:rPr>
  </w:style>
  <w:style w:type="paragraph" w:customStyle="1" w:styleId="92">
    <w:name w:val="正文 + 小四"/>
    <w:basedOn w:val="1"/>
    <w:qFormat/>
    <w:uiPriority w:val="0"/>
    <w:pPr>
      <w:spacing w:line="360" w:lineRule="auto"/>
      <w:ind w:firstLine="480" w:firstLineChars="200"/>
    </w:pPr>
    <w:rPr>
      <w:sz w:val="24"/>
    </w:rPr>
  </w:style>
  <w:style w:type="paragraph" w:customStyle="1" w:styleId="93">
    <w:name w:val="Normal no space after"/>
    <w:basedOn w:val="1"/>
    <w:qFormat/>
    <w:uiPriority w:val="0"/>
    <w:pPr>
      <w:widowControl/>
      <w:tabs>
        <w:tab w:val="left" w:pos="284"/>
        <w:tab w:val="left" w:pos="567"/>
      </w:tabs>
      <w:spacing w:line="280" w:lineRule="atLeast"/>
      <w:jc w:val="left"/>
    </w:pPr>
    <w:rPr>
      <w:rFonts w:ascii="Frutiger Roman" w:hAnsi="Frutiger Roman"/>
      <w:kern w:val="0"/>
      <w:sz w:val="20"/>
      <w:szCs w:val="20"/>
      <w:lang w:eastAsia="en-US"/>
    </w:rPr>
  </w:style>
  <w:style w:type="paragraph" w:customStyle="1" w:styleId="94">
    <w:name w:val="Char3 Char Char Char"/>
    <w:basedOn w:val="1"/>
    <w:qFormat/>
    <w:uiPriority w:val="0"/>
  </w:style>
  <w:style w:type="paragraph" w:customStyle="1" w:styleId="95">
    <w:name w:val="Char1 Char Char Char Char Char Char"/>
    <w:basedOn w:val="1"/>
    <w:qFormat/>
    <w:uiPriority w:val="0"/>
    <w:rPr>
      <w:rFonts w:ascii="Tahoma" w:hAnsi="Tahoma"/>
      <w:sz w:val="24"/>
      <w:szCs w:val="20"/>
    </w:rPr>
  </w:style>
  <w:style w:type="paragraph" w:customStyle="1" w:styleId="96">
    <w:name w:val="pa-8"/>
    <w:basedOn w:val="1"/>
    <w:qFormat/>
    <w:uiPriority w:val="0"/>
    <w:pPr>
      <w:widowControl/>
      <w:spacing w:before="150" w:after="150"/>
      <w:jc w:val="left"/>
    </w:pPr>
    <w:rPr>
      <w:rFonts w:ascii="宋体" w:hAnsi="宋体" w:cs="宋体"/>
      <w:kern w:val="0"/>
      <w:sz w:val="24"/>
    </w:rPr>
  </w:style>
  <w:style w:type="paragraph" w:customStyle="1" w:styleId="97">
    <w:name w:val="Pa10"/>
    <w:basedOn w:val="90"/>
    <w:next w:val="90"/>
    <w:qFormat/>
    <w:uiPriority w:val="0"/>
    <w:pPr>
      <w:spacing w:line="161" w:lineRule="atLeast"/>
    </w:pPr>
    <w:rPr>
      <w:rFonts w:cs="Times New Roman"/>
      <w:color w:val="auto"/>
    </w:rPr>
  </w:style>
  <w:style w:type="paragraph" w:customStyle="1" w:styleId="9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9">
    <w:name w:val="pa-6"/>
    <w:basedOn w:val="1"/>
    <w:qFormat/>
    <w:uiPriority w:val="0"/>
    <w:pPr>
      <w:widowControl/>
      <w:spacing w:before="150" w:after="150"/>
      <w:jc w:val="left"/>
    </w:pPr>
    <w:rPr>
      <w:rFonts w:ascii="宋体" w:hAnsi="宋体" w:cs="宋体"/>
      <w:kern w:val="0"/>
      <w:sz w:val="24"/>
    </w:rPr>
  </w:style>
  <w:style w:type="paragraph" w:customStyle="1" w:styleId="100">
    <w:name w:val="Char Char Char"/>
    <w:basedOn w:val="1"/>
    <w:qFormat/>
    <w:uiPriority w:val="0"/>
    <w:rPr>
      <w:rFonts w:ascii="Tahoma" w:hAnsi="Tahoma"/>
      <w:sz w:val="24"/>
      <w:szCs w:val="20"/>
    </w:rPr>
  </w:style>
  <w:style w:type="paragraph" w:customStyle="1" w:styleId="101">
    <w:name w:val="修订1"/>
    <w:qFormat/>
    <w:uiPriority w:val="0"/>
    <w:rPr>
      <w:rFonts w:ascii="Times New Roman" w:hAnsi="Times New Roman" w:eastAsia="宋体" w:cs="Times New Roman"/>
      <w:kern w:val="2"/>
      <w:sz w:val="21"/>
      <w:szCs w:val="24"/>
      <w:lang w:val="en-US" w:eastAsia="zh-CN" w:bidi="ar-SA"/>
    </w:rPr>
  </w:style>
  <w:style w:type="paragraph" w:customStyle="1" w:styleId="102">
    <w:name w:val="p0"/>
    <w:basedOn w:val="1"/>
    <w:qFormat/>
    <w:uiPriority w:val="0"/>
    <w:pPr>
      <w:widowControl/>
    </w:pPr>
    <w:rPr>
      <w:kern w:val="0"/>
      <w:szCs w:val="20"/>
    </w:rPr>
  </w:style>
  <w:style w:type="paragraph" w:customStyle="1" w:styleId="103">
    <w:name w:val="列出段落1"/>
    <w:basedOn w:val="1"/>
    <w:qFormat/>
    <w:uiPriority w:val="34"/>
    <w:pPr>
      <w:ind w:firstLine="420" w:firstLineChars="200"/>
    </w:pPr>
    <w:rPr>
      <w:rFonts w:ascii="Calibri" w:hAnsi="Calibri"/>
      <w:szCs w:val="22"/>
    </w:rPr>
  </w:style>
  <w:style w:type="paragraph" w:customStyle="1" w:styleId="104">
    <w:name w:val="Char Char Char1 Char Char Char Char"/>
    <w:basedOn w:val="1"/>
    <w:qFormat/>
    <w:uiPriority w:val="0"/>
    <w:rPr>
      <w:rFonts w:ascii="Tahoma" w:hAnsi="Tahoma"/>
      <w:sz w:val="24"/>
      <w:szCs w:val="20"/>
    </w:rPr>
  </w:style>
  <w:style w:type="paragraph" w:customStyle="1" w:styleId="105">
    <w:name w:val="正文2"/>
    <w:basedOn w:val="1"/>
    <w:qFormat/>
    <w:uiPriority w:val="0"/>
    <w:pPr>
      <w:spacing w:before="156" w:line="360" w:lineRule="auto"/>
      <w:ind w:firstLine="510" w:firstLineChars="200"/>
    </w:pPr>
    <w:rPr>
      <w:sz w:val="24"/>
      <w:szCs w:val="20"/>
    </w:rPr>
  </w:style>
  <w:style w:type="paragraph" w:customStyle="1" w:styleId="106">
    <w:name w:val="样式1"/>
    <w:basedOn w:val="3"/>
    <w:qFormat/>
    <w:uiPriority w:val="0"/>
    <w:pPr>
      <w:spacing w:line="360" w:lineRule="auto"/>
    </w:pPr>
    <w:rPr>
      <w:rFonts w:hAnsi="宋体"/>
      <w:sz w:val="24"/>
      <w:szCs w:val="24"/>
    </w:rPr>
  </w:style>
  <w:style w:type="paragraph" w:customStyle="1" w:styleId="107">
    <w:name w:val="文档正文"/>
    <w:basedOn w:val="1"/>
    <w:qFormat/>
    <w:uiPriority w:val="0"/>
    <w:pPr>
      <w:adjustRightInd w:val="0"/>
      <w:spacing w:line="480" w:lineRule="atLeast"/>
      <w:ind w:firstLine="567"/>
      <w:textAlignment w:val="baseline"/>
    </w:pPr>
    <w:rPr>
      <w:kern w:val="0"/>
      <w:sz w:val="24"/>
      <w:szCs w:val="20"/>
    </w:rPr>
  </w:style>
  <w:style w:type="paragraph" w:customStyle="1" w:styleId="108">
    <w:name w:val="Char1"/>
    <w:basedOn w:val="1"/>
    <w:qFormat/>
    <w:uiPriority w:val="0"/>
    <w:rPr>
      <w:rFonts w:ascii="Tahoma" w:hAnsi="Tahoma" w:cs="仿宋_GB2312"/>
      <w:sz w:val="24"/>
      <w:szCs w:val="28"/>
    </w:rPr>
  </w:style>
  <w:style w:type="paragraph" w:customStyle="1" w:styleId="109">
    <w:name w:val="Char2"/>
    <w:basedOn w:val="1"/>
    <w:qFormat/>
    <w:uiPriority w:val="0"/>
    <w:pPr>
      <w:spacing w:line="360" w:lineRule="auto"/>
      <w:ind w:firstLine="200" w:firstLineChars="200"/>
    </w:pPr>
    <w:rPr>
      <w:rFonts w:ascii="宋体" w:hAnsi="宋体" w:cs="宋体"/>
      <w:sz w:val="24"/>
    </w:rPr>
  </w:style>
  <w:style w:type="paragraph" w:customStyle="1" w:styleId="110">
    <w:name w:val="列出段落11"/>
    <w:basedOn w:val="1"/>
    <w:qFormat/>
    <w:uiPriority w:val="34"/>
    <w:pPr>
      <w:ind w:firstLine="420" w:firstLineChars="200"/>
    </w:pPr>
    <w:rPr>
      <w:rFonts w:ascii="Calibri" w:hAnsi="Calibri"/>
      <w:szCs w:val="22"/>
    </w:rPr>
  </w:style>
  <w:style w:type="paragraph" w:customStyle="1" w:styleId="111">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12">
    <w:name w:val="段"/>
    <w:qFormat/>
    <w:uiPriority w:val="0"/>
    <w:pPr>
      <w:autoSpaceDE w:val="0"/>
      <w:autoSpaceDN w:val="0"/>
      <w:ind w:firstLine="200" w:firstLineChars="200"/>
      <w:jc w:val="both"/>
    </w:pPr>
    <w:rPr>
      <w:rFonts w:ascii="宋体" w:hAnsi="宋体" w:eastAsia="宋体" w:cs="Times New Roman"/>
      <w:sz w:val="21"/>
      <w:szCs w:val="28"/>
      <w:lang w:val="en-US" w:eastAsia="zh-CN" w:bidi="ar-SA"/>
    </w:rPr>
  </w:style>
  <w:style w:type="paragraph" w:customStyle="1" w:styleId="113">
    <w:name w:val="列出段落2"/>
    <w:basedOn w:val="1"/>
    <w:qFormat/>
    <w:uiPriority w:val="0"/>
    <w:pPr>
      <w:ind w:firstLine="420" w:firstLineChars="200"/>
    </w:pPr>
    <w:rPr>
      <w:szCs w:val="20"/>
    </w:rPr>
  </w:style>
  <w:style w:type="paragraph" w:customStyle="1" w:styleId="114">
    <w:name w:val="样式 标题 2 + 宋体 小四"/>
    <w:basedOn w:val="4"/>
    <w:qFormat/>
    <w:uiPriority w:val="99"/>
    <w:pPr>
      <w:autoSpaceDE/>
      <w:autoSpaceDN/>
      <w:adjustRightInd/>
      <w:spacing w:before="0" w:line="360" w:lineRule="auto"/>
      <w:jc w:val="both"/>
    </w:pPr>
    <w:rPr>
      <w:rFonts w:ascii="Times New Roman" w:hAnsi="Times New Roman"/>
      <w:sz w:val="28"/>
      <w:szCs w:val="28"/>
    </w:rPr>
  </w:style>
  <w:style w:type="character" w:customStyle="1" w:styleId="115">
    <w:name w:val="正文缩进 Char"/>
    <w:link w:val="9"/>
    <w:qFormat/>
    <w:uiPriority w:val="99"/>
    <w:rPr>
      <w:rFonts w:ascii="宋体" w:hAnsi="Times New Roman" w:eastAsia="宋体" w:cs="Times New Roman"/>
      <w:kern w:val="0"/>
      <w:sz w:val="24"/>
      <w:szCs w:val="20"/>
      <w:lang w:val="zh-CN"/>
    </w:rPr>
  </w:style>
  <w:style w:type="paragraph" w:customStyle="1" w:styleId="116">
    <w:name w:val="Char21"/>
    <w:basedOn w:val="1"/>
    <w:qFormat/>
    <w:uiPriority w:val="0"/>
    <w:rPr>
      <w:rFonts w:ascii="Tahoma" w:hAnsi="Tahoma"/>
      <w:sz w:val="24"/>
      <w:szCs w:val="20"/>
    </w:rPr>
  </w:style>
  <w:style w:type="paragraph" w:customStyle="1" w:styleId="117">
    <w:name w:val="无间隔1"/>
    <w:link w:val="12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8">
    <w:name w:val="样式 首行缩进:  0.74 厘米"/>
    <w:basedOn w:val="1"/>
    <w:qFormat/>
    <w:uiPriority w:val="0"/>
    <w:pPr>
      <w:ind w:firstLine="420"/>
    </w:pPr>
    <w:rPr>
      <w:rFonts w:ascii="Arial" w:hAnsi="Arial" w:eastAsia="仿宋_GB2312" w:cs="Arial"/>
      <w:bCs/>
      <w:sz w:val="28"/>
      <w:szCs w:val="28"/>
    </w:rPr>
  </w:style>
  <w:style w:type="paragraph" w:customStyle="1" w:styleId="119">
    <w:name w:val="列出段落3"/>
    <w:basedOn w:val="1"/>
    <w:unhideWhenUsed/>
    <w:qFormat/>
    <w:uiPriority w:val="99"/>
    <w:pPr>
      <w:ind w:firstLine="420" w:firstLineChars="200"/>
    </w:pPr>
  </w:style>
  <w:style w:type="paragraph" w:styleId="120">
    <w:name w:val="List Paragraph"/>
    <w:basedOn w:val="1"/>
    <w:qFormat/>
    <w:uiPriority w:val="34"/>
    <w:pPr>
      <w:ind w:firstLine="420" w:firstLineChars="200"/>
    </w:pPr>
  </w:style>
  <w:style w:type="paragraph" w:customStyle="1" w:styleId="121">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22">
    <w:name w:val="默认"/>
    <w:qFormat/>
    <w:uiPriority w:val="0"/>
    <w:rPr>
      <w:rFonts w:ascii="Helvetica Neue" w:hAnsi="Helvetica Neue" w:eastAsia="Helvetica Neue" w:cs="Helvetica Neue"/>
      <w:color w:val="000000"/>
      <w:sz w:val="22"/>
      <w:szCs w:val="22"/>
      <w:lang w:val="en-US" w:eastAsia="zh-CN" w:bidi="ar-SA"/>
    </w:rPr>
  </w:style>
  <w:style w:type="character" w:customStyle="1" w:styleId="123">
    <w:name w:val="纯文本 字符1"/>
    <w:qFormat/>
    <w:uiPriority w:val="0"/>
    <w:rPr>
      <w:rFonts w:ascii="宋体" w:hAnsi="Courier New" w:cs="Courier New"/>
      <w:kern w:val="2"/>
      <w:sz w:val="21"/>
      <w:szCs w:val="21"/>
    </w:rPr>
  </w:style>
  <w:style w:type="character" w:customStyle="1" w:styleId="124">
    <w:name w:val="无间隔 Char"/>
    <w:link w:val="117"/>
    <w:qFormat/>
    <w:uiPriority w:val="0"/>
    <w:rPr>
      <w:kern w:val="2"/>
      <w:sz w:val="21"/>
      <w:szCs w:val="24"/>
    </w:rPr>
  </w:style>
  <w:style w:type="paragraph" w:customStyle="1" w:styleId="125">
    <w:name w:val="TOC 标题1"/>
    <w:basedOn w:val="3"/>
    <w:next w:val="1"/>
    <w:semiHidden/>
    <w:unhideWhenUsed/>
    <w:qFormat/>
    <w:uiPriority w:val="39"/>
    <w:pPr>
      <w:widowControl/>
      <w:autoSpaceDE/>
      <w:autoSpaceDN/>
      <w:adjustRightInd/>
      <w:spacing w:before="480" w:after="0" w:line="276" w:lineRule="auto"/>
      <w:jc w:val="left"/>
      <w:outlineLvl w:val="9"/>
    </w:pPr>
    <w:rPr>
      <w:rFonts w:asciiTheme="majorHAnsi" w:hAnsiTheme="majorHAnsi" w:eastAsiaTheme="majorEastAsia" w:cstheme="majorBidi"/>
      <w:color w:val="376092" w:themeColor="accent1" w:themeShade="BF"/>
      <w:kern w:val="0"/>
      <w:szCs w:val="28"/>
      <w:lang w:val="en-US"/>
    </w:rPr>
  </w:style>
  <w:style w:type="character" w:customStyle="1" w:styleId="126">
    <w:name w:val="正文文本缩进 Char"/>
    <w:basedOn w:val="50"/>
    <w:link w:val="15"/>
    <w:qFormat/>
    <w:uiPriority w:val="0"/>
    <w:rPr>
      <w:rFonts w:hint="default" w:ascii="Times New Roman" w:hAnsi="Times New Roman" w:eastAsia="宋体" w:cs="Times New Roman"/>
      <w:szCs w:val="24"/>
    </w:rPr>
  </w:style>
  <w:style w:type="character" w:customStyle="1" w:styleId="127">
    <w:name w:val="正文首行缩进 2 Char"/>
    <w:basedOn w:val="126"/>
    <w:link w:val="47"/>
    <w:qFormat/>
    <w:uiPriority w:val="0"/>
    <w:rPr>
      <w:rFonts w:hint="default" w:ascii="Times New Roman" w:hAnsi="Times New Roman" w:eastAsia="宋体" w:cs="Times New Roman"/>
      <w:szCs w:val="24"/>
    </w:rPr>
  </w:style>
  <w:style w:type="paragraph" w:customStyle="1" w:styleId="128">
    <w:name w:val="标题2-技术需求"/>
    <w:basedOn w:val="4"/>
    <w:qFormat/>
    <w:uiPriority w:val="0"/>
    <w:pPr>
      <w:numPr>
        <w:ilvl w:val="0"/>
        <w:numId w:val="2"/>
      </w:numPr>
    </w:pPr>
    <w:rPr>
      <w:rFonts w:hAnsi="宋体" w:cs="宋体"/>
    </w:rPr>
  </w:style>
  <w:style w:type="paragraph" w:customStyle="1" w:styleId="129">
    <w:name w:val="标题4-技术需求"/>
    <w:basedOn w:val="5"/>
    <w:qFormat/>
    <w:uiPriority w:val="0"/>
    <w:pPr>
      <w:numPr>
        <w:ilvl w:val="2"/>
        <w:numId w:val="2"/>
      </w:numPr>
      <w:spacing w:before="0" w:after="0" w:line="360" w:lineRule="auto"/>
    </w:pPr>
    <w:rPr>
      <w:rFonts w:ascii="宋体" w:hAnsi="宋体" w:cs="宋体"/>
      <w:sz w:val="24"/>
      <w:szCs w:val="24"/>
    </w:rPr>
  </w:style>
  <w:style w:type="paragraph" w:customStyle="1" w:styleId="130">
    <w:name w:val="正文ll"/>
    <w:basedOn w:val="1"/>
    <w:unhideWhenUsed/>
    <w:qFormat/>
    <w:uiPriority w:val="0"/>
    <w:pPr>
      <w:spacing w:line="360" w:lineRule="auto"/>
      <w:ind w:firstLine="480" w:firstLineChars="200"/>
    </w:pPr>
    <w:rPr>
      <w:rFonts w:hAnsi="宋体"/>
    </w:rPr>
  </w:style>
  <w:style w:type="paragraph" w:customStyle="1" w:styleId="131">
    <w:name w:val="标题5-技术需求"/>
    <w:basedOn w:val="6"/>
    <w:qFormat/>
    <w:uiPriority w:val="0"/>
    <w:pPr>
      <w:numPr>
        <w:ilvl w:val="3"/>
        <w:numId w:val="2"/>
      </w:numPr>
      <w:spacing w:before="0" w:after="0"/>
    </w:pPr>
    <w:rPr>
      <w:rFonts w:hAnsi="Calibri"/>
      <w:sz w:val="24"/>
    </w:rPr>
  </w:style>
  <w:style w:type="paragraph" w:customStyle="1" w:styleId="132">
    <w:name w:val="C503-正文格式"/>
    <w:basedOn w:val="1"/>
    <w:unhideWhenUsed/>
    <w:qFormat/>
    <w:uiPriority w:val="0"/>
    <w:pPr>
      <w:spacing w:line="360" w:lineRule="auto"/>
      <w:ind w:firstLine="480" w:firstLineChars="200"/>
    </w:pPr>
    <w:rPr>
      <w:rFonts w:hAnsi="宋体"/>
    </w:rPr>
  </w:style>
  <w:style w:type="paragraph" w:customStyle="1" w:styleId="133">
    <w:name w:val="077-正文格式"/>
    <w:basedOn w:val="1"/>
    <w:qFormat/>
    <w:uiPriority w:val="0"/>
    <w:pPr>
      <w:spacing w:line="360" w:lineRule="auto"/>
      <w:ind w:firstLine="480" w:firstLineChars="200"/>
    </w:pPr>
    <w:rPr>
      <w:szCs w:val="20"/>
      <w:lang w:val="zh-CN"/>
    </w:rPr>
  </w:style>
  <w:style w:type="paragraph" w:customStyle="1" w:styleId="134">
    <w:name w:val="须知正文"/>
    <w:basedOn w:val="1"/>
    <w:next w:val="1"/>
    <w:qFormat/>
    <w:uiPriority w:val="99"/>
    <w:pPr>
      <w:spacing w:line="360" w:lineRule="auto"/>
      <w:ind w:hanging="300" w:hangingChars="300"/>
    </w:pPr>
    <w:rPr>
      <w:szCs w:val="22"/>
    </w:rPr>
  </w:style>
  <w:style w:type="paragraph" w:customStyle="1" w:styleId="135">
    <w:name w:val="新正文"/>
    <w:basedOn w:val="1"/>
    <w:qFormat/>
    <w:uiPriority w:val="0"/>
    <w:pPr>
      <w:spacing w:before="60" w:after="60" w:line="360" w:lineRule="auto"/>
      <w:ind w:firstLine="200" w:firstLineChars="200"/>
    </w:pPr>
    <w:rPr>
      <w:rFonts w:hAnsi="宋体"/>
      <w:spacing w:val="5"/>
      <w:kern w:val="0"/>
      <w:szCs w:val="20"/>
    </w:rPr>
  </w:style>
  <w:style w:type="paragraph" w:customStyle="1" w:styleId="136">
    <w:name w:val="正文-首缩2字符"/>
    <w:basedOn w:val="1"/>
    <w:qFormat/>
    <w:uiPriority w:val="99"/>
    <w:pPr>
      <w:ind w:firstLine="200" w:firstLineChars="200"/>
      <w:jc w:val="left"/>
    </w:pPr>
    <w:rPr>
      <w:rFonts w:hAnsi="宋体" w:cs="宋体"/>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5.emf"/><Relationship Id="rId26" Type="http://schemas.openxmlformats.org/officeDocument/2006/relationships/oleObject" Target="embeddings/oleObject2.bin"/><Relationship Id="rId25" Type="http://schemas.openxmlformats.org/officeDocument/2006/relationships/image" Target="media/image4.emf"/><Relationship Id="rId24" Type="http://schemas.openxmlformats.org/officeDocument/2006/relationships/image" Target="media/image3.emf"/><Relationship Id="rId23" Type="http://schemas.openxmlformats.org/officeDocument/2006/relationships/image" Target="media/image2.emf"/><Relationship Id="rId22" Type="http://schemas.openxmlformats.org/officeDocument/2006/relationships/oleObject" Target="embeddings/oleObject1.bin"/><Relationship Id="rId21" Type="http://schemas.openxmlformats.org/officeDocument/2006/relationships/image" Target="media/image1.jpe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B6767A-2CBB-4A5F-A01A-653864132A8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80</Pages>
  <Words>31915</Words>
  <Characters>9967</Characters>
  <Lines>83</Lines>
  <Paragraphs>83</Paragraphs>
  <TotalTime>1</TotalTime>
  <ScaleCrop>false</ScaleCrop>
  <LinksUpToDate>false</LinksUpToDate>
  <CharactersWithSpaces>41799</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2021-09-28T07:28:00Z</dcterms:created>
  <dc:creator>Administrator</dc:creator>
  <cp:lastModifiedBy>Lenovo</cp:lastModifiedBy>
  <cp:lastPrinted>2019-01-23T04:48:00Z</cp:lastPrinted>
  <dcterms:modified xsi:type="dcterms:W3CDTF">2021-10-21T09:32:14Z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4B3A24557FB441CCA8B3A0AEDFA20F40</vt:lpwstr>
  </property>
</Properties>
</file>