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520826">
      <w:pPr>
        <w:adjustRightInd w:val="0"/>
        <w:snapToGrid w:val="0"/>
        <w:spacing w:after="156" w:afterLines="50" w:line="360" w:lineRule="auto"/>
        <w:jc w:val="center"/>
        <w:outlineLvl w:val="0"/>
        <w:rPr>
          <w:rFonts w:ascii="Times New Roman" w:hAnsi="Times New Roman" w:eastAsia="黑体" w:cs="Times New Roman"/>
          <w:b/>
          <w:kern w:val="44"/>
          <w:sz w:val="48"/>
          <w:szCs w:val="20"/>
        </w:rPr>
      </w:pPr>
      <w:bookmarkStart w:id="0" w:name="_Toc129880039"/>
      <w:r>
        <w:rPr>
          <w:rFonts w:ascii="Times New Roman" w:hAnsi="Times New Roman" w:eastAsia="宋体" w:cs="Times New Roman"/>
          <w:b/>
          <w:sz w:val="30"/>
          <w:szCs w:val="30"/>
        </w:rPr>
        <w:t>第八部分 采购需求</w:t>
      </w:r>
      <w:bookmarkEnd w:id="0"/>
    </w:p>
    <w:p w14:paraId="3BB81443">
      <w:pPr>
        <w:adjustRightInd w:val="0"/>
        <w:snapToGrid w:val="0"/>
        <w:spacing w:before="156" w:beforeLines="50" w:after="156" w:afterLines="50" w:line="360" w:lineRule="auto"/>
        <w:jc w:val="center"/>
        <w:rPr>
          <w:rFonts w:ascii="Times New Roman" w:hAnsi="Times New Roman" w:eastAsia="宋体" w:cs="Times New Roman"/>
          <w:b/>
          <w:sz w:val="24"/>
        </w:rPr>
      </w:pPr>
      <w:r>
        <w:rPr>
          <w:rFonts w:ascii="Times New Roman" w:hAnsi="Times New Roman" w:eastAsia="宋体" w:cs="Times New Roman"/>
          <w:b/>
          <w:sz w:val="24"/>
        </w:rPr>
        <w:t>货物需求一览表</w:t>
      </w:r>
    </w:p>
    <w:p w14:paraId="1AC33114">
      <w:pPr>
        <w:adjustRightInd w:val="0"/>
        <w:snapToGrid w:val="0"/>
        <w:jc w:val="center"/>
        <w:rPr>
          <w:rFonts w:ascii="Times New Roman" w:hAnsi="Times New Roman" w:eastAsia="宋体" w:cs="Times New Roman"/>
          <w:b/>
          <w:sz w:val="30"/>
          <w:szCs w:val="30"/>
        </w:rPr>
      </w:pPr>
    </w:p>
    <w:tbl>
      <w:tblPr>
        <w:tblStyle w:val="4"/>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0EFAA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059087BA">
            <w:pPr>
              <w:jc w:val="center"/>
              <w:rPr>
                <w:rFonts w:ascii="Times New Roman" w:hAnsi="Times New Roman" w:eastAsia="宋体" w:cs="Times New Roman"/>
                <w:sz w:val="24"/>
              </w:rPr>
            </w:pPr>
            <w:r>
              <w:rPr>
                <w:rFonts w:ascii="Times New Roman" w:hAnsi="Times New Roman" w:eastAsia="宋体" w:cs="Times New Roman"/>
                <w:sz w:val="24"/>
              </w:rPr>
              <w:t>包号</w:t>
            </w:r>
          </w:p>
        </w:tc>
        <w:tc>
          <w:tcPr>
            <w:tcW w:w="2357" w:type="dxa"/>
            <w:noWrap w:val="0"/>
            <w:vAlign w:val="center"/>
          </w:tcPr>
          <w:p w14:paraId="76723F4E">
            <w:pPr>
              <w:jc w:val="center"/>
              <w:rPr>
                <w:rFonts w:ascii="Times New Roman" w:hAnsi="Times New Roman" w:eastAsia="宋体" w:cs="Times New Roman"/>
                <w:sz w:val="24"/>
              </w:rPr>
            </w:pPr>
            <w:r>
              <w:rPr>
                <w:rFonts w:ascii="Times New Roman" w:hAnsi="Times New Roman" w:eastAsia="宋体" w:cs="Times New Roman"/>
                <w:sz w:val="24"/>
              </w:rPr>
              <w:t>货物名称</w:t>
            </w:r>
          </w:p>
        </w:tc>
        <w:tc>
          <w:tcPr>
            <w:tcW w:w="1329" w:type="dxa"/>
            <w:noWrap w:val="0"/>
            <w:vAlign w:val="center"/>
          </w:tcPr>
          <w:p w14:paraId="437A8FF1">
            <w:pPr>
              <w:jc w:val="center"/>
              <w:rPr>
                <w:rFonts w:ascii="Times New Roman" w:hAnsi="Times New Roman" w:eastAsia="宋体" w:cs="Times New Roman"/>
                <w:sz w:val="24"/>
              </w:rPr>
            </w:pPr>
            <w:r>
              <w:rPr>
                <w:rFonts w:ascii="Times New Roman" w:hAnsi="Times New Roman" w:eastAsia="宋体" w:cs="Times New Roman"/>
                <w:sz w:val="24"/>
              </w:rPr>
              <w:t>数量</w:t>
            </w:r>
          </w:p>
        </w:tc>
        <w:tc>
          <w:tcPr>
            <w:tcW w:w="2470" w:type="dxa"/>
            <w:noWrap w:val="0"/>
            <w:vAlign w:val="center"/>
          </w:tcPr>
          <w:p w14:paraId="69868927">
            <w:pPr>
              <w:jc w:val="center"/>
              <w:rPr>
                <w:rFonts w:ascii="Times New Roman" w:hAnsi="Times New Roman" w:eastAsia="宋体" w:cs="Times New Roman"/>
                <w:sz w:val="24"/>
              </w:rPr>
            </w:pPr>
            <w:r>
              <w:rPr>
                <w:rFonts w:ascii="Times New Roman" w:hAnsi="Times New Roman" w:eastAsia="宋体" w:cs="Times New Roman"/>
                <w:sz w:val="24"/>
              </w:rPr>
              <w:t>是否接受进口</w:t>
            </w:r>
          </w:p>
        </w:tc>
      </w:tr>
      <w:tr w14:paraId="42A2D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3DD9A84E">
            <w:pPr>
              <w:jc w:val="center"/>
              <w:rPr>
                <w:rFonts w:ascii="Times New Roman" w:hAnsi="Times New Roman" w:eastAsia="宋体" w:cs="Times New Roman"/>
                <w:sz w:val="24"/>
              </w:rPr>
            </w:pPr>
            <w:r>
              <w:rPr>
                <w:rFonts w:ascii="Times New Roman" w:hAnsi="Times New Roman" w:eastAsia="宋体" w:cs="Times New Roman"/>
                <w:sz w:val="24"/>
              </w:rPr>
              <w:t>1</w:t>
            </w:r>
          </w:p>
        </w:tc>
        <w:tc>
          <w:tcPr>
            <w:tcW w:w="2357" w:type="dxa"/>
            <w:noWrap w:val="0"/>
            <w:vAlign w:val="center"/>
          </w:tcPr>
          <w:p w14:paraId="1E28A78E">
            <w:pPr>
              <w:jc w:val="center"/>
              <w:rPr>
                <w:rFonts w:ascii="Times New Roman" w:hAnsi="Times New Roman" w:eastAsia="宋体" w:cs="Times New Roman"/>
                <w:sz w:val="24"/>
              </w:rPr>
            </w:pPr>
            <w:r>
              <w:rPr>
                <w:rFonts w:ascii="Times New Roman" w:hAnsi="Times New Roman" w:eastAsia="宋体" w:cs="Times New Roman"/>
                <w:sz w:val="24"/>
              </w:rPr>
              <w:t>全自动湿化学分析仪采购</w:t>
            </w:r>
          </w:p>
        </w:tc>
        <w:tc>
          <w:tcPr>
            <w:tcW w:w="1329" w:type="dxa"/>
            <w:noWrap w:val="0"/>
            <w:vAlign w:val="center"/>
          </w:tcPr>
          <w:p w14:paraId="580368EB">
            <w:pPr>
              <w:jc w:val="center"/>
              <w:rPr>
                <w:rFonts w:ascii="Times New Roman" w:hAnsi="Times New Roman" w:eastAsia="宋体" w:cs="Times New Roman"/>
                <w:sz w:val="24"/>
              </w:rPr>
            </w:pPr>
            <w:r>
              <w:rPr>
                <w:rFonts w:ascii="Times New Roman" w:hAnsi="Times New Roman" w:eastAsia="宋体" w:cs="Times New Roman"/>
                <w:sz w:val="24"/>
              </w:rPr>
              <w:t>1套</w:t>
            </w:r>
          </w:p>
        </w:tc>
        <w:tc>
          <w:tcPr>
            <w:tcW w:w="2470" w:type="dxa"/>
            <w:noWrap w:val="0"/>
            <w:vAlign w:val="center"/>
          </w:tcPr>
          <w:p w14:paraId="317AB4D2">
            <w:pPr>
              <w:jc w:val="center"/>
              <w:rPr>
                <w:rFonts w:ascii="Times New Roman" w:hAnsi="Times New Roman" w:eastAsia="宋体" w:cs="Times New Roman"/>
                <w:sz w:val="24"/>
              </w:rPr>
            </w:pPr>
            <w:r>
              <w:rPr>
                <w:rFonts w:ascii="Times New Roman" w:hAnsi="Times New Roman" w:eastAsia="宋体" w:cs="Times New Roman"/>
                <w:sz w:val="24"/>
              </w:rPr>
              <w:t>否</w:t>
            </w:r>
          </w:p>
        </w:tc>
      </w:tr>
    </w:tbl>
    <w:p w14:paraId="6F518030">
      <w:pPr>
        <w:adjustRightInd w:val="0"/>
        <w:snapToGrid w:val="0"/>
        <w:jc w:val="center"/>
        <w:rPr>
          <w:rFonts w:ascii="Times New Roman" w:hAnsi="Times New Roman" w:eastAsia="宋体" w:cs="Times New Roman"/>
          <w:b/>
          <w:sz w:val="30"/>
          <w:szCs w:val="30"/>
        </w:rPr>
      </w:pPr>
    </w:p>
    <w:p w14:paraId="1A996618">
      <w:pPr>
        <w:adjustRightInd w:val="0"/>
        <w:snapToGrid w:val="0"/>
        <w:jc w:val="center"/>
        <w:rPr>
          <w:rFonts w:ascii="Times New Roman" w:hAnsi="Times New Roman" w:eastAsia="宋体" w:cs="Times New Roman"/>
          <w:b/>
          <w:sz w:val="30"/>
          <w:szCs w:val="30"/>
        </w:rPr>
      </w:pPr>
    </w:p>
    <w:p w14:paraId="5ECB7671">
      <w:pPr>
        <w:rPr>
          <w:rFonts w:ascii="Times New Roman" w:hAnsi="Times New Roman" w:eastAsia="宋体" w:cs="Times New Roman"/>
          <w:sz w:val="24"/>
        </w:rPr>
      </w:pPr>
      <w:r>
        <w:rPr>
          <w:rFonts w:ascii="Times New Roman" w:hAnsi="Times New Roman" w:eastAsia="宋体" w:cs="Times New Roman"/>
          <w:sz w:val="24"/>
        </w:rPr>
        <w:t>注：投标人须对上述投标内容中完整的一包进行投标，不完整的投标将视为非响应性投标予以拒绝。</w:t>
      </w:r>
    </w:p>
    <w:p w14:paraId="5D0953B7">
      <w:pPr>
        <w:adjustRightInd w:val="0"/>
        <w:snapToGrid w:val="0"/>
        <w:rPr>
          <w:rFonts w:ascii="Times New Roman" w:hAnsi="Times New Roman" w:eastAsia="宋体" w:cs="Times New Roman"/>
          <w:szCs w:val="21"/>
        </w:rPr>
      </w:pPr>
    </w:p>
    <w:p w14:paraId="3C9D410E">
      <w:pPr>
        <w:adjustRightInd w:val="0"/>
        <w:snapToGrid w:val="0"/>
        <w:rPr>
          <w:rFonts w:ascii="Times New Roman" w:hAnsi="Times New Roman" w:eastAsia="宋体" w:cs="Times New Roman"/>
          <w:szCs w:val="21"/>
        </w:rPr>
      </w:pPr>
    </w:p>
    <w:p w14:paraId="5308C42E">
      <w:pPr>
        <w:adjustRightInd w:val="0"/>
        <w:snapToGrid w:val="0"/>
        <w:rPr>
          <w:rFonts w:ascii="Times New Roman" w:hAnsi="Times New Roman" w:eastAsia="宋体" w:cs="Times New Roman"/>
          <w:szCs w:val="21"/>
        </w:rPr>
      </w:pPr>
    </w:p>
    <w:p w14:paraId="56F9E595">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30"/>
          <w:szCs w:val="30"/>
        </w:rPr>
        <w:br w:type="page"/>
      </w:r>
      <w:r>
        <w:rPr>
          <w:rFonts w:ascii="Times New Roman" w:hAnsi="Times New Roman" w:eastAsia="宋体" w:cs="Times New Roman"/>
          <w:b/>
          <w:sz w:val="28"/>
          <w:szCs w:val="28"/>
        </w:rPr>
        <w:t>一、总则</w:t>
      </w:r>
    </w:p>
    <w:p w14:paraId="3F8FD1DB">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1、投标要求</w:t>
      </w:r>
    </w:p>
    <w:p w14:paraId="68E41C4D">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1.1  投标人在准备投标书时，务必在所提供的商品的技术规格文件中，标明型号、商标名称、目录号。</w:t>
      </w:r>
    </w:p>
    <w:p w14:paraId="6D2DB946">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8A23FB5">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1.3  投标人提供的产品样本，必须是“原件”而非复印件，图表、简图、电路图以及印刷电路板图等都应清晰易读。买方有权不付任何附加费用复制这些资料以供参考。</w:t>
      </w:r>
    </w:p>
    <w:p w14:paraId="5099297C">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77613234">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2、评标标准</w:t>
      </w:r>
    </w:p>
    <w:p w14:paraId="565CD9EE">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3BF66A83">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7E6A62E8">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2.3  为便于用户进行接收仪器的准备工作，卖方应在合同生效后</w:t>
      </w:r>
      <w:r>
        <w:rPr>
          <w:rFonts w:ascii="Times New Roman" w:hAnsi="Times New Roman" w:eastAsia="宋体" w:cs="Times New Roman"/>
          <w:b/>
          <w:sz w:val="24"/>
        </w:rPr>
        <w:t>60</w:t>
      </w:r>
      <w:r>
        <w:rPr>
          <w:rFonts w:ascii="Times New Roman" w:hAnsi="Times New Roman" w:eastAsia="宋体" w:cs="Times New Roman"/>
          <w:sz w:val="24"/>
        </w:rPr>
        <w:t>天内向用户提供一套完整的使用说明书、操作手册、维修及安装说明等文件。另一套完整上述资料应在交货时随货包装提供给用户，这些费用应计入投标价中。</w:t>
      </w:r>
    </w:p>
    <w:p w14:paraId="79CF9CA7">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2.4  关于设备的安装调试，如果有必要的安装准备条件，卖方应在合同生效后一个月内向买方提出详细的要求或计划。安装调试的费用应计入投标价中，并应单独列出，供评标使用。</w:t>
      </w:r>
    </w:p>
    <w:p w14:paraId="11C4A798">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2.5  制造厂家提供的培训指的是涉及货物的基本原理、操作使用和保养维修等有关内容的培训。培训教员的培训费、旅费、食宿费等费用和培训场地费及培训资料费均应由卖方支付。</w:t>
      </w:r>
    </w:p>
    <w:p w14:paraId="5467E27C">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3、工作条件</w:t>
      </w:r>
    </w:p>
    <w:p w14:paraId="50365DD5">
      <w:pPr>
        <w:spacing w:after="312" w:afterLines="100" w:line="360" w:lineRule="auto"/>
        <w:rPr>
          <w:rFonts w:ascii="Times New Roman" w:hAnsi="Times New Roman" w:eastAsia="宋体" w:cs="Times New Roman"/>
          <w:sz w:val="24"/>
        </w:rPr>
      </w:pPr>
      <w:r>
        <w:rPr>
          <w:rFonts w:ascii="Times New Roman" w:hAnsi="Times New Roman" w:eastAsia="宋体" w:cs="Times New Roman"/>
          <w:sz w:val="24"/>
        </w:rPr>
        <w:t xml:space="preserve">除非在技术规格中另有说明，所有仪器、设备和系统都应符合下列要求： </w:t>
      </w:r>
    </w:p>
    <w:p w14:paraId="50D73083">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3.1  适于在气温为摄氏</w:t>
      </w:r>
      <w:r>
        <w:rPr>
          <w:rFonts w:ascii="Times New Roman" w:hAnsi="Times New Roman" w:eastAsia="宋体" w:cs="Times New Roman"/>
          <w:b/>
          <w:sz w:val="24"/>
        </w:rPr>
        <w:t>-40℃～＋50℃</w:t>
      </w:r>
      <w:r>
        <w:rPr>
          <w:rFonts w:ascii="Times New Roman" w:hAnsi="Times New Roman" w:eastAsia="宋体" w:cs="Times New Roman"/>
          <w:sz w:val="24"/>
        </w:rPr>
        <w:t>和相对湿度为</w:t>
      </w:r>
      <w:r>
        <w:rPr>
          <w:rFonts w:ascii="Times New Roman" w:hAnsi="Times New Roman" w:eastAsia="宋体" w:cs="Times New Roman"/>
          <w:b/>
          <w:sz w:val="24"/>
        </w:rPr>
        <w:t>90％</w:t>
      </w:r>
      <w:r>
        <w:rPr>
          <w:rFonts w:ascii="Times New Roman" w:hAnsi="Times New Roman" w:eastAsia="宋体" w:cs="Times New Roman"/>
          <w:sz w:val="24"/>
        </w:rPr>
        <w:t>的环境条件下运输和贮存。</w:t>
      </w:r>
    </w:p>
    <w:p w14:paraId="6D5FA0EE">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3.2  适于在电源</w:t>
      </w:r>
      <w:r>
        <w:rPr>
          <w:rFonts w:ascii="Times New Roman" w:hAnsi="Times New Roman" w:eastAsia="宋体" w:cs="Times New Roman"/>
          <w:b/>
          <w:sz w:val="24"/>
        </w:rPr>
        <w:t>220V（</w:t>
      </w:r>
      <w:r>
        <w:rPr>
          <w:rFonts w:ascii="Times New Roman" w:hAnsi="Times New Roman" w:eastAsia="宋体" w:cs="Times New Roman"/>
          <w:b/>
          <w:sz w:val="24"/>
        </w:rPr>
        <w:sym w:font="Symbol" w:char="F0B1"/>
      </w:r>
      <w:r>
        <w:rPr>
          <w:rFonts w:ascii="Times New Roman" w:hAnsi="Times New Roman" w:eastAsia="宋体" w:cs="Times New Roman"/>
          <w:b/>
          <w:sz w:val="24"/>
        </w:rPr>
        <w:t>10％）/50Hz</w:t>
      </w:r>
      <w:r>
        <w:rPr>
          <w:rFonts w:ascii="Times New Roman" w:hAnsi="Times New Roman" w:eastAsia="宋体" w:cs="Times New Roman"/>
          <w:sz w:val="24"/>
        </w:rPr>
        <w:t>、气温摄氏</w:t>
      </w:r>
      <w:r>
        <w:rPr>
          <w:rFonts w:ascii="Times New Roman" w:hAnsi="Times New Roman" w:eastAsia="宋体" w:cs="Times New Roman"/>
          <w:b/>
          <w:sz w:val="24"/>
        </w:rPr>
        <w:t>+15℃～＋30℃</w:t>
      </w:r>
      <w:r>
        <w:rPr>
          <w:rFonts w:ascii="Times New Roman" w:hAnsi="Times New Roman" w:eastAsia="宋体" w:cs="Times New Roman"/>
          <w:sz w:val="24"/>
        </w:rPr>
        <w:t>和相对湿度小于</w:t>
      </w:r>
      <w:r>
        <w:rPr>
          <w:rFonts w:ascii="Times New Roman" w:hAnsi="Times New Roman" w:eastAsia="宋体" w:cs="Times New Roman"/>
          <w:b/>
          <w:sz w:val="24"/>
        </w:rPr>
        <w:t>80％</w:t>
      </w:r>
      <w:r>
        <w:rPr>
          <w:rFonts w:ascii="Times New Roman" w:hAnsi="Times New Roman" w:eastAsia="宋体" w:cs="Times New Roman"/>
          <w:sz w:val="24"/>
        </w:rPr>
        <w:t>的环境条件下运行。</w:t>
      </w:r>
      <w:r>
        <w:rPr>
          <w:rFonts w:ascii="Times New Roman" w:hAnsi="Times New Roman" w:eastAsia="宋体" w:cs="Times New Roman"/>
          <w:b/>
          <w:sz w:val="24"/>
        </w:rPr>
        <w:t>能够连续正常工作。</w:t>
      </w:r>
    </w:p>
    <w:p w14:paraId="332DE193">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3.3  配置符合中国有关标准要求的插头，如果没有这样的插头，则需提供适当的转换插座。</w:t>
      </w:r>
    </w:p>
    <w:p w14:paraId="2522546F">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3.4  如产品达不到上述要求，投标人应注明其偏差。如仪器设备需要特殊工作条件（如水、电源、磁场强度、温度、湿度、动强度等）投标人应在投标书中加以说明。</w:t>
      </w:r>
    </w:p>
    <w:p w14:paraId="1E3EEC2A">
      <w:pPr>
        <w:rPr>
          <w:rFonts w:ascii="Times New Roman" w:hAnsi="Times New Roman" w:eastAsia="黑体" w:cs="Times New Roman"/>
          <w:b/>
          <w:bCs/>
          <w:kern w:val="44"/>
          <w:sz w:val="24"/>
        </w:rPr>
      </w:pPr>
    </w:p>
    <w:p w14:paraId="5F8BEDF4">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4、验收标准</w:t>
      </w:r>
    </w:p>
    <w:p w14:paraId="732E6831">
      <w:pPr>
        <w:spacing w:after="312" w:afterLines="100" w:line="360" w:lineRule="auto"/>
        <w:rPr>
          <w:rFonts w:ascii="Times New Roman" w:hAnsi="Times New Roman" w:eastAsia="宋体" w:cs="Times New Roman"/>
          <w:sz w:val="24"/>
        </w:rPr>
      </w:pPr>
      <w:r>
        <w:rPr>
          <w:rFonts w:ascii="Times New Roman" w:hAnsi="Times New Roman" w:eastAsia="宋体" w:cs="Times New Roman"/>
          <w:sz w:val="24"/>
        </w:rPr>
        <w:t xml:space="preserve">除非另有说明，所有仪器、设备和系统按下列要求进行验收： </w:t>
      </w:r>
    </w:p>
    <w:p w14:paraId="53FF1AD2">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4.1  仪器设备运抵安装现场后，买方将与卖方共同开箱验收, 如卖方届时不派人来, 则验收结果应以买方的验收报告为最终验收结果。验收时发现短缺、破损, 买方有权要求卖方负责更换。</w:t>
      </w:r>
    </w:p>
    <w:p w14:paraId="1ADA4648">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040D2A1C">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4.3  验收由采购人、中标人及相关人员依国家有关标准、合同及有关附件要求进行，验收完毕由采购人及中标人在验收报告上签名。</w:t>
      </w:r>
    </w:p>
    <w:p w14:paraId="72860DE4">
      <w:pPr>
        <w:pStyle w:val="2"/>
        <w:spacing w:line="360" w:lineRule="auto"/>
        <w:ind w:left="410" w:hanging="410" w:hangingChars="170"/>
        <w:rPr>
          <w:rFonts w:ascii="Times New Roman" w:hAnsi="Times New Roman" w:eastAsia="宋体" w:cs="Times New Roman"/>
          <w:b/>
          <w:sz w:val="24"/>
          <w:szCs w:val="24"/>
        </w:rPr>
      </w:pPr>
    </w:p>
    <w:p w14:paraId="1B9D9224">
      <w:pPr>
        <w:adjustRightInd w:val="0"/>
        <w:snapToGrid w:val="0"/>
        <w:spacing w:line="360" w:lineRule="auto"/>
        <w:rPr>
          <w:rFonts w:ascii="Times New Roman" w:hAnsi="Times New Roman" w:eastAsia="宋体" w:cs="Times New Roman"/>
          <w:b/>
          <w:sz w:val="24"/>
        </w:rPr>
      </w:pPr>
      <w:r>
        <w:rPr>
          <w:rFonts w:ascii="Times New Roman" w:hAnsi="Times New Roman" w:eastAsia="宋体" w:cs="Times New Roman"/>
          <w:b/>
          <w:bCs/>
          <w:sz w:val="24"/>
        </w:rPr>
        <w:t>5、本采购需求书中标注“</w:t>
      </w:r>
      <w:r>
        <w:rPr>
          <w:rFonts w:ascii="Segoe UI Symbol" w:hAnsi="Segoe UI Symbol" w:eastAsia="宋体" w:cs="Segoe UI Symbol"/>
          <w:b/>
          <w:bCs/>
          <w:sz w:val="24"/>
        </w:rPr>
        <w:t>★</w:t>
      </w:r>
      <w:r>
        <w:rPr>
          <w:rFonts w:ascii="Times New Roman" w:hAnsi="Times New Roman" w:eastAsia="宋体" w:cs="Times New Roman"/>
          <w:b/>
          <w:bCs/>
          <w:sz w:val="24"/>
        </w:rPr>
        <w:t>”号技术条款的为实质性要求，不满足其投标将视为无效投标被拒绝。</w:t>
      </w:r>
    </w:p>
    <w:p w14:paraId="626AAAE7">
      <w:pPr>
        <w:adjustRightInd w:val="0"/>
        <w:snapToGrid w:val="0"/>
        <w:spacing w:line="360" w:lineRule="auto"/>
        <w:rPr>
          <w:rFonts w:ascii="Times New Roman" w:hAnsi="Times New Roman" w:eastAsia="宋体" w:cs="Times New Roman"/>
          <w:b/>
          <w:sz w:val="24"/>
        </w:rPr>
      </w:pPr>
    </w:p>
    <w:p w14:paraId="7AEE0177">
      <w:pPr>
        <w:adjustRightInd w:val="0"/>
        <w:snapToGrid w:val="0"/>
        <w:spacing w:line="360" w:lineRule="auto"/>
        <w:rPr>
          <w:rFonts w:ascii="Times New Roman" w:hAnsi="Times New Roman" w:eastAsia="宋体" w:cs="Times New Roman"/>
          <w:b/>
          <w:sz w:val="24"/>
        </w:rPr>
      </w:pPr>
      <w:r>
        <w:rPr>
          <w:rFonts w:ascii="Times New Roman" w:hAnsi="Times New Roman" w:eastAsia="宋体" w:cs="Times New Roman"/>
          <w:b/>
          <w:sz w:val="24"/>
        </w:rPr>
        <w:t>6、如在具体规格要求中有本总则不一致之处，以具体规格中的要求为准。</w:t>
      </w:r>
    </w:p>
    <w:p w14:paraId="408BD259">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rPr>
        <w:br w:type="page"/>
      </w:r>
      <w:r>
        <w:rPr>
          <w:rFonts w:ascii="Times New Roman" w:hAnsi="Times New Roman" w:eastAsia="宋体" w:cs="Times New Roman"/>
          <w:b/>
          <w:sz w:val="28"/>
          <w:szCs w:val="28"/>
        </w:rPr>
        <w:t>二、具体规格要求</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0"/>
        <w:gridCol w:w="1605"/>
        <w:gridCol w:w="1842"/>
        <w:gridCol w:w="3649"/>
      </w:tblGrid>
      <w:tr w14:paraId="00AC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179" w:type="pct"/>
            <w:tcBorders>
              <w:top w:val="single" w:color="auto" w:sz="4" w:space="0"/>
            </w:tcBorders>
            <w:noWrap w:val="0"/>
            <w:vAlign w:val="center"/>
          </w:tcPr>
          <w:p w14:paraId="55CFD6F2">
            <w:pPr>
              <w:pStyle w:val="3"/>
              <w:spacing w:beforeAutospacing="0" w:afterAutospacing="0"/>
              <w:jc w:val="center"/>
              <w:rPr>
                <w:rFonts w:ascii="Times New Roman" w:hAnsi="Times New Roman" w:eastAsia="宋体" w:cs="Times New Roman"/>
              </w:rPr>
            </w:pPr>
            <w:r>
              <w:rPr>
                <w:rFonts w:ascii="Times New Roman" w:hAnsi="Times New Roman" w:eastAsia="宋体" w:cs="Times New Roman"/>
              </w:rPr>
              <w:t>货物名称</w:t>
            </w:r>
          </w:p>
        </w:tc>
        <w:tc>
          <w:tcPr>
            <w:tcW w:w="3821" w:type="pct"/>
            <w:gridSpan w:val="3"/>
            <w:tcBorders>
              <w:top w:val="single" w:color="auto" w:sz="4" w:space="0"/>
            </w:tcBorders>
            <w:noWrap w:val="0"/>
            <w:vAlign w:val="center"/>
          </w:tcPr>
          <w:p w14:paraId="427AB2A1">
            <w:pPr>
              <w:jc w:val="center"/>
              <w:rPr>
                <w:rFonts w:ascii="Times New Roman" w:hAnsi="Times New Roman" w:eastAsia="宋体" w:cs="Times New Roman"/>
                <w:sz w:val="24"/>
              </w:rPr>
            </w:pPr>
            <w:r>
              <w:rPr>
                <w:rFonts w:ascii="Times New Roman" w:hAnsi="Times New Roman" w:eastAsia="宋体" w:cs="Times New Roman"/>
                <w:sz w:val="24"/>
              </w:rPr>
              <w:t>全自动湿化学分析仪</w:t>
            </w:r>
          </w:p>
        </w:tc>
      </w:tr>
      <w:tr w14:paraId="11945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1179" w:type="pct"/>
            <w:tcBorders>
              <w:top w:val="single" w:color="auto" w:sz="4" w:space="0"/>
            </w:tcBorders>
            <w:noWrap w:val="0"/>
            <w:vAlign w:val="center"/>
          </w:tcPr>
          <w:p w14:paraId="469E2566">
            <w:pPr>
              <w:jc w:val="center"/>
              <w:rPr>
                <w:rFonts w:ascii="Times New Roman" w:hAnsi="Times New Roman" w:eastAsia="宋体" w:cs="Times New Roman"/>
                <w:sz w:val="24"/>
              </w:rPr>
            </w:pPr>
            <w:r>
              <w:rPr>
                <w:rFonts w:ascii="Times New Roman" w:hAnsi="Times New Roman" w:eastAsia="宋体" w:cs="Times New Roman"/>
                <w:sz w:val="24"/>
              </w:rPr>
              <w:t>项目需求与用途</w:t>
            </w:r>
          </w:p>
        </w:tc>
        <w:tc>
          <w:tcPr>
            <w:tcW w:w="3821" w:type="pct"/>
            <w:gridSpan w:val="3"/>
            <w:tcBorders>
              <w:top w:val="single" w:color="auto" w:sz="4" w:space="0"/>
            </w:tcBorders>
            <w:noWrap w:val="0"/>
            <w:vAlign w:val="top"/>
          </w:tcPr>
          <w:p w14:paraId="57DA6302">
            <w:pPr>
              <w:spacing w:before="156" w:beforeLines="50"/>
              <w:rPr>
                <w:rFonts w:ascii="Times New Roman" w:hAnsi="Times New Roman" w:eastAsia="宋体" w:cs="Times New Roman"/>
                <w:sz w:val="24"/>
              </w:rPr>
            </w:pPr>
            <w:r>
              <w:rPr>
                <w:rFonts w:ascii="Times New Roman" w:hAnsi="Times New Roman" w:eastAsia="宋体" w:cs="Times New Roman"/>
                <w:sz w:val="24"/>
              </w:rPr>
              <w:t>该设备能准确评估干旱区生态系统服务价值，量化生态系统中的物质循环和能量流动过程，对生态系统中多种化学成份快速、准确测定。设备采用湿化学法，通过自动化技术，实现减少人工劳动强度，减少人工操作误差，加大分析精度。分析采用连续性光谱光源卤钨灯、波长范围340～1100 nm、线性范围：0-6.5AU，分辨率≤0.0003 AU、采用最先进的Can Bus现场总线连接方式连接各硬件。</w:t>
            </w:r>
          </w:p>
        </w:tc>
      </w:tr>
      <w:tr w14:paraId="40E89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79" w:type="pct"/>
            <w:noWrap w:val="0"/>
            <w:vAlign w:val="center"/>
          </w:tcPr>
          <w:p w14:paraId="2DB1F37C">
            <w:pPr>
              <w:jc w:val="center"/>
              <w:rPr>
                <w:rFonts w:ascii="Times New Roman" w:hAnsi="Times New Roman" w:eastAsia="宋体" w:cs="Times New Roman"/>
                <w:sz w:val="24"/>
              </w:rPr>
            </w:pPr>
            <w:r>
              <w:rPr>
                <w:rFonts w:ascii="Times New Roman" w:hAnsi="Times New Roman" w:eastAsia="宋体" w:cs="Times New Roman"/>
                <w:sz w:val="24"/>
              </w:rPr>
              <w:t>预算金额（万元）</w:t>
            </w:r>
          </w:p>
        </w:tc>
        <w:tc>
          <w:tcPr>
            <w:tcW w:w="3821" w:type="pct"/>
            <w:gridSpan w:val="3"/>
            <w:noWrap w:val="0"/>
            <w:vAlign w:val="center"/>
          </w:tcPr>
          <w:p w14:paraId="461BD7BA">
            <w:pPr>
              <w:jc w:val="center"/>
              <w:rPr>
                <w:rFonts w:ascii="Times New Roman" w:hAnsi="Times New Roman" w:eastAsia="宋体" w:cs="Times New Roman"/>
                <w:sz w:val="24"/>
              </w:rPr>
            </w:pPr>
            <w:r>
              <w:rPr>
                <w:rFonts w:ascii="Times New Roman" w:hAnsi="Times New Roman" w:eastAsia="宋体" w:cs="Times New Roman"/>
                <w:sz w:val="24"/>
              </w:rPr>
              <w:t>¥</w:t>
            </w:r>
            <w:r>
              <w:rPr>
                <w:rFonts w:ascii="Times New Roman" w:hAnsi="Times New Roman" w:eastAsia="宋体" w:cs="Times New Roman"/>
                <w:sz w:val="24"/>
                <w:u w:val="single"/>
              </w:rPr>
              <w:t xml:space="preserve">165.6  </w:t>
            </w:r>
            <w:r>
              <w:rPr>
                <w:rFonts w:ascii="Times New Roman" w:hAnsi="Times New Roman" w:eastAsia="宋体" w:cs="Times New Roman"/>
                <w:sz w:val="24"/>
              </w:rPr>
              <w:t>万元</w:t>
            </w:r>
          </w:p>
        </w:tc>
      </w:tr>
      <w:tr w14:paraId="5AF7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79" w:type="pct"/>
            <w:noWrap w:val="0"/>
            <w:vAlign w:val="center"/>
          </w:tcPr>
          <w:p w14:paraId="7ED28492">
            <w:pPr>
              <w:jc w:val="center"/>
              <w:rPr>
                <w:rFonts w:ascii="Times New Roman" w:hAnsi="Times New Roman" w:eastAsia="宋体" w:cs="Times New Roman"/>
                <w:sz w:val="24"/>
              </w:rPr>
            </w:pPr>
            <w:r>
              <w:rPr>
                <w:rFonts w:ascii="Times New Roman" w:hAnsi="Times New Roman" w:eastAsia="宋体" w:cs="Times New Roman"/>
                <w:sz w:val="24"/>
              </w:rPr>
              <w:t>采购数量</w:t>
            </w:r>
          </w:p>
        </w:tc>
        <w:tc>
          <w:tcPr>
            <w:tcW w:w="864" w:type="pct"/>
            <w:noWrap w:val="0"/>
            <w:vAlign w:val="center"/>
          </w:tcPr>
          <w:p w14:paraId="4E0567A7">
            <w:pPr>
              <w:jc w:val="center"/>
              <w:rPr>
                <w:rFonts w:ascii="Times New Roman" w:hAnsi="Times New Roman" w:eastAsia="宋体" w:cs="Times New Roman"/>
                <w:sz w:val="24"/>
              </w:rPr>
            </w:pPr>
            <w:r>
              <w:rPr>
                <w:rFonts w:ascii="Times New Roman" w:hAnsi="Times New Roman" w:eastAsia="宋体" w:cs="Times New Roman"/>
                <w:sz w:val="24"/>
              </w:rPr>
              <w:t>1套</w:t>
            </w:r>
          </w:p>
        </w:tc>
        <w:tc>
          <w:tcPr>
            <w:tcW w:w="992" w:type="pct"/>
            <w:noWrap w:val="0"/>
            <w:vAlign w:val="center"/>
          </w:tcPr>
          <w:p w14:paraId="7EE7EBC3">
            <w:pPr>
              <w:jc w:val="center"/>
              <w:rPr>
                <w:rFonts w:ascii="Times New Roman" w:hAnsi="Times New Roman" w:eastAsia="宋体" w:cs="Times New Roman"/>
                <w:sz w:val="24"/>
              </w:rPr>
            </w:pPr>
            <w:r>
              <w:rPr>
                <w:rFonts w:ascii="Times New Roman" w:hAnsi="Times New Roman" w:eastAsia="宋体" w:cs="Times New Roman"/>
                <w:sz w:val="24"/>
              </w:rPr>
              <w:t>交货期</w:t>
            </w:r>
          </w:p>
        </w:tc>
        <w:tc>
          <w:tcPr>
            <w:tcW w:w="1965" w:type="pct"/>
            <w:noWrap w:val="0"/>
            <w:vAlign w:val="center"/>
          </w:tcPr>
          <w:p w14:paraId="512F3D4A">
            <w:pPr>
              <w:jc w:val="center"/>
              <w:rPr>
                <w:rFonts w:ascii="Times New Roman" w:hAnsi="Times New Roman" w:eastAsia="宋体" w:cs="Times New Roman"/>
                <w:sz w:val="24"/>
              </w:rPr>
            </w:pPr>
            <w:r>
              <w:rPr>
                <w:rFonts w:ascii="Times New Roman" w:hAnsi="Times New Roman" w:eastAsia="宋体" w:cs="Times New Roman"/>
                <w:sz w:val="24"/>
              </w:rPr>
              <w:t>招标完成，合同签订后</w:t>
            </w:r>
            <w:r>
              <w:rPr>
                <w:rFonts w:ascii="Times New Roman" w:hAnsi="Times New Roman" w:eastAsia="宋体" w:cs="Times New Roman"/>
                <w:sz w:val="24"/>
                <w:u w:val="single"/>
              </w:rPr>
              <w:t xml:space="preserve"> 2 </w:t>
            </w:r>
            <w:r>
              <w:rPr>
                <w:rFonts w:ascii="Times New Roman" w:hAnsi="Times New Roman" w:eastAsia="宋体" w:cs="Times New Roman"/>
                <w:sz w:val="24"/>
              </w:rPr>
              <w:t>个月</w:t>
            </w:r>
          </w:p>
        </w:tc>
      </w:tr>
      <w:tr w14:paraId="00B70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3" w:hRule="atLeast"/>
        </w:trPr>
        <w:tc>
          <w:tcPr>
            <w:tcW w:w="1179" w:type="pct"/>
            <w:tcBorders>
              <w:right w:val="single" w:color="auto" w:sz="4" w:space="0"/>
            </w:tcBorders>
            <w:noWrap w:val="0"/>
            <w:vAlign w:val="center"/>
          </w:tcPr>
          <w:p w14:paraId="1E88DFEB">
            <w:pPr>
              <w:jc w:val="center"/>
              <w:rPr>
                <w:rFonts w:ascii="Times New Roman" w:hAnsi="Times New Roman" w:eastAsia="宋体" w:cs="Times New Roman"/>
                <w:sz w:val="24"/>
              </w:rPr>
            </w:pPr>
            <w:r>
              <w:rPr>
                <w:rFonts w:ascii="Times New Roman" w:hAnsi="Times New Roman" w:eastAsia="宋体" w:cs="Times New Roman"/>
                <w:sz w:val="24"/>
              </w:rPr>
              <w:t>拟采购项目的</w:t>
            </w:r>
          </w:p>
          <w:p w14:paraId="457E901C">
            <w:pPr>
              <w:jc w:val="center"/>
              <w:rPr>
                <w:rFonts w:ascii="Times New Roman" w:hAnsi="Times New Roman" w:eastAsia="宋体" w:cs="Times New Roman"/>
                <w:sz w:val="24"/>
              </w:rPr>
            </w:pPr>
            <w:r>
              <w:rPr>
                <w:rFonts w:ascii="Times New Roman" w:hAnsi="Times New Roman" w:eastAsia="宋体" w:cs="Times New Roman"/>
                <w:sz w:val="24"/>
              </w:rPr>
              <w:t>配置要求</w:t>
            </w:r>
          </w:p>
        </w:tc>
        <w:tc>
          <w:tcPr>
            <w:tcW w:w="3821" w:type="pct"/>
            <w:gridSpan w:val="3"/>
            <w:tcBorders>
              <w:top w:val="single" w:color="auto" w:sz="4" w:space="0"/>
              <w:left w:val="single" w:color="auto" w:sz="4" w:space="0"/>
              <w:right w:val="single" w:color="auto" w:sz="4" w:space="0"/>
            </w:tcBorders>
            <w:noWrap w:val="0"/>
            <w:vAlign w:val="top"/>
          </w:tcPr>
          <w:p w14:paraId="6A1E47F5">
            <w:pPr>
              <w:rPr>
                <w:rFonts w:ascii="Times New Roman" w:hAnsi="Times New Roman" w:eastAsia="宋体" w:cs="Times New Roman"/>
                <w:sz w:val="24"/>
              </w:rPr>
            </w:pPr>
            <w:r>
              <w:rPr>
                <w:rFonts w:ascii="Times New Roman" w:hAnsi="Times New Roman" w:eastAsia="宋体" w:cs="Times New Roman"/>
                <w:sz w:val="24"/>
              </w:rPr>
              <w:t>整套设备配置组成要求【所提供的连续流动分析仪的主机及所有部件（除计算机、打印机外，火焰光度计）均为同一品牌、同厂商、同产地和原包装进口产品，提供厂家盖章的配置清单承诺书，交货时提供产地来源证明】：</w:t>
            </w:r>
          </w:p>
          <w:p w14:paraId="2294A969">
            <w:pPr>
              <w:rPr>
                <w:rFonts w:ascii="Times New Roman" w:hAnsi="Times New Roman" w:eastAsia="宋体" w:cs="Times New Roman"/>
                <w:sz w:val="24"/>
              </w:rPr>
            </w:pPr>
            <w:r>
              <w:rPr>
                <w:rFonts w:ascii="Times New Roman" w:hAnsi="Times New Roman" w:eastAsia="宋体" w:cs="Times New Roman"/>
                <w:sz w:val="24"/>
              </w:rPr>
              <w:t>1四针自动进样器，1台；</w:t>
            </w:r>
          </w:p>
          <w:p w14:paraId="359136EB">
            <w:pPr>
              <w:rPr>
                <w:rFonts w:ascii="Times New Roman" w:hAnsi="Times New Roman" w:eastAsia="宋体" w:cs="Times New Roman"/>
                <w:sz w:val="24"/>
              </w:rPr>
            </w:pPr>
            <w:r>
              <w:rPr>
                <w:rFonts w:ascii="Times New Roman" w:hAnsi="Times New Roman" w:eastAsia="宋体" w:cs="Times New Roman"/>
                <w:sz w:val="24"/>
              </w:rPr>
              <w:t>2高精度蠕动泵，2台；</w:t>
            </w:r>
          </w:p>
          <w:p w14:paraId="6C525D5E">
            <w:pPr>
              <w:rPr>
                <w:rFonts w:ascii="Times New Roman" w:hAnsi="Times New Roman" w:eastAsia="宋体" w:cs="Times New Roman"/>
                <w:sz w:val="24"/>
              </w:rPr>
            </w:pPr>
            <w:r>
              <w:rPr>
                <w:rFonts w:ascii="Times New Roman" w:hAnsi="Times New Roman" w:eastAsia="宋体" w:cs="Times New Roman"/>
                <w:sz w:val="24"/>
              </w:rPr>
              <w:t>3电子空气泵，2台；</w:t>
            </w:r>
          </w:p>
          <w:p w14:paraId="5BF55616">
            <w:pPr>
              <w:rPr>
                <w:rFonts w:ascii="Times New Roman" w:hAnsi="Times New Roman" w:eastAsia="宋体" w:cs="Times New Roman"/>
                <w:sz w:val="24"/>
              </w:rPr>
            </w:pPr>
            <w:r>
              <w:rPr>
                <w:rFonts w:ascii="Times New Roman" w:hAnsi="Times New Roman" w:eastAsia="宋体" w:cs="Times New Roman"/>
                <w:sz w:val="24"/>
              </w:rPr>
              <w:t>4十通道空气注射阀，2套；</w:t>
            </w:r>
          </w:p>
          <w:p w14:paraId="1AD63BB3">
            <w:pPr>
              <w:rPr>
                <w:rFonts w:ascii="Times New Roman" w:hAnsi="Times New Roman" w:eastAsia="宋体" w:cs="Times New Roman"/>
                <w:sz w:val="24"/>
              </w:rPr>
            </w:pPr>
            <w:r>
              <w:rPr>
                <w:rFonts w:ascii="Times New Roman" w:hAnsi="Times New Roman" w:eastAsia="宋体" w:cs="Times New Roman"/>
                <w:sz w:val="24"/>
              </w:rPr>
              <w:t>5独立式系统控制器，1台；</w:t>
            </w:r>
          </w:p>
          <w:p w14:paraId="6DD96BE9">
            <w:pPr>
              <w:rPr>
                <w:rFonts w:ascii="Times New Roman" w:hAnsi="Times New Roman" w:eastAsia="宋体" w:cs="Times New Roman"/>
                <w:sz w:val="24"/>
              </w:rPr>
            </w:pPr>
            <w:r>
              <w:rPr>
                <w:rFonts w:ascii="Times New Roman" w:hAnsi="Times New Roman" w:eastAsia="宋体" w:cs="Times New Roman"/>
                <w:sz w:val="24"/>
              </w:rPr>
              <w:t>6双通道数字式检测器 ，3台；</w:t>
            </w:r>
          </w:p>
          <w:p w14:paraId="7D679B43">
            <w:pPr>
              <w:rPr>
                <w:rFonts w:ascii="Times New Roman" w:hAnsi="Times New Roman" w:eastAsia="宋体" w:cs="Times New Roman"/>
                <w:sz w:val="24"/>
              </w:rPr>
            </w:pPr>
            <w:r>
              <w:rPr>
                <w:rFonts w:ascii="Times New Roman" w:hAnsi="Times New Roman" w:eastAsia="宋体" w:cs="Times New Roman"/>
                <w:sz w:val="24"/>
              </w:rPr>
              <w:t>7 六通道化学反应主机，1台；</w:t>
            </w:r>
          </w:p>
          <w:p w14:paraId="063F0906">
            <w:pPr>
              <w:rPr>
                <w:rFonts w:ascii="Times New Roman" w:hAnsi="Times New Roman" w:eastAsia="宋体" w:cs="Times New Roman"/>
                <w:sz w:val="24"/>
              </w:rPr>
            </w:pPr>
            <w:r>
              <w:rPr>
                <w:rFonts w:ascii="Times New Roman" w:hAnsi="Times New Roman" w:eastAsia="宋体" w:cs="Times New Roman"/>
                <w:sz w:val="24"/>
              </w:rPr>
              <w:t>8 全氮/氨氮分析模板，1套；</w:t>
            </w:r>
          </w:p>
          <w:p w14:paraId="567D728D">
            <w:pPr>
              <w:rPr>
                <w:rFonts w:ascii="Times New Roman" w:hAnsi="Times New Roman" w:eastAsia="宋体" w:cs="Times New Roman"/>
                <w:sz w:val="24"/>
              </w:rPr>
            </w:pPr>
            <w:r>
              <w:rPr>
                <w:rFonts w:ascii="Times New Roman" w:hAnsi="Times New Roman" w:eastAsia="宋体" w:cs="Times New Roman"/>
                <w:sz w:val="24"/>
              </w:rPr>
              <w:t>9全钾/速效钾/缓效钾/钠分析模块，1套；</w:t>
            </w:r>
          </w:p>
          <w:p w14:paraId="0F9A5624">
            <w:pPr>
              <w:rPr>
                <w:rFonts w:ascii="Times New Roman" w:hAnsi="Times New Roman" w:eastAsia="宋体" w:cs="Times New Roman"/>
                <w:sz w:val="24"/>
              </w:rPr>
            </w:pPr>
            <w:r>
              <w:rPr>
                <w:rFonts w:ascii="Times New Roman" w:hAnsi="Times New Roman" w:eastAsia="宋体" w:cs="Times New Roman"/>
                <w:sz w:val="24"/>
              </w:rPr>
              <w:t>10全磷/磷酸盐/氯化物/硼分析模板，1套；</w:t>
            </w:r>
          </w:p>
          <w:p w14:paraId="6126562F">
            <w:pPr>
              <w:rPr>
                <w:rFonts w:ascii="Times New Roman" w:hAnsi="Times New Roman" w:eastAsia="宋体" w:cs="Times New Roman"/>
                <w:sz w:val="24"/>
              </w:rPr>
            </w:pPr>
            <w:r>
              <w:rPr>
                <w:rFonts w:ascii="Times New Roman" w:hAnsi="Times New Roman" w:eastAsia="宋体" w:cs="Times New Roman"/>
                <w:sz w:val="24"/>
              </w:rPr>
              <w:t>11硝态氮/亚硝氮分析模块，1套；</w:t>
            </w:r>
          </w:p>
          <w:p w14:paraId="226B7766">
            <w:pPr>
              <w:rPr>
                <w:rFonts w:ascii="Times New Roman" w:hAnsi="Times New Roman" w:eastAsia="宋体" w:cs="Times New Roman"/>
                <w:sz w:val="24"/>
              </w:rPr>
            </w:pPr>
            <w:r>
              <w:rPr>
                <w:rFonts w:ascii="Times New Roman" w:hAnsi="Times New Roman" w:eastAsia="宋体" w:cs="Times New Roman"/>
                <w:sz w:val="24"/>
              </w:rPr>
              <w:t>12 全硫/有效硫/硫酸盐分析模块，1套；</w:t>
            </w:r>
          </w:p>
          <w:p w14:paraId="354E7C75">
            <w:pPr>
              <w:rPr>
                <w:rFonts w:ascii="Times New Roman" w:hAnsi="Times New Roman" w:eastAsia="宋体" w:cs="Times New Roman"/>
                <w:sz w:val="24"/>
              </w:rPr>
            </w:pPr>
            <w:r>
              <w:rPr>
                <w:rFonts w:ascii="Times New Roman" w:hAnsi="Times New Roman" w:eastAsia="宋体" w:cs="Times New Roman"/>
                <w:sz w:val="24"/>
              </w:rPr>
              <w:t>13 碳酸盐/碳酸氢盐分析仪模块，1套；</w:t>
            </w:r>
          </w:p>
          <w:p w14:paraId="127493EE">
            <w:pPr>
              <w:rPr>
                <w:rFonts w:ascii="Times New Roman" w:hAnsi="Times New Roman" w:eastAsia="宋体" w:cs="Times New Roman"/>
                <w:sz w:val="24"/>
              </w:rPr>
            </w:pPr>
            <w:r>
              <w:rPr>
                <w:rFonts w:ascii="Times New Roman" w:hAnsi="Times New Roman" w:eastAsia="宋体" w:cs="Times New Roman"/>
                <w:sz w:val="24"/>
              </w:rPr>
              <w:t>14 火焰光度计，1套；</w:t>
            </w:r>
          </w:p>
          <w:p w14:paraId="65C8B762">
            <w:pPr>
              <w:rPr>
                <w:rFonts w:ascii="Times New Roman" w:hAnsi="Times New Roman" w:eastAsia="宋体" w:cs="Times New Roman"/>
                <w:sz w:val="24"/>
              </w:rPr>
            </w:pPr>
            <w:r>
              <w:rPr>
                <w:rFonts w:ascii="Times New Roman" w:hAnsi="Times New Roman" w:eastAsia="宋体" w:cs="Times New Roman"/>
                <w:sz w:val="24"/>
              </w:rPr>
              <w:t>15全套启动工具包及备件（2年的配件），1套；</w:t>
            </w:r>
          </w:p>
          <w:p w14:paraId="21E89B2E">
            <w:pPr>
              <w:rPr>
                <w:rFonts w:ascii="Times New Roman" w:hAnsi="Times New Roman" w:eastAsia="宋体" w:cs="Times New Roman"/>
                <w:sz w:val="24"/>
              </w:rPr>
            </w:pPr>
            <w:r>
              <w:rPr>
                <w:rFonts w:ascii="Times New Roman" w:hAnsi="Times New Roman" w:eastAsia="宋体" w:cs="Times New Roman"/>
                <w:sz w:val="24"/>
              </w:rPr>
              <w:t>16知名品牌电脑+打印机，各1台；</w:t>
            </w:r>
          </w:p>
          <w:p w14:paraId="15E72A9B">
            <w:pPr>
              <w:rPr>
                <w:rFonts w:ascii="Times New Roman" w:hAnsi="Times New Roman" w:eastAsia="宋体" w:cs="Times New Roman"/>
                <w:sz w:val="24"/>
              </w:rPr>
            </w:pPr>
            <w:r>
              <w:rPr>
                <w:rFonts w:ascii="Times New Roman" w:hAnsi="Times New Roman" w:eastAsia="宋体" w:cs="Times New Roman"/>
                <w:sz w:val="24"/>
              </w:rPr>
              <w:t>17 无人值守控制系统，1个；</w:t>
            </w:r>
          </w:p>
          <w:p w14:paraId="7B0EA72A">
            <w:pPr>
              <w:rPr>
                <w:rFonts w:ascii="Times New Roman" w:hAnsi="Times New Roman" w:eastAsia="宋体" w:cs="Times New Roman"/>
                <w:sz w:val="24"/>
              </w:rPr>
            </w:pPr>
            <w:r>
              <w:rPr>
                <w:rFonts w:ascii="Times New Roman" w:hAnsi="Times New Roman" w:eastAsia="宋体" w:cs="Times New Roman"/>
                <w:sz w:val="24"/>
              </w:rPr>
              <w:t>18  50mm脱泡流动比色池，5个；</w:t>
            </w:r>
          </w:p>
          <w:p w14:paraId="7BE8E709">
            <w:pPr>
              <w:rPr>
                <w:rFonts w:ascii="Times New Roman" w:hAnsi="Times New Roman" w:eastAsia="宋体" w:cs="Times New Roman"/>
                <w:sz w:val="24"/>
              </w:rPr>
            </w:pPr>
            <w:r>
              <w:rPr>
                <w:rFonts w:ascii="Times New Roman" w:hAnsi="Times New Roman" w:eastAsia="宋体" w:cs="Times New Roman"/>
                <w:sz w:val="24"/>
              </w:rPr>
              <w:t>19  10mm比浊脱泡流动比色池，1个。</w:t>
            </w:r>
          </w:p>
        </w:tc>
      </w:tr>
      <w:tr w14:paraId="5AA7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exact"/>
        </w:trPr>
        <w:tc>
          <w:tcPr>
            <w:tcW w:w="1179" w:type="pct"/>
            <w:vMerge w:val="restart"/>
            <w:tcBorders>
              <w:top w:val="single" w:color="auto" w:sz="4" w:space="0"/>
              <w:left w:val="single" w:color="auto" w:sz="4" w:space="0"/>
              <w:bottom w:val="single" w:color="auto" w:sz="4" w:space="0"/>
              <w:right w:val="single" w:color="auto" w:sz="4" w:space="0"/>
            </w:tcBorders>
            <w:noWrap w:val="0"/>
            <w:vAlign w:val="center"/>
          </w:tcPr>
          <w:p w14:paraId="5E93C413">
            <w:pPr>
              <w:jc w:val="center"/>
              <w:rPr>
                <w:rFonts w:ascii="Times New Roman" w:hAnsi="Times New Roman" w:eastAsia="宋体" w:cs="Times New Roman"/>
                <w:sz w:val="24"/>
              </w:rPr>
            </w:pPr>
            <w:r>
              <w:rPr>
                <w:rFonts w:ascii="Times New Roman" w:hAnsi="Times New Roman" w:eastAsia="宋体" w:cs="Times New Roman"/>
                <w:sz w:val="24"/>
              </w:rPr>
              <w:t>拟采购项目的</w:t>
            </w:r>
          </w:p>
          <w:p w14:paraId="12A5EC22">
            <w:pPr>
              <w:jc w:val="center"/>
              <w:rPr>
                <w:rFonts w:ascii="Times New Roman" w:hAnsi="Times New Roman" w:eastAsia="宋体" w:cs="Times New Roman"/>
                <w:sz w:val="24"/>
              </w:rPr>
            </w:pPr>
            <w:r>
              <w:rPr>
                <w:rFonts w:ascii="Times New Roman" w:hAnsi="Times New Roman" w:eastAsia="宋体" w:cs="Times New Roman"/>
                <w:sz w:val="24"/>
              </w:rPr>
              <w:t>技术指标</w:t>
            </w:r>
          </w:p>
        </w:tc>
        <w:tc>
          <w:tcPr>
            <w:tcW w:w="3821" w:type="pct"/>
            <w:gridSpan w:val="3"/>
            <w:tcBorders>
              <w:top w:val="single" w:color="auto" w:sz="4" w:space="0"/>
              <w:left w:val="single" w:color="auto" w:sz="4" w:space="0"/>
              <w:bottom w:val="nil"/>
              <w:right w:val="single" w:color="auto" w:sz="4" w:space="0"/>
            </w:tcBorders>
            <w:noWrap w:val="0"/>
            <w:vAlign w:val="top"/>
          </w:tcPr>
          <w:p w14:paraId="5754C5DE">
            <w:pPr>
              <w:pStyle w:val="3"/>
              <w:spacing w:beforeAutospacing="0" w:afterAutospacing="0"/>
              <w:jc w:val="both"/>
              <w:rPr>
                <w:rFonts w:ascii="Times New Roman" w:hAnsi="Times New Roman" w:eastAsia="宋体" w:cs="Times New Roman"/>
              </w:rPr>
            </w:pPr>
          </w:p>
        </w:tc>
      </w:tr>
      <w:tr w14:paraId="12E2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79" w:type="pct"/>
            <w:vMerge w:val="continue"/>
            <w:tcBorders>
              <w:top w:val="single" w:color="auto" w:sz="4" w:space="0"/>
              <w:left w:val="single" w:color="auto" w:sz="4" w:space="0"/>
              <w:bottom w:val="single" w:color="auto" w:sz="4" w:space="0"/>
              <w:right w:val="single" w:color="auto" w:sz="4" w:space="0"/>
            </w:tcBorders>
            <w:noWrap w:val="0"/>
            <w:vAlign w:val="center"/>
          </w:tcPr>
          <w:p w14:paraId="3475C900">
            <w:pPr>
              <w:pStyle w:val="3"/>
              <w:spacing w:beforeAutospacing="0" w:afterAutospacing="0"/>
              <w:jc w:val="both"/>
              <w:rPr>
                <w:rFonts w:ascii="Times New Roman" w:hAnsi="Times New Roman" w:eastAsia="宋体" w:cs="Times New Roman"/>
              </w:rPr>
            </w:pPr>
          </w:p>
        </w:tc>
        <w:tc>
          <w:tcPr>
            <w:tcW w:w="3821" w:type="pct"/>
            <w:gridSpan w:val="3"/>
            <w:tcBorders>
              <w:top w:val="nil"/>
              <w:left w:val="single" w:color="auto" w:sz="4" w:space="0"/>
              <w:bottom w:val="single" w:color="auto" w:sz="4" w:space="0"/>
              <w:right w:val="single" w:color="auto" w:sz="4" w:space="0"/>
            </w:tcBorders>
            <w:noWrap w:val="0"/>
            <w:vAlign w:val="top"/>
          </w:tcPr>
          <w:p w14:paraId="57AAE0F8">
            <w:pPr>
              <w:pStyle w:val="3"/>
              <w:adjustRightInd w:val="0"/>
              <w:snapToGrid w:val="0"/>
              <w:spacing w:before="0" w:beforeAutospacing="0" w:after="0" w:afterAutospacing="0"/>
              <w:rPr>
                <w:rFonts w:ascii="Times New Roman" w:hAnsi="Times New Roman" w:eastAsia="宋体" w:cs="Times New Roman"/>
              </w:rPr>
            </w:pPr>
            <w:r>
              <w:rPr>
                <w:rFonts w:ascii="Segoe UI Symbol" w:hAnsi="Segoe UI Symbol" w:eastAsia="宋体" w:cs="Segoe UI Symbol"/>
              </w:rPr>
              <w:t>★</w:t>
            </w:r>
            <w:r>
              <w:rPr>
                <w:rFonts w:ascii="Times New Roman" w:hAnsi="Times New Roman" w:eastAsia="宋体" w:cs="Times New Roman"/>
              </w:rPr>
              <w:t>1、设备原理要求：采用连续流动（CFA）的方法通过蠕动泵压缩不同内径的弹性泵管,将试剂和试样按比例吸入管路系统中并在一定条件下混匀、分离干扰物,保温反应,显色后测吸光度,计算机处理分析结果,分析过程中引入空气泡做为样品间隔及管路清洗，空气泡来源于仪器内置的空气泵，通过空气注射器注入。</w:t>
            </w:r>
          </w:p>
          <w:p w14:paraId="30343245">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2、主要用途： 用于土壤、植物等样品的分析，分析项目氨氮、全氮、硝态氮、亚硝态氮、磷酸盐、全磷、硼、全硫/有效硫/硫酸盐、氯化物、硫酸盐、碳酸盐、碳酸氢盐、全钾/速效钾/缓效钾、钠等的自动分析。</w:t>
            </w:r>
          </w:p>
          <w:p w14:paraId="516AAA6A">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3、设备各部分技术指标：</w:t>
            </w:r>
          </w:p>
          <w:p w14:paraId="42C2F9E5">
            <w:pPr>
              <w:pStyle w:val="3"/>
              <w:adjustRightInd w:val="0"/>
              <w:snapToGrid w:val="0"/>
              <w:spacing w:before="0" w:beforeAutospacing="0" w:after="0" w:afterAutospacing="0"/>
              <w:rPr>
                <w:rFonts w:ascii="Times New Roman" w:hAnsi="Times New Roman" w:eastAsia="宋体" w:cs="Times New Roman"/>
              </w:rPr>
            </w:pPr>
            <w:r>
              <w:rPr>
                <w:rFonts w:ascii="Segoe UI Symbol" w:hAnsi="Segoe UI Symbol" w:eastAsia="宋体" w:cs="Segoe UI Symbol"/>
              </w:rPr>
              <w:t>★</w:t>
            </w:r>
            <w:r>
              <w:rPr>
                <w:rFonts w:ascii="Times New Roman" w:hAnsi="Times New Roman" w:eastAsia="宋体" w:cs="Times New Roman"/>
              </w:rPr>
              <w:t>3.1计算机控制XYZ维自动进样器，取样器至少可容纳340个样品位和标准位。</w:t>
            </w:r>
          </w:p>
          <w:p w14:paraId="534271F7">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cs="Times New Roman"/>
              </w:rPr>
              <w:t xml:space="preserve"># </w:t>
            </w:r>
            <w:r>
              <w:rPr>
                <w:rFonts w:ascii="Times New Roman" w:hAnsi="Times New Roman" w:eastAsia="宋体" w:cs="Times New Roman"/>
              </w:rPr>
              <w:t>3.1.1具有四针同时取样装置，保证同时分析四种不同基质的样品。</w:t>
            </w:r>
          </w:p>
          <w:p w14:paraId="718C055F">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3.1.2 单个样品杯容量不少于10ml。</w:t>
            </w:r>
          </w:p>
          <w:p w14:paraId="4A8EAFE3">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cs="Times New Roman"/>
              </w:rPr>
              <w:t xml:space="preserve"># </w:t>
            </w:r>
            <w:r>
              <w:rPr>
                <w:rFonts w:ascii="Times New Roman" w:hAnsi="Times New Roman" w:eastAsia="宋体" w:cs="Times New Roman"/>
              </w:rPr>
              <w:t>3.1.3.具有独立的40个标准样品位置，每个标准杯的容量至少40毫升</w:t>
            </w:r>
          </w:p>
          <w:p w14:paraId="6C74B6C0">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cs="Times New Roman"/>
              </w:rPr>
              <w:t xml:space="preserve"># </w:t>
            </w:r>
            <w:r>
              <w:rPr>
                <w:rFonts w:ascii="Times New Roman" w:hAnsi="Times New Roman" w:eastAsia="宋体" w:cs="Times New Roman"/>
              </w:rPr>
              <w:t>3.1.4自动进样器附带2个四通道清洗泵和独立的动态移动四通道清洗池，可采用四种不同清洗液清洗取样针及管道。</w:t>
            </w:r>
          </w:p>
          <w:p w14:paraId="6F67DA57">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cs="Times New Roman"/>
              </w:rPr>
              <w:t xml:space="preserve"># </w:t>
            </w:r>
            <w:r>
              <w:rPr>
                <w:rFonts w:ascii="Times New Roman" w:hAnsi="Times New Roman" w:eastAsia="宋体" w:cs="Times New Roman"/>
              </w:rPr>
              <w:t>3.2高精度蠕动泵：数量2台；蠕动泵精度≤0.5%，单台化学反应主机内置≥2台蠕动泵，蠕动泵管位≥20位（不含空气注射器位数），泵速泵速既可通过化学分析主机内置的触摸屏四速可调（关、慢速、常速和快速），也可通过计算机软件程序自动调节。</w:t>
            </w:r>
          </w:p>
          <w:p w14:paraId="45ED7CF8">
            <w:pPr>
              <w:pStyle w:val="3"/>
              <w:adjustRightInd w:val="0"/>
              <w:snapToGrid w:val="0"/>
              <w:spacing w:before="0" w:beforeAutospacing="0" w:after="0" w:afterAutospacing="0"/>
              <w:rPr>
                <w:rStyle w:val="6"/>
                <w:rFonts w:ascii="Times New Roman" w:hAnsi="Times New Roman" w:eastAsia="宋体" w:cs="Times New Roman"/>
                <w:kern w:val="2"/>
              </w:rPr>
            </w:pPr>
            <w:r>
              <w:rPr>
                <w:rFonts w:ascii="Times New Roman" w:hAnsi="Times New Roman" w:cs="Times New Roman"/>
              </w:rPr>
              <w:t xml:space="preserve"># </w:t>
            </w:r>
            <w:r>
              <w:rPr>
                <w:rFonts w:ascii="Times New Roman" w:hAnsi="Times New Roman" w:eastAsia="宋体" w:cs="Times New Roman"/>
              </w:rPr>
              <w:t>3.3电子空气泵及≥10通道空气注射器2台；内置精密气压调节阀,调节范围:0-1.0 bar，单台化学反应主机配置≥1台电子空气泵及10通道空气注射器。</w:t>
            </w:r>
          </w:p>
          <w:p w14:paraId="5D37C1F7">
            <w:pPr>
              <w:pStyle w:val="3"/>
              <w:adjustRightInd w:val="0"/>
              <w:snapToGrid w:val="0"/>
              <w:spacing w:before="0" w:beforeAutospacing="0" w:after="0" w:afterAutospacing="0"/>
              <w:rPr>
                <w:rFonts w:ascii="Times New Roman" w:hAnsi="Times New Roman" w:eastAsia="宋体" w:cs="Times New Roman"/>
              </w:rPr>
            </w:pPr>
            <w:r>
              <w:rPr>
                <w:rFonts w:ascii="Segoe UI Symbol" w:hAnsi="Segoe UI Symbol" w:eastAsia="宋体" w:cs="Segoe UI Symbol"/>
              </w:rPr>
              <w:t>★</w:t>
            </w:r>
            <w:r>
              <w:rPr>
                <w:rFonts w:ascii="Times New Roman" w:hAnsi="Times New Roman" w:eastAsia="宋体" w:cs="Times New Roman"/>
              </w:rPr>
              <w:t>3.4 化学分析主机内置彩色触摸屏微处理控制器，可实时图形监控仪器运行状态、数字显示泵速、各反应器、消解器的实时温度和设置温度、漏液监测、检测器光源寿命监控和耗材更换提示等功能。提供主机内置触控屏 （界面截图证明文件）。</w:t>
            </w:r>
          </w:p>
          <w:p w14:paraId="3C4FCB11">
            <w:pPr>
              <w:pStyle w:val="3"/>
              <w:adjustRightInd w:val="0"/>
              <w:snapToGrid w:val="0"/>
              <w:spacing w:before="0" w:beforeAutospacing="0" w:after="0" w:afterAutospacing="0"/>
              <w:rPr>
                <w:rFonts w:ascii="Times New Roman" w:hAnsi="Times New Roman" w:eastAsia="等线" w:cs="Times New Roman"/>
              </w:rPr>
            </w:pPr>
            <w:r>
              <w:rPr>
                <w:rFonts w:ascii="Times New Roman" w:hAnsi="Times New Roman" w:eastAsia="宋体" w:cs="Times New Roman"/>
              </w:rPr>
              <w:t># 3.5</w:t>
            </w:r>
            <w:r>
              <w:rPr>
                <w:rFonts w:ascii="Times New Roman" w:hAnsi="Times New Roman" w:cs="Times New Roman"/>
              </w:rPr>
              <w:t xml:space="preserve"> </w:t>
            </w:r>
            <w:r>
              <w:rPr>
                <w:rFonts w:ascii="Times New Roman" w:hAnsi="Times New Roman" w:eastAsia="宋体" w:cs="Times New Roman"/>
              </w:rPr>
              <w:t>化学分析主机的不同区域具有多个漏液检测器，当有漏液发生，化学分析主机触摸屏自动报警并指示漏液位置。提供厂家盖章的触摸屏漏液指示状态和漏液警报状态界面、漏液监测器和漏液排出装置的实物图。</w:t>
            </w:r>
          </w:p>
          <w:p w14:paraId="4D0964B2">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3.6、主机内置触摸屏微处理器根据配置为每个电子部件自动分配IP。系统采用先进的网络接口DHCP（动态主机配置协议）与计算机连接直接控制化学反应主机。提供主机内置触摸屏微处理器监控各部件IP和状态的界面和计算机与化学反应主机网线接口连接方式的实物图。</w:t>
            </w:r>
          </w:p>
          <w:p w14:paraId="3C52253F">
            <w:pPr>
              <w:adjustRightInd w:val="0"/>
              <w:snapToGrid w:val="0"/>
              <w:rPr>
                <w:rFonts w:ascii="Times New Roman" w:hAnsi="Times New Roman" w:eastAsia="宋体" w:cs="Times New Roman"/>
                <w:sz w:val="24"/>
              </w:rPr>
            </w:pPr>
            <w:r>
              <w:rPr>
                <w:rFonts w:ascii="Times New Roman" w:hAnsi="Times New Roman" w:eastAsia="宋体" w:cs="Times New Roman"/>
                <w:sz w:val="24"/>
              </w:rPr>
              <w:t>3.7远程控制功能：远程监控访问功能在实验室网络可及范围内的任意地点检查仪器状态并进行诊断。可以随时查看运行情况、分析结果、设置信息、进行仪器诊断并解决故障、检查漏液、实现仪器的开启、暂停和停止样品运行;提供厂家盖章的远程控制截屏证明材料。</w:t>
            </w:r>
          </w:p>
          <w:p w14:paraId="2CC92982">
            <w:pPr>
              <w:pStyle w:val="3"/>
              <w:adjustRightInd w:val="0"/>
              <w:snapToGrid w:val="0"/>
              <w:spacing w:before="0" w:beforeAutospacing="0" w:after="0" w:afterAutospacing="0"/>
              <w:rPr>
                <w:rFonts w:ascii="Times New Roman" w:hAnsi="Times New Roman" w:eastAsia="宋体" w:cs="Times New Roman"/>
              </w:rPr>
            </w:pPr>
            <w:r>
              <w:rPr>
                <w:rFonts w:ascii="Segoe UI Symbol" w:hAnsi="Segoe UI Symbol" w:eastAsia="宋体" w:cs="Segoe UI Symbol"/>
              </w:rPr>
              <w:t>★</w:t>
            </w:r>
            <w:r>
              <w:rPr>
                <w:rFonts w:ascii="Times New Roman" w:hAnsi="Times New Roman" w:eastAsia="宋体" w:cs="Times New Roman"/>
              </w:rPr>
              <w:t>3.8 具有无人值守系统控制器：可全自动开机、关机、程序控制取样器、加热器、在线消解器、光度计、蠕动泵的开启和关闭，分析完成后可自动进入待机状态，并具有蠕动泵管的释放功能。</w:t>
            </w:r>
          </w:p>
          <w:p w14:paraId="0143C849">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xml:space="preserve">3.9化学分析模块配置要求： </w:t>
            </w:r>
          </w:p>
          <w:p w14:paraId="2ABFD60A">
            <w:pPr>
              <w:pStyle w:val="3"/>
              <w:adjustRightInd w:val="0"/>
              <w:snapToGrid w:val="0"/>
              <w:spacing w:before="0" w:beforeAutospacing="0" w:after="0" w:afterAutospacing="0"/>
              <w:rPr>
                <w:rFonts w:ascii="Times New Roman" w:hAnsi="Times New Roman" w:eastAsia="宋体" w:cs="Times New Roman"/>
              </w:rPr>
            </w:pPr>
            <w:r>
              <w:rPr>
                <w:rFonts w:ascii="Segoe UI Symbol" w:hAnsi="Segoe UI Symbol" w:eastAsia="宋体" w:cs="Segoe UI Symbol"/>
              </w:rPr>
              <w:t>★</w:t>
            </w:r>
            <w:r>
              <w:rPr>
                <w:rFonts w:ascii="Times New Roman" w:hAnsi="Times New Roman" w:eastAsia="宋体" w:cs="Times New Roman"/>
              </w:rPr>
              <w:t>3.9.1配置全氮/氨氮分析模板，全钾/速效钾/缓效钾/钠分析模块，全磷/磷酸盐/氯化物/硼分析，硝态氮/亚硝氮分析模板，全硫/有效硫/硫酸盐分析模块，碳酸盐/碳酸氢盐分析仪模块，要求六个模块项目能够同时检测，并将六个通道数据同时显示在一个控制屏幕上（</w:t>
            </w:r>
            <w:r>
              <w:rPr>
                <w:rFonts w:hint="eastAsia" w:ascii="Times New Roman" w:hAnsi="Times New Roman" w:eastAsia="宋体" w:cs="Times New Roman"/>
              </w:rPr>
              <w:t>提供6个通道同时测定时候峰形图的界面截图</w:t>
            </w:r>
            <w:r>
              <w:rPr>
                <w:rFonts w:ascii="Times New Roman" w:hAnsi="Times New Roman" w:eastAsia="宋体" w:cs="Times New Roman"/>
              </w:rPr>
              <w:t>，作为验收条款），整个分析步骤实现在线进行自动化运行。</w:t>
            </w:r>
          </w:p>
          <w:p w14:paraId="79C8868D">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3.9.2化学分析模块由的惰性玻璃圈组成，玻璃圈内径2mm。</w:t>
            </w:r>
          </w:p>
          <w:p w14:paraId="4FA3EECA">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cs="Times New Roman"/>
              </w:rPr>
              <w:t xml:space="preserve"># </w:t>
            </w:r>
            <w:r>
              <w:rPr>
                <w:rFonts w:ascii="Times New Roman" w:hAnsi="Times New Roman" w:eastAsia="宋体" w:cs="Times New Roman"/>
              </w:rPr>
              <w:t>3.10双通道数字式检测器：数量3台，满足六通道同时分析；固定波长设计，波长范围340～1100 nm，线性范围：0-6.5AU（提供软件截图）,分辨率≤0.0003 AU；</w:t>
            </w:r>
          </w:p>
          <w:p w14:paraId="734D0D2D">
            <w:pPr>
              <w:pStyle w:val="3"/>
              <w:adjustRightInd w:val="0"/>
              <w:snapToGrid w:val="0"/>
              <w:spacing w:before="0" w:beforeAutospacing="0" w:after="0" w:afterAutospacing="0"/>
              <w:rPr>
                <w:rFonts w:ascii="Times New Roman" w:hAnsi="Times New Roman" w:eastAsia="宋体" w:cs="Times New Roman"/>
              </w:rPr>
            </w:pPr>
            <w:r>
              <w:rPr>
                <w:rFonts w:ascii="Segoe UI Symbol" w:hAnsi="Segoe UI Symbol" w:eastAsia="宋体" w:cs="Segoe UI Symbol"/>
              </w:rPr>
              <w:t>★</w:t>
            </w:r>
            <w:r>
              <w:rPr>
                <w:rFonts w:ascii="Times New Roman" w:hAnsi="Times New Roman" w:eastAsia="宋体" w:cs="Times New Roman"/>
              </w:rPr>
              <w:t>3.11六模块化学反应主机：数量1台；满足≥六个化学反应模块同时放置，测试不同项目时，无须手工更换模块；内置≥1台电子空气泵及10通道空气注射器、≥2台蠕动泵、≥六套化学反应模块（含高压锅消解和在线蒸馏加热控制单元）、≥6通道数字式检测器于化学反应座中。</w:t>
            </w:r>
          </w:p>
          <w:p w14:paraId="43ADEEC5">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3.12 为了工作效率保证六个化学反应模块能同时运行分析检测。</w:t>
            </w:r>
          </w:p>
          <w:p w14:paraId="50FA5C70">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cs="Times New Roman"/>
              </w:rPr>
              <w:t xml:space="preserve"># </w:t>
            </w:r>
            <w:r>
              <w:rPr>
                <w:rFonts w:ascii="Times New Roman" w:hAnsi="Times New Roman" w:eastAsia="宋体" w:cs="Times New Roman"/>
              </w:rPr>
              <w:t>3.13采用连续光谱光源卤钨灯，32位A/D转换，控制软件可对光源任意开/关操作，化学主机触控屏可显示检测器灯源总寿命和已使用时间（提供清晰彩色实物照片证证明）。</w:t>
            </w:r>
          </w:p>
          <w:p w14:paraId="5FEBC800">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cs="Times New Roman"/>
              </w:rPr>
              <w:t xml:space="preserve"># </w:t>
            </w:r>
            <w:r>
              <w:rPr>
                <w:rFonts w:ascii="Times New Roman" w:hAnsi="Times New Roman" w:eastAsia="宋体" w:cs="Times New Roman"/>
              </w:rPr>
              <w:t>3.14系统控制采用现场总线连接方式连接各硬件。（提供彩页证明及主机背面接口图片证明）</w:t>
            </w:r>
          </w:p>
          <w:p w14:paraId="476FD2C0">
            <w:pPr>
              <w:pStyle w:val="3"/>
              <w:adjustRightInd w:val="0"/>
              <w:snapToGrid w:val="0"/>
              <w:spacing w:before="0" w:beforeAutospacing="0" w:after="0" w:afterAutospacing="0"/>
              <w:rPr>
                <w:rFonts w:ascii="Times New Roman" w:hAnsi="Times New Roman" w:eastAsia="宋体" w:cs="Times New Roman"/>
              </w:rPr>
            </w:pPr>
            <w:r>
              <w:rPr>
                <w:rFonts w:ascii="Segoe UI Symbol" w:hAnsi="Segoe UI Symbol" w:cs="Segoe UI Symbol"/>
                <w:szCs w:val="21"/>
              </w:rPr>
              <w:t>★</w:t>
            </w:r>
            <w:r>
              <w:rPr>
                <w:rFonts w:ascii="Times New Roman" w:hAnsi="Times New Roman" w:eastAsia="宋体" w:cs="Times New Roman"/>
                <w:szCs w:val="21"/>
              </w:rPr>
              <w:t>3</w:t>
            </w:r>
            <w:r>
              <w:rPr>
                <w:rFonts w:ascii="Times New Roman" w:hAnsi="Times New Roman" w:cs="Times New Roman"/>
                <w:szCs w:val="21"/>
              </w:rPr>
              <w:t>.1</w:t>
            </w:r>
            <w:r>
              <w:rPr>
                <w:rFonts w:ascii="Times New Roman" w:hAnsi="Times New Roman" w:eastAsia="宋体" w:cs="Times New Roman"/>
                <w:szCs w:val="21"/>
              </w:rPr>
              <w:t>5</w:t>
            </w:r>
            <w:r>
              <w:rPr>
                <w:rFonts w:ascii="Times New Roman" w:hAnsi="Times New Roman" w:cs="Times New Roman"/>
                <w:szCs w:val="21"/>
              </w:rPr>
              <w:t xml:space="preserve"> </w:t>
            </w:r>
            <w:r>
              <w:rPr>
                <w:rFonts w:ascii="Times New Roman" w:hAnsi="Times New Roman" w:eastAsia="宋体" w:cs="Times New Roman"/>
                <w:szCs w:val="21"/>
              </w:rPr>
              <w:t>主机连接主控电脑方式：采用无线</w:t>
            </w:r>
            <w:r>
              <w:rPr>
                <w:rFonts w:ascii="Times New Roman" w:hAnsi="Times New Roman" w:cs="Times New Roman"/>
                <w:szCs w:val="21"/>
              </w:rPr>
              <w:t>wifi</w:t>
            </w:r>
            <w:r>
              <w:rPr>
                <w:rFonts w:ascii="Times New Roman" w:hAnsi="Times New Roman" w:eastAsia="宋体" w:cs="Times New Roman"/>
                <w:szCs w:val="21"/>
              </w:rPr>
              <w:t>和网线连接，通过本仪器控制软件实现远程控制，最大传输距离不少于</w:t>
            </w:r>
            <w:r>
              <w:rPr>
                <w:rFonts w:ascii="Times New Roman" w:hAnsi="Times New Roman" w:cs="Times New Roman"/>
                <w:szCs w:val="21"/>
              </w:rPr>
              <w:t>30</w:t>
            </w:r>
            <w:r>
              <w:rPr>
                <w:rFonts w:ascii="Times New Roman" w:hAnsi="Times New Roman" w:eastAsia="宋体" w:cs="Times New Roman"/>
                <w:szCs w:val="21"/>
              </w:rPr>
              <w:t>米而无信号衰减，不接受非主机控制软件实现的远程控制（</w:t>
            </w:r>
            <w:r>
              <w:rPr>
                <w:rFonts w:ascii="Times New Roman" w:hAnsi="Times New Roman" w:eastAsia="宋体" w:cs="Times New Roman"/>
              </w:rPr>
              <w:t>提供证明文件</w:t>
            </w:r>
            <w:r>
              <w:rPr>
                <w:rFonts w:ascii="Times New Roman" w:hAnsi="Times New Roman" w:eastAsia="宋体" w:cs="Times New Roman"/>
                <w:szCs w:val="21"/>
              </w:rPr>
              <w:t>）。</w:t>
            </w:r>
          </w:p>
          <w:p w14:paraId="7EEAE0B5">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4.检测方法及性能：</w:t>
            </w:r>
          </w:p>
          <w:p w14:paraId="544D325D">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4.1氨氮:</w:t>
            </w:r>
          </w:p>
          <w:p w14:paraId="354E298A">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检测范围：0- 30 mg/L</w:t>
            </w:r>
          </w:p>
          <w:p w14:paraId="171604DB">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检测极限：0.01 mg /L</w:t>
            </w:r>
          </w:p>
          <w:p w14:paraId="66C9D6E7">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变异系数: ≤1%.</w:t>
            </w:r>
          </w:p>
          <w:p w14:paraId="32D6A71A">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4.2全氮:</w:t>
            </w:r>
          </w:p>
          <w:p w14:paraId="6C25196F">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xml:space="preserve">检测范围： 0 – 2.5至0 - 25mg N / L </w:t>
            </w:r>
          </w:p>
          <w:p w14:paraId="33D6DA2B">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检测限：0.006mg/L</w:t>
            </w:r>
          </w:p>
          <w:p w14:paraId="3093B650">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变异系数: ≤1%。</w:t>
            </w:r>
          </w:p>
          <w:p w14:paraId="57FED5CD">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xml:space="preserve"># 4.3硝酸盐氮/亚硝酸盐氮:  </w:t>
            </w:r>
          </w:p>
          <w:p w14:paraId="6D74B7A2">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检测范围：NO3-N: 0.2-20.0mg/L,NO2-N: 0.01-2.0mg/L(以N计)</w:t>
            </w:r>
          </w:p>
          <w:p w14:paraId="61EB507D">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检测限： NO3-N:0.01mg/L(以N计),NO2-N:0.002mg/L(以N计)</w:t>
            </w:r>
          </w:p>
          <w:p w14:paraId="14A8FBFC">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xml:space="preserve">变异系数: ≤1%                     </w:t>
            </w:r>
          </w:p>
          <w:p w14:paraId="6643E9E1">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4.4磷酸盐:</w:t>
            </w:r>
          </w:p>
          <w:p w14:paraId="5F9B285B">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检测范围：0- 50mg/L(以P计)</w:t>
            </w:r>
          </w:p>
          <w:p w14:paraId="0ADEEEC3">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检测限：0.07mg /L(以P计)</w:t>
            </w:r>
          </w:p>
          <w:p w14:paraId="50A08C7D">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变异系数: ≤1%.</w:t>
            </w:r>
          </w:p>
          <w:p w14:paraId="01AFDE93">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4.5全磷:</w:t>
            </w:r>
          </w:p>
          <w:p w14:paraId="35DD1458">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检测范围：0- 45mg/L(以P计)</w:t>
            </w:r>
          </w:p>
          <w:p w14:paraId="4FB09EAD">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检测限：0.009mg /L(以P计)</w:t>
            </w:r>
          </w:p>
          <w:p w14:paraId="38A3A445">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变异系数: ≤1%.</w:t>
            </w:r>
          </w:p>
          <w:p w14:paraId="1A5E12DB">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4.6硼:</w:t>
            </w:r>
          </w:p>
          <w:p w14:paraId="3689594E">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检测范围：0 - 5  to  0 - 50 mg/L</w:t>
            </w:r>
          </w:p>
          <w:p w14:paraId="601556E2">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检测限：1.00 mg/L</w:t>
            </w:r>
          </w:p>
          <w:p w14:paraId="47C4097F">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变异系数: ≤1%.</w:t>
            </w:r>
          </w:p>
          <w:p w14:paraId="0AC2AE33">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4.7氯化物:</w:t>
            </w:r>
          </w:p>
          <w:p w14:paraId="4968390A">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检测范围：0-25至0-250 mg/L(以Cl计)</w:t>
            </w:r>
          </w:p>
          <w:p w14:paraId="1FCF2712">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检测限：0.09mg/L</w:t>
            </w:r>
          </w:p>
          <w:p w14:paraId="44950C85">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变异系数: ≤1%.</w:t>
            </w:r>
          </w:p>
          <w:p w14:paraId="33AC8F67">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 4.8硫酸盐：</w:t>
            </w:r>
          </w:p>
          <w:p w14:paraId="4F8C9918">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量程范围：10-200mg/L(以S04计)</w:t>
            </w:r>
          </w:p>
          <w:p w14:paraId="7FF7594D">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检出限：0.005mg/L</w:t>
            </w:r>
          </w:p>
          <w:p w14:paraId="408D61B0">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4.9钾、钠：</w:t>
            </w:r>
          </w:p>
          <w:p w14:paraId="176F71A4">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量程范围：0-1000mg/L(以K计)</w:t>
            </w:r>
          </w:p>
          <w:p w14:paraId="30E2F420">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检出限：0.1mg/L</w:t>
            </w:r>
          </w:p>
          <w:p w14:paraId="3B9B6427">
            <w:pPr>
              <w:pStyle w:val="3"/>
              <w:adjustRightInd w:val="0"/>
              <w:snapToGrid w:val="0"/>
              <w:spacing w:before="0" w:beforeAutospacing="0" w:after="0" w:afterAutospacing="0"/>
              <w:rPr>
                <w:rFonts w:ascii="Times New Roman" w:hAnsi="Times New Roman" w:eastAsia="宋体" w:cs="Times New Roman"/>
              </w:rPr>
            </w:pPr>
            <w:r>
              <w:rPr>
                <w:rFonts w:ascii="Segoe UI Symbol" w:hAnsi="Segoe UI Symbol" w:eastAsia="宋体" w:cs="Segoe UI Symbol"/>
              </w:rPr>
              <w:t>★</w:t>
            </w:r>
            <w:r>
              <w:rPr>
                <w:rFonts w:ascii="Times New Roman" w:hAnsi="Times New Roman" w:eastAsia="宋体" w:cs="Times New Roman"/>
              </w:rPr>
              <w:t>4.10碳酸盐&amp;碳酸氢盐的测定</w:t>
            </w:r>
          </w:p>
          <w:p w14:paraId="563DE545">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分析方法：pH光度指示法</w:t>
            </w:r>
          </w:p>
          <w:p w14:paraId="13D661BA">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检出限：1mg/L</w:t>
            </w:r>
          </w:p>
          <w:p w14:paraId="3813D622">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检测范围：0-300mg/L</w:t>
            </w:r>
          </w:p>
          <w:p w14:paraId="7D37106B">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5、消耗品和化学试剂要求：</w:t>
            </w:r>
          </w:p>
          <w:p w14:paraId="5B3CB406">
            <w:pPr>
              <w:pStyle w:val="3"/>
              <w:adjustRightInd w:val="0"/>
              <w:snapToGrid w:val="0"/>
              <w:spacing w:before="0" w:beforeAutospacing="0" w:after="0" w:afterAutospacing="0"/>
              <w:rPr>
                <w:rFonts w:ascii="Times New Roman" w:hAnsi="Times New Roman" w:eastAsia="宋体" w:cs="Times New Roman"/>
              </w:rPr>
            </w:pPr>
            <w:r>
              <w:rPr>
                <w:rFonts w:ascii="Times New Roman" w:hAnsi="Times New Roman" w:eastAsia="宋体" w:cs="Times New Roman"/>
              </w:rPr>
              <w:t>5.1随机配备两年期的消耗品，要求列出两年消耗品（泵管，连接管，玻璃圈等）清单。</w:t>
            </w:r>
          </w:p>
          <w:p w14:paraId="7AA6CEAB">
            <w:pPr>
              <w:pStyle w:val="3"/>
              <w:adjustRightInd w:val="0"/>
              <w:snapToGrid w:val="0"/>
              <w:spacing w:before="0" w:beforeAutospacing="0" w:after="0" w:afterAutospacing="0"/>
              <w:jc w:val="both"/>
              <w:rPr>
                <w:rFonts w:ascii="Times New Roman" w:hAnsi="Times New Roman" w:eastAsia="宋体" w:cs="Times New Roman"/>
              </w:rPr>
            </w:pPr>
            <w:r>
              <w:rPr>
                <w:rFonts w:ascii="Times New Roman" w:hAnsi="Times New Roman" w:eastAsia="宋体" w:cs="Times New Roman"/>
              </w:rPr>
              <w:t>5.2化学试剂要求：列出检测项目试剂清单，所有检测项目都能用国产试剂运行。</w:t>
            </w:r>
          </w:p>
        </w:tc>
      </w:tr>
      <w:tr w14:paraId="5DE3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2" w:hRule="atLeast"/>
        </w:trPr>
        <w:tc>
          <w:tcPr>
            <w:tcW w:w="1179" w:type="pct"/>
            <w:tcBorders>
              <w:top w:val="single" w:color="auto" w:sz="4" w:space="0"/>
              <w:right w:val="single" w:color="auto" w:sz="4" w:space="0"/>
            </w:tcBorders>
            <w:noWrap w:val="0"/>
            <w:vAlign w:val="center"/>
          </w:tcPr>
          <w:p w14:paraId="07E31C9E">
            <w:pPr>
              <w:jc w:val="center"/>
              <w:rPr>
                <w:rFonts w:ascii="Times New Roman" w:hAnsi="Times New Roman" w:eastAsia="宋体" w:cs="Times New Roman"/>
                <w:sz w:val="24"/>
              </w:rPr>
            </w:pPr>
            <w:r>
              <w:rPr>
                <w:rFonts w:ascii="Times New Roman" w:hAnsi="Times New Roman" w:eastAsia="宋体" w:cs="Times New Roman"/>
                <w:sz w:val="24"/>
              </w:rPr>
              <w:t>服务需求</w:t>
            </w:r>
          </w:p>
        </w:tc>
        <w:tc>
          <w:tcPr>
            <w:tcW w:w="3821" w:type="pct"/>
            <w:gridSpan w:val="3"/>
            <w:tcBorders>
              <w:top w:val="single" w:color="auto" w:sz="4" w:space="0"/>
              <w:left w:val="single" w:color="auto" w:sz="4" w:space="0"/>
              <w:right w:val="single" w:color="auto" w:sz="4" w:space="0"/>
            </w:tcBorders>
            <w:noWrap w:val="0"/>
            <w:vAlign w:val="top"/>
          </w:tcPr>
          <w:p w14:paraId="0DF108D9">
            <w:pPr>
              <w:autoSpaceDE w:val="0"/>
              <w:autoSpaceDN w:val="0"/>
              <w:adjustRightInd w:val="0"/>
              <w:snapToGrid w:val="0"/>
              <w:spacing w:before="62" w:beforeLines="20"/>
              <w:rPr>
                <w:rFonts w:ascii="Times New Roman" w:hAnsi="Times New Roman" w:eastAsia="宋体" w:cs="Times New Roman"/>
                <w:sz w:val="24"/>
              </w:rPr>
            </w:pPr>
            <w:r>
              <w:rPr>
                <w:rFonts w:ascii="Times New Roman" w:hAnsi="Times New Roman" w:eastAsia="宋体" w:cs="Times New Roman"/>
                <w:sz w:val="24"/>
              </w:rPr>
              <w:t xml:space="preserve">1、供应商免费安排工程师上门安装、调试，免费为用户进行操作及维护培训。 </w:t>
            </w:r>
          </w:p>
          <w:p w14:paraId="12A86EB3">
            <w:pPr>
              <w:autoSpaceDE w:val="0"/>
              <w:autoSpaceDN w:val="0"/>
              <w:adjustRightInd w:val="0"/>
              <w:snapToGrid w:val="0"/>
              <w:rPr>
                <w:rFonts w:ascii="Times New Roman" w:hAnsi="Times New Roman" w:eastAsia="宋体" w:cs="Times New Roman"/>
                <w:sz w:val="24"/>
              </w:rPr>
            </w:pPr>
            <w:r>
              <w:rPr>
                <w:rFonts w:ascii="Times New Roman" w:hAnsi="Times New Roman" w:eastAsia="宋体" w:cs="Times New Roman"/>
                <w:sz w:val="24"/>
              </w:rPr>
              <w:t>2、质保期</w:t>
            </w:r>
            <w:r>
              <w:rPr>
                <w:rFonts w:ascii="Times New Roman" w:hAnsi="Times New Roman" w:eastAsia="宋体" w:cs="Times New Roman"/>
                <w:sz w:val="24"/>
                <w:u w:val="single"/>
              </w:rPr>
              <w:t xml:space="preserve">  1  </w:t>
            </w:r>
            <w:r>
              <w:rPr>
                <w:rFonts w:ascii="Times New Roman" w:hAnsi="Times New Roman" w:eastAsia="宋体" w:cs="Times New Roman"/>
                <w:sz w:val="24"/>
              </w:rPr>
              <w:t>年，质保期内免费维修或更换部件，维修2次仍无法正常使用应整体更换。质保期后，供应商以优惠价格负责后续维修保养，提供全周期技术支持。</w:t>
            </w:r>
          </w:p>
          <w:p w14:paraId="3208199B">
            <w:pPr>
              <w:autoSpaceDE w:val="0"/>
              <w:autoSpaceDN w:val="0"/>
              <w:adjustRightInd w:val="0"/>
              <w:snapToGrid w:val="0"/>
              <w:rPr>
                <w:rFonts w:ascii="Times New Roman" w:hAnsi="Times New Roman" w:eastAsia="宋体" w:cs="Times New Roman"/>
                <w:sz w:val="24"/>
              </w:rPr>
            </w:pPr>
            <w:r>
              <w:rPr>
                <w:rFonts w:ascii="Times New Roman" w:hAnsi="Times New Roman" w:eastAsia="宋体" w:cs="Times New Roman"/>
                <w:sz w:val="24"/>
              </w:rPr>
              <w:t>3、供应商应在接到售后服务要求后4小时内响应、24小时内安排技术人员解决或提供解决方案。出现重大紧急故障，应在接到通知后48小时内赶赴现场排除故障。</w:t>
            </w:r>
          </w:p>
        </w:tc>
      </w:tr>
      <w:tr w14:paraId="76CAE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179" w:type="pct"/>
            <w:noWrap w:val="0"/>
            <w:vAlign w:val="center"/>
          </w:tcPr>
          <w:p w14:paraId="17B6F15B">
            <w:pPr>
              <w:jc w:val="center"/>
              <w:rPr>
                <w:rFonts w:ascii="Times New Roman" w:hAnsi="Times New Roman" w:eastAsia="宋体" w:cs="Times New Roman"/>
                <w:sz w:val="24"/>
              </w:rPr>
            </w:pPr>
            <w:r>
              <w:rPr>
                <w:rFonts w:ascii="Times New Roman" w:hAnsi="Times New Roman" w:eastAsia="宋体" w:cs="Times New Roman"/>
                <w:sz w:val="24"/>
              </w:rPr>
              <w:t>其他说明事项</w:t>
            </w:r>
          </w:p>
        </w:tc>
        <w:tc>
          <w:tcPr>
            <w:tcW w:w="3821" w:type="pct"/>
            <w:gridSpan w:val="3"/>
            <w:tcBorders>
              <w:top w:val="single" w:color="auto" w:sz="4" w:space="0"/>
            </w:tcBorders>
            <w:noWrap w:val="0"/>
            <w:vAlign w:val="center"/>
          </w:tcPr>
          <w:p w14:paraId="4E6D71D1">
            <w:pPr>
              <w:jc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1.付款方式：预付60%，安装调试完付40%</w:t>
            </w:r>
          </w:p>
        </w:tc>
      </w:tr>
    </w:tbl>
    <w:p w14:paraId="52EAB919">
      <w:pPr>
        <w:widowControl/>
        <w:spacing w:line="360" w:lineRule="atLeast"/>
        <w:rPr>
          <w:rFonts w:ascii="Times New Roman" w:hAnsi="Times New Roman" w:eastAsia="宋体" w:cs="Times New Roman"/>
          <w:b/>
          <w:sz w:val="30"/>
          <w:szCs w:val="30"/>
        </w:rPr>
      </w:pPr>
    </w:p>
    <w:p w14:paraId="68A89318">
      <w:bookmarkStart w:id="1" w:name="_GoBack"/>
      <w:bookmarkEnd w:id="1"/>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Malgun Gothic Semilight"/>
    <w:panose1 w:val="020B0604020202020204"/>
    <w:charset w:val="00"/>
    <w:family w:val="roman"/>
    <w:pitch w:val="default"/>
    <w:sig w:usb0="00000000" w:usb1="00000000" w:usb2="00000000" w:usb3="00000000" w:csb0="0000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Malgun Gothic Semilight">
    <w:panose1 w:val="020B0502040204020203"/>
    <w:charset w:val="86"/>
    <w:family w:val="auto"/>
    <w:pitch w:val="default"/>
    <w:sig w:usb0="900002AF" w:usb1="01D77CFB" w:usb2="00000012" w:usb3="00000000" w:csb0="203E01BD" w:csb1="D7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003D22"/>
    <w:rsid w:val="28003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 w:type="paragraph" w:styleId="3">
    <w:name w:val="Normal (Web)"/>
    <w:qFormat/>
    <w:uiPriority w:val="99"/>
    <w:pPr>
      <w:widowControl/>
      <w:spacing w:before="100" w:beforeAutospacing="1" w:after="100" w:afterAutospacing="1"/>
      <w:jc w:val="left"/>
    </w:pPr>
    <w:rPr>
      <w:rFonts w:ascii="Arial Unicode MS" w:hAnsi="Arial Unicode MS" w:eastAsia="Arial Unicode MS" w:cs="Arial Unicode MS"/>
      <w:kern w:val="0"/>
      <w:sz w:val="24"/>
      <w:szCs w:val="24"/>
      <w:lang w:val="en-US" w:eastAsia="zh-CN" w:bidi="ar-SA"/>
    </w:rPr>
  </w:style>
  <w:style w:type="character" w:styleId="6">
    <w:name w:val="annotation reference"/>
    <w:qFormat/>
    <w:uiPriority w:val="99"/>
    <w:rPr>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2025-09-08T09:23:00Z</dcterms:created>
  <dc:creator>顾嘉宁</dc:creator>
  <cp:lastModifiedBy>顾嘉宁</cp:lastModifiedBy>
  <dcterms:modified xsi:type="dcterms:W3CDTF">2025-09-08T09:24:00Z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583B4C8B150545FBBD248D88A3919B98_11</vt:lpwstr>
  </property>
</Properties>
</file>