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40268">
      <w:pPr>
        <w:autoSpaceDE w:val="0"/>
        <w:autoSpaceDN w:val="0"/>
        <w:adjustRightInd w:val="0"/>
        <w:spacing w:line="360" w:lineRule="auto"/>
        <w:ind w:firstLine="2650" w:firstLineChars="600"/>
        <w:outlineLvl w:val="0"/>
        <w:rPr>
          <w:rFonts w:ascii="宋体" w:hAnsi="宋体" w:eastAsia="宋体" w:cs="宋体"/>
          <w:b/>
          <w:bCs/>
          <w:kern w:val="0"/>
          <w:sz w:val="44"/>
          <w:szCs w:val="44"/>
          <w:lang w:val="zh-CN"/>
        </w:rPr>
      </w:pPr>
      <w:bookmarkStart w:id="2" w:name="_GoBack"/>
      <w:bookmarkEnd w:id="2"/>
      <w:r>
        <w:rPr>
          <w:rFonts w:hint="eastAsia" w:ascii="宋体" w:hAnsi="宋体" w:eastAsia="宋体" w:cs="宋体"/>
          <w:b/>
          <w:bCs/>
          <w:kern w:val="0"/>
          <w:sz w:val="44"/>
          <w:szCs w:val="44"/>
          <w:lang w:val="zh-CN"/>
        </w:rPr>
        <w:t>项目需求</w:t>
      </w:r>
      <w:bookmarkStart w:id="0" w:name="OLE_LINK1"/>
    </w:p>
    <w:p w14:paraId="1C0CC37E">
      <w:pPr>
        <w:keepNext/>
        <w:keepLines/>
        <w:spacing w:before="240" w:after="120" w:line="360" w:lineRule="auto"/>
        <w:jc w:val="center"/>
        <w:outlineLvl w:val="1"/>
        <w:rPr>
          <w:rFonts w:ascii="Times New Roman" w:hAnsi="Times New Roman" w:eastAsia="宋体" w:cs="Times New Roman"/>
          <w:b/>
          <w:bCs/>
          <w:sz w:val="32"/>
          <w:szCs w:val="32"/>
        </w:rPr>
      </w:pPr>
      <w:r>
        <w:rPr>
          <w:rFonts w:ascii="Times New Roman" w:hAnsi="Times New Roman" w:eastAsia="宋体" w:cs="Times New Roman"/>
          <w:b/>
          <w:bCs/>
          <w:sz w:val="32"/>
          <w:szCs w:val="32"/>
        </w:rPr>
        <w:t>一、货物需求一览表</w:t>
      </w:r>
    </w:p>
    <w:p w14:paraId="21C697FD">
      <w:pPr>
        <w:adjustRightInd w:val="0"/>
        <w:snapToGrid w:val="0"/>
        <w:spacing w:line="360" w:lineRule="auto"/>
        <w:jc w:val="center"/>
        <w:rPr>
          <w:rFonts w:ascii="Times New Roman" w:hAnsi="Times New Roman" w:eastAsia="宋体" w:cs="Times New Roman"/>
          <w:b/>
          <w:color w:val="000000"/>
          <w:sz w:val="30"/>
          <w:szCs w:val="30"/>
        </w:rPr>
      </w:pPr>
    </w:p>
    <w:tbl>
      <w:tblPr>
        <w:tblStyle w:val="6"/>
        <w:tblW w:w="92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74"/>
        <w:gridCol w:w="915"/>
        <w:gridCol w:w="2219"/>
        <w:gridCol w:w="2701"/>
      </w:tblGrid>
      <w:tr w14:paraId="69C3E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96" w:hRule="atLeast"/>
          <w:jc w:val="center"/>
        </w:trPr>
        <w:tc>
          <w:tcPr>
            <w:tcW w:w="762" w:type="dxa"/>
            <w:vAlign w:val="center"/>
          </w:tcPr>
          <w:p w14:paraId="2407EF13">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包号</w:t>
            </w:r>
          </w:p>
        </w:tc>
        <w:tc>
          <w:tcPr>
            <w:tcW w:w="2674" w:type="dxa"/>
            <w:vAlign w:val="center"/>
          </w:tcPr>
          <w:p w14:paraId="03D87228">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货物名称</w:t>
            </w:r>
          </w:p>
        </w:tc>
        <w:tc>
          <w:tcPr>
            <w:tcW w:w="915" w:type="dxa"/>
            <w:vAlign w:val="center"/>
          </w:tcPr>
          <w:p w14:paraId="1E7A80BC">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数量</w:t>
            </w:r>
          </w:p>
        </w:tc>
        <w:tc>
          <w:tcPr>
            <w:tcW w:w="2219" w:type="dxa"/>
            <w:vAlign w:val="center"/>
          </w:tcPr>
          <w:p w14:paraId="476E99F6">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b/>
                <w:bCs/>
                <w:sz w:val="24"/>
                <w:szCs w:val="24"/>
              </w:rPr>
            </w:pPr>
            <w:r>
              <w:rPr>
                <w:rFonts w:hint="eastAsia" w:ascii="Times New Roman" w:hAnsi="Times New Roman" w:eastAsia="宋体" w:cs="Times New Roman"/>
                <w:sz w:val="24"/>
                <w:szCs w:val="24"/>
              </w:rPr>
              <w:t>交货期</w:t>
            </w:r>
          </w:p>
        </w:tc>
        <w:tc>
          <w:tcPr>
            <w:tcW w:w="2701" w:type="dxa"/>
            <w:vAlign w:val="center"/>
          </w:tcPr>
          <w:p w14:paraId="28A083B6">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交货地点</w:t>
            </w:r>
          </w:p>
        </w:tc>
      </w:tr>
      <w:tr w14:paraId="4B778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0" w:hRule="atLeast"/>
          <w:jc w:val="center"/>
        </w:trPr>
        <w:tc>
          <w:tcPr>
            <w:tcW w:w="762" w:type="dxa"/>
            <w:vAlign w:val="center"/>
          </w:tcPr>
          <w:p w14:paraId="44EAA609">
            <w:pPr>
              <w:keepNext w:val="0"/>
              <w:keepLines w:val="0"/>
              <w:suppressLineNumbers w:val="0"/>
              <w:spacing w:before="0" w:beforeAutospacing="0" w:after="0" w:afterAutospacing="0" w:line="360" w:lineRule="auto"/>
              <w:ind w:left="0" w:right="0"/>
              <w:jc w:val="center"/>
              <w:rPr>
                <w:rFonts w:hint="eastAsia" w:ascii="宋体" w:hAnsi="Times New Roman" w:eastAsia="宋体" w:cs="Times New Roman"/>
                <w:sz w:val="24"/>
                <w:szCs w:val="24"/>
              </w:rPr>
            </w:pPr>
            <w:r>
              <w:rPr>
                <w:rFonts w:hint="eastAsia" w:ascii="宋体" w:hAnsi="Times New Roman" w:eastAsia="宋体" w:cs="Times New Roman"/>
                <w:sz w:val="24"/>
                <w:szCs w:val="24"/>
              </w:rPr>
              <w:t>1</w:t>
            </w:r>
          </w:p>
        </w:tc>
        <w:tc>
          <w:tcPr>
            <w:tcW w:w="2674" w:type="dxa"/>
            <w:vAlign w:val="center"/>
          </w:tcPr>
          <w:p w14:paraId="17AEA027">
            <w:pPr>
              <w:keepNext w:val="0"/>
              <w:keepLines w:val="0"/>
              <w:suppressLineNumbers w:val="0"/>
              <w:spacing w:before="0" w:beforeAutospacing="0" w:after="0" w:afterAutospacing="0" w:line="360" w:lineRule="auto"/>
              <w:ind w:left="0" w:right="0"/>
              <w:jc w:val="center"/>
              <w:rPr>
                <w:rFonts w:hint="eastAsia" w:ascii="Bookman Old Style" w:hAnsi="Bookman Old Style" w:eastAsia="宋体" w:cs="Times New Roman"/>
                <w:sz w:val="24"/>
                <w:szCs w:val="24"/>
              </w:rPr>
            </w:pPr>
            <w:r>
              <w:rPr>
                <w:rFonts w:hint="eastAsia" w:ascii="Bookman Old Style" w:hAnsi="Bookman Old Style" w:eastAsia="宋体" w:cs="Times New Roman"/>
                <w:sz w:val="24"/>
                <w:szCs w:val="24"/>
              </w:rPr>
              <w:t>代谢成像质谱</w:t>
            </w:r>
          </w:p>
        </w:tc>
        <w:tc>
          <w:tcPr>
            <w:tcW w:w="915" w:type="dxa"/>
            <w:vAlign w:val="center"/>
          </w:tcPr>
          <w:p w14:paraId="7C1EC7F9">
            <w:pPr>
              <w:keepNext w:val="0"/>
              <w:keepLines w:val="0"/>
              <w:suppressLineNumbers w:val="0"/>
              <w:spacing w:before="0" w:beforeAutospacing="0" w:after="0" w:afterAutospacing="0" w:line="360" w:lineRule="auto"/>
              <w:ind w:left="0" w:right="0"/>
              <w:jc w:val="center"/>
              <w:rPr>
                <w:rFonts w:hint="eastAsia" w:ascii="Times New Roman" w:hAnsi="Times New Roman" w:eastAsia="宋体"/>
                <w:sz w:val="24"/>
              </w:rPr>
            </w:pPr>
          </w:p>
          <w:p w14:paraId="6FD58871">
            <w:pPr>
              <w:keepNext w:val="0"/>
              <w:keepLines w:val="0"/>
              <w:suppressLineNumbers w:val="0"/>
              <w:spacing w:before="0" w:beforeAutospacing="0" w:after="0" w:afterAutospacing="0" w:line="360" w:lineRule="auto"/>
              <w:ind w:left="0" w:right="0"/>
              <w:jc w:val="center"/>
              <w:rPr>
                <w:rFonts w:hint="eastAsia" w:ascii="Times New Roman" w:hAnsi="Times New Roman" w:eastAsia="宋体"/>
                <w:sz w:val="24"/>
              </w:rPr>
            </w:pPr>
            <w:r>
              <w:rPr>
                <w:rFonts w:hint="eastAsia" w:ascii="Times New Roman" w:hAnsi="Times New Roman" w:eastAsia="宋体"/>
                <w:sz w:val="24"/>
              </w:rPr>
              <w:t>1套</w:t>
            </w:r>
          </w:p>
          <w:p w14:paraId="7DA16535">
            <w:pPr>
              <w:keepNext w:val="0"/>
              <w:keepLines w:val="0"/>
              <w:suppressLineNumbers w:val="0"/>
              <w:spacing w:before="0" w:beforeAutospacing="0" w:after="0" w:afterAutospacing="0" w:line="360" w:lineRule="auto"/>
              <w:ind w:left="0" w:right="0"/>
              <w:jc w:val="center"/>
              <w:rPr>
                <w:rFonts w:hint="eastAsia" w:ascii="宋体" w:hAnsi="Bookman Old Style" w:eastAsia="宋体" w:cs="Times New Roman"/>
                <w:sz w:val="24"/>
                <w:szCs w:val="24"/>
              </w:rPr>
            </w:pPr>
          </w:p>
        </w:tc>
        <w:tc>
          <w:tcPr>
            <w:tcW w:w="2219" w:type="dxa"/>
            <w:vAlign w:val="center"/>
          </w:tcPr>
          <w:p w14:paraId="1E18E5FD">
            <w:pPr>
              <w:keepNext w:val="0"/>
              <w:keepLines w:val="0"/>
              <w:suppressLineNumbers w:val="0"/>
              <w:spacing w:before="0" w:beforeAutospacing="0" w:after="0" w:afterAutospacing="0" w:line="360" w:lineRule="auto"/>
              <w:ind w:left="0" w:right="0"/>
              <w:jc w:val="center"/>
              <w:rPr>
                <w:rFonts w:hint="default" w:ascii="宋体" w:hAnsi="Bookman Old Style" w:eastAsia="宋体" w:cs="Times New Roman"/>
                <w:sz w:val="24"/>
                <w:szCs w:val="24"/>
                <w:lang w:val="en-US" w:eastAsia="zh-CN"/>
              </w:rPr>
            </w:pPr>
            <w:r>
              <w:rPr>
                <w:rFonts w:hint="eastAsia" w:ascii="宋体" w:hAnsi="Bookman Old Style" w:eastAsia="宋体" w:cs="Times New Roman"/>
                <w:sz w:val="24"/>
                <w:szCs w:val="24"/>
                <w:lang w:val="en-US" w:eastAsia="zh-CN"/>
                <w:woUserID w:val="2"/>
              </w:rPr>
              <w:t>详见商务要求</w:t>
            </w:r>
          </w:p>
        </w:tc>
        <w:tc>
          <w:tcPr>
            <w:tcW w:w="2701" w:type="dxa"/>
            <w:vAlign w:val="center"/>
          </w:tcPr>
          <w:p w14:paraId="16A95B2F">
            <w:pPr>
              <w:keepNext w:val="0"/>
              <w:keepLines w:val="0"/>
              <w:suppressLineNumbers w:val="0"/>
              <w:spacing w:before="0" w:beforeAutospacing="0" w:after="0" w:afterAutospacing="0" w:line="360" w:lineRule="auto"/>
              <w:ind w:left="0" w:right="0"/>
              <w:jc w:val="center"/>
              <w:rPr>
                <w:rFonts w:hint="eastAsia" w:ascii="宋体" w:hAnsi="Bookman Old Style" w:eastAsia="宋体" w:cs="Times New Roman"/>
                <w:sz w:val="24"/>
                <w:szCs w:val="24"/>
              </w:rPr>
            </w:pPr>
            <w:r>
              <w:rPr>
                <w:rFonts w:hint="eastAsia" w:ascii="宋体" w:hAnsi="Bookman Old Style" w:eastAsia="宋体" w:cs="Times New Roman"/>
                <w:sz w:val="24"/>
                <w:szCs w:val="24"/>
                <w:lang w:val="en-US" w:eastAsia="zh-CN"/>
                <w:woUserID w:val="2"/>
              </w:rPr>
              <w:t>详见商务要求</w:t>
            </w:r>
          </w:p>
        </w:tc>
      </w:tr>
    </w:tbl>
    <w:p w14:paraId="588E9D91">
      <w:pPr>
        <w:spacing w:line="360" w:lineRule="auto"/>
        <w:rPr>
          <w:color w:val="000000"/>
          <w:sz w:val="24"/>
        </w:rPr>
      </w:pPr>
      <w:r>
        <w:rPr>
          <w:color w:val="000000"/>
          <w:sz w:val="24"/>
        </w:rPr>
        <w:t>注：</w:t>
      </w:r>
    </w:p>
    <w:p w14:paraId="17E19C64">
      <w:pPr>
        <w:spacing w:line="360" w:lineRule="auto"/>
        <w:rPr>
          <w:color w:val="000000"/>
          <w:sz w:val="24"/>
        </w:rPr>
      </w:pPr>
      <w:r>
        <w:rPr>
          <w:rFonts w:hint="eastAsia"/>
          <w:color w:val="000000"/>
          <w:sz w:val="24"/>
        </w:rPr>
        <w:t>1、本项目共一个包，</w:t>
      </w:r>
      <w:r>
        <w:rPr>
          <w:color w:val="000000"/>
          <w:sz w:val="24"/>
        </w:rPr>
        <w:t>投标人须对上述投标内容中完整的一包进行投标</w:t>
      </w:r>
      <w:r>
        <w:rPr>
          <w:rFonts w:hint="eastAsia"/>
          <w:color w:val="000000"/>
          <w:sz w:val="24"/>
        </w:rPr>
        <w:t>响应</w:t>
      </w:r>
      <w:r>
        <w:rPr>
          <w:color w:val="000000"/>
          <w:sz w:val="24"/>
        </w:rPr>
        <w:t>，不完整的投标将视为非响应性投标予以拒绝。</w:t>
      </w:r>
    </w:p>
    <w:p w14:paraId="71FA2C68">
      <w:pPr>
        <w:adjustRightInd w:val="0"/>
        <w:snapToGrid w:val="0"/>
        <w:spacing w:line="360" w:lineRule="auto"/>
        <w:rPr>
          <w:rFonts w:ascii="Times New Roman" w:hAnsi="Times New Roman" w:eastAsia="宋体" w:cs="Times New Roman"/>
          <w:b/>
          <w:color w:val="000000"/>
          <w:sz w:val="30"/>
          <w:szCs w:val="30"/>
        </w:rPr>
      </w:pPr>
    </w:p>
    <w:p w14:paraId="585938DC">
      <w:pPr>
        <w:adjustRightInd w:val="0"/>
        <w:snapToGrid w:val="0"/>
        <w:spacing w:line="360" w:lineRule="auto"/>
        <w:jc w:val="center"/>
        <w:rPr>
          <w:rFonts w:ascii="Times New Roman" w:hAnsi="Times New Roman" w:eastAsia="宋体" w:cs="Times New Roman"/>
          <w:b/>
          <w:color w:val="000000"/>
          <w:sz w:val="30"/>
          <w:szCs w:val="30"/>
        </w:rPr>
      </w:pPr>
    </w:p>
    <w:p w14:paraId="437122BA">
      <w:pPr>
        <w:spacing w:after="120" w:line="360" w:lineRule="auto"/>
        <w:ind w:left="420" w:leftChars="200" w:firstLine="420" w:firstLineChars="200"/>
        <w:rPr>
          <w:rFonts w:ascii="Times New Roman" w:hAnsi="Times New Roman" w:eastAsia="宋体" w:cs="Times New Roman"/>
          <w:szCs w:val="24"/>
        </w:rPr>
      </w:pPr>
    </w:p>
    <w:p w14:paraId="2629AB9D">
      <w:pPr>
        <w:widowControl/>
        <w:spacing w:line="360" w:lineRule="auto"/>
        <w:jc w:val="left"/>
        <w:rPr>
          <w:rFonts w:ascii="Times New Roman" w:hAnsi="Times New Roman" w:eastAsia="宋体" w:cs="Times New Roman"/>
          <w:b/>
          <w:bCs/>
          <w:sz w:val="32"/>
          <w:szCs w:val="32"/>
        </w:rPr>
      </w:pPr>
      <w:r>
        <w:rPr>
          <w:rFonts w:ascii="Times New Roman" w:hAnsi="Times New Roman" w:eastAsia="宋体" w:cs="Times New Roman"/>
          <w:bCs/>
          <w:sz w:val="32"/>
          <w:szCs w:val="32"/>
        </w:rPr>
        <w:br w:type="page"/>
      </w:r>
    </w:p>
    <w:p w14:paraId="5D1989A1">
      <w:pPr>
        <w:keepNext/>
        <w:keepLines/>
        <w:spacing w:before="240" w:after="120" w:line="360" w:lineRule="auto"/>
        <w:jc w:val="center"/>
        <w:outlineLvl w:val="1"/>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二、总则</w:t>
      </w:r>
    </w:p>
    <w:p w14:paraId="7E4F208F">
      <w:pPr>
        <w:autoSpaceDE w:val="0"/>
        <w:autoSpaceDN w:val="0"/>
        <w:adjustRightInd w:val="0"/>
        <w:spacing w:line="360" w:lineRule="auto"/>
        <w:ind w:firstLine="420"/>
        <w:jc w:val="left"/>
        <w:rPr>
          <w:rFonts w:ascii="宋体" w:hAnsi="Times New Roman" w:eastAsia="宋体" w:cs="Times New Roman"/>
          <w:kern w:val="0"/>
          <w:sz w:val="24"/>
          <w:szCs w:val="20"/>
        </w:rPr>
      </w:pPr>
    </w:p>
    <w:p w14:paraId="2492EAD0">
      <w:pPr>
        <w:spacing w:line="360" w:lineRule="auto"/>
        <w:rPr>
          <w:rFonts w:ascii="宋体" w:hAnsi="宋体" w:eastAsia="宋体" w:cs="Times New Roman"/>
          <w:bCs/>
          <w:sz w:val="24"/>
          <w:szCs w:val="24"/>
        </w:rPr>
      </w:pPr>
      <w:bookmarkStart w:id="1" w:name="_Hlk108442230"/>
      <w:r>
        <w:rPr>
          <w:rFonts w:hint="eastAsia" w:ascii="宋体" w:hAnsi="宋体" w:eastAsia="宋体" w:cs="Times New Roman"/>
          <w:bCs/>
          <w:sz w:val="24"/>
          <w:szCs w:val="24"/>
        </w:rPr>
        <w:t>1、投标要求</w:t>
      </w:r>
    </w:p>
    <w:p w14:paraId="5D32EE05">
      <w:pPr>
        <w:spacing w:line="360" w:lineRule="auto"/>
        <w:rPr>
          <w:rFonts w:ascii="宋体" w:hAnsi="宋体" w:eastAsia="宋体" w:cs="Times New Roman"/>
          <w:bCs/>
          <w:sz w:val="24"/>
          <w:szCs w:val="24"/>
        </w:rPr>
      </w:pPr>
      <w:r>
        <w:rPr>
          <w:rFonts w:hint="eastAsia" w:ascii="宋体" w:hAnsi="宋体" w:eastAsia="宋体" w:cs="Times New Roman"/>
          <w:bCs/>
          <w:sz w:val="24"/>
          <w:szCs w:val="24"/>
        </w:rPr>
        <w:t>1.1  投标人在准备投标书时，务必在所提供的商品的技术规格文件中，标明型号、商标名称、目录号。</w:t>
      </w:r>
    </w:p>
    <w:p w14:paraId="74031B8C">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1.2  </w:t>
      </w:r>
      <w:r>
        <w:rPr>
          <w:rFonts w:hint="eastAsia" w:ascii="宋体" w:hAnsi="宋体" w:eastAsia="宋体" w:cs="Times New Roman"/>
          <w:b/>
          <w:sz w:val="24"/>
          <w:szCs w:val="24"/>
        </w:rPr>
        <w:t>投标人提供的货物须是成熟的全新产品</w:t>
      </w:r>
      <w:r>
        <w:rPr>
          <w:rFonts w:hint="eastAsia" w:ascii="宋体" w:hAnsi="宋体" w:eastAsia="宋体" w:cs="Times New Roman"/>
          <w:bCs/>
          <w:sz w:val="24"/>
          <w:szCs w:val="24"/>
        </w:rPr>
        <w:t>，其技术规格应符合招标文件的要求。如与招标文件的技术规格有偏差，应提供技术规格偏差的量值或说明（偏离表）。如投标人有意隐瞒对规格要求的偏差或在开标后提出新的偏差，采购人有权拒绝其投标。</w:t>
      </w:r>
    </w:p>
    <w:p w14:paraId="2AC75CAA">
      <w:pPr>
        <w:spacing w:line="360" w:lineRule="auto"/>
        <w:rPr>
          <w:rFonts w:ascii="宋体" w:hAnsi="宋体" w:eastAsia="宋体" w:cs="Times New Roman"/>
          <w:bCs/>
          <w:sz w:val="24"/>
          <w:szCs w:val="24"/>
        </w:rPr>
      </w:pPr>
      <w:r>
        <w:rPr>
          <w:rFonts w:hint="eastAsia" w:ascii="宋体" w:hAnsi="宋体" w:eastAsia="宋体" w:cs="Times New Roman"/>
          <w:bCs/>
          <w:sz w:val="24"/>
          <w:szCs w:val="24"/>
        </w:rPr>
        <w:t>1.3  投标人提供的产品样本（如技术文件、官方彩页等）、图表、简图、电路图以及印刷电路板图等都应清晰易读，可以是英文版本，但必须提供中文译文件，当中英文冲突时以中文文件为准。采购人有权不付任何附加费用复制这些资料以供参考。</w:t>
      </w:r>
    </w:p>
    <w:p w14:paraId="2A33A425">
      <w:pPr>
        <w:spacing w:line="360" w:lineRule="auto"/>
        <w:rPr>
          <w:rFonts w:ascii="宋体" w:hAnsi="宋体" w:eastAsia="宋体" w:cs="Times New Roman"/>
          <w:bCs/>
          <w:sz w:val="24"/>
          <w:szCs w:val="24"/>
        </w:rPr>
      </w:pPr>
      <w:r>
        <w:rPr>
          <w:rFonts w:hint="eastAsia" w:ascii="宋体" w:hAnsi="宋体" w:eastAsia="宋体" w:cs="Times New Roman"/>
          <w:bCs/>
          <w:sz w:val="24"/>
          <w:szCs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693D108">
      <w:pPr>
        <w:spacing w:line="360" w:lineRule="auto"/>
        <w:rPr>
          <w:rFonts w:ascii="宋体" w:hAnsi="宋体" w:eastAsia="宋体" w:cs="Times New Roman"/>
          <w:bCs/>
          <w:sz w:val="24"/>
          <w:szCs w:val="24"/>
        </w:rPr>
      </w:pPr>
      <w:r>
        <w:rPr>
          <w:rFonts w:hint="eastAsia" w:ascii="宋体" w:hAnsi="宋体" w:eastAsia="宋体" w:cs="Times New Roman"/>
          <w:bCs/>
          <w:sz w:val="24"/>
          <w:szCs w:val="24"/>
        </w:rPr>
        <w:t>2、评标标准</w:t>
      </w:r>
    </w:p>
    <w:p w14:paraId="51440335">
      <w:pPr>
        <w:spacing w:line="360" w:lineRule="auto"/>
        <w:rPr>
          <w:rFonts w:ascii="宋体" w:hAnsi="宋体"/>
          <w:bCs/>
          <w:sz w:val="24"/>
        </w:rPr>
      </w:pPr>
      <w:r>
        <w:rPr>
          <w:rFonts w:hint="eastAsia" w:ascii="宋体" w:hAnsi="宋体"/>
          <w:bCs/>
          <w:sz w:val="24"/>
        </w:rPr>
        <w:t>2.1  除招标文件中指定的附件和专用工具外，投标人应提供货物的正常运行和常规保养所需的全套标准附件、专用工具和消耗品。投标人在投标函中需列出这些附件和工具的数量和单价的清单，这些附件和工具的报价的总值需计入投标价中。</w:t>
      </w:r>
    </w:p>
    <w:p w14:paraId="111DF33D">
      <w:pPr>
        <w:spacing w:line="360" w:lineRule="auto"/>
        <w:rPr>
          <w:rFonts w:ascii="宋体" w:hAnsi="宋体"/>
          <w:bCs/>
          <w:sz w:val="24"/>
        </w:rPr>
      </w:pPr>
      <w:r>
        <w:rPr>
          <w:rFonts w:hint="eastAsia" w:ascii="宋体" w:hAnsi="宋体"/>
          <w:bCs/>
          <w:sz w:val="24"/>
        </w:rPr>
        <w:t>2.2  对于标书技术规范中已列出的作为查询选件的附件、零配件、专用工具和消耗品，投标函中应列明其数量、单价、总价供采购人参考。投标人也可推荐采购人没有要求的附件或专用工具作为选件，并列明其数量、单价、总价供采购人参考。选件价格不计入评标价中。</w:t>
      </w:r>
    </w:p>
    <w:p w14:paraId="1CA37463">
      <w:pPr>
        <w:spacing w:line="360" w:lineRule="auto"/>
        <w:rPr>
          <w:rFonts w:ascii="宋体" w:hAnsi="宋体" w:eastAsia="宋体" w:cs="Times New Roman"/>
          <w:bCs/>
          <w:sz w:val="24"/>
          <w:szCs w:val="24"/>
        </w:rPr>
      </w:pPr>
      <w:r>
        <w:rPr>
          <w:rFonts w:hint="eastAsia" w:ascii="宋体" w:hAnsi="宋体" w:eastAsia="宋体" w:cs="Times New Roman"/>
          <w:bCs/>
          <w:sz w:val="24"/>
          <w:szCs w:val="24"/>
        </w:rPr>
        <w:t>2.3  为便于采购人用户进行接收仪器的准备工作，投标人应在合同生效后60天内向采购人用户提供一套完整的使用说明书、操作手册、维修及安装说明等文件。另一套完整上述资料应在交货时随货包装提供给用户，这些费用应计入投标价中。</w:t>
      </w:r>
    </w:p>
    <w:p w14:paraId="6489416A">
      <w:pPr>
        <w:spacing w:line="360" w:lineRule="auto"/>
        <w:rPr>
          <w:rFonts w:ascii="宋体" w:hAnsi="宋体" w:eastAsia="宋体" w:cs="Times New Roman"/>
          <w:bCs/>
          <w:sz w:val="24"/>
          <w:szCs w:val="24"/>
        </w:rPr>
      </w:pPr>
      <w:r>
        <w:rPr>
          <w:rFonts w:hint="eastAsia" w:ascii="宋体" w:hAnsi="宋体" w:eastAsia="宋体" w:cs="Times New Roman"/>
          <w:bCs/>
          <w:sz w:val="24"/>
          <w:szCs w:val="24"/>
        </w:rPr>
        <w:t>2.4  关于设备的安装调试，如果有必要的安装准备条件，投标人应在合同生效后一个月内向买方提出详细的要求或计划。安装调试的费用应计入投标价中，并应单独列出，供评标使用。</w:t>
      </w:r>
    </w:p>
    <w:p w14:paraId="03FA3025">
      <w:pPr>
        <w:spacing w:line="360" w:lineRule="auto"/>
        <w:rPr>
          <w:rFonts w:ascii="宋体" w:hAnsi="宋体" w:eastAsia="宋体" w:cs="Times New Roman"/>
          <w:bCs/>
          <w:sz w:val="24"/>
          <w:szCs w:val="24"/>
        </w:rPr>
      </w:pPr>
      <w:r>
        <w:rPr>
          <w:rFonts w:hint="eastAsia" w:ascii="宋体" w:hAnsi="宋体" w:eastAsia="宋体" w:cs="Times New Roman"/>
          <w:bCs/>
          <w:sz w:val="24"/>
          <w:szCs w:val="24"/>
        </w:rPr>
        <w:t>2.5  制造厂家提供的培训指的是涉及货物的基本原理、操作使用和保养维修等有关内容的培训。培训教员的培训费、旅费、食宿费等费用和培训场地费及培训资料费均应由投标人支付。</w:t>
      </w:r>
    </w:p>
    <w:p w14:paraId="40C71C20">
      <w:pPr>
        <w:spacing w:line="360" w:lineRule="auto"/>
        <w:rPr>
          <w:rFonts w:ascii="宋体" w:hAnsi="宋体" w:eastAsia="宋体" w:cs="Times New Roman"/>
          <w:bCs/>
          <w:sz w:val="24"/>
          <w:szCs w:val="24"/>
        </w:rPr>
      </w:pPr>
      <w:r>
        <w:rPr>
          <w:rFonts w:hint="eastAsia" w:ascii="宋体" w:hAnsi="宋体" w:eastAsia="宋体" w:cs="Times New Roman"/>
          <w:bCs/>
          <w:sz w:val="24"/>
          <w:szCs w:val="24"/>
        </w:rPr>
        <w:t>3、工作条件</w:t>
      </w:r>
    </w:p>
    <w:p w14:paraId="4F34D3CA">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除非在技术规格中另有说明，所有货物和系统都应符合下列要求： </w:t>
      </w:r>
    </w:p>
    <w:p w14:paraId="7680ECDE">
      <w:pPr>
        <w:spacing w:line="360" w:lineRule="auto"/>
        <w:rPr>
          <w:rFonts w:ascii="宋体" w:hAnsi="宋体" w:eastAsia="宋体" w:cs="Times New Roman"/>
          <w:bCs/>
          <w:sz w:val="24"/>
          <w:szCs w:val="24"/>
        </w:rPr>
      </w:pPr>
      <w:r>
        <w:rPr>
          <w:rFonts w:hint="eastAsia" w:ascii="宋体" w:hAnsi="宋体" w:eastAsia="宋体" w:cs="Times New Roman"/>
          <w:bCs/>
          <w:sz w:val="24"/>
          <w:szCs w:val="24"/>
        </w:rPr>
        <w:t>3.1  适于在气温为摄氏-40℃～＋50℃和相对湿度为90％的环境条件下运输和贮存。</w:t>
      </w:r>
    </w:p>
    <w:p w14:paraId="721C7A84">
      <w:pPr>
        <w:spacing w:line="360" w:lineRule="auto"/>
        <w:rPr>
          <w:rFonts w:ascii="宋体" w:hAnsi="宋体" w:eastAsia="宋体" w:cs="Times New Roman"/>
          <w:bCs/>
          <w:sz w:val="24"/>
          <w:szCs w:val="24"/>
        </w:rPr>
      </w:pPr>
      <w:r>
        <w:rPr>
          <w:rFonts w:ascii="宋体" w:hAnsi="宋体" w:eastAsia="宋体" w:cs="Times New Roman"/>
          <w:bCs/>
          <w:sz w:val="24"/>
          <w:szCs w:val="24"/>
        </w:rPr>
        <w:t xml:space="preserve">3.2  </w:t>
      </w:r>
      <w:r>
        <w:rPr>
          <w:rFonts w:hint="eastAsia" w:ascii="宋体" w:hAnsi="宋体" w:eastAsia="宋体" w:cs="Times New Roman"/>
          <w:bCs/>
          <w:sz w:val="24"/>
          <w:szCs w:val="24"/>
        </w:rPr>
        <w:t>适于在电源</w:t>
      </w:r>
      <w:r>
        <w:rPr>
          <w:rFonts w:ascii="宋体" w:hAnsi="宋体" w:eastAsia="宋体" w:cs="Times New Roman"/>
          <w:bCs/>
          <w:sz w:val="24"/>
          <w:szCs w:val="24"/>
        </w:rPr>
        <w:t>2</w:t>
      </w:r>
      <w:r>
        <w:rPr>
          <w:rFonts w:hint="eastAsia" w:ascii="宋体" w:hAnsi="宋体" w:eastAsia="宋体" w:cs="Times New Roman"/>
          <w:bCs/>
          <w:sz w:val="24"/>
          <w:szCs w:val="24"/>
        </w:rPr>
        <w:t>3</w:t>
      </w:r>
      <w:r>
        <w:rPr>
          <w:rFonts w:ascii="宋体" w:hAnsi="宋体" w:eastAsia="宋体" w:cs="Times New Roman"/>
          <w:bCs/>
          <w:sz w:val="24"/>
          <w:szCs w:val="24"/>
        </w:rPr>
        <w:t>0V</w:t>
      </w:r>
      <w:r>
        <w:rPr>
          <w:rFonts w:hint="eastAsia" w:ascii="宋体" w:hAnsi="宋体" w:eastAsia="宋体" w:cs="Times New Roman"/>
          <w:bCs/>
          <w:sz w:val="24"/>
          <w:szCs w:val="24"/>
        </w:rPr>
        <w:t>±10%，AC(交流)，50/60Hz、气温摄氏18</w:t>
      </w:r>
      <w:r>
        <w:rPr>
          <w:rFonts w:hint="eastAsia" w:ascii="微软雅黑" w:hAnsi="微软雅黑" w:eastAsia="微软雅黑" w:cs="微软雅黑"/>
          <w:bCs/>
          <w:sz w:val="24"/>
          <w:szCs w:val="24"/>
        </w:rPr>
        <w:t>˚</w:t>
      </w:r>
      <w:r>
        <w:rPr>
          <w:rFonts w:ascii="宋体" w:hAnsi="宋体" w:eastAsia="宋体" w:cs="Times New Roman"/>
          <w:bCs/>
          <w:sz w:val="24"/>
          <w:szCs w:val="24"/>
        </w:rPr>
        <w:t>C</w:t>
      </w:r>
      <w:r>
        <w:rPr>
          <w:rFonts w:hint="eastAsia" w:ascii="仿宋" w:hAnsi="仿宋" w:eastAsia="仿宋" w:cs="仿宋"/>
          <w:bCs/>
          <w:sz w:val="24"/>
          <w:szCs w:val="24"/>
        </w:rPr>
        <w:t>～</w:t>
      </w:r>
      <w:r>
        <w:rPr>
          <w:rFonts w:hint="eastAsia" w:ascii="宋体" w:hAnsi="宋体" w:eastAsia="宋体" w:cs="Times New Roman"/>
          <w:bCs/>
          <w:sz w:val="24"/>
          <w:szCs w:val="24"/>
        </w:rPr>
        <w:t>27</w:t>
      </w:r>
      <w:r>
        <w:rPr>
          <w:rFonts w:hint="eastAsia" w:ascii="微软雅黑" w:hAnsi="微软雅黑" w:eastAsia="微软雅黑" w:cs="微软雅黑"/>
          <w:bCs/>
          <w:sz w:val="24"/>
          <w:szCs w:val="24"/>
        </w:rPr>
        <w:t>˚</w:t>
      </w:r>
      <w:r>
        <w:rPr>
          <w:rFonts w:ascii="宋体" w:hAnsi="宋体" w:eastAsia="宋体" w:cs="Times New Roman"/>
          <w:bCs/>
          <w:sz w:val="24"/>
          <w:szCs w:val="24"/>
        </w:rPr>
        <w:t>C</w:t>
      </w:r>
      <w:r>
        <w:rPr>
          <w:rFonts w:hint="eastAsia" w:ascii="宋体" w:hAnsi="宋体" w:eastAsia="宋体" w:cs="Times New Roman"/>
          <w:bCs/>
          <w:sz w:val="24"/>
          <w:szCs w:val="24"/>
        </w:rPr>
        <w:t>和相对湿度2</w:t>
      </w:r>
      <w:r>
        <w:rPr>
          <w:rFonts w:ascii="宋体" w:hAnsi="宋体" w:eastAsia="宋体" w:cs="Times New Roman"/>
          <w:bCs/>
          <w:sz w:val="24"/>
          <w:szCs w:val="24"/>
        </w:rPr>
        <w:t>0</w:t>
      </w:r>
      <w:r>
        <w:rPr>
          <w:rFonts w:hint="eastAsia" w:ascii="仿宋" w:hAnsi="仿宋" w:eastAsia="仿宋" w:cs="仿宋"/>
          <w:bCs/>
          <w:sz w:val="24"/>
          <w:szCs w:val="24"/>
        </w:rPr>
        <w:t>～</w:t>
      </w:r>
      <w:r>
        <w:rPr>
          <w:rFonts w:hint="eastAsia" w:ascii="宋体" w:hAnsi="宋体" w:eastAsia="宋体" w:cs="Times New Roman"/>
          <w:bCs/>
          <w:sz w:val="24"/>
          <w:szCs w:val="24"/>
        </w:rPr>
        <w:t>8</w:t>
      </w:r>
      <w:r>
        <w:rPr>
          <w:rFonts w:ascii="宋体" w:hAnsi="宋体" w:eastAsia="宋体" w:cs="Times New Roman"/>
          <w:bCs/>
          <w:sz w:val="24"/>
          <w:szCs w:val="24"/>
        </w:rPr>
        <w:t>0%</w:t>
      </w:r>
      <w:r>
        <w:rPr>
          <w:rFonts w:hint="eastAsia" w:ascii="宋体" w:hAnsi="宋体" w:eastAsia="宋体" w:cs="Times New Roman"/>
          <w:bCs/>
          <w:sz w:val="24"/>
          <w:szCs w:val="24"/>
        </w:rPr>
        <w:t>的且无冷凝和无腐蚀性环境环境条件下运行。能够连续正常工作。</w:t>
      </w:r>
    </w:p>
    <w:p w14:paraId="365FB26E">
      <w:pPr>
        <w:spacing w:line="360" w:lineRule="auto"/>
        <w:rPr>
          <w:rFonts w:ascii="宋体" w:hAnsi="宋体" w:eastAsia="宋体" w:cs="Times New Roman"/>
          <w:bCs/>
          <w:sz w:val="24"/>
          <w:szCs w:val="24"/>
        </w:rPr>
      </w:pPr>
      <w:r>
        <w:rPr>
          <w:rFonts w:hint="eastAsia" w:ascii="宋体" w:hAnsi="宋体" w:eastAsia="宋体" w:cs="Times New Roman"/>
          <w:bCs/>
          <w:sz w:val="24"/>
          <w:szCs w:val="24"/>
        </w:rPr>
        <w:t>3.3  配置符合中国有关标准要求的插头，如果没有这样的插头，则需提供适当的转换插座。</w:t>
      </w:r>
    </w:p>
    <w:p w14:paraId="6D171DE4">
      <w:pPr>
        <w:spacing w:line="360" w:lineRule="auto"/>
        <w:rPr>
          <w:rFonts w:ascii="宋体" w:hAnsi="宋体" w:eastAsia="宋体" w:cs="Times New Roman"/>
          <w:bCs/>
          <w:sz w:val="24"/>
          <w:szCs w:val="24"/>
        </w:rPr>
      </w:pPr>
      <w:r>
        <w:rPr>
          <w:rFonts w:hint="eastAsia" w:ascii="宋体" w:hAnsi="宋体" w:eastAsia="宋体" w:cs="Times New Roman"/>
          <w:bCs/>
          <w:sz w:val="24"/>
          <w:szCs w:val="24"/>
        </w:rPr>
        <w:t>3.4  如产品达不到上述要求，投标人应注明其偏差。如货物需要特殊工作条件（如水、电源、磁场强度、温度、湿度、动强度等）投标人应在投标书中加以说明。</w:t>
      </w:r>
    </w:p>
    <w:p w14:paraId="1BBDCFE6">
      <w:pPr>
        <w:spacing w:line="360" w:lineRule="auto"/>
        <w:rPr>
          <w:rFonts w:ascii="宋体" w:hAnsi="宋体" w:eastAsia="宋体" w:cs="Times New Roman"/>
          <w:bCs/>
          <w:sz w:val="24"/>
          <w:szCs w:val="24"/>
        </w:rPr>
      </w:pPr>
    </w:p>
    <w:p w14:paraId="13838B4C">
      <w:pPr>
        <w:spacing w:line="360" w:lineRule="auto"/>
        <w:rPr>
          <w:rFonts w:ascii="宋体" w:hAnsi="宋体" w:eastAsia="宋体" w:cs="Times New Roman"/>
          <w:bCs/>
          <w:sz w:val="24"/>
          <w:szCs w:val="24"/>
        </w:rPr>
      </w:pPr>
      <w:r>
        <w:rPr>
          <w:rFonts w:hint="eastAsia" w:ascii="宋体" w:hAnsi="宋体" w:eastAsia="宋体" w:cs="Times New Roman"/>
          <w:bCs/>
          <w:sz w:val="24"/>
          <w:szCs w:val="24"/>
        </w:rPr>
        <w:t>4、验收标准</w:t>
      </w:r>
    </w:p>
    <w:p w14:paraId="03C140C0">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除非在技术规格中另有说明，所有货物和系统按下列要求进行验收： </w:t>
      </w:r>
    </w:p>
    <w:p w14:paraId="2B32F141">
      <w:pPr>
        <w:spacing w:line="360" w:lineRule="auto"/>
        <w:rPr>
          <w:rFonts w:ascii="宋体" w:hAnsi="宋体" w:eastAsia="宋体" w:cs="Times New Roman"/>
          <w:bCs/>
          <w:sz w:val="24"/>
          <w:szCs w:val="24"/>
        </w:rPr>
      </w:pPr>
      <w:r>
        <w:rPr>
          <w:rFonts w:hint="eastAsia" w:ascii="宋体" w:hAnsi="宋体" w:eastAsia="宋体" w:cs="Times New Roman"/>
          <w:bCs/>
          <w:sz w:val="24"/>
          <w:szCs w:val="24"/>
        </w:rPr>
        <w:t>4.1 货物运抵安装现场后，采购人将与中标人共同开箱验收,如中标人届时不派人来, 则验收结果应以采购人的验收报告为最终验收结果。验收时发现短缺、破损, 采购人有权要求中标人负责更换。</w:t>
      </w:r>
    </w:p>
    <w:p w14:paraId="7CBBAE3B">
      <w:pPr>
        <w:spacing w:line="360" w:lineRule="auto"/>
        <w:rPr>
          <w:rFonts w:ascii="宋体" w:hAnsi="宋体" w:eastAsia="宋体" w:cs="Times New Roman"/>
          <w:bCs/>
          <w:sz w:val="24"/>
          <w:szCs w:val="24"/>
        </w:rPr>
      </w:pPr>
      <w:r>
        <w:rPr>
          <w:rFonts w:hint="eastAsia" w:ascii="宋体" w:hAnsi="宋体" w:eastAsia="宋体" w:cs="Times New Roman"/>
          <w:bCs/>
          <w:sz w:val="24"/>
          <w:szCs w:val="24"/>
        </w:rPr>
        <w:t>4.2  验收标准以中标人提供的投标文件中所列的指标为准。任何虚假指标响应一经发现即作废标，中标人必须承担由此给采购人带来的一切经济损失和其它相关责任。</w:t>
      </w:r>
    </w:p>
    <w:p w14:paraId="6D50C229">
      <w:pPr>
        <w:spacing w:line="360" w:lineRule="auto"/>
        <w:rPr>
          <w:rFonts w:ascii="宋体" w:hAnsi="宋体" w:eastAsia="宋体" w:cs="Times New Roman"/>
          <w:bCs/>
          <w:sz w:val="24"/>
          <w:szCs w:val="24"/>
        </w:rPr>
      </w:pPr>
      <w:r>
        <w:rPr>
          <w:rFonts w:hint="eastAsia" w:ascii="宋体" w:hAnsi="宋体" w:eastAsia="宋体" w:cs="Times New Roman"/>
          <w:bCs/>
          <w:sz w:val="24"/>
          <w:szCs w:val="24"/>
        </w:rPr>
        <w:t>4.3  验收由采购人、中标人及相关人员依国家有关标准、合同及有关附件要求进行，验收完毕由采购人及中标人在验收报告上签名。</w:t>
      </w:r>
    </w:p>
    <w:p w14:paraId="3532336E">
      <w:pPr>
        <w:spacing w:line="360" w:lineRule="auto"/>
        <w:rPr>
          <w:rFonts w:ascii="宋体" w:hAnsi="宋体" w:eastAsia="宋体" w:cs="Times New Roman"/>
          <w:bCs/>
          <w:sz w:val="24"/>
          <w:szCs w:val="24"/>
        </w:rPr>
      </w:pPr>
    </w:p>
    <w:p w14:paraId="0A6529BE">
      <w:pPr>
        <w:spacing w:line="360" w:lineRule="auto"/>
        <w:rPr>
          <w:rFonts w:ascii="宋体" w:hAnsi="宋体" w:eastAsia="宋体" w:cs="Times New Roman"/>
          <w:b/>
          <w:sz w:val="24"/>
          <w:szCs w:val="24"/>
        </w:rPr>
      </w:pPr>
      <w:r>
        <w:rPr>
          <w:rFonts w:hint="eastAsia" w:ascii="宋体" w:hAnsi="宋体" w:eastAsia="宋体" w:cs="Times New Roman"/>
          <w:b/>
          <w:sz w:val="24"/>
          <w:szCs w:val="24"/>
        </w:rPr>
        <w:t>5、本项目需求中标注“★”号的为实质性要求，不满足其投标将被拒绝。</w:t>
      </w:r>
    </w:p>
    <w:p w14:paraId="492BB5D4">
      <w:pPr>
        <w:spacing w:line="360" w:lineRule="auto"/>
        <w:rPr>
          <w:rFonts w:ascii="宋体" w:hAnsi="宋体" w:eastAsia="宋体" w:cs="Times New Roman"/>
          <w:b/>
          <w:sz w:val="24"/>
          <w:szCs w:val="24"/>
        </w:rPr>
      </w:pPr>
    </w:p>
    <w:p w14:paraId="09EA0E66">
      <w:pPr>
        <w:spacing w:line="360" w:lineRule="auto"/>
        <w:rPr>
          <w:rFonts w:ascii="宋体" w:hAnsi="宋体" w:eastAsia="宋体" w:cs="Times New Roman"/>
          <w:b/>
          <w:sz w:val="24"/>
          <w:szCs w:val="24"/>
        </w:rPr>
      </w:pPr>
      <w:r>
        <w:rPr>
          <w:rFonts w:hint="eastAsia" w:ascii="宋体" w:hAnsi="宋体" w:eastAsia="宋体" w:cs="Times New Roman"/>
          <w:b/>
          <w:sz w:val="24"/>
          <w:szCs w:val="24"/>
        </w:rPr>
        <w:t>6、如在具体要求中有本总则不一致之处，以具体要求中的要求内容为准。</w:t>
      </w:r>
    </w:p>
    <w:bookmarkEnd w:id="1"/>
    <w:p w14:paraId="43F0F996">
      <w:pPr>
        <w:widowControl/>
        <w:spacing w:line="360" w:lineRule="auto"/>
        <w:jc w:val="left"/>
        <w:rPr>
          <w:rFonts w:ascii="宋体" w:hAnsi="Times New Roman" w:eastAsia="宋体" w:cs="Times New Roman"/>
          <w:b/>
          <w:bCs/>
          <w:kern w:val="0"/>
          <w:sz w:val="32"/>
          <w:szCs w:val="32"/>
        </w:rPr>
      </w:pPr>
      <w:r>
        <w:rPr>
          <w:rFonts w:ascii="Times New Roman" w:hAnsi="Times New Roman" w:eastAsia="宋体" w:cs="Times New Roman"/>
          <w:b/>
          <w:bCs/>
          <w:sz w:val="32"/>
          <w:szCs w:val="32"/>
        </w:rPr>
        <w:br w:type="page"/>
      </w:r>
    </w:p>
    <w:p w14:paraId="44BCF1E3">
      <w:pPr>
        <w:numPr>
          <w:ilvl w:val="0"/>
          <w:numId w:val="1"/>
        </w:numPr>
        <w:autoSpaceDE w:val="0"/>
        <w:autoSpaceDN w:val="0"/>
        <w:adjustRightInd w:val="0"/>
        <w:spacing w:line="360" w:lineRule="auto"/>
        <w:ind w:firstLine="420"/>
        <w:jc w:val="center"/>
        <w:outlineLvl w:val="1"/>
        <w:rPr>
          <w:rFonts w:ascii="宋体" w:hAnsi="Times New Roman" w:eastAsia="宋体" w:cs="Times New Roman"/>
          <w:b/>
          <w:bCs/>
          <w:kern w:val="0"/>
          <w:sz w:val="32"/>
          <w:szCs w:val="32"/>
        </w:rPr>
      </w:pPr>
      <w:r>
        <w:rPr>
          <w:rFonts w:hint="eastAsia" w:ascii="宋体" w:hAnsi="Times New Roman" w:eastAsia="宋体" w:cs="Times New Roman"/>
          <w:b/>
          <w:bCs/>
          <w:kern w:val="0"/>
          <w:sz w:val="32"/>
          <w:szCs w:val="32"/>
        </w:rPr>
        <w:t>具体要求</w:t>
      </w:r>
    </w:p>
    <w:p w14:paraId="6BC41A03">
      <w:pPr>
        <w:jc w:val="left"/>
        <w:rPr>
          <w:rFonts w:ascii="Times New Roman" w:hAnsi="Times New Roman" w:eastAsia="宋体"/>
          <w:b/>
          <w:sz w:val="24"/>
        </w:rPr>
      </w:pPr>
    </w:p>
    <w:bookmarkEnd w:id="0"/>
    <w:p w14:paraId="7D7E0996">
      <w:pPr>
        <w:pStyle w:val="4"/>
        <w:spacing w:line="360" w:lineRule="auto"/>
        <w:ind w:left="1047" w:right="708" w:rightChars="337" w:hanging="905"/>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一、技术要求</w:t>
      </w:r>
    </w:p>
    <w:p w14:paraId="584E6C54">
      <w:pPr>
        <w:widowControl/>
        <w:numPr>
          <w:ilvl w:val="0"/>
          <w:numId w:val="0"/>
        </w:numPr>
        <w:snapToGrid w:val="0"/>
        <w:spacing w:line="360" w:lineRule="auto"/>
        <w:rPr>
          <w:rFonts w:ascii="宋体" w:hAnsi="宋体" w:eastAsia="宋体" w:cs="宋体"/>
          <w:b/>
          <w:color w:val="000000"/>
          <w:sz w:val="24"/>
          <w:szCs w:val="24"/>
        </w:rPr>
      </w:pPr>
      <w:r>
        <w:rPr>
          <w:rFonts w:hint="eastAsia" w:ascii="宋体" w:hAnsi="宋体" w:eastAsia="宋体" w:cs="宋体"/>
          <w:color w:val="000000"/>
          <w:kern w:val="0"/>
          <w:sz w:val="24"/>
          <w:szCs w:val="24"/>
          <w:lang w:val="zh-CN"/>
        </w:rPr>
        <w:t>★</w:t>
      </w:r>
      <w:r>
        <w:rPr>
          <w:rFonts w:ascii="宋体" w:hAnsi="宋体" w:eastAsia="宋体" w:cs="宋体"/>
          <w:b/>
          <w:color w:val="000000"/>
          <w:kern w:val="2"/>
          <w:sz w:val="24"/>
          <w:szCs w:val="24"/>
          <w:lang w:val="en-US" w:eastAsia="zh-CN" w:bidi="ar-SA"/>
        </w:rPr>
        <w:t>1、</w:t>
      </w:r>
      <w:r>
        <w:rPr>
          <w:rFonts w:hint="eastAsia" w:ascii="宋体" w:hAnsi="宋体" w:eastAsia="宋体" w:cs="宋体"/>
          <w:b/>
          <w:color w:val="000000"/>
          <w:sz w:val="24"/>
          <w:szCs w:val="24"/>
        </w:rPr>
        <w:t>配置清单及零配件（包括专用工具）：</w:t>
      </w:r>
    </w:p>
    <w:tbl>
      <w:tblPr>
        <w:tblStyle w:val="6"/>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799"/>
        <w:gridCol w:w="1555"/>
        <w:gridCol w:w="1435"/>
      </w:tblGrid>
      <w:tr w14:paraId="3B9F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84F7362">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sz w:val="24"/>
                <w:szCs w:val="24"/>
                <w:lang w:bidi="ar"/>
              </w:rPr>
              <w:t>序号</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545DF7A6">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sz w:val="24"/>
                <w:szCs w:val="24"/>
                <w:lang w:bidi="ar"/>
              </w:rPr>
              <w:t>名称</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67644034">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sz w:val="24"/>
                <w:szCs w:val="24"/>
                <w:lang w:bidi="ar"/>
              </w:rPr>
              <w:t>数量</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1193D6FA">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sz w:val="24"/>
                <w:szCs w:val="24"/>
                <w:lang w:bidi="ar"/>
              </w:rPr>
              <w:t>单位</w:t>
            </w:r>
          </w:p>
        </w:tc>
      </w:tr>
      <w:tr w14:paraId="136FD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A383C66">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一</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06F6828A">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成像质谱主机（含MALDI2和ESI 双离子源）</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3F006437">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03BC385E">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kern w:val="0"/>
                <w:sz w:val="24"/>
                <w:szCs w:val="24"/>
                <w:lang w:bidi="ar"/>
              </w:rPr>
              <w:t>套</w:t>
            </w:r>
          </w:p>
        </w:tc>
      </w:tr>
      <w:tr w14:paraId="4E596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D2B146B">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二</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15E4C40A">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microGRID  MALDI机械模块</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1636223B">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70B7C0EA">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29F9F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86B4E29">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三</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260C492D">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基质喷涂仪</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76E5AEAD">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71128AEC">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1886A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5BF6B56">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四</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72719B05">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基质升华仪</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74ADA0BE">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121FE06A">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套</w:t>
            </w:r>
          </w:p>
        </w:tc>
      </w:tr>
      <w:tr w14:paraId="3BD17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2FC625B8">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lang w:bidi="ar"/>
              </w:rPr>
              <w:t>五</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2E791A90">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纳升液相色谱仪</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5DF91FD5">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4E55F3F7">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5AC93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6E6B8D2">
            <w:pPr>
              <w:keepNext w:val="0"/>
              <w:keepLines w:val="0"/>
              <w:widowControl/>
              <w:suppressLineNumbers w:val="0"/>
              <w:snapToGrid w:val="0"/>
              <w:spacing w:before="156" w:beforeLines="50" w:beforeAutospacing="0" w:after="0" w:afterAutospacing="0" w:line="360" w:lineRule="auto"/>
              <w:ind w:left="0" w:right="0" w:firstLine="480" w:firstLineChars="200"/>
              <w:rPr>
                <w:rFonts w:hint="eastAsia" w:ascii="宋体" w:hAnsi="宋体" w:eastAsia="宋体" w:cs="宋体"/>
                <w:sz w:val="24"/>
                <w:szCs w:val="24"/>
                <w:highlight w:val="none"/>
              </w:rPr>
            </w:pPr>
            <w:r>
              <w:rPr>
                <w:rFonts w:hint="eastAsia" w:ascii="宋体" w:hAnsi="宋体" w:eastAsia="宋体" w:cs="宋体"/>
                <w:bCs/>
                <w:sz w:val="24"/>
                <w:szCs w:val="24"/>
                <w:highlight w:val="none"/>
                <w:lang w:bidi="ar"/>
              </w:rPr>
              <w:t>六</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4977AFE6">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高通量液相色谱仪</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7FFB6D18">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46CE6CCC">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套</w:t>
            </w:r>
          </w:p>
        </w:tc>
      </w:tr>
      <w:tr w14:paraId="45C1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74E9617">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lang w:bidi="ar"/>
              </w:rPr>
              <w:t>七</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08A9B0E7">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kern w:val="0"/>
                <w:sz w:val="24"/>
                <w:szCs w:val="24"/>
                <w:highlight w:val="none"/>
                <w:lang w:bidi="ar"/>
              </w:rPr>
            </w:pPr>
            <w:r>
              <w:rPr>
                <w:rFonts w:hint="eastAsia" w:ascii="宋体" w:hAnsi="宋体" w:eastAsia="宋体" w:cs="宋体"/>
                <w:color w:val="000000"/>
                <w:sz w:val="24"/>
                <w:szCs w:val="24"/>
                <w:highlight w:val="none"/>
                <w:lang w:bidi="ar"/>
              </w:rPr>
              <w:t>组织切片前样品前处理系统</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14B6F56C">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31A94171">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套</w:t>
            </w:r>
          </w:p>
        </w:tc>
      </w:tr>
      <w:tr w14:paraId="6C035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2A8492DD">
            <w:pPr>
              <w:keepNext w:val="0"/>
              <w:keepLines w:val="0"/>
              <w:widowControl/>
              <w:suppressLineNumbers w:val="0"/>
              <w:snapToGrid w:val="0"/>
              <w:spacing w:before="156" w:beforeLines="50" w:beforeAutospacing="0" w:after="0" w:afterAutospacing="0" w:line="360" w:lineRule="auto"/>
              <w:ind w:left="0" w:right="0"/>
              <w:jc w:val="center"/>
              <w:rPr>
                <w:rFonts w:hint="eastAsia" w:ascii="Calibri" w:hAnsi="Calibri" w:eastAsia="宋体" w:cs="Times New Roman"/>
                <w:sz w:val="24"/>
                <w:szCs w:val="24"/>
              </w:rPr>
            </w:pPr>
            <w:r>
              <w:rPr>
                <w:rFonts w:hint="eastAsia" w:ascii="宋体" w:hAnsi="宋体" w:eastAsia="宋体" w:cs="宋体"/>
                <w:sz w:val="24"/>
                <w:szCs w:val="24"/>
                <w:lang w:bidi="ar"/>
              </w:rPr>
              <w:t>八</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6E9C206E">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kern w:val="0"/>
                <w:sz w:val="24"/>
                <w:szCs w:val="24"/>
                <w:lang w:bidi="ar"/>
              </w:rPr>
              <w:t>质谱成像分析软件</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25ECA14F">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68C97C64">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4C12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337E687">
            <w:pPr>
              <w:keepNext w:val="0"/>
              <w:keepLines w:val="0"/>
              <w:widowControl/>
              <w:suppressLineNumbers w:val="0"/>
              <w:snapToGrid w:val="0"/>
              <w:spacing w:before="156" w:beforeLines="50" w:beforeAutospacing="0" w:after="0" w:afterAutospacing="0" w:line="360" w:lineRule="auto"/>
              <w:ind w:left="0" w:right="0"/>
              <w:jc w:val="center"/>
              <w:rPr>
                <w:rFonts w:hint="eastAsia" w:ascii="Calibri" w:hAnsi="Calibri" w:eastAsia="宋体" w:cs="Times New Roman"/>
                <w:sz w:val="24"/>
                <w:szCs w:val="24"/>
              </w:rPr>
            </w:pPr>
            <w:r>
              <w:rPr>
                <w:rFonts w:hint="eastAsia" w:ascii="宋体" w:hAnsi="宋体" w:eastAsia="宋体" w:cs="宋体"/>
                <w:sz w:val="24"/>
                <w:szCs w:val="24"/>
                <w:lang w:bidi="ar"/>
              </w:rPr>
              <w:t>九</w:t>
            </w:r>
          </w:p>
        </w:tc>
        <w:tc>
          <w:tcPr>
            <w:tcW w:w="4799" w:type="dxa"/>
            <w:tcBorders>
              <w:top w:val="single" w:color="auto" w:sz="4" w:space="0"/>
              <w:left w:val="single" w:color="auto" w:sz="4" w:space="0"/>
              <w:bottom w:val="single" w:color="auto" w:sz="4" w:space="0"/>
              <w:right w:val="single" w:color="auto" w:sz="4" w:space="0"/>
            </w:tcBorders>
            <w:shd w:val="clear" w:color="auto" w:fill="auto"/>
            <w:vAlign w:val="center"/>
          </w:tcPr>
          <w:p w14:paraId="1217DAF5">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color w:val="000000"/>
                <w:kern w:val="0"/>
                <w:sz w:val="19"/>
                <w:szCs w:val="19"/>
              </w:rPr>
            </w:pPr>
            <w:r>
              <w:rPr>
                <w:rFonts w:hint="eastAsia" w:ascii="宋体" w:hAnsi="宋体" w:eastAsia="宋体" w:cs="宋体"/>
                <w:kern w:val="0"/>
                <w:sz w:val="24"/>
                <w:szCs w:val="24"/>
                <w:lang w:bidi="ar"/>
              </w:rPr>
              <w:t>代谢组学/脂质组学分析软件和数据库</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126F80F3">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7AEE7E9E">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3A6A5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0CF1B0F">
            <w:pPr>
              <w:keepNext w:val="0"/>
              <w:keepLines w:val="0"/>
              <w:widowControl/>
              <w:suppressLineNumbers w:val="0"/>
              <w:snapToGrid w:val="0"/>
              <w:spacing w:before="156" w:beforeLines="50" w:beforeAutospacing="0" w:after="0" w:afterAutospacing="0" w:line="360" w:lineRule="auto"/>
              <w:ind w:left="0" w:right="0"/>
              <w:jc w:val="center"/>
              <w:rPr>
                <w:rFonts w:hint="eastAsia" w:ascii="Calibri" w:hAnsi="Calibri" w:eastAsia="宋体" w:cs="Times New Roman"/>
                <w:sz w:val="24"/>
                <w:szCs w:val="24"/>
              </w:rPr>
            </w:pPr>
            <w:r>
              <w:rPr>
                <w:rFonts w:hint="eastAsia" w:ascii="宋体" w:hAnsi="宋体" w:eastAsia="宋体" w:cs="宋体"/>
                <w:sz w:val="24"/>
                <w:szCs w:val="24"/>
                <w:lang w:bidi="ar"/>
              </w:rPr>
              <w:t>十</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4E5BF775">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kern w:val="0"/>
                <w:sz w:val="24"/>
                <w:szCs w:val="24"/>
              </w:rPr>
            </w:pPr>
            <w:r>
              <w:rPr>
                <w:rFonts w:hint="eastAsia" w:ascii="宋体" w:hAnsi="宋体" w:eastAsia="宋体" w:cs="宋体"/>
                <w:kern w:val="0"/>
                <w:sz w:val="24"/>
                <w:szCs w:val="24"/>
                <w:lang w:bidi="ar"/>
              </w:rPr>
              <w:t>蛋白组学实时数据处理软件</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458C6255">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3CDC7966">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6C73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C9F5C3F">
            <w:pPr>
              <w:keepNext w:val="0"/>
              <w:keepLines w:val="0"/>
              <w:widowControl/>
              <w:suppressLineNumbers w:val="0"/>
              <w:snapToGrid w:val="0"/>
              <w:spacing w:before="156" w:beforeLines="50" w:beforeAutospacing="0" w:after="0" w:afterAutospacing="0" w:line="360" w:lineRule="auto"/>
              <w:ind w:left="0" w:right="0"/>
              <w:jc w:val="center"/>
              <w:rPr>
                <w:rFonts w:hint="eastAsia" w:ascii="Calibri" w:hAnsi="Calibri" w:eastAsia="宋体" w:cs="Times New Roman"/>
                <w:sz w:val="24"/>
                <w:szCs w:val="24"/>
                <w:highlight w:val="none"/>
              </w:rPr>
            </w:pPr>
            <w:r>
              <w:rPr>
                <w:rFonts w:hint="eastAsia" w:ascii="宋体" w:hAnsi="宋体" w:eastAsia="宋体" w:cs="宋体"/>
                <w:bCs/>
                <w:sz w:val="24"/>
                <w:szCs w:val="24"/>
                <w:highlight w:val="none"/>
                <w:lang w:bidi="ar"/>
              </w:rPr>
              <w:t>十一</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60F3B9C6">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AI成像分析软件</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15872319">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61FD1E43">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套</w:t>
            </w:r>
          </w:p>
        </w:tc>
      </w:tr>
      <w:tr w14:paraId="46B89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29C58E8">
            <w:pPr>
              <w:keepNext w:val="0"/>
              <w:keepLines w:val="0"/>
              <w:widowControl/>
              <w:suppressLineNumbers w:val="0"/>
              <w:snapToGrid w:val="0"/>
              <w:spacing w:before="156" w:beforeLines="50" w:beforeAutospacing="0" w:after="0" w:afterAutospacing="0" w:line="360" w:lineRule="auto"/>
              <w:ind w:left="0" w:right="0"/>
              <w:jc w:val="center"/>
              <w:rPr>
                <w:rFonts w:hint="eastAsia" w:ascii="Calibri" w:hAnsi="Calibri" w:eastAsia="宋体" w:cs="Times New Roman"/>
                <w:sz w:val="24"/>
                <w:szCs w:val="24"/>
              </w:rPr>
            </w:pPr>
            <w:r>
              <w:rPr>
                <w:rFonts w:hint="eastAsia" w:ascii="宋体" w:hAnsi="宋体" w:eastAsia="宋体" w:cs="宋体"/>
                <w:bCs/>
                <w:sz w:val="24"/>
                <w:szCs w:val="24"/>
                <w:lang w:bidi="ar"/>
              </w:rPr>
              <w:t>十二</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5EA27496">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数据处理工作站</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4CDC1FC0">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3</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1584A8B5">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台</w:t>
            </w:r>
          </w:p>
        </w:tc>
      </w:tr>
      <w:tr w14:paraId="286CA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6253B44C">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lang w:bidi="ar"/>
              </w:rPr>
              <w:t>十三</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7B4FE3C6">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组织成像玻片（100个）</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5DCEA496">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28026109">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套</w:t>
            </w:r>
          </w:p>
        </w:tc>
      </w:tr>
      <w:tr w14:paraId="0134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7F053CC9">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lang w:bidi="ar"/>
              </w:rPr>
              <w:t>十四</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169E3392">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常用质谱校正标准品和基质</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222D1FAC">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27770792">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4FF7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830D96D">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lang w:bidi="ar"/>
              </w:rPr>
              <w:t>十五</w:t>
            </w:r>
          </w:p>
        </w:tc>
        <w:tc>
          <w:tcPr>
            <w:tcW w:w="4799" w:type="dxa"/>
            <w:tcBorders>
              <w:top w:val="single" w:color="auto" w:sz="4" w:space="0"/>
              <w:left w:val="single" w:color="auto" w:sz="4" w:space="0"/>
              <w:bottom w:val="single" w:color="auto" w:sz="4" w:space="0"/>
              <w:right w:val="single" w:color="auto" w:sz="4" w:space="0"/>
            </w:tcBorders>
            <w:shd w:val="clear" w:color="auto" w:fill="auto"/>
          </w:tcPr>
          <w:p w14:paraId="43A198EE">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UPS不间断电源（续电不少于2小时）</w:t>
            </w:r>
          </w:p>
        </w:tc>
        <w:tc>
          <w:tcPr>
            <w:tcW w:w="1555" w:type="dxa"/>
            <w:tcBorders>
              <w:top w:val="single" w:color="auto" w:sz="4" w:space="0"/>
              <w:left w:val="single" w:color="auto" w:sz="4" w:space="0"/>
              <w:bottom w:val="single" w:color="auto" w:sz="4" w:space="0"/>
              <w:right w:val="single" w:color="auto" w:sz="4" w:space="0"/>
            </w:tcBorders>
            <w:shd w:val="clear" w:color="auto" w:fill="auto"/>
          </w:tcPr>
          <w:p w14:paraId="0447D121">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4E15AC54">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bl>
    <w:p w14:paraId="33AB2673">
      <w:pPr>
        <w:widowControl/>
        <w:snapToGrid w:val="0"/>
        <w:spacing w:before="468" w:beforeLines="150" w:line="360" w:lineRule="auto"/>
        <w:ind w:firstLine="420"/>
        <w:rPr>
          <w:rFonts w:ascii="宋体" w:hAnsi="宋体" w:eastAsia="宋体" w:cs="宋体"/>
          <w:b/>
          <w:color w:val="000000"/>
          <w:sz w:val="24"/>
          <w:szCs w:val="24"/>
        </w:rPr>
      </w:pPr>
      <w:r>
        <w:rPr>
          <w:rFonts w:hint="eastAsia" w:ascii="宋体" w:hAnsi="宋体" w:eastAsia="宋体" w:cs="宋体"/>
          <w:b/>
          <w:color w:val="000000"/>
          <w:sz w:val="24"/>
          <w:szCs w:val="24"/>
        </w:rPr>
        <w:t>技术要求及参数：</w:t>
      </w:r>
    </w:p>
    <w:p w14:paraId="47EEE185">
      <w:pPr>
        <w:widowControl/>
        <w:snapToGrid w:val="0"/>
        <w:spacing w:line="360" w:lineRule="auto"/>
        <w:ind w:firstLine="420"/>
        <w:rPr>
          <w:rFonts w:ascii="宋体" w:hAnsi="宋体" w:eastAsia="宋体" w:cs="宋体"/>
          <w:bCs/>
          <w:color w:val="000000"/>
          <w:sz w:val="24"/>
          <w:szCs w:val="24"/>
        </w:rPr>
      </w:pPr>
      <w:r>
        <w:rPr>
          <w:rFonts w:hint="eastAsia" w:ascii="宋体" w:hAnsi="宋体" w:eastAsia="宋体" w:cs="宋体"/>
          <w:bCs/>
          <w:color w:val="000000"/>
          <w:sz w:val="24"/>
          <w:szCs w:val="24"/>
        </w:rPr>
        <w:t>详细见：技术性能指标表。</w:t>
      </w:r>
    </w:p>
    <w:p w14:paraId="324E79B1">
      <w:pPr>
        <w:widowControl/>
        <w:snapToGrid w:val="0"/>
        <w:spacing w:line="360" w:lineRule="auto"/>
        <w:ind w:firstLine="420"/>
        <w:rPr>
          <w:rFonts w:ascii="宋体" w:hAnsi="宋体" w:eastAsia="宋体" w:cs="宋体"/>
          <w:bCs/>
          <w:color w:val="000000"/>
          <w:sz w:val="24"/>
          <w:szCs w:val="24"/>
        </w:rPr>
      </w:pPr>
      <w:r>
        <w:rPr>
          <w:rFonts w:hint="eastAsia" w:ascii="宋体" w:hAnsi="宋体" w:eastAsia="宋体" w:cs="宋体"/>
          <w:bCs/>
          <w:color w:val="000000"/>
          <w:sz w:val="24"/>
          <w:szCs w:val="24"/>
        </w:rPr>
        <w:t>加“</w:t>
      </w:r>
      <w:r>
        <w:rPr>
          <w:rFonts w:hint="eastAsia" w:ascii="宋体" w:hAnsi="宋体" w:eastAsia="宋体" w:cs="宋体"/>
          <w:color w:val="000000"/>
          <w:kern w:val="0"/>
          <w:sz w:val="24"/>
          <w:szCs w:val="24"/>
          <w:lang w:val="zh-CN"/>
        </w:rPr>
        <w:t>★</w:t>
      </w:r>
      <w:r>
        <w:rPr>
          <w:rFonts w:hint="eastAsia" w:ascii="宋体" w:hAnsi="宋体" w:eastAsia="宋体" w:cs="宋体"/>
          <w:bCs/>
          <w:color w:val="000000"/>
          <w:sz w:val="24"/>
          <w:szCs w:val="24"/>
        </w:rPr>
        <w:t>”条款为必须满足的条款，不得偏离。</w:t>
      </w:r>
    </w:p>
    <w:p w14:paraId="079F54FE">
      <w:pPr>
        <w:widowControl/>
        <w:snapToGrid w:val="0"/>
        <w:spacing w:before="156" w:beforeLines="50" w:after="156" w:afterLines="50"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2、技术性能指标表</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lang w:val="en-US" w:eastAsia="zh-CN"/>
        </w:rPr>
        <w:t>标题内容不作为一项技术要求计算</w:t>
      </w:r>
      <w:r>
        <w:rPr>
          <w:rFonts w:hint="eastAsia" w:ascii="宋体" w:hAnsi="宋体" w:eastAsia="宋体" w:cs="宋体"/>
          <w:b w:val="0"/>
          <w:bCs w:val="0"/>
          <w:color w:val="000000"/>
          <w:sz w:val="21"/>
          <w:szCs w:val="21"/>
          <w:lang w:eastAsia="zh-CN"/>
        </w:rPr>
        <w:t>）</w:t>
      </w:r>
    </w:p>
    <w:tbl>
      <w:tblPr>
        <w:tblStyle w:val="6"/>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7"/>
        <w:gridCol w:w="1396"/>
        <w:gridCol w:w="986"/>
        <w:gridCol w:w="6549"/>
      </w:tblGrid>
      <w:tr w14:paraId="64D2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7" w:type="dxa"/>
            <w:shd w:val="clear" w:color="auto" w:fill="auto"/>
            <w:vAlign w:val="center"/>
          </w:tcPr>
          <w:p w14:paraId="3B6C827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编号</w:t>
            </w:r>
          </w:p>
        </w:tc>
        <w:tc>
          <w:tcPr>
            <w:tcW w:w="1396" w:type="dxa"/>
            <w:shd w:val="clear" w:color="auto" w:fill="auto"/>
            <w:vAlign w:val="center"/>
          </w:tcPr>
          <w:p w14:paraId="6700EC0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招标技术指标名称</w:t>
            </w:r>
          </w:p>
        </w:tc>
        <w:tc>
          <w:tcPr>
            <w:tcW w:w="7535" w:type="dxa"/>
            <w:gridSpan w:val="2"/>
            <w:shd w:val="clear" w:color="auto" w:fill="auto"/>
            <w:vAlign w:val="center"/>
          </w:tcPr>
          <w:p w14:paraId="1FE8B34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招标技术指标值</w:t>
            </w:r>
          </w:p>
        </w:tc>
      </w:tr>
      <w:tr w14:paraId="11B17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shd w:val="clear" w:color="auto" w:fill="auto"/>
            <w:vAlign w:val="center"/>
          </w:tcPr>
          <w:p w14:paraId="08129C8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w:t>
            </w:r>
          </w:p>
        </w:tc>
        <w:tc>
          <w:tcPr>
            <w:tcW w:w="1396" w:type="dxa"/>
            <w:shd w:val="clear" w:color="auto" w:fill="auto"/>
            <w:vAlign w:val="center"/>
          </w:tcPr>
          <w:p w14:paraId="75AE31FE">
            <w:pPr>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应用范围和要求</w:t>
            </w:r>
          </w:p>
        </w:tc>
        <w:tc>
          <w:tcPr>
            <w:tcW w:w="7535" w:type="dxa"/>
            <w:gridSpan w:val="2"/>
            <w:shd w:val="clear" w:color="auto" w:fill="auto"/>
            <w:vAlign w:val="center"/>
          </w:tcPr>
          <w:p w14:paraId="3F96F635">
            <w:pPr>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代谢成像质谱主要用于实现高通量组织切片的空间代谢组、脂质组学分析,也可在特殊试剂的帮助下实现空间蛋白组学分析。该设备还具有LC-MS的功能，可实现深度的代谢组或蛋白组分析。</w:t>
            </w:r>
          </w:p>
        </w:tc>
      </w:tr>
      <w:tr w14:paraId="36BF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607" w:type="dxa"/>
            <w:vMerge w:val="restart"/>
            <w:shd w:val="clear" w:color="auto" w:fill="auto"/>
            <w:vAlign w:val="center"/>
          </w:tcPr>
          <w:p w14:paraId="2DECF40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2</w:t>
            </w:r>
          </w:p>
        </w:tc>
        <w:tc>
          <w:tcPr>
            <w:tcW w:w="1396" w:type="dxa"/>
            <w:vMerge w:val="restart"/>
            <w:shd w:val="clear" w:color="auto" w:fill="auto"/>
            <w:vAlign w:val="center"/>
          </w:tcPr>
          <w:p w14:paraId="298C8080">
            <w:pPr>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性能指标</w:t>
            </w:r>
          </w:p>
        </w:tc>
        <w:tc>
          <w:tcPr>
            <w:tcW w:w="986" w:type="dxa"/>
            <w:shd w:val="clear" w:color="auto" w:fill="auto"/>
            <w:vAlign w:val="center"/>
          </w:tcPr>
          <w:p w14:paraId="412E8D08">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w:t>
            </w:r>
          </w:p>
        </w:tc>
        <w:tc>
          <w:tcPr>
            <w:tcW w:w="6549" w:type="dxa"/>
            <w:shd w:val="clear" w:color="auto" w:fill="auto"/>
            <w:vAlign w:val="center"/>
          </w:tcPr>
          <w:p w14:paraId="034C78C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成像质谱主机（含MALDI2和ESI 双离子源）</w:t>
            </w:r>
          </w:p>
        </w:tc>
      </w:tr>
      <w:tr w14:paraId="1B80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5" w:hRule="atLeast"/>
          <w:jc w:val="center"/>
        </w:trPr>
        <w:tc>
          <w:tcPr>
            <w:tcW w:w="607" w:type="dxa"/>
            <w:vMerge w:val="continue"/>
            <w:shd w:val="clear" w:color="auto" w:fill="auto"/>
            <w:vAlign w:val="center"/>
          </w:tcPr>
          <w:p w14:paraId="641E3DF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5B63A4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064E8A5F">
            <w:pPr>
              <w:keepNext w:val="0"/>
              <w:keepLines w:val="0"/>
              <w:suppressLineNumbers w:val="0"/>
              <w:spacing w:before="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1.1</w:t>
            </w:r>
          </w:p>
        </w:tc>
        <w:tc>
          <w:tcPr>
            <w:tcW w:w="6549" w:type="dxa"/>
            <w:shd w:val="clear" w:color="auto" w:fill="auto"/>
            <w:vAlign w:val="center"/>
          </w:tcPr>
          <w:p w14:paraId="55E162CD">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离子源</w:t>
            </w:r>
          </w:p>
        </w:tc>
      </w:tr>
      <w:tr w14:paraId="0628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vMerge w:val="continue"/>
            <w:shd w:val="clear" w:color="auto" w:fill="auto"/>
            <w:vAlign w:val="center"/>
          </w:tcPr>
          <w:p w14:paraId="1885755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A78495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64283175">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1.1.1</w:t>
            </w:r>
          </w:p>
        </w:tc>
        <w:tc>
          <w:tcPr>
            <w:tcW w:w="6549" w:type="dxa"/>
            <w:shd w:val="clear" w:color="auto" w:fill="auto"/>
            <w:vAlign w:val="center"/>
          </w:tcPr>
          <w:p w14:paraId="158283F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质谱仪包括ESI/MALDI 双离子源；</w:t>
            </w:r>
          </w:p>
        </w:tc>
      </w:tr>
      <w:tr w14:paraId="6110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7" w:type="dxa"/>
            <w:vMerge w:val="continue"/>
            <w:shd w:val="clear" w:color="auto" w:fill="auto"/>
            <w:vAlign w:val="center"/>
          </w:tcPr>
          <w:p w14:paraId="7E46C11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33DF554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11CEBE86">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lang w:bidi="ar"/>
              </w:rPr>
              <w:t>▲</w:t>
            </w:r>
            <w:r>
              <w:rPr>
                <w:rFonts w:hint="eastAsia" w:ascii="宋体" w:hAnsi="宋体" w:eastAsia="宋体" w:cs="宋体"/>
                <w:sz w:val="24"/>
                <w:szCs w:val="24"/>
                <w:lang w:bidi="ar"/>
              </w:rPr>
              <w:t>1.1.2</w:t>
            </w:r>
          </w:p>
        </w:tc>
        <w:tc>
          <w:tcPr>
            <w:tcW w:w="6549" w:type="dxa"/>
            <w:shd w:val="clear" w:color="auto" w:fill="auto"/>
          </w:tcPr>
          <w:p w14:paraId="36BBBCA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MALDI离子源配有双激光器；</w:t>
            </w:r>
            <w:r>
              <w:rPr>
                <w:rFonts w:hint="eastAsia" w:ascii="宋体" w:hAnsi="宋体" w:eastAsia="宋体" w:cs="宋体"/>
                <w:b/>
                <w:bCs/>
                <w:color w:val="000000"/>
                <w:sz w:val="24"/>
                <w:szCs w:val="24"/>
                <w:lang w:bidi="ar"/>
              </w:rPr>
              <w:t>（需提供制造商公开发布的印刷资料（彩页或Datasheet）或检测机构出具的检测报告）</w:t>
            </w:r>
          </w:p>
        </w:tc>
      </w:tr>
      <w:tr w14:paraId="4746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7" w:type="dxa"/>
            <w:vMerge w:val="continue"/>
            <w:shd w:val="clear" w:color="auto" w:fill="auto"/>
            <w:vAlign w:val="center"/>
          </w:tcPr>
          <w:p w14:paraId="035D23D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0300E5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0FFB685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▲1.1.3</w:t>
            </w:r>
          </w:p>
        </w:tc>
        <w:tc>
          <w:tcPr>
            <w:tcW w:w="6549" w:type="dxa"/>
            <w:shd w:val="clear" w:color="auto" w:fill="auto"/>
          </w:tcPr>
          <w:p w14:paraId="31389C78">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MALDI成像空间最小分辨率5μm；</w:t>
            </w:r>
            <w:r>
              <w:rPr>
                <w:rFonts w:hint="eastAsia" w:ascii="宋体" w:hAnsi="宋体" w:eastAsia="宋体" w:cs="宋体"/>
                <w:b/>
                <w:bCs/>
                <w:color w:val="000000"/>
                <w:sz w:val="24"/>
                <w:szCs w:val="24"/>
                <w:lang w:bidi="ar"/>
              </w:rPr>
              <w:t>（需提供制造商公开发布的印刷资料（彩页或Datasheet）或检测机构出具的检测报告）</w:t>
            </w:r>
          </w:p>
        </w:tc>
      </w:tr>
      <w:tr w14:paraId="6395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7" w:type="dxa"/>
            <w:vMerge w:val="continue"/>
            <w:shd w:val="clear" w:color="auto" w:fill="auto"/>
            <w:vAlign w:val="center"/>
          </w:tcPr>
          <w:p w14:paraId="5D093770">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D85D7B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5E28E512">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lang w:bidi="ar"/>
              </w:rPr>
              <w:t>▲</w:t>
            </w:r>
            <w:r>
              <w:rPr>
                <w:rFonts w:hint="eastAsia" w:ascii="宋体" w:hAnsi="宋体" w:eastAsia="宋体" w:cs="宋体"/>
                <w:sz w:val="24"/>
                <w:szCs w:val="24"/>
                <w:lang w:bidi="ar"/>
              </w:rPr>
              <w:t>1.1.4</w:t>
            </w:r>
          </w:p>
        </w:tc>
        <w:tc>
          <w:tcPr>
            <w:tcW w:w="6549" w:type="dxa"/>
            <w:shd w:val="clear" w:color="auto" w:fill="auto"/>
          </w:tcPr>
          <w:p w14:paraId="3200769B">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microGRID 成像模块，保证高分辨率模式下采样一致性；</w:t>
            </w:r>
            <w:r>
              <w:rPr>
                <w:rFonts w:hint="eastAsia" w:ascii="宋体" w:hAnsi="宋体" w:eastAsia="宋体" w:cs="宋体"/>
                <w:b/>
                <w:bCs/>
                <w:color w:val="000000"/>
                <w:sz w:val="24"/>
                <w:szCs w:val="24"/>
                <w:lang w:bidi="ar"/>
              </w:rPr>
              <w:t>（需提供制造商公开发布的印刷资料（彩页或Datasheet）或检测机构出具的检测报告）</w:t>
            </w:r>
          </w:p>
        </w:tc>
      </w:tr>
      <w:tr w14:paraId="403A8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shd w:val="clear" w:color="auto" w:fill="auto"/>
            <w:vAlign w:val="center"/>
          </w:tcPr>
          <w:p w14:paraId="203A4CA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1926AF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4AE1ED59">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2</w:t>
            </w:r>
          </w:p>
        </w:tc>
        <w:tc>
          <w:tcPr>
            <w:tcW w:w="6549" w:type="dxa"/>
            <w:shd w:val="clear" w:color="auto" w:fill="auto"/>
          </w:tcPr>
          <w:p w14:paraId="3EDE574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离子淌度</w:t>
            </w:r>
            <w:r>
              <w:rPr>
                <w:rFonts w:hint="eastAsia" w:ascii="宋体" w:hAnsi="宋体" w:eastAsia="宋体" w:cs="宋体"/>
                <w:sz w:val="24"/>
                <w:szCs w:val="24"/>
                <w:lang w:bidi="ar"/>
              </w:rPr>
              <w:t xml:space="preserve"> </w:t>
            </w:r>
          </w:p>
        </w:tc>
      </w:tr>
      <w:tr w14:paraId="19AD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shd w:val="clear" w:color="auto" w:fill="auto"/>
            <w:vAlign w:val="center"/>
          </w:tcPr>
          <w:p w14:paraId="3206204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3EC66D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403248B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1.2.1</w:t>
            </w:r>
          </w:p>
        </w:tc>
        <w:tc>
          <w:tcPr>
            <w:tcW w:w="6549" w:type="dxa"/>
            <w:shd w:val="clear" w:color="auto" w:fill="auto"/>
          </w:tcPr>
          <w:p w14:paraId="008203B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双离子淌度设计，可同时进行离子累计和分离；</w:t>
            </w:r>
          </w:p>
        </w:tc>
      </w:tr>
      <w:tr w14:paraId="39DD6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shd w:val="clear" w:color="auto" w:fill="auto"/>
            <w:vAlign w:val="center"/>
          </w:tcPr>
          <w:p w14:paraId="256A315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133EAC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02763ACC">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lang w:bidi="ar"/>
              </w:rPr>
              <w:t>▲</w:t>
            </w:r>
            <w:r>
              <w:rPr>
                <w:rFonts w:hint="eastAsia" w:ascii="宋体" w:hAnsi="宋体" w:eastAsia="宋体" w:cs="宋体"/>
                <w:sz w:val="24"/>
                <w:szCs w:val="24"/>
                <w:lang w:bidi="ar"/>
              </w:rPr>
              <w:t>1.2.2</w:t>
            </w:r>
          </w:p>
        </w:tc>
        <w:tc>
          <w:tcPr>
            <w:tcW w:w="6549" w:type="dxa"/>
            <w:shd w:val="clear" w:color="auto" w:fill="auto"/>
            <w:vAlign w:val="center"/>
          </w:tcPr>
          <w:p w14:paraId="7AA8D321">
            <w:pPr>
              <w:keepNext w:val="0"/>
              <w:keepLines w:val="0"/>
              <w:suppressLineNumbers w:val="0"/>
              <w:spacing w:before="0" w:beforeAutospacing="0" w:after="0" w:afterAutospacing="0" w:line="360" w:lineRule="auto"/>
              <w:ind w:left="0" w:right="0"/>
              <w:jc w:val="left"/>
              <w:rPr>
                <w:rFonts w:hint="eastAsia" w:ascii="宋体" w:hAnsi="宋体" w:eastAsia="宋体" w:cs="宋体"/>
                <w:color w:val="000000"/>
                <w:sz w:val="24"/>
                <w:szCs w:val="24"/>
              </w:rPr>
            </w:pPr>
            <w:r>
              <w:rPr>
                <w:rFonts w:hint="eastAsia" w:ascii="宋体" w:hAnsi="宋体" w:eastAsia="宋体" w:cs="宋体"/>
                <w:color w:val="000000"/>
                <w:sz w:val="24"/>
                <w:szCs w:val="24"/>
                <w:lang w:bidi="ar"/>
              </w:rPr>
              <w:t>捕集离子淌度，分辨率＞150, 可测定CCS值；</w:t>
            </w:r>
          </w:p>
        </w:tc>
      </w:tr>
      <w:tr w14:paraId="739F8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shd w:val="clear" w:color="auto" w:fill="auto"/>
            <w:vAlign w:val="center"/>
          </w:tcPr>
          <w:p w14:paraId="0296368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F05DDB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495FFED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▲1.2.3</w:t>
            </w:r>
          </w:p>
        </w:tc>
        <w:tc>
          <w:tcPr>
            <w:tcW w:w="6549" w:type="dxa"/>
            <w:shd w:val="clear" w:color="auto" w:fill="auto"/>
          </w:tcPr>
          <w:p w14:paraId="132485D3">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离子利用率：PASEF模式＞90%；</w:t>
            </w:r>
          </w:p>
        </w:tc>
      </w:tr>
      <w:tr w14:paraId="5512B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0" w:hRule="atLeast"/>
          <w:jc w:val="center"/>
        </w:trPr>
        <w:tc>
          <w:tcPr>
            <w:tcW w:w="607" w:type="dxa"/>
            <w:vMerge w:val="continue"/>
            <w:shd w:val="clear" w:color="auto" w:fill="auto"/>
            <w:vAlign w:val="center"/>
          </w:tcPr>
          <w:p w14:paraId="289E778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008F31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5E69C957">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1.3</w:t>
            </w:r>
          </w:p>
        </w:tc>
        <w:tc>
          <w:tcPr>
            <w:tcW w:w="6549" w:type="dxa"/>
            <w:shd w:val="clear" w:color="auto" w:fill="auto"/>
          </w:tcPr>
          <w:p w14:paraId="61E61EC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质量分析器</w:t>
            </w:r>
          </w:p>
        </w:tc>
      </w:tr>
      <w:tr w14:paraId="5A5AC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607" w:type="dxa"/>
            <w:vMerge w:val="continue"/>
            <w:shd w:val="clear" w:color="auto" w:fill="auto"/>
            <w:vAlign w:val="center"/>
          </w:tcPr>
          <w:p w14:paraId="6A5CCD4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F266DB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5DA17EC0">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1.3.1</w:t>
            </w:r>
          </w:p>
        </w:tc>
        <w:tc>
          <w:tcPr>
            <w:tcW w:w="6549" w:type="dxa"/>
            <w:shd w:val="clear" w:color="auto" w:fill="auto"/>
            <w:vAlign w:val="center"/>
          </w:tcPr>
          <w:p w14:paraId="361A57E2">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飞行管配有水冷恒温温控装置；</w:t>
            </w:r>
          </w:p>
        </w:tc>
      </w:tr>
      <w:tr w14:paraId="6AAD6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0" w:hRule="atLeast"/>
          <w:jc w:val="center"/>
        </w:trPr>
        <w:tc>
          <w:tcPr>
            <w:tcW w:w="607" w:type="dxa"/>
            <w:vMerge w:val="continue"/>
            <w:shd w:val="clear" w:color="auto" w:fill="auto"/>
            <w:vAlign w:val="center"/>
          </w:tcPr>
          <w:p w14:paraId="20D42F9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396F53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6E9A0B3D">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1.3.2</w:t>
            </w:r>
          </w:p>
        </w:tc>
        <w:tc>
          <w:tcPr>
            <w:tcW w:w="6549" w:type="dxa"/>
            <w:shd w:val="clear" w:color="auto" w:fill="auto"/>
            <w:vAlign w:val="center"/>
          </w:tcPr>
          <w:p w14:paraId="7EDD8020">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四极杆质量</w:t>
            </w:r>
            <w:r>
              <w:rPr>
                <w:rFonts w:hint="eastAsia" w:ascii="宋体" w:hAnsi="宋体" w:eastAsia="宋体" w:cs="宋体"/>
                <w:color w:val="000000"/>
                <w:sz w:val="24"/>
                <w:szCs w:val="24"/>
                <w:lang w:val="en-US" w:eastAsia="zh-CN" w:bidi="ar"/>
              </w:rPr>
              <w:t>范围</w:t>
            </w:r>
            <w:r>
              <w:rPr>
                <w:rFonts w:hint="eastAsia" w:ascii="宋体" w:hAnsi="宋体" w:eastAsia="宋体" w:cs="宋体"/>
                <w:color w:val="000000"/>
                <w:sz w:val="24"/>
                <w:szCs w:val="24"/>
                <w:lang w:bidi="ar"/>
              </w:rPr>
              <w:t>：20～3000m/z；</w:t>
            </w:r>
          </w:p>
        </w:tc>
      </w:tr>
      <w:tr w14:paraId="12025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607" w:type="dxa"/>
            <w:vMerge w:val="continue"/>
            <w:shd w:val="clear" w:color="auto" w:fill="auto"/>
            <w:vAlign w:val="center"/>
          </w:tcPr>
          <w:p w14:paraId="6C33477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D006C86">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7646E0CF">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1.3.3</w:t>
            </w:r>
          </w:p>
        </w:tc>
        <w:tc>
          <w:tcPr>
            <w:tcW w:w="6549" w:type="dxa"/>
            <w:shd w:val="clear" w:color="auto" w:fill="auto"/>
            <w:vAlign w:val="center"/>
          </w:tcPr>
          <w:p w14:paraId="0950D252">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TOF质量范围：20～20,000m/z；质量分辨率：＞50000；</w:t>
            </w:r>
          </w:p>
        </w:tc>
      </w:tr>
      <w:tr w14:paraId="7C6D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7" w:hRule="atLeast"/>
          <w:jc w:val="center"/>
        </w:trPr>
        <w:tc>
          <w:tcPr>
            <w:tcW w:w="607" w:type="dxa"/>
            <w:vMerge w:val="continue"/>
            <w:shd w:val="clear" w:color="auto" w:fill="auto"/>
            <w:vAlign w:val="center"/>
          </w:tcPr>
          <w:p w14:paraId="3B1EF38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DF0F96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30FE26CE">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1.3.4</w:t>
            </w:r>
          </w:p>
        </w:tc>
        <w:tc>
          <w:tcPr>
            <w:tcW w:w="6549" w:type="dxa"/>
            <w:shd w:val="clear" w:color="auto" w:fill="auto"/>
            <w:vAlign w:val="center"/>
          </w:tcPr>
          <w:p w14:paraId="25AE886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准确度：内标校准：平均误差</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0.8 ppm；外标校准：平均误差</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2 ppm；</w:t>
            </w:r>
          </w:p>
        </w:tc>
      </w:tr>
      <w:tr w14:paraId="28314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5" w:hRule="atLeast"/>
          <w:jc w:val="center"/>
        </w:trPr>
        <w:tc>
          <w:tcPr>
            <w:tcW w:w="607" w:type="dxa"/>
            <w:vMerge w:val="continue"/>
            <w:shd w:val="clear" w:color="auto" w:fill="auto"/>
            <w:vAlign w:val="center"/>
          </w:tcPr>
          <w:p w14:paraId="7A7D3B7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A0D1D2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0D97B537">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1.4</w:t>
            </w:r>
          </w:p>
        </w:tc>
        <w:tc>
          <w:tcPr>
            <w:tcW w:w="6549" w:type="dxa"/>
            <w:shd w:val="clear" w:color="auto" w:fill="auto"/>
            <w:vAlign w:val="center"/>
          </w:tcPr>
          <w:p w14:paraId="30398EE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采样频率</w:t>
            </w:r>
          </w:p>
        </w:tc>
      </w:tr>
      <w:tr w14:paraId="5C5E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shd w:val="clear" w:color="auto" w:fill="auto"/>
            <w:vAlign w:val="center"/>
          </w:tcPr>
          <w:p w14:paraId="1F619E1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6610E6B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554919DC">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color w:val="000000"/>
                <w:kern w:val="0"/>
                <w:sz w:val="24"/>
                <w:szCs w:val="24"/>
                <w:lang w:bidi="ar"/>
              </w:rPr>
              <w:t>★</w:t>
            </w:r>
            <w:r>
              <w:rPr>
                <w:rFonts w:hint="eastAsia" w:ascii="宋体" w:hAnsi="宋体" w:eastAsia="宋体" w:cs="宋体"/>
                <w:sz w:val="24"/>
                <w:szCs w:val="24"/>
                <w:lang w:bidi="ar"/>
              </w:rPr>
              <w:t>1.4.1</w:t>
            </w:r>
          </w:p>
        </w:tc>
        <w:tc>
          <w:tcPr>
            <w:tcW w:w="6549" w:type="dxa"/>
            <w:shd w:val="clear" w:color="auto" w:fill="auto"/>
            <w:vAlign w:val="center"/>
          </w:tcPr>
          <w:p w14:paraId="1059F1ED">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成像采样频率：＞15像素/秒；</w:t>
            </w:r>
          </w:p>
        </w:tc>
      </w:tr>
      <w:tr w14:paraId="676B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shd w:val="clear" w:color="auto" w:fill="auto"/>
            <w:vAlign w:val="center"/>
          </w:tcPr>
          <w:p w14:paraId="3B7EFD2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A09392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47080A2A">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1.4.2</w:t>
            </w:r>
          </w:p>
        </w:tc>
        <w:tc>
          <w:tcPr>
            <w:tcW w:w="6549" w:type="dxa"/>
            <w:shd w:val="clear" w:color="auto" w:fill="auto"/>
            <w:vAlign w:val="center"/>
          </w:tcPr>
          <w:p w14:paraId="34CA9D5D">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QTOF模式采样频率：MS和MS/MS 最高可达50 Hz；</w:t>
            </w:r>
          </w:p>
        </w:tc>
      </w:tr>
      <w:tr w14:paraId="2160B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shd w:val="clear" w:color="auto" w:fill="auto"/>
            <w:vAlign w:val="center"/>
          </w:tcPr>
          <w:p w14:paraId="7187D36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35A0B0D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1FCFB477">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color w:val="000000"/>
                <w:sz w:val="24"/>
                <w:szCs w:val="24"/>
                <w:lang w:bidi="ar"/>
              </w:rPr>
              <w:t>▲</w:t>
            </w:r>
            <w:r>
              <w:rPr>
                <w:rFonts w:hint="eastAsia" w:ascii="宋体" w:hAnsi="宋体" w:eastAsia="宋体" w:cs="宋体"/>
                <w:sz w:val="24"/>
                <w:szCs w:val="24"/>
                <w:lang w:bidi="ar"/>
              </w:rPr>
              <w:t>1.4.3</w:t>
            </w:r>
          </w:p>
        </w:tc>
        <w:tc>
          <w:tcPr>
            <w:tcW w:w="6549" w:type="dxa"/>
            <w:shd w:val="clear" w:color="auto" w:fill="auto"/>
            <w:vAlign w:val="center"/>
          </w:tcPr>
          <w:p w14:paraId="2B7D2A51">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PASEF模式采样频率：MS/MS</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250Hz；</w:t>
            </w:r>
          </w:p>
        </w:tc>
      </w:tr>
      <w:tr w14:paraId="5BA7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48C88D3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318E2DD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7CB18E07">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1.5</w:t>
            </w:r>
          </w:p>
        </w:tc>
        <w:tc>
          <w:tcPr>
            <w:tcW w:w="6549" w:type="dxa"/>
            <w:shd w:val="clear" w:color="auto" w:fill="auto"/>
          </w:tcPr>
          <w:p w14:paraId="0B450092">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灵敏度： MS</w:t>
            </w:r>
            <w:r>
              <w:rPr>
                <w:rFonts w:hint="eastAsia" w:ascii="宋体" w:hAnsi="宋体" w:eastAsia="宋体" w:cs="宋体"/>
                <w:color w:val="000000"/>
                <w:sz w:val="24"/>
                <w:szCs w:val="24"/>
                <w:lang w:val="en-US" w:eastAsia="zh-CN" w:bidi="ar"/>
              </w:rPr>
              <w:t>模式</w:t>
            </w:r>
            <w:r>
              <w:rPr>
                <w:rFonts w:hint="eastAsia" w:ascii="宋体" w:hAnsi="宋体" w:eastAsia="宋体" w:cs="宋体"/>
                <w:color w:val="000000"/>
                <w:sz w:val="24"/>
                <w:szCs w:val="24"/>
                <w:lang w:bidi="ar"/>
              </w:rPr>
              <w:t>：1pg/uL利血平（m/z 609），信噪比＞100</w:t>
            </w:r>
            <w:r>
              <w:rPr>
                <w:rFonts w:hint="eastAsia" w:ascii="宋体" w:hAnsi="宋体" w:eastAsia="宋体" w:cs="宋体"/>
                <w:color w:val="000000"/>
                <w:sz w:val="24"/>
                <w:szCs w:val="24"/>
                <w:lang w:eastAsia="zh-CN" w:bidi="ar"/>
              </w:rPr>
              <w:t>：</w:t>
            </w:r>
            <w:r>
              <w:rPr>
                <w:rFonts w:hint="eastAsia" w:ascii="宋体" w:hAnsi="宋体" w:eastAsia="宋体" w:cs="宋体"/>
                <w:color w:val="000000"/>
                <w:sz w:val="24"/>
                <w:szCs w:val="24"/>
                <w:lang w:bidi="ar"/>
              </w:rPr>
              <w:t>1 RMS。</w:t>
            </w:r>
          </w:p>
          <w:p w14:paraId="5C63AD1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全扫描MS/MS模式：消耗量为2.5fmol多肽Glu-Fibrinopeptide B时，二价离子的碎片离子y’中最强峰信号大于100，即信噪比≥100:1；</w:t>
            </w:r>
          </w:p>
        </w:tc>
      </w:tr>
      <w:tr w14:paraId="73E33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59EE653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6CEB957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002E9A0F">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2</w:t>
            </w:r>
          </w:p>
        </w:tc>
        <w:tc>
          <w:tcPr>
            <w:tcW w:w="6549" w:type="dxa"/>
            <w:shd w:val="clear" w:color="auto" w:fill="auto"/>
          </w:tcPr>
          <w:p w14:paraId="0B7BA47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纳升液相色谱仪</w:t>
            </w:r>
          </w:p>
        </w:tc>
      </w:tr>
      <w:tr w14:paraId="3A0EE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shd w:val="clear" w:color="auto" w:fill="auto"/>
            <w:vAlign w:val="center"/>
          </w:tcPr>
          <w:p w14:paraId="49FFBEF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A272B8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72EC6DCB">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2.1</w:t>
            </w:r>
          </w:p>
        </w:tc>
        <w:tc>
          <w:tcPr>
            <w:tcW w:w="6549" w:type="dxa"/>
            <w:shd w:val="clear" w:color="auto" w:fill="auto"/>
            <w:vAlign w:val="center"/>
          </w:tcPr>
          <w:p w14:paraId="2D936F3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流速范围：50～2000 nL/min；</w:t>
            </w:r>
          </w:p>
        </w:tc>
      </w:tr>
      <w:tr w14:paraId="0E904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0577BFC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D06F4E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225CA77B">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2.2</w:t>
            </w:r>
          </w:p>
        </w:tc>
        <w:tc>
          <w:tcPr>
            <w:tcW w:w="6549" w:type="dxa"/>
            <w:shd w:val="clear" w:color="auto" w:fill="auto"/>
            <w:vAlign w:val="center"/>
          </w:tcPr>
          <w:p w14:paraId="1CEA94B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压力上限：1000 bar；</w:t>
            </w:r>
          </w:p>
        </w:tc>
      </w:tr>
      <w:tr w14:paraId="18C34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4DB1AE2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FD09D56">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14050B87">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2.3</w:t>
            </w:r>
          </w:p>
        </w:tc>
        <w:tc>
          <w:tcPr>
            <w:tcW w:w="6549" w:type="dxa"/>
            <w:shd w:val="clear" w:color="auto" w:fill="auto"/>
          </w:tcPr>
          <w:p w14:paraId="4DB592B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进样体积范围：1～10 μL；</w:t>
            </w:r>
          </w:p>
        </w:tc>
      </w:tr>
      <w:tr w14:paraId="3437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16709EF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39FA72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17144E16">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2.4</w:t>
            </w:r>
          </w:p>
        </w:tc>
        <w:tc>
          <w:tcPr>
            <w:tcW w:w="6549" w:type="dxa"/>
            <w:shd w:val="clear" w:color="auto" w:fill="auto"/>
          </w:tcPr>
          <w:p w14:paraId="414FDE3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柱温箱温度：25～60℃；</w:t>
            </w:r>
          </w:p>
        </w:tc>
      </w:tr>
      <w:tr w14:paraId="58ABE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1008A5A0">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0B000D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103C096F">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w:t>
            </w:r>
          </w:p>
        </w:tc>
        <w:tc>
          <w:tcPr>
            <w:tcW w:w="6549" w:type="dxa"/>
            <w:shd w:val="clear" w:color="auto" w:fill="auto"/>
          </w:tcPr>
          <w:p w14:paraId="16A64BF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高通量液相色谱仪</w:t>
            </w:r>
          </w:p>
        </w:tc>
      </w:tr>
      <w:tr w14:paraId="0E7B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4" w:hRule="atLeast"/>
          <w:jc w:val="center"/>
        </w:trPr>
        <w:tc>
          <w:tcPr>
            <w:tcW w:w="607" w:type="dxa"/>
            <w:vMerge w:val="continue"/>
            <w:shd w:val="clear" w:color="auto" w:fill="auto"/>
            <w:vAlign w:val="center"/>
          </w:tcPr>
          <w:p w14:paraId="77866D5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2D90C6F">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07276591">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3.1</w:t>
            </w:r>
          </w:p>
        </w:tc>
        <w:tc>
          <w:tcPr>
            <w:tcW w:w="6549" w:type="dxa"/>
            <w:shd w:val="clear" w:color="auto" w:fill="auto"/>
            <w:vAlign w:val="center"/>
          </w:tcPr>
          <w:p w14:paraId="5468A55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集成枪头具备除盐功能；</w:t>
            </w:r>
          </w:p>
        </w:tc>
      </w:tr>
      <w:tr w14:paraId="4621F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4" w:hRule="atLeast"/>
          <w:jc w:val="center"/>
        </w:trPr>
        <w:tc>
          <w:tcPr>
            <w:tcW w:w="607" w:type="dxa"/>
            <w:vMerge w:val="continue"/>
            <w:shd w:val="clear" w:color="auto" w:fill="auto"/>
            <w:vAlign w:val="center"/>
          </w:tcPr>
          <w:p w14:paraId="5229A30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C76F47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4ACA7AF8">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▲3.2</w:t>
            </w:r>
          </w:p>
        </w:tc>
        <w:tc>
          <w:tcPr>
            <w:tcW w:w="6549" w:type="dxa"/>
            <w:shd w:val="clear" w:color="auto" w:fill="auto"/>
            <w:vAlign w:val="center"/>
          </w:tcPr>
          <w:p w14:paraId="4B83659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样品通量30～500样品/天；</w:t>
            </w:r>
          </w:p>
        </w:tc>
      </w:tr>
      <w:tr w14:paraId="2C87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587ECD66">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6C7C7A8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1334690B">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3.3</w:t>
            </w:r>
          </w:p>
        </w:tc>
        <w:tc>
          <w:tcPr>
            <w:tcW w:w="6549" w:type="dxa"/>
            <w:shd w:val="clear" w:color="auto" w:fill="auto"/>
            <w:vAlign w:val="center"/>
          </w:tcPr>
          <w:p w14:paraId="144C8D0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高压泵：7,500psi/520bar，低压泵：3,500psi/240bar；</w:t>
            </w:r>
          </w:p>
        </w:tc>
      </w:tr>
      <w:tr w14:paraId="1A2D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2D4C895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357101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11776CBF">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▲3.4</w:t>
            </w:r>
          </w:p>
        </w:tc>
        <w:tc>
          <w:tcPr>
            <w:tcW w:w="6549" w:type="dxa"/>
            <w:shd w:val="clear" w:color="auto" w:fill="auto"/>
            <w:vAlign w:val="center"/>
          </w:tcPr>
          <w:p w14:paraId="0A48982F">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lang w:bidi="ar"/>
              </w:rPr>
              <w:t>可同时容纳6×96个样品，实现超大样本量的自动、快速分析。</w:t>
            </w:r>
          </w:p>
        </w:tc>
      </w:tr>
      <w:tr w14:paraId="38AA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183FC3C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309378E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7C2712A0">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3.5</w:t>
            </w:r>
          </w:p>
        </w:tc>
        <w:tc>
          <w:tcPr>
            <w:tcW w:w="6549" w:type="dxa"/>
            <w:shd w:val="clear" w:color="auto" w:fill="auto"/>
            <w:vAlign w:val="center"/>
          </w:tcPr>
          <w:p w14:paraId="62C39E3E">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kern w:val="0"/>
                <w:sz w:val="24"/>
                <w:szCs w:val="24"/>
                <w:lang w:bidi="ar"/>
              </w:rPr>
              <w:t>流速范围(流量控制)，高压泵：100～5000 nL/min，低压泵：100 nL/min～80μL/min；</w:t>
            </w:r>
          </w:p>
        </w:tc>
      </w:tr>
      <w:tr w14:paraId="7FD3E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6991EC3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62ED62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674F7D45">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w:t>
            </w:r>
            <w:r>
              <w:rPr>
                <w:rFonts w:hint="eastAsia" w:ascii="宋体" w:hAnsi="宋体" w:eastAsia="宋体" w:cs="宋体"/>
                <w:kern w:val="0"/>
                <w:sz w:val="24"/>
                <w:szCs w:val="24"/>
                <w:lang w:bidi="ar"/>
              </w:rPr>
              <w:t>3.6</w:t>
            </w:r>
          </w:p>
        </w:tc>
        <w:tc>
          <w:tcPr>
            <w:tcW w:w="6549" w:type="dxa"/>
            <w:shd w:val="clear" w:color="auto" w:fill="auto"/>
            <w:vAlign w:val="center"/>
          </w:tcPr>
          <w:p w14:paraId="437FCBA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可兼容Bruker，Thermo</w:t>
            </w:r>
            <w:r>
              <w:rPr>
                <w:rFonts w:hint="eastAsia" w:ascii="宋体" w:hAnsi="宋体" w:eastAsia="宋体" w:cs="宋体"/>
                <w:sz w:val="24"/>
                <w:szCs w:val="24"/>
                <w:lang w:val="en-US" w:eastAsia="zh-CN" w:bidi="ar"/>
              </w:rPr>
              <w:t>等质谱</w:t>
            </w:r>
            <w:r>
              <w:rPr>
                <w:rFonts w:hint="eastAsia" w:ascii="宋体" w:hAnsi="宋体" w:eastAsia="宋体" w:cs="宋体"/>
                <w:sz w:val="24"/>
                <w:szCs w:val="24"/>
                <w:lang w:bidi="ar"/>
              </w:rPr>
              <w:t>；</w:t>
            </w:r>
          </w:p>
        </w:tc>
      </w:tr>
      <w:tr w14:paraId="29D71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4E005C36">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0848B20">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1295F780">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4</w:t>
            </w:r>
          </w:p>
        </w:tc>
        <w:tc>
          <w:tcPr>
            <w:tcW w:w="6549" w:type="dxa"/>
            <w:shd w:val="clear" w:color="auto" w:fill="auto"/>
            <w:vAlign w:val="center"/>
          </w:tcPr>
          <w:p w14:paraId="77AE44F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基质喷涂仪：具备基质溶液喷涂功能，需对</w:t>
            </w:r>
            <w:r>
              <w:rPr>
                <w:rFonts w:hint="eastAsia" w:ascii="宋体" w:hAnsi="宋体" w:eastAsia="宋体" w:cs="宋体"/>
                <w:sz w:val="24"/>
                <w:szCs w:val="24"/>
                <w:lang w:bidi="ar"/>
              </w:rPr>
              <w:t>DHB、CHCA、SA、 DAN等</w:t>
            </w:r>
            <w:r>
              <w:rPr>
                <w:rFonts w:hint="eastAsia" w:ascii="宋体" w:hAnsi="宋体" w:eastAsia="宋体" w:cs="宋体"/>
                <w:color w:val="000000"/>
                <w:sz w:val="24"/>
                <w:szCs w:val="24"/>
                <w:lang w:bidi="ar"/>
              </w:rPr>
              <w:t>常用基质有已优化好程序，单次至少支持4个标准组织切片的基质喷涂；</w:t>
            </w:r>
          </w:p>
        </w:tc>
      </w:tr>
      <w:tr w14:paraId="5337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31261A1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6F05180F">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4A078984">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5</w:t>
            </w:r>
          </w:p>
        </w:tc>
        <w:tc>
          <w:tcPr>
            <w:tcW w:w="6549" w:type="dxa"/>
            <w:shd w:val="clear" w:color="auto" w:fill="auto"/>
            <w:vAlign w:val="center"/>
          </w:tcPr>
          <w:p w14:paraId="5F2294D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基质升华仪：只对固体基质采用升华法喷涂组织切片，支持</w:t>
            </w:r>
            <w:r>
              <w:rPr>
                <w:rFonts w:hint="eastAsia" w:ascii="宋体" w:hAnsi="宋体" w:eastAsia="宋体" w:cs="宋体"/>
                <w:sz w:val="24"/>
                <w:szCs w:val="24"/>
                <w:lang w:bidi="ar"/>
              </w:rPr>
              <w:t>DHB、CHCA、SA、DAN、AA、Norhamane等常用基质，单张标准组织切片处理速度5～15min；</w:t>
            </w:r>
          </w:p>
        </w:tc>
      </w:tr>
      <w:tr w14:paraId="0FD1D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354EDF6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0B9C0A6">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4AE68628">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6</w:t>
            </w:r>
          </w:p>
        </w:tc>
        <w:tc>
          <w:tcPr>
            <w:tcW w:w="6549" w:type="dxa"/>
            <w:shd w:val="clear" w:color="auto" w:fill="auto"/>
            <w:vAlign w:val="center"/>
          </w:tcPr>
          <w:p w14:paraId="3E532D1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组织切片前样品前处理系统</w:t>
            </w:r>
          </w:p>
        </w:tc>
      </w:tr>
      <w:tr w14:paraId="6F9B5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57E9444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744A0B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76FEC6AA">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6.1</w:t>
            </w:r>
          </w:p>
        </w:tc>
        <w:tc>
          <w:tcPr>
            <w:tcW w:w="6549" w:type="dxa"/>
            <w:shd w:val="clear" w:color="auto" w:fill="auto"/>
            <w:vAlign w:val="center"/>
          </w:tcPr>
          <w:p w14:paraId="7825377F">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组织切片成像系统，可对组织切片进行明场、相差和荧光拍照；</w:t>
            </w:r>
          </w:p>
        </w:tc>
      </w:tr>
      <w:tr w14:paraId="57C9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12CCC92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99A6BC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2A5D79AE">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6.2</w:t>
            </w:r>
          </w:p>
        </w:tc>
        <w:tc>
          <w:tcPr>
            <w:tcW w:w="6549" w:type="dxa"/>
            <w:shd w:val="clear" w:color="auto" w:fill="auto"/>
            <w:vAlign w:val="center"/>
          </w:tcPr>
          <w:p w14:paraId="5AAA6AAD">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具有透射光源和荧光光源，荧光光源不少于3色；</w:t>
            </w:r>
          </w:p>
        </w:tc>
      </w:tr>
      <w:tr w14:paraId="2C72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5D6DA9F0">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2B9CBC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3E259A35">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▲6.3</w:t>
            </w:r>
          </w:p>
        </w:tc>
        <w:tc>
          <w:tcPr>
            <w:tcW w:w="6549" w:type="dxa"/>
            <w:shd w:val="clear" w:color="auto" w:fill="auto"/>
            <w:vAlign w:val="center"/>
          </w:tcPr>
          <w:p w14:paraId="57745547">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高精度载物台，支持96孔板和38</w:t>
            </w:r>
            <w:r>
              <w:rPr>
                <w:rFonts w:hint="eastAsia" w:ascii="宋体" w:hAnsi="宋体" w:eastAsia="宋体" w:cs="宋体"/>
                <w:color w:val="000000"/>
                <w:sz w:val="24"/>
                <w:szCs w:val="24"/>
                <w:lang w:val="en-US" w:eastAsia="zh-CN" w:bidi="ar"/>
              </w:rPr>
              <w:t>4</w:t>
            </w:r>
            <w:r>
              <w:rPr>
                <w:rFonts w:hint="eastAsia" w:ascii="宋体" w:hAnsi="宋体" w:eastAsia="宋体" w:cs="宋体"/>
                <w:color w:val="000000"/>
                <w:sz w:val="24"/>
                <w:szCs w:val="24"/>
                <w:lang w:bidi="ar"/>
              </w:rPr>
              <w:t>孔板自动化样品收集；</w:t>
            </w:r>
          </w:p>
        </w:tc>
      </w:tr>
      <w:tr w14:paraId="78B45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shd w:val="clear" w:color="auto" w:fill="auto"/>
            <w:vAlign w:val="center"/>
          </w:tcPr>
          <w:p w14:paraId="75D3ED4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6272F7D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986" w:type="dxa"/>
            <w:shd w:val="clear" w:color="auto" w:fill="auto"/>
            <w:vAlign w:val="center"/>
          </w:tcPr>
          <w:p w14:paraId="44EB6348">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6.4</w:t>
            </w:r>
          </w:p>
        </w:tc>
        <w:tc>
          <w:tcPr>
            <w:tcW w:w="6549" w:type="dxa"/>
            <w:shd w:val="clear" w:color="auto" w:fill="auto"/>
            <w:vAlign w:val="center"/>
          </w:tcPr>
          <w:p w14:paraId="4067147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支持自动化显微切割，切割精度0.07 μm，最大脉冲能量不少于100微焦。</w:t>
            </w:r>
          </w:p>
        </w:tc>
      </w:tr>
    </w:tbl>
    <w:p w14:paraId="3DD4BD57">
      <w:pPr>
        <w:pStyle w:val="4"/>
        <w:spacing w:line="360" w:lineRule="auto"/>
        <w:ind w:left="1047" w:right="708" w:rightChars="337" w:hanging="905"/>
        <w:jc w:val="both"/>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二、商</w:t>
      </w:r>
      <w:r>
        <w:rPr>
          <w:rFonts w:hint="eastAsia" w:ascii="宋体" w:hAnsi="宋体" w:eastAsia="宋体" w:cs="宋体"/>
          <w:color w:val="000000" w:themeColor="text1"/>
          <w:sz w:val="24"/>
          <w:szCs w:val="24"/>
          <w:highlight w:val="none"/>
          <w14:textFill>
            <w14:solidFill>
              <w14:schemeClr w14:val="tx1"/>
            </w14:solidFill>
          </w14:textFill>
        </w:rPr>
        <w:t>务要求</w:t>
      </w:r>
    </w:p>
    <w:p w14:paraId="2570870D">
      <w:pPr>
        <w:numPr>
          <w:ilvl w:val="0"/>
          <w:numId w:val="2"/>
        </w:numPr>
        <w:autoSpaceDE w:val="0"/>
        <w:autoSpaceDN w:val="0"/>
        <w:adjustRightInd w:val="0"/>
        <w:spacing w:line="360" w:lineRule="auto"/>
        <w:rPr>
          <w:rFonts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★交货地点：</w:t>
      </w:r>
      <w:r>
        <w:rPr>
          <w:rFonts w:hint="eastAsia" w:ascii="宋体" w:hAnsi="宋体" w:eastAsia="宋体" w:cs="宋体"/>
          <w:sz w:val="24"/>
          <w:szCs w:val="24"/>
          <w:highlight w:val="none"/>
        </w:rPr>
        <w:t>广州市</w:t>
      </w:r>
      <w:r>
        <w:rPr>
          <w:rFonts w:hint="eastAsia" w:ascii="宋体" w:hAnsi="宋体" w:eastAsia="宋体" w:cs="宋体"/>
          <w:sz w:val="24"/>
          <w:szCs w:val="24"/>
          <w:highlight w:val="none"/>
          <w:lang w:eastAsia="zh"/>
          <w:woUserID w:val="2"/>
        </w:rPr>
        <w:t>国际生物岛螺旋二路15</w:t>
      </w:r>
      <w:r>
        <w:rPr>
          <w:rFonts w:hint="eastAsia" w:ascii="宋体" w:hAnsi="宋体" w:eastAsia="宋体" w:cs="宋体"/>
          <w:sz w:val="24"/>
          <w:szCs w:val="24"/>
          <w:highlight w:val="none"/>
        </w:rPr>
        <w:t>号</w:t>
      </w:r>
    </w:p>
    <w:p w14:paraId="3EE1B189">
      <w:pPr>
        <w:numPr>
          <w:ilvl w:val="0"/>
          <w:numId w:val="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★交货期：</w:t>
      </w:r>
      <w:r>
        <w:rPr>
          <w:rFonts w:hint="eastAsia" w:ascii="宋体" w:hAnsi="宋体" w:eastAsia="宋体" w:cs="宋体"/>
          <w:b w:val="0"/>
          <w:bCs w:val="0"/>
          <w:color w:val="000000" w:themeColor="text1"/>
          <w:kern w:val="0"/>
          <w:sz w:val="24"/>
          <w:szCs w:val="24"/>
          <w:highlight w:val="none"/>
          <w:lang w:val="zh-CN" w:eastAsia="zh"/>
          <w14:textFill>
            <w14:solidFill>
              <w14:schemeClr w14:val="tx1"/>
            </w14:solidFill>
          </w14:textFill>
          <w:woUserID w:val="3"/>
        </w:rPr>
        <w:t>提供进口产品的，</w:t>
      </w:r>
      <w:r>
        <w:rPr>
          <w:rFonts w:hint="eastAsia" w:ascii="宋体" w:hAnsi="宋体" w:eastAsia="宋体" w:cs="宋体"/>
          <w:b w:val="0"/>
          <w:bCs w:val="0"/>
          <w:color w:val="000000" w:themeColor="text1"/>
          <w:kern w:val="0"/>
          <w:sz w:val="24"/>
          <w:szCs w:val="24"/>
          <w:highlight w:val="none"/>
          <w:lang w:val="zh-CN" w:eastAsia="zh"/>
          <w14:textFill>
            <w14:solidFill>
              <w14:schemeClr w14:val="tx1"/>
            </w14:solidFill>
          </w14:textFill>
          <w:woUserID w:val="2"/>
        </w:rPr>
        <w:t>免税证明办理</w:t>
      </w:r>
      <w:r>
        <w:rPr>
          <w:rFonts w:hint="eastAsia" w:ascii="宋体" w:hAnsi="宋体" w:eastAsia="宋体" w:cs="宋体"/>
          <w:color w:val="000000" w:themeColor="text1"/>
          <w:kern w:val="0"/>
          <w:sz w:val="24"/>
          <w:szCs w:val="24"/>
          <w:highlight w:val="none"/>
          <w:lang w:val="de-DE"/>
          <w14:textFill>
            <w14:solidFill>
              <w14:schemeClr w14:val="tx1"/>
            </w14:solidFill>
          </w14:textFill>
        </w:rPr>
        <w:t>后的</w:t>
      </w:r>
      <w:r>
        <w:rPr>
          <w:rFonts w:hint="eastAsia" w:ascii="宋体" w:hAnsi="宋体" w:eastAsia="宋体" w:cs="宋体"/>
          <w:color w:val="000000" w:themeColor="text1"/>
          <w:kern w:val="0"/>
          <w:sz w:val="24"/>
          <w:szCs w:val="24"/>
          <w:highlight w:val="none"/>
          <w:lang w:val="de-DE" w:eastAsia="zh"/>
          <w14:textFill>
            <w14:solidFill>
              <w14:schemeClr w14:val="tx1"/>
            </w14:solidFill>
          </w14:textFill>
          <w:woUserID w:val="2"/>
        </w:rPr>
        <w:t>3</w:t>
      </w:r>
      <w:r>
        <w:rPr>
          <w:rFonts w:hint="eastAsia" w:ascii="宋体" w:hAnsi="宋体" w:eastAsia="宋体" w:cs="宋体"/>
          <w:color w:val="000000" w:themeColor="text1"/>
          <w:kern w:val="0"/>
          <w:sz w:val="24"/>
          <w:szCs w:val="24"/>
          <w:highlight w:val="none"/>
          <w14:textFill>
            <w14:solidFill>
              <w14:schemeClr w14:val="tx1"/>
            </w14:solidFill>
          </w14:textFill>
        </w:rPr>
        <w:t>个月</w:t>
      </w:r>
      <w:r>
        <w:rPr>
          <w:rFonts w:hint="eastAsia" w:ascii="宋体" w:hAnsi="宋体" w:eastAsia="宋体" w:cs="宋体"/>
          <w:color w:val="000000" w:themeColor="text1"/>
          <w:kern w:val="0"/>
          <w:sz w:val="24"/>
          <w:szCs w:val="24"/>
          <w:highlight w:val="none"/>
          <w:lang w:val="de-DE"/>
          <w14:textFill>
            <w14:solidFill>
              <w14:schemeClr w14:val="tx1"/>
            </w14:solidFill>
          </w14:textFill>
        </w:rPr>
        <w:t>内</w:t>
      </w:r>
      <w:r>
        <w:rPr>
          <w:rFonts w:hint="eastAsia" w:ascii="宋体" w:hAnsi="宋体" w:eastAsia="宋体" w:cs="宋体"/>
          <w:color w:val="000000" w:themeColor="text1"/>
          <w:kern w:val="0"/>
          <w:sz w:val="24"/>
          <w:szCs w:val="24"/>
          <w:highlight w:val="none"/>
          <w:lang w:val="zh-CN"/>
          <w14:textFill>
            <w14:solidFill>
              <w14:schemeClr w14:val="tx1"/>
            </w14:solidFill>
          </w14:textFill>
        </w:rPr>
        <w:t>交货。</w:t>
      </w:r>
    </w:p>
    <w:p w14:paraId="68F9CC65">
      <w:pPr>
        <w:numPr>
          <w:ilvl w:val="-1"/>
          <w:numId w:val="0"/>
        </w:numPr>
        <w:tabs>
          <w:tab w:val="left" w:pos="420"/>
        </w:tabs>
        <w:autoSpaceDE w:val="0"/>
        <w:autoSpaceDN w:val="0"/>
        <w:adjustRightInd w:val="0"/>
        <w:spacing w:line="360" w:lineRule="auto"/>
        <w:ind w:left="0" w:firstLine="1680" w:firstLineChars="700"/>
        <w:rPr>
          <w:rFonts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
          <w14:textFill>
            <w14:solidFill>
              <w14:schemeClr w14:val="tx1"/>
            </w14:solidFill>
          </w14:textFill>
          <w:woUserID w:val="3"/>
        </w:rPr>
        <w:t>提供国产产品的，合同签订后3个月内交货。</w:t>
      </w:r>
    </w:p>
    <w:p w14:paraId="52233441">
      <w:pPr>
        <w:numPr>
          <w:ilvl w:val="0"/>
          <w:numId w:val="2"/>
        </w:numPr>
        <w:tabs>
          <w:tab w:val="left" w:pos="420"/>
        </w:tabs>
        <w:autoSpaceDE w:val="0"/>
        <w:autoSpaceDN w:val="0"/>
        <w:adjustRightInd w:val="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★报价方式及要求：</w:t>
      </w:r>
    </w:p>
    <w:p w14:paraId="2B987B3B">
      <w:pPr>
        <w:numPr>
          <w:ilvl w:val="0"/>
          <w:numId w:val="3"/>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本项目允许采购进口产品参与投标，不拒绝投标人选用国产产品参与投标（进口产品是指通过中国海关报关验放进入中国境内且产自关境外的产品）。</w:t>
      </w:r>
      <w:r>
        <w:rPr>
          <w:rFonts w:hint="eastAsia" w:ascii="宋体" w:hAnsi="宋体" w:eastAsia="宋体" w:cs="宋体"/>
          <w:sz w:val="24"/>
          <w:szCs w:val="24"/>
          <w:highlight w:val="none"/>
        </w:rPr>
        <w:t>进口产品与服务报CIP指定交货地点人民币</w:t>
      </w:r>
      <w:r>
        <w:rPr>
          <w:rFonts w:hint="eastAsia" w:ascii="宋体" w:hAnsi="宋体" w:eastAsia="宋体" w:cs="宋体"/>
          <w:sz w:val="24"/>
          <w:szCs w:val="24"/>
          <w:highlight w:val="none"/>
          <w:lang w:eastAsia="zh"/>
          <w:woUserID w:val="3"/>
        </w:rPr>
        <w:t>免税</w:t>
      </w:r>
      <w:r>
        <w:rPr>
          <w:rFonts w:hint="eastAsia" w:ascii="宋体" w:hAnsi="宋体" w:eastAsia="宋体" w:cs="宋体"/>
          <w:sz w:val="24"/>
          <w:szCs w:val="24"/>
          <w:highlight w:val="none"/>
        </w:rPr>
        <w:t>价（不含关税、增值税），外贸代理费、清关杂费等由中标人承担；</w:t>
      </w:r>
      <w:r>
        <w:rPr>
          <w:rFonts w:hint="eastAsia" w:ascii="宋体" w:hAnsi="宋体" w:eastAsia="宋体" w:cs="宋体"/>
          <w:bCs/>
          <w:sz w:val="24"/>
          <w:szCs w:val="24"/>
          <w:highlight w:val="none"/>
        </w:rPr>
        <w:t>对原产于美国的产品，进口时在正常科创免税之外，中国政府加征的特殊关税由中标人承担。</w:t>
      </w:r>
    </w:p>
    <w:p w14:paraId="13BC4334">
      <w:pPr>
        <w:numPr>
          <w:ilvl w:val="0"/>
          <w:numId w:val="3"/>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sz w:val="24"/>
          <w:szCs w:val="24"/>
          <w:highlight w:val="none"/>
        </w:rPr>
        <w:t>国产产品与服务报项目现场交货人民币</w:t>
      </w:r>
      <w:r>
        <w:rPr>
          <w:rFonts w:hint="eastAsia" w:ascii="宋体" w:hAnsi="宋体" w:eastAsia="宋体" w:cs="宋体"/>
          <w:sz w:val="24"/>
          <w:szCs w:val="24"/>
          <w:highlight w:val="none"/>
          <w:lang w:eastAsia="zh"/>
          <w:woUserID w:val="3"/>
        </w:rPr>
        <w:t>含税</w:t>
      </w:r>
      <w:r>
        <w:rPr>
          <w:rFonts w:hint="eastAsia" w:ascii="宋体" w:hAnsi="宋体" w:eastAsia="宋体" w:cs="宋体"/>
          <w:sz w:val="24"/>
          <w:szCs w:val="24"/>
          <w:highlight w:val="none"/>
        </w:rPr>
        <w:t>价。</w:t>
      </w:r>
      <w:r>
        <w:rPr>
          <w:rFonts w:hint="eastAsia" w:ascii="宋体" w:hAnsi="宋体" w:eastAsia="宋体" w:cs="宋体"/>
          <w:color w:val="000000" w:themeColor="text1"/>
          <w:sz w:val="24"/>
          <w:szCs w:val="24"/>
          <w:highlight w:val="none"/>
          <w:lang w:val="zh-CN"/>
          <w14:textFill>
            <w14:solidFill>
              <w14:schemeClr w14:val="tx1"/>
            </w14:solidFill>
          </w14:textFill>
        </w:rPr>
        <w:t>投标价包含仪器设备的价款、包装、税费、运输、装卸、安装、调试、技术指导、培训、咨询、服务、保险、检测、验收合格交付使用之前以及技术和售后服务等其他各项有关费用。</w:t>
      </w:r>
    </w:p>
    <w:p w14:paraId="386AE148">
      <w:pPr>
        <w:numPr>
          <w:ilvl w:val="0"/>
          <w:numId w:val="3"/>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77515441">
      <w:pPr>
        <w:numPr>
          <w:ilvl w:val="0"/>
          <w:numId w:val="3"/>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投标报价不得超过采购预算（如有最高限价则不得超出最高限价）。</w:t>
      </w:r>
    </w:p>
    <w:p w14:paraId="061A3E4C">
      <w:pPr>
        <w:numPr>
          <w:ilvl w:val="0"/>
          <w:numId w:val="2"/>
        </w:numPr>
        <w:tabs>
          <w:tab w:val="left" w:pos="0"/>
        </w:tabs>
        <w:autoSpaceDE w:val="0"/>
        <w:autoSpaceDN w:val="0"/>
        <w:adjustRightInd w:val="0"/>
        <w:spacing w:line="360" w:lineRule="auto"/>
        <w:rPr>
          <w:rFonts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w:t>
      </w:r>
      <w:r>
        <w:rPr>
          <w:rFonts w:hint="eastAsia" w:ascii="宋体" w:hAnsi="宋体" w:eastAsia="宋体" w:cs="宋体"/>
          <w:b/>
          <w:bCs/>
          <w:color w:val="000000" w:themeColor="text1"/>
          <w:kern w:val="0"/>
          <w:sz w:val="24"/>
          <w:szCs w:val="24"/>
          <w:highlight w:val="none"/>
          <w14:textFill>
            <w14:solidFill>
              <w14:schemeClr w14:val="tx1"/>
            </w14:solidFill>
          </w14:textFill>
        </w:rPr>
        <w:t>进</w:t>
      </w:r>
      <w:r>
        <w:rPr>
          <w:rFonts w:hint="eastAsia" w:ascii="宋体" w:hAnsi="宋体" w:eastAsia="宋体" w:cs="宋体"/>
          <w:b/>
          <w:bCs/>
          <w:color w:val="000000" w:themeColor="text1"/>
          <w:kern w:val="0"/>
          <w:sz w:val="24"/>
          <w:szCs w:val="24"/>
          <w:highlight w:val="none"/>
          <w:lang w:val="zh-CN"/>
          <w14:textFill>
            <w14:solidFill>
              <w14:schemeClr w14:val="tx1"/>
            </w14:solidFill>
          </w14:textFill>
        </w:rPr>
        <w:t>口产品必须提供原厂有效授权</w:t>
      </w:r>
      <w:r>
        <w:rPr>
          <w:rFonts w:hint="eastAsia" w:ascii="宋体" w:hAnsi="宋体" w:eastAsia="宋体" w:cs="宋体"/>
          <w:b/>
          <w:bCs/>
          <w:color w:val="000000" w:themeColor="text1"/>
          <w:kern w:val="0"/>
          <w:sz w:val="24"/>
          <w:szCs w:val="24"/>
          <w:highlight w:val="none"/>
          <w14:textFill>
            <w14:solidFill>
              <w14:schemeClr w14:val="tx1"/>
            </w14:solidFill>
          </w14:textFill>
        </w:rPr>
        <w:t>书。</w:t>
      </w:r>
    </w:p>
    <w:p w14:paraId="37D4A6AD">
      <w:pPr>
        <w:numPr>
          <w:ilvl w:val="0"/>
          <w:numId w:val="2"/>
        </w:numPr>
        <w:tabs>
          <w:tab w:val="left" w:pos="0"/>
        </w:tabs>
        <w:autoSpaceDE w:val="0"/>
        <w:autoSpaceDN w:val="0"/>
        <w:adjustRightInd w:val="0"/>
        <w:spacing w:line="360" w:lineRule="auto"/>
        <w:rPr>
          <w:rFonts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★付款方式：</w:t>
      </w:r>
    </w:p>
    <w:p w14:paraId="61BDC378">
      <w:pPr>
        <w:tabs>
          <w:tab w:val="left" w:pos="0"/>
        </w:tabs>
        <w:autoSpaceDE w:val="0"/>
        <w:autoSpaceDN w:val="0"/>
        <w:adjustRightInd w:val="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对于国产产品，100%凭用户代表签字并加盖单位公章后的验收报告支付；</w:t>
      </w:r>
    </w:p>
    <w:p w14:paraId="4800C1B6">
      <w:pPr>
        <w:tabs>
          <w:tab w:val="left" w:pos="0"/>
        </w:tabs>
        <w:autoSpaceDE w:val="0"/>
        <w:autoSpaceDN w:val="0"/>
        <w:adjustRightInd w:val="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对于进口产品，采用即期不可撤销信用证等国际贸易支付条件支付：</w:t>
      </w:r>
    </w:p>
    <w:p w14:paraId="60144B44">
      <w:pPr>
        <w:tabs>
          <w:tab w:val="left" w:pos="0"/>
        </w:tabs>
        <w:autoSpaceDE w:val="0"/>
        <w:autoSpaceDN w:val="0"/>
        <w:adjustRightInd w:val="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woUserID w:val="2"/>
        </w:rPr>
        <w:t>9</w:t>
      </w:r>
      <w:r>
        <w:rPr>
          <w:rFonts w:hint="eastAsia" w:ascii="宋体" w:hAnsi="宋体" w:eastAsia="宋体" w:cs="宋体"/>
          <w:color w:val="000000" w:themeColor="text1"/>
          <w:sz w:val="24"/>
          <w:szCs w:val="24"/>
          <w:highlight w:val="none"/>
          <w:lang w:val="zh-CN"/>
          <w14:textFill>
            <w14:solidFill>
              <w14:schemeClr w14:val="tx1"/>
            </w14:solidFill>
          </w14:textFill>
        </w:rPr>
        <w:t>0%凭合同要求单据支付；</w:t>
      </w:r>
    </w:p>
    <w:p w14:paraId="2F57970F">
      <w:pPr>
        <w:tabs>
          <w:tab w:val="left" w:pos="0"/>
        </w:tabs>
        <w:autoSpaceDE w:val="0"/>
        <w:autoSpaceDN w:val="0"/>
        <w:adjustRightInd w:val="0"/>
        <w:spacing w:line="360" w:lineRule="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woUserID w:val="2"/>
        </w:rPr>
        <w:t>1</w:t>
      </w:r>
      <w:r>
        <w:rPr>
          <w:rFonts w:hint="eastAsia" w:ascii="宋体" w:hAnsi="宋体" w:eastAsia="宋体" w:cs="宋体"/>
          <w:color w:val="000000" w:themeColor="text1"/>
          <w:sz w:val="24"/>
          <w:szCs w:val="24"/>
          <w:highlight w:val="none"/>
          <w:lang w:val="zh-CN"/>
          <w14:textFill>
            <w14:solidFill>
              <w14:schemeClr w14:val="tx1"/>
            </w14:solidFill>
          </w14:textFill>
        </w:rPr>
        <w:t>0%凭用户代表签字并加盖单位公章后的验收报告支付。</w:t>
      </w:r>
    </w:p>
    <w:p w14:paraId="4E4AF6C3">
      <w:pPr>
        <w:numPr>
          <w:ilvl w:val="0"/>
          <w:numId w:val="2"/>
        </w:numPr>
        <w:tabs>
          <w:tab w:val="left" w:pos="0"/>
        </w:tabs>
        <w:autoSpaceDE w:val="0"/>
        <w:autoSpaceDN w:val="0"/>
        <w:adjustRightInd w:val="0"/>
        <w:spacing w:line="360" w:lineRule="auto"/>
        <w:rPr>
          <w:rFonts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质保</w:t>
      </w:r>
      <w:r>
        <w:rPr>
          <w:rFonts w:hint="eastAsia" w:ascii="宋体" w:hAnsi="宋体" w:eastAsia="宋体" w:cs="宋体"/>
          <w:b/>
          <w:bCs/>
          <w:color w:val="000000" w:themeColor="text1"/>
          <w:kern w:val="0"/>
          <w:sz w:val="24"/>
          <w:szCs w:val="24"/>
          <w:highlight w:val="none"/>
          <w14:textFill>
            <w14:solidFill>
              <w14:schemeClr w14:val="tx1"/>
            </w14:solidFill>
          </w14:textFill>
        </w:rPr>
        <w:t>及</w:t>
      </w:r>
      <w:r>
        <w:rPr>
          <w:rFonts w:hint="eastAsia" w:ascii="宋体" w:hAnsi="宋体" w:eastAsia="宋体" w:cs="宋体"/>
          <w:b/>
          <w:bCs/>
          <w:color w:val="000000" w:themeColor="text1"/>
          <w:kern w:val="0"/>
          <w:sz w:val="24"/>
          <w:szCs w:val="24"/>
          <w:highlight w:val="none"/>
          <w:lang w:val="zh-CN"/>
          <w14:textFill>
            <w14:solidFill>
              <w14:schemeClr w14:val="tx1"/>
            </w14:solidFill>
          </w14:textFill>
        </w:rPr>
        <w:t>售后服务</w:t>
      </w:r>
      <w:r>
        <w:rPr>
          <w:rFonts w:hint="eastAsia" w:ascii="宋体" w:hAnsi="宋体" w:eastAsia="宋体" w:cs="宋体"/>
          <w:b/>
          <w:bCs/>
          <w:color w:val="000000" w:themeColor="text1"/>
          <w:kern w:val="0"/>
          <w:sz w:val="24"/>
          <w:szCs w:val="24"/>
          <w:highlight w:val="none"/>
          <w14:textFill>
            <w14:solidFill>
              <w14:schemeClr w14:val="tx1"/>
            </w14:solidFill>
          </w14:textFill>
        </w:rPr>
        <w:t>要求</w:t>
      </w:r>
      <w:r>
        <w:rPr>
          <w:rFonts w:hint="eastAsia" w:ascii="宋体" w:hAnsi="宋体" w:eastAsia="宋体" w:cs="宋体"/>
          <w:b/>
          <w:bCs/>
          <w:color w:val="000000" w:themeColor="text1"/>
          <w:kern w:val="0"/>
          <w:sz w:val="24"/>
          <w:szCs w:val="24"/>
          <w:highlight w:val="none"/>
          <w:lang w:val="zh-CN"/>
          <w14:textFill>
            <w14:solidFill>
              <w14:schemeClr w14:val="tx1"/>
            </w14:solidFill>
          </w14:textFill>
        </w:rPr>
        <w:t>：</w:t>
      </w:r>
    </w:p>
    <w:p w14:paraId="0DA0ECFA">
      <w:pPr>
        <w:widowControl/>
        <w:numPr>
          <w:ilvl w:val="0"/>
          <w:numId w:val="4"/>
        </w:numPr>
        <w:tabs>
          <w:tab w:val="left" w:pos="420"/>
          <w:tab w:val="clear" w:pos="1500"/>
        </w:tabs>
        <w:spacing w:before="156" w:beforeLines="50" w:line="360" w:lineRule="auto"/>
        <w:ind w:left="42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投标人需为本项目配备足够的售后服务力量，具有国内本地化的服务团队。</w:t>
      </w:r>
    </w:p>
    <w:p w14:paraId="71AFDD4D">
      <w:pPr>
        <w:widowControl/>
        <w:numPr>
          <w:ilvl w:val="0"/>
          <w:numId w:val="4"/>
        </w:numPr>
        <w:tabs>
          <w:tab w:val="left" w:pos="420"/>
          <w:tab w:val="clear" w:pos="1500"/>
        </w:tabs>
        <w:spacing w:before="156" w:beforeLines="50" w:line="360" w:lineRule="auto"/>
        <w:ind w:left="42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投标人售后服务响应时间：电话响应时间要求8小时内，到场响应时间要求2个工作日内（指从接到报障至到达故障现场的时间）。</w:t>
      </w:r>
    </w:p>
    <w:p w14:paraId="02C9D2CE">
      <w:pPr>
        <w:widowControl/>
        <w:numPr>
          <w:ilvl w:val="0"/>
          <w:numId w:val="4"/>
        </w:numPr>
        <w:tabs>
          <w:tab w:val="left" w:pos="420"/>
          <w:tab w:val="clear" w:pos="1500"/>
        </w:tabs>
        <w:spacing w:before="156" w:beforeLines="50" w:line="360" w:lineRule="auto"/>
        <w:ind w:left="42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投标人免费提供技术支持热线电话，满足24小时热线服务。</w:t>
      </w:r>
    </w:p>
    <w:p w14:paraId="13A8D7D2">
      <w:pPr>
        <w:widowControl/>
        <w:numPr>
          <w:ilvl w:val="0"/>
          <w:numId w:val="4"/>
        </w:numPr>
        <w:tabs>
          <w:tab w:val="left" w:pos="420"/>
          <w:tab w:val="clear" w:pos="1500"/>
        </w:tabs>
        <w:spacing w:before="156" w:beforeLines="50" w:line="360" w:lineRule="auto"/>
        <w:ind w:left="42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投标人免费提供email技术支持，并且在24小时内回复。</w:t>
      </w:r>
    </w:p>
    <w:p w14:paraId="4F6C427F">
      <w:pPr>
        <w:widowControl/>
        <w:numPr>
          <w:ilvl w:val="0"/>
          <w:numId w:val="4"/>
        </w:numPr>
        <w:tabs>
          <w:tab w:val="left" w:pos="420"/>
          <w:tab w:val="clear" w:pos="1500"/>
        </w:tabs>
        <w:spacing w:before="156" w:beforeLines="50" w:line="360" w:lineRule="auto"/>
        <w:ind w:left="420"/>
        <w:jc w:val="left"/>
        <w:rPr>
          <w:rFonts w:ascii="宋体" w:hAnsi="宋体" w:eastAsia="宋体" w:cs="宋体"/>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宋体"/>
          <w:color w:val="000000"/>
          <w:sz w:val="24"/>
          <w:szCs w:val="24"/>
          <w:highlight w:val="none"/>
        </w:rPr>
        <w:t>投标人提供仪器设备的免费保修期五年（保修期内免费维修并更换除消耗品以外的零部件，维修人员的路费、食宿等自理）。</w:t>
      </w:r>
    </w:p>
    <w:p w14:paraId="073FDD41">
      <w:pPr>
        <w:widowControl/>
        <w:numPr>
          <w:ilvl w:val="0"/>
          <w:numId w:val="4"/>
        </w:numPr>
        <w:tabs>
          <w:tab w:val="left" w:pos="420"/>
          <w:tab w:val="clear" w:pos="1500"/>
        </w:tabs>
        <w:spacing w:before="156" w:beforeLines="50" w:line="360" w:lineRule="auto"/>
        <w:ind w:left="42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投标人提供该设备的技术使用说明书及外购配件仪器说明书，并指导在使用该设备时的操作注意事项等。</w:t>
      </w:r>
    </w:p>
    <w:p w14:paraId="3817B54B">
      <w:pPr>
        <w:widowControl/>
        <w:numPr>
          <w:ilvl w:val="0"/>
          <w:numId w:val="4"/>
        </w:numPr>
        <w:tabs>
          <w:tab w:val="left" w:pos="420"/>
          <w:tab w:val="clear" w:pos="1500"/>
        </w:tabs>
        <w:spacing w:before="156" w:beforeLines="50" w:line="360" w:lineRule="auto"/>
        <w:ind w:left="420"/>
        <w:jc w:val="left"/>
        <w:rPr>
          <w:rFonts w:ascii="宋体" w:hAnsi="宋体" w:eastAsia="宋体" w:cs="宋体"/>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宋体"/>
          <w:color w:val="000000"/>
          <w:sz w:val="24"/>
          <w:szCs w:val="24"/>
          <w:highlight w:val="none"/>
        </w:rPr>
        <w:t>投标人提供配套软件五年内免费升级服务。</w:t>
      </w:r>
    </w:p>
    <w:p w14:paraId="0092DE4F">
      <w:pPr>
        <w:widowControl/>
        <w:numPr>
          <w:ilvl w:val="0"/>
          <w:numId w:val="4"/>
        </w:numPr>
        <w:tabs>
          <w:tab w:val="left" w:pos="420"/>
          <w:tab w:val="clear" w:pos="1500"/>
        </w:tabs>
        <w:spacing w:before="156" w:beforeLines="50" w:line="360" w:lineRule="auto"/>
        <w:ind w:left="420"/>
        <w:jc w:val="left"/>
        <w:rPr>
          <w:rFonts w:ascii="宋体" w:hAnsi="宋体" w:eastAsia="宋体" w:cs="宋体"/>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宋体"/>
          <w:color w:val="000000"/>
          <w:sz w:val="24"/>
          <w:szCs w:val="24"/>
          <w:highlight w:val="none"/>
        </w:rPr>
        <w:t>投标人提供设备一次搬运（含保险）服务。</w:t>
      </w:r>
    </w:p>
    <w:p w14:paraId="0E899A78">
      <w:pPr>
        <w:pStyle w:val="5"/>
        <w:spacing w:line="360" w:lineRule="auto"/>
        <w:ind w:firstLine="480"/>
        <w:rPr>
          <w:rFonts w:ascii="宋体" w:hAnsi="宋体" w:eastAsia="宋体" w:cs="宋体"/>
          <w:color w:val="000000" w:themeColor="text1"/>
          <w:sz w:val="24"/>
          <w:szCs w:val="24"/>
          <w:highlight w:val="none"/>
          <w:lang w:val="zh-CN"/>
          <w14:textFill>
            <w14:solidFill>
              <w14:schemeClr w14:val="tx1"/>
            </w14:solidFill>
          </w14:textFill>
        </w:rPr>
      </w:pPr>
    </w:p>
    <w:p w14:paraId="0D189E49">
      <w:pPr>
        <w:widowControl/>
        <w:numPr>
          <w:ilvl w:val="0"/>
          <w:numId w:val="2"/>
        </w:num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培训要求：</w:t>
      </w:r>
    </w:p>
    <w:p w14:paraId="047D0BB9">
      <w:pPr>
        <w:widowControl/>
        <w:numPr>
          <w:ilvl w:val="0"/>
          <w:numId w:val="5"/>
        </w:numPr>
        <w:tabs>
          <w:tab w:val="clear" w:pos="1500"/>
        </w:tabs>
        <w:spacing w:before="156" w:beforeLines="50" w:line="360" w:lineRule="auto"/>
        <w:ind w:left="42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为保证投标人所提供的仪器设备安全、可靠运行，便于采购人的运行维护，必须对采购人培训合格的维护和管理人员。</w:t>
      </w:r>
    </w:p>
    <w:p w14:paraId="4C376A55">
      <w:pPr>
        <w:widowControl/>
        <w:numPr>
          <w:ilvl w:val="0"/>
          <w:numId w:val="5"/>
        </w:numPr>
        <w:tabs>
          <w:tab w:val="clear" w:pos="1500"/>
        </w:tabs>
        <w:spacing w:before="156" w:beforeLines="50" w:line="360" w:lineRule="auto"/>
        <w:ind w:left="42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投标人负责对采购人提供至少一次现场技术培训，以便工作人员在培训后能熟练地掌握系统的维护工作，并能及时排除大部分的系统障碍。</w:t>
      </w:r>
    </w:p>
    <w:p w14:paraId="04F72C94">
      <w:pPr>
        <w:widowControl/>
        <w:numPr>
          <w:ilvl w:val="0"/>
          <w:numId w:val="5"/>
        </w:numPr>
        <w:tabs>
          <w:tab w:val="clear" w:pos="1500"/>
        </w:tabs>
        <w:spacing w:before="156" w:beforeLines="50" w:line="360" w:lineRule="auto"/>
        <w:ind w:left="42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至少一次厂家工程师到采购人现场免费培训；培训至采购人可以熟练操作为止。</w:t>
      </w:r>
    </w:p>
    <w:p w14:paraId="1975DA3F">
      <w:pPr>
        <w:numPr>
          <w:ilvl w:val="0"/>
          <w:numId w:val="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运输及包装方式的要求</w:t>
      </w:r>
    </w:p>
    <w:p w14:paraId="59426A5E">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设备的包装、运输由投标人负责，应使用崭新坚固的包装（标准包装），适合于空运、或陆运等长途运输方式；适合气候变化；投</w:t>
      </w:r>
      <w:r>
        <w:rPr>
          <w:rFonts w:hint="eastAsia" w:ascii="宋体" w:hAnsi="宋体" w:eastAsia="宋体" w:cs="宋体"/>
          <w:color w:val="000000" w:themeColor="text1"/>
          <w:kern w:val="0"/>
          <w:sz w:val="24"/>
          <w:szCs w:val="24"/>
          <w:lang w:val="zh-CN"/>
          <w14:textFill>
            <w14:solidFill>
              <w14:schemeClr w14:val="tx1"/>
            </w14:solidFill>
          </w14:textFill>
        </w:rPr>
        <w:t>标人应对任何由于不当包装或防护措施不利而导致的商品损坏、损失、费用增长等后果负责。</w:t>
      </w:r>
    </w:p>
    <w:p w14:paraId="63F77CED">
      <w:pPr>
        <w:numPr>
          <w:ilvl w:val="0"/>
          <w:numId w:val="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288075B4">
      <w:pPr>
        <w:pStyle w:val="5"/>
        <w:numPr>
          <w:ilvl w:val="0"/>
          <w:numId w:val="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6330398E">
      <w:pPr>
        <w:pStyle w:val="5"/>
        <w:numPr>
          <w:ilvl w:val="0"/>
          <w:numId w:val="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4C1CDB25">
      <w:pPr>
        <w:pStyle w:val="5"/>
        <w:numPr>
          <w:ilvl w:val="0"/>
          <w:numId w:val="6"/>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0A0FFD20">
      <w:pPr>
        <w:pStyle w:val="5"/>
        <w:numPr>
          <w:ilvl w:val="0"/>
          <w:numId w:val="6"/>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226E7092">
      <w:pPr>
        <w:numPr>
          <w:ilvl w:val="0"/>
          <w:numId w:val="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01E15082">
      <w:pPr>
        <w:numPr>
          <w:ilvl w:val="0"/>
          <w:numId w:val="7"/>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14:paraId="3BDA38EF">
      <w:pPr>
        <w:numPr>
          <w:ilvl w:val="0"/>
          <w:numId w:val="7"/>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04D317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Bookman Old Style">
    <w:panose1 w:val="020506040505050202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86757"/>
    <w:multiLevelType w:val="singleLevel"/>
    <w:tmpl w:val="04986757"/>
    <w:lvl w:ilvl="0" w:tentative="0">
      <w:start w:val="1"/>
      <w:numFmt w:val="decimal"/>
      <w:lvlText w:val="%1)"/>
      <w:lvlJc w:val="left"/>
      <w:pPr>
        <w:ind w:left="425" w:hanging="425"/>
      </w:pPr>
      <w:rPr>
        <w:rFonts w:hint="default"/>
      </w:rPr>
    </w:lvl>
  </w:abstractNum>
  <w:abstractNum w:abstractNumId="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
    <w:nsid w:val="6729B95E"/>
    <w:multiLevelType w:val="singleLevel"/>
    <w:tmpl w:val="6729B95E"/>
    <w:lvl w:ilvl="0" w:tentative="0">
      <w:start w:val="3"/>
      <w:numFmt w:val="chineseCounting"/>
      <w:suff w:val="nothing"/>
      <w:lvlText w:val="%1、"/>
      <w:lvlJc w:val="left"/>
      <w:rPr>
        <w:rFonts w:hint="eastAsia"/>
      </w:rPr>
    </w:lvl>
  </w:abstractNum>
  <w:abstractNum w:abstractNumId="3">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C68EB4"/>
    <w:multiLevelType w:val="singleLevel"/>
    <w:tmpl w:val="70C68EB4"/>
    <w:lvl w:ilvl="0" w:tentative="0">
      <w:start w:val="1"/>
      <w:numFmt w:val="decimal"/>
      <w:lvlText w:val="%1)"/>
      <w:lvlJc w:val="left"/>
      <w:pPr>
        <w:tabs>
          <w:tab w:val="left" w:pos="312"/>
        </w:tabs>
      </w:pPr>
    </w:lvl>
  </w:abstractNum>
  <w:abstractNum w:abstractNumId="6">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2"/>
  </w:num>
  <w:num w:numId="2">
    <w:abstractNumId w:val="6"/>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03108B"/>
    <w:rsid w:val="69031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w:basedOn w:val="1"/>
    <w:next w:val="3"/>
    <w:unhideWhenUsed/>
    <w:qFormat/>
    <w:uiPriority w:val="99"/>
    <w:pPr>
      <w:spacing w:after="120"/>
      <w:ind w:left="420" w:leftChars="200"/>
    </w:pPr>
  </w:style>
  <w:style w:type="paragraph" w:styleId="3">
    <w:name w:val="envelope return"/>
    <w:basedOn w:val="1"/>
    <w:semiHidden/>
    <w:unhideWhenUsed/>
    <w:qFormat/>
    <w:uiPriority w:val="99"/>
    <w:pPr>
      <w:snapToGrid w:val="0"/>
    </w:pPr>
    <w:rPr>
      <w:rFonts w:ascii="Arial" w:hAnsi="Arial"/>
    </w:rPr>
  </w:style>
  <w:style w:type="paragraph" w:styleId="4">
    <w:name w:val="Title"/>
    <w:basedOn w:val="1"/>
    <w:next w:val="1"/>
    <w:qFormat/>
    <w:uiPriority w:val="0"/>
    <w:pPr>
      <w:spacing w:before="240" w:after="60"/>
      <w:jc w:val="center"/>
      <w:outlineLvl w:val="0"/>
    </w:pPr>
    <w:rPr>
      <w:rFonts w:ascii="Arial" w:hAnsi="Arial" w:cs="Arial"/>
      <w:b/>
      <w:bCs/>
      <w:sz w:val="32"/>
      <w:szCs w:val="32"/>
    </w:rPr>
  </w:style>
  <w:style w:type="paragraph" w:styleId="5">
    <w:name w:val="Body Text First Indent 2"/>
    <w:basedOn w:val="2"/>
    <w:unhideWhenUsed/>
    <w:qFormat/>
    <w:uiPriority w:val="99"/>
    <w:pPr>
      <w:spacing w:after="0"/>
      <w:ind w:left="0" w:leftChars="0" w:firstLine="420" w:firstLineChars="200"/>
    </w:pPr>
    <w:rPr>
      <w:rFonts w:ascii="Arial" w:hAnsi="Arial" w:eastAsia="仿宋_GB2312"/>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2025-03-12T08:24:00Z</dcterms:created>
  <dc:creator>zl</dc:creator>
  <cp:lastModifiedBy>zl</cp:lastModifiedBy>
  <dcterms:modified xsi:type="dcterms:W3CDTF">2025-03-12T08:25:18Z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2BC84BC374954C2990AE1C72CDC4C91A_11</vt:lpwstr>
  </property>
  <property fmtid="{D5CDD505-2E9C-101B-9397-08002B2CF9AE}" pid="4" name="KSOTemplateDocerSaveRecord">
    <vt:lpwstr>eyJoZGlkIjoiM2M5ZDdhMjE0NjdlYzllNDBkMzBmZDA3MzhlMjU1ZDYiLCJ1c2VySWQiOiIyNDA1ODQ1NzkifQ==</vt:lpwstr>
  </property>
</Properties>
</file>