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bCs/>
          <w:color w:val="auto"/>
          <w:sz w:val="44"/>
          <w:szCs w:val="44"/>
          <w:highlight w:val="none"/>
        </w:rPr>
      </w:pPr>
      <w:bookmarkStart w:id="0" w:name="_Toc407169869"/>
      <w:bookmarkStart w:id="1" w:name="_Toc407182661"/>
      <w:bookmarkStart w:id="2" w:name="_Toc17554"/>
      <w:bookmarkStart w:id="18" w:name="_GoBack"/>
      <w:bookmarkEnd w:id="18"/>
    </w:p>
    <w:p>
      <w:pPr>
        <w:pStyle w:val="15"/>
        <w:rPr>
          <w:rFonts w:hint="eastAsia"/>
          <w:color w:val="auto"/>
          <w:highlight w:val="none"/>
        </w:rPr>
      </w:pPr>
    </w:p>
    <w:p>
      <w:pPr>
        <w:tabs>
          <w:tab w:val="left" w:pos="1725"/>
          <w:tab w:val="center" w:pos="4195"/>
        </w:tabs>
        <w:spacing w:line="800" w:lineRule="exact"/>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竞争性磋商文件</w:t>
      </w:r>
    </w:p>
    <w:p>
      <w:pPr>
        <w:pStyle w:val="15"/>
        <w:rPr>
          <w:rFonts w:hint="eastAsia" w:ascii="宋体" w:hAnsi="宋体" w:eastAsia="宋体" w:cs="宋体"/>
          <w:color w:val="auto"/>
          <w:highlight w:val="none"/>
        </w:rPr>
      </w:pPr>
    </w:p>
    <w:p>
      <w:pPr>
        <w:tabs>
          <w:tab w:val="left" w:pos="1725"/>
          <w:tab w:val="center" w:pos="4195"/>
        </w:tabs>
        <w:spacing w:line="600" w:lineRule="exact"/>
        <w:rPr>
          <w:rFonts w:hint="eastAsia" w:ascii="宋体" w:hAnsi="宋体" w:eastAsia="宋体" w:cs="宋体"/>
          <w:color w:val="auto"/>
          <w:sz w:val="32"/>
          <w:szCs w:val="32"/>
          <w:highlight w:val="none"/>
        </w:rPr>
      </w:pPr>
    </w:p>
    <w:p>
      <w:pPr>
        <w:tabs>
          <w:tab w:val="left" w:pos="1725"/>
          <w:tab w:val="center" w:pos="4195"/>
        </w:tabs>
        <w:spacing w:line="600" w:lineRule="exact"/>
        <w:ind w:firstLine="1084" w:firstLineChars="300"/>
        <w:jc w:val="both"/>
        <w:rPr>
          <w:rFonts w:hint="eastAsia" w:ascii="宋体" w:hAnsi="宋体" w:eastAsia="宋体" w:cs="宋体"/>
          <w:b/>
          <w:bCs/>
          <w:color w:val="auto"/>
          <w:kern w:val="0"/>
          <w:sz w:val="36"/>
          <w:szCs w:val="36"/>
          <w:highlight w:val="none"/>
          <w:lang w:eastAsia="zh-CN"/>
        </w:rPr>
      </w:pPr>
      <w:r>
        <w:rPr>
          <w:rFonts w:hint="eastAsia" w:ascii="宋体" w:hAnsi="宋体" w:eastAsia="宋体" w:cs="宋体"/>
          <w:b/>
          <w:bCs/>
          <w:color w:val="auto"/>
          <w:kern w:val="0"/>
          <w:sz w:val="36"/>
          <w:szCs w:val="36"/>
          <w:highlight w:val="none"/>
        </w:rPr>
        <w:t>采购项目：</w:t>
      </w:r>
      <w:r>
        <w:rPr>
          <w:rFonts w:hint="eastAsia" w:ascii="宋体" w:hAnsi="宋体" w:cs="宋体"/>
          <w:b/>
          <w:bCs/>
          <w:color w:val="auto"/>
          <w:kern w:val="0"/>
          <w:sz w:val="36"/>
          <w:szCs w:val="36"/>
          <w:highlight w:val="none"/>
          <w:lang w:eastAsia="zh-CN"/>
        </w:rPr>
        <w:t>赤峰学院学生食堂（保障性餐厅）食品采购原材料供应商</w:t>
      </w:r>
    </w:p>
    <w:p>
      <w:pPr>
        <w:tabs>
          <w:tab w:val="left" w:pos="1725"/>
          <w:tab w:val="center" w:pos="4195"/>
        </w:tabs>
        <w:spacing w:line="600" w:lineRule="exact"/>
        <w:ind w:firstLine="1084" w:firstLineChars="300"/>
        <w:jc w:val="both"/>
        <w:rPr>
          <w:rFonts w:hint="eastAsia" w:ascii="宋体" w:hAnsi="宋体" w:eastAsia="宋体" w:cs="宋体"/>
          <w:b/>
          <w:bCs/>
          <w:color w:val="auto"/>
          <w:kern w:val="0"/>
          <w:sz w:val="36"/>
          <w:szCs w:val="36"/>
          <w:highlight w:val="none"/>
        </w:rPr>
      </w:pPr>
    </w:p>
    <w:p>
      <w:pPr>
        <w:tabs>
          <w:tab w:val="left" w:pos="1725"/>
          <w:tab w:val="center" w:pos="4195"/>
        </w:tabs>
        <w:spacing w:line="600" w:lineRule="exact"/>
        <w:ind w:firstLine="1084" w:firstLineChars="300"/>
        <w:jc w:val="both"/>
        <w:rPr>
          <w:rFonts w:hint="eastAsia" w:ascii="宋体" w:hAnsi="宋体" w:eastAsia="宋体" w:cs="宋体"/>
          <w:color w:val="auto"/>
          <w:sz w:val="32"/>
          <w:szCs w:val="32"/>
          <w:highlight w:val="none"/>
        </w:rPr>
      </w:pPr>
      <w:r>
        <w:rPr>
          <w:rFonts w:hint="eastAsia" w:ascii="宋体" w:hAnsi="宋体" w:cs="宋体"/>
          <w:b/>
          <w:bCs/>
          <w:color w:val="auto"/>
          <w:kern w:val="0"/>
          <w:sz w:val="36"/>
          <w:szCs w:val="36"/>
          <w:highlight w:val="none"/>
          <w:lang w:eastAsia="zh-CN"/>
        </w:rPr>
        <w:t>项目</w:t>
      </w:r>
      <w:r>
        <w:rPr>
          <w:rFonts w:hint="eastAsia" w:ascii="宋体" w:hAnsi="宋体" w:eastAsia="宋体" w:cs="宋体"/>
          <w:b/>
          <w:bCs/>
          <w:color w:val="auto"/>
          <w:kern w:val="0"/>
          <w:sz w:val="36"/>
          <w:szCs w:val="36"/>
          <w:highlight w:val="none"/>
        </w:rPr>
        <w:t>编号：</w:t>
      </w:r>
      <w:r>
        <w:rPr>
          <w:rFonts w:hint="eastAsia" w:ascii="宋体" w:hAnsi="宋体" w:cs="宋体"/>
          <w:b/>
          <w:bCs/>
          <w:color w:val="auto"/>
          <w:kern w:val="0"/>
          <w:sz w:val="36"/>
          <w:szCs w:val="36"/>
          <w:highlight w:val="none"/>
          <w:lang w:eastAsia="zh-CN"/>
        </w:rPr>
        <w:t>NMGFTCG-HW-2023006</w:t>
      </w:r>
    </w:p>
    <w:p>
      <w:pPr>
        <w:spacing w:line="600" w:lineRule="exact"/>
        <w:ind w:firstLine="640" w:firstLineChars="200"/>
        <w:rPr>
          <w:rFonts w:hint="eastAsia" w:ascii="宋体" w:hAnsi="宋体" w:eastAsia="宋体" w:cs="宋体"/>
          <w:color w:val="auto"/>
          <w:sz w:val="32"/>
          <w:szCs w:val="32"/>
          <w:highlight w:val="none"/>
        </w:rPr>
      </w:pPr>
    </w:p>
    <w:p>
      <w:pPr>
        <w:pStyle w:val="2"/>
        <w:rPr>
          <w:rFonts w:hint="eastAsia"/>
          <w:color w:val="auto"/>
          <w:highlight w:val="none"/>
        </w:rPr>
      </w:pPr>
    </w:p>
    <w:p>
      <w:pPr>
        <w:pStyle w:val="15"/>
        <w:ind w:firstLine="1606" w:firstLineChars="500"/>
        <w:jc w:val="left"/>
        <w:rPr>
          <w:rFonts w:hint="eastAsia" w:ascii="宋体" w:hAnsi="宋体" w:eastAsia="宋体" w:cs="宋体"/>
          <w:b/>
          <w:bCs/>
          <w:color w:val="auto"/>
          <w:sz w:val="32"/>
          <w:szCs w:val="32"/>
          <w:highlight w:val="none"/>
        </w:rPr>
      </w:pPr>
    </w:p>
    <w:p>
      <w:pPr>
        <w:pStyle w:val="4"/>
        <w:rPr>
          <w:rFonts w:hint="eastAsia" w:ascii="宋体" w:hAnsi="宋体" w:eastAsia="宋体" w:cs="宋体"/>
          <w:b/>
          <w:bCs/>
          <w:color w:val="auto"/>
          <w:sz w:val="32"/>
          <w:szCs w:val="32"/>
          <w:highlight w:val="none"/>
        </w:rPr>
      </w:pPr>
    </w:p>
    <w:p>
      <w:pPr>
        <w:rPr>
          <w:rFonts w:hint="eastAsia"/>
        </w:rPr>
      </w:pPr>
    </w:p>
    <w:p>
      <w:pPr>
        <w:rPr>
          <w:rFonts w:hint="eastAsia" w:ascii="宋体" w:hAnsi="宋体" w:eastAsia="宋体" w:cs="宋体"/>
          <w:b/>
          <w:bCs/>
          <w:color w:val="auto"/>
          <w:sz w:val="32"/>
          <w:szCs w:val="32"/>
          <w:highlight w:val="none"/>
        </w:rPr>
      </w:pPr>
    </w:p>
    <w:p>
      <w:pPr>
        <w:pStyle w:val="2"/>
        <w:rPr>
          <w:rFonts w:hint="eastAsia"/>
        </w:rPr>
      </w:pPr>
    </w:p>
    <w:p>
      <w:pPr>
        <w:pStyle w:val="15"/>
        <w:ind w:firstLine="1606" w:firstLineChars="500"/>
        <w:jc w:val="left"/>
        <w:rPr>
          <w:rFonts w:hint="eastAsia" w:ascii="宋体" w:hAnsi="宋体" w:eastAsia="宋体" w:cs="宋体"/>
          <w:b/>
          <w:bCs/>
          <w:color w:val="auto"/>
          <w:sz w:val="32"/>
          <w:szCs w:val="32"/>
          <w:highlight w:val="none"/>
        </w:rPr>
      </w:pPr>
    </w:p>
    <w:p>
      <w:pPr>
        <w:pStyle w:val="15"/>
        <w:ind w:firstLine="1606" w:firstLineChars="500"/>
        <w:jc w:val="left"/>
        <w:rPr>
          <w:rFonts w:hint="eastAsia" w:ascii="宋体" w:hAnsi="宋体" w:eastAsia="宋体" w:cs="宋体"/>
          <w:b/>
          <w:bCs/>
          <w:color w:val="auto"/>
          <w:sz w:val="32"/>
          <w:szCs w:val="32"/>
          <w:highlight w:val="none"/>
        </w:rPr>
      </w:pPr>
    </w:p>
    <w:p>
      <w:pPr>
        <w:pStyle w:val="15"/>
        <w:ind w:firstLine="1606" w:firstLineChars="500"/>
        <w:jc w:val="left"/>
        <w:rPr>
          <w:rFonts w:hint="eastAsia" w:ascii="宋体" w:hAnsi="宋体" w:eastAsia="宋体" w:cs="宋体"/>
          <w:b/>
          <w:bCs/>
          <w:color w:val="auto"/>
          <w:sz w:val="32"/>
          <w:szCs w:val="32"/>
          <w:highlight w:val="none"/>
        </w:rPr>
      </w:pPr>
    </w:p>
    <w:p>
      <w:pPr>
        <w:pStyle w:val="15"/>
        <w:ind w:firstLine="1606" w:firstLineChars="500"/>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采购单位：赤峰学院</w:t>
      </w:r>
    </w:p>
    <w:p>
      <w:pPr>
        <w:pStyle w:val="15"/>
        <w:ind w:firstLine="1606" w:firstLineChars="500"/>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编制单位：内蒙古方拓项目管理有限公司</w:t>
      </w:r>
    </w:p>
    <w:p>
      <w:pPr>
        <w:tabs>
          <w:tab w:val="left" w:pos="1725"/>
          <w:tab w:val="center" w:pos="4195"/>
        </w:tabs>
        <w:spacing w:line="600" w:lineRule="exact"/>
        <w:ind w:firstLine="1606" w:firstLineChars="500"/>
        <w:jc w:val="both"/>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编制日期：二○二</w:t>
      </w:r>
      <w:r>
        <w:rPr>
          <w:rFonts w:hint="eastAsia" w:ascii="宋体" w:hAnsi="宋体" w:cs="宋体"/>
          <w:b/>
          <w:bCs/>
          <w:color w:val="auto"/>
          <w:kern w:val="0"/>
          <w:sz w:val="32"/>
          <w:szCs w:val="32"/>
          <w:highlight w:val="none"/>
          <w:lang w:val="en-US" w:eastAsia="zh-CN"/>
        </w:rPr>
        <w:t>三</w:t>
      </w:r>
      <w:r>
        <w:rPr>
          <w:rFonts w:hint="eastAsia" w:ascii="宋体" w:hAnsi="宋体" w:eastAsia="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一</w:t>
      </w:r>
      <w:r>
        <w:rPr>
          <w:rFonts w:hint="eastAsia" w:ascii="宋体" w:hAnsi="宋体" w:eastAsia="宋体" w:cs="宋体"/>
          <w:b/>
          <w:bCs/>
          <w:color w:val="auto"/>
          <w:kern w:val="0"/>
          <w:sz w:val="32"/>
          <w:szCs w:val="32"/>
          <w:highlight w:val="none"/>
        </w:rPr>
        <w:t>月</w:t>
      </w:r>
    </w:p>
    <w:p>
      <w:pPr>
        <w:tabs>
          <w:tab w:val="left" w:pos="1725"/>
          <w:tab w:val="center" w:pos="4195"/>
        </w:tabs>
        <w:jc w:val="center"/>
        <w:rPr>
          <w:rFonts w:hint="eastAsia" w:ascii="宋体" w:hAnsi="宋体" w:eastAsia="宋体" w:cs="宋体"/>
          <w:b/>
          <w:bCs/>
          <w:color w:val="auto"/>
          <w:kern w:val="0"/>
          <w:sz w:val="36"/>
          <w:szCs w:val="36"/>
          <w:highlight w:val="none"/>
        </w:rPr>
      </w:pPr>
    </w:p>
    <w:p>
      <w:pPr>
        <w:spacing w:line="600" w:lineRule="exact"/>
        <w:jc w:val="distribute"/>
        <w:rPr>
          <w:rFonts w:hint="eastAsia" w:ascii="宋体" w:hAnsi="宋体" w:eastAsia="宋体" w:cs="宋体"/>
          <w:color w:val="auto"/>
          <w:highlight w:val="none"/>
        </w:rPr>
        <w:sectPr>
          <w:headerReference r:id="rId3" w:type="default"/>
          <w:footerReference r:id="rId4" w:type="default"/>
          <w:pgSz w:w="11906" w:h="16838"/>
          <w:pgMar w:top="1134" w:right="991" w:bottom="1191" w:left="1134" w:header="851" w:footer="992" w:gutter="0"/>
          <w:pgNumType w:start="1"/>
          <w:cols w:space="720" w:num="1"/>
          <w:docGrid w:type="lines" w:linePitch="312" w:charSpace="0"/>
        </w:sectPr>
      </w:pPr>
      <w:r>
        <w:rPr>
          <w:rFonts w:hint="eastAsia" w:ascii="宋体" w:hAnsi="宋体" w:eastAsia="宋体" w:cs="宋体"/>
          <w:b/>
          <w:bCs/>
          <w:color w:val="auto"/>
          <w:kern w:val="0"/>
          <w:sz w:val="36"/>
          <w:szCs w:val="36"/>
          <w:highlight w:val="none"/>
        </w:rPr>
        <w:br w:type="page"/>
      </w:r>
    </w:p>
    <w:bookmarkEnd w:id="0"/>
    <w:bookmarkEnd w:id="1"/>
    <w:bookmarkEnd w:id="2"/>
    <w:sdt>
      <w:sdtPr>
        <w:rPr>
          <w:rFonts w:hint="eastAsia" w:ascii="宋体" w:hAnsi="宋体" w:eastAsia="宋体" w:cs="宋体"/>
          <w:b/>
          <w:bCs/>
          <w:color w:val="auto"/>
          <w:kern w:val="2"/>
          <w:sz w:val="21"/>
          <w:szCs w:val="21"/>
          <w:highlight w:val="none"/>
          <w:lang w:val="en-US" w:eastAsia="zh-CN" w:bidi="ar-SA"/>
        </w:rPr>
        <w:id w:val="147476346"/>
        <w15:color w:val="DBDBDB"/>
        <w:docPartObj>
          <w:docPartGallery w:val="Table of Contents"/>
          <w:docPartUnique/>
        </w:docPartObj>
      </w:sdtPr>
      <w:sdtEndPr>
        <w:rPr>
          <w:rFonts w:hint="eastAsia" w:ascii="宋体" w:hAnsi="宋体" w:eastAsia="宋体" w:cs="宋体"/>
          <w:b/>
          <w:bCs/>
          <w:color w:val="auto"/>
          <w:kern w:val="2"/>
          <w:sz w:val="28"/>
          <w:szCs w:val="28"/>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color w:val="auto"/>
              <w:highlight w:val="none"/>
            </w:rPr>
          </w:pPr>
          <w:bookmarkStart w:id="3" w:name="_Toc7809"/>
          <w:r>
            <w:rPr>
              <w:rFonts w:hint="eastAsia" w:ascii="宋体" w:hAnsi="宋体" w:eastAsia="宋体" w:cs="宋体"/>
              <w:b/>
              <w:bCs/>
              <w:color w:val="auto"/>
              <w:sz w:val="32"/>
              <w:szCs w:val="32"/>
              <w:highlight w:val="none"/>
            </w:rPr>
            <w:t>目</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录</w:t>
          </w:r>
        </w:p>
        <w:p>
          <w:pPr>
            <w:pStyle w:val="70"/>
            <w:tabs>
              <w:tab w:val="right" w:leader="middleDot" w:pos="978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_Toc5195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竞争性磋商邀请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70"/>
            <w:tabs>
              <w:tab w:val="right" w:leader="middleDot" w:pos="978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_Toc23270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color w:val="auto"/>
              <w:sz w:val="28"/>
              <w:szCs w:val="28"/>
              <w:highlight w:val="none"/>
            </w:rPr>
            <w:t>项目服务规范与采购要求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_Toc23270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70"/>
            <w:tabs>
              <w:tab w:val="right" w:leader="middleDot" w:pos="978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_Toc11536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第三章 竞争性磋商活动程序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_Toc11536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70"/>
            <w:tabs>
              <w:tab w:val="right" w:leader="middleDot" w:pos="978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_Toc22160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第四章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_Toc22160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70"/>
            <w:tabs>
              <w:tab w:val="right" w:leader="middleDot" w:pos="978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评审办法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70"/>
            <w:tabs>
              <w:tab w:val="right" w:leader="middleDot" w:pos="978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_Toc7652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第六章</w:t>
          </w:r>
          <w:r>
            <w:rPr>
              <w:rFonts w:hint="eastAsia" w:ascii="宋体" w:hAnsi="宋体" w:eastAsia="宋体" w:cs="宋体"/>
              <w:color w:val="auto"/>
              <w:sz w:val="28"/>
              <w:szCs w:val="28"/>
              <w:highlight w:val="none"/>
            </w:rPr>
            <w:t xml:space="preserve"> 合同草案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_Toc7652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70"/>
            <w:tabs>
              <w:tab w:val="right" w:leader="middleDot" w:pos="978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_Toc17526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第七章 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_Toc17526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p>
      </w:sdtContent>
    </w:sdt>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pStyle w:val="5"/>
        <w:bidi w:val="0"/>
        <w:jc w:val="center"/>
        <w:rPr>
          <w:rFonts w:hint="eastAsia" w:ascii="宋体" w:hAnsi="宋体" w:eastAsia="宋体" w:cs="宋体"/>
          <w:color w:val="auto"/>
          <w:sz w:val="36"/>
          <w:szCs w:val="36"/>
          <w:highlight w:val="none"/>
        </w:rPr>
      </w:pPr>
      <w:bookmarkStart w:id="4" w:name="_Toc5195"/>
      <w:r>
        <w:rPr>
          <w:rFonts w:hint="eastAsia" w:ascii="宋体" w:hAnsi="宋体" w:eastAsia="宋体" w:cs="宋体"/>
          <w:color w:val="auto"/>
          <w:sz w:val="36"/>
          <w:szCs w:val="36"/>
          <w:highlight w:val="none"/>
        </w:rPr>
        <w:t>第一章 竞争性磋商邀请</w:t>
      </w:r>
      <w:bookmarkEnd w:id="3"/>
      <w:bookmarkEnd w:id="4"/>
    </w:p>
    <w:p>
      <w:pPr>
        <w:widowControl/>
        <w:ind w:firstLine="560" w:firstLineChars="20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sz w:val="28"/>
          <w:szCs w:val="28"/>
          <w:highlight w:val="none"/>
        </w:rPr>
        <w:t>赤峰学院拟采用竞争性磋商采购方式采购</w:t>
      </w:r>
      <w:r>
        <w:rPr>
          <w:rFonts w:hint="eastAsia" w:ascii="宋体" w:hAnsi="宋体" w:cs="宋体"/>
          <w:bCs/>
          <w:color w:val="auto"/>
          <w:sz w:val="28"/>
          <w:szCs w:val="28"/>
          <w:highlight w:val="none"/>
          <w:lang w:eastAsia="zh-CN"/>
        </w:rPr>
        <w:t>赤峰学院学生食堂（保障性餐厅）食品采购原材料供应商</w:t>
      </w:r>
      <w:r>
        <w:rPr>
          <w:rFonts w:hint="eastAsia" w:ascii="宋体" w:hAnsi="宋体" w:eastAsia="宋体" w:cs="宋体"/>
          <w:color w:val="auto"/>
          <w:sz w:val="28"/>
          <w:szCs w:val="28"/>
          <w:highlight w:val="none"/>
        </w:rPr>
        <w:t>，邀请合格供应商参与本项目，现将本次磋商基本信息及要求通知如下</w:t>
      </w:r>
      <w:r>
        <w:rPr>
          <w:rFonts w:hint="eastAsia" w:ascii="宋体" w:hAnsi="宋体" w:eastAsia="宋体" w:cs="宋体"/>
          <w:color w:val="auto"/>
          <w:kern w:val="0"/>
          <w:sz w:val="28"/>
          <w:szCs w:val="28"/>
          <w:highlight w:val="none"/>
          <w:lang w:bidi="ar"/>
        </w:rPr>
        <w:t xml:space="preserve">： </w:t>
      </w:r>
    </w:p>
    <w:p>
      <w:pPr>
        <w:widowControl/>
        <w:jc w:val="left"/>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lang w:bidi="ar"/>
        </w:rPr>
        <w:t>一、项目编号：</w:t>
      </w:r>
      <w:r>
        <w:rPr>
          <w:rFonts w:hint="eastAsia" w:ascii="宋体" w:hAnsi="宋体" w:cs="宋体"/>
          <w:bCs/>
          <w:color w:val="auto"/>
          <w:sz w:val="28"/>
          <w:szCs w:val="28"/>
          <w:highlight w:val="none"/>
          <w:lang w:eastAsia="zh-CN"/>
        </w:rPr>
        <w:t>NMGFTCG-HW-2023006</w:t>
      </w:r>
      <w:r>
        <w:rPr>
          <w:rFonts w:hint="eastAsia" w:ascii="宋体" w:hAnsi="宋体" w:eastAsia="宋体" w:cs="宋体"/>
          <w:color w:val="auto"/>
          <w:kern w:val="0"/>
          <w:sz w:val="28"/>
          <w:szCs w:val="28"/>
          <w:highlight w:val="none"/>
          <w:lang w:bidi="ar"/>
        </w:rPr>
        <w:t xml:space="preserve"> </w:t>
      </w:r>
    </w:p>
    <w:p>
      <w:pPr>
        <w:widowControl/>
        <w:jc w:val="left"/>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lang w:bidi="ar"/>
        </w:rPr>
        <w:t>二、项目名称：</w:t>
      </w:r>
      <w:r>
        <w:rPr>
          <w:rFonts w:hint="eastAsia" w:ascii="宋体" w:hAnsi="宋体" w:cs="宋体"/>
          <w:bCs/>
          <w:color w:val="auto"/>
          <w:sz w:val="28"/>
          <w:szCs w:val="28"/>
          <w:highlight w:val="none"/>
          <w:lang w:eastAsia="zh-CN"/>
        </w:rPr>
        <w:t>赤峰学院学生食堂（保障性餐厅）食品采购原材料供应商</w:t>
      </w:r>
      <w:r>
        <w:rPr>
          <w:rFonts w:hint="eastAsia" w:ascii="宋体" w:hAnsi="宋体" w:eastAsia="宋体" w:cs="宋体"/>
          <w:color w:val="auto"/>
          <w:kern w:val="0"/>
          <w:sz w:val="28"/>
          <w:szCs w:val="28"/>
          <w:highlight w:val="none"/>
          <w:lang w:bidi="ar"/>
        </w:rPr>
        <w:t xml:space="preserve"> </w:t>
      </w:r>
    </w:p>
    <w:p>
      <w:pPr>
        <w:widowControl/>
        <w:jc w:val="left"/>
        <w:rPr>
          <w:rFonts w:hint="eastAsia" w:ascii="宋体" w:hAnsi="宋体" w:eastAsia="宋体" w:cs="宋体"/>
          <w:bCs/>
          <w:color w:val="auto"/>
          <w:sz w:val="28"/>
          <w:szCs w:val="28"/>
          <w:highlight w:val="none"/>
          <w:lang w:eastAsia="zh-CN"/>
        </w:rPr>
      </w:pPr>
      <w:r>
        <w:rPr>
          <w:rFonts w:hint="eastAsia" w:ascii="宋体" w:hAnsi="宋体" w:eastAsia="宋体" w:cs="宋体"/>
          <w:b/>
          <w:color w:val="auto"/>
          <w:kern w:val="0"/>
          <w:sz w:val="28"/>
          <w:szCs w:val="28"/>
          <w:highlight w:val="none"/>
          <w:lang w:bidi="ar"/>
        </w:rPr>
        <w:t>三、采购预算：</w:t>
      </w:r>
      <w:r>
        <w:rPr>
          <w:rFonts w:hint="eastAsia" w:ascii="宋体" w:cs="宋体"/>
          <w:bCs/>
          <w:color w:val="auto"/>
          <w:sz w:val="28"/>
          <w:szCs w:val="28"/>
          <w:highlight w:val="none"/>
        </w:rPr>
        <w:t>详见竞争性磋商文件</w:t>
      </w:r>
    </w:p>
    <w:p>
      <w:pPr>
        <w:widowControl/>
        <w:jc w:val="left"/>
        <w:rPr>
          <w:rFonts w:hint="eastAsia" w:ascii="宋体" w:hAnsi="宋体" w:eastAsia="宋体" w:cs="宋体"/>
          <w:color w:val="auto"/>
          <w:sz w:val="28"/>
          <w:szCs w:val="28"/>
          <w:highlight w:val="none"/>
        </w:rPr>
      </w:pPr>
      <w:r>
        <w:rPr>
          <w:rFonts w:hint="eastAsia" w:ascii="宋体" w:hAnsi="宋体" w:cs="宋体"/>
          <w:b/>
          <w:color w:val="auto"/>
          <w:kern w:val="0"/>
          <w:sz w:val="28"/>
          <w:szCs w:val="28"/>
          <w:highlight w:val="none"/>
          <w:lang w:val="en-US" w:eastAsia="zh-CN" w:bidi="ar"/>
        </w:rPr>
        <w:t>四</w:t>
      </w:r>
      <w:r>
        <w:rPr>
          <w:rFonts w:hint="eastAsia" w:ascii="宋体" w:hAnsi="宋体" w:eastAsia="宋体" w:cs="宋体"/>
          <w:b/>
          <w:color w:val="auto"/>
          <w:kern w:val="0"/>
          <w:sz w:val="28"/>
          <w:szCs w:val="28"/>
          <w:highlight w:val="none"/>
          <w:lang w:bidi="ar"/>
        </w:rPr>
        <w:t xml:space="preserve">、采购内容：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本项目采购内容详见磋商文件第</w:t>
      </w:r>
      <w:r>
        <w:rPr>
          <w:rFonts w:hint="eastAsia" w:ascii="宋体" w:hAnsi="宋体" w:eastAsia="宋体" w:cs="宋体"/>
          <w:color w:val="auto"/>
          <w:sz w:val="28"/>
          <w:szCs w:val="28"/>
          <w:highlight w:val="none"/>
          <w:lang w:eastAsia="zh-CN"/>
        </w:rPr>
        <w:t>二</w:t>
      </w:r>
      <w:r>
        <w:rPr>
          <w:rFonts w:hint="eastAsia" w:ascii="宋体" w:hAnsi="宋体" w:eastAsia="宋体" w:cs="宋体"/>
          <w:color w:val="auto"/>
          <w:sz w:val="28"/>
          <w:szCs w:val="28"/>
          <w:highlight w:val="none"/>
        </w:rPr>
        <w:t xml:space="preserve">章，具体采购内容及所应达到的要求，以本磋商文件中的相应规定为准。 </w:t>
      </w:r>
    </w:p>
    <w:p>
      <w:pPr>
        <w:widowControl/>
        <w:jc w:val="left"/>
        <w:rPr>
          <w:rFonts w:hint="eastAsia" w:ascii="宋体" w:hAnsi="宋体" w:eastAsia="宋体" w:cs="宋体"/>
          <w:color w:val="auto"/>
          <w:sz w:val="28"/>
          <w:szCs w:val="28"/>
          <w:highlight w:val="none"/>
        </w:rPr>
      </w:pPr>
      <w:r>
        <w:rPr>
          <w:rFonts w:hint="eastAsia" w:ascii="宋体" w:hAnsi="宋体" w:cs="宋体"/>
          <w:b/>
          <w:color w:val="auto"/>
          <w:kern w:val="0"/>
          <w:sz w:val="28"/>
          <w:szCs w:val="28"/>
          <w:highlight w:val="none"/>
          <w:lang w:val="en-US" w:eastAsia="zh-CN" w:bidi="ar"/>
        </w:rPr>
        <w:t>五</w:t>
      </w:r>
      <w:r>
        <w:rPr>
          <w:rFonts w:hint="eastAsia" w:ascii="宋体" w:hAnsi="宋体" w:eastAsia="宋体" w:cs="宋体"/>
          <w:b/>
          <w:color w:val="auto"/>
          <w:kern w:val="0"/>
          <w:sz w:val="28"/>
          <w:szCs w:val="28"/>
          <w:highlight w:val="none"/>
          <w:lang w:bidi="ar"/>
        </w:rPr>
        <w:t xml:space="preserve">、供应商的资格要求 </w:t>
      </w:r>
    </w:p>
    <w:p>
      <w:pPr>
        <w:spacing w:line="360" w:lineRule="auto"/>
        <w:ind w:firstLine="560" w:firstLineChars="20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1.磋商函（见附件）；</w:t>
      </w:r>
    </w:p>
    <w:p>
      <w:pPr>
        <w:keepNext w:val="0"/>
        <w:keepLines w:val="0"/>
        <w:widowControl/>
        <w:suppressLineNumbers w:val="0"/>
        <w:ind w:firstLine="560" w:firstLineChars="200"/>
        <w:jc w:val="left"/>
        <w:rPr>
          <w:rFonts w:hint="default"/>
          <w:color w:val="auto"/>
          <w:highlight w:val="none"/>
          <w:lang w:val="en-US" w:eastAsia="zh-CN"/>
        </w:rPr>
      </w:pPr>
      <w:r>
        <w:rPr>
          <w:rFonts w:hint="eastAsia" w:ascii="宋体" w:hAnsi="宋体" w:eastAsia="宋体" w:cs="宋体"/>
          <w:color w:val="auto"/>
          <w:kern w:val="0"/>
          <w:sz w:val="28"/>
          <w:szCs w:val="28"/>
          <w:highlight w:val="none"/>
          <w:lang w:val="en-US" w:eastAsia="zh-CN" w:bidi="ar"/>
        </w:rPr>
        <w:t>2.法定代表人的身份证明或法定代表人的授权委托书（见附件）；</w:t>
      </w:r>
    </w:p>
    <w:p>
      <w:pPr>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符合《中华人民共和国政府采购法》第二十二条的规定</w:t>
      </w:r>
      <w:r>
        <w:rPr>
          <w:rFonts w:hint="eastAsia" w:ascii="宋体" w:hAnsi="宋体" w:cs="宋体"/>
          <w:color w:val="auto"/>
          <w:sz w:val="28"/>
          <w:szCs w:val="28"/>
          <w:highlight w:val="none"/>
          <w:lang w:eastAsia="zh-CN"/>
        </w:rPr>
        <w:t>；</w:t>
      </w:r>
    </w:p>
    <w:p>
      <w:pPr>
        <w:spacing w:line="360" w:lineRule="auto"/>
        <w:ind w:firstLine="560" w:firstLineChars="200"/>
        <w:jc w:val="left"/>
        <w:rPr>
          <w:rFonts w:hint="eastAsia" w:ascii="宋体" w:hAnsi="宋体" w:cs="宋体"/>
          <w:color w:val="auto"/>
          <w:kern w:val="0"/>
          <w:sz w:val="28"/>
          <w:szCs w:val="28"/>
          <w:highlight w:val="none"/>
          <w:lang w:eastAsia="zh-CN"/>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kern w:val="0"/>
          <w:sz w:val="28"/>
          <w:szCs w:val="28"/>
          <w:highlight w:val="none"/>
        </w:rPr>
        <w:t>三证合一营业执照副本（或营业执照、税务登记证、组织机构代码证副本）</w:t>
      </w:r>
      <w:r>
        <w:rPr>
          <w:rFonts w:hint="eastAsia" w:ascii="宋体" w:hAnsi="宋体" w:cs="宋体"/>
          <w:color w:val="auto"/>
          <w:kern w:val="0"/>
          <w:sz w:val="28"/>
          <w:szCs w:val="28"/>
          <w:highlight w:val="none"/>
          <w:lang w:eastAsia="zh-CN"/>
        </w:rPr>
        <w:t>；</w:t>
      </w:r>
    </w:p>
    <w:p>
      <w:pPr>
        <w:spacing w:line="600" w:lineRule="exact"/>
        <w:ind w:firstLine="560" w:firstLineChars="200"/>
        <w:rPr>
          <w:rFonts w:hint="eastAsia" w:ascii="宋体" w:hAnsi="宋体" w:eastAsia="宋体" w:cs="宋体"/>
          <w:color w:val="auto"/>
          <w:sz w:val="28"/>
          <w:szCs w:val="28"/>
          <w:highlight w:val="none"/>
          <w:lang w:val="en-US" w:eastAsia="zh-CN"/>
        </w:rPr>
      </w:pPr>
      <w:r>
        <w:rPr>
          <w:rFonts w:ascii="宋体" w:cs="宋体"/>
          <w:color w:val="auto"/>
          <w:sz w:val="28"/>
          <w:szCs w:val="28"/>
          <w:highlight w:val="none"/>
        </w:rPr>
        <w:t>5</w:t>
      </w:r>
      <w:r>
        <w:rPr>
          <w:rFonts w:hint="eastAsia" w:ascii="宋体" w:cs="宋体"/>
          <w:color w:val="auto"/>
          <w:sz w:val="28"/>
          <w:szCs w:val="28"/>
          <w:highlight w:val="none"/>
          <w:lang w:val="en-US" w:eastAsia="zh-CN"/>
        </w:rPr>
        <w:t>.</w:t>
      </w:r>
      <w:r>
        <w:rPr>
          <w:rFonts w:hint="eastAsia" w:ascii="宋体" w:cs="宋体"/>
          <w:color w:val="auto"/>
          <w:sz w:val="28"/>
          <w:szCs w:val="28"/>
          <w:highlight w:val="none"/>
        </w:rPr>
        <w:t>投标人为生产厂家的需提供《食品生产许可证》；投标人为经销商的需提供《食品经营许可证》</w:t>
      </w:r>
      <w:r>
        <w:rPr>
          <w:rFonts w:hint="eastAsia" w:ascii="宋体" w:cs="宋体"/>
          <w:color w:val="auto"/>
          <w:sz w:val="28"/>
          <w:szCs w:val="28"/>
          <w:highlight w:val="none"/>
          <w:lang w:eastAsia="zh-CN"/>
        </w:rPr>
        <w:t>；</w:t>
      </w:r>
    </w:p>
    <w:p>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参加政府采购活动前3年内在经营活动中没有重大违法记录的书面声明；</w:t>
      </w:r>
    </w:p>
    <w:p>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未被列入“信用中国”网站</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8"/>
          <w:szCs w:val="28"/>
          <w:highlight w:val="none"/>
        </w:rPr>
        <w:t>信用失信被执行人、重大税收违法案件当事人名单；</w:t>
      </w:r>
    </w:p>
    <w:p>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中国政府采购网</w:t>
      </w:r>
      <w:r>
        <w:rPr>
          <w:rFonts w:hint="eastAsia" w:ascii="宋体" w:hAnsi="宋体" w:eastAsia="宋体" w:cs="宋体"/>
          <w:color w:val="auto"/>
          <w:sz w:val="24"/>
          <w:szCs w:val="24"/>
          <w:highlight w:val="none"/>
        </w:rPr>
        <w:t xml:space="preserve">(www.ccgp.gov.cn) </w:t>
      </w:r>
      <w:r>
        <w:rPr>
          <w:rFonts w:hint="eastAsia" w:ascii="宋体" w:hAnsi="宋体" w:eastAsia="宋体" w:cs="宋体"/>
          <w:color w:val="auto"/>
          <w:sz w:val="28"/>
          <w:szCs w:val="28"/>
          <w:highlight w:val="none"/>
        </w:rPr>
        <w:t>政府采购严重违法失信行为记录名单查询记录的网页截图；</w:t>
      </w:r>
    </w:p>
    <w:p>
      <w:pPr>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未受过财政部门禁止参加政府采购活动的行政处罚或受过行政处罚但期限届满的书面声明（格式自拟）</w:t>
      </w:r>
      <w:r>
        <w:rPr>
          <w:rFonts w:hint="eastAsia" w:ascii="宋体" w:hAnsi="宋体" w:cs="宋体"/>
          <w:color w:val="auto"/>
          <w:sz w:val="28"/>
          <w:szCs w:val="28"/>
          <w:highlight w:val="none"/>
          <w:lang w:eastAsia="zh-CN"/>
        </w:rPr>
        <w:t>。</w:t>
      </w:r>
    </w:p>
    <w:p>
      <w:pPr>
        <w:pStyle w:val="2"/>
        <w:rPr>
          <w:rFonts w:hint="default"/>
          <w:color w:val="auto"/>
          <w:highlight w:val="none"/>
          <w:lang w:val="en-US" w:eastAsia="zh-CN"/>
        </w:rPr>
      </w:pPr>
      <w:r>
        <w:rPr>
          <w:rFonts w:hint="eastAsia" w:ascii="宋体" w:hAnsi="宋体" w:cs="宋体"/>
          <w:color w:val="auto"/>
          <w:sz w:val="28"/>
          <w:szCs w:val="28"/>
          <w:highlight w:val="none"/>
          <w:lang w:val="en-US" w:eastAsia="zh-CN"/>
        </w:rPr>
        <w:t xml:space="preserve">   </w:t>
      </w:r>
    </w:p>
    <w:p>
      <w:pPr>
        <w:widowControl/>
        <w:jc w:val="left"/>
        <w:rPr>
          <w:rFonts w:hint="eastAsia" w:ascii="宋体" w:hAnsi="宋体" w:eastAsia="宋体" w:cs="宋体"/>
          <w:color w:val="auto"/>
          <w:sz w:val="28"/>
          <w:szCs w:val="28"/>
          <w:highlight w:val="none"/>
        </w:rPr>
      </w:pPr>
      <w:r>
        <w:rPr>
          <w:rFonts w:hint="eastAsia" w:ascii="宋体" w:hAnsi="宋体" w:cs="宋体"/>
          <w:b/>
          <w:color w:val="auto"/>
          <w:kern w:val="0"/>
          <w:sz w:val="28"/>
          <w:szCs w:val="28"/>
          <w:highlight w:val="none"/>
          <w:lang w:eastAsia="zh-CN" w:bidi="ar"/>
        </w:rPr>
        <w:t>七</w:t>
      </w:r>
      <w:r>
        <w:rPr>
          <w:rFonts w:hint="eastAsia" w:ascii="宋体" w:hAnsi="宋体" w:eastAsia="宋体" w:cs="宋体"/>
          <w:b/>
          <w:color w:val="auto"/>
          <w:kern w:val="0"/>
          <w:sz w:val="28"/>
          <w:szCs w:val="28"/>
          <w:highlight w:val="none"/>
          <w:lang w:bidi="ar"/>
        </w:rPr>
        <w:t xml:space="preserve">、获取竞争性磋商文件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供应商应在本项目公告中写明的确认参与时间内，需</w:t>
      </w:r>
      <w:r>
        <w:rPr>
          <w:rFonts w:hint="eastAsia" w:ascii="宋体" w:hAnsi="宋体" w:cs="宋体"/>
          <w:color w:val="auto"/>
          <w:sz w:val="28"/>
          <w:szCs w:val="28"/>
          <w:highlight w:val="none"/>
          <w:lang w:eastAsia="zh-CN"/>
        </w:rPr>
        <w:t>发送</w:t>
      </w:r>
      <w:r>
        <w:rPr>
          <w:rFonts w:hint="eastAsia" w:ascii="宋体" w:hAnsi="宋体" w:eastAsia="宋体" w:cs="宋体"/>
          <w:color w:val="auto"/>
          <w:sz w:val="28"/>
          <w:szCs w:val="28"/>
          <w:highlight w:val="none"/>
        </w:rPr>
        <w:t>相关材料到内蒙古方拓项目管理有限公司获取。超过确认参与截止时间再递交的材料，不予接收</w:t>
      </w:r>
      <w:r>
        <w:rPr>
          <w:rFonts w:hint="eastAsia" w:ascii="宋体" w:hAnsi="宋体" w:eastAsia="宋体" w:cs="宋体"/>
          <w:color w:val="auto"/>
          <w:kern w:val="0"/>
          <w:sz w:val="28"/>
          <w:szCs w:val="28"/>
          <w:highlight w:val="none"/>
          <w:lang w:bidi="ar"/>
        </w:rPr>
        <w:t xml:space="preserve">。 </w:t>
      </w:r>
    </w:p>
    <w:p>
      <w:pPr>
        <w:widowControl/>
        <w:jc w:val="left"/>
        <w:rPr>
          <w:rFonts w:hint="eastAsia" w:ascii="宋体" w:hAnsi="宋体" w:eastAsia="宋体" w:cs="宋体"/>
          <w:color w:val="auto"/>
          <w:sz w:val="28"/>
          <w:szCs w:val="28"/>
          <w:highlight w:val="none"/>
        </w:rPr>
      </w:pPr>
      <w:r>
        <w:rPr>
          <w:rFonts w:hint="eastAsia" w:ascii="宋体" w:hAnsi="宋体" w:cs="宋体"/>
          <w:b/>
          <w:color w:val="auto"/>
          <w:kern w:val="0"/>
          <w:sz w:val="28"/>
          <w:szCs w:val="28"/>
          <w:highlight w:val="none"/>
          <w:lang w:eastAsia="zh-CN" w:bidi="ar"/>
        </w:rPr>
        <w:t>八</w:t>
      </w:r>
      <w:r>
        <w:rPr>
          <w:rFonts w:hint="eastAsia" w:ascii="宋体" w:hAnsi="宋体" w:eastAsia="宋体" w:cs="宋体"/>
          <w:b/>
          <w:color w:val="auto"/>
          <w:kern w:val="0"/>
          <w:sz w:val="28"/>
          <w:szCs w:val="28"/>
          <w:highlight w:val="none"/>
          <w:lang w:bidi="ar"/>
        </w:rPr>
        <w:t xml:space="preserve">、响应文件提交截止、开启时间及地点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响应文件提交截止时间：202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02</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09</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 xml:space="preserve">0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响应文件提交地点：</w:t>
      </w:r>
      <w:r>
        <w:rPr>
          <w:rFonts w:hint="eastAsia" w:ascii="宋体" w:hAnsi="宋体" w:eastAsia="宋体" w:cs="宋体"/>
          <w:color w:val="auto"/>
          <w:kern w:val="0"/>
          <w:sz w:val="28"/>
          <w:szCs w:val="28"/>
          <w:highlight w:val="none"/>
        </w:rPr>
        <w:t>赤峰市松山区临潢大街天宇大厦880</w:t>
      </w:r>
      <w:r>
        <w:rPr>
          <w:rFonts w:hint="eastAsia" w:ascii="宋体" w:hAnsi="宋体" w:eastAsia="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eastAsia="zh-CN"/>
        </w:rPr>
        <w:t>会议室</w:t>
      </w:r>
      <w:r>
        <w:rPr>
          <w:rFonts w:hint="eastAsia" w:ascii="宋体" w:hAnsi="宋体" w:eastAsia="宋体" w:cs="宋体"/>
          <w:color w:val="auto"/>
          <w:sz w:val="28"/>
          <w:szCs w:val="28"/>
          <w:highlight w:val="none"/>
        </w:rPr>
        <w:t xml:space="preserve">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响应文件开启时间：202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02</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09</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0</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响应文件开启地点：</w:t>
      </w:r>
      <w:r>
        <w:rPr>
          <w:rFonts w:hint="eastAsia" w:ascii="宋体" w:hAnsi="宋体" w:eastAsia="宋体" w:cs="宋体"/>
          <w:color w:val="auto"/>
          <w:kern w:val="0"/>
          <w:sz w:val="28"/>
          <w:szCs w:val="28"/>
          <w:highlight w:val="none"/>
        </w:rPr>
        <w:t>赤峰市松山区临潢大街天宇大厦880</w:t>
      </w:r>
      <w:r>
        <w:rPr>
          <w:rFonts w:hint="eastAsia" w:ascii="宋体" w:hAnsi="宋体" w:eastAsia="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eastAsia="zh-CN"/>
        </w:rPr>
        <w:t>会议室</w:t>
      </w:r>
      <w:r>
        <w:rPr>
          <w:rFonts w:hint="eastAsia" w:ascii="宋体" w:hAnsi="宋体" w:eastAsia="宋体" w:cs="宋体"/>
          <w:color w:val="auto"/>
          <w:sz w:val="28"/>
          <w:szCs w:val="28"/>
          <w:highlight w:val="none"/>
        </w:rPr>
        <w:t xml:space="preserve"> </w:t>
      </w:r>
    </w:p>
    <w:p>
      <w:pPr>
        <w:widowControl/>
        <w:jc w:val="left"/>
        <w:rPr>
          <w:rFonts w:hint="eastAsia" w:ascii="宋体" w:hAnsi="宋体" w:eastAsia="宋体" w:cs="宋体"/>
          <w:b/>
          <w:color w:val="auto"/>
          <w:kern w:val="0"/>
          <w:sz w:val="28"/>
          <w:szCs w:val="28"/>
          <w:highlight w:val="none"/>
          <w:lang w:bidi="ar"/>
        </w:rPr>
      </w:pPr>
      <w:r>
        <w:rPr>
          <w:rFonts w:hint="eastAsia" w:ascii="宋体" w:hAnsi="宋体" w:cs="宋体"/>
          <w:b/>
          <w:color w:val="auto"/>
          <w:kern w:val="0"/>
          <w:sz w:val="28"/>
          <w:szCs w:val="28"/>
          <w:highlight w:val="none"/>
          <w:lang w:eastAsia="zh-CN" w:bidi="ar"/>
        </w:rPr>
        <w:t>九</w:t>
      </w:r>
      <w:r>
        <w:rPr>
          <w:rFonts w:hint="eastAsia" w:ascii="宋体" w:hAnsi="宋体" w:eastAsia="宋体" w:cs="宋体"/>
          <w:b/>
          <w:color w:val="auto"/>
          <w:kern w:val="0"/>
          <w:sz w:val="28"/>
          <w:szCs w:val="28"/>
          <w:highlight w:val="none"/>
          <w:lang w:bidi="ar"/>
        </w:rPr>
        <w:t xml:space="preserve">、联系方式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 xml:space="preserve">采购代理机构名称：内蒙古方拓项目管理有限公司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地址：</w:t>
      </w:r>
      <w:r>
        <w:rPr>
          <w:rFonts w:hint="eastAsia" w:ascii="宋体" w:hAnsi="宋体" w:eastAsia="宋体" w:cs="宋体"/>
          <w:color w:val="auto"/>
          <w:kern w:val="0"/>
          <w:sz w:val="28"/>
          <w:szCs w:val="28"/>
          <w:highlight w:val="none"/>
        </w:rPr>
        <w:t>赤峰市松山区临潢大街天宇大厦880</w:t>
      </w:r>
      <w:r>
        <w:rPr>
          <w:rFonts w:hint="eastAsia" w:ascii="宋体" w:hAnsi="宋体" w:eastAsia="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eastAsia="zh-CN"/>
        </w:rPr>
        <w:t>会议室</w:t>
      </w:r>
      <w:r>
        <w:rPr>
          <w:rFonts w:hint="eastAsia" w:ascii="宋体" w:hAnsi="宋体" w:eastAsia="宋体" w:cs="宋体"/>
          <w:color w:val="auto"/>
          <w:sz w:val="28"/>
          <w:szCs w:val="28"/>
          <w:highlight w:val="none"/>
        </w:rPr>
        <w:t xml:space="preserve">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 xml:space="preserve">邮政编码：024000 </w:t>
      </w:r>
    </w:p>
    <w:p>
      <w:pPr>
        <w:widowControl/>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lang w:bidi="ar"/>
        </w:rPr>
        <w:t>联系人：</w:t>
      </w:r>
      <w:r>
        <w:rPr>
          <w:rFonts w:hint="eastAsia" w:ascii="宋体" w:hAnsi="宋体" w:cs="宋体"/>
          <w:color w:val="auto"/>
          <w:kern w:val="0"/>
          <w:sz w:val="28"/>
          <w:szCs w:val="28"/>
          <w:highlight w:val="none"/>
          <w:lang w:val="en-US" w:eastAsia="zh-CN" w:bidi="ar"/>
        </w:rPr>
        <w:t>焦先生</w:t>
      </w:r>
    </w:p>
    <w:p>
      <w:pPr>
        <w:widowControl/>
        <w:ind w:firstLine="560" w:firstLineChars="200"/>
        <w:jc w:val="left"/>
        <w:rPr>
          <w:rFonts w:hint="default"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lang w:bidi="ar"/>
        </w:rPr>
        <w:t>联系电话：</w:t>
      </w:r>
      <w:r>
        <w:rPr>
          <w:rFonts w:hint="eastAsia" w:ascii="宋体" w:hAnsi="宋体" w:cs="宋体"/>
          <w:color w:val="auto"/>
          <w:kern w:val="0"/>
          <w:sz w:val="28"/>
          <w:szCs w:val="28"/>
          <w:highlight w:val="none"/>
          <w:lang w:val="en-US" w:eastAsia="zh-CN" w:bidi="ar"/>
        </w:rPr>
        <w:t>13191521170</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采购单位名称：</w:t>
      </w:r>
      <w:r>
        <w:rPr>
          <w:rFonts w:hint="eastAsia" w:ascii="宋体" w:hAnsi="宋体" w:eastAsia="宋体" w:cs="宋体"/>
          <w:color w:val="auto"/>
          <w:sz w:val="28"/>
          <w:szCs w:val="28"/>
          <w:highlight w:val="none"/>
        </w:rPr>
        <w:t>赤峰学院</w:t>
      </w:r>
      <w:r>
        <w:rPr>
          <w:rFonts w:hint="eastAsia" w:ascii="宋体" w:hAnsi="宋体" w:eastAsia="宋体" w:cs="宋体"/>
          <w:color w:val="auto"/>
          <w:kern w:val="0"/>
          <w:sz w:val="28"/>
          <w:szCs w:val="28"/>
          <w:highlight w:val="none"/>
          <w:lang w:bidi="ar"/>
        </w:rPr>
        <w:t xml:space="preserve">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地址：</w:t>
      </w:r>
      <w:r>
        <w:rPr>
          <w:rFonts w:hint="eastAsia" w:ascii="宋体" w:hAnsi="宋体" w:eastAsia="宋体" w:cs="宋体"/>
          <w:color w:val="auto"/>
          <w:sz w:val="28"/>
          <w:szCs w:val="28"/>
          <w:highlight w:val="none"/>
        </w:rPr>
        <w:t>赤峰市红山区迎宾路1号</w:t>
      </w:r>
      <w:r>
        <w:rPr>
          <w:rFonts w:hint="eastAsia" w:ascii="宋体" w:hAnsi="宋体" w:eastAsia="宋体" w:cs="宋体"/>
          <w:color w:val="auto"/>
          <w:kern w:val="0"/>
          <w:sz w:val="28"/>
          <w:szCs w:val="28"/>
          <w:highlight w:val="none"/>
          <w:lang w:bidi="ar"/>
        </w:rPr>
        <w:t xml:space="preserve"> </w:t>
      </w:r>
    </w:p>
    <w:p>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 xml:space="preserve">邮政编码：024400 </w:t>
      </w:r>
    </w:p>
    <w:p>
      <w:pPr>
        <w:widowControl/>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kern w:val="0"/>
          <w:sz w:val="28"/>
          <w:szCs w:val="28"/>
          <w:highlight w:val="none"/>
          <w:lang w:bidi="ar"/>
        </w:rPr>
        <w:t>联系人：</w:t>
      </w:r>
      <w:r>
        <w:rPr>
          <w:rFonts w:hint="eastAsia" w:ascii="宋体" w:hAnsi="宋体" w:eastAsia="宋体" w:cs="宋体"/>
          <w:color w:val="auto"/>
          <w:kern w:val="0"/>
          <w:sz w:val="28"/>
          <w:szCs w:val="28"/>
          <w:highlight w:val="none"/>
          <w:lang w:eastAsia="zh-CN" w:bidi="ar"/>
        </w:rPr>
        <w:t>赵老师</w:t>
      </w:r>
      <w:r>
        <w:rPr>
          <w:rFonts w:hint="eastAsia" w:ascii="宋体" w:hAnsi="宋体" w:eastAsia="宋体" w:cs="宋体"/>
          <w:color w:val="auto"/>
          <w:kern w:val="0"/>
          <w:sz w:val="28"/>
          <w:szCs w:val="28"/>
          <w:highlight w:val="none"/>
          <w:lang w:bidi="ar"/>
        </w:rPr>
        <w:t xml:space="preserve"> </w:t>
      </w:r>
    </w:p>
    <w:p>
      <w:pPr>
        <w:widowControl/>
        <w:ind w:firstLine="560" w:firstLineChars="20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联系电话：</w:t>
      </w:r>
      <w:r>
        <w:rPr>
          <w:rFonts w:hint="eastAsia" w:ascii="宋体" w:hAnsi="宋体" w:cs="宋体"/>
          <w:color w:val="auto"/>
          <w:sz w:val="28"/>
          <w:szCs w:val="28"/>
          <w:highlight w:val="none"/>
          <w:lang w:val="en-US" w:eastAsia="zh-CN"/>
        </w:rPr>
        <w:t>15849666618</w:t>
      </w:r>
    </w:p>
    <w:p>
      <w:pPr>
        <w:spacing w:line="360" w:lineRule="auto"/>
        <w:ind w:left="4200" w:leftChars="0" w:right="57" w:firstLine="420" w:firstLineChars="0"/>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内蒙古方拓项目管理有限公司</w:t>
      </w:r>
    </w:p>
    <w:p>
      <w:pPr>
        <w:spacing w:line="360" w:lineRule="auto"/>
        <w:ind w:left="3360" w:leftChars="0" w:right="57" w:firstLine="1954" w:firstLineChars="698"/>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202</w:t>
      </w:r>
      <w:r>
        <w:rPr>
          <w:rFonts w:hint="eastAsia" w:ascii="宋体" w:hAnsi="宋体" w:cs="宋体"/>
          <w:color w:val="auto"/>
          <w:kern w:val="0"/>
          <w:sz w:val="28"/>
          <w:szCs w:val="28"/>
          <w:highlight w:val="none"/>
          <w:lang w:val="en-US" w:eastAsia="zh-CN" w:bidi="ar"/>
        </w:rPr>
        <w:t>3</w:t>
      </w:r>
      <w:r>
        <w:rPr>
          <w:rFonts w:hint="eastAsia" w:ascii="宋体" w:hAnsi="宋体" w:eastAsia="宋体" w:cs="宋体"/>
          <w:color w:val="auto"/>
          <w:kern w:val="0"/>
          <w:sz w:val="28"/>
          <w:szCs w:val="28"/>
          <w:highlight w:val="none"/>
          <w:lang w:val="en-US" w:eastAsia="zh-CN" w:bidi="ar"/>
        </w:rPr>
        <w:t>年</w:t>
      </w:r>
      <w:r>
        <w:rPr>
          <w:rFonts w:hint="eastAsia" w:ascii="宋体" w:hAnsi="宋体" w:cs="宋体"/>
          <w:color w:val="auto"/>
          <w:kern w:val="0"/>
          <w:sz w:val="28"/>
          <w:szCs w:val="28"/>
          <w:highlight w:val="none"/>
          <w:lang w:val="en-US" w:eastAsia="zh-CN" w:bidi="ar"/>
        </w:rPr>
        <w:t>01</w:t>
      </w:r>
      <w:r>
        <w:rPr>
          <w:rFonts w:hint="eastAsia" w:ascii="宋体" w:hAnsi="宋体" w:eastAsia="宋体" w:cs="宋体"/>
          <w:color w:val="auto"/>
          <w:kern w:val="0"/>
          <w:sz w:val="28"/>
          <w:szCs w:val="28"/>
          <w:highlight w:val="none"/>
          <w:lang w:val="en-US" w:eastAsia="zh-CN" w:bidi="ar"/>
        </w:rPr>
        <w:t>月</w:t>
      </w:r>
      <w:r>
        <w:rPr>
          <w:rFonts w:hint="eastAsia" w:ascii="宋体" w:hAnsi="宋体" w:cs="宋体"/>
          <w:color w:val="auto"/>
          <w:kern w:val="0"/>
          <w:sz w:val="28"/>
          <w:szCs w:val="28"/>
          <w:highlight w:val="none"/>
          <w:lang w:val="en-US" w:eastAsia="zh-CN" w:bidi="ar"/>
        </w:rPr>
        <w:t>30</w:t>
      </w:r>
      <w:r>
        <w:rPr>
          <w:rFonts w:hint="eastAsia" w:ascii="宋体" w:hAnsi="宋体" w:eastAsia="宋体" w:cs="宋体"/>
          <w:color w:val="auto"/>
          <w:kern w:val="0"/>
          <w:sz w:val="28"/>
          <w:szCs w:val="28"/>
          <w:highlight w:val="none"/>
          <w:lang w:val="en-US" w:eastAsia="zh-CN" w:bidi="ar"/>
        </w:rPr>
        <w:t>日</w:t>
      </w:r>
    </w:p>
    <w:p>
      <w:pPr>
        <w:spacing w:line="360" w:lineRule="auto"/>
        <w:ind w:right="57"/>
        <w:rPr>
          <w:rFonts w:hint="eastAsia" w:ascii="宋体" w:hAnsi="宋体" w:eastAsia="宋体" w:cs="宋体"/>
          <w:color w:val="auto"/>
          <w:kern w:val="0"/>
          <w:sz w:val="28"/>
          <w:szCs w:val="28"/>
          <w:highlight w:val="none"/>
          <w:lang w:bidi="ar"/>
        </w:rPr>
      </w:pPr>
      <w:r>
        <w:rPr>
          <w:rFonts w:hint="eastAsia" w:ascii="宋体" w:hAnsi="宋体" w:eastAsia="宋体" w:cs="宋体"/>
          <w:b/>
          <w:bCs/>
          <w:color w:val="auto"/>
          <w:sz w:val="36"/>
          <w:szCs w:val="36"/>
          <w:highlight w:val="none"/>
        </w:rPr>
        <w:br w:type="page"/>
      </w:r>
    </w:p>
    <w:p>
      <w:pPr>
        <w:spacing w:line="360" w:lineRule="auto"/>
        <w:ind w:right="57"/>
        <w:jc w:val="center"/>
        <w:outlineLvl w:val="0"/>
        <w:rPr>
          <w:rFonts w:hint="eastAsia" w:ascii="宋体" w:hAnsi="宋体" w:eastAsia="宋体" w:cs="宋体"/>
          <w:b/>
          <w:color w:val="auto"/>
          <w:sz w:val="36"/>
          <w:szCs w:val="36"/>
          <w:highlight w:val="none"/>
        </w:rPr>
      </w:pPr>
      <w:bookmarkStart w:id="5" w:name="_Toc23270"/>
      <w:r>
        <w:rPr>
          <w:rFonts w:hint="eastAsia" w:ascii="宋体" w:hAnsi="宋体" w:eastAsia="宋体" w:cs="宋体"/>
          <w:b/>
          <w:bCs/>
          <w:color w:val="auto"/>
          <w:sz w:val="36"/>
          <w:szCs w:val="36"/>
          <w:highlight w:val="none"/>
        </w:rPr>
        <w:t xml:space="preserve">第二章  </w:t>
      </w:r>
      <w:r>
        <w:rPr>
          <w:rFonts w:hint="eastAsia" w:ascii="宋体" w:hAnsi="宋体" w:eastAsia="宋体" w:cs="宋体"/>
          <w:b/>
          <w:color w:val="auto"/>
          <w:sz w:val="36"/>
          <w:szCs w:val="36"/>
          <w:highlight w:val="none"/>
        </w:rPr>
        <w:t>项目服务规范与采购要求</w:t>
      </w:r>
      <w:bookmarkEnd w:id="5"/>
    </w:p>
    <w:p>
      <w:pPr>
        <w:spacing w:line="360" w:lineRule="auto"/>
        <w:ind w:firstLine="560" w:firstLineChars="200"/>
        <w:rPr>
          <w:rFonts w:ascii="宋体" w:cs="宋体"/>
          <w:color w:val="auto"/>
          <w:sz w:val="28"/>
          <w:szCs w:val="28"/>
          <w:highlight w:val="none"/>
          <w:lang w:val="zh-CN"/>
        </w:rPr>
      </w:pPr>
      <w:r>
        <w:rPr>
          <w:rFonts w:hint="eastAsia" w:ascii="宋体" w:cs="宋体"/>
          <w:color w:val="auto"/>
          <w:sz w:val="28"/>
          <w:szCs w:val="28"/>
          <w:highlight w:val="none"/>
        </w:rPr>
        <w:t>根据《中华人民共和国政府采购法》《中华人民共和国政府采购法实施条例》《政府采购竞争性磋商采购方式管理暂行办法》（财库</w:t>
      </w:r>
      <w:r>
        <w:rPr>
          <w:rFonts w:ascii="宋体" w:cs="宋体"/>
          <w:color w:val="auto"/>
          <w:sz w:val="28"/>
          <w:szCs w:val="28"/>
          <w:highlight w:val="none"/>
        </w:rPr>
        <w:t>[2014] 214</w:t>
      </w:r>
      <w:r>
        <w:rPr>
          <w:rFonts w:hint="eastAsia" w:ascii="宋体" w:cs="宋体"/>
          <w:color w:val="auto"/>
          <w:sz w:val="28"/>
          <w:szCs w:val="28"/>
          <w:highlight w:val="none"/>
        </w:rPr>
        <w:t>号）《财政部关于政府</w:t>
      </w:r>
      <w:r>
        <w:rPr>
          <w:rFonts w:hint="eastAsia" w:ascii="宋体" w:cs="宋体"/>
          <w:color w:val="auto"/>
          <w:sz w:val="28"/>
          <w:szCs w:val="28"/>
          <w:highlight w:val="none"/>
          <w:lang w:val="zh-CN"/>
        </w:rPr>
        <w:t>采购竞争性磋商采购方式管理暂行办法有关问题的补充通知》</w:t>
      </w:r>
      <w:r>
        <w:rPr>
          <w:rFonts w:hint="eastAsia" w:ascii="宋体" w:cs="宋体"/>
          <w:color w:val="auto"/>
          <w:sz w:val="28"/>
          <w:szCs w:val="28"/>
          <w:highlight w:val="none"/>
        </w:rPr>
        <w:t>（财库</w:t>
      </w:r>
      <w:r>
        <w:rPr>
          <w:rFonts w:ascii="宋体" w:cs="宋体"/>
          <w:color w:val="auto"/>
          <w:sz w:val="28"/>
          <w:szCs w:val="28"/>
          <w:highlight w:val="none"/>
        </w:rPr>
        <w:t>[2015]124</w:t>
      </w:r>
      <w:r>
        <w:rPr>
          <w:rFonts w:hint="eastAsia" w:ascii="宋体" w:cs="宋体"/>
          <w:color w:val="auto"/>
          <w:sz w:val="28"/>
          <w:szCs w:val="28"/>
          <w:highlight w:val="none"/>
        </w:rPr>
        <w:t>号）《中华人民共和国民法典》《中华人民共和国食品安全法》等国家和自治区有关法律、法规、规章制度及《关于发展“农校对接”助推脱贫试点的指导意见》内教发展函【</w:t>
      </w:r>
      <w:r>
        <w:rPr>
          <w:rFonts w:ascii="宋体" w:cs="宋体"/>
          <w:color w:val="auto"/>
          <w:sz w:val="28"/>
          <w:szCs w:val="28"/>
          <w:highlight w:val="none"/>
        </w:rPr>
        <w:t>2018</w:t>
      </w:r>
      <w:r>
        <w:rPr>
          <w:rFonts w:hint="eastAsia" w:ascii="宋体" w:cs="宋体"/>
          <w:color w:val="auto"/>
          <w:sz w:val="28"/>
          <w:szCs w:val="28"/>
          <w:highlight w:val="none"/>
        </w:rPr>
        <w:t>】</w:t>
      </w:r>
      <w:r>
        <w:rPr>
          <w:rFonts w:ascii="宋体" w:cs="宋体"/>
          <w:color w:val="auto"/>
          <w:sz w:val="28"/>
          <w:szCs w:val="28"/>
          <w:highlight w:val="none"/>
        </w:rPr>
        <w:t>155</w:t>
      </w:r>
      <w:r>
        <w:rPr>
          <w:rFonts w:hint="eastAsia" w:ascii="宋体" w:cs="宋体"/>
          <w:color w:val="auto"/>
          <w:sz w:val="28"/>
          <w:szCs w:val="28"/>
          <w:highlight w:val="none"/>
        </w:rPr>
        <w:t>号，《内蒙古自治区扶贫办农牧厅教育厅关于开展“农校对接”助推脱贫试点的指导意见》内扶办发【</w:t>
      </w:r>
      <w:r>
        <w:rPr>
          <w:rFonts w:ascii="宋体" w:cs="宋体"/>
          <w:color w:val="auto"/>
          <w:sz w:val="28"/>
          <w:szCs w:val="28"/>
          <w:highlight w:val="none"/>
        </w:rPr>
        <w:t>2018</w:t>
      </w:r>
      <w:r>
        <w:rPr>
          <w:rFonts w:hint="eastAsia" w:ascii="宋体" w:cs="宋体"/>
          <w:color w:val="auto"/>
          <w:sz w:val="28"/>
          <w:szCs w:val="28"/>
          <w:highlight w:val="none"/>
        </w:rPr>
        <w:t>】</w:t>
      </w:r>
      <w:r>
        <w:rPr>
          <w:rFonts w:ascii="宋体" w:cs="宋体"/>
          <w:color w:val="auto"/>
          <w:sz w:val="28"/>
          <w:szCs w:val="28"/>
          <w:highlight w:val="none"/>
        </w:rPr>
        <w:t>187</w:t>
      </w:r>
      <w:r>
        <w:rPr>
          <w:rFonts w:hint="eastAsia" w:ascii="宋体" w:cs="宋体"/>
          <w:color w:val="auto"/>
          <w:sz w:val="28"/>
          <w:szCs w:val="28"/>
          <w:highlight w:val="none"/>
        </w:rPr>
        <w:t>号、《关于加强高等学校服务脱贫攻坚指导意见》内教发展函【</w:t>
      </w:r>
      <w:r>
        <w:rPr>
          <w:rFonts w:ascii="宋体" w:cs="宋体"/>
          <w:color w:val="auto"/>
          <w:sz w:val="28"/>
          <w:szCs w:val="28"/>
          <w:highlight w:val="none"/>
        </w:rPr>
        <w:t>2018</w:t>
      </w:r>
      <w:r>
        <w:rPr>
          <w:rFonts w:hint="eastAsia" w:ascii="宋体" w:cs="宋体"/>
          <w:color w:val="auto"/>
          <w:sz w:val="28"/>
          <w:szCs w:val="28"/>
          <w:highlight w:val="none"/>
        </w:rPr>
        <w:t>】</w:t>
      </w:r>
      <w:r>
        <w:rPr>
          <w:rFonts w:ascii="宋体" w:cs="宋体"/>
          <w:color w:val="auto"/>
          <w:sz w:val="28"/>
          <w:szCs w:val="28"/>
          <w:highlight w:val="none"/>
        </w:rPr>
        <w:t>166</w:t>
      </w:r>
      <w:r>
        <w:rPr>
          <w:rFonts w:hint="eastAsia" w:ascii="宋体" w:cs="宋体"/>
          <w:color w:val="auto"/>
          <w:sz w:val="28"/>
          <w:szCs w:val="28"/>
          <w:highlight w:val="none"/>
        </w:rPr>
        <w:t>号相关文。</w:t>
      </w:r>
      <w:r>
        <w:rPr>
          <w:rFonts w:hint="eastAsia" w:ascii="宋体" w:cs="宋体"/>
          <w:color w:val="auto"/>
          <w:sz w:val="28"/>
          <w:szCs w:val="28"/>
          <w:highlight w:val="none"/>
          <w:lang w:val="en-US" w:eastAsia="zh-CN"/>
        </w:rPr>
        <w:t>赤峰学院对《</w:t>
      </w:r>
      <w:r>
        <w:rPr>
          <w:rFonts w:hint="eastAsia" w:ascii="宋体" w:cs="宋体"/>
          <w:color w:val="auto"/>
          <w:sz w:val="28"/>
          <w:szCs w:val="28"/>
          <w:highlight w:val="none"/>
          <w:lang w:eastAsia="zh-CN"/>
        </w:rPr>
        <w:t>赤峰学院学生食堂（保障性餐厅）食品采购原材料供应商供应商采购</w:t>
      </w:r>
      <w:r>
        <w:rPr>
          <w:rFonts w:hint="eastAsia" w:ascii="宋体" w:cs="宋体"/>
          <w:color w:val="auto"/>
          <w:sz w:val="28"/>
          <w:szCs w:val="28"/>
          <w:highlight w:val="none"/>
        </w:rPr>
        <w:t>项目</w:t>
      </w:r>
      <w:r>
        <w:rPr>
          <w:rFonts w:hint="eastAsia" w:ascii="宋体" w:cs="宋体"/>
          <w:color w:val="auto"/>
          <w:sz w:val="28"/>
          <w:szCs w:val="28"/>
          <w:highlight w:val="none"/>
          <w:lang w:eastAsia="zh-CN"/>
        </w:rPr>
        <w:t>》</w:t>
      </w:r>
      <w:r>
        <w:rPr>
          <w:rFonts w:hint="eastAsia" w:ascii="宋体" w:cs="宋体"/>
          <w:color w:val="auto"/>
          <w:sz w:val="28"/>
          <w:szCs w:val="28"/>
          <w:highlight w:val="none"/>
        </w:rPr>
        <w:t>采用竞争性磋商方式进行采购。</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lang w:val="en-US" w:eastAsia="zh-CN"/>
        </w:rPr>
        <w:t>一</w:t>
      </w:r>
      <w:r>
        <w:rPr>
          <w:rFonts w:hint="eastAsia" w:ascii="宋体" w:cs="宋体"/>
          <w:b/>
          <w:bCs/>
          <w:color w:val="auto"/>
          <w:sz w:val="28"/>
          <w:szCs w:val="28"/>
          <w:highlight w:val="none"/>
        </w:rPr>
        <w:t>、服务要求</w:t>
      </w:r>
    </w:p>
    <w:p>
      <w:pPr>
        <w:spacing w:line="360" w:lineRule="auto"/>
        <w:ind w:firstLine="560" w:firstLineChars="200"/>
        <w:rPr>
          <w:rFonts w:ascii="宋体" w:cs="宋体"/>
          <w:color w:val="auto"/>
          <w:sz w:val="28"/>
          <w:szCs w:val="28"/>
          <w:highlight w:val="none"/>
          <w:lang w:val="zh-CN"/>
        </w:rPr>
      </w:pPr>
      <w:r>
        <w:rPr>
          <w:rFonts w:hint="eastAsia" w:ascii="宋体" w:cs="宋体"/>
          <w:color w:val="auto"/>
          <w:sz w:val="28"/>
          <w:szCs w:val="28"/>
          <w:highlight w:val="none"/>
          <w:lang w:val="zh-CN"/>
        </w:rPr>
        <w:t>（</w:t>
      </w:r>
      <w:r>
        <w:rPr>
          <w:rFonts w:ascii="宋体" w:cs="宋体"/>
          <w:color w:val="auto"/>
          <w:sz w:val="28"/>
          <w:szCs w:val="28"/>
          <w:highlight w:val="none"/>
        </w:rPr>
        <w:t>1</w:t>
      </w:r>
      <w:r>
        <w:rPr>
          <w:rFonts w:hint="eastAsia" w:ascii="宋体" w:cs="宋体"/>
          <w:color w:val="auto"/>
          <w:sz w:val="28"/>
          <w:szCs w:val="28"/>
          <w:highlight w:val="none"/>
          <w:lang w:val="zh-CN"/>
        </w:rPr>
        <w:t>）中标供应商应保证货物是正品，并完全符合合同规定的质量、规格和性能的要求。</w:t>
      </w:r>
    </w:p>
    <w:p>
      <w:pPr>
        <w:spacing w:line="360" w:lineRule="auto"/>
        <w:ind w:firstLine="560" w:firstLineChars="200"/>
        <w:rPr>
          <w:rFonts w:ascii="宋体" w:cs="宋体"/>
          <w:color w:val="auto"/>
          <w:sz w:val="28"/>
          <w:szCs w:val="28"/>
          <w:highlight w:val="none"/>
          <w:lang w:val="zh-CN"/>
        </w:rPr>
      </w:pPr>
      <w:r>
        <w:rPr>
          <w:rFonts w:hint="eastAsia" w:ascii="宋体" w:cs="宋体"/>
          <w:color w:val="auto"/>
          <w:sz w:val="28"/>
          <w:szCs w:val="28"/>
          <w:highlight w:val="none"/>
          <w:lang w:val="zh-CN"/>
        </w:rPr>
        <w:t>（</w:t>
      </w:r>
      <w:r>
        <w:rPr>
          <w:rFonts w:ascii="宋体" w:cs="宋体"/>
          <w:color w:val="auto"/>
          <w:sz w:val="28"/>
          <w:szCs w:val="28"/>
          <w:highlight w:val="none"/>
        </w:rPr>
        <w:t>2</w:t>
      </w:r>
      <w:r>
        <w:rPr>
          <w:rFonts w:hint="eastAsia" w:ascii="宋体" w:cs="宋体"/>
          <w:color w:val="auto"/>
          <w:sz w:val="28"/>
          <w:szCs w:val="28"/>
          <w:highlight w:val="none"/>
          <w:lang w:val="zh-CN"/>
        </w:rPr>
        <w:t>）中标供应商提供给甲方的货物的技术规范应与合同清单质量标准的“规定”相一致。</w:t>
      </w:r>
    </w:p>
    <w:p>
      <w:pPr>
        <w:spacing w:line="360" w:lineRule="auto"/>
        <w:ind w:firstLine="560" w:firstLineChars="200"/>
        <w:rPr>
          <w:rFonts w:ascii="宋体" w:cs="宋体"/>
          <w:color w:val="auto"/>
          <w:sz w:val="28"/>
          <w:szCs w:val="28"/>
          <w:highlight w:val="none"/>
          <w:lang w:val="zh-CN"/>
        </w:rPr>
      </w:pPr>
      <w:r>
        <w:rPr>
          <w:rFonts w:hint="eastAsia" w:ascii="宋体" w:cs="宋体"/>
          <w:color w:val="auto"/>
          <w:sz w:val="28"/>
          <w:szCs w:val="28"/>
          <w:highlight w:val="none"/>
          <w:lang w:val="zh-CN"/>
        </w:rPr>
        <w:t>（</w:t>
      </w:r>
      <w:r>
        <w:rPr>
          <w:rFonts w:ascii="宋体" w:cs="宋体"/>
          <w:color w:val="auto"/>
          <w:sz w:val="28"/>
          <w:szCs w:val="28"/>
          <w:highlight w:val="none"/>
        </w:rPr>
        <w:t>3</w:t>
      </w:r>
      <w:r>
        <w:rPr>
          <w:rFonts w:hint="eastAsia" w:ascii="宋体" w:cs="宋体"/>
          <w:color w:val="auto"/>
          <w:sz w:val="28"/>
          <w:szCs w:val="28"/>
          <w:highlight w:val="none"/>
          <w:lang w:val="zh-CN"/>
        </w:rPr>
        <w:t>）甲方对合同中货物的数量、质量（每批次质量检验报告）等进行检验，检验应依据本合同中的有关规定进行。</w:t>
      </w:r>
    </w:p>
    <w:p>
      <w:pPr>
        <w:spacing w:line="360" w:lineRule="auto"/>
        <w:ind w:firstLine="560" w:firstLineChars="200"/>
        <w:rPr>
          <w:rFonts w:ascii="宋体" w:cs="宋体"/>
          <w:color w:val="auto"/>
          <w:sz w:val="28"/>
          <w:szCs w:val="28"/>
          <w:highlight w:val="none"/>
          <w:lang w:val="zh-CN"/>
        </w:rPr>
      </w:pPr>
      <w:r>
        <w:rPr>
          <w:rFonts w:hint="eastAsia" w:ascii="宋体" w:cs="宋体"/>
          <w:color w:val="auto"/>
          <w:sz w:val="28"/>
          <w:szCs w:val="28"/>
          <w:highlight w:val="none"/>
          <w:lang w:val="zh-CN"/>
        </w:rPr>
        <w:t>（</w:t>
      </w:r>
      <w:r>
        <w:rPr>
          <w:rFonts w:ascii="宋体" w:cs="宋体"/>
          <w:color w:val="auto"/>
          <w:sz w:val="28"/>
          <w:szCs w:val="28"/>
          <w:highlight w:val="none"/>
        </w:rPr>
        <w:t>4</w:t>
      </w:r>
      <w:r>
        <w:rPr>
          <w:rFonts w:hint="eastAsia" w:ascii="宋体" w:cs="宋体"/>
          <w:color w:val="auto"/>
          <w:sz w:val="28"/>
          <w:szCs w:val="28"/>
          <w:highlight w:val="none"/>
          <w:lang w:val="zh-CN"/>
        </w:rPr>
        <w:t>）若检验时发现货物数量、质量不符等，甲方不予验收；相关费用由中标供应商承担。</w:t>
      </w:r>
    </w:p>
    <w:p>
      <w:pPr>
        <w:spacing w:line="360" w:lineRule="auto"/>
        <w:ind w:firstLine="560" w:firstLineChars="200"/>
        <w:rPr>
          <w:rFonts w:ascii="宋体" w:cs="宋体"/>
          <w:color w:val="auto"/>
          <w:sz w:val="28"/>
          <w:szCs w:val="28"/>
          <w:highlight w:val="none"/>
          <w:lang w:val="zh-CN"/>
        </w:rPr>
      </w:pPr>
      <w:r>
        <w:rPr>
          <w:rFonts w:hint="eastAsia" w:ascii="宋体" w:cs="宋体"/>
          <w:color w:val="auto"/>
          <w:sz w:val="28"/>
          <w:szCs w:val="28"/>
          <w:highlight w:val="none"/>
          <w:lang w:val="zh-CN"/>
        </w:rPr>
        <w:t>（</w:t>
      </w:r>
      <w:r>
        <w:rPr>
          <w:rFonts w:ascii="宋体" w:cs="宋体"/>
          <w:color w:val="auto"/>
          <w:sz w:val="28"/>
          <w:szCs w:val="28"/>
          <w:highlight w:val="none"/>
        </w:rPr>
        <w:t>5</w:t>
      </w:r>
      <w:r>
        <w:rPr>
          <w:rFonts w:hint="eastAsia" w:ascii="宋体" w:cs="宋体"/>
          <w:color w:val="auto"/>
          <w:sz w:val="28"/>
          <w:szCs w:val="28"/>
          <w:highlight w:val="none"/>
          <w:lang w:val="zh-CN"/>
        </w:rPr>
        <w:t>）货物交货验收合格，甲方在中标供应商出具供货凭证四联单签字或盖章视为完成本次供货。</w:t>
      </w:r>
    </w:p>
    <w:p>
      <w:pPr>
        <w:spacing w:line="360" w:lineRule="auto"/>
        <w:ind w:firstLine="560" w:firstLineChars="200"/>
        <w:rPr>
          <w:rFonts w:ascii="宋体" w:cs="宋体"/>
          <w:color w:val="auto"/>
          <w:sz w:val="28"/>
          <w:szCs w:val="28"/>
          <w:highlight w:val="none"/>
          <w:lang w:val="zh-CN"/>
        </w:rPr>
      </w:pPr>
      <w:r>
        <w:rPr>
          <w:rFonts w:hint="eastAsia" w:ascii="宋体" w:cs="宋体"/>
          <w:color w:val="auto"/>
          <w:sz w:val="28"/>
          <w:szCs w:val="28"/>
          <w:highlight w:val="none"/>
          <w:lang w:val="zh-CN"/>
        </w:rPr>
        <w:t>（</w:t>
      </w:r>
      <w:r>
        <w:rPr>
          <w:rFonts w:ascii="宋体" w:cs="宋体"/>
          <w:color w:val="auto"/>
          <w:sz w:val="28"/>
          <w:szCs w:val="28"/>
          <w:highlight w:val="none"/>
        </w:rPr>
        <w:t>6</w:t>
      </w:r>
      <w:r>
        <w:rPr>
          <w:rFonts w:hint="eastAsia" w:ascii="宋体" w:cs="宋体"/>
          <w:color w:val="auto"/>
          <w:sz w:val="28"/>
          <w:szCs w:val="28"/>
          <w:highlight w:val="none"/>
          <w:lang w:val="zh-CN"/>
        </w:rPr>
        <w:t>）由于非甲方原因造成不能正常使用，中标供应商负责甲方的相关损失。</w:t>
      </w:r>
    </w:p>
    <w:p>
      <w:pPr>
        <w:spacing w:line="360" w:lineRule="auto"/>
        <w:ind w:firstLine="420" w:firstLineChars="200"/>
        <w:rPr>
          <w:color w:val="auto"/>
          <w:highlight w:val="none"/>
          <w:lang w:val="zh-CN"/>
        </w:rPr>
      </w:pPr>
      <w:r>
        <w:rPr>
          <w:color w:val="auto"/>
          <w:highlight w:val="none"/>
        </w:rPr>
        <w:t xml:space="preserve"> </w:t>
      </w:r>
      <w:r>
        <w:rPr>
          <w:rFonts w:hint="eastAsia" w:ascii="宋体" w:cs="宋体"/>
          <w:color w:val="auto"/>
          <w:sz w:val="28"/>
          <w:szCs w:val="28"/>
          <w:highlight w:val="none"/>
          <w:lang w:val="zh-CN"/>
        </w:rPr>
        <w:t>（7）中标供应商所供货物发生质量问题，中标供应商应立即进行调换货，不得影响甲方正常使用，中标供应商承担因此造成的一切损失。每发生一次质量问题，甲方对中标供应商予以两千至两万元扣款。情节严重者，甲方有权取消中标供应商的供应商资格。</w:t>
      </w:r>
    </w:p>
    <w:p>
      <w:pPr>
        <w:spacing w:line="360" w:lineRule="auto"/>
        <w:ind w:firstLine="560" w:firstLineChars="200"/>
        <w:rPr>
          <w:rFonts w:ascii="宋体" w:cs="宋体"/>
          <w:color w:val="auto"/>
          <w:sz w:val="28"/>
          <w:szCs w:val="28"/>
          <w:highlight w:val="none"/>
        </w:rPr>
      </w:pPr>
      <w:r>
        <w:rPr>
          <w:rFonts w:hint="eastAsia" w:ascii="宋体" w:cs="宋体"/>
          <w:color w:val="auto"/>
          <w:sz w:val="28"/>
          <w:szCs w:val="28"/>
          <w:highlight w:val="none"/>
          <w:lang w:val="en-US" w:eastAsia="zh-CN"/>
        </w:rPr>
        <w:t>2、</w:t>
      </w:r>
      <w:r>
        <w:rPr>
          <w:rFonts w:hint="eastAsia" w:ascii="宋体" w:cs="宋体"/>
          <w:color w:val="auto"/>
          <w:sz w:val="28"/>
          <w:szCs w:val="28"/>
          <w:highlight w:val="none"/>
        </w:rPr>
        <w:t>服务期限：自签订合同之日起一年。</w:t>
      </w:r>
    </w:p>
    <w:p>
      <w:pPr>
        <w:spacing w:line="360" w:lineRule="auto"/>
        <w:ind w:firstLine="560" w:firstLineChars="200"/>
        <w:rPr>
          <w:rFonts w:hint="eastAsia" w:ascii="宋体" w:eastAsia="宋体" w:cs="宋体"/>
          <w:color w:val="auto"/>
          <w:sz w:val="28"/>
          <w:szCs w:val="28"/>
          <w:highlight w:val="none"/>
          <w:lang w:eastAsia="zh-CN"/>
        </w:rPr>
      </w:pPr>
      <w:r>
        <w:rPr>
          <w:rFonts w:hint="eastAsia" w:ascii="宋体" w:cs="宋体"/>
          <w:color w:val="auto"/>
          <w:sz w:val="28"/>
          <w:szCs w:val="28"/>
          <w:highlight w:val="none"/>
          <w:lang w:val="en-US" w:eastAsia="zh-CN"/>
        </w:rPr>
        <w:t>3、</w:t>
      </w:r>
      <w:r>
        <w:rPr>
          <w:rFonts w:hint="eastAsia" w:ascii="宋体" w:cs="宋体"/>
          <w:color w:val="auto"/>
          <w:sz w:val="28"/>
          <w:szCs w:val="28"/>
          <w:highlight w:val="none"/>
        </w:rPr>
        <w:t>付款方式：供应商在完成交货经采购人验收合格后，并在供货凭证上签字。</w:t>
      </w:r>
      <w:r>
        <w:rPr>
          <w:rFonts w:hint="eastAsia" w:ascii="宋体" w:cs="宋体"/>
          <w:color w:val="auto"/>
          <w:sz w:val="28"/>
          <w:szCs w:val="28"/>
          <w:highlight w:val="none"/>
          <w:lang w:val="en-US" w:eastAsia="zh-CN"/>
        </w:rPr>
        <w:t>由材料使用方支付，每个月底</w:t>
      </w:r>
      <w:r>
        <w:rPr>
          <w:rFonts w:hint="eastAsia" w:ascii="宋体" w:cs="宋体"/>
          <w:color w:val="auto"/>
          <w:sz w:val="28"/>
          <w:szCs w:val="28"/>
          <w:highlight w:val="none"/>
        </w:rPr>
        <w:t>供应商以验收合格并签字的供货凭证中的实际数额为准进行结算</w:t>
      </w:r>
      <w:r>
        <w:rPr>
          <w:rFonts w:hint="eastAsia" w:ascii="宋体" w:cs="宋体"/>
          <w:color w:val="auto"/>
          <w:sz w:val="28"/>
          <w:szCs w:val="28"/>
          <w:highlight w:val="none"/>
          <w:lang w:eastAsia="zh-CN"/>
        </w:rPr>
        <w:t>。</w:t>
      </w:r>
    </w:p>
    <w:p>
      <w:pPr>
        <w:spacing w:line="360" w:lineRule="auto"/>
        <w:ind w:firstLine="560" w:firstLineChars="200"/>
        <w:rPr>
          <w:rFonts w:hint="eastAsia" w:ascii="宋体" w:cs="宋体"/>
          <w:color w:val="auto"/>
          <w:sz w:val="28"/>
          <w:szCs w:val="28"/>
          <w:highlight w:val="none"/>
          <w:lang w:val="zh-CN"/>
        </w:rPr>
      </w:pPr>
      <w:r>
        <w:rPr>
          <w:rFonts w:hint="eastAsia" w:ascii="宋体" w:cs="宋体"/>
          <w:color w:val="auto"/>
          <w:sz w:val="28"/>
          <w:szCs w:val="28"/>
          <w:highlight w:val="none"/>
          <w:lang w:val="zh-CN"/>
        </w:rPr>
        <w:t>二、质量要求：所供的货物须符合《中华人民共和国食品</w:t>
      </w:r>
      <w:r>
        <w:rPr>
          <w:rFonts w:hint="eastAsia" w:ascii="宋体" w:cs="宋体"/>
          <w:color w:val="auto"/>
          <w:sz w:val="28"/>
          <w:szCs w:val="28"/>
          <w:highlight w:val="none"/>
          <w:lang w:val="en-US" w:eastAsia="zh-CN"/>
        </w:rPr>
        <w:t>安全</w:t>
      </w:r>
      <w:r>
        <w:rPr>
          <w:rFonts w:hint="eastAsia" w:ascii="宋体" w:cs="宋体"/>
          <w:color w:val="auto"/>
          <w:sz w:val="28"/>
          <w:szCs w:val="28"/>
          <w:highlight w:val="none"/>
          <w:lang w:val="zh-CN"/>
        </w:rPr>
        <w:t>法》及国家和内蒙古自治区有关标准。</w:t>
      </w:r>
    </w:p>
    <w:p>
      <w:pPr>
        <w:spacing w:line="360" w:lineRule="auto"/>
        <w:ind w:firstLine="560" w:firstLineChars="200"/>
        <w:rPr>
          <w:rFonts w:hint="eastAsia" w:ascii="宋体" w:cs="宋体"/>
          <w:color w:val="auto"/>
          <w:sz w:val="28"/>
          <w:szCs w:val="28"/>
          <w:highlight w:val="none"/>
          <w:lang w:val="zh-CN"/>
        </w:rPr>
      </w:pPr>
      <w:r>
        <w:rPr>
          <w:rFonts w:hint="eastAsia" w:ascii="宋体" w:cs="宋体"/>
          <w:color w:val="auto"/>
          <w:sz w:val="28"/>
          <w:szCs w:val="28"/>
          <w:highlight w:val="none"/>
          <w:lang w:val="zh-CN"/>
        </w:rPr>
        <w:t xml:space="preserve">三、配送要求： </w:t>
      </w:r>
    </w:p>
    <w:p>
      <w:pPr>
        <w:spacing w:line="360" w:lineRule="auto"/>
        <w:ind w:firstLine="560" w:firstLineChars="200"/>
        <w:rPr>
          <w:rFonts w:hint="eastAsia" w:ascii="宋体" w:cs="宋体"/>
          <w:color w:val="auto"/>
          <w:sz w:val="28"/>
          <w:szCs w:val="28"/>
          <w:highlight w:val="none"/>
          <w:lang w:val="zh-CN"/>
        </w:rPr>
      </w:pPr>
      <w:r>
        <w:rPr>
          <w:rFonts w:hint="eastAsia" w:ascii="宋体" w:cs="宋体"/>
          <w:color w:val="auto"/>
          <w:sz w:val="28"/>
          <w:szCs w:val="28"/>
          <w:highlight w:val="none"/>
          <w:lang w:val="zh-CN"/>
        </w:rPr>
        <w:t xml:space="preserve">（1）须采用符合卫生要求的运载工具，要保持清洁和定期消毒；运载车厢的内仓应为抗腐蚀、防潮、防虫、防鼠的设计，车厢内无异味。送货车辆应保持清洁，堆放科学合理，避免造成食材的交叉污染;如对温度有要求的应确定食材的温度，保证配送中途食品不会腐烂；容器要求清洁、干燥、牢固、透气，无污染、无异味、无霉变现象。 </w:t>
      </w:r>
    </w:p>
    <w:p>
      <w:pPr>
        <w:spacing w:line="360" w:lineRule="auto"/>
        <w:ind w:firstLine="560" w:firstLineChars="200"/>
        <w:rPr>
          <w:rFonts w:hint="eastAsia" w:ascii="宋体" w:cs="宋体"/>
          <w:color w:val="auto"/>
          <w:sz w:val="28"/>
          <w:szCs w:val="28"/>
          <w:highlight w:val="none"/>
          <w:lang w:val="zh-CN"/>
        </w:rPr>
      </w:pPr>
      <w:r>
        <w:rPr>
          <w:rFonts w:hint="eastAsia" w:ascii="宋体" w:cs="宋体"/>
          <w:color w:val="auto"/>
          <w:sz w:val="28"/>
          <w:szCs w:val="28"/>
          <w:highlight w:val="none"/>
          <w:lang w:val="zh-CN"/>
        </w:rPr>
        <w:t>（2）成交供应商应免费提供运送及卸货服务，送货到指定地方时自备卸货工具，所有货物应小心轻卸，严防机械损伤。保证货物及时送达和货物的新鲜度。</w:t>
      </w:r>
    </w:p>
    <w:p>
      <w:pPr>
        <w:pStyle w:val="2"/>
        <w:ind w:firstLine="560" w:firstLineChars="200"/>
        <w:rPr>
          <w:rFonts w:hint="default" w:eastAsia="宋体"/>
          <w:lang w:val="en-US" w:eastAsia="zh-CN"/>
        </w:rPr>
      </w:pPr>
      <w:r>
        <w:rPr>
          <w:rFonts w:hint="eastAsia" w:ascii="宋体" w:cs="宋体"/>
          <w:color w:val="auto"/>
          <w:sz w:val="28"/>
          <w:szCs w:val="28"/>
          <w:highlight w:val="none"/>
          <w:lang w:val="zh-CN"/>
        </w:rPr>
        <w:t>（</w:t>
      </w:r>
      <w:r>
        <w:rPr>
          <w:rFonts w:hint="eastAsia" w:ascii="宋体" w:cs="宋体"/>
          <w:color w:val="auto"/>
          <w:sz w:val="28"/>
          <w:szCs w:val="28"/>
          <w:highlight w:val="none"/>
          <w:lang w:val="en-US" w:eastAsia="zh-CN"/>
        </w:rPr>
        <w:t>3</w:t>
      </w:r>
      <w:r>
        <w:rPr>
          <w:rFonts w:hint="eastAsia" w:ascii="宋体" w:cs="宋体"/>
          <w:color w:val="auto"/>
          <w:sz w:val="28"/>
          <w:szCs w:val="28"/>
          <w:highlight w:val="none"/>
          <w:lang w:val="zh-CN"/>
        </w:rPr>
        <w:t>）</w:t>
      </w:r>
      <w:r>
        <w:rPr>
          <w:rFonts w:hint="eastAsia" w:ascii="宋体" w:cs="宋体"/>
          <w:color w:val="auto"/>
          <w:sz w:val="28"/>
          <w:szCs w:val="28"/>
          <w:highlight w:val="none"/>
          <w:lang w:val="en-US" w:eastAsia="zh-CN"/>
        </w:rPr>
        <w:t>为保障学校食堂食用农畜产品质量安全，在进购食用农畜产品时，供应商应随货出示“承诺达标合格证”备采购人检查留存。</w:t>
      </w:r>
    </w:p>
    <w:p>
      <w:pPr>
        <w:pStyle w:val="15"/>
        <w:ind w:firstLine="576" w:firstLineChars="200"/>
        <w:rPr>
          <w:rFonts w:hint="eastAsia" w:ascii="宋体" w:hAnsi="宋体" w:eastAsia="宋体" w:cs="宋体"/>
          <w:color w:val="auto"/>
          <w:spacing w:val="4"/>
          <w:sz w:val="28"/>
          <w:szCs w:val="28"/>
          <w:highlight w:val="none"/>
          <w:lang w:eastAsia="zh-CN"/>
        </w:rPr>
      </w:pPr>
      <w:r>
        <w:rPr>
          <w:rFonts w:hint="eastAsia" w:ascii="宋体" w:hAnsi="宋体" w:cs="宋体"/>
          <w:color w:val="auto"/>
          <w:spacing w:val="4"/>
          <w:sz w:val="28"/>
          <w:szCs w:val="28"/>
          <w:highlight w:val="none"/>
          <w:lang w:val="en-US" w:eastAsia="zh-CN"/>
        </w:rPr>
        <w:t>四</w:t>
      </w:r>
      <w:r>
        <w:rPr>
          <w:rFonts w:hint="eastAsia" w:ascii="宋体" w:hAnsi="宋体" w:eastAsia="宋体" w:cs="宋体"/>
          <w:color w:val="auto"/>
          <w:spacing w:val="4"/>
          <w:sz w:val="28"/>
          <w:szCs w:val="28"/>
          <w:highlight w:val="none"/>
          <w:lang w:eastAsia="zh-CN"/>
        </w:rPr>
        <w:t>、其他要求：经发现供应以下食品，除全部退货外，将取消成交供应商的供货资格，并由供货商承担由此造成的经济责任和法律责任：</w:t>
      </w:r>
    </w:p>
    <w:p>
      <w:pPr>
        <w:spacing w:line="360" w:lineRule="auto"/>
        <w:ind w:firstLine="560" w:firstLineChars="200"/>
        <w:rPr>
          <w:rFonts w:hint="eastAsia" w:ascii="宋体" w:cs="宋体"/>
          <w:color w:val="auto"/>
          <w:sz w:val="28"/>
          <w:szCs w:val="28"/>
          <w:highlight w:val="none"/>
          <w:lang w:val="zh-CN" w:eastAsia="zh-CN"/>
        </w:rPr>
      </w:pPr>
      <w:r>
        <w:rPr>
          <w:rFonts w:hint="eastAsia" w:ascii="宋体" w:cs="宋体"/>
          <w:color w:val="auto"/>
          <w:sz w:val="28"/>
          <w:szCs w:val="28"/>
          <w:highlight w:val="none"/>
          <w:lang w:val="zh-CN" w:eastAsia="zh-CN"/>
        </w:rPr>
        <w:t>（</w:t>
      </w:r>
      <w:r>
        <w:rPr>
          <w:rFonts w:hint="eastAsia" w:ascii="宋体" w:cs="宋体"/>
          <w:color w:val="auto"/>
          <w:sz w:val="28"/>
          <w:szCs w:val="28"/>
          <w:highlight w:val="none"/>
          <w:lang w:val="en-US" w:eastAsia="zh-CN"/>
        </w:rPr>
        <w:t>1</w:t>
      </w:r>
      <w:r>
        <w:rPr>
          <w:rFonts w:hint="eastAsia" w:ascii="宋体" w:cs="宋体"/>
          <w:color w:val="auto"/>
          <w:sz w:val="28"/>
          <w:szCs w:val="28"/>
          <w:highlight w:val="none"/>
          <w:lang w:val="zh-CN" w:eastAsia="zh-CN"/>
        </w:rPr>
        <w:t xml:space="preserve">）腐败变质、霉变、生虫、混有异物或者其他感官性异常，对人体健康有害的； </w:t>
      </w:r>
    </w:p>
    <w:p>
      <w:pPr>
        <w:spacing w:line="360" w:lineRule="auto"/>
        <w:ind w:firstLine="560" w:firstLineChars="200"/>
        <w:rPr>
          <w:rFonts w:hint="eastAsia" w:ascii="宋体" w:cs="宋体"/>
          <w:color w:val="auto"/>
          <w:sz w:val="28"/>
          <w:szCs w:val="28"/>
          <w:highlight w:val="none"/>
          <w:lang w:val="zh-CN" w:eastAsia="zh-CN"/>
        </w:rPr>
      </w:pPr>
      <w:r>
        <w:rPr>
          <w:rFonts w:hint="eastAsia" w:ascii="宋体" w:cs="宋体"/>
          <w:color w:val="auto"/>
          <w:sz w:val="28"/>
          <w:szCs w:val="28"/>
          <w:highlight w:val="none"/>
          <w:lang w:val="zh-CN" w:eastAsia="zh-CN"/>
        </w:rPr>
        <w:t>（</w:t>
      </w:r>
      <w:r>
        <w:rPr>
          <w:rFonts w:hint="eastAsia" w:ascii="宋体" w:cs="宋体"/>
          <w:color w:val="auto"/>
          <w:sz w:val="28"/>
          <w:szCs w:val="28"/>
          <w:highlight w:val="none"/>
          <w:lang w:val="en-US" w:eastAsia="zh-CN"/>
        </w:rPr>
        <w:t>2</w:t>
      </w:r>
      <w:r>
        <w:rPr>
          <w:rFonts w:hint="eastAsia" w:ascii="宋体" w:cs="宋体"/>
          <w:color w:val="auto"/>
          <w:sz w:val="28"/>
          <w:szCs w:val="28"/>
          <w:highlight w:val="none"/>
          <w:lang w:val="zh-CN" w:eastAsia="zh-CN"/>
        </w:rPr>
        <w:t>）含有毒、有害物质或者被有害物质污染，对人体健康有害的；</w:t>
      </w:r>
    </w:p>
    <w:p>
      <w:pPr>
        <w:spacing w:line="360" w:lineRule="auto"/>
        <w:ind w:firstLine="560" w:firstLineChars="200"/>
        <w:rPr>
          <w:rFonts w:hint="eastAsia" w:ascii="宋体" w:cs="宋体"/>
          <w:color w:val="auto"/>
          <w:sz w:val="28"/>
          <w:szCs w:val="28"/>
          <w:highlight w:val="none"/>
          <w:lang w:val="zh-CN" w:eastAsia="zh-CN"/>
        </w:rPr>
      </w:pPr>
      <w:r>
        <w:rPr>
          <w:rFonts w:hint="eastAsia" w:ascii="宋体" w:cs="宋体"/>
          <w:color w:val="auto"/>
          <w:sz w:val="28"/>
          <w:szCs w:val="28"/>
          <w:highlight w:val="none"/>
          <w:lang w:val="zh-CN" w:eastAsia="zh-CN"/>
        </w:rPr>
        <w:t>（</w:t>
      </w:r>
      <w:r>
        <w:rPr>
          <w:rFonts w:hint="eastAsia" w:ascii="宋体" w:cs="宋体"/>
          <w:color w:val="auto"/>
          <w:sz w:val="28"/>
          <w:szCs w:val="28"/>
          <w:highlight w:val="none"/>
          <w:lang w:val="en-US" w:eastAsia="zh-CN"/>
        </w:rPr>
        <w:t>3</w:t>
      </w:r>
      <w:r>
        <w:rPr>
          <w:rFonts w:hint="eastAsia" w:ascii="宋体" w:cs="宋体"/>
          <w:color w:val="auto"/>
          <w:sz w:val="28"/>
          <w:szCs w:val="28"/>
          <w:highlight w:val="none"/>
          <w:lang w:val="zh-CN" w:eastAsia="zh-CN"/>
        </w:rPr>
        <w:t>）含有致命性寄生虫、微生物或者微生物含量超过国家限定标准的；</w:t>
      </w:r>
    </w:p>
    <w:p>
      <w:pPr>
        <w:spacing w:line="360" w:lineRule="auto"/>
        <w:ind w:firstLine="560" w:firstLineChars="200"/>
        <w:rPr>
          <w:rFonts w:hint="eastAsia" w:ascii="宋体" w:cs="宋体"/>
          <w:color w:val="auto"/>
          <w:sz w:val="28"/>
          <w:szCs w:val="28"/>
          <w:highlight w:val="none"/>
          <w:lang w:val="zh-CN" w:eastAsia="zh-CN"/>
        </w:rPr>
      </w:pPr>
      <w:r>
        <w:rPr>
          <w:rFonts w:hint="eastAsia" w:ascii="宋体" w:cs="宋体"/>
          <w:color w:val="auto"/>
          <w:sz w:val="28"/>
          <w:szCs w:val="28"/>
          <w:highlight w:val="none"/>
          <w:lang w:val="zh-CN" w:eastAsia="zh-CN"/>
        </w:rPr>
        <w:t>（</w:t>
      </w:r>
      <w:r>
        <w:rPr>
          <w:rFonts w:hint="eastAsia" w:ascii="宋体" w:cs="宋体"/>
          <w:color w:val="auto"/>
          <w:sz w:val="28"/>
          <w:szCs w:val="28"/>
          <w:highlight w:val="none"/>
          <w:lang w:val="en-US" w:eastAsia="zh-CN"/>
        </w:rPr>
        <w:t>4</w:t>
      </w:r>
      <w:r>
        <w:rPr>
          <w:rFonts w:hint="eastAsia" w:ascii="宋体" w:cs="宋体"/>
          <w:color w:val="auto"/>
          <w:sz w:val="28"/>
          <w:szCs w:val="28"/>
          <w:highlight w:val="none"/>
          <w:lang w:val="zh-CN" w:eastAsia="zh-CN"/>
        </w:rPr>
        <w:t xml:space="preserve">）未经动物检疫部门检疫、检验或检疫、检验不合格的肉类及其制品； 病死、毒死或者死因不明的禽、畜、兽等及其制品； </w:t>
      </w:r>
    </w:p>
    <w:p>
      <w:pPr>
        <w:spacing w:line="360" w:lineRule="auto"/>
        <w:ind w:firstLine="560" w:firstLineChars="200"/>
        <w:rPr>
          <w:rFonts w:hint="eastAsia" w:ascii="宋体" w:cs="宋体"/>
          <w:color w:val="auto"/>
          <w:sz w:val="28"/>
          <w:szCs w:val="28"/>
          <w:highlight w:val="none"/>
          <w:lang w:val="zh-CN" w:eastAsia="zh-CN"/>
        </w:rPr>
      </w:pPr>
      <w:r>
        <w:rPr>
          <w:rFonts w:hint="eastAsia" w:ascii="宋体" w:cs="宋体"/>
          <w:color w:val="auto"/>
          <w:sz w:val="28"/>
          <w:szCs w:val="28"/>
          <w:highlight w:val="none"/>
          <w:lang w:val="zh-CN" w:eastAsia="zh-CN"/>
        </w:rPr>
        <w:t>（</w:t>
      </w:r>
      <w:r>
        <w:rPr>
          <w:rFonts w:hint="eastAsia" w:ascii="宋体" w:cs="宋体"/>
          <w:color w:val="auto"/>
          <w:sz w:val="28"/>
          <w:szCs w:val="28"/>
          <w:highlight w:val="none"/>
          <w:lang w:val="en-US" w:eastAsia="zh-CN"/>
        </w:rPr>
        <w:t>5</w:t>
      </w:r>
      <w:r>
        <w:rPr>
          <w:rFonts w:hint="eastAsia" w:ascii="宋体" w:cs="宋体"/>
          <w:color w:val="auto"/>
          <w:sz w:val="28"/>
          <w:szCs w:val="28"/>
          <w:highlight w:val="none"/>
          <w:lang w:val="zh-CN" w:eastAsia="zh-CN"/>
        </w:rPr>
        <w:t>）掺假、掺杂、以次充好，影响卫生的；</w:t>
      </w:r>
    </w:p>
    <w:p>
      <w:pPr>
        <w:pStyle w:val="15"/>
        <w:rPr>
          <w:rFonts w:hint="eastAsia" w:ascii="宋体" w:hAnsi="宋体" w:eastAsia="宋体" w:cs="宋体"/>
          <w:color w:val="auto"/>
          <w:spacing w:val="4"/>
          <w:sz w:val="28"/>
          <w:szCs w:val="28"/>
          <w:highlight w:val="none"/>
          <w:lang w:eastAsia="zh-CN"/>
        </w:rPr>
      </w:pPr>
    </w:p>
    <w:p>
      <w:pPr>
        <w:rPr>
          <w:rFonts w:hint="eastAsia" w:ascii="宋体" w:hAnsi="宋体" w:cs="宋体"/>
          <w:color w:val="auto"/>
          <w:spacing w:val="4"/>
          <w:sz w:val="28"/>
          <w:szCs w:val="28"/>
          <w:highlight w:val="none"/>
          <w:lang w:val="en-US" w:eastAsia="zh-CN"/>
        </w:rPr>
      </w:pPr>
      <w:r>
        <w:rPr>
          <w:rFonts w:hint="eastAsia" w:ascii="宋体" w:hAnsi="宋体" w:cs="宋体"/>
          <w:color w:val="auto"/>
          <w:spacing w:val="4"/>
          <w:sz w:val="28"/>
          <w:szCs w:val="28"/>
          <w:highlight w:val="none"/>
          <w:lang w:val="en-US" w:eastAsia="zh-CN"/>
        </w:rPr>
        <w:br w:type="page"/>
      </w:r>
    </w:p>
    <w:p>
      <w:pPr>
        <w:pStyle w:val="15"/>
        <w:jc w:val="center"/>
        <w:rPr>
          <w:rFonts w:hint="eastAsia" w:ascii="宋体" w:hAnsi="Times New Roman" w:eastAsia="宋体" w:cs="宋体"/>
          <w:color w:val="auto"/>
          <w:kern w:val="2"/>
          <w:sz w:val="28"/>
          <w:szCs w:val="28"/>
          <w:highlight w:val="none"/>
          <w:lang w:val="en-US" w:eastAsia="zh-CN" w:bidi="ar-SA"/>
        </w:rPr>
      </w:pPr>
      <w:r>
        <w:rPr>
          <w:rFonts w:hint="eastAsia" w:ascii="宋体" w:hAnsi="宋体" w:eastAsia="宋体" w:cs="宋体"/>
          <w:b/>
          <w:bCs/>
          <w:color w:val="auto"/>
          <w:sz w:val="28"/>
          <w:szCs w:val="28"/>
          <w:highlight w:val="none"/>
        </w:rPr>
        <w:t>采购清单及技术要求</w:t>
      </w:r>
    </w:p>
    <w:p>
      <w:pPr>
        <w:pStyle w:val="15"/>
        <w:jc w:val="center"/>
        <w:rPr>
          <w:rFonts w:hint="eastAsia" w:ascii="宋体" w:hAnsi="宋体" w:eastAsia="宋体" w:cs="宋体"/>
          <w:b/>
          <w:bCs/>
          <w:color w:val="auto"/>
          <w:sz w:val="28"/>
          <w:szCs w:val="28"/>
          <w:highlight w:val="none"/>
          <w:lang w:val="en-US" w:eastAsia="zh-CN"/>
        </w:rPr>
      </w:pPr>
      <w:r>
        <w:rPr>
          <w:rFonts w:hint="eastAsia" w:ascii="宋体" w:hAnsi="宋体" w:cs="宋体"/>
          <w:b/>
          <w:bCs w:val="0"/>
          <w:color w:val="auto"/>
          <w:sz w:val="28"/>
          <w:szCs w:val="28"/>
          <w:highlight w:val="none"/>
          <w:lang w:eastAsia="zh-CN"/>
        </w:rPr>
        <w:t>赤峰学院学生食堂（保障性餐厅）食品采购原材料供应商</w:t>
      </w:r>
      <w:r>
        <w:rPr>
          <w:rFonts w:hint="eastAsia" w:ascii="宋体" w:hAnsi="宋体" w:eastAsia="宋体" w:cs="宋体"/>
          <w:b/>
          <w:bCs w:val="0"/>
          <w:color w:val="auto"/>
          <w:sz w:val="28"/>
          <w:szCs w:val="28"/>
          <w:highlight w:val="none"/>
          <w:lang w:val="en-US" w:eastAsia="zh-CN"/>
        </w:rPr>
        <w:t>项</w:t>
      </w:r>
      <w:r>
        <w:rPr>
          <w:rFonts w:hint="eastAsia" w:ascii="宋体" w:hAnsi="宋体" w:eastAsia="宋体" w:cs="宋体"/>
          <w:b/>
          <w:bCs/>
          <w:color w:val="auto"/>
          <w:sz w:val="28"/>
          <w:szCs w:val="28"/>
          <w:highlight w:val="none"/>
          <w:lang w:val="en-US" w:eastAsia="zh-CN"/>
        </w:rPr>
        <w:t>目明细</w:t>
      </w:r>
    </w:p>
    <w:p>
      <w:pPr>
        <w:rPr>
          <w:rFonts w:hint="eastAsia" w:ascii="宋体" w:hAnsi="宋体" w:eastAsia="宋体" w:cs="宋体"/>
          <w:color w:val="auto"/>
          <w:kern w:val="0"/>
          <w:sz w:val="24"/>
          <w:szCs w:val="24"/>
          <w:highlight w:val="none"/>
          <w:lang w:val="en-US" w:eastAsia="zh-CN" w:bidi="ar-SA"/>
        </w:rPr>
      </w:pPr>
    </w:p>
    <w:p>
      <w:pPr>
        <w:spacing w:line="360" w:lineRule="auto"/>
        <w:rPr>
          <w:rFonts w:hint="eastAsia" w:ascii="宋体" w:hAnsi="宋体" w:cs="宋体"/>
          <w:i w:val="0"/>
          <w:color w:val="auto"/>
          <w:kern w:val="0"/>
          <w:sz w:val="24"/>
          <w:szCs w:val="24"/>
          <w:highlight w:val="none"/>
          <w:u w:val="none"/>
          <w:lang w:val="en-US" w:eastAsia="zh-CN" w:bidi="ar"/>
        </w:rPr>
      </w:pPr>
      <w:r>
        <w:rPr>
          <w:rFonts w:hint="eastAsia" w:ascii="宋体" w:hAnsi="宋体" w:cs="宋体"/>
          <w:b/>
          <w:bCs/>
          <w:i w:val="0"/>
          <w:color w:val="auto"/>
          <w:kern w:val="0"/>
          <w:sz w:val="24"/>
          <w:szCs w:val="24"/>
          <w:highlight w:val="none"/>
          <w:u w:val="none"/>
          <w:lang w:val="en-US" w:eastAsia="zh-CN" w:bidi="ar"/>
        </w:rPr>
        <w:t xml:space="preserve">1、第一包  </w:t>
      </w:r>
      <w:r>
        <w:rPr>
          <w:rFonts w:hint="eastAsia" w:ascii="宋体" w:hAnsi="宋体" w:cs="宋体"/>
          <w:b/>
          <w:bCs/>
          <w:color w:val="auto"/>
          <w:sz w:val="24"/>
          <w:szCs w:val="24"/>
          <w:highlight w:val="none"/>
          <w:lang w:eastAsia="zh-CN"/>
        </w:rPr>
        <w:t>赤峰学院学生食堂（保障性餐厅）食品采购原材料供应商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粮油类</w:t>
      </w:r>
      <w:r>
        <w:rPr>
          <w:rFonts w:hint="eastAsia" w:ascii="宋体" w:hAnsi="宋体" w:eastAsia="宋体" w:cs="宋体"/>
          <w:b/>
          <w:bCs/>
          <w:color w:val="auto"/>
          <w:sz w:val="24"/>
          <w:szCs w:val="24"/>
          <w:highlight w:val="none"/>
        </w:rPr>
        <w:t>）</w:t>
      </w:r>
    </w:p>
    <w:tbl>
      <w:tblPr>
        <w:tblStyle w:val="26"/>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921"/>
        <w:gridCol w:w="3723"/>
        <w:gridCol w:w="1265"/>
        <w:gridCol w:w="1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561"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包号</w:t>
            </w:r>
          </w:p>
        </w:tc>
        <w:tc>
          <w:tcPr>
            <w:tcW w:w="963"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1866"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规格及技术要求</w:t>
            </w:r>
          </w:p>
        </w:tc>
        <w:tc>
          <w:tcPr>
            <w:tcW w:w="634" w:type="pct"/>
            <w:vAlign w:val="center"/>
          </w:tcPr>
          <w:p>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单价（元）</w:t>
            </w:r>
          </w:p>
        </w:tc>
        <w:tc>
          <w:tcPr>
            <w:tcW w:w="974"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1" w:type="pct"/>
            <w:vMerge w:val="restart"/>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63" w:type="pct"/>
            <w:vMerge w:val="restart"/>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赤峰学院学生食堂（保障性餐厅）食品采购原材料供应商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粮油类</w:t>
            </w:r>
            <w:r>
              <w:rPr>
                <w:rFonts w:hint="eastAsia" w:ascii="宋体" w:hAnsi="宋体" w:eastAsia="宋体" w:cs="宋体"/>
                <w:color w:val="auto"/>
                <w:sz w:val="24"/>
                <w:szCs w:val="24"/>
                <w:highlight w:val="none"/>
              </w:rPr>
              <w:t>）</w:t>
            </w: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精品</w:t>
            </w:r>
            <w:r>
              <w:rPr>
                <w:rFonts w:hint="eastAsia" w:ascii="宋体" w:hAnsi="宋体" w:eastAsia="宋体" w:cs="宋体"/>
                <w:color w:val="auto"/>
                <w:sz w:val="24"/>
                <w:szCs w:val="24"/>
                <w:highlight w:val="none"/>
              </w:rPr>
              <w:t>大米25kg/</w:t>
            </w:r>
            <w:r>
              <w:rPr>
                <w:rFonts w:hint="eastAsia" w:ascii="宋体" w:hAnsi="宋体" w:cs="宋体"/>
                <w:color w:val="auto"/>
                <w:sz w:val="24"/>
                <w:szCs w:val="24"/>
                <w:highlight w:val="none"/>
                <w:lang w:val="en-US" w:eastAsia="zh-CN"/>
              </w:rPr>
              <w:t>袋</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restart"/>
            <w:vAlign w:val="center"/>
          </w:tcPr>
          <w:p>
            <w:pPr>
              <w:widowControl/>
              <w:spacing w:line="360" w:lineRule="auto"/>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以实际需求为准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精品</w:t>
            </w:r>
            <w:r>
              <w:rPr>
                <w:rFonts w:hint="eastAsia" w:ascii="宋体" w:hAnsi="宋体" w:eastAsia="宋体" w:cs="宋体"/>
                <w:color w:val="auto"/>
                <w:sz w:val="24"/>
                <w:szCs w:val="24"/>
                <w:highlight w:val="none"/>
              </w:rPr>
              <w:t>面粉25kg/袋</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小米25kg/袋</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黄豆25kg/袋</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绿豆25kg/袋</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玉米面25kg/袋</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玉米渣25kg/袋</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非转基因大豆油20升/箱</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bl>
    <w:p>
      <w:pPr>
        <w:rPr>
          <w:rFonts w:hint="eastAsia" w:ascii="宋体" w:hAnsi="宋体" w:eastAsia="宋体" w:cs="宋体"/>
          <w:i w:val="0"/>
          <w:color w:val="auto"/>
          <w:kern w:val="0"/>
          <w:sz w:val="24"/>
          <w:szCs w:val="24"/>
          <w:highlight w:val="none"/>
          <w:u w:val="none"/>
          <w:lang w:val="en-US" w:eastAsia="zh-CN" w:bidi="ar"/>
        </w:rPr>
      </w:pPr>
    </w:p>
    <w:p>
      <w:pPr>
        <w:widowControl/>
        <w:spacing w:line="480" w:lineRule="auto"/>
        <w:ind w:firstLine="480" w:firstLineChars="200"/>
        <w:rPr>
          <w:rFonts w:hint="eastAsia" w:ascii="宋体" w:cs="宋体"/>
          <w:color w:val="auto"/>
          <w:sz w:val="24"/>
          <w:szCs w:val="24"/>
          <w:highlight w:val="none"/>
        </w:rPr>
      </w:pPr>
      <w:r>
        <w:rPr>
          <w:rFonts w:hint="eastAsia" w:ascii="宋体" w:cs="宋体"/>
          <w:color w:val="auto"/>
          <w:sz w:val="24"/>
          <w:szCs w:val="24"/>
          <w:highlight w:val="none"/>
        </w:rPr>
        <w:t>注：</w:t>
      </w:r>
      <w:r>
        <w:rPr>
          <w:rFonts w:hint="eastAsia" w:ascii="宋体" w:cs="宋体"/>
          <w:color w:val="auto"/>
          <w:sz w:val="24"/>
          <w:szCs w:val="24"/>
          <w:highlight w:val="none"/>
          <w:lang w:val="en-US" w:eastAsia="zh-CN"/>
        </w:rPr>
        <w:t>1.</w:t>
      </w:r>
      <w:r>
        <w:rPr>
          <w:rFonts w:hint="eastAsia" w:ascii="宋体" w:cs="宋体"/>
          <w:color w:val="auto"/>
          <w:sz w:val="24"/>
          <w:szCs w:val="24"/>
          <w:highlight w:val="none"/>
        </w:rPr>
        <w:t>此价格为招标时的市场原材料每公斤价格，供应商投标报价时报材料单价即可，不得突破</w:t>
      </w:r>
      <w:r>
        <w:rPr>
          <w:rFonts w:hint="eastAsia" w:ascii="宋体" w:cs="宋体"/>
          <w:color w:val="auto"/>
          <w:sz w:val="24"/>
          <w:szCs w:val="24"/>
          <w:highlight w:val="none"/>
          <w:lang w:val="en-US" w:eastAsia="zh-CN"/>
        </w:rPr>
        <w:t>市场价</w:t>
      </w:r>
      <w:r>
        <w:rPr>
          <w:rFonts w:hint="eastAsia" w:ascii="宋体" w:cs="宋体"/>
          <w:color w:val="auto"/>
          <w:sz w:val="24"/>
          <w:szCs w:val="24"/>
          <w:highlight w:val="none"/>
        </w:rPr>
        <w:t>，结算时以实际数量为准。在材料供应过程中，如市场材料价格波动连续十五天超过投标报价±</w:t>
      </w:r>
      <w:r>
        <w:rPr>
          <w:rFonts w:ascii="宋体" w:cs="宋体"/>
          <w:color w:val="auto"/>
          <w:sz w:val="24"/>
          <w:szCs w:val="24"/>
          <w:highlight w:val="none"/>
        </w:rPr>
        <w:t>10%</w:t>
      </w:r>
      <w:r>
        <w:rPr>
          <w:rFonts w:hint="eastAsia" w:ascii="宋体" w:cs="宋体"/>
          <w:color w:val="auto"/>
          <w:sz w:val="24"/>
          <w:szCs w:val="24"/>
          <w:highlight w:val="none"/>
        </w:rPr>
        <w:t>时，学院后勤询价小组成员将组织学院相关部门参与重新市场询价，中标的供应商按询价小组重新确定的价格供应食材。</w:t>
      </w:r>
    </w:p>
    <w:p>
      <w:pPr>
        <w:widowControl/>
        <w:spacing w:line="480" w:lineRule="auto"/>
        <w:ind w:firstLine="960" w:firstLineChars="400"/>
        <w:rPr>
          <w:rFonts w:hint="default" w:eastAsia="宋体"/>
          <w:lang w:val="en-US" w:eastAsia="zh-CN"/>
        </w:rPr>
      </w:pPr>
      <w:r>
        <w:rPr>
          <w:rFonts w:hint="eastAsia" w:ascii="宋体" w:cs="宋体"/>
          <w:color w:val="auto"/>
          <w:sz w:val="24"/>
          <w:szCs w:val="24"/>
          <w:highlight w:val="none"/>
          <w:lang w:val="en-US" w:eastAsia="zh-CN"/>
        </w:rPr>
        <w:t>2.为落实《财政部 农业农村部 国家乡村振兴局 中华全国供销合作总社关于印发〈关于深入开展政府采购脱贫地区农副产品工作推进乡村产业振兴的实施意见〉的通知》（财库〔2021〕20号）、《关于组织地方预算单位做好2022年政府采购脱贫地区农副产品工作的通知》财办库〔2022〕54号等相关要求，参加</w:t>
      </w:r>
      <w:r>
        <w:rPr>
          <w:rFonts w:hint="eastAsia" w:ascii="宋体" w:hAnsi="宋体" w:cs="宋体"/>
          <w:color w:val="auto"/>
          <w:sz w:val="24"/>
          <w:szCs w:val="24"/>
          <w:highlight w:val="none"/>
          <w:lang w:eastAsia="zh-CN"/>
        </w:rPr>
        <w:t>赤峰学院学生食堂（保障性餐厅）食品采购原材料供应商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粮油类</w:t>
      </w:r>
      <w:r>
        <w:rPr>
          <w:rFonts w:hint="eastAsia" w:ascii="宋体" w:hAnsi="宋体" w:eastAsia="宋体" w:cs="宋体"/>
          <w:color w:val="auto"/>
          <w:sz w:val="24"/>
          <w:szCs w:val="24"/>
          <w:highlight w:val="none"/>
        </w:rPr>
        <w:t>）</w:t>
      </w:r>
      <w:r>
        <w:rPr>
          <w:rFonts w:hint="eastAsia" w:ascii="宋体" w:cs="宋体"/>
          <w:color w:val="auto"/>
          <w:sz w:val="24"/>
          <w:szCs w:val="24"/>
          <w:highlight w:val="none"/>
          <w:lang w:val="en-US" w:eastAsia="zh-CN"/>
        </w:rPr>
        <w:t>（1包）项目的供应商已经入驻“832平台”的优先采购。</w:t>
      </w:r>
    </w:p>
    <w:p>
      <w:pPr>
        <w:rPr>
          <w:rFonts w:hint="eastAsia"/>
          <w:color w:val="auto"/>
          <w:highlight w:val="none"/>
        </w:rPr>
      </w:pPr>
      <w:bookmarkStart w:id="6" w:name="_Toc11536"/>
    </w:p>
    <w:p>
      <w:pPr>
        <w:rPr>
          <w:rFonts w:hint="eastAsia" w:ascii="宋体" w:hAnsi="宋体" w:cs="宋体"/>
          <w:b/>
          <w:bCs/>
          <w:i w:val="0"/>
          <w:color w:val="auto"/>
          <w:kern w:val="0"/>
          <w:sz w:val="24"/>
          <w:szCs w:val="24"/>
          <w:highlight w:val="none"/>
          <w:u w:val="none"/>
          <w:lang w:val="en-US" w:eastAsia="zh-CN" w:bidi="ar"/>
        </w:rPr>
      </w:pPr>
      <w:r>
        <w:rPr>
          <w:rFonts w:hint="eastAsia" w:ascii="宋体" w:hAnsi="宋体" w:cs="宋体"/>
          <w:b/>
          <w:bCs/>
          <w:i w:val="0"/>
          <w:color w:val="auto"/>
          <w:kern w:val="0"/>
          <w:sz w:val="24"/>
          <w:szCs w:val="24"/>
          <w:highlight w:val="none"/>
          <w:u w:val="none"/>
          <w:lang w:val="en-US" w:eastAsia="zh-CN" w:bidi="ar"/>
        </w:rPr>
        <w:br w:type="page"/>
      </w:r>
    </w:p>
    <w:p>
      <w:pPr>
        <w:spacing w:line="360" w:lineRule="auto"/>
        <w:rPr>
          <w:rFonts w:hint="eastAsia" w:ascii="宋体" w:hAnsi="宋体" w:cs="宋体"/>
          <w:i w:val="0"/>
          <w:color w:val="auto"/>
          <w:kern w:val="0"/>
          <w:sz w:val="24"/>
          <w:szCs w:val="24"/>
          <w:highlight w:val="none"/>
          <w:u w:val="none"/>
          <w:lang w:val="en-US" w:eastAsia="zh-CN" w:bidi="ar"/>
        </w:rPr>
      </w:pPr>
      <w:r>
        <w:rPr>
          <w:rFonts w:hint="eastAsia" w:ascii="宋体" w:hAnsi="宋体" w:cs="宋体"/>
          <w:b/>
          <w:bCs/>
          <w:i w:val="0"/>
          <w:color w:val="auto"/>
          <w:kern w:val="0"/>
          <w:sz w:val="24"/>
          <w:szCs w:val="24"/>
          <w:highlight w:val="none"/>
          <w:u w:val="none"/>
          <w:lang w:val="en-US" w:eastAsia="zh-CN" w:bidi="ar"/>
        </w:rPr>
        <w:t xml:space="preserve">2、第二包 </w:t>
      </w:r>
      <w:r>
        <w:rPr>
          <w:rFonts w:hint="eastAsia" w:ascii="宋体" w:hAnsi="宋体" w:cs="宋体"/>
          <w:b/>
          <w:bCs/>
          <w:color w:val="auto"/>
          <w:sz w:val="24"/>
          <w:szCs w:val="24"/>
          <w:highlight w:val="none"/>
          <w:lang w:eastAsia="zh-CN"/>
        </w:rPr>
        <w:t>赤峰学院学生食堂（保障性餐厅）食品采购原材料供应商（（</w:t>
      </w:r>
      <w:r>
        <w:rPr>
          <w:rFonts w:hint="eastAsia" w:ascii="宋体" w:hAnsi="宋体" w:cs="宋体"/>
          <w:b/>
          <w:bCs/>
          <w:i w:val="0"/>
          <w:color w:val="auto"/>
          <w:kern w:val="0"/>
          <w:sz w:val="24"/>
          <w:szCs w:val="24"/>
          <w:highlight w:val="none"/>
          <w:u w:val="none"/>
          <w:lang w:val="en-US" w:eastAsia="zh-CN" w:bidi="ar"/>
        </w:rPr>
        <w:t>猪肉、禽肉（调理品））</w:t>
      </w:r>
    </w:p>
    <w:tbl>
      <w:tblPr>
        <w:tblStyle w:val="26"/>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922"/>
        <w:gridCol w:w="3723"/>
        <w:gridCol w:w="1265"/>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561"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包号</w:t>
            </w:r>
          </w:p>
        </w:tc>
        <w:tc>
          <w:tcPr>
            <w:tcW w:w="963"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1866"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规格及技术要求</w:t>
            </w:r>
          </w:p>
        </w:tc>
        <w:tc>
          <w:tcPr>
            <w:tcW w:w="634" w:type="pct"/>
            <w:vAlign w:val="center"/>
          </w:tcPr>
          <w:p>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单价（元）</w:t>
            </w:r>
          </w:p>
        </w:tc>
        <w:tc>
          <w:tcPr>
            <w:tcW w:w="974"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1" w:type="pct"/>
            <w:vMerge w:val="restart"/>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963" w:type="pct"/>
            <w:vMerge w:val="restart"/>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赤峰学院学生食堂（保障性餐厅）食品采购原材料供应商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猪肉、禽肉（调理品）</w:t>
            </w:r>
            <w:r>
              <w:rPr>
                <w:rFonts w:hint="eastAsia" w:ascii="宋体" w:hAnsi="宋体" w:eastAsia="宋体" w:cs="宋体"/>
                <w:color w:val="auto"/>
                <w:sz w:val="24"/>
                <w:szCs w:val="24"/>
                <w:highlight w:val="none"/>
              </w:rPr>
              <w:t>）</w:t>
            </w: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五花肉1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restart"/>
            <w:vAlign w:val="center"/>
          </w:tcPr>
          <w:p>
            <w:pPr>
              <w:widowControl/>
              <w:spacing w:line="360" w:lineRule="auto"/>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以实际需求为准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前槽1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猪精肉1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猪排骨1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鸡胸1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鸡架1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龙鸟碎肉1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鸡叉骨1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鸡翅根1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鸡排腿1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鸡边腿1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净皮鸡脖1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鸡心1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鸡胗1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鱼丸1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虾丸1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蟹排1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狮子头1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甜不辣1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贡丸1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红肠1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章鱼丸1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撒尿牛丸1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鱼叶1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bl>
    <w:p>
      <w:pPr>
        <w:rPr>
          <w:rFonts w:hint="eastAsia"/>
          <w:color w:val="auto"/>
          <w:highlight w:val="none"/>
        </w:rPr>
      </w:pPr>
    </w:p>
    <w:p>
      <w:pPr>
        <w:widowControl/>
        <w:spacing w:line="480" w:lineRule="auto"/>
        <w:ind w:firstLine="960" w:firstLineChars="400"/>
        <w:rPr>
          <w:rFonts w:hint="eastAsia" w:ascii="宋体" w:cs="宋体"/>
          <w:color w:val="auto"/>
          <w:sz w:val="24"/>
          <w:szCs w:val="24"/>
          <w:highlight w:val="none"/>
        </w:rPr>
      </w:pPr>
      <w:r>
        <w:rPr>
          <w:rFonts w:hint="eastAsia" w:ascii="宋体" w:cs="宋体"/>
          <w:color w:val="auto"/>
          <w:sz w:val="24"/>
          <w:szCs w:val="24"/>
          <w:highlight w:val="none"/>
        </w:rPr>
        <w:t>注：</w:t>
      </w:r>
      <w:r>
        <w:rPr>
          <w:rFonts w:hint="eastAsia" w:ascii="宋体" w:cs="宋体"/>
          <w:color w:val="auto"/>
          <w:sz w:val="24"/>
          <w:szCs w:val="24"/>
          <w:highlight w:val="none"/>
          <w:lang w:val="en-US" w:eastAsia="zh-CN"/>
        </w:rPr>
        <w:t>1.</w:t>
      </w:r>
      <w:r>
        <w:rPr>
          <w:rFonts w:hint="eastAsia" w:ascii="宋体" w:cs="宋体"/>
          <w:color w:val="auto"/>
          <w:sz w:val="24"/>
          <w:szCs w:val="24"/>
          <w:highlight w:val="none"/>
        </w:rPr>
        <w:t>此价格为招标时的市场原材料每公斤价格，供应商投标报价时报材料单价即可，不得突破</w:t>
      </w:r>
      <w:r>
        <w:rPr>
          <w:rFonts w:hint="eastAsia" w:ascii="宋体" w:cs="宋体"/>
          <w:color w:val="auto"/>
          <w:sz w:val="24"/>
          <w:szCs w:val="24"/>
          <w:highlight w:val="none"/>
          <w:lang w:val="en-US" w:eastAsia="zh-CN"/>
        </w:rPr>
        <w:t>市场价</w:t>
      </w:r>
      <w:r>
        <w:rPr>
          <w:rFonts w:hint="eastAsia" w:ascii="宋体" w:cs="宋体"/>
          <w:color w:val="auto"/>
          <w:sz w:val="24"/>
          <w:szCs w:val="24"/>
          <w:highlight w:val="none"/>
        </w:rPr>
        <w:t>，结算时以实际数量为准。在材料供应过程中，如市场材料价格波动连续十五天超过投标报价±</w:t>
      </w:r>
      <w:r>
        <w:rPr>
          <w:rFonts w:ascii="宋体" w:cs="宋体"/>
          <w:color w:val="auto"/>
          <w:sz w:val="24"/>
          <w:szCs w:val="24"/>
          <w:highlight w:val="none"/>
        </w:rPr>
        <w:t>10%</w:t>
      </w:r>
      <w:r>
        <w:rPr>
          <w:rFonts w:hint="eastAsia" w:ascii="宋体" w:cs="宋体"/>
          <w:color w:val="auto"/>
          <w:sz w:val="24"/>
          <w:szCs w:val="24"/>
          <w:highlight w:val="none"/>
        </w:rPr>
        <w:t>时，学院后勤询价小组成员将组织学院相关部门参与重新市场询价，中标的供应商按询价小组重新确定的价格供应食材。</w:t>
      </w:r>
    </w:p>
    <w:p>
      <w:pPr>
        <w:widowControl/>
        <w:spacing w:line="480" w:lineRule="auto"/>
        <w:ind w:firstLine="960" w:firstLineChars="400"/>
        <w:rPr>
          <w:rFonts w:hint="default" w:eastAsia="宋体"/>
          <w:lang w:val="en-US" w:eastAsia="zh-CN"/>
        </w:rPr>
      </w:pPr>
      <w:r>
        <w:rPr>
          <w:rFonts w:hint="eastAsia" w:ascii="宋体" w:cs="宋体"/>
          <w:color w:val="auto"/>
          <w:sz w:val="24"/>
          <w:szCs w:val="24"/>
          <w:highlight w:val="none"/>
          <w:lang w:val="en-US" w:eastAsia="zh-CN"/>
        </w:rPr>
        <w:t>2.为落实《财政部 农业农村部 国家乡村振兴局 中华全国供销合作总社关于印发〈关于深入开展政府采购脱贫地区农副产品工作推进乡村产业振兴的实施意见〉的通知》（财库〔2021〕20号）、《关于组织地方预算单位做好2022年政府采购脱贫地区农副产品工作的通知》财办库〔2022〕54号等相关要求，参加</w:t>
      </w:r>
      <w:r>
        <w:rPr>
          <w:rFonts w:hint="eastAsia" w:ascii="宋体" w:hAnsi="宋体" w:cs="宋体"/>
          <w:color w:val="auto"/>
          <w:sz w:val="24"/>
          <w:szCs w:val="24"/>
          <w:highlight w:val="none"/>
          <w:lang w:eastAsia="zh-CN"/>
        </w:rPr>
        <w:t>赤峰学院学生食堂（保障性餐厅）食品采购原材料供应商</w:t>
      </w:r>
      <w:r>
        <w:rPr>
          <w:rFonts w:hint="eastAsia" w:ascii="宋体" w:hAnsi="宋体" w:eastAsia="宋体" w:cs="宋体"/>
          <w:color w:val="auto"/>
          <w:sz w:val="24"/>
          <w:szCs w:val="24"/>
          <w:highlight w:val="none"/>
        </w:rPr>
        <w:t>（（猪肉、禽肉（调理品））</w:t>
      </w:r>
      <w:r>
        <w:rPr>
          <w:rFonts w:hint="eastAsia" w:ascii="宋体" w:cs="宋体"/>
          <w:color w:val="auto"/>
          <w:sz w:val="24"/>
          <w:szCs w:val="24"/>
          <w:highlight w:val="none"/>
          <w:lang w:val="en-US" w:eastAsia="zh-CN"/>
        </w:rPr>
        <w:t>（2包）项目的供应商已经入驻“832平台”的优先采购。</w:t>
      </w:r>
    </w:p>
    <w:p>
      <w:pPr>
        <w:widowControl/>
        <w:spacing w:line="480" w:lineRule="auto"/>
        <w:ind w:firstLine="240" w:firstLineChars="100"/>
        <w:rPr>
          <w:rFonts w:ascii="宋体" w:cs="宋体"/>
          <w:color w:val="auto"/>
          <w:sz w:val="24"/>
          <w:szCs w:val="24"/>
          <w:highlight w:val="none"/>
        </w:rPr>
      </w:pPr>
    </w:p>
    <w:p>
      <w:pPr>
        <w:spacing w:line="360" w:lineRule="auto"/>
        <w:rPr>
          <w:rFonts w:hint="eastAsia" w:ascii="宋体" w:hAnsi="宋体" w:cs="宋体"/>
          <w:b/>
          <w:bCs/>
          <w:i w:val="0"/>
          <w:color w:val="auto"/>
          <w:kern w:val="0"/>
          <w:sz w:val="24"/>
          <w:szCs w:val="24"/>
          <w:highlight w:val="none"/>
          <w:u w:val="none"/>
          <w:lang w:val="en-US" w:eastAsia="zh-CN" w:bidi="ar"/>
        </w:rPr>
      </w:pPr>
    </w:p>
    <w:p>
      <w:pPr>
        <w:rPr>
          <w:rFonts w:hint="eastAsia" w:ascii="宋体" w:hAnsi="宋体" w:cs="宋体"/>
          <w:b/>
          <w:bCs/>
          <w:i w:val="0"/>
          <w:color w:val="auto"/>
          <w:kern w:val="0"/>
          <w:sz w:val="24"/>
          <w:szCs w:val="24"/>
          <w:highlight w:val="none"/>
          <w:u w:val="none"/>
          <w:lang w:val="en-US" w:eastAsia="zh-CN" w:bidi="ar"/>
        </w:rPr>
      </w:pPr>
      <w:r>
        <w:rPr>
          <w:rFonts w:hint="eastAsia" w:ascii="宋体" w:hAnsi="宋体" w:cs="宋体"/>
          <w:b/>
          <w:bCs/>
          <w:i w:val="0"/>
          <w:color w:val="auto"/>
          <w:kern w:val="0"/>
          <w:sz w:val="24"/>
          <w:szCs w:val="24"/>
          <w:highlight w:val="none"/>
          <w:u w:val="none"/>
          <w:lang w:val="en-US" w:eastAsia="zh-CN" w:bidi="ar"/>
        </w:rPr>
        <w:br w:type="page"/>
      </w:r>
    </w:p>
    <w:p>
      <w:pPr>
        <w:spacing w:line="360" w:lineRule="auto"/>
        <w:rPr>
          <w:rFonts w:hint="eastAsia" w:ascii="宋体" w:hAnsi="宋体" w:cs="宋体"/>
          <w:i w:val="0"/>
          <w:color w:val="auto"/>
          <w:kern w:val="0"/>
          <w:sz w:val="24"/>
          <w:szCs w:val="24"/>
          <w:highlight w:val="none"/>
          <w:u w:val="none"/>
          <w:lang w:val="en-US" w:eastAsia="zh-CN" w:bidi="ar"/>
        </w:rPr>
      </w:pPr>
      <w:r>
        <w:rPr>
          <w:rFonts w:hint="eastAsia" w:ascii="宋体" w:hAnsi="宋体" w:cs="宋体"/>
          <w:b/>
          <w:bCs/>
          <w:i w:val="0"/>
          <w:color w:val="auto"/>
          <w:kern w:val="0"/>
          <w:sz w:val="24"/>
          <w:szCs w:val="24"/>
          <w:highlight w:val="none"/>
          <w:u w:val="none"/>
          <w:lang w:val="en-US" w:eastAsia="zh-CN" w:bidi="ar"/>
        </w:rPr>
        <w:t xml:space="preserve">3、第三包 </w:t>
      </w:r>
      <w:r>
        <w:rPr>
          <w:rFonts w:hint="eastAsia" w:ascii="宋体" w:hAnsi="宋体" w:cs="宋体"/>
          <w:b/>
          <w:bCs/>
          <w:color w:val="auto"/>
          <w:sz w:val="24"/>
          <w:szCs w:val="24"/>
          <w:highlight w:val="none"/>
          <w:lang w:eastAsia="zh-CN"/>
        </w:rPr>
        <w:t>赤峰学院学生食堂（保障性餐厅）食品采购原材料供应商（</w:t>
      </w:r>
      <w:r>
        <w:rPr>
          <w:rFonts w:hint="eastAsia" w:ascii="宋体" w:hAnsi="宋体" w:cs="宋体"/>
          <w:b/>
          <w:bCs/>
          <w:color w:val="auto"/>
          <w:sz w:val="24"/>
          <w:szCs w:val="24"/>
          <w:highlight w:val="none"/>
          <w:lang w:val="en-US" w:eastAsia="zh-CN"/>
        </w:rPr>
        <w:t>鸡蛋、蔬菜类</w:t>
      </w:r>
      <w:r>
        <w:rPr>
          <w:rFonts w:hint="eastAsia" w:ascii="宋体" w:hAnsi="宋体" w:cs="宋体"/>
          <w:b/>
          <w:bCs/>
          <w:i w:val="0"/>
          <w:color w:val="auto"/>
          <w:kern w:val="0"/>
          <w:sz w:val="24"/>
          <w:szCs w:val="24"/>
          <w:highlight w:val="none"/>
          <w:u w:val="none"/>
          <w:lang w:val="en-US" w:eastAsia="zh-CN" w:bidi="ar"/>
        </w:rPr>
        <w:t>）</w:t>
      </w:r>
    </w:p>
    <w:tbl>
      <w:tblPr>
        <w:tblStyle w:val="26"/>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1920"/>
        <w:gridCol w:w="3724"/>
        <w:gridCol w:w="1264"/>
        <w:gridCol w:w="19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558"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包号</w:t>
            </w:r>
          </w:p>
        </w:tc>
        <w:tc>
          <w:tcPr>
            <w:tcW w:w="963"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1868"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规格及技术要求</w:t>
            </w:r>
          </w:p>
        </w:tc>
        <w:tc>
          <w:tcPr>
            <w:tcW w:w="634" w:type="pct"/>
            <w:vAlign w:val="center"/>
          </w:tcPr>
          <w:p>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单价（元）</w:t>
            </w:r>
          </w:p>
        </w:tc>
        <w:tc>
          <w:tcPr>
            <w:tcW w:w="974"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58" w:type="pct"/>
            <w:vMerge w:val="restart"/>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963" w:type="pct"/>
            <w:vMerge w:val="restart"/>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赤峰学院学生食堂（保障性餐厅）食品采购原材料供应商</w:t>
            </w:r>
            <w:r>
              <w:rPr>
                <w:rFonts w:hint="eastAsia" w:ascii="宋体" w:hAnsi="宋体" w:eastAsia="宋体" w:cs="宋体"/>
                <w:color w:val="auto"/>
                <w:sz w:val="24"/>
                <w:szCs w:val="24"/>
                <w:highlight w:val="none"/>
              </w:rPr>
              <w:t>（鸡蛋、蔬菜类）</w:t>
            </w:r>
          </w:p>
        </w:tc>
        <w:tc>
          <w:tcPr>
            <w:tcW w:w="1868" w:type="pct"/>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鸡蛋</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restart"/>
            <w:vAlign w:val="center"/>
          </w:tcPr>
          <w:p>
            <w:pPr>
              <w:widowControl/>
              <w:spacing w:line="360" w:lineRule="auto"/>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以实际需求为准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芹菜1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青椒1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尖椒1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大白菜1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胡萝卜1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西红柿1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土豆1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甘蓝1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菠菜1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蒜薹1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圆茄1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大葱1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黄瓜1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金瓜1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角瓜1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白萝卜1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韭菜1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香菜1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豆片1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黄豆芽1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绿豆芽1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豆腐1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白玉菇1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香菇1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鲜蘑1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生姜1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鸭蛋1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芥菜丝1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酸菜丝1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芥菜丁1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58"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8" w:type="pct"/>
          </w:tcPr>
          <w:p>
            <w:pPr>
              <w:spacing w:line="360" w:lineRule="auto"/>
              <w:rPr>
                <w:rFonts w:hint="eastAsia"/>
                <w:color w:val="auto"/>
                <w:sz w:val="24"/>
                <w:szCs w:val="24"/>
                <w:highlight w:val="none"/>
              </w:rPr>
            </w:pPr>
            <w:r>
              <w:rPr>
                <w:rFonts w:hint="eastAsia"/>
                <w:color w:val="auto"/>
                <w:sz w:val="24"/>
                <w:szCs w:val="24"/>
                <w:highlight w:val="none"/>
              </w:rPr>
              <w:t>海带丝1</w:t>
            </w:r>
            <w:r>
              <w:rPr>
                <w:rFonts w:hint="eastAsia" w:ascii="宋体" w:hAnsi="宋体" w:eastAsia="宋体" w:cs="宋体"/>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bl>
    <w:p>
      <w:pPr>
        <w:rPr>
          <w:rFonts w:hint="eastAsia"/>
          <w:color w:val="auto"/>
          <w:highlight w:val="none"/>
        </w:rPr>
      </w:pPr>
    </w:p>
    <w:p>
      <w:pPr>
        <w:rPr>
          <w:rFonts w:hint="eastAsia"/>
          <w:color w:val="auto"/>
          <w:highlight w:val="none"/>
        </w:rPr>
      </w:pPr>
    </w:p>
    <w:p>
      <w:pPr>
        <w:widowControl/>
        <w:spacing w:line="480" w:lineRule="auto"/>
        <w:ind w:firstLine="240" w:firstLineChars="100"/>
        <w:rPr>
          <w:rFonts w:ascii="宋体" w:cs="宋体"/>
          <w:color w:val="auto"/>
          <w:sz w:val="24"/>
          <w:szCs w:val="24"/>
          <w:highlight w:val="none"/>
        </w:rPr>
      </w:pPr>
      <w:r>
        <w:rPr>
          <w:rFonts w:hint="eastAsia" w:ascii="宋体" w:cs="宋体"/>
          <w:color w:val="auto"/>
          <w:sz w:val="24"/>
          <w:szCs w:val="24"/>
          <w:highlight w:val="none"/>
        </w:rPr>
        <w:t>注：此价格为招标时的市场原材料每公斤价格，供应商投标报价时报材料单价即可，不得突破</w:t>
      </w:r>
      <w:r>
        <w:rPr>
          <w:rFonts w:hint="eastAsia" w:ascii="宋体" w:cs="宋体"/>
          <w:color w:val="auto"/>
          <w:sz w:val="24"/>
          <w:szCs w:val="24"/>
          <w:highlight w:val="none"/>
          <w:lang w:val="en-US" w:eastAsia="zh-CN"/>
        </w:rPr>
        <w:t>市场价</w:t>
      </w:r>
      <w:r>
        <w:rPr>
          <w:rFonts w:hint="eastAsia" w:ascii="宋体" w:cs="宋体"/>
          <w:color w:val="auto"/>
          <w:sz w:val="24"/>
          <w:szCs w:val="24"/>
          <w:highlight w:val="none"/>
        </w:rPr>
        <w:t>，结算时以实际数量为准。在材料供应过程中，如市场材料价格波动连续十五天超过投标报价±</w:t>
      </w:r>
      <w:r>
        <w:rPr>
          <w:rFonts w:ascii="宋体" w:cs="宋体"/>
          <w:color w:val="auto"/>
          <w:sz w:val="24"/>
          <w:szCs w:val="24"/>
          <w:highlight w:val="none"/>
        </w:rPr>
        <w:t>10%</w:t>
      </w:r>
      <w:r>
        <w:rPr>
          <w:rFonts w:hint="eastAsia" w:ascii="宋体" w:cs="宋体"/>
          <w:color w:val="auto"/>
          <w:sz w:val="24"/>
          <w:szCs w:val="24"/>
          <w:highlight w:val="none"/>
        </w:rPr>
        <w:t>时，学院后勤询价小组成员将组织学院相关部门参与重新市场询价，中标的供应商按询价小组重新确定的价格供应食材。</w:t>
      </w:r>
    </w:p>
    <w:p>
      <w:pPr>
        <w:rPr>
          <w:rFonts w:hint="eastAsia"/>
          <w:color w:val="auto"/>
          <w:highlight w:val="none"/>
        </w:rPr>
      </w:pPr>
    </w:p>
    <w:p>
      <w:pPr>
        <w:rPr>
          <w:rFonts w:hint="eastAsia" w:ascii="宋体" w:hAnsi="宋体" w:cs="宋体"/>
          <w:b/>
          <w:bCs/>
          <w:i w:val="0"/>
          <w:color w:val="auto"/>
          <w:kern w:val="0"/>
          <w:sz w:val="24"/>
          <w:szCs w:val="24"/>
          <w:highlight w:val="none"/>
          <w:u w:val="none"/>
          <w:lang w:val="en-US" w:eastAsia="zh-CN" w:bidi="ar"/>
        </w:rPr>
      </w:pPr>
      <w:r>
        <w:rPr>
          <w:rFonts w:hint="eastAsia" w:ascii="宋体" w:hAnsi="宋体" w:cs="宋体"/>
          <w:b/>
          <w:bCs/>
          <w:i w:val="0"/>
          <w:color w:val="auto"/>
          <w:kern w:val="0"/>
          <w:sz w:val="24"/>
          <w:szCs w:val="24"/>
          <w:highlight w:val="none"/>
          <w:u w:val="none"/>
          <w:lang w:val="en-US" w:eastAsia="zh-CN" w:bidi="ar"/>
        </w:rPr>
        <w:br w:type="page"/>
      </w:r>
    </w:p>
    <w:p>
      <w:pPr>
        <w:spacing w:line="360" w:lineRule="auto"/>
        <w:rPr>
          <w:rFonts w:hint="eastAsia" w:ascii="宋体" w:hAnsi="宋体" w:cs="宋体"/>
          <w:i w:val="0"/>
          <w:color w:val="auto"/>
          <w:kern w:val="0"/>
          <w:sz w:val="24"/>
          <w:szCs w:val="24"/>
          <w:highlight w:val="none"/>
          <w:u w:val="none"/>
          <w:lang w:val="en-US" w:eastAsia="zh-CN" w:bidi="ar"/>
        </w:rPr>
      </w:pPr>
      <w:r>
        <w:rPr>
          <w:rFonts w:hint="eastAsia" w:ascii="宋体" w:hAnsi="宋体" w:cs="宋体"/>
          <w:b/>
          <w:bCs/>
          <w:i w:val="0"/>
          <w:color w:val="auto"/>
          <w:kern w:val="0"/>
          <w:sz w:val="24"/>
          <w:szCs w:val="24"/>
          <w:highlight w:val="none"/>
          <w:u w:val="none"/>
          <w:lang w:val="en-US" w:eastAsia="zh-CN" w:bidi="ar"/>
        </w:rPr>
        <w:t xml:space="preserve">4、第四包 </w:t>
      </w:r>
      <w:r>
        <w:rPr>
          <w:rFonts w:hint="eastAsia" w:ascii="宋体" w:hAnsi="宋体" w:cs="宋体"/>
          <w:b/>
          <w:bCs/>
          <w:color w:val="auto"/>
          <w:sz w:val="24"/>
          <w:szCs w:val="24"/>
          <w:highlight w:val="none"/>
          <w:lang w:eastAsia="zh-CN"/>
        </w:rPr>
        <w:t>赤峰学院学生食堂（保障性餐厅）食品采购原材料供应商（</w:t>
      </w:r>
      <w:r>
        <w:rPr>
          <w:rFonts w:hint="eastAsia" w:ascii="宋体" w:hAnsi="宋体" w:cs="宋体"/>
          <w:b/>
          <w:bCs/>
          <w:color w:val="auto"/>
          <w:sz w:val="24"/>
          <w:szCs w:val="24"/>
          <w:highlight w:val="none"/>
          <w:lang w:val="en-US" w:eastAsia="zh-CN"/>
        </w:rPr>
        <w:t>调料类</w:t>
      </w:r>
      <w:r>
        <w:rPr>
          <w:rFonts w:hint="eastAsia" w:ascii="宋体" w:hAnsi="宋体" w:cs="宋体"/>
          <w:b/>
          <w:bCs/>
          <w:i w:val="0"/>
          <w:color w:val="auto"/>
          <w:kern w:val="0"/>
          <w:sz w:val="24"/>
          <w:szCs w:val="24"/>
          <w:highlight w:val="none"/>
          <w:u w:val="none"/>
          <w:lang w:val="en-US" w:eastAsia="zh-CN" w:bidi="ar"/>
        </w:rPr>
        <w:t>）</w:t>
      </w:r>
    </w:p>
    <w:tbl>
      <w:tblPr>
        <w:tblStyle w:val="26"/>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921"/>
        <w:gridCol w:w="3723"/>
        <w:gridCol w:w="1265"/>
        <w:gridCol w:w="1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561"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包号</w:t>
            </w:r>
          </w:p>
        </w:tc>
        <w:tc>
          <w:tcPr>
            <w:tcW w:w="963"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1866"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规格及技术要求</w:t>
            </w:r>
          </w:p>
        </w:tc>
        <w:tc>
          <w:tcPr>
            <w:tcW w:w="634" w:type="pct"/>
            <w:vAlign w:val="center"/>
          </w:tcPr>
          <w:p>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单价（元）</w:t>
            </w:r>
          </w:p>
        </w:tc>
        <w:tc>
          <w:tcPr>
            <w:tcW w:w="974" w:type="pct"/>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61" w:type="pct"/>
            <w:vMerge w:val="restart"/>
            <w:vAlign w:val="center"/>
          </w:tcPr>
          <w:p>
            <w:pPr>
              <w:spacing w:line="360" w:lineRule="auto"/>
              <w:jc w:val="center"/>
              <w:rPr>
                <w:rFonts w:hint="eastAsia" w:ascii="宋体" w:hAnsi="宋体" w:cs="宋体"/>
                <w:color w:val="auto"/>
                <w:sz w:val="24"/>
                <w:szCs w:val="24"/>
                <w:highlight w:val="none"/>
                <w:lang w:val="en-US" w:eastAsia="zh-CN"/>
              </w:rPr>
            </w:pPr>
          </w:p>
          <w:p>
            <w:pPr>
              <w:spacing w:line="360" w:lineRule="auto"/>
              <w:jc w:val="center"/>
              <w:rPr>
                <w:rFonts w:hint="eastAsia" w:ascii="宋体" w:hAnsi="宋体" w:cs="宋体"/>
                <w:color w:val="auto"/>
                <w:sz w:val="24"/>
                <w:szCs w:val="24"/>
                <w:highlight w:val="none"/>
                <w:lang w:val="en-US" w:eastAsia="zh-CN"/>
              </w:rPr>
            </w:pPr>
          </w:p>
          <w:p>
            <w:pPr>
              <w:spacing w:line="360" w:lineRule="auto"/>
              <w:jc w:val="center"/>
              <w:rPr>
                <w:rFonts w:hint="eastAsia" w:ascii="宋体" w:hAnsi="宋体" w:cs="宋体"/>
                <w:color w:val="auto"/>
                <w:sz w:val="24"/>
                <w:szCs w:val="24"/>
                <w:highlight w:val="none"/>
                <w:lang w:val="en-US" w:eastAsia="zh-CN"/>
              </w:rPr>
            </w:pPr>
          </w:p>
          <w:p>
            <w:pPr>
              <w:spacing w:line="360" w:lineRule="auto"/>
              <w:jc w:val="center"/>
              <w:rPr>
                <w:rFonts w:hint="eastAsia" w:ascii="宋体" w:hAnsi="宋体" w:cs="宋体"/>
                <w:color w:val="auto"/>
                <w:sz w:val="24"/>
                <w:szCs w:val="24"/>
                <w:highlight w:val="none"/>
                <w:lang w:val="en-US" w:eastAsia="zh-CN"/>
              </w:rPr>
            </w:pPr>
          </w:p>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963" w:type="pct"/>
            <w:vMerge w:val="restart"/>
            <w:vAlign w:val="center"/>
          </w:tcPr>
          <w:p>
            <w:pPr>
              <w:spacing w:line="360" w:lineRule="auto"/>
              <w:jc w:val="center"/>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赤峰学院学生食堂（保障性餐厅）食品采购原材料供应商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调料类</w:t>
            </w:r>
            <w:r>
              <w:rPr>
                <w:rFonts w:hint="eastAsia" w:ascii="宋体" w:hAnsi="宋体" w:eastAsia="宋体" w:cs="宋体"/>
                <w:color w:val="auto"/>
                <w:sz w:val="24"/>
                <w:szCs w:val="24"/>
                <w:highlight w:val="none"/>
              </w:rPr>
              <w:t>）</w:t>
            </w: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上等蚝油</w:t>
            </w:r>
            <w:r>
              <w:rPr>
                <w:color w:val="auto"/>
                <w:sz w:val="24"/>
                <w:szCs w:val="24"/>
                <w:highlight w:val="none"/>
              </w:rPr>
              <w:t>1升</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restart"/>
            <w:vAlign w:val="center"/>
          </w:tcPr>
          <w:p>
            <w:pPr>
              <w:widowControl/>
              <w:spacing w:line="360" w:lineRule="auto"/>
              <w:jc w:val="both"/>
              <w:textAlignment w:val="center"/>
              <w:rPr>
                <w:rFonts w:hint="eastAsia" w:ascii="宋体" w:hAnsi="宋体" w:eastAsia="宋体" w:cs="宋体"/>
                <w:color w:val="auto"/>
                <w:sz w:val="24"/>
                <w:szCs w:val="24"/>
                <w:highlight w:val="none"/>
              </w:rPr>
            </w:pPr>
          </w:p>
          <w:p>
            <w:pPr>
              <w:widowControl/>
              <w:spacing w:line="360" w:lineRule="auto"/>
              <w:jc w:val="both"/>
              <w:textAlignment w:val="center"/>
              <w:rPr>
                <w:rFonts w:hint="eastAsia" w:ascii="宋体" w:hAnsi="宋体" w:eastAsia="宋体" w:cs="宋体"/>
                <w:color w:val="auto"/>
                <w:sz w:val="24"/>
                <w:szCs w:val="24"/>
                <w:highlight w:val="none"/>
              </w:rPr>
            </w:pPr>
          </w:p>
          <w:p>
            <w:pPr>
              <w:widowControl/>
              <w:spacing w:line="360" w:lineRule="auto"/>
              <w:jc w:val="both"/>
              <w:textAlignment w:val="center"/>
              <w:rPr>
                <w:rFonts w:hint="eastAsia" w:ascii="宋体" w:hAnsi="宋体" w:eastAsia="宋体" w:cs="宋体"/>
                <w:color w:val="auto"/>
                <w:sz w:val="24"/>
                <w:szCs w:val="24"/>
                <w:highlight w:val="none"/>
              </w:rPr>
            </w:pPr>
          </w:p>
          <w:p>
            <w:pPr>
              <w:widowControl/>
              <w:spacing w:line="360" w:lineRule="auto"/>
              <w:jc w:val="both"/>
              <w:textAlignment w:val="center"/>
              <w:rPr>
                <w:rFonts w:hint="eastAsia" w:ascii="宋体" w:hAnsi="宋体" w:eastAsia="宋体" w:cs="宋体"/>
                <w:color w:val="auto"/>
                <w:sz w:val="24"/>
                <w:szCs w:val="24"/>
                <w:highlight w:val="none"/>
              </w:rPr>
            </w:pPr>
          </w:p>
          <w:p>
            <w:pPr>
              <w:widowControl/>
              <w:spacing w:line="360" w:lineRule="auto"/>
              <w:jc w:val="both"/>
              <w:textAlignment w:val="center"/>
              <w:rPr>
                <w:rFonts w:hint="eastAsia" w:ascii="宋体" w:hAnsi="宋体" w:eastAsia="宋体" w:cs="宋体"/>
                <w:color w:val="auto"/>
                <w:sz w:val="24"/>
                <w:szCs w:val="24"/>
                <w:highlight w:val="none"/>
              </w:rPr>
            </w:pPr>
          </w:p>
          <w:p>
            <w:pPr>
              <w:widowControl/>
              <w:spacing w:line="360" w:lineRule="auto"/>
              <w:jc w:val="both"/>
              <w:textAlignment w:val="center"/>
              <w:rPr>
                <w:rFonts w:hint="eastAsia" w:ascii="宋体" w:hAnsi="宋体" w:eastAsia="宋体" w:cs="宋体"/>
                <w:color w:val="auto"/>
                <w:sz w:val="24"/>
                <w:szCs w:val="24"/>
                <w:highlight w:val="none"/>
              </w:rPr>
            </w:pPr>
          </w:p>
          <w:p>
            <w:pPr>
              <w:widowControl/>
              <w:spacing w:line="360" w:lineRule="auto"/>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以实际需求为准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一品鲜</w:t>
            </w:r>
            <w:r>
              <w:rPr>
                <w:color w:val="auto"/>
                <w:sz w:val="24"/>
                <w:szCs w:val="24"/>
                <w:highlight w:val="none"/>
              </w:rPr>
              <w:t>1升</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味极鲜</w:t>
            </w:r>
            <w:r>
              <w:rPr>
                <w:color w:val="auto"/>
                <w:sz w:val="24"/>
                <w:szCs w:val="24"/>
                <w:highlight w:val="none"/>
              </w:rPr>
              <w:t>1升</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老抽</w:t>
            </w:r>
            <w:r>
              <w:rPr>
                <w:color w:val="auto"/>
                <w:sz w:val="24"/>
                <w:szCs w:val="24"/>
                <w:highlight w:val="none"/>
              </w:rPr>
              <w:t>1升</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白醋</w:t>
            </w:r>
            <w:r>
              <w:rPr>
                <w:color w:val="auto"/>
                <w:sz w:val="24"/>
                <w:szCs w:val="24"/>
                <w:highlight w:val="none"/>
              </w:rPr>
              <w:t>1升</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绵白糖</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精盐</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color w:val="auto"/>
                <w:sz w:val="24"/>
                <w:szCs w:val="24"/>
                <w:highlight w:val="none"/>
              </w:rPr>
            </w:pPr>
            <w:r>
              <w:rPr>
                <w:rFonts w:hint="eastAsia"/>
                <w:color w:val="auto"/>
                <w:sz w:val="24"/>
                <w:szCs w:val="24"/>
                <w:highlight w:val="none"/>
              </w:rPr>
              <w:t>生粉</w:t>
            </w:r>
            <w:r>
              <w:rPr>
                <w:color w:val="auto"/>
                <w:sz w:val="24"/>
                <w:szCs w:val="24"/>
                <w:highlight w:val="none"/>
              </w:rPr>
              <w:t>1</w:t>
            </w:r>
            <w:r>
              <w:rPr>
                <w:rFonts w:hint="eastAsia"/>
                <w:color w:val="auto"/>
                <w:sz w:val="24"/>
                <w:szCs w:val="24"/>
                <w:highlight w:val="none"/>
                <w:lang w:val="en-US" w:eastAsia="zh-CN"/>
              </w:rPr>
              <w:t>公斤</w:t>
            </w:r>
          </w:p>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淀粉</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十三香</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米醋</w:t>
            </w:r>
            <w:r>
              <w:rPr>
                <w:color w:val="auto"/>
                <w:sz w:val="24"/>
                <w:szCs w:val="24"/>
                <w:highlight w:val="none"/>
              </w:rPr>
              <w:t>1升</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味精</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鸡精</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番茄酱</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大酱</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干酵母</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小苏打</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泡打粉</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豆沙</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枣沙</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花椒</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rPr>
            </w:pPr>
            <w:r>
              <w:rPr>
                <w:rFonts w:hint="eastAsia"/>
                <w:color w:val="auto"/>
                <w:sz w:val="24"/>
                <w:szCs w:val="24"/>
                <w:highlight w:val="none"/>
              </w:rPr>
              <w:t>大料</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61"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963" w:type="pct"/>
            <w:vMerge w:val="continue"/>
            <w:vAlign w:val="center"/>
          </w:tcPr>
          <w:p>
            <w:pPr>
              <w:spacing w:line="360" w:lineRule="auto"/>
              <w:jc w:val="center"/>
              <w:rPr>
                <w:rFonts w:hint="eastAsia" w:ascii="宋体" w:hAnsi="宋体" w:eastAsia="宋体" w:cs="宋体"/>
                <w:color w:val="auto"/>
                <w:sz w:val="24"/>
                <w:szCs w:val="24"/>
                <w:highlight w:val="none"/>
              </w:rPr>
            </w:pPr>
          </w:p>
        </w:tc>
        <w:tc>
          <w:tcPr>
            <w:tcW w:w="1866" w:type="pct"/>
          </w:tcPr>
          <w:p>
            <w:pPr>
              <w:spacing w:line="36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rPr>
              <w:t>川椒段</w:t>
            </w:r>
            <w:r>
              <w:rPr>
                <w:color w:val="auto"/>
                <w:sz w:val="24"/>
                <w:szCs w:val="24"/>
                <w:highlight w:val="none"/>
              </w:rPr>
              <w:t>1</w:t>
            </w:r>
            <w:r>
              <w:rPr>
                <w:rFonts w:hint="eastAsia"/>
                <w:color w:val="auto"/>
                <w:sz w:val="24"/>
                <w:szCs w:val="24"/>
                <w:highlight w:val="none"/>
                <w:lang w:val="en-US" w:eastAsia="zh-CN"/>
              </w:rPr>
              <w:t>公斤</w:t>
            </w:r>
          </w:p>
        </w:tc>
        <w:tc>
          <w:tcPr>
            <w:tcW w:w="634" w:type="pct"/>
          </w:tcPr>
          <w:p>
            <w:pPr>
              <w:spacing w:line="360" w:lineRule="auto"/>
              <w:rPr>
                <w:rFonts w:hint="eastAsia" w:ascii="宋体" w:hAnsi="宋体" w:eastAsia="宋体" w:cs="宋体"/>
                <w:color w:val="auto"/>
                <w:sz w:val="24"/>
                <w:szCs w:val="24"/>
                <w:highlight w:val="none"/>
              </w:rPr>
            </w:pPr>
          </w:p>
        </w:tc>
        <w:tc>
          <w:tcPr>
            <w:tcW w:w="974" w:type="pct"/>
            <w:vMerge w:val="continue"/>
            <w:vAlign w:val="center"/>
          </w:tcPr>
          <w:p>
            <w:pPr>
              <w:widowControl/>
              <w:spacing w:line="360" w:lineRule="auto"/>
              <w:jc w:val="both"/>
              <w:textAlignment w:val="center"/>
              <w:rPr>
                <w:rFonts w:hint="eastAsia" w:ascii="宋体" w:hAnsi="宋体" w:eastAsia="宋体" w:cs="宋体"/>
                <w:color w:val="auto"/>
                <w:sz w:val="24"/>
                <w:szCs w:val="24"/>
                <w:highlight w:val="none"/>
              </w:rPr>
            </w:pPr>
          </w:p>
        </w:tc>
      </w:tr>
    </w:tbl>
    <w:p>
      <w:pPr>
        <w:rPr>
          <w:rFonts w:hint="eastAsia"/>
          <w:color w:val="auto"/>
          <w:highlight w:val="none"/>
        </w:rPr>
      </w:pPr>
    </w:p>
    <w:p>
      <w:pPr>
        <w:widowControl/>
        <w:spacing w:line="480" w:lineRule="auto"/>
        <w:ind w:firstLine="240" w:firstLineChars="100"/>
        <w:rPr>
          <w:rFonts w:ascii="宋体" w:cs="宋体"/>
          <w:color w:val="auto"/>
          <w:sz w:val="24"/>
          <w:szCs w:val="24"/>
          <w:highlight w:val="none"/>
        </w:rPr>
      </w:pPr>
      <w:r>
        <w:rPr>
          <w:rFonts w:hint="eastAsia" w:ascii="宋体" w:cs="宋体"/>
          <w:color w:val="auto"/>
          <w:sz w:val="24"/>
          <w:szCs w:val="24"/>
          <w:highlight w:val="none"/>
        </w:rPr>
        <w:t>注：此价格为招标时的市场原材料每公斤</w:t>
      </w:r>
      <w:r>
        <w:rPr>
          <w:rFonts w:hint="eastAsia" w:ascii="宋体" w:cs="宋体"/>
          <w:color w:val="auto"/>
          <w:sz w:val="24"/>
          <w:szCs w:val="24"/>
          <w:highlight w:val="none"/>
          <w:lang w:val="en-US" w:eastAsia="zh-CN"/>
        </w:rPr>
        <w:t>或升为单位的</w:t>
      </w:r>
      <w:r>
        <w:rPr>
          <w:rFonts w:hint="eastAsia" w:ascii="宋体" w:cs="宋体"/>
          <w:color w:val="auto"/>
          <w:sz w:val="24"/>
          <w:szCs w:val="24"/>
          <w:highlight w:val="none"/>
        </w:rPr>
        <w:t>价格，供应商投标报价时报材料单价即可，不得突破</w:t>
      </w:r>
      <w:r>
        <w:rPr>
          <w:rFonts w:hint="eastAsia" w:ascii="宋体" w:cs="宋体"/>
          <w:color w:val="auto"/>
          <w:sz w:val="24"/>
          <w:szCs w:val="24"/>
          <w:highlight w:val="none"/>
          <w:lang w:val="en-US" w:eastAsia="zh-CN"/>
        </w:rPr>
        <w:t>市场价</w:t>
      </w:r>
      <w:r>
        <w:rPr>
          <w:rFonts w:hint="eastAsia" w:ascii="宋体" w:cs="宋体"/>
          <w:color w:val="auto"/>
          <w:sz w:val="24"/>
          <w:szCs w:val="24"/>
          <w:highlight w:val="none"/>
        </w:rPr>
        <w:t>，结算时以实际数量为准。在材料供应过程中，如市场材料价格波动连续十五天超过投标报价±</w:t>
      </w:r>
      <w:r>
        <w:rPr>
          <w:rFonts w:ascii="宋体" w:cs="宋体"/>
          <w:color w:val="auto"/>
          <w:sz w:val="24"/>
          <w:szCs w:val="24"/>
          <w:highlight w:val="none"/>
        </w:rPr>
        <w:t>10%</w:t>
      </w:r>
      <w:r>
        <w:rPr>
          <w:rFonts w:hint="eastAsia" w:ascii="宋体" w:cs="宋体"/>
          <w:color w:val="auto"/>
          <w:sz w:val="24"/>
          <w:szCs w:val="24"/>
          <w:highlight w:val="none"/>
        </w:rPr>
        <w:t>时，学院后勤询价小组成员将组织学院相关部门参与重新市场询价，中标的供应商按询价小组重新确定的价格供应食材。</w:t>
      </w:r>
    </w:p>
    <w:p>
      <w:pPr>
        <w:pStyle w:val="15"/>
        <w:rPr>
          <w:rFonts w:hint="eastAsia"/>
          <w:color w:val="auto"/>
          <w:highlight w:val="none"/>
        </w:rPr>
      </w:pPr>
    </w:p>
    <w:p>
      <w:pPr>
        <w:rPr>
          <w:rFonts w:hint="eastAsia"/>
          <w:color w:val="auto"/>
          <w:highlight w:val="none"/>
        </w:rPr>
      </w:pPr>
    </w:p>
    <w:p>
      <w:pPr>
        <w:rPr>
          <w:rFonts w:hint="eastAsia"/>
          <w:color w:val="auto"/>
          <w:highlight w:val="none"/>
        </w:rPr>
      </w:pPr>
      <w:r>
        <w:rPr>
          <w:rFonts w:hint="eastAsia"/>
          <w:color w:val="auto"/>
          <w:highlight w:val="none"/>
        </w:rPr>
        <w:br w:type="page"/>
      </w:r>
    </w:p>
    <w:p>
      <w:pPr>
        <w:pStyle w:val="15"/>
        <w:rPr>
          <w:rFonts w:hint="eastAsia"/>
          <w:color w:val="auto"/>
          <w:highlight w:val="none"/>
        </w:rPr>
      </w:pPr>
    </w:p>
    <w:p>
      <w:pPr>
        <w:spacing w:line="360" w:lineRule="auto"/>
        <w:jc w:val="center"/>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第三章   竞争性磋商活动程序</w:t>
      </w:r>
      <w:bookmarkEnd w:id="6"/>
    </w:p>
    <w:p>
      <w:pPr>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1.组成竞争性磋商小组</w:t>
      </w:r>
    </w:p>
    <w:p>
      <w:pPr>
        <w:spacing w:line="500" w:lineRule="exact"/>
        <w:ind w:right="-69" w:rightChars="-33" w:firstLine="56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磋商小组由采购人代表和评审专家共3人组成，其中评审专家人数不得少于磋商小组成员总数的2/3。采购人代表不得以评审专家身份参加本部门或本单位采购项目的评审。</w:t>
      </w:r>
    </w:p>
    <w:p>
      <w:pPr>
        <w:spacing w:line="500" w:lineRule="exact"/>
        <w:ind w:right="-69" w:rightChars="-33" w:firstLine="56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2.制定竞争性磋商文件</w:t>
      </w:r>
    </w:p>
    <w:p>
      <w:pPr>
        <w:spacing w:line="500" w:lineRule="exact"/>
        <w:ind w:right="-69" w:rightChars="-33" w:firstLine="56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根据采购人提出的采购要求及政府采购有关规定，制定本次政府采购项目竞争性磋商文件。</w:t>
      </w:r>
    </w:p>
    <w:p>
      <w:pPr>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3.确定参加磋商供应商方式</w:t>
      </w:r>
    </w:p>
    <w:p>
      <w:pPr>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采购人</w:t>
      </w:r>
      <w:r>
        <w:rPr>
          <w:rFonts w:hint="eastAsia" w:ascii="宋体" w:hAnsi="宋体" w:cs="宋体"/>
          <w:color w:val="auto"/>
          <w:sz w:val="28"/>
          <w:szCs w:val="28"/>
          <w:highlight w:val="none"/>
          <w:lang w:val="en-US" w:eastAsia="zh-CN"/>
        </w:rPr>
        <w:t>或代理机构</w:t>
      </w:r>
      <w:r>
        <w:rPr>
          <w:rFonts w:hint="eastAsia" w:ascii="宋体" w:hAnsi="宋体" w:eastAsia="宋体" w:cs="宋体"/>
          <w:color w:val="auto"/>
          <w:sz w:val="28"/>
          <w:szCs w:val="28"/>
          <w:highlight w:val="none"/>
        </w:rPr>
        <w:t>在指定媒体的中国政府采购网（中国政府购买服务信息平台）： http://www.ccgp.gov.cn/，资格满足的供应商可参加本项目竞争性磋商活动</w:t>
      </w:r>
      <w:r>
        <w:rPr>
          <w:rFonts w:hint="eastAsia" w:ascii="宋体" w:hAnsi="宋体" w:cs="宋体"/>
          <w:color w:val="auto"/>
          <w:sz w:val="28"/>
          <w:szCs w:val="28"/>
          <w:highlight w:val="none"/>
          <w:lang w:eastAsia="zh-CN"/>
        </w:rPr>
        <w:t>。</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采购人成立的磋商小组负责本项目采购的资格审查和评审工作。</w:t>
      </w:r>
    </w:p>
    <w:p>
      <w:pPr>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4.竞争性磋商文件</w:t>
      </w:r>
    </w:p>
    <w:p>
      <w:pPr>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供应商须按要求在代理机构处获取竞争性磋商文件。</w:t>
      </w:r>
    </w:p>
    <w:p>
      <w:pPr>
        <w:spacing w:line="500" w:lineRule="exact"/>
        <w:ind w:right="-69" w:rightChars="-33"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5.澄清或修改</w:t>
      </w:r>
    </w:p>
    <w:p>
      <w:pPr>
        <w:spacing w:line="500" w:lineRule="exact"/>
        <w:ind w:right="-69" w:firstLine="560"/>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提交首次响应文件截止之日前，采购人或者磋商小组可以对已发出的磋商文件进行必要的澄清或者修改，澄清或者修改的内容作为磋商文件的组成部分。澄清或者修改的内容可能影响响应文件编制的，采购人在提交首次响应文件截止时间至少5日前，以书面形式通知所有获取磋商文件的供应商，不足5日的，采购人顺延提交首次响应文件截止时间。</w:t>
      </w:r>
    </w:p>
    <w:p>
      <w:pPr>
        <w:spacing w:line="500" w:lineRule="exact"/>
        <w:ind w:right="-69" w:firstLine="562"/>
        <w:rPr>
          <w:rFonts w:hint="eastAsia" w:ascii="宋体" w:hAnsi="宋体" w:eastAsia="宋体" w:cs="宋体"/>
          <w:b/>
          <w:color w:val="auto"/>
          <w:sz w:val="28"/>
          <w:highlight w:val="none"/>
          <w:shd w:val="clear" w:color="060000" w:fill="auto"/>
        </w:rPr>
      </w:pPr>
      <w:r>
        <w:rPr>
          <w:rFonts w:hint="eastAsia" w:ascii="宋体" w:hAnsi="宋体" w:eastAsia="宋体" w:cs="宋体"/>
          <w:b/>
          <w:color w:val="auto"/>
          <w:sz w:val="28"/>
          <w:highlight w:val="none"/>
          <w:shd w:val="clear" w:color="060000" w:fill="auto"/>
        </w:rPr>
        <w:t>6．递交响应文件及其他资料</w:t>
      </w:r>
    </w:p>
    <w:p>
      <w:pPr>
        <w:spacing w:line="500" w:lineRule="exact"/>
        <w:ind w:right="-69" w:firstLine="560"/>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供应商按照磋商文件的要求编制响应文件。并对提交的响应文件的真实性、合法性承担法律责任。供应商在磋商文件要求的截止时间前，将响应文件密封盖章及原件资料送达指定地点。在截止时间后送达的响应文件为无效文件，采购人或者磋商小组拒收。</w:t>
      </w:r>
    </w:p>
    <w:p>
      <w:pPr>
        <w:spacing w:line="360" w:lineRule="auto"/>
        <w:ind w:right="-69" w:firstLine="562"/>
        <w:rPr>
          <w:rFonts w:hint="eastAsia" w:ascii="宋体" w:hAnsi="宋体" w:eastAsia="宋体" w:cs="宋体"/>
          <w:b/>
          <w:color w:val="auto"/>
          <w:sz w:val="28"/>
          <w:highlight w:val="none"/>
          <w:shd w:val="clear" w:color="060000" w:fill="auto"/>
        </w:rPr>
      </w:pPr>
      <w:r>
        <w:rPr>
          <w:rFonts w:hint="eastAsia" w:ascii="宋体" w:hAnsi="宋体" w:eastAsia="宋体" w:cs="宋体"/>
          <w:b/>
          <w:color w:val="auto"/>
          <w:sz w:val="28"/>
          <w:highlight w:val="none"/>
          <w:shd w:val="clear" w:color="060000" w:fill="auto"/>
        </w:rPr>
        <w:t>7.组织磋商及评审工作程序</w:t>
      </w:r>
    </w:p>
    <w:p>
      <w:pPr>
        <w:spacing w:line="360" w:lineRule="auto"/>
        <w:ind w:right="-69" w:firstLine="560"/>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磋商小组按照客观、公正、审慎的原则，根据磋商文件规定的评审程序、评审方法和评审标准进行独立评审。磋商会在</w:t>
      </w:r>
      <w:r>
        <w:rPr>
          <w:rFonts w:hint="eastAsia" w:ascii="宋体" w:hAnsi="宋体" w:eastAsia="宋体" w:cs="宋体"/>
          <w:color w:val="auto"/>
          <w:sz w:val="28"/>
          <w:szCs w:val="28"/>
          <w:highlight w:val="none"/>
        </w:rPr>
        <w:t>采购人</w:t>
      </w:r>
      <w:r>
        <w:rPr>
          <w:rFonts w:hint="eastAsia" w:ascii="宋体" w:hAnsi="宋体" w:eastAsia="宋体" w:cs="宋体"/>
          <w:color w:val="auto"/>
          <w:sz w:val="28"/>
          <w:highlight w:val="none"/>
          <w:shd w:val="clear" w:color="050000" w:fill="auto"/>
        </w:rPr>
        <w:t>主持下按程序进行。</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（1）供应商代表向磋商小组递交响应文件；</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（2）抽签决定供应商磋商次序；</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（3）磋商小组审阅响应文件：</w:t>
      </w:r>
    </w:p>
    <w:p>
      <w:pPr>
        <w:pStyle w:val="22"/>
        <w:spacing w:after="0" w:line="360" w:lineRule="auto"/>
        <w:ind w:firstLine="560" w:firstLineChars="2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磋商小组依据磋商文件的规定，对响应文件的有效性、完整性和对磋商文件的响应程度进行审查，以确定是否对磋商文件的要求做出实质性响应。未对磋商文件做实质性响应的供应商，按无效响应处理。</w:t>
      </w:r>
    </w:p>
    <w:p>
      <w:pPr>
        <w:pStyle w:val="23"/>
        <w:spacing w:before="0" w:beforeAutospacing="0" w:after="0" w:afterAutospacing="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在磋商文件及程序符合法律规定的前提下，</w:t>
      </w:r>
      <w:r>
        <w:rPr>
          <w:rFonts w:hint="eastAsia" w:ascii="宋体" w:hAnsi="宋体" w:eastAsia="宋体" w:cs="宋体"/>
          <w:color w:val="auto"/>
          <w:sz w:val="28"/>
          <w:szCs w:val="28"/>
          <w:highlight w:val="none"/>
        </w:rPr>
        <w:t>符合要求的供应商有3家及以上的，竞争性磋商采购活动可以继续进行。符合要求的供应商不足3家的，采购人终止竞争性磋商采购活动，发布项目终止公告并说明原因，重新开展采购活动。</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（4）磋商开始，与供应商谈各项内容：</w:t>
      </w:r>
    </w:p>
    <w:p>
      <w:pPr>
        <w:pStyle w:val="22"/>
        <w:spacing w:after="0" w:line="360" w:lineRule="auto"/>
        <w:ind w:firstLine="560" w:firstLineChars="2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磋商小组所有成员集中与单一供应商按照</w:t>
      </w:r>
      <w:r>
        <w:rPr>
          <w:rFonts w:hint="eastAsia" w:ascii="宋体" w:hAnsi="宋体" w:eastAsia="宋体" w:cs="宋体"/>
          <w:color w:val="auto"/>
          <w:sz w:val="28"/>
          <w:szCs w:val="28"/>
          <w:highlight w:val="none"/>
        </w:rPr>
        <w:t>抽签决定的磋商次序</w:t>
      </w:r>
      <w:r>
        <w:rPr>
          <w:rFonts w:hint="eastAsia" w:ascii="宋体" w:hAnsi="宋体" w:eastAsia="宋体" w:cs="宋体"/>
          <w:color w:val="auto"/>
          <w:sz w:val="28"/>
          <w:szCs w:val="28"/>
          <w:highlight w:val="none"/>
          <w:lang w:val="zh-CN"/>
        </w:rPr>
        <w:t>分别进行磋商，并给予所有参加磋商的供应商平等的磋商机会。</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①</w:t>
      </w:r>
      <w:r>
        <w:rPr>
          <w:rFonts w:hint="eastAsia" w:ascii="宋体" w:hAnsi="宋体" w:eastAsia="宋体" w:cs="宋体"/>
          <w:color w:val="auto"/>
          <w:sz w:val="28"/>
          <w:szCs w:val="28"/>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 </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②对磋商文件作出的实质性变动是磋商文件的有效组成部分，磋商小组及时以书面形式同时通知所有参加磋商的供应商。 </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③供应商按照磋商文件的变动情况和磋商小组的要求重新提交响应文件，并由其法定代表人或授权代表签字或者加盖公章。</w:t>
      </w:r>
    </w:p>
    <w:p>
      <w:pPr>
        <w:pStyle w:val="22"/>
        <w:spacing w:after="0" w:line="360" w:lineRule="auto"/>
        <w:rPr>
          <w:rFonts w:hint="eastAsia" w:ascii="宋体" w:hAnsi="宋体" w:eastAsia="宋体" w:cs="宋体"/>
          <w:color w:val="auto"/>
          <w:sz w:val="28"/>
          <w:szCs w:val="28"/>
          <w:highlight w:val="none"/>
          <w:shd w:val="clear" w:color="050000" w:fill="auto"/>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shd w:val="clear" w:color="050000" w:fill="auto"/>
        </w:rPr>
        <w:t>磋商小组要求供应商澄清、说明或者更正响应文件应当以书面形式作出。供应商的澄清、说明或者更正应当由法定代表人或其授权代表签字或者加盖公章。由授权代表签字的，并附法定代表人授权书。</w:t>
      </w:r>
    </w:p>
    <w:p>
      <w:pPr>
        <w:pStyle w:val="22"/>
        <w:spacing w:after="0" w:line="360" w:lineRule="auto"/>
        <w:ind w:firstLine="560" w:firstLineChars="200"/>
        <w:rPr>
          <w:rFonts w:hint="eastAsia" w:ascii="宋体" w:hAnsi="宋体" w:eastAsia="宋体" w:cs="宋体"/>
          <w:color w:val="auto"/>
          <w:sz w:val="28"/>
          <w:szCs w:val="28"/>
          <w:highlight w:val="none"/>
          <w:shd w:val="clear" w:color="050000" w:fill="auto"/>
        </w:rPr>
      </w:pPr>
      <w:r>
        <w:rPr>
          <w:rFonts w:hint="eastAsia" w:ascii="宋体" w:hAnsi="宋体" w:eastAsia="宋体" w:cs="宋体"/>
          <w:b w:val="0"/>
          <w:bCs w:val="0"/>
          <w:color w:val="auto"/>
          <w:sz w:val="28"/>
          <w:szCs w:val="28"/>
          <w:highlight w:val="none"/>
        </w:rPr>
        <w:t>（5）各供应商进行最后报价：磋商小组应当要求所有实质性响应的供应商在规定时间内提交最</w:t>
      </w:r>
      <w:r>
        <w:rPr>
          <w:rFonts w:hint="eastAsia" w:ascii="宋体" w:hAnsi="宋体" w:eastAsia="宋体" w:cs="宋体"/>
          <w:color w:val="auto"/>
          <w:sz w:val="28"/>
          <w:szCs w:val="28"/>
          <w:highlight w:val="none"/>
        </w:rPr>
        <w:t>后报价，由磋商小组采用综合评分法对提交最后报价的供应商的响应文件和最后报价进行综合评分。</w:t>
      </w:r>
    </w:p>
    <w:p>
      <w:pPr>
        <w:spacing w:line="360" w:lineRule="auto"/>
        <w:ind w:firstLine="560"/>
        <w:jc w:val="left"/>
        <w:rPr>
          <w:rFonts w:hint="eastAsia" w:ascii="宋体" w:hAnsi="宋体" w:eastAsia="宋体" w:cs="宋体"/>
          <w:color w:val="auto"/>
          <w:sz w:val="28"/>
          <w:szCs w:val="28"/>
          <w:highlight w:val="none"/>
          <w:shd w:val="clear" w:color="050000" w:fill="auto"/>
        </w:rPr>
      </w:pPr>
      <w:r>
        <w:rPr>
          <w:rFonts w:hint="eastAsia" w:ascii="宋体" w:hAnsi="宋体" w:eastAsia="宋体" w:cs="宋体"/>
          <w:color w:val="auto"/>
          <w:sz w:val="28"/>
          <w:szCs w:val="28"/>
          <w:highlight w:val="none"/>
        </w:rPr>
        <w:t>（6）确定成交供应商。</w:t>
      </w:r>
      <w:r>
        <w:rPr>
          <w:rFonts w:hint="eastAsia" w:ascii="宋体" w:hAnsi="宋体" w:eastAsia="宋体" w:cs="宋体"/>
          <w:color w:val="auto"/>
          <w:sz w:val="28"/>
          <w:szCs w:val="28"/>
          <w:highlight w:val="none"/>
          <w:shd w:val="clear" w:color="050000" w:fill="auto"/>
        </w:rPr>
        <w:t>磋商小组按照少数服从多数的原则、评审得分由高到低顺序推荐3名成交候选供应商，并编写评审报告。评审得分相同的，按照最后报价由低到高的顺序推荐。评审得分且最后报价相同的，按照技术指标优劣顺序推荐。</w:t>
      </w:r>
    </w:p>
    <w:p>
      <w:pPr>
        <w:spacing w:line="500" w:lineRule="exact"/>
        <w:ind w:firstLine="561"/>
        <w:rPr>
          <w:rFonts w:hint="eastAsia" w:ascii="宋体" w:hAnsi="宋体" w:eastAsia="宋体" w:cs="宋体"/>
          <w:b/>
          <w:color w:val="auto"/>
          <w:sz w:val="28"/>
          <w:szCs w:val="28"/>
          <w:highlight w:val="none"/>
          <w:shd w:val="clear" w:color="060000" w:fill="auto"/>
        </w:rPr>
      </w:pPr>
      <w:r>
        <w:rPr>
          <w:rFonts w:hint="eastAsia" w:ascii="宋体" w:hAnsi="宋体" w:eastAsia="宋体" w:cs="宋体"/>
          <w:b/>
          <w:color w:val="auto"/>
          <w:sz w:val="28"/>
          <w:szCs w:val="28"/>
          <w:highlight w:val="none"/>
          <w:shd w:val="clear" w:color="060000" w:fill="auto"/>
        </w:rPr>
        <w:t>8.提交评审报告</w:t>
      </w:r>
    </w:p>
    <w:p>
      <w:pPr>
        <w:spacing w:line="500" w:lineRule="exact"/>
        <w:ind w:firstLine="561"/>
        <w:rPr>
          <w:rFonts w:hint="eastAsia" w:ascii="宋体" w:hAnsi="宋体" w:cs="宋体"/>
          <w:color w:val="auto"/>
          <w:sz w:val="28"/>
          <w:szCs w:val="28"/>
          <w:highlight w:val="none"/>
          <w:shd w:val="clear" w:color="050000" w:fill="auto"/>
          <w:lang w:val="en-US" w:eastAsia="zh-CN"/>
        </w:rPr>
      </w:pPr>
      <w:r>
        <w:rPr>
          <w:rFonts w:hint="eastAsia" w:ascii="宋体" w:hAnsi="宋体" w:eastAsia="宋体" w:cs="宋体"/>
          <w:color w:val="auto"/>
          <w:sz w:val="28"/>
          <w:szCs w:val="28"/>
          <w:highlight w:val="none"/>
          <w:shd w:val="clear" w:color="050000" w:fill="auto"/>
        </w:rPr>
        <w:t>采购人授权磋商小组按照评审原则直接确定中标人</w:t>
      </w:r>
      <w:r>
        <w:rPr>
          <w:rFonts w:hint="eastAsia" w:ascii="宋体" w:hAnsi="宋体" w:cs="宋体"/>
          <w:color w:val="auto"/>
          <w:sz w:val="28"/>
          <w:szCs w:val="28"/>
          <w:highlight w:val="none"/>
          <w:shd w:val="clear" w:color="050000" w:fill="auto"/>
          <w:lang w:eastAsia="zh-CN"/>
        </w:rPr>
        <w:t>，</w:t>
      </w:r>
      <w:r>
        <w:rPr>
          <w:rFonts w:hint="eastAsia" w:ascii="宋体" w:hAnsi="宋体" w:eastAsia="宋体" w:cs="宋体"/>
          <w:color w:val="auto"/>
          <w:sz w:val="28"/>
          <w:szCs w:val="28"/>
          <w:highlight w:val="none"/>
          <w:shd w:val="clear" w:color="050000" w:fill="auto"/>
        </w:rPr>
        <w:t>内蒙古方拓项目管理有限公司在评审结束后</w:t>
      </w:r>
      <w:r>
        <w:rPr>
          <w:rFonts w:hint="eastAsia" w:ascii="宋体" w:hAnsi="宋体" w:cs="宋体"/>
          <w:color w:val="auto"/>
          <w:sz w:val="28"/>
          <w:szCs w:val="28"/>
          <w:highlight w:val="none"/>
          <w:shd w:val="clear" w:color="050000" w:fill="auto"/>
          <w:lang w:val="en-US" w:eastAsia="zh-CN"/>
        </w:rPr>
        <w:t>1</w:t>
      </w:r>
      <w:r>
        <w:rPr>
          <w:rFonts w:hint="eastAsia" w:ascii="宋体" w:hAnsi="宋体" w:eastAsia="宋体" w:cs="宋体"/>
          <w:color w:val="auto"/>
          <w:sz w:val="28"/>
          <w:szCs w:val="28"/>
          <w:highlight w:val="none"/>
          <w:shd w:val="clear" w:color="050000" w:fill="auto"/>
        </w:rPr>
        <w:t>个工作日内将评审报告送</w:t>
      </w:r>
      <w:r>
        <w:rPr>
          <w:rFonts w:hint="eastAsia" w:ascii="宋体" w:hAnsi="宋体" w:cs="宋体"/>
          <w:color w:val="auto"/>
          <w:sz w:val="28"/>
          <w:szCs w:val="28"/>
          <w:highlight w:val="none"/>
          <w:shd w:val="clear" w:color="050000" w:fill="auto"/>
          <w:lang w:val="en-US" w:eastAsia="zh-CN"/>
        </w:rPr>
        <w:t>至采购人。</w:t>
      </w:r>
    </w:p>
    <w:p>
      <w:pPr>
        <w:spacing w:line="500" w:lineRule="exact"/>
        <w:ind w:firstLine="561"/>
        <w:rPr>
          <w:rFonts w:hint="eastAsia" w:ascii="宋体" w:hAnsi="宋体" w:eastAsia="宋体" w:cs="宋体"/>
          <w:color w:val="auto"/>
          <w:sz w:val="28"/>
          <w:highlight w:val="none"/>
          <w:shd w:val="clear" w:color="050000" w:fill="auto"/>
        </w:rPr>
      </w:pPr>
      <w:r>
        <w:rPr>
          <w:rFonts w:hint="eastAsia" w:ascii="宋体" w:hAnsi="宋体" w:eastAsia="宋体" w:cs="宋体"/>
          <w:b/>
          <w:color w:val="auto"/>
          <w:sz w:val="28"/>
          <w:highlight w:val="none"/>
          <w:shd w:val="clear" w:color="060000" w:fill="auto"/>
        </w:rPr>
        <w:t>9.确定成交供应商</w:t>
      </w:r>
    </w:p>
    <w:p>
      <w:pPr>
        <w:spacing w:line="360" w:lineRule="auto"/>
        <w:ind w:firstLine="560" w:firstLineChars="200"/>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szCs w:val="28"/>
          <w:highlight w:val="none"/>
          <w:shd w:val="clear" w:color="050000" w:fill="auto"/>
        </w:rPr>
        <w:t>中标(成交)供应商确定方式:采购人授权磋商小组按照评审原则直接确定中标人</w:t>
      </w:r>
      <w:r>
        <w:rPr>
          <w:rFonts w:hint="eastAsia" w:ascii="宋体" w:hAnsi="宋体" w:cs="宋体"/>
          <w:color w:val="auto"/>
          <w:sz w:val="28"/>
          <w:szCs w:val="28"/>
          <w:highlight w:val="none"/>
          <w:shd w:val="clear" w:color="050000" w:fill="auto"/>
          <w:lang w:eastAsia="zh-CN"/>
        </w:rPr>
        <w:t>。</w:t>
      </w:r>
      <w:r>
        <w:rPr>
          <w:rFonts w:hint="eastAsia" w:ascii="宋体" w:hAnsi="宋体" w:eastAsia="宋体" w:cs="宋体"/>
          <w:color w:val="auto"/>
          <w:sz w:val="28"/>
          <w:szCs w:val="28"/>
          <w:highlight w:val="none"/>
          <w:shd w:val="clear" w:color="050000" w:fill="auto"/>
        </w:rPr>
        <w:t>成交供应商拒绝与采购人签订合同的，采购人可以按照评审报告推荐的成交候选人名单排序，确定下一候选人为成交供应商，也可以</w:t>
      </w:r>
      <w:r>
        <w:rPr>
          <w:rFonts w:hint="eastAsia" w:ascii="宋体" w:hAnsi="宋体" w:eastAsia="宋体" w:cs="宋体"/>
          <w:color w:val="auto"/>
          <w:sz w:val="28"/>
          <w:highlight w:val="none"/>
          <w:shd w:val="clear" w:color="050000" w:fill="auto"/>
        </w:rPr>
        <w:t>重新开展政府采购活动。</w:t>
      </w:r>
    </w:p>
    <w:p>
      <w:pPr>
        <w:spacing w:line="500" w:lineRule="exact"/>
        <w:ind w:firstLine="561"/>
        <w:rPr>
          <w:rFonts w:hint="eastAsia" w:ascii="宋体" w:hAnsi="宋体" w:eastAsia="宋体" w:cs="宋体"/>
          <w:b/>
          <w:color w:val="auto"/>
          <w:sz w:val="28"/>
          <w:highlight w:val="none"/>
          <w:shd w:val="clear" w:color="060000" w:fill="auto"/>
        </w:rPr>
      </w:pPr>
      <w:r>
        <w:rPr>
          <w:rFonts w:hint="eastAsia" w:ascii="宋体" w:hAnsi="宋体" w:eastAsia="宋体" w:cs="宋体"/>
          <w:b/>
          <w:color w:val="auto"/>
          <w:sz w:val="28"/>
          <w:highlight w:val="none"/>
          <w:shd w:val="clear" w:color="060000" w:fill="auto"/>
        </w:rPr>
        <w:t>10.公告成交结果</w:t>
      </w:r>
    </w:p>
    <w:p>
      <w:pPr>
        <w:keepNext w:val="0"/>
        <w:keepLines w:val="0"/>
        <w:widowControl/>
        <w:suppressLineNumbers w:val="0"/>
        <w:ind w:firstLine="560" w:firstLineChars="200"/>
        <w:jc w:val="left"/>
        <w:rPr>
          <w:color w:val="auto"/>
          <w:highlight w:val="none"/>
        </w:rPr>
      </w:pPr>
      <w:r>
        <w:rPr>
          <w:rFonts w:hint="eastAsia" w:ascii="宋体" w:hAnsi="宋体" w:eastAsia="宋体" w:cs="宋体"/>
          <w:color w:val="auto"/>
          <w:kern w:val="0"/>
          <w:sz w:val="28"/>
          <w:szCs w:val="28"/>
          <w:highlight w:val="none"/>
          <w:lang w:val="en-US" w:eastAsia="zh-CN" w:bidi="ar"/>
        </w:rPr>
        <w:t xml:space="preserve">采购人或采购代理机构应当在成交供应商确定后 2 个工作日内，在中国政 </w:t>
      </w:r>
    </w:p>
    <w:p>
      <w:pPr>
        <w:keepNext w:val="0"/>
        <w:keepLines w:val="0"/>
        <w:widowControl/>
        <w:suppressLineNumbers w:val="0"/>
        <w:jc w:val="left"/>
        <w:rPr>
          <w:color w:val="auto"/>
          <w:highlight w:val="none"/>
        </w:rPr>
      </w:pPr>
      <w:r>
        <w:rPr>
          <w:rFonts w:hint="eastAsia" w:ascii="宋体" w:hAnsi="宋体" w:eastAsia="宋体" w:cs="宋体"/>
          <w:color w:val="auto"/>
          <w:kern w:val="0"/>
          <w:sz w:val="28"/>
          <w:szCs w:val="28"/>
          <w:highlight w:val="none"/>
          <w:lang w:val="en-US" w:eastAsia="zh-CN" w:bidi="ar"/>
        </w:rPr>
        <w:t>府采购网（中国政府购买服务信息平台）：http://www.ccgp.gov.cn/上公告成交结果，采购人同时向成交供应商发出成交通知书</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成交结果公告包括以下内容：</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（一）采购人的名称、地址和联系方式；</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（二）项目名称和竞争性磋商文件编号；</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（三）成交供应商名称、地址和成交金额；</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（四）主要成交标的的名称、单价、服务要求；</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（五）磋商小组成员名单。</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11. 合同签订</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采购人与成交供应商应当在成交通知书发出之日起</w:t>
      </w:r>
      <w:r>
        <w:rPr>
          <w:rFonts w:hint="eastAsia" w:ascii="宋体" w:hAnsi="宋体" w:cs="宋体"/>
          <w:color w:val="auto"/>
          <w:sz w:val="28"/>
          <w:highlight w:val="none"/>
          <w:shd w:val="clear" w:color="050000" w:fill="auto"/>
          <w:lang w:val="en-US" w:eastAsia="zh-CN"/>
        </w:rPr>
        <w:t>7</w:t>
      </w:r>
      <w:r>
        <w:rPr>
          <w:rFonts w:hint="eastAsia" w:ascii="宋体" w:hAnsi="宋体" w:eastAsia="宋体" w:cs="宋体"/>
          <w:color w:val="auto"/>
          <w:sz w:val="28"/>
          <w:highlight w:val="none"/>
          <w:shd w:val="clear" w:color="050000" w:fill="auto"/>
        </w:rPr>
        <w:t>日内，按照磋商文件确定的合同文本以及采购标的、要求、采购金额、技术和服务要求等事项签订政府采购合同。</w:t>
      </w:r>
    </w:p>
    <w:p>
      <w:pPr>
        <w:spacing w:line="360" w:lineRule="auto"/>
        <w:ind w:firstLine="560" w:firstLineChars="20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采购人不得向成交供应商提出超出竞争性磋商文件以外的任何要求作为签订合同的条件，不得与成交供应商订立背离竞争性磋商文件确定的合同样本以及采购标的、要求、采购金额、技术和服务要求等实质性内容的协议。</w:t>
      </w:r>
    </w:p>
    <w:p>
      <w:pPr>
        <w:spacing w:line="500" w:lineRule="exact"/>
        <w:jc w:val="center"/>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bookmarkStart w:id="7" w:name="_Toc22160"/>
      <w:r>
        <w:rPr>
          <w:rFonts w:hint="eastAsia" w:ascii="宋体" w:hAnsi="宋体" w:eastAsia="宋体" w:cs="宋体"/>
          <w:b/>
          <w:bCs/>
          <w:color w:val="auto"/>
          <w:sz w:val="36"/>
          <w:szCs w:val="36"/>
          <w:highlight w:val="none"/>
        </w:rPr>
        <w:t>第四章   供应商须知</w:t>
      </w:r>
      <w:bookmarkEnd w:id="7"/>
    </w:p>
    <w:p>
      <w:pPr>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1.适用范围</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采购人此次组织的政府采购活动，其全部资金为</w:t>
      </w:r>
      <w:r>
        <w:rPr>
          <w:rFonts w:hint="eastAsia" w:ascii="宋体" w:hAnsi="宋体" w:cs="宋体"/>
          <w:color w:val="auto"/>
          <w:sz w:val="28"/>
          <w:szCs w:val="28"/>
          <w:highlight w:val="none"/>
          <w:lang w:val="en-US" w:eastAsia="zh-CN"/>
        </w:rPr>
        <w:t>赤峰学院食堂自筹资金</w:t>
      </w:r>
      <w:r>
        <w:rPr>
          <w:rFonts w:hint="eastAsia" w:ascii="宋体" w:hAnsi="宋体" w:eastAsia="宋体" w:cs="宋体"/>
          <w:color w:val="auto"/>
          <w:sz w:val="28"/>
          <w:szCs w:val="28"/>
          <w:highlight w:val="none"/>
        </w:rPr>
        <w:t>，并计划将这部分资金用于支付此次实行竞争性磋商采购方式所签订的政府采购合同</w:t>
      </w:r>
    </w:p>
    <w:p>
      <w:pPr>
        <w:spacing w:line="500" w:lineRule="exact"/>
        <w:ind w:firstLine="562" w:firstLineChars="200"/>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2.联合体</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本次采购项目不接受联合体磋商。</w:t>
      </w:r>
    </w:p>
    <w:p>
      <w:pPr>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3.磋商保证金</w:t>
      </w:r>
    </w:p>
    <w:p>
      <w:pPr>
        <w:spacing w:line="500" w:lineRule="exact"/>
        <w:ind w:firstLine="843" w:firstLineChars="3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不收取</w:t>
      </w:r>
    </w:p>
    <w:p>
      <w:pPr>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 履约保证金</w:t>
      </w:r>
    </w:p>
    <w:p>
      <w:pPr>
        <w:spacing w:line="500" w:lineRule="exact"/>
        <w:ind w:firstLine="843" w:firstLineChars="3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不收取</w:t>
      </w:r>
    </w:p>
    <w:p>
      <w:pPr>
        <w:widowControl/>
        <w:spacing w:line="500" w:lineRule="exact"/>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5.磋商费用</w:t>
      </w:r>
    </w:p>
    <w:p>
      <w:pPr>
        <w:spacing w:line="360" w:lineRule="auto"/>
        <w:ind w:firstLine="560"/>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lang w:val="en-US" w:eastAsia="zh-CN"/>
        </w:rPr>
        <w:t>（1）本项目只收取磋商招标代理服务费及评审费，由采购人</w:t>
      </w:r>
      <w:r>
        <w:rPr>
          <w:rFonts w:hint="eastAsia" w:ascii="宋体" w:hAnsi="宋体" w:cs="宋体"/>
          <w:color w:val="auto"/>
          <w:sz w:val="28"/>
          <w:highlight w:val="none"/>
          <w:shd w:val="clear" w:color="050000" w:fill="auto"/>
          <w:lang w:val="en-US" w:eastAsia="zh-CN"/>
        </w:rPr>
        <w:t>项目单位项目预算</w:t>
      </w:r>
      <w:r>
        <w:rPr>
          <w:rFonts w:hint="eastAsia" w:ascii="宋体" w:hAnsi="宋体" w:eastAsia="宋体" w:cs="宋体"/>
          <w:color w:val="auto"/>
          <w:sz w:val="28"/>
          <w:highlight w:val="none"/>
          <w:shd w:val="clear" w:color="050000" w:fill="auto"/>
          <w:lang w:val="en-US" w:eastAsia="zh-CN"/>
        </w:rPr>
        <w:t xml:space="preserve">支付。 </w:t>
      </w:r>
    </w:p>
    <w:p>
      <w:pPr>
        <w:spacing w:line="360" w:lineRule="auto"/>
        <w:ind w:firstLine="560"/>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lang w:val="en-US" w:eastAsia="zh-CN"/>
        </w:rPr>
        <w:t>（2）代理服务费收取方式：</w:t>
      </w:r>
      <w:r>
        <w:rPr>
          <w:rFonts w:hint="eastAsia" w:ascii="宋体" w:hAnsi="宋体" w:cs="宋体"/>
          <w:color w:val="auto"/>
          <w:sz w:val="28"/>
          <w:highlight w:val="none"/>
          <w:shd w:val="clear" w:color="050000" w:fill="auto"/>
          <w:lang w:val="en-US" w:eastAsia="zh-CN"/>
        </w:rPr>
        <w:t>代理服务费按每包1000元收取，</w:t>
      </w:r>
      <w:r>
        <w:rPr>
          <w:rFonts w:hint="eastAsia" w:ascii="宋体" w:hAnsi="宋体" w:eastAsia="宋体" w:cs="宋体"/>
          <w:color w:val="auto"/>
          <w:sz w:val="28"/>
          <w:highlight w:val="none"/>
          <w:shd w:val="clear" w:color="050000" w:fill="auto"/>
          <w:lang w:val="en-US" w:eastAsia="zh-CN"/>
        </w:rPr>
        <w:t>评审费据实支付。</w:t>
      </w:r>
    </w:p>
    <w:p>
      <w:pPr>
        <w:spacing w:line="500" w:lineRule="exact"/>
        <w:ind w:firstLine="55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6.磋商方式</w:t>
      </w:r>
    </w:p>
    <w:p>
      <w:pPr>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磋商小组所有成员应当集中与单一供应商分别进行磋商，并给予所有参与磋商的供应商平等的磋商机会。</w:t>
      </w:r>
    </w:p>
    <w:p>
      <w:pPr>
        <w:widowControl/>
        <w:spacing w:line="500" w:lineRule="exact"/>
        <w:ind w:firstLine="551" w:firstLineChars="196"/>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7.响应文件组成</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响应文件分为资格、综合（技术与商务）部分。为了方便评审，响应文件中的各项内容必须按照规定格式要求制作。</w:t>
      </w:r>
    </w:p>
    <w:p>
      <w:pPr>
        <w:spacing w:line="500" w:lineRule="exact"/>
        <w:ind w:firstLine="560" w:firstLineChars="200"/>
        <w:rPr>
          <w:rFonts w:hint="eastAsia" w:ascii="宋体" w:hAnsi="宋体" w:eastAsia="宋体" w:cs="宋体"/>
          <w:b w:val="0"/>
          <w:bCs w:val="0"/>
          <w:color w:val="auto"/>
          <w:sz w:val="28"/>
          <w:highlight w:val="none"/>
          <w:shd w:val="clear" w:color="050000" w:fill="auto"/>
        </w:rPr>
      </w:pPr>
      <w:r>
        <w:rPr>
          <w:rFonts w:hint="eastAsia" w:ascii="宋体" w:hAnsi="宋体" w:eastAsia="宋体" w:cs="宋体"/>
          <w:b w:val="0"/>
          <w:bCs w:val="0"/>
          <w:color w:val="auto"/>
          <w:sz w:val="28"/>
          <w:szCs w:val="28"/>
          <w:highlight w:val="none"/>
          <w:lang w:eastAsia="zh-CN"/>
        </w:rPr>
        <w:t>（一）</w:t>
      </w:r>
      <w:r>
        <w:rPr>
          <w:rFonts w:hint="eastAsia" w:ascii="宋体" w:hAnsi="宋体" w:eastAsia="宋体" w:cs="宋体"/>
          <w:b w:val="0"/>
          <w:bCs w:val="0"/>
          <w:color w:val="auto"/>
          <w:sz w:val="28"/>
          <w:highlight w:val="none"/>
          <w:shd w:val="clear" w:color="050000" w:fill="auto"/>
        </w:rPr>
        <w:t>资格部分</w:t>
      </w:r>
    </w:p>
    <w:p>
      <w:pPr>
        <w:spacing w:line="360" w:lineRule="auto"/>
        <w:ind w:firstLine="560" w:firstLineChars="20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1.磋商函（见附件）；</w:t>
      </w:r>
    </w:p>
    <w:p>
      <w:pPr>
        <w:keepNext w:val="0"/>
        <w:keepLines w:val="0"/>
        <w:widowControl/>
        <w:suppressLineNumbers w:val="0"/>
        <w:ind w:firstLine="560" w:firstLineChars="200"/>
        <w:jc w:val="left"/>
        <w:rPr>
          <w:rFonts w:hint="default"/>
          <w:color w:val="auto"/>
          <w:highlight w:val="none"/>
          <w:lang w:val="en-US" w:eastAsia="zh-CN"/>
        </w:rPr>
      </w:pPr>
      <w:r>
        <w:rPr>
          <w:rFonts w:hint="eastAsia" w:ascii="宋体" w:hAnsi="宋体" w:eastAsia="宋体" w:cs="宋体"/>
          <w:color w:val="auto"/>
          <w:kern w:val="0"/>
          <w:sz w:val="28"/>
          <w:szCs w:val="28"/>
          <w:highlight w:val="none"/>
          <w:lang w:val="en-US" w:eastAsia="zh-CN" w:bidi="ar"/>
        </w:rPr>
        <w:t>2.法定代表人的身份证明或法定代表人的授权委托书（见附件）；</w:t>
      </w:r>
    </w:p>
    <w:p>
      <w:pPr>
        <w:spacing w:line="360" w:lineRule="auto"/>
        <w:ind w:firstLine="560" w:firstLineChars="200"/>
        <w:jc w:val="left"/>
        <w:rPr>
          <w:rFonts w:hint="eastAsia" w:ascii="宋体" w:hAnsi="宋体" w:cs="宋体"/>
          <w:color w:val="auto"/>
          <w:kern w:val="0"/>
          <w:sz w:val="28"/>
          <w:szCs w:val="28"/>
          <w:highlight w:val="none"/>
          <w:lang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kern w:val="0"/>
          <w:sz w:val="28"/>
          <w:szCs w:val="28"/>
          <w:highlight w:val="none"/>
        </w:rPr>
        <w:t>三证合一营业执照副本（或营业执照、税务登记证、组织机构代码证副本）</w:t>
      </w:r>
      <w:r>
        <w:rPr>
          <w:rFonts w:hint="eastAsia" w:ascii="宋体" w:hAnsi="宋体" w:cs="宋体"/>
          <w:color w:val="auto"/>
          <w:kern w:val="0"/>
          <w:sz w:val="28"/>
          <w:szCs w:val="28"/>
          <w:highlight w:val="none"/>
          <w:lang w:eastAsia="zh-CN"/>
        </w:rPr>
        <w:t>；</w:t>
      </w:r>
    </w:p>
    <w:p>
      <w:pPr>
        <w:spacing w:line="600" w:lineRule="exact"/>
        <w:ind w:firstLine="560" w:firstLineChars="200"/>
        <w:rPr>
          <w:rFonts w:hint="eastAsia" w:ascii="宋体" w:hAnsi="宋体" w:eastAsia="宋体" w:cs="宋体"/>
          <w:color w:val="auto"/>
          <w:sz w:val="28"/>
          <w:szCs w:val="28"/>
          <w:highlight w:val="none"/>
          <w:lang w:val="en-US" w:eastAsia="zh-CN"/>
        </w:rPr>
      </w:pPr>
      <w:r>
        <w:rPr>
          <w:rFonts w:hint="eastAsia" w:ascii="宋体" w:cs="宋体"/>
          <w:color w:val="auto"/>
          <w:sz w:val="28"/>
          <w:szCs w:val="28"/>
          <w:highlight w:val="none"/>
          <w:lang w:val="en-US" w:eastAsia="zh-CN"/>
        </w:rPr>
        <w:t>4.</w:t>
      </w:r>
      <w:r>
        <w:rPr>
          <w:rFonts w:hint="eastAsia" w:ascii="宋体" w:cs="宋体"/>
          <w:color w:val="auto"/>
          <w:sz w:val="28"/>
          <w:szCs w:val="28"/>
          <w:highlight w:val="none"/>
        </w:rPr>
        <w:t>投标人为生产厂家的需提供《食品生产许可证》；投标人为经销商的需提供《食品经营许可证》</w:t>
      </w:r>
      <w:r>
        <w:rPr>
          <w:rFonts w:hint="eastAsia" w:ascii="宋体" w:cs="宋体"/>
          <w:color w:val="auto"/>
          <w:sz w:val="28"/>
          <w:szCs w:val="28"/>
          <w:highlight w:val="none"/>
          <w:lang w:eastAsia="zh-CN"/>
        </w:rPr>
        <w:t>；</w:t>
      </w:r>
    </w:p>
    <w:p>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参加政府采购活动前3年内在经营活动中没有重大违法记录的书面声明；</w:t>
      </w:r>
    </w:p>
    <w:p>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未被列入“信用中国”网站</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8"/>
          <w:szCs w:val="28"/>
          <w:highlight w:val="none"/>
        </w:rPr>
        <w:t>信用失信被执行人、重大税收违法案件当事人名单；</w:t>
      </w:r>
    </w:p>
    <w:p>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中国政府采购网</w:t>
      </w:r>
      <w:r>
        <w:rPr>
          <w:rFonts w:hint="eastAsia" w:ascii="宋体" w:hAnsi="宋体" w:eastAsia="宋体" w:cs="宋体"/>
          <w:color w:val="auto"/>
          <w:sz w:val="24"/>
          <w:szCs w:val="24"/>
          <w:highlight w:val="none"/>
        </w:rPr>
        <w:t xml:space="preserve">(www.ccgp.gov.cn) </w:t>
      </w:r>
      <w:r>
        <w:rPr>
          <w:rFonts w:hint="eastAsia" w:ascii="宋体" w:hAnsi="宋体" w:eastAsia="宋体" w:cs="宋体"/>
          <w:color w:val="auto"/>
          <w:sz w:val="28"/>
          <w:szCs w:val="28"/>
          <w:highlight w:val="none"/>
        </w:rPr>
        <w:t>政府采购严重违法失信行为记录名单查询记录的网页截图；</w:t>
      </w:r>
    </w:p>
    <w:p>
      <w:pPr>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未受过财政部门禁止参加政府采购活动的行政处罚或受过行政处罚但期限届满的书面声明（格式自拟）</w:t>
      </w:r>
      <w:r>
        <w:rPr>
          <w:rFonts w:hint="eastAsia" w:ascii="宋体" w:hAnsi="宋体" w:cs="宋体"/>
          <w:color w:val="auto"/>
          <w:sz w:val="28"/>
          <w:szCs w:val="28"/>
          <w:highlight w:val="none"/>
          <w:lang w:eastAsia="zh-CN"/>
        </w:rPr>
        <w:t>。</w:t>
      </w:r>
    </w:p>
    <w:p>
      <w:pPr>
        <w:pStyle w:val="22"/>
        <w:spacing w:after="0"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highlight w:val="none"/>
          <w:shd w:val="clear" w:color="050000" w:fill="auto"/>
        </w:rPr>
        <w:t>（二）</w:t>
      </w:r>
      <w:r>
        <w:rPr>
          <w:rFonts w:hint="eastAsia" w:ascii="宋体" w:hAnsi="宋体" w:eastAsia="宋体" w:cs="宋体"/>
          <w:b/>
          <w:bCs/>
          <w:color w:val="auto"/>
          <w:sz w:val="28"/>
          <w:szCs w:val="28"/>
          <w:highlight w:val="none"/>
        </w:rPr>
        <w:t>技术部分</w:t>
      </w:r>
    </w:p>
    <w:p>
      <w:pPr>
        <w:spacing w:line="360" w:lineRule="auto"/>
        <w:ind w:firstLine="560" w:firstLineChars="200"/>
        <w:jc w:val="left"/>
        <w:rPr>
          <w:rFonts w:hint="eastAsia" w:ascii="宋体" w:hAnsi="宋体" w:eastAsia="宋体" w:cs="宋体"/>
          <w:color w:val="auto"/>
          <w:sz w:val="28"/>
          <w:szCs w:val="28"/>
          <w:highlight w:val="none"/>
          <w:shd w:val="clear" w:color="050000" w:fill="auto"/>
        </w:rPr>
      </w:pPr>
      <w:r>
        <w:rPr>
          <w:rFonts w:hint="eastAsia" w:ascii="宋体" w:hAnsi="宋体" w:eastAsia="宋体" w:cs="宋体"/>
          <w:color w:val="auto"/>
          <w:sz w:val="28"/>
          <w:szCs w:val="28"/>
          <w:highlight w:val="none"/>
          <w:shd w:val="clear" w:color="050000" w:fill="auto"/>
        </w:rPr>
        <w:t>要求详见第二章 项目技术规范与采购要求及第五章评审办法技术分值部分</w:t>
      </w:r>
    </w:p>
    <w:p>
      <w:pPr>
        <w:spacing w:line="50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bCs/>
          <w:color w:val="auto"/>
          <w:sz w:val="28"/>
          <w:highlight w:val="none"/>
          <w:shd w:val="clear" w:color="050000" w:fill="auto"/>
        </w:rPr>
        <w:t>（三）</w:t>
      </w:r>
      <w:r>
        <w:rPr>
          <w:rFonts w:hint="eastAsia" w:ascii="宋体" w:hAnsi="宋体" w:eastAsia="宋体" w:cs="宋体"/>
          <w:b/>
          <w:color w:val="auto"/>
          <w:sz w:val="28"/>
          <w:szCs w:val="28"/>
          <w:highlight w:val="none"/>
        </w:rPr>
        <w:t>商务部分</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要求详见第五章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评审办法技术分值部分</w:t>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8.</w:t>
      </w:r>
      <w:r>
        <w:rPr>
          <w:rFonts w:hint="eastAsia" w:ascii="宋体" w:hAnsi="宋体" w:eastAsia="宋体" w:cs="宋体"/>
          <w:b/>
          <w:color w:val="auto"/>
          <w:sz w:val="28"/>
          <w:szCs w:val="28"/>
          <w:highlight w:val="none"/>
        </w:rPr>
        <w:t>响应文件装订</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8.1响应文件按着“响应文件组成”的顺序统一编目、编码、编页，胶订成一式三份（A4纸），其中正本一份，副本两份。响应文件正本按磋商文件要求加盖供应商公章，正本的复印件可以作为副本。</w:t>
      </w:r>
      <w:r>
        <w:rPr>
          <w:rFonts w:hint="eastAsia" w:ascii="宋体" w:hAnsi="宋体" w:eastAsia="宋体" w:cs="宋体"/>
          <w:color w:val="auto"/>
          <w:kern w:val="0"/>
          <w:sz w:val="28"/>
          <w:szCs w:val="28"/>
          <w:highlight w:val="none"/>
        </w:rPr>
        <w:t>若副本与正本不符，以正本为准。</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8.2供应商愿意提供与本次磋商有关的其他资料，可视各自的情况自行编制，规格幅面应与其他磋商资料一致，附于响应文件之后，与其他磋商资料页码统一编目、编码、编页装订。</w:t>
      </w:r>
    </w:p>
    <w:p>
      <w:pPr>
        <w:spacing w:line="50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9.响应文件的密封</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供应商应当将响应文件密封，密封处加盖供应商公章。供应商另</w:t>
      </w:r>
      <w:r>
        <w:rPr>
          <w:rFonts w:hint="eastAsia" w:ascii="宋体" w:hAnsi="宋体" w:eastAsia="宋体" w:cs="宋体"/>
          <w:color w:val="auto"/>
          <w:spacing w:val="-8"/>
          <w:kern w:val="0"/>
          <w:sz w:val="28"/>
          <w:szCs w:val="28"/>
          <w:highlight w:val="none"/>
        </w:rPr>
        <w:t>行提供的原件资料须单独递交。</w:t>
      </w:r>
    </w:p>
    <w:p>
      <w:pPr>
        <w:spacing w:line="5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10.磋商内容及说明</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10.1获取竞争性磋商文件的供应商应认真阅读竞争性磋商文件的所有内容，按照“响应文件组成”规定的内容编制完整的响应文件。</w:t>
      </w:r>
    </w:p>
    <w:p>
      <w:pPr>
        <w:spacing w:line="360" w:lineRule="auto"/>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rPr>
        <w:t xml:space="preserve">10.2 </w:t>
      </w:r>
      <w:r>
        <w:rPr>
          <w:rFonts w:hint="eastAsia" w:ascii="宋体" w:hAnsi="宋体" w:eastAsia="宋体" w:cs="宋体"/>
          <w:color w:val="auto"/>
          <w:sz w:val="28"/>
          <w:highlight w:val="none"/>
          <w:shd w:val="clear" w:color="050000" w:fill="auto"/>
        </w:rPr>
        <w:t>供应商必须保证响应文件所提供的全部资料和内容真实可靠，并接受采购人或有关部门对其中任何资料、任何内容进一步审查，如果发现供应商提供虚假资料或</w:t>
      </w:r>
      <w:r>
        <w:rPr>
          <w:rFonts w:hint="eastAsia" w:ascii="宋体" w:hAnsi="宋体" w:eastAsia="宋体" w:cs="宋体"/>
          <w:color w:val="auto"/>
          <w:sz w:val="28"/>
          <w:highlight w:val="none"/>
        </w:rPr>
        <w:t>不实质性响应竞争性磋商文件要求的，报请财政部门进行处理。</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10.3本项目磋商内容为本文件要求的全部内容及项目的服务规范、价格、其他条件等。</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（1）供应商针对本项目提出的具体服务方案；</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（2）供应商针对本项目售后服务方案；</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（3）其他需要磋商的内容。</w:t>
      </w:r>
    </w:p>
    <w:p>
      <w:pPr>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11.响应文件审查和澄清</w:t>
      </w:r>
    </w:p>
    <w:p>
      <w:pPr>
        <w:spacing w:line="360" w:lineRule="auto"/>
        <w:ind w:firstLine="560"/>
        <w:jc w:val="left"/>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11.1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560"/>
        <w:rPr>
          <w:rFonts w:hint="eastAsia" w:ascii="宋体" w:hAnsi="宋体" w:eastAsia="宋体" w:cs="宋体"/>
          <w:color w:val="auto"/>
          <w:sz w:val="28"/>
          <w:highlight w:val="none"/>
          <w:shd w:val="clear" w:color="050000" w:fill="auto"/>
        </w:rPr>
      </w:pPr>
      <w:r>
        <w:rPr>
          <w:rFonts w:hint="eastAsia" w:ascii="宋体" w:hAnsi="宋体" w:eastAsia="宋体" w:cs="宋体"/>
          <w:color w:val="auto"/>
          <w:sz w:val="28"/>
          <w:highlight w:val="none"/>
          <w:shd w:val="clear" w:color="050000" w:fill="auto"/>
        </w:rPr>
        <w:t>11.2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w:t>
      </w:r>
    </w:p>
    <w:p>
      <w:pPr>
        <w:pStyle w:val="22"/>
        <w:spacing w:after="0" w:line="36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12．对响应文件的修正</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12.1磋商中，对价格的计算错误按下述原则修正：</w:t>
      </w:r>
    </w:p>
    <w:p>
      <w:pPr>
        <w:pStyle w:val="22"/>
        <w:spacing w:after="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（1）磋商时，响应文件中磋商报价表内容与响应文件中明细表内容不符的，以磋商报价表为准。</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文件的大写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（3）供应商不同意以上修正，则其响应文件将被拒绝。</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13.磋商报价</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13.1供应商应当按竞争性磋商文件中要求做好最后报价的测算,以备磋商完毕进行最后报价。</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13.2供应商的最后报价包括竞争性磋商文件和合同包含的所有风险、责任等各项应有费用。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13.3磋商小组不接受任何选择报价。</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13.4 鼓励供应商不低于成本价的合理报价。</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13.5供应商成交后，其最后报价总额即作为与采购人签订政府采购合同的总价。</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14．无效响应情况说明</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响应文件有下列情形之一的，应当按照无效响应文件处理： </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14.1在规定的截止时间之后递交响应文件的； </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14.2未按磋商文件规定要求密封、签署、盖章的； </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14.3未按磋商文件规定交纳磋商保证金的； </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 供应商递交的响应文件不足一式三份（A4纸）的；</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14.5不具备磋商文件中规定的资格要求或未完全响应完成时间及付款方式的；</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14.6供应商递交的响应文件未提供采购人要求的服务及成果要求的；</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14.7对磋商小组现场提出的实质性变动内容不响应的；</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14.8供应商的最终报价超过采购预算的；</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14.9单位负责人为同一人或者存在直接控股、管理关系供应商，参加同一项下的政府采购活动的；为采购项目提供整体设计、规范编制或者项目管理、监理、检测等服务的供应商，再参加该采购项目其他采购活动的；</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14.10 未全部响应磋商文件规定的实质性要求的或不符合法律、法规规定的其他情形。</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15．合同授予</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 磋商文件、响应文件及磋商过程中有关补充文件均作为合同附件，并与合同具有相同的法律效力。</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15.2当按照合同履行义务，完成磋商项目。未经采购人同意，成交供应商不得向他人转让成交项目。</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15.3本项目磋商有效期为</w:t>
      </w:r>
      <w:r>
        <w:rPr>
          <w:rFonts w:hint="eastAsia" w:ascii="宋体" w:hAnsi="宋体" w:eastAsia="宋体" w:cs="宋体"/>
          <w:color w:val="auto"/>
          <w:sz w:val="28"/>
          <w:szCs w:val="28"/>
          <w:highlight w:val="none"/>
          <w:lang w:val="en-US" w:eastAsia="zh-CN"/>
        </w:rPr>
        <w:t>90</w:t>
      </w:r>
      <w:r>
        <w:rPr>
          <w:rFonts w:hint="eastAsia" w:ascii="宋体" w:hAnsi="宋体" w:eastAsia="宋体" w:cs="宋体"/>
          <w:color w:val="auto"/>
          <w:sz w:val="28"/>
          <w:szCs w:val="28"/>
          <w:highlight w:val="none"/>
        </w:rPr>
        <w:t>个日历天。</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供应商认为竞争性磋商文件、采购过程和成交结果使自己的权益受到损害的，可以在知道或者应知其权益受到损害之日起七个工作日内，以书面形式一次性向采购人提出质疑。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质疑采用实名制，为了使提出的质疑事项在规定时间内得到有效答复、处理，递交的质疑函务必提供以下信息和内容，且质疑人必须为本次采购活动当事人。否则，可能被视为无效质疑。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（1）质疑人的单位名称或姓名、详细地址、联系人及电话、身份证、授权委托书；</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（2）被质疑人的单位名称或姓名等；</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（3）质疑的具体事项和理由及合法有效证明材料；</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（4）质疑人的签字、盖章及提出质疑的准确时间；</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质疑人是法定代表人的需持法定代表人证明及身份证原件；是代理人的需持授权委托书和身份证原件及质疑材料当面递交采购人（邮寄件、传真件、电子邮件不予受理）。</w:t>
      </w:r>
    </w:p>
    <w:p>
      <w:pPr>
        <w:spacing w:line="360" w:lineRule="auto"/>
        <w:ind w:firstLine="560" w:firstLineChars="200"/>
        <w:rPr>
          <w:rFonts w:hint="eastAsia" w:ascii="宋体" w:hAnsi="宋体" w:eastAsia="宋体" w:cs="宋体"/>
          <w:color w:val="auto"/>
          <w:sz w:val="28"/>
          <w:szCs w:val="28"/>
          <w:highlight w:val="none"/>
        </w:rPr>
      </w:pPr>
      <w:bookmarkStart w:id="8" w:name="_Toc198571825"/>
      <w:r>
        <w:rPr>
          <w:rFonts w:hint="eastAsia" w:ascii="宋体" w:hAnsi="宋体" w:eastAsia="宋体" w:cs="宋体"/>
          <w:color w:val="auto"/>
          <w:sz w:val="28"/>
          <w:szCs w:val="28"/>
          <w:highlight w:val="none"/>
        </w:rPr>
        <w:t>采购人应当在收到供应商的书面质疑后七个工作日内，对质疑内容做出答复，但答复的内容不得涉及商业秘密。</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有下列情况之一的质疑不予受理：</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（1）非供应商提出的质疑；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（2）对成交结果没有实质性影响的质疑；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（3）无质疑函件或质疑函件缺少供应商法人印章、供应商法定代表人签字、有效授权书和联系方式之一的质疑；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（4）没有提供有效证明材料的、相应证明材料不真实或来源不合法的质疑；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（5）未按规定时间或超过公示期提出的质疑。</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17．投诉 </w:t>
      </w:r>
      <w:bookmarkEnd w:id="8"/>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质疑人对采购人的答复不满意或者采购人未在规定的时间内做出答复的，可以在答复期满后15个工作日内向同级政府采购监督管理部门投诉。其规定和程序按照财政部《政府采购质疑和投诉办法》执行。</w:t>
      </w:r>
    </w:p>
    <w:p>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bookmarkStart w:id="9" w:name="_Toc1096"/>
      <w:r>
        <w:rPr>
          <w:rFonts w:hint="eastAsia" w:ascii="宋体" w:hAnsi="宋体" w:eastAsia="宋体" w:cs="宋体"/>
          <w:b/>
          <w:color w:val="auto"/>
          <w:sz w:val="36"/>
          <w:szCs w:val="36"/>
          <w:highlight w:val="none"/>
        </w:rPr>
        <w:t>第五章  评审办法</w:t>
      </w:r>
      <w:bookmarkEnd w:id="9"/>
    </w:p>
    <w:p>
      <w:pPr>
        <w:spacing w:line="360" w:lineRule="auto"/>
        <w:ind w:firstLine="560" w:firstLineChars="200"/>
        <w:rPr>
          <w:rFonts w:hint="eastAsia"/>
          <w:color w:val="auto"/>
          <w:highlight w:val="none"/>
          <w:lang w:eastAsia="zh-CN"/>
        </w:rPr>
      </w:pPr>
      <w:r>
        <w:rPr>
          <w:rFonts w:hint="eastAsia" w:ascii="宋体" w:hAnsi="宋体" w:eastAsia="宋体" w:cs="宋体"/>
          <w:color w:val="auto"/>
          <w:sz w:val="28"/>
          <w:szCs w:val="28"/>
          <w:highlight w:val="none"/>
        </w:rPr>
        <w:t>本项目采用综合评分办法，磋商小组按照磋商文件规定的评分标准和要求，对各响应文件进行综合评审，按综合评审得分高低顺序推荐成交候选人。项目采用百分制，评审保留至小数点后两位，具体评分细则如下：</w:t>
      </w:r>
    </w:p>
    <w:p>
      <w:pPr>
        <w:rPr>
          <w:rFonts w:hint="eastAsia"/>
          <w:color w:val="auto"/>
          <w:highlight w:val="none"/>
          <w:lang w:eastAsia="zh-CN"/>
        </w:rPr>
      </w:pPr>
    </w:p>
    <w:tbl>
      <w:tblPr>
        <w:tblStyle w:val="26"/>
        <w:tblW w:w="9696" w:type="dxa"/>
        <w:tblInd w:w="121" w:type="dxa"/>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Layout w:type="fixed"/>
        <w:tblCellMar>
          <w:top w:w="0" w:type="dxa"/>
          <w:left w:w="0" w:type="dxa"/>
          <w:bottom w:w="0" w:type="dxa"/>
          <w:right w:w="0" w:type="dxa"/>
        </w:tblCellMar>
      </w:tblPr>
      <w:tblGrid>
        <w:gridCol w:w="1164"/>
        <w:gridCol w:w="2928"/>
        <w:gridCol w:w="5604"/>
      </w:tblGrid>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831" w:hRule="atLeast"/>
        </w:trPr>
        <w:tc>
          <w:tcPr>
            <w:tcW w:w="1164" w:type="dxa"/>
            <w:shd w:val="clear" w:color="auto" w:fill="F6F6F6"/>
          </w:tcPr>
          <w:p>
            <w:pPr>
              <w:pStyle w:val="60"/>
              <w:spacing w:before="48" w:line="355" w:lineRule="auto"/>
              <w:ind w:left="65" w:right="48"/>
              <w:rPr>
                <w:rFonts w:ascii="宋体" w:hAnsi="宋体" w:eastAsia="宋体" w:cs="宋体"/>
                <w:color w:val="auto"/>
                <w:sz w:val="19"/>
                <w:highlight w:val="none"/>
              </w:rPr>
            </w:pPr>
            <w:r>
              <w:rPr>
                <w:rFonts w:hint="eastAsia" w:ascii="宋体" w:hAnsi="宋体" w:eastAsia="宋体" w:cs="宋体"/>
                <w:color w:val="auto"/>
                <w:sz w:val="19"/>
                <w:highlight w:val="none"/>
                <w:lang w:eastAsia="zh-CN"/>
              </w:rPr>
              <w:t>分</w:t>
            </w:r>
            <w:r>
              <w:rPr>
                <w:rFonts w:ascii="宋体" w:hAnsi="宋体" w:eastAsia="宋体" w:cs="宋体"/>
                <w:color w:val="auto"/>
                <w:sz w:val="19"/>
                <w:highlight w:val="none"/>
              </w:rPr>
              <w:t>值构成</w:t>
            </w:r>
          </w:p>
        </w:tc>
        <w:tc>
          <w:tcPr>
            <w:tcW w:w="8532" w:type="dxa"/>
            <w:gridSpan w:val="2"/>
            <w:shd w:val="clear" w:color="auto" w:fill="F6F6F6"/>
          </w:tcPr>
          <w:p>
            <w:pPr>
              <w:pStyle w:val="60"/>
              <w:spacing w:before="48" w:line="355" w:lineRule="auto"/>
              <w:ind w:left="65" w:right="48"/>
              <w:rPr>
                <w:rFonts w:hint="eastAsia" w:ascii="宋体" w:hAnsi="宋体" w:eastAsia="宋体" w:cs="宋体"/>
                <w:color w:val="auto"/>
                <w:sz w:val="19"/>
                <w:highlight w:val="none"/>
                <w:lang w:val="en-US" w:eastAsia="zh-CN"/>
              </w:rPr>
            </w:pPr>
            <w:r>
              <w:rPr>
                <w:rFonts w:hint="eastAsia" w:ascii="宋体" w:hAnsi="宋体" w:eastAsia="宋体" w:cs="宋体"/>
                <w:color w:val="auto"/>
                <w:sz w:val="19"/>
                <w:highlight w:val="none"/>
                <w:lang w:eastAsia="zh-CN"/>
              </w:rPr>
              <w:t>技术部分</w:t>
            </w:r>
            <w:r>
              <w:rPr>
                <w:rFonts w:hint="eastAsia" w:ascii="宋体" w:hAnsi="宋体" w:eastAsia="宋体" w:cs="宋体"/>
                <w:color w:val="auto"/>
                <w:sz w:val="19"/>
                <w:highlight w:val="none"/>
                <w:lang w:val="en-US" w:eastAsia="zh-CN"/>
              </w:rPr>
              <w:t>50.0分</w:t>
            </w:r>
          </w:p>
          <w:p>
            <w:pPr>
              <w:pStyle w:val="60"/>
              <w:spacing w:before="48" w:line="355" w:lineRule="auto"/>
              <w:ind w:left="65" w:right="48"/>
              <w:rPr>
                <w:rFonts w:hint="eastAsia" w:ascii="宋体" w:hAnsi="宋体" w:eastAsia="宋体" w:cs="宋体"/>
                <w:color w:val="auto"/>
                <w:sz w:val="19"/>
                <w:highlight w:val="none"/>
                <w:lang w:val="en-US" w:eastAsia="zh-CN"/>
              </w:rPr>
            </w:pPr>
            <w:r>
              <w:rPr>
                <w:rFonts w:hint="eastAsia" w:ascii="宋体" w:hAnsi="宋体" w:eastAsia="宋体" w:cs="宋体"/>
                <w:color w:val="auto"/>
                <w:sz w:val="19"/>
                <w:highlight w:val="none"/>
                <w:lang w:val="en-US" w:eastAsia="zh-CN"/>
              </w:rPr>
              <w:t>商务部分20.0分</w:t>
            </w:r>
          </w:p>
          <w:p>
            <w:pPr>
              <w:pStyle w:val="60"/>
              <w:spacing w:before="48" w:line="355" w:lineRule="auto"/>
              <w:ind w:left="65" w:right="48"/>
              <w:rPr>
                <w:rFonts w:hint="default" w:ascii="宋体" w:hAnsi="宋体" w:eastAsia="宋体" w:cs="宋体"/>
                <w:color w:val="auto"/>
                <w:sz w:val="19"/>
                <w:highlight w:val="none"/>
                <w:lang w:val="en-US" w:eastAsia="zh-CN"/>
              </w:rPr>
            </w:pPr>
            <w:r>
              <w:rPr>
                <w:rFonts w:hint="eastAsia" w:ascii="宋体" w:hAnsi="宋体" w:eastAsia="宋体" w:cs="宋体"/>
                <w:color w:val="auto"/>
                <w:sz w:val="19"/>
                <w:highlight w:val="none"/>
                <w:lang w:val="en-US" w:eastAsia="zh-CN"/>
              </w:rPr>
              <w:t>报价得分30.0分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157" w:hRule="atLeast"/>
        </w:trPr>
        <w:tc>
          <w:tcPr>
            <w:tcW w:w="1164" w:type="dxa"/>
            <w:vMerge w:val="restart"/>
          </w:tcPr>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spacing w:before="9"/>
              <w:rPr>
                <w:color w:val="auto"/>
                <w:sz w:val="16"/>
                <w:highlight w:val="none"/>
              </w:rPr>
            </w:pPr>
          </w:p>
          <w:p>
            <w:pPr>
              <w:pStyle w:val="60"/>
              <w:ind w:left="196"/>
              <w:rPr>
                <w:color w:val="auto"/>
                <w:sz w:val="19"/>
                <w:highlight w:val="none"/>
              </w:rPr>
            </w:pPr>
            <w:r>
              <w:rPr>
                <w:color w:val="auto"/>
                <w:sz w:val="19"/>
                <w:highlight w:val="none"/>
              </w:rPr>
              <w:t>技术部分</w:t>
            </w:r>
          </w:p>
        </w:tc>
        <w:tc>
          <w:tcPr>
            <w:tcW w:w="2928" w:type="dxa"/>
          </w:tcPr>
          <w:p>
            <w:pPr>
              <w:pStyle w:val="60"/>
              <w:rPr>
                <w:color w:val="auto"/>
                <w:sz w:val="22"/>
                <w:highlight w:val="none"/>
              </w:rPr>
            </w:pPr>
          </w:p>
          <w:p>
            <w:pPr>
              <w:pStyle w:val="60"/>
              <w:rPr>
                <w:color w:val="auto"/>
                <w:sz w:val="22"/>
                <w:highlight w:val="none"/>
              </w:rPr>
            </w:pPr>
          </w:p>
          <w:p>
            <w:pPr>
              <w:pStyle w:val="60"/>
              <w:rPr>
                <w:color w:val="auto"/>
                <w:sz w:val="30"/>
                <w:highlight w:val="none"/>
              </w:rPr>
            </w:pPr>
          </w:p>
          <w:p>
            <w:pPr>
              <w:pStyle w:val="60"/>
              <w:ind w:left="64"/>
              <w:rPr>
                <w:color w:val="auto"/>
                <w:w w:val="101"/>
                <w:sz w:val="19"/>
                <w:highlight w:val="none"/>
              </w:rPr>
            </w:pPr>
          </w:p>
          <w:p>
            <w:pPr>
              <w:pStyle w:val="60"/>
              <w:ind w:left="64"/>
              <w:rPr>
                <w:color w:val="auto"/>
                <w:w w:val="101"/>
                <w:sz w:val="19"/>
                <w:highlight w:val="none"/>
              </w:rPr>
            </w:pPr>
          </w:p>
          <w:p>
            <w:pPr>
              <w:pStyle w:val="60"/>
              <w:ind w:left="64"/>
              <w:rPr>
                <w:color w:val="auto"/>
                <w:sz w:val="19"/>
                <w:highlight w:val="none"/>
              </w:rPr>
            </w:pPr>
            <w:r>
              <w:rPr>
                <w:color w:val="auto"/>
                <w:w w:val="101"/>
                <w:sz w:val="19"/>
                <w:highlight w:val="none"/>
              </w:rPr>
              <w:t>供货方案 (</w:t>
            </w:r>
            <w:r>
              <w:rPr>
                <w:rFonts w:hint="eastAsia"/>
                <w:color w:val="auto"/>
                <w:w w:val="101"/>
                <w:sz w:val="19"/>
                <w:highlight w:val="none"/>
                <w:lang w:val="en-US" w:eastAsia="zh-CN"/>
              </w:rPr>
              <w:t>15.0</w:t>
            </w:r>
            <w:r>
              <w:rPr>
                <w:color w:val="auto"/>
                <w:w w:val="101"/>
                <w:sz w:val="19"/>
                <w:highlight w:val="none"/>
              </w:rPr>
              <w:t>分)</w:t>
            </w:r>
          </w:p>
        </w:tc>
        <w:tc>
          <w:tcPr>
            <w:tcW w:w="5604" w:type="dxa"/>
          </w:tcPr>
          <w:p>
            <w:pPr>
              <w:pStyle w:val="60"/>
              <w:spacing w:before="48" w:line="355" w:lineRule="auto"/>
              <w:ind w:left="65" w:right="48"/>
              <w:rPr>
                <w:rFonts w:hint="eastAsia" w:eastAsia="宋体"/>
                <w:color w:val="auto"/>
                <w:sz w:val="19"/>
                <w:highlight w:val="none"/>
                <w:lang w:val="en-US" w:eastAsia="zh-CN"/>
              </w:rPr>
            </w:pPr>
            <w:r>
              <w:rPr>
                <w:rFonts w:hint="eastAsia"/>
                <w:color w:val="auto"/>
                <w:sz w:val="19"/>
                <w:highlight w:val="none"/>
              </w:rPr>
              <w:t xml:space="preserve">根据投标供应商提供的供货方案进行评审，方案能充分了解采购需求，方案详细完善，内容具体，有明确的支持保障及经验丰富的相关人员安排，供货保证措施可靠性强，进度安排合理有层次、时间安排合理迅速的得 </w:t>
            </w:r>
            <w:r>
              <w:rPr>
                <w:rFonts w:hint="eastAsia"/>
                <w:color w:val="auto"/>
                <w:sz w:val="19"/>
                <w:highlight w:val="none"/>
                <w:lang w:val="en-US" w:eastAsia="zh-CN"/>
              </w:rPr>
              <w:t>15</w:t>
            </w:r>
            <w:r>
              <w:rPr>
                <w:rFonts w:hint="eastAsia"/>
                <w:color w:val="auto"/>
                <w:sz w:val="19"/>
                <w:highlight w:val="none"/>
              </w:rPr>
              <w:t xml:space="preserve">分；供货方案完整，有明确的支持保障及经验丰富的相关人员 安排，供货保证措施可靠性强，进度安排合理、时间安排合理得 </w:t>
            </w:r>
            <w:r>
              <w:rPr>
                <w:rFonts w:hint="eastAsia"/>
                <w:color w:val="auto"/>
                <w:sz w:val="19"/>
                <w:highlight w:val="none"/>
                <w:lang w:val="en-US" w:eastAsia="zh-CN"/>
              </w:rPr>
              <w:t>10</w:t>
            </w:r>
            <w:r>
              <w:rPr>
                <w:rFonts w:hint="eastAsia"/>
                <w:color w:val="auto"/>
                <w:sz w:val="19"/>
                <w:highlight w:val="none"/>
              </w:rPr>
              <w:t>分；供货方案较完整，有明确的支持保障及相关人员安排，供货保证措施相对可靠，进度安排较合理，时间安排合理的得</w:t>
            </w:r>
            <w:r>
              <w:rPr>
                <w:rFonts w:hint="eastAsia"/>
                <w:color w:val="auto"/>
                <w:sz w:val="19"/>
                <w:highlight w:val="none"/>
                <w:lang w:val="en-US" w:eastAsia="zh-CN"/>
              </w:rPr>
              <w:t>7</w:t>
            </w:r>
            <w:r>
              <w:rPr>
                <w:rFonts w:hint="eastAsia"/>
                <w:color w:val="auto"/>
                <w:sz w:val="19"/>
                <w:highlight w:val="none"/>
              </w:rPr>
              <w:t>分；</w:t>
            </w:r>
            <w:r>
              <w:rPr>
                <w:rFonts w:hint="eastAsia"/>
                <w:color w:val="auto"/>
                <w:sz w:val="19"/>
                <w:highlight w:val="none"/>
                <w:lang w:val="en-US" w:eastAsia="zh-CN"/>
              </w:rPr>
              <w:t>供货方案较差，保障措施和人员安排薄弱，进度安排一般得3分；</w:t>
            </w:r>
            <w:r>
              <w:rPr>
                <w:rFonts w:hint="eastAsia"/>
                <w:color w:val="auto"/>
                <w:sz w:val="19"/>
                <w:highlight w:val="none"/>
              </w:rPr>
              <w:t>不提供不得分。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157" w:hRule="atLeast"/>
        </w:trPr>
        <w:tc>
          <w:tcPr>
            <w:tcW w:w="1164" w:type="dxa"/>
            <w:vMerge w:val="continue"/>
          </w:tcPr>
          <w:p>
            <w:pPr>
              <w:pStyle w:val="60"/>
              <w:ind w:left="196"/>
              <w:rPr>
                <w:color w:val="auto"/>
                <w:sz w:val="19"/>
                <w:highlight w:val="none"/>
              </w:rPr>
            </w:pPr>
          </w:p>
        </w:tc>
        <w:tc>
          <w:tcPr>
            <w:tcW w:w="2928" w:type="dxa"/>
          </w:tcPr>
          <w:p>
            <w:pPr>
              <w:pStyle w:val="60"/>
              <w:ind w:left="64"/>
              <w:rPr>
                <w:rFonts w:hint="eastAsia"/>
                <w:color w:val="auto"/>
                <w:w w:val="101"/>
                <w:sz w:val="19"/>
                <w:highlight w:val="none"/>
              </w:rPr>
            </w:pPr>
          </w:p>
          <w:p>
            <w:pPr>
              <w:pStyle w:val="60"/>
              <w:ind w:left="64"/>
              <w:rPr>
                <w:rFonts w:hint="eastAsia"/>
                <w:color w:val="auto"/>
                <w:w w:val="101"/>
                <w:sz w:val="19"/>
                <w:highlight w:val="none"/>
              </w:rPr>
            </w:pPr>
          </w:p>
          <w:p>
            <w:pPr>
              <w:pStyle w:val="60"/>
              <w:ind w:left="64"/>
              <w:rPr>
                <w:color w:val="auto"/>
                <w:w w:val="101"/>
                <w:sz w:val="19"/>
                <w:highlight w:val="none"/>
              </w:rPr>
            </w:pPr>
          </w:p>
          <w:p>
            <w:pPr>
              <w:pStyle w:val="60"/>
              <w:ind w:left="64"/>
              <w:rPr>
                <w:rFonts w:hint="eastAsia"/>
                <w:color w:val="auto"/>
                <w:w w:val="101"/>
                <w:sz w:val="19"/>
                <w:highlight w:val="none"/>
              </w:rPr>
            </w:pPr>
            <w:r>
              <w:rPr>
                <w:color w:val="auto"/>
                <w:w w:val="101"/>
                <w:sz w:val="19"/>
                <w:highlight w:val="none"/>
              </w:rPr>
              <w:t>质量保证措施 (</w:t>
            </w:r>
            <w:r>
              <w:rPr>
                <w:rFonts w:hint="eastAsia"/>
                <w:color w:val="auto"/>
                <w:w w:val="101"/>
                <w:sz w:val="19"/>
                <w:highlight w:val="none"/>
                <w:lang w:val="en-US" w:eastAsia="zh-CN"/>
              </w:rPr>
              <w:t>10.0</w:t>
            </w:r>
            <w:r>
              <w:rPr>
                <w:color w:val="auto"/>
                <w:w w:val="101"/>
                <w:sz w:val="19"/>
                <w:highlight w:val="none"/>
              </w:rPr>
              <w:t>分)</w:t>
            </w:r>
          </w:p>
          <w:p>
            <w:pPr>
              <w:pStyle w:val="60"/>
              <w:ind w:left="64"/>
              <w:rPr>
                <w:rFonts w:hint="eastAsia" w:eastAsia="宋体"/>
                <w:color w:val="auto"/>
                <w:w w:val="101"/>
                <w:sz w:val="19"/>
                <w:highlight w:val="none"/>
                <w:lang w:eastAsia="zh-CN"/>
              </w:rPr>
            </w:pPr>
          </w:p>
        </w:tc>
        <w:tc>
          <w:tcPr>
            <w:tcW w:w="5604" w:type="dxa"/>
          </w:tcPr>
          <w:p>
            <w:pPr>
              <w:pStyle w:val="60"/>
              <w:spacing w:before="48" w:line="355" w:lineRule="auto"/>
              <w:ind w:left="65" w:right="48"/>
              <w:rPr>
                <w:rFonts w:hint="eastAsia"/>
                <w:color w:val="auto"/>
                <w:sz w:val="19"/>
                <w:highlight w:val="none"/>
              </w:rPr>
            </w:pPr>
            <w:r>
              <w:rPr>
                <w:color w:val="auto"/>
                <w:sz w:val="19"/>
                <w:highlight w:val="none"/>
              </w:rPr>
              <w:t>根据投标</w:t>
            </w:r>
            <w:r>
              <w:rPr>
                <w:rFonts w:hint="eastAsia"/>
                <w:color w:val="auto"/>
                <w:sz w:val="19"/>
                <w:highlight w:val="none"/>
                <w:lang w:eastAsia="zh-CN"/>
              </w:rPr>
              <w:t>供应商</w:t>
            </w:r>
            <w:r>
              <w:rPr>
                <w:rFonts w:hint="eastAsia"/>
                <w:color w:val="auto"/>
                <w:sz w:val="19"/>
                <w:highlight w:val="none"/>
                <w:lang w:val="en-US" w:eastAsia="zh-CN"/>
              </w:rPr>
              <w:t>提供的</w:t>
            </w:r>
            <w:r>
              <w:rPr>
                <w:rFonts w:hint="eastAsia"/>
                <w:color w:val="auto"/>
                <w:sz w:val="19"/>
                <w:highlight w:val="none"/>
                <w:lang w:eastAsia="zh-CN"/>
              </w:rPr>
              <w:t>保证食品安全采取的保障措施情况、加工流程中食品安全、卫生的控制措施</w:t>
            </w:r>
            <w:r>
              <w:rPr>
                <w:rFonts w:hint="eastAsia"/>
                <w:color w:val="auto"/>
                <w:sz w:val="19"/>
                <w:highlight w:val="none"/>
                <w:lang w:val="en-US" w:eastAsia="zh-CN"/>
              </w:rPr>
              <w:t>等</w:t>
            </w:r>
            <w:r>
              <w:rPr>
                <w:rFonts w:hint="eastAsia"/>
                <w:color w:val="auto"/>
                <w:sz w:val="19"/>
                <w:highlight w:val="none"/>
                <w:lang w:eastAsia="zh-CN"/>
              </w:rPr>
              <w:t>进行打分</w:t>
            </w:r>
            <w:r>
              <w:rPr>
                <w:color w:val="auto"/>
                <w:sz w:val="19"/>
                <w:highlight w:val="none"/>
              </w:rPr>
              <w:t>等内容进行评审。</w:t>
            </w:r>
            <w:r>
              <w:rPr>
                <w:rFonts w:hint="eastAsia"/>
                <w:color w:val="auto"/>
                <w:sz w:val="19"/>
                <w:highlight w:val="none"/>
                <w:lang w:val="en-US" w:eastAsia="zh-CN"/>
              </w:rPr>
              <w:t>食品安全保障措施完整可靠，食品安全卫生措施科学、合理</w:t>
            </w:r>
            <w:r>
              <w:rPr>
                <w:color w:val="auto"/>
                <w:sz w:val="19"/>
                <w:highlight w:val="none"/>
              </w:rPr>
              <w:t>得</w:t>
            </w:r>
            <w:r>
              <w:rPr>
                <w:rFonts w:hint="eastAsia"/>
                <w:color w:val="auto"/>
                <w:sz w:val="19"/>
                <w:highlight w:val="none"/>
                <w:lang w:val="en-US" w:eastAsia="zh-CN"/>
              </w:rPr>
              <w:t>10</w:t>
            </w:r>
            <w:r>
              <w:rPr>
                <w:color w:val="auto"/>
                <w:sz w:val="19"/>
                <w:highlight w:val="none"/>
              </w:rPr>
              <w:t>分，</w:t>
            </w:r>
            <w:r>
              <w:rPr>
                <w:rFonts w:hint="eastAsia"/>
                <w:color w:val="auto"/>
                <w:sz w:val="19"/>
                <w:highlight w:val="none"/>
                <w:lang w:val="en-US" w:eastAsia="zh-CN"/>
              </w:rPr>
              <w:t>食品安全保障措施比较完整可靠，食品安全卫生措施比较科学、合理</w:t>
            </w:r>
            <w:r>
              <w:rPr>
                <w:color w:val="auto"/>
                <w:sz w:val="19"/>
                <w:highlight w:val="none"/>
              </w:rPr>
              <w:t>，得</w:t>
            </w:r>
            <w:r>
              <w:rPr>
                <w:rFonts w:hint="eastAsia"/>
                <w:color w:val="auto"/>
                <w:sz w:val="19"/>
                <w:highlight w:val="none"/>
                <w:lang w:val="en-US" w:eastAsia="zh-CN"/>
              </w:rPr>
              <w:t>6</w:t>
            </w:r>
            <w:r>
              <w:rPr>
                <w:color w:val="auto"/>
                <w:sz w:val="19"/>
                <w:highlight w:val="none"/>
              </w:rPr>
              <w:t>分；</w:t>
            </w:r>
            <w:r>
              <w:rPr>
                <w:rFonts w:hint="eastAsia"/>
                <w:color w:val="auto"/>
                <w:sz w:val="19"/>
                <w:highlight w:val="none"/>
                <w:lang w:val="en-US" w:eastAsia="zh-CN"/>
              </w:rPr>
              <w:t>食品安全保障措施完整一般，食品安全卫生措施科学、一般</w:t>
            </w:r>
            <w:r>
              <w:rPr>
                <w:color w:val="auto"/>
                <w:sz w:val="19"/>
                <w:highlight w:val="none"/>
              </w:rPr>
              <w:t>得</w:t>
            </w:r>
            <w:r>
              <w:rPr>
                <w:rFonts w:hint="eastAsia"/>
                <w:color w:val="auto"/>
                <w:sz w:val="19"/>
                <w:highlight w:val="none"/>
                <w:lang w:val="en-US" w:eastAsia="zh-CN"/>
              </w:rPr>
              <w:t>3</w:t>
            </w:r>
            <w:r>
              <w:rPr>
                <w:color w:val="auto"/>
                <w:sz w:val="19"/>
                <w:highlight w:val="none"/>
              </w:rPr>
              <w:t>分；不满足磋商文件要求或未提供的得</w:t>
            </w:r>
            <w:r>
              <w:rPr>
                <w:color w:val="auto"/>
                <w:w w:val="110"/>
                <w:sz w:val="19"/>
                <w:highlight w:val="none"/>
              </w:rPr>
              <w:t>0</w:t>
            </w:r>
            <w:r>
              <w:rPr>
                <w:color w:val="auto"/>
                <w:sz w:val="19"/>
                <w:highlight w:val="none"/>
              </w:rPr>
              <w:t>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PrEx>
        <w:trPr>
          <w:trHeight w:val="2157" w:hRule="atLeast"/>
        </w:trPr>
        <w:tc>
          <w:tcPr>
            <w:tcW w:w="1164" w:type="dxa"/>
            <w:vMerge w:val="continue"/>
          </w:tcPr>
          <w:p>
            <w:pPr>
              <w:pStyle w:val="60"/>
              <w:ind w:left="196"/>
              <w:rPr>
                <w:color w:val="auto"/>
                <w:sz w:val="19"/>
                <w:highlight w:val="none"/>
              </w:rPr>
            </w:pPr>
          </w:p>
        </w:tc>
        <w:tc>
          <w:tcPr>
            <w:tcW w:w="2928" w:type="dxa"/>
          </w:tcPr>
          <w:p>
            <w:pPr>
              <w:pStyle w:val="60"/>
              <w:ind w:left="64"/>
              <w:rPr>
                <w:rFonts w:hint="eastAsia" w:ascii="宋体" w:hAnsi="宋体" w:eastAsia="宋体" w:cs="宋体"/>
                <w:color w:val="auto"/>
                <w:kern w:val="2"/>
                <w:sz w:val="19"/>
                <w:szCs w:val="21"/>
                <w:highlight w:val="none"/>
                <w:lang w:val="en-US" w:eastAsia="zh-CN" w:bidi="ar-SA"/>
              </w:rPr>
            </w:pPr>
          </w:p>
          <w:p>
            <w:pPr>
              <w:pStyle w:val="60"/>
              <w:ind w:left="64"/>
              <w:rPr>
                <w:rFonts w:hint="eastAsia" w:ascii="宋体" w:hAnsi="宋体" w:eastAsia="宋体" w:cs="宋体"/>
                <w:color w:val="auto"/>
                <w:kern w:val="2"/>
                <w:sz w:val="19"/>
                <w:szCs w:val="21"/>
                <w:highlight w:val="none"/>
                <w:lang w:val="en-US" w:eastAsia="zh-CN" w:bidi="ar-SA"/>
              </w:rPr>
            </w:pPr>
          </w:p>
          <w:p>
            <w:pPr>
              <w:pStyle w:val="60"/>
              <w:ind w:left="64"/>
              <w:rPr>
                <w:rFonts w:hint="eastAsia" w:ascii="宋体" w:hAnsi="宋体" w:eastAsia="宋体" w:cs="宋体"/>
                <w:color w:val="auto"/>
                <w:kern w:val="2"/>
                <w:sz w:val="19"/>
                <w:szCs w:val="21"/>
                <w:highlight w:val="none"/>
                <w:lang w:val="en-US" w:eastAsia="zh-CN" w:bidi="ar-SA"/>
              </w:rPr>
            </w:pPr>
          </w:p>
          <w:p>
            <w:pPr>
              <w:pStyle w:val="60"/>
              <w:ind w:left="64"/>
              <w:rPr>
                <w:rFonts w:hint="eastAsia" w:ascii="宋体" w:hAnsi="宋体" w:eastAsia="宋体" w:cs="宋体"/>
                <w:color w:val="auto"/>
                <w:kern w:val="2"/>
                <w:sz w:val="19"/>
                <w:szCs w:val="21"/>
                <w:highlight w:val="none"/>
                <w:lang w:val="en-US" w:eastAsia="zh-CN" w:bidi="ar-SA"/>
              </w:rPr>
            </w:pPr>
          </w:p>
          <w:p>
            <w:pPr>
              <w:pStyle w:val="60"/>
              <w:ind w:left="64"/>
              <w:rPr>
                <w:rFonts w:hint="eastAsia" w:eastAsia="宋体"/>
                <w:color w:val="auto"/>
                <w:w w:val="101"/>
                <w:sz w:val="19"/>
                <w:highlight w:val="none"/>
                <w:lang w:eastAsia="zh-CN"/>
              </w:rPr>
            </w:pPr>
            <w:r>
              <w:rPr>
                <w:rFonts w:hint="eastAsia" w:ascii="宋体" w:hAnsi="宋体" w:eastAsia="宋体" w:cs="宋体"/>
                <w:color w:val="auto"/>
                <w:kern w:val="2"/>
                <w:sz w:val="19"/>
                <w:szCs w:val="21"/>
                <w:highlight w:val="none"/>
                <w:lang w:val="en-US" w:eastAsia="zh-CN" w:bidi="ar-SA"/>
              </w:rPr>
              <w:t>运输能力及配送 (10.0）</w:t>
            </w:r>
          </w:p>
        </w:tc>
        <w:tc>
          <w:tcPr>
            <w:tcW w:w="5604" w:type="dxa"/>
          </w:tcPr>
          <w:p>
            <w:pPr>
              <w:pStyle w:val="60"/>
              <w:spacing w:before="48" w:line="355" w:lineRule="auto"/>
              <w:ind w:right="48"/>
              <w:rPr>
                <w:rFonts w:hint="default"/>
                <w:color w:val="auto"/>
                <w:sz w:val="19"/>
                <w:highlight w:val="none"/>
                <w:lang w:val="en-US"/>
              </w:rPr>
            </w:pPr>
            <w:r>
              <w:rPr>
                <w:rFonts w:hint="eastAsia" w:cs="宋体"/>
                <w:color w:val="auto"/>
                <w:kern w:val="2"/>
                <w:sz w:val="19"/>
                <w:szCs w:val="21"/>
                <w:highlight w:val="none"/>
                <w:lang w:val="en-US" w:eastAsia="zh-CN" w:bidi="ar-SA"/>
              </w:rPr>
              <w:t>根据投标供应商提供的</w:t>
            </w:r>
            <w:r>
              <w:rPr>
                <w:rFonts w:hint="eastAsia" w:ascii="宋体" w:hAnsi="宋体" w:eastAsia="宋体" w:cs="宋体"/>
                <w:color w:val="auto"/>
                <w:kern w:val="2"/>
                <w:sz w:val="19"/>
                <w:szCs w:val="21"/>
                <w:highlight w:val="none"/>
                <w:lang w:val="en-US" w:eastAsia="zh-CN" w:bidi="ar-SA"/>
              </w:rPr>
              <w:t>配送方案</w:t>
            </w:r>
            <w:r>
              <w:rPr>
                <w:rFonts w:hint="eastAsia" w:cs="宋体"/>
                <w:color w:val="auto"/>
                <w:kern w:val="2"/>
                <w:sz w:val="19"/>
                <w:szCs w:val="21"/>
                <w:highlight w:val="none"/>
                <w:lang w:val="en-US" w:eastAsia="zh-CN" w:bidi="ar-SA"/>
              </w:rPr>
              <w:t>、</w:t>
            </w:r>
            <w:r>
              <w:rPr>
                <w:rFonts w:hint="eastAsia" w:ascii="宋体" w:hAnsi="宋体" w:eastAsia="宋体" w:cs="宋体"/>
                <w:color w:val="auto"/>
                <w:kern w:val="2"/>
                <w:sz w:val="19"/>
                <w:szCs w:val="21"/>
                <w:highlight w:val="none"/>
                <w:lang w:val="en-US" w:eastAsia="zh-CN" w:bidi="ar-SA"/>
              </w:rPr>
              <w:t>运输能力</w:t>
            </w:r>
            <w:r>
              <w:rPr>
                <w:rFonts w:hint="eastAsia" w:cs="宋体"/>
                <w:color w:val="auto"/>
                <w:kern w:val="2"/>
                <w:sz w:val="19"/>
                <w:szCs w:val="21"/>
                <w:highlight w:val="none"/>
                <w:lang w:val="en-US" w:eastAsia="zh-CN" w:bidi="ar-SA"/>
              </w:rPr>
              <w:t>、人员配备进行评审。配送方案科学、合理，运输能力强，人员配置充足得10分；配送方案比较科学、合理，运输能力较强，人员配置较充足得6分；配送方案一般，运输能力一般，人员配置一般得3分；</w:t>
            </w:r>
            <w:r>
              <w:rPr>
                <w:color w:val="auto"/>
                <w:sz w:val="19"/>
                <w:highlight w:val="none"/>
              </w:rPr>
              <w:t>不满足磋商文件要求或未提供的得</w:t>
            </w:r>
            <w:r>
              <w:rPr>
                <w:color w:val="auto"/>
                <w:w w:val="110"/>
                <w:sz w:val="19"/>
                <w:highlight w:val="none"/>
              </w:rPr>
              <w:t>0</w:t>
            </w:r>
            <w:r>
              <w:rPr>
                <w:color w:val="auto"/>
                <w:sz w:val="19"/>
                <w:highlight w:val="none"/>
              </w:rPr>
              <w:t>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1437" w:hRule="atLeast"/>
        </w:trPr>
        <w:tc>
          <w:tcPr>
            <w:tcW w:w="1164" w:type="dxa"/>
            <w:vMerge w:val="continue"/>
            <w:tcBorders>
              <w:top w:val="nil"/>
            </w:tcBorders>
          </w:tcPr>
          <w:p>
            <w:pPr>
              <w:rPr>
                <w:color w:val="auto"/>
                <w:sz w:val="2"/>
                <w:szCs w:val="2"/>
                <w:highlight w:val="none"/>
              </w:rPr>
            </w:pPr>
          </w:p>
        </w:tc>
        <w:tc>
          <w:tcPr>
            <w:tcW w:w="2928" w:type="dxa"/>
            <w:shd w:val="clear" w:color="auto" w:fill="F6F6F6"/>
          </w:tcPr>
          <w:p>
            <w:pPr>
              <w:pStyle w:val="60"/>
              <w:rPr>
                <w:color w:val="auto"/>
                <w:sz w:val="22"/>
                <w:highlight w:val="none"/>
              </w:rPr>
            </w:pPr>
          </w:p>
          <w:p>
            <w:pPr>
              <w:pStyle w:val="60"/>
              <w:ind w:left="64"/>
              <w:rPr>
                <w:color w:val="auto"/>
                <w:w w:val="101"/>
                <w:sz w:val="19"/>
                <w:highlight w:val="none"/>
              </w:rPr>
            </w:pPr>
          </w:p>
          <w:p>
            <w:pPr>
              <w:pStyle w:val="60"/>
              <w:ind w:left="64"/>
              <w:rPr>
                <w:color w:val="auto"/>
                <w:w w:val="101"/>
                <w:sz w:val="19"/>
                <w:highlight w:val="none"/>
              </w:rPr>
            </w:pPr>
          </w:p>
          <w:p>
            <w:pPr>
              <w:pStyle w:val="60"/>
              <w:ind w:left="64"/>
              <w:rPr>
                <w:color w:val="auto"/>
                <w:w w:val="101"/>
                <w:sz w:val="19"/>
                <w:highlight w:val="none"/>
              </w:rPr>
            </w:pPr>
            <w:r>
              <w:rPr>
                <w:color w:val="auto"/>
                <w:w w:val="101"/>
                <w:sz w:val="19"/>
                <w:highlight w:val="none"/>
              </w:rPr>
              <w:t>应急预案 (</w:t>
            </w:r>
            <w:r>
              <w:rPr>
                <w:rFonts w:hint="eastAsia"/>
                <w:color w:val="auto"/>
                <w:w w:val="101"/>
                <w:sz w:val="19"/>
                <w:highlight w:val="none"/>
                <w:lang w:val="en-US" w:eastAsia="zh-CN"/>
              </w:rPr>
              <w:t>5</w:t>
            </w:r>
            <w:r>
              <w:rPr>
                <w:color w:val="auto"/>
                <w:w w:val="101"/>
                <w:sz w:val="19"/>
                <w:highlight w:val="none"/>
              </w:rPr>
              <w:t>.0分)</w:t>
            </w:r>
          </w:p>
          <w:p>
            <w:pPr>
              <w:pStyle w:val="60"/>
              <w:ind w:left="64"/>
              <w:rPr>
                <w:color w:val="auto"/>
                <w:w w:val="101"/>
                <w:sz w:val="19"/>
                <w:highlight w:val="none"/>
              </w:rPr>
            </w:pPr>
          </w:p>
          <w:p>
            <w:pPr>
              <w:pStyle w:val="60"/>
              <w:ind w:left="64"/>
              <w:rPr>
                <w:color w:val="auto"/>
                <w:sz w:val="19"/>
                <w:highlight w:val="none"/>
              </w:rPr>
            </w:pPr>
          </w:p>
        </w:tc>
        <w:tc>
          <w:tcPr>
            <w:tcW w:w="5604" w:type="dxa"/>
            <w:shd w:val="clear" w:color="auto" w:fill="F6F6F6"/>
          </w:tcPr>
          <w:p>
            <w:pPr>
              <w:pStyle w:val="60"/>
              <w:spacing w:before="48" w:line="355" w:lineRule="auto"/>
              <w:ind w:left="65" w:right="108"/>
              <w:rPr>
                <w:color w:val="auto"/>
                <w:sz w:val="19"/>
                <w:highlight w:val="none"/>
              </w:rPr>
            </w:pPr>
            <w:r>
              <w:rPr>
                <w:color w:val="auto"/>
                <w:sz w:val="19"/>
                <w:highlight w:val="none"/>
              </w:rPr>
              <w:t>根据投标供应商提供的在项目执行过程中的突发事件（如恶劣天气应急供货）应急预案进行评审， 应急预案非常有保障、切实可行的得</w:t>
            </w:r>
            <w:r>
              <w:rPr>
                <w:rFonts w:hint="eastAsia"/>
                <w:color w:val="auto"/>
                <w:spacing w:val="-3"/>
                <w:w w:val="110"/>
                <w:sz w:val="19"/>
                <w:highlight w:val="none"/>
                <w:lang w:val="en-US" w:eastAsia="zh-CN"/>
              </w:rPr>
              <w:t>5</w:t>
            </w:r>
            <w:r>
              <w:rPr>
                <w:color w:val="auto"/>
                <w:spacing w:val="-4"/>
                <w:sz w:val="19"/>
                <w:highlight w:val="none"/>
              </w:rPr>
              <w:t>分；应急预</w:t>
            </w:r>
            <w:r>
              <w:rPr>
                <w:color w:val="auto"/>
                <w:sz w:val="19"/>
                <w:highlight w:val="none"/>
              </w:rPr>
              <w:t>案较为保障且可行的得</w:t>
            </w:r>
            <w:r>
              <w:rPr>
                <w:rFonts w:hint="eastAsia"/>
                <w:color w:val="auto"/>
                <w:sz w:val="19"/>
                <w:highlight w:val="none"/>
                <w:lang w:val="en-US" w:eastAsia="zh-CN"/>
              </w:rPr>
              <w:t>3</w:t>
            </w:r>
            <w:r>
              <w:rPr>
                <w:color w:val="auto"/>
                <w:sz w:val="19"/>
                <w:highlight w:val="none"/>
              </w:rPr>
              <w:t>分；应急预案一般基本保障采购需求的得</w:t>
            </w:r>
            <w:r>
              <w:rPr>
                <w:rFonts w:hint="eastAsia"/>
                <w:color w:val="auto"/>
                <w:sz w:val="19"/>
                <w:highlight w:val="none"/>
                <w:lang w:val="en-US" w:eastAsia="zh-CN"/>
              </w:rPr>
              <w:t>1</w:t>
            </w:r>
            <w:r>
              <w:rPr>
                <w:color w:val="auto"/>
                <w:sz w:val="19"/>
                <w:highlight w:val="none"/>
              </w:rPr>
              <w:t>分；不满足磋商文件要求或未提 供的得</w:t>
            </w:r>
            <w:r>
              <w:rPr>
                <w:color w:val="auto"/>
                <w:w w:val="110"/>
                <w:sz w:val="19"/>
                <w:highlight w:val="none"/>
              </w:rPr>
              <w:t>0</w:t>
            </w:r>
            <w:r>
              <w:rPr>
                <w:color w:val="auto"/>
                <w:sz w:val="19"/>
                <w:highlight w:val="none"/>
              </w:rPr>
              <w:t>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537" w:hRule="atLeast"/>
        </w:trPr>
        <w:tc>
          <w:tcPr>
            <w:tcW w:w="1164" w:type="dxa"/>
            <w:vMerge w:val="continue"/>
            <w:tcBorders>
              <w:top w:val="nil"/>
            </w:tcBorders>
          </w:tcPr>
          <w:p>
            <w:pPr>
              <w:rPr>
                <w:color w:val="auto"/>
                <w:sz w:val="2"/>
                <w:szCs w:val="2"/>
                <w:highlight w:val="none"/>
              </w:rPr>
            </w:pPr>
          </w:p>
        </w:tc>
        <w:tc>
          <w:tcPr>
            <w:tcW w:w="2928" w:type="dxa"/>
          </w:tcPr>
          <w:p>
            <w:pPr>
              <w:pStyle w:val="60"/>
              <w:spacing w:before="48" w:line="355" w:lineRule="auto"/>
              <w:ind w:right="48"/>
              <w:rPr>
                <w:rFonts w:hint="eastAsia"/>
                <w:color w:val="auto"/>
                <w:sz w:val="19"/>
                <w:highlight w:val="none"/>
              </w:rPr>
            </w:pPr>
          </w:p>
          <w:p>
            <w:pPr>
              <w:pStyle w:val="60"/>
              <w:spacing w:before="48" w:line="355" w:lineRule="auto"/>
              <w:ind w:right="48"/>
              <w:rPr>
                <w:rFonts w:hint="eastAsia"/>
                <w:color w:val="auto"/>
                <w:sz w:val="19"/>
                <w:highlight w:val="none"/>
              </w:rPr>
            </w:pPr>
          </w:p>
          <w:p>
            <w:pPr>
              <w:pStyle w:val="60"/>
              <w:spacing w:before="48" w:line="355" w:lineRule="auto"/>
              <w:ind w:left="65" w:right="48"/>
              <w:rPr>
                <w:rFonts w:hint="eastAsia"/>
                <w:color w:val="auto"/>
                <w:sz w:val="19"/>
                <w:highlight w:val="none"/>
              </w:rPr>
            </w:pPr>
            <w:r>
              <w:rPr>
                <w:rFonts w:hint="eastAsia"/>
                <w:color w:val="auto"/>
                <w:sz w:val="19"/>
                <w:highlight w:val="none"/>
              </w:rPr>
              <w:t>疫情防控措施及方案 (</w:t>
            </w:r>
            <w:r>
              <w:rPr>
                <w:rFonts w:hint="eastAsia"/>
                <w:color w:val="auto"/>
                <w:sz w:val="19"/>
                <w:highlight w:val="none"/>
                <w:lang w:val="en-US" w:eastAsia="zh-CN"/>
              </w:rPr>
              <w:t>10</w:t>
            </w:r>
            <w:r>
              <w:rPr>
                <w:rFonts w:hint="eastAsia"/>
                <w:color w:val="auto"/>
                <w:sz w:val="19"/>
                <w:highlight w:val="none"/>
              </w:rPr>
              <w:t xml:space="preserve">.0分) </w:t>
            </w:r>
          </w:p>
          <w:p>
            <w:pPr>
              <w:pStyle w:val="60"/>
              <w:ind w:left="64"/>
              <w:rPr>
                <w:color w:val="auto"/>
                <w:w w:val="101"/>
                <w:sz w:val="19"/>
                <w:highlight w:val="none"/>
              </w:rPr>
            </w:pPr>
          </w:p>
          <w:p>
            <w:pPr>
              <w:pStyle w:val="60"/>
              <w:ind w:left="64"/>
              <w:rPr>
                <w:color w:val="auto"/>
                <w:sz w:val="19"/>
                <w:highlight w:val="none"/>
              </w:rPr>
            </w:pPr>
          </w:p>
        </w:tc>
        <w:tc>
          <w:tcPr>
            <w:tcW w:w="5604" w:type="dxa"/>
          </w:tcPr>
          <w:p>
            <w:pPr>
              <w:pStyle w:val="60"/>
              <w:spacing w:before="48" w:line="355" w:lineRule="auto"/>
              <w:ind w:left="65" w:right="48"/>
              <w:rPr>
                <w:rFonts w:hint="eastAsia" w:eastAsia="宋体"/>
                <w:color w:val="auto"/>
                <w:sz w:val="19"/>
                <w:highlight w:val="none"/>
                <w:lang w:eastAsia="zh-CN"/>
              </w:rPr>
            </w:pPr>
            <w:r>
              <w:rPr>
                <w:rFonts w:hint="eastAsia"/>
                <w:color w:val="auto"/>
                <w:sz w:val="19"/>
                <w:highlight w:val="none"/>
              </w:rPr>
              <w:t>根据投标供应商提供的针对本项目制定的疫情防控措施、方案进行评审， 疫情防控措施及方案内容详细、全面、科学、合理，得</w:t>
            </w:r>
            <w:r>
              <w:rPr>
                <w:rFonts w:hint="eastAsia"/>
                <w:color w:val="auto"/>
                <w:sz w:val="19"/>
                <w:highlight w:val="none"/>
                <w:lang w:val="en-US" w:eastAsia="zh-CN"/>
              </w:rPr>
              <w:t>10</w:t>
            </w:r>
            <w:r>
              <w:rPr>
                <w:rFonts w:hint="eastAsia"/>
                <w:color w:val="auto"/>
                <w:sz w:val="19"/>
                <w:highlight w:val="none"/>
              </w:rPr>
              <w:t>分；疫情防控措施 及方案内容基本详细、基本全面、基本科学、基本合理，得</w:t>
            </w:r>
            <w:r>
              <w:rPr>
                <w:rFonts w:hint="eastAsia"/>
                <w:color w:val="auto"/>
                <w:sz w:val="19"/>
                <w:highlight w:val="none"/>
                <w:lang w:val="en-US" w:eastAsia="zh-CN"/>
              </w:rPr>
              <w:t>6</w:t>
            </w:r>
            <w:r>
              <w:rPr>
                <w:rFonts w:hint="eastAsia"/>
                <w:color w:val="auto"/>
                <w:sz w:val="19"/>
                <w:highlight w:val="none"/>
              </w:rPr>
              <w:t>分；疫情防控 措施及方案内容思路一般，可行性一般，得</w:t>
            </w:r>
            <w:r>
              <w:rPr>
                <w:rFonts w:hint="eastAsia"/>
                <w:color w:val="auto"/>
                <w:sz w:val="19"/>
                <w:highlight w:val="none"/>
                <w:lang w:val="en-US" w:eastAsia="zh-CN"/>
              </w:rPr>
              <w:t>3</w:t>
            </w:r>
            <w:r>
              <w:rPr>
                <w:rFonts w:hint="eastAsia"/>
                <w:color w:val="auto"/>
                <w:sz w:val="19"/>
                <w:highlight w:val="none"/>
              </w:rPr>
              <w:t>分；未提供的得0分</w:t>
            </w:r>
            <w:r>
              <w:rPr>
                <w:rFonts w:hint="eastAsia"/>
                <w:color w:val="auto"/>
                <w:sz w:val="19"/>
                <w:highlight w:val="none"/>
                <w:lang w:eastAsia="zh-CN"/>
              </w:rPr>
              <w:t>。</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1437" w:hRule="atLeast"/>
        </w:trPr>
        <w:tc>
          <w:tcPr>
            <w:tcW w:w="1164" w:type="dxa"/>
            <w:vMerge w:val="restart"/>
            <w:shd w:val="clear" w:color="auto" w:fill="F6F6F6"/>
          </w:tcPr>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rPr>
                <w:color w:val="auto"/>
                <w:sz w:val="18"/>
                <w:highlight w:val="none"/>
              </w:rPr>
            </w:pPr>
          </w:p>
          <w:p>
            <w:pPr>
              <w:pStyle w:val="60"/>
              <w:spacing w:before="156"/>
              <w:ind w:left="196"/>
              <w:rPr>
                <w:color w:val="auto"/>
                <w:sz w:val="19"/>
                <w:highlight w:val="none"/>
              </w:rPr>
            </w:pPr>
            <w:r>
              <w:rPr>
                <w:color w:val="auto"/>
                <w:sz w:val="19"/>
                <w:highlight w:val="none"/>
              </w:rPr>
              <w:t>商务部分</w:t>
            </w:r>
          </w:p>
        </w:tc>
        <w:tc>
          <w:tcPr>
            <w:tcW w:w="2928" w:type="dxa"/>
            <w:shd w:val="clear" w:color="auto" w:fill="F6F6F6"/>
          </w:tcPr>
          <w:p>
            <w:pPr>
              <w:pStyle w:val="60"/>
              <w:rPr>
                <w:color w:val="auto"/>
                <w:sz w:val="22"/>
                <w:highlight w:val="none"/>
              </w:rPr>
            </w:pPr>
          </w:p>
          <w:p>
            <w:pPr>
              <w:pStyle w:val="60"/>
              <w:spacing w:before="12"/>
              <w:rPr>
                <w:color w:val="auto"/>
                <w:sz w:val="23"/>
                <w:highlight w:val="none"/>
              </w:rPr>
            </w:pPr>
          </w:p>
          <w:p>
            <w:pPr>
              <w:pStyle w:val="60"/>
              <w:rPr>
                <w:color w:val="auto"/>
                <w:w w:val="101"/>
                <w:sz w:val="19"/>
                <w:highlight w:val="none"/>
              </w:rPr>
            </w:pPr>
          </w:p>
          <w:p>
            <w:pPr>
              <w:pStyle w:val="60"/>
              <w:rPr>
                <w:rFonts w:hint="eastAsia" w:eastAsia="宋体"/>
                <w:color w:val="auto"/>
                <w:sz w:val="19"/>
                <w:highlight w:val="none"/>
                <w:lang w:eastAsia="zh-CN"/>
              </w:rPr>
            </w:pPr>
            <w:r>
              <w:rPr>
                <w:color w:val="auto"/>
                <w:w w:val="101"/>
                <w:sz w:val="19"/>
                <w:highlight w:val="none"/>
              </w:rPr>
              <w:t>业绩</w:t>
            </w:r>
            <w:r>
              <w:rPr>
                <w:color w:val="auto"/>
                <w:spacing w:val="-35"/>
                <w:sz w:val="19"/>
                <w:highlight w:val="none"/>
              </w:rPr>
              <w:t xml:space="preserve"> </w:t>
            </w:r>
            <w:r>
              <w:rPr>
                <w:color w:val="auto"/>
                <w:spacing w:val="-3"/>
                <w:w w:val="78"/>
                <w:sz w:val="19"/>
                <w:highlight w:val="none"/>
              </w:rPr>
              <w:t>(</w:t>
            </w:r>
            <w:r>
              <w:rPr>
                <w:color w:val="auto"/>
                <w:spacing w:val="-3"/>
                <w:w w:val="128"/>
                <w:sz w:val="19"/>
                <w:highlight w:val="none"/>
              </w:rPr>
              <w:t>12</w:t>
            </w:r>
            <w:r>
              <w:rPr>
                <w:color w:val="auto"/>
                <w:spacing w:val="-2"/>
                <w:w w:val="64"/>
                <w:sz w:val="19"/>
                <w:highlight w:val="none"/>
              </w:rPr>
              <w:t>.</w:t>
            </w:r>
            <w:r>
              <w:rPr>
                <w:color w:val="auto"/>
                <w:spacing w:val="-3"/>
                <w:w w:val="128"/>
                <w:sz w:val="19"/>
                <w:highlight w:val="none"/>
              </w:rPr>
              <w:t>0</w:t>
            </w:r>
            <w:r>
              <w:rPr>
                <w:rFonts w:hint="eastAsia"/>
                <w:color w:val="auto"/>
                <w:spacing w:val="-3"/>
                <w:w w:val="128"/>
                <w:sz w:val="19"/>
                <w:highlight w:val="none"/>
                <w:lang w:eastAsia="zh-CN"/>
              </w:rPr>
              <w:t>分）</w:t>
            </w:r>
          </w:p>
        </w:tc>
        <w:tc>
          <w:tcPr>
            <w:tcW w:w="5604" w:type="dxa"/>
            <w:shd w:val="clear" w:color="auto" w:fill="F6F6F6"/>
          </w:tcPr>
          <w:p>
            <w:pPr>
              <w:pStyle w:val="60"/>
              <w:spacing w:before="48" w:line="355" w:lineRule="auto"/>
              <w:ind w:left="65" w:right="58"/>
              <w:jc w:val="both"/>
              <w:rPr>
                <w:rFonts w:hint="eastAsia" w:eastAsia="宋体"/>
                <w:color w:val="auto"/>
                <w:sz w:val="19"/>
                <w:highlight w:val="none"/>
                <w:lang w:eastAsia="zh-CN"/>
              </w:rPr>
            </w:pPr>
            <w:r>
              <w:rPr>
                <w:color w:val="auto"/>
                <w:sz w:val="19"/>
                <w:highlight w:val="none"/>
              </w:rPr>
              <w:t>根据投标供应商的</w:t>
            </w:r>
            <w:r>
              <w:rPr>
                <w:color w:val="auto"/>
                <w:spacing w:val="-3"/>
                <w:sz w:val="19"/>
                <w:highlight w:val="none"/>
              </w:rPr>
              <w:t>20</w:t>
            </w:r>
            <w:r>
              <w:rPr>
                <w:rFonts w:hint="eastAsia"/>
                <w:color w:val="auto"/>
                <w:spacing w:val="-3"/>
                <w:sz w:val="19"/>
                <w:highlight w:val="none"/>
                <w:lang w:val="en-US" w:eastAsia="zh-CN"/>
              </w:rPr>
              <w:t>20</w:t>
            </w:r>
            <w:r>
              <w:rPr>
                <w:color w:val="auto"/>
                <w:sz w:val="19"/>
                <w:highlight w:val="none"/>
              </w:rPr>
              <w:t>年</w:t>
            </w:r>
            <w:r>
              <w:rPr>
                <w:color w:val="auto"/>
                <w:spacing w:val="-3"/>
                <w:sz w:val="19"/>
                <w:highlight w:val="none"/>
              </w:rPr>
              <w:t>1</w:t>
            </w:r>
            <w:r>
              <w:rPr>
                <w:color w:val="auto"/>
                <w:sz w:val="19"/>
                <w:highlight w:val="none"/>
              </w:rPr>
              <w:t>月</w:t>
            </w:r>
            <w:r>
              <w:rPr>
                <w:color w:val="auto"/>
                <w:spacing w:val="-3"/>
                <w:sz w:val="19"/>
                <w:highlight w:val="none"/>
              </w:rPr>
              <w:t>1</w:t>
            </w:r>
            <w:r>
              <w:rPr>
                <w:color w:val="auto"/>
                <w:sz w:val="19"/>
                <w:highlight w:val="none"/>
              </w:rPr>
              <w:t>日（以合同签订日期为准）至今同类项目</w:t>
            </w:r>
            <w:r>
              <w:rPr>
                <w:rFonts w:hint="eastAsia"/>
                <w:color w:val="auto"/>
                <w:sz w:val="19"/>
                <w:highlight w:val="none"/>
                <w:lang w:eastAsia="zh-CN"/>
              </w:rPr>
              <w:t>业</w:t>
            </w:r>
            <w:r>
              <w:rPr>
                <w:color w:val="auto"/>
                <w:sz w:val="19"/>
                <w:highlight w:val="none"/>
              </w:rPr>
              <w:t>绩（须提供中标通知书或成交通知书或合同扫描件）进行评审，每提供</w:t>
            </w:r>
            <w:r>
              <w:rPr>
                <w:color w:val="auto"/>
                <w:spacing w:val="-3"/>
                <w:sz w:val="19"/>
                <w:highlight w:val="none"/>
              </w:rPr>
              <w:t>1</w:t>
            </w:r>
            <w:r>
              <w:rPr>
                <w:color w:val="auto"/>
                <w:sz w:val="19"/>
                <w:highlight w:val="none"/>
              </w:rPr>
              <w:t>份真实完整的业绩得</w:t>
            </w:r>
            <w:r>
              <w:rPr>
                <w:rFonts w:hint="eastAsia"/>
                <w:color w:val="auto"/>
                <w:sz w:val="19"/>
                <w:highlight w:val="none"/>
                <w:lang w:val="en-US" w:eastAsia="zh-CN"/>
              </w:rPr>
              <w:t>2</w:t>
            </w:r>
            <w:r>
              <w:rPr>
                <w:color w:val="auto"/>
                <w:sz w:val="19"/>
                <w:highlight w:val="none"/>
              </w:rPr>
              <w:t>分，未提供或提供不符合要求的不得分，本项最高得</w:t>
            </w:r>
            <w:r>
              <w:rPr>
                <w:color w:val="auto"/>
                <w:spacing w:val="-10"/>
                <w:sz w:val="19"/>
                <w:highlight w:val="none"/>
              </w:rPr>
              <w:t>12</w:t>
            </w:r>
            <w:r>
              <w:rPr>
                <w:color w:val="auto"/>
                <w:sz w:val="19"/>
                <w:highlight w:val="none"/>
              </w:rPr>
              <w:t>分</w:t>
            </w:r>
            <w:r>
              <w:rPr>
                <w:rFonts w:hint="eastAsia"/>
                <w:color w:val="auto"/>
                <w:sz w:val="19"/>
                <w:highlight w:val="none"/>
                <w:lang w:eastAsia="zh-CN"/>
              </w:rPr>
              <w:t>。</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1488" w:hRule="atLeast"/>
        </w:trPr>
        <w:tc>
          <w:tcPr>
            <w:tcW w:w="1164" w:type="dxa"/>
            <w:vMerge w:val="continue"/>
            <w:tcBorders>
              <w:top w:val="nil"/>
            </w:tcBorders>
            <w:shd w:val="clear" w:color="auto" w:fill="F6F6F6"/>
          </w:tcPr>
          <w:p>
            <w:pPr>
              <w:rPr>
                <w:color w:val="auto"/>
                <w:sz w:val="2"/>
                <w:szCs w:val="2"/>
                <w:highlight w:val="none"/>
              </w:rPr>
            </w:pPr>
          </w:p>
        </w:tc>
        <w:tc>
          <w:tcPr>
            <w:tcW w:w="2928" w:type="dxa"/>
          </w:tcPr>
          <w:p>
            <w:pPr>
              <w:pStyle w:val="60"/>
              <w:rPr>
                <w:color w:val="auto"/>
                <w:sz w:val="22"/>
                <w:highlight w:val="none"/>
              </w:rPr>
            </w:pPr>
          </w:p>
          <w:p>
            <w:pPr>
              <w:pStyle w:val="60"/>
              <w:spacing w:before="12"/>
              <w:rPr>
                <w:color w:val="auto"/>
                <w:sz w:val="23"/>
                <w:highlight w:val="none"/>
              </w:rPr>
            </w:pPr>
          </w:p>
          <w:p>
            <w:pPr>
              <w:pStyle w:val="60"/>
              <w:ind w:left="64"/>
              <w:jc w:val="left"/>
              <w:rPr>
                <w:rFonts w:hint="eastAsia" w:ascii="宋体" w:hAnsi="宋体" w:eastAsia="宋体" w:cs="宋体"/>
                <w:color w:val="auto"/>
                <w:w w:val="101"/>
                <w:sz w:val="19"/>
                <w:highlight w:val="none"/>
                <w:lang w:val="en-US" w:eastAsia="zh-CN"/>
              </w:rPr>
            </w:pPr>
          </w:p>
          <w:p>
            <w:pPr>
              <w:pStyle w:val="60"/>
              <w:ind w:left="64"/>
              <w:jc w:val="left"/>
              <w:rPr>
                <w:rFonts w:hint="eastAsia" w:ascii="宋体" w:hAnsi="宋体" w:eastAsia="宋体" w:cs="宋体"/>
                <w:color w:val="auto"/>
                <w:w w:val="101"/>
                <w:sz w:val="19"/>
                <w:highlight w:val="none"/>
                <w:lang w:val="en-US" w:eastAsia="zh-CN"/>
              </w:rPr>
            </w:pPr>
          </w:p>
          <w:p>
            <w:pPr>
              <w:pStyle w:val="60"/>
              <w:jc w:val="left"/>
              <w:rPr>
                <w:color w:val="auto"/>
                <w:sz w:val="19"/>
                <w:highlight w:val="none"/>
              </w:rPr>
            </w:pPr>
            <w:r>
              <w:rPr>
                <w:rFonts w:hint="eastAsia" w:ascii="宋体" w:hAnsi="宋体" w:eastAsia="宋体" w:cs="宋体"/>
                <w:color w:val="auto"/>
                <w:w w:val="101"/>
                <w:sz w:val="19"/>
                <w:highlight w:val="none"/>
                <w:lang w:val="en-US" w:eastAsia="zh-CN"/>
              </w:rPr>
              <w:t>售后服务方案</w:t>
            </w:r>
            <w:r>
              <w:rPr>
                <w:color w:val="auto"/>
                <w:spacing w:val="-35"/>
                <w:sz w:val="19"/>
                <w:highlight w:val="none"/>
              </w:rPr>
              <w:t xml:space="preserve"> </w:t>
            </w:r>
            <w:r>
              <w:rPr>
                <w:color w:val="auto"/>
                <w:spacing w:val="-3"/>
                <w:w w:val="78"/>
                <w:sz w:val="19"/>
                <w:highlight w:val="none"/>
              </w:rPr>
              <w:t>(</w:t>
            </w:r>
            <w:r>
              <w:rPr>
                <w:color w:val="auto"/>
                <w:spacing w:val="-3"/>
                <w:w w:val="128"/>
                <w:sz w:val="19"/>
                <w:highlight w:val="none"/>
              </w:rPr>
              <w:t>8</w:t>
            </w:r>
            <w:r>
              <w:rPr>
                <w:color w:val="auto"/>
                <w:spacing w:val="-2"/>
                <w:w w:val="64"/>
                <w:sz w:val="19"/>
                <w:highlight w:val="none"/>
              </w:rPr>
              <w:t>.</w:t>
            </w:r>
            <w:r>
              <w:rPr>
                <w:color w:val="auto"/>
                <w:spacing w:val="-3"/>
                <w:w w:val="128"/>
                <w:sz w:val="19"/>
                <w:highlight w:val="none"/>
              </w:rPr>
              <w:t>0</w:t>
            </w:r>
            <w:r>
              <w:rPr>
                <w:color w:val="auto"/>
                <w:w w:val="101"/>
                <w:sz w:val="19"/>
                <w:highlight w:val="none"/>
              </w:rPr>
              <w:t>分</w:t>
            </w:r>
            <w:r>
              <w:rPr>
                <w:color w:val="auto"/>
                <w:w w:val="78"/>
                <w:sz w:val="19"/>
                <w:highlight w:val="none"/>
              </w:rPr>
              <w:t>)</w:t>
            </w:r>
          </w:p>
        </w:tc>
        <w:tc>
          <w:tcPr>
            <w:tcW w:w="5604" w:type="dxa"/>
          </w:tcPr>
          <w:p>
            <w:pPr>
              <w:pStyle w:val="60"/>
              <w:spacing w:line="360" w:lineRule="auto"/>
              <w:ind w:left="65"/>
              <w:rPr>
                <w:color w:val="auto"/>
                <w:sz w:val="19"/>
                <w:highlight w:val="none"/>
              </w:rPr>
            </w:pPr>
            <w:r>
              <w:rPr>
                <w:rFonts w:hint="eastAsia"/>
                <w:color w:val="auto"/>
                <w:sz w:val="19"/>
                <w:highlight w:val="none"/>
              </w:rPr>
              <w:t>根据售后服务方案、</w:t>
            </w:r>
            <w:r>
              <w:rPr>
                <w:rFonts w:hint="eastAsia"/>
                <w:color w:val="auto"/>
                <w:sz w:val="19"/>
                <w:highlight w:val="none"/>
                <w:lang w:val="en-US" w:eastAsia="zh-CN"/>
              </w:rPr>
              <w:t>人员</w:t>
            </w:r>
            <w:r>
              <w:rPr>
                <w:rFonts w:hint="eastAsia"/>
                <w:color w:val="auto"/>
                <w:sz w:val="19"/>
                <w:highlight w:val="none"/>
              </w:rPr>
              <w:t>设置等情况，对交货后不符合规格及</w:t>
            </w:r>
            <w:r>
              <w:rPr>
                <w:rFonts w:hint="eastAsia"/>
                <w:color w:val="auto"/>
                <w:sz w:val="19"/>
                <w:highlight w:val="none"/>
                <w:lang w:val="en-US" w:eastAsia="zh-CN"/>
              </w:rPr>
              <w:t>保质期</w:t>
            </w:r>
            <w:r>
              <w:rPr>
                <w:rFonts w:hint="eastAsia"/>
                <w:color w:val="auto"/>
                <w:sz w:val="19"/>
                <w:highlight w:val="none"/>
              </w:rPr>
              <w:t>出现问题所采取的措施，在有效期内上门服务</w:t>
            </w:r>
            <w:r>
              <w:rPr>
                <w:rFonts w:hint="eastAsia"/>
                <w:color w:val="auto"/>
                <w:sz w:val="19"/>
                <w:highlight w:val="none"/>
                <w:lang w:val="en-US" w:eastAsia="zh-CN"/>
              </w:rPr>
              <w:t>解决问题</w:t>
            </w:r>
            <w:r>
              <w:rPr>
                <w:rFonts w:hint="eastAsia"/>
                <w:color w:val="auto"/>
                <w:sz w:val="19"/>
                <w:highlight w:val="none"/>
              </w:rPr>
              <w:t>的可行性、完整性，服务承诺落实的保障措施及是否能提供快速的售后服务响应等进行评审：合理、全面完整、明晰、切实可行，得8分 ；较合理、较全面完整、较明晰，得5分；</w:t>
            </w:r>
            <w:r>
              <w:rPr>
                <w:rFonts w:hint="eastAsia"/>
                <w:color w:val="auto"/>
                <w:sz w:val="19"/>
                <w:highlight w:val="none"/>
                <w:lang w:eastAsia="zh-CN"/>
              </w:rPr>
              <w:t>不完整、不全面</w:t>
            </w:r>
            <w:r>
              <w:rPr>
                <w:rFonts w:hint="eastAsia"/>
                <w:color w:val="auto"/>
                <w:sz w:val="19"/>
                <w:highlight w:val="none"/>
              </w:rPr>
              <w:t>或仅有简单内容得2分。未提供措施或措施无实质性内容得0分。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PrEx>
        <w:trPr>
          <w:trHeight w:val="1437" w:hRule="atLeast"/>
        </w:trPr>
        <w:tc>
          <w:tcPr>
            <w:tcW w:w="1164" w:type="dxa"/>
            <w:shd w:val="clear" w:color="auto" w:fill="F6F6F6"/>
          </w:tcPr>
          <w:p>
            <w:pPr>
              <w:pStyle w:val="60"/>
              <w:rPr>
                <w:color w:val="auto"/>
                <w:sz w:val="18"/>
                <w:highlight w:val="none"/>
              </w:rPr>
            </w:pPr>
          </w:p>
          <w:p>
            <w:pPr>
              <w:pStyle w:val="60"/>
              <w:rPr>
                <w:color w:val="auto"/>
                <w:sz w:val="18"/>
                <w:highlight w:val="none"/>
              </w:rPr>
            </w:pPr>
          </w:p>
          <w:p>
            <w:pPr>
              <w:pStyle w:val="60"/>
              <w:spacing w:before="127"/>
              <w:ind w:left="180" w:right="168"/>
              <w:jc w:val="center"/>
              <w:rPr>
                <w:color w:val="auto"/>
                <w:sz w:val="19"/>
                <w:highlight w:val="none"/>
              </w:rPr>
            </w:pPr>
            <w:r>
              <w:rPr>
                <w:color w:val="auto"/>
                <w:sz w:val="19"/>
                <w:highlight w:val="none"/>
              </w:rPr>
              <w:t>投标报价</w:t>
            </w:r>
          </w:p>
        </w:tc>
        <w:tc>
          <w:tcPr>
            <w:tcW w:w="2928" w:type="dxa"/>
            <w:shd w:val="clear" w:color="auto" w:fill="F6F6F6"/>
          </w:tcPr>
          <w:p>
            <w:pPr>
              <w:pStyle w:val="60"/>
              <w:rPr>
                <w:color w:val="auto"/>
                <w:sz w:val="22"/>
                <w:highlight w:val="none"/>
              </w:rPr>
            </w:pPr>
          </w:p>
          <w:p>
            <w:pPr>
              <w:pStyle w:val="60"/>
              <w:spacing w:before="12"/>
              <w:rPr>
                <w:color w:val="auto"/>
                <w:sz w:val="23"/>
                <w:highlight w:val="none"/>
              </w:rPr>
            </w:pPr>
          </w:p>
          <w:p>
            <w:pPr>
              <w:pStyle w:val="60"/>
              <w:ind w:left="64"/>
              <w:rPr>
                <w:color w:val="auto"/>
                <w:w w:val="101"/>
                <w:sz w:val="19"/>
                <w:highlight w:val="none"/>
              </w:rPr>
            </w:pPr>
          </w:p>
          <w:p>
            <w:pPr>
              <w:pStyle w:val="60"/>
              <w:ind w:left="64"/>
              <w:rPr>
                <w:color w:val="auto"/>
                <w:sz w:val="19"/>
                <w:highlight w:val="none"/>
              </w:rPr>
            </w:pPr>
            <w:r>
              <w:rPr>
                <w:color w:val="auto"/>
                <w:w w:val="101"/>
                <w:sz w:val="19"/>
                <w:highlight w:val="none"/>
              </w:rPr>
              <w:t>投标报价得分</w:t>
            </w:r>
            <w:r>
              <w:rPr>
                <w:color w:val="auto"/>
                <w:spacing w:val="-35"/>
                <w:sz w:val="19"/>
                <w:highlight w:val="none"/>
              </w:rPr>
              <w:t xml:space="preserve"> </w:t>
            </w:r>
            <w:r>
              <w:rPr>
                <w:color w:val="auto"/>
                <w:spacing w:val="-3"/>
                <w:w w:val="78"/>
                <w:sz w:val="19"/>
                <w:highlight w:val="none"/>
              </w:rPr>
              <w:t>(</w:t>
            </w:r>
            <w:r>
              <w:rPr>
                <w:color w:val="auto"/>
                <w:spacing w:val="-3"/>
                <w:w w:val="128"/>
                <w:sz w:val="19"/>
                <w:highlight w:val="none"/>
              </w:rPr>
              <w:t>30</w:t>
            </w:r>
            <w:r>
              <w:rPr>
                <w:color w:val="auto"/>
                <w:spacing w:val="-2"/>
                <w:w w:val="64"/>
                <w:sz w:val="19"/>
                <w:highlight w:val="none"/>
              </w:rPr>
              <w:t>.</w:t>
            </w:r>
            <w:r>
              <w:rPr>
                <w:color w:val="auto"/>
                <w:spacing w:val="-3"/>
                <w:w w:val="128"/>
                <w:sz w:val="19"/>
                <w:highlight w:val="none"/>
              </w:rPr>
              <w:t>0</w:t>
            </w:r>
            <w:r>
              <w:rPr>
                <w:color w:val="auto"/>
                <w:w w:val="101"/>
                <w:sz w:val="19"/>
                <w:highlight w:val="none"/>
              </w:rPr>
              <w:t>分</w:t>
            </w:r>
            <w:r>
              <w:rPr>
                <w:color w:val="auto"/>
                <w:w w:val="78"/>
                <w:sz w:val="19"/>
                <w:highlight w:val="none"/>
              </w:rPr>
              <w:t>)</w:t>
            </w:r>
          </w:p>
        </w:tc>
        <w:tc>
          <w:tcPr>
            <w:tcW w:w="5604" w:type="dxa"/>
            <w:shd w:val="clear" w:color="auto" w:fill="F6F6F6"/>
          </w:tcPr>
          <w:p>
            <w:pPr>
              <w:pStyle w:val="60"/>
              <w:spacing w:before="48" w:line="355" w:lineRule="auto"/>
              <w:ind w:left="65" w:right="204"/>
              <w:jc w:val="both"/>
              <w:rPr>
                <w:color w:val="auto"/>
                <w:sz w:val="19"/>
                <w:highlight w:val="none"/>
              </w:rPr>
            </w:pPr>
            <w:r>
              <w:rPr>
                <w:color w:val="auto"/>
                <w:sz w:val="19"/>
                <w:highlight w:val="none"/>
              </w:rPr>
              <w:t>投标报价得分＝（评标基准价</w:t>
            </w:r>
            <w:r>
              <w:rPr>
                <w:color w:val="auto"/>
                <w:spacing w:val="-5"/>
                <w:sz w:val="19"/>
                <w:highlight w:val="none"/>
              </w:rPr>
              <w:t>/</w:t>
            </w:r>
            <w:r>
              <w:rPr>
                <w:color w:val="auto"/>
                <w:sz w:val="19"/>
                <w:highlight w:val="none"/>
              </w:rPr>
              <w:t>投标报价</w:t>
            </w:r>
            <w:r>
              <w:rPr>
                <w:color w:val="auto"/>
                <w:spacing w:val="-3"/>
                <w:sz w:val="19"/>
                <w:highlight w:val="none"/>
              </w:rPr>
              <w:t>）</w:t>
            </w:r>
            <w:r>
              <w:rPr>
                <w:color w:val="auto"/>
                <w:spacing w:val="-4"/>
                <w:sz w:val="19"/>
                <w:highlight w:val="none"/>
              </w:rPr>
              <w:t>×价格分值【注：满足招标文件</w:t>
            </w:r>
            <w:r>
              <w:rPr>
                <w:color w:val="auto"/>
                <w:sz w:val="19"/>
                <w:highlight w:val="none"/>
              </w:rPr>
              <w:t>要求且投标价格最低的投标报价为评标基准价。】最低报价不是中标的唯一依据。因落实政府采购政策进行价格调整的，以调整后的价格计算评标基准价和投标报价。</w:t>
            </w:r>
          </w:p>
        </w:tc>
      </w:tr>
    </w:tbl>
    <w:p>
      <w:pPr>
        <w:pStyle w:val="20"/>
        <w:ind w:left="0" w:leftChars="0" w:firstLine="0" w:firstLineChars="0"/>
        <w:rPr>
          <w:rFonts w:hint="eastAsia"/>
          <w:color w:val="auto"/>
          <w:highlight w:val="none"/>
          <w:lang w:eastAsia="zh-CN"/>
        </w:rPr>
      </w:pPr>
    </w:p>
    <w:p>
      <w:pPr>
        <w:pStyle w:val="20"/>
        <w:rPr>
          <w:rFonts w:hint="eastAsia"/>
          <w:color w:val="auto"/>
          <w:highlight w:val="none"/>
          <w:lang w:eastAsia="zh-CN"/>
        </w:rPr>
      </w:pPr>
      <w:r>
        <w:rPr>
          <w:rFonts w:hint="eastAsia"/>
          <w:color w:val="auto"/>
          <w:highlight w:val="none"/>
          <w:lang w:eastAsia="zh-CN"/>
        </w:rPr>
        <w:t>支持残疾人福利性单位发展依照《政府采购促进中小企业发展管理办法》（财库[2020]46号）、《关于政府采购支持监狱企业发展有关问题的通知》（财库[2014]68号）和《财政部、民政部、中国残疾人联合会关于促进残疾人就业政府采购政策的通知》（财库[2017]141号）、赤峰市财政局、赤峰市工业和信息化局《赤峰市财政局、工业和信息化局关于转发《内蒙古自治区财政厅、工业和信息化厅关于做好政府采购促进中小企业发展有关工作的通知》的通知》（赤财购[2021]57号）的规定、《财政部关于进一步加大政府采购支持中小企业力度的通知》（财库【</w:t>
      </w:r>
      <w:r>
        <w:rPr>
          <w:rFonts w:hint="eastAsia"/>
          <w:color w:val="auto"/>
          <w:highlight w:val="none"/>
          <w:lang w:val="en-US" w:eastAsia="zh-CN"/>
        </w:rPr>
        <w:t>2022</w:t>
      </w:r>
      <w:r>
        <w:rPr>
          <w:rFonts w:hint="eastAsia"/>
          <w:color w:val="auto"/>
          <w:highlight w:val="none"/>
          <w:lang w:eastAsia="zh-CN"/>
        </w:rPr>
        <w:t>】</w:t>
      </w:r>
      <w:r>
        <w:rPr>
          <w:rFonts w:hint="eastAsia"/>
          <w:color w:val="auto"/>
          <w:highlight w:val="none"/>
          <w:lang w:val="en-US" w:eastAsia="zh-CN"/>
        </w:rPr>
        <w:t>19号</w:t>
      </w:r>
      <w:r>
        <w:rPr>
          <w:rFonts w:hint="eastAsia"/>
          <w:color w:val="auto"/>
          <w:highlight w:val="none"/>
          <w:lang w:eastAsia="zh-CN"/>
        </w:rPr>
        <w:t>）、《内蒙古自治区财政厅关于贯彻落实进一步加大政府采购支持中小企业力度的通知》内财购【</w:t>
      </w:r>
      <w:r>
        <w:rPr>
          <w:rFonts w:hint="eastAsia"/>
          <w:color w:val="auto"/>
          <w:highlight w:val="none"/>
          <w:lang w:val="en-US" w:eastAsia="zh-CN"/>
        </w:rPr>
        <w:t>2022</w:t>
      </w:r>
      <w:r>
        <w:rPr>
          <w:rFonts w:hint="eastAsia"/>
          <w:color w:val="auto"/>
          <w:highlight w:val="none"/>
          <w:lang w:eastAsia="zh-CN"/>
        </w:rPr>
        <w:t>】</w:t>
      </w:r>
      <w:r>
        <w:rPr>
          <w:rFonts w:hint="eastAsia"/>
          <w:color w:val="auto"/>
          <w:highlight w:val="none"/>
          <w:lang w:val="en-US" w:eastAsia="zh-CN"/>
        </w:rPr>
        <w:t>778号</w:t>
      </w:r>
      <w:r>
        <w:rPr>
          <w:rFonts w:hint="eastAsia"/>
          <w:color w:val="auto"/>
          <w:highlight w:val="none"/>
          <w:lang w:eastAsia="zh-CN"/>
        </w:rPr>
        <w:t>，凡符合要求的小型、微型企业、监狱企业或残疾人福利性单位，按照</w:t>
      </w:r>
      <w:r>
        <w:rPr>
          <w:rFonts w:hint="eastAsia"/>
          <w:color w:val="auto"/>
          <w:highlight w:val="none"/>
          <w:lang w:val="en-US" w:eastAsia="zh-CN"/>
        </w:rPr>
        <w:t>10</w:t>
      </w:r>
      <w:r>
        <w:rPr>
          <w:rFonts w:hint="eastAsia"/>
          <w:color w:val="auto"/>
          <w:highlight w:val="none"/>
          <w:lang w:eastAsia="zh-CN"/>
        </w:rPr>
        <w:t>%的比例给予相应的价格扣除：（监狱企业、残疾人福利性单位视同为小、微企业）。</w:t>
      </w:r>
    </w:p>
    <w:p>
      <w:pPr>
        <w:pStyle w:val="20"/>
        <w:rPr>
          <w:rFonts w:hint="eastAsia"/>
          <w:color w:val="auto"/>
          <w:highlight w:val="none"/>
          <w:lang w:eastAsia="zh-CN"/>
        </w:rPr>
      </w:pPr>
      <w:r>
        <w:rPr>
          <w:rFonts w:hint="eastAsia"/>
          <w:color w:val="auto"/>
          <w:highlight w:val="none"/>
          <w:lang w:eastAsia="zh-CN"/>
        </w:rPr>
        <w:t xml:space="preserve">价格扣除相关要求。 </w:t>
      </w:r>
    </w:p>
    <w:p>
      <w:pPr>
        <w:pStyle w:val="20"/>
        <w:rPr>
          <w:rFonts w:hint="eastAsia"/>
          <w:color w:val="auto"/>
          <w:highlight w:val="none"/>
          <w:lang w:eastAsia="zh-CN"/>
        </w:rPr>
      </w:pPr>
      <w:r>
        <w:rPr>
          <w:rFonts w:hint="eastAsia"/>
          <w:color w:val="auto"/>
          <w:highlight w:val="none"/>
          <w:lang w:eastAsia="zh-CN"/>
        </w:rPr>
        <w:t xml:space="preserve">（1）所称小型和微型企业应当同时符合以下条件： </w:t>
      </w:r>
    </w:p>
    <w:p>
      <w:pPr>
        <w:pStyle w:val="20"/>
        <w:rPr>
          <w:rFonts w:hint="eastAsia"/>
          <w:color w:val="auto"/>
          <w:highlight w:val="none"/>
          <w:lang w:eastAsia="zh-CN"/>
        </w:rPr>
      </w:pPr>
      <w:r>
        <w:rPr>
          <w:rFonts w:hint="eastAsia"/>
          <w:color w:val="auto"/>
          <w:highlight w:val="none"/>
          <w:lang w:eastAsia="zh-CN"/>
        </w:rPr>
        <w:t xml:space="preserve">①符合中小企业划分标准； </w:t>
      </w:r>
    </w:p>
    <w:p>
      <w:pPr>
        <w:pStyle w:val="20"/>
        <w:rPr>
          <w:rFonts w:hint="eastAsia"/>
          <w:color w:val="auto"/>
          <w:highlight w:val="none"/>
          <w:lang w:eastAsia="zh-CN"/>
        </w:rPr>
      </w:pPr>
      <w:r>
        <w:rPr>
          <w:rFonts w:hint="eastAsia"/>
          <w:color w:val="auto"/>
          <w:highlight w:val="none"/>
          <w:lang w:eastAsia="zh-CN"/>
        </w:rPr>
        <w:t xml:space="preserve">②提供本企业制造的货物、承担的工程或者服务，或者提供其他中小企业制造的货物。本项所称货物不包括使用大型企业注册商标的货物。 </w:t>
      </w:r>
    </w:p>
    <w:p>
      <w:pPr>
        <w:pStyle w:val="20"/>
        <w:rPr>
          <w:rFonts w:hint="eastAsia"/>
          <w:color w:val="auto"/>
          <w:highlight w:val="none"/>
          <w:lang w:eastAsia="zh-CN"/>
        </w:rPr>
      </w:pPr>
      <w:r>
        <w:rPr>
          <w:rFonts w:hint="eastAsia"/>
          <w:color w:val="auto"/>
          <w:highlight w:val="none"/>
          <w:lang w:eastAsia="zh-CN"/>
        </w:rPr>
        <w:t xml:space="preserve">中小企业划分标准，是指国务院有关部门根据企业从业人员、营业收入、资产总额等指标制定的中小企业划型标准。 </w:t>
      </w:r>
    </w:p>
    <w:p>
      <w:pPr>
        <w:pStyle w:val="20"/>
        <w:rPr>
          <w:rFonts w:hint="eastAsia"/>
          <w:color w:val="auto"/>
          <w:highlight w:val="none"/>
          <w:lang w:eastAsia="zh-CN"/>
        </w:rPr>
      </w:pPr>
      <w:r>
        <w:rPr>
          <w:rFonts w:hint="eastAsia"/>
          <w:color w:val="auto"/>
          <w:highlight w:val="none"/>
          <w:lang w:eastAsia="zh-CN"/>
        </w:rPr>
        <w:t xml:space="preserve">小型、微型企业提供中型企业制造的货物的，视同为中型企业。符合中小企业划分标准的个体工商户，在政府采购活动中视同中小企业。 </w:t>
      </w:r>
    </w:p>
    <w:p>
      <w:pPr>
        <w:pStyle w:val="20"/>
        <w:rPr>
          <w:rFonts w:hint="eastAsia"/>
          <w:color w:val="auto"/>
          <w:highlight w:val="none"/>
          <w:lang w:eastAsia="zh-CN"/>
        </w:rPr>
      </w:pPr>
      <w:r>
        <w:rPr>
          <w:rFonts w:hint="eastAsia"/>
          <w:color w:val="auto"/>
          <w:highlight w:val="none"/>
          <w:lang w:eastAsia="zh-CN"/>
        </w:rPr>
        <w:t xml:space="preserve">（2）在政府采购活动中，供应商提供的货物、工程或者服务符合下列情形的，享受《政府采购促进中小企业发展管理办法》规定的中小企业扶持政策： </w:t>
      </w:r>
    </w:p>
    <w:p>
      <w:pPr>
        <w:pStyle w:val="20"/>
        <w:rPr>
          <w:rFonts w:hint="eastAsia"/>
          <w:color w:val="auto"/>
          <w:highlight w:val="none"/>
          <w:lang w:eastAsia="zh-CN"/>
        </w:rPr>
      </w:pPr>
      <w:r>
        <w:rPr>
          <w:rFonts w:hint="eastAsia"/>
          <w:color w:val="auto"/>
          <w:highlight w:val="none"/>
          <w:lang w:eastAsia="zh-CN"/>
        </w:rPr>
        <w:t xml:space="preserve">①在货物采购项目中，货物由中小企业制造，即货物由中小企业生产且使用该中小企业商号或者注册商标； </w:t>
      </w:r>
    </w:p>
    <w:p>
      <w:pPr>
        <w:pStyle w:val="20"/>
        <w:rPr>
          <w:rFonts w:hint="eastAsia"/>
          <w:color w:val="auto"/>
          <w:highlight w:val="none"/>
          <w:lang w:eastAsia="zh-CN"/>
        </w:rPr>
      </w:pPr>
      <w:r>
        <w:rPr>
          <w:rFonts w:hint="eastAsia"/>
          <w:color w:val="auto"/>
          <w:highlight w:val="none"/>
          <w:lang w:eastAsia="zh-CN"/>
        </w:rPr>
        <w:t xml:space="preserve">②在工程采购项目中，工程由中小企业承建，即工程施工单位为中小企业； </w:t>
      </w:r>
    </w:p>
    <w:p>
      <w:pPr>
        <w:pStyle w:val="20"/>
        <w:rPr>
          <w:rFonts w:hint="eastAsia"/>
          <w:color w:val="auto"/>
          <w:highlight w:val="none"/>
          <w:lang w:eastAsia="zh-CN"/>
        </w:rPr>
      </w:pPr>
      <w:r>
        <w:rPr>
          <w:rFonts w:hint="eastAsia"/>
          <w:color w:val="auto"/>
          <w:highlight w:val="none"/>
          <w:lang w:eastAsia="zh-CN"/>
        </w:rPr>
        <w:t xml:space="preserve">③在服务采购项目中，服务由中小企业承接，即提供服务的人员为中小企业依照《中华人民共和国劳动民法典》订立劳动合同的从业人员。 </w:t>
      </w:r>
    </w:p>
    <w:p>
      <w:pPr>
        <w:pStyle w:val="20"/>
        <w:rPr>
          <w:rFonts w:hint="eastAsia"/>
          <w:color w:val="auto"/>
          <w:highlight w:val="none"/>
          <w:lang w:eastAsia="zh-CN"/>
        </w:rPr>
      </w:pPr>
      <w:r>
        <w:rPr>
          <w:rFonts w:hint="eastAsia"/>
          <w:color w:val="auto"/>
          <w:highlight w:val="none"/>
          <w:lang w:eastAsia="zh-CN"/>
        </w:rPr>
        <w:t xml:space="preserve">在货物采购项目中，供应商提供的货物既有中小企业制造货物，也有大型企业制造货物的，不享受《政府采购促进中小企业发展管理办法》规定的中小企业扶持政策。 </w:t>
      </w:r>
    </w:p>
    <w:p>
      <w:pPr>
        <w:pStyle w:val="20"/>
        <w:rPr>
          <w:rFonts w:hint="eastAsia"/>
          <w:color w:val="auto"/>
          <w:highlight w:val="none"/>
          <w:lang w:eastAsia="zh-CN"/>
        </w:rPr>
      </w:pPr>
      <w:r>
        <w:rPr>
          <w:rFonts w:hint="eastAsia"/>
          <w:color w:val="auto"/>
          <w:highlight w:val="none"/>
          <w:lang w:eastAsia="zh-CN"/>
        </w:rPr>
        <w:t xml:space="preserve">以联合体形式参加政府采购活动，联合体各方均为中小企业的，联合体视同中小企业。其中，联合体各方均为小微企业的，联合体视同小微企业。 </w:t>
      </w:r>
    </w:p>
    <w:p>
      <w:pPr>
        <w:pStyle w:val="20"/>
        <w:rPr>
          <w:rFonts w:hint="eastAsia"/>
          <w:color w:val="auto"/>
          <w:highlight w:val="none"/>
          <w:lang w:eastAsia="zh-CN"/>
        </w:rPr>
      </w:pPr>
      <w:r>
        <w:rPr>
          <w:rFonts w:hint="eastAsia"/>
          <w:color w:val="auto"/>
          <w:highlight w:val="none"/>
          <w:lang w:eastAsia="zh-CN"/>
        </w:rPr>
        <w:t xml:space="preserve">（3）投标人属于小微企业的应填写《中小企业声明函》；监狱企业须投标人提供由监狱管理局、戒毒管理局（含新疆生产建设兵团）出具的属于监狱企业的证明文件；残疾人福利性单位应填写《残疾人福利性单位声明函》，否则不认定价格扣除。 </w:t>
      </w:r>
    </w:p>
    <w:p>
      <w:pPr>
        <w:pStyle w:val="20"/>
        <w:rPr>
          <w:rFonts w:hint="eastAsia"/>
          <w:color w:val="auto"/>
          <w:highlight w:val="none"/>
          <w:lang w:eastAsia="zh-CN"/>
        </w:rPr>
      </w:pPr>
      <w:r>
        <w:rPr>
          <w:rFonts w:hint="eastAsia"/>
          <w:color w:val="auto"/>
          <w:highlight w:val="none"/>
          <w:lang w:eastAsia="zh-CN"/>
        </w:rPr>
        <w:t xml:space="preserve">说明：投标人应当认真填写声明函，若有虚假将追究其责任。投标人可通过“国家企业信用信息公示系统”（http://www.gsxt.gov.cn/index.html），点击“小微企业名录”（http://xwqy.gsxt.gov.cn/）对投标人和核心设备制造商进行搜索、查询，自行核实是否属于小微企业。 </w:t>
      </w:r>
    </w:p>
    <w:p>
      <w:pPr>
        <w:pStyle w:val="20"/>
        <w:rPr>
          <w:rFonts w:hint="eastAsia"/>
          <w:color w:val="auto"/>
          <w:highlight w:val="none"/>
          <w:lang w:eastAsia="zh-CN"/>
        </w:rPr>
      </w:pPr>
      <w:r>
        <w:rPr>
          <w:rFonts w:hint="eastAsia"/>
          <w:color w:val="auto"/>
          <w:highlight w:val="none"/>
          <w:lang w:eastAsia="zh-CN"/>
        </w:rPr>
        <w:t>（4）提供投标人的《中小企业声明函》、《残疾人福利性单位声明函》（格式后附，不可修改），未提供、未盖章或填写内容与相关材料不符的不予价格扣除。</w:t>
      </w:r>
    </w:p>
    <w:p>
      <w:pPr>
        <w:spacing w:line="360" w:lineRule="auto"/>
        <w:ind w:firstLine="562" w:firstLineChars="200"/>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磋商评审纪律</w:t>
      </w:r>
    </w:p>
    <w:p>
      <w:pPr>
        <w:pStyle w:val="22"/>
        <w:spacing w:after="0" w:line="360" w:lineRule="auto"/>
        <w:ind w:firstLine="560" w:firstLineChars="2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1、磋商小组成员</w:t>
      </w:r>
      <w:r>
        <w:rPr>
          <w:rFonts w:hint="eastAsia" w:ascii="宋体" w:hAnsi="宋体" w:eastAsia="宋体" w:cs="宋体"/>
          <w:color w:val="auto"/>
          <w:sz w:val="28"/>
          <w:szCs w:val="28"/>
          <w:highlight w:val="none"/>
          <w:lang w:val="zh-CN"/>
        </w:rPr>
        <w:t>内部讨论的情况和意见必须保密，任何人不得以任何形式透露给供应商或与供应商有关的单位或个人；</w:t>
      </w:r>
    </w:p>
    <w:p>
      <w:pPr>
        <w:pStyle w:val="22"/>
        <w:spacing w:after="0" w:line="360" w:lineRule="auto"/>
        <w:ind w:firstLine="560" w:firstLineChars="2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zh-CN"/>
        </w:rPr>
        <w:t>在磋商过程中，供应商不得以任何形式对磋商小组成员进行旨在影响磋商结果的私下接触，否则取消其磋商资格；</w:t>
      </w:r>
    </w:p>
    <w:p>
      <w:pPr>
        <w:pStyle w:val="22"/>
        <w:spacing w:after="0" w:line="360" w:lineRule="auto"/>
        <w:ind w:firstLine="560" w:firstLineChars="2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zh-CN"/>
        </w:rPr>
        <w:t>磋商小组采用以及与磋商有关的人员应当对评审情况和评审过程中获悉的国家秘密、商业秘密予以保密。</w:t>
      </w:r>
    </w:p>
    <w:p>
      <w:pPr>
        <w:pStyle w:val="5"/>
        <w:spacing w:line="360" w:lineRule="auto"/>
        <w:jc w:val="center"/>
        <w:rPr>
          <w:rFonts w:hint="eastAsia" w:ascii="宋体" w:hAnsi="宋体" w:eastAsia="宋体" w:cs="宋体"/>
          <w:bCs/>
          <w:color w:val="auto"/>
          <w:highlight w:val="none"/>
        </w:rPr>
      </w:pPr>
      <w:r>
        <w:rPr>
          <w:rFonts w:hint="eastAsia" w:ascii="宋体" w:hAnsi="宋体" w:eastAsia="宋体" w:cs="宋体"/>
          <w:b w:val="0"/>
          <w:color w:val="auto"/>
          <w:sz w:val="36"/>
          <w:szCs w:val="36"/>
          <w:highlight w:val="none"/>
        </w:rPr>
        <w:br w:type="page"/>
      </w:r>
      <w:bookmarkStart w:id="10" w:name="_Toc7652"/>
      <w:r>
        <w:rPr>
          <w:rFonts w:hint="eastAsia" w:ascii="宋体" w:hAnsi="宋体" w:eastAsia="宋体" w:cs="宋体"/>
          <w:b/>
          <w:bCs/>
          <w:color w:val="auto"/>
          <w:sz w:val="36"/>
          <w:szCs w:val="36"/>
          <w:highlight w:val="none"/>
        </w:rPr>
        <w:t>第六章</w:t>
      </w:r>
      <w:r>
        <w:rPr>
          <w:rFonts w:hint="eastAsia" w:ascii="宋体" w:hAnsi="宋体" w:eastAsia="宋体" w:cs="宋体"/>
          <w:b w:val="0"/>
          <w:color w:val="auto"/>
          <w:sz w:val="36"/>
          <w:szCs w:val="36"/>
          <w:highlight w:val="none"/>
        </w:rPr>
        <w:t xml:space="preserve"> </w:t>
      </w:r>
      <w:r>
        <w:rPr>
          <w:rFonts w:hint="eastAsia" w:ascii="宋体" w:hAnsi="宋体" w:eastAsia="宋体" w:cs="宋体"/>
          <w:color w:val="auto"/>
          <w:sz w:val="36"/>
          <w:szCs w:val="36"/>
          <w:highlight w:val="none"/>
        </w:rPr>
        <w:t>合同草案</w:t>
      </w:r>
      <w:bookmarkEnd w:id="10"/>
    </w:p>
    <w:p>
      <w:pPr>
        <w:spacing w:line="360" w:lineRule="auto"/>
        <w:rPr>
          <w:rFonts w:hint="eastAsia" w:ascii="宋体" w:hAnsi="宋体" w:eastAsia="宋体" w:cs="宋体"/>
          <w:color w:val="auto"/>
          <w:sz w:val="24"/>
          <w:szCs w:val="24"/>
          <w:highlight w:val="none"/>
          <w:lang w:eastAsia="zh-CN"/>
        </w:rPr>
      </w:pP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采购人：赤峰学院</w:t>
      </w:r>
      <w:r>
        <w:rPr>
          <w:rFonts w:hint="eastAsia" w:ascii="宋体" w:hAnsi="宋体" w:eastAsia="宋体" w:cs="宋体"/>
          <w:color w:val="auto"/>
          <w:sz w:val="28"/>
          <w:szCs w:val="28"/>
          <w:highlight w:val="none"/>
        </w:rPr>
        <w:t xml:space="preserve"> </w:t>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地址（详细地址）：赤峰市红山区迎宾路1号 </w:t>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p>
    <w:p>
      <w:pPr>
        <w:spacing w:line="360" w:lineRule="auto"/>
        <w:ind w:left="2880" w:hanging="2520" w:hangingChars="9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地址（详细地址）：</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根据《中华人民共和国政府采购法》、《中华人民共和国民法典》等相关法律法规，</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双方就</w:t>
      </w:r>
      <w:r>
        <w:rPr>
          <w:rFonts w:hint="eastAsia" w:ascii="宋体" w:hAnsi="宋体" w:cs="宋体"/>
          <w:color w:val="auto"/>
          <w:sz w:val="28"/>
          <w:szCs w:val="28"/>
          <w:highlight w:val="none"/>
          <w:u w:val="single"/>
          <w:lang w:eastAsia="zh-CN"/>
        </w:rPr>
        <w:t>赤峰学院学生食堂（保障性餐厅）食品采购原材料供应商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（政府采购项目编号、备案编号：</w:t>
      </w:r>
      <w:r>
        <w:rPr>
          <w:rFonts w:hint="eastAsia" w:ascii="宋体" w:hAnsi="宋体" w:cs="宋体"/>
          <w:color w:val="auto"/>
          <w:sz w:val="28"/>
          <w:szCs w:val="28"/>
          <w:highlight w:val="none"/>
          <w:lang w:eastAsia="zh-CN"/>
        </w:rPr>
        <w:t>NMGFTCG-HW-2023006</w:t>
      </w:r>
      <w:r>
        <w:rPr>
          <w:rFonts w:hint="eastAsia" w:ascii="宋体" w:hAnsi="宋体" w:eastAsia="宋体" w:cs="宋体"/>
          <w:color w:val="auto"/>
          <w:sz w:val="28"/>
          <w:szCs w:val="28"/>
          <w:highlight w:val="none"/>
        </w:rPr>
        <w:t>），经平等自愿协商一致达成合同如下：</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 xml:space="preserve">合同文件 </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本合同所附下列文件是构成本合同不可分割的部分： </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 xml:space="preserve">合同格式以及合同条款 </w:t>
      </w:r>
    </w:p>
    <w:p>
      <w:pPr>
        <w:numPr>
          <w:ilvl w:val="0"/>
          <w:numId w:val="0"/>
        </w:numPr>
        <w:spacing w:line="360" w:lineRule="auto"/>
        <w:ind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 xml:space="preserve">中标结果公告及中标通知书 </w:t>
      </w:r>
    </w:p>
    <w:p>
      <w:pPr>
        <w:numPr>
          <w:ilvl w:val="0"/>
          <w:numId w:val="0"/>
        </w:numPr>
        <w:spacing w:line="360" w:lineRule="auto"/>
        <w:ind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3、磋商</w:t>
      </w:r>
      <w:r>
        <w:rPr>
          <w:rFonts w:hint="eastAsia" w:ascii="宋体" w:hAnsi="宋体" w:eastAsia="宋体" w:cs="宋体"/>
          <w:color w:val="auto"/>
          <w:sz w:val="28"/>
          <w:szCs w:val="28"/>
          <w:highlight w:val="none"/>
        </w:rPr>
        <w:t>文件</w:t>
      </w:r>
    </w:p>
    <w:p>
      <w:pPr>
        <w:numPr>
          <w:ilvl w:val="0"/>
          <w:numId w:val="0"/>
        </w:numPr>
        <w:spacing w:line="360" w:lineRule="auto"/>
        <w:ind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pPr>
        <w:numPr>
          <w:ilvl w:val="0"/>
          <w:numId w:val="0"/>
        </w:numPr>
        <w:spacing w:line="360" w:lineRule="auto"/>
        <w:ind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二、</w:t>
      </w:r>
      <w:r>
        <w:rPr>
          <w:rFonts w:hint="eastAsia" w:ascii="宋体" w:hAnsi="宋体" w:eastAsia="宋体" w:cs="宋体"/>
          <w:color w:val="auto"/>
          <w:sz w:val="28"/>
          <w:szCs w:val="28"/>
          <w:highlight w:val="none"/>
        </w:rPr>
        <w:t xml:space="preserve">本合同所提供的标的物、数量及规格等详见中标结果公告及后附清单。 </w:t>
      </w:r>
    </w:p>
    <w:p>
      <w:pPr>
        <w:numPr>
          <w:ilvl w:val="0"/>
          <w:numId w:val="0"/>
        </w:numPr>
        <w:spacing w:line="360" w:lineRule="auto"/>
        <w:ind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合同金额</w:t>
      </w:r>
    </w:p>
    <w:p>
      <w:pPr>
        <w:numPr>
          <w:ilvl w:val="0"/>
          <w:numId w:val="0"/>
        </w:numPr>
        <w:spacing w:line="360" w:lineRule="auto"/>
        <w:ind w:leftChars="0" w:firstLine="560" w:firstLineChars="200"/>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合同金额为人民币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万元，大写：</w:t>
      </w:r>
      <w:r>
        <w:rPr>
          <w:rFonts w:hint="eastAsia" w:ascii="宋体" w:hAnsi="宋体" w:eastAsia="宋体" w:cs="宋体"/>
          <w:color w:val="auto"/>
          <w:sz w:val="28"/>
          <w:szCs w:val="28"/>
          <w:highlight w:val="none"/>
          <w:u w:val="single"/>
          <w:lang w:val="en-US" w:eastAsia="zh-CN"/>
        </w:rPr>
        <w:t xml:space="preserve">        。</w:t>
      </w:r>
    </w:p>
    <w:p>
      <w:pPr>
        <w:numPr>
          <w:ilvl w:val="0"/>
          <w:numId w:val="0"/>
        </w:numPr>
        <w:spacing w:line="360" w:lineRule="auto"/>
        <w:ind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 xml:space="preserve">付款方式及时间 </w:t>
      </w:r>
    </w:p>
    <w:p>
      <w:pPr>
        <w:spacing w:line="360" w:lineRule="auto"/>
        <w:ind w:firstLine="560" w:firstLineChars="200"/>
        <w:rPr>
          <w:rFonts w:ascii="宋体" w:cs="宋体"/>
          <w:color w:val="auto"/>
          <w:sz w:val="28"/>
          <w:szCs w:val="28"/>
          <w:highlight w:val="none"/>
        </w:rPr>
      </w:pPr>
      <w:r>
        <w:rPr>
          <w:rFonts w:hint="eastAsia" w:ascii="宋体" w:cs="宋体"/>
          <w:color w:val="auto"/>
          <w:sz w:val="28"/>
          <w:szCs w:val="28"/>
          <w:highlight w:val="none"/>
        </w:rPr>
        <w:t>服务期限：自签订合同之日起一年。</w:t>
      </w:r>
    </w:p>
    <w:p>
      <w:pPr>
        <w:spacing w:line="360" w:lineRule="auto"/>
        <w:ind w:firstLine="560" w:firstLineChars="200"/>
        <w:rPr>
          <w:rFonts w:hint="eastAsia" w:ascii="宋体" w:cs="宋体"/>
          <w:color w:val="FF0000"/>
          <w:sz w:val="28"/>
          <w:szCs w:val="28"/>
          <w:highlight w:val="none"/>
        </w:rPr>
      </w:pPr>
      <w:r>
        <w:rPr>
          <w:rFonts w:hint="eastAsia" w:ascii="宋体" w:cs="宋体"/>
          <w:color w:val="auto"/>
          <w:sz w:val="28"/>
          <w:szCs w:val="28"/>
          <w:highlight w:val="none"/>
        </w:rPr>
        <w:t>付款方式：供应商在完成交货经采购人验收合格后，并在供货凭证上签字。</w:t>
      </w:r>
      <w:r>
        <w:rPr>
          <w:rFonts w:hint="eastAsia" w:ascii="宋体" w:cs="宋体"/>
          <w:color w:val="auto"/>
          <w:sz w:val="28"/>
          <w:szCs w:val="28"/>
          <w:highlight w:val="none"/>
          <w:lang w:val="en-US" w:eastAsia="zh-CN"/>
        </w:rPr>
        <w:t>由材料使用方支付，每个月底</w:t>
      </w:r>
      <w:r>
        <w:rPr>
          <w:rFonts w:hint="eastAsia" w:ascii="宋体" w:cs="宋体"/>
          <w:color w:val="auto"/>
          <w:sz w:val="28"/>
          <w:szCs w:val="28"/>
          <w:highlight w:val="none"/>
        </w:rPr>
        <w:t>供应商以验收合格并签字的供货凭证中的实际数额为准进行结算</w:t>
      </w:r>
      <w:r>
        <w:rPr>
          <w:rFonts w:hint="eastAsia" w:ascii="宋体" w:cs="宋体"/>
          <w:color w:val="auto"/>
          <w:sz w:val="28"/>
          <w:szCs w:val="28"/>
          <w:highlight w:val="none"/>
          <w:lang w:eastAsia="zh-CN"/>
        </w:rPr>
        <w:t>。</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五、</w:t>
      </w:r>
      <w:r>
        <w:rPr>
          <w:rFonts w:hint="eastAsia" w:ascii="宋体" w:hAnsi="宋体" w:eastAsia="宋体" w:cs="宋体"/>
          <w:color w:val="auto"/>
          <w:sz w:val="28"/>
          <w:szCs w:val="28"/>
          <w:highlight w:val="none"/>
        </w:rPr>
        <w:t xml:space="preserve">交货 </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、交货期限</w:t>
      </w:r>
      <w:r>
        <w:rPr>
          <w:rFonts w:ascii="宋体" w:cs="宋体"/>
          <w:color w:val="auto"/>
          <w:sz w:val="28"/>
          <w:szCs w:val="28"/>
          <w:highlight w:val="none"/>
        </w:rPr>
        <w:t>:</w:t>
      </w:r>
      <w:r>
        <w:rPr>
          <w:rFonts w:hint="eastAsia" w:ascii="宋体" w:cs="宋体"/>
          <w:color w:val="auto"/>
          <w:sz w:val="28"/>
          <w:szCs w:val="28"/>
          <w:highlight w:val="none"/>
        </w:rPr>
        <w:t>合同签订之日起按甲方、丙方需求交货。（</w:t>
      </w:r>
      <w:r>
        <w:rPr>
          <w:rFonts w:hint="eastAsia" w:ascii="宋体" w:cs="宋体"/>
          <w:color w:val="auto"/>
          <w:sz w:val="30"/>
          <w:szCs w:val="30"/>
          <w:highlight w:val="none"/>
        </w:rPr>
        <w:t>甲、丙方</w:t>
      </w:r>
      <w:r>
        <w:rPr>
          <w:rFonts w:hint="eastAsia" w:ascii="宋体" w:cs="宋体"/>
          <w:color w:val="auto"/>
          <w:sz w:val="28"/>
          <w:szCs w:val="28"/>
          <w:highlight w:val="none"/>
        </w:rPr>
        <w:t>提前</w:t>
      </w:r>
      <w:r>
        <w:rPr>
          <w:rFonts w:ascii="宋体" w:cs="宋体"/>
          <w:color w:val="auto"/>
          <w:sz w:val="28"/>
          <w:szCs w:val="28"/>
          <w:highlight w:val="none"/>
        </w:rPr>
        <w:t>24</w:t>
      </w:r>
      <w:r>
        <w:rPr>
          <w:rFonts w:hint="eastAsia" w:ascii="宋体" w:cs="宋体"/>
          <w:color w:val="auto"/>
          <w:sz w:val="28"/>
          <w:szCs w:val="28"/>
          <w:highlight w:val="none"/>
        </w:rPr>
        <w:t>小时通知乙方备货，按规定时间送达，产生一切费用乙方承担）。</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、交货地点：由中标供应商提供专人专车配送至采购单位指定地点。</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六、</w:t>
      </w:r>
      <w:r>
        <w:rPr>
          <w:rFonts w:hint="eastAsia" w:ascii="宋体" w:hAnsi="宋体" w:eastAsia="宋体" w:cs="宋体"/>
          <w:color w:val="auto"/>
          <w:sz w:val="28"/>
          <w:szCs w:val="28"/>
          <w:highlight w:val="none"/>
        </w:rPr>
        <w:t xml:space="preserve">质量 </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、乙方应保证货物是正品，并完全符合合同规定的质量、规格和性能的要求。</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、乙方提供给甲方、丙方的技术规范应与合同清单质量标准的“规定”相一致。</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3</w:t>
      </w:r>
      <w:r>
        <w:rPr>
          <w:rFonts w:hint="eastAsia" w:ascii="宋体" w:cs="宋体"/>
          <w:color w:val="auto"/>
          <w:sz w:val="28"/>
          <w:szCs w:val="28"/>
          <w:highlight w:val="none"/>
        </w:rPr>
        <w:t>、甲方、丙方对合同中的数量、质量（每批次质量检验报告）等进行检验，检验应依据本合同中的有关规定进行。</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4</w:t>
      </w:r>
      <w:r>
        <w:rPr>
          <w:rFonts w:hint="eastAsia" w:ascii="宋体" w:cs="宋体"/>
          <w:color w:val="auto"/>
          <w:sz w:val="28"/>
          <w:szCs w:val="28"/>
          <w:highlight w:val="none"/>
        </w:rPr>
        <w:t>、若检验时发现数量、质量不符等，甲方、丙方不予验收；相关费用由乙方承担。</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5</w:t>
      </w:r>
      <w:r>
        <w:rPr>
          <w:rFonts w:hint="eastAsia" w:ascii="宋体" w:cs="宋体"/>
          <w:color w:val="auto"/>
          <w:sz w:val="28"/>
          <w:szCs w:val="28"/>
          <w:highlight w:val="none"/>
        </w:rPr>
        <w:t>、交货验收合格，甲方、丙方在乙方出具供货凭证四联单签字或盖章视为完成本次供货。</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6</w:t>
      </w:r>
      <w:r>
        <w:rPr>
          <w:rFonts w:hint="eastAsia" w:ascii="宋体" w:cs="宋体"/>
          <w:color w:val="auto"/>
          <w:sz w:val="28"/>
          <w:szCs w:val="28"/>
          <w:highlight w:val="none"/>
        </w:rPr>
        <w:t>、由于非甲方、丙方原因造成不能正常使用，乙方负责甲方、丙方的相关损失。</w:t>
      </w:r>
    </w:p>
    <w:p>
      <w:pPr>
        <w:pStyle w:val="15"/>
        <w:ind w:firstLine="560" w:firstLineChars="200"/>
        <w:rPr>
          <w:rFonts w:hint="eastAsia" w:ascii="宋体" w:hAnsi="Times New Roman" w:eastAsia="宋体" w:cs="宋体"/>
          <w:color w:val="auto"/>
          <w:kern w:val="2"/>
          <w:sz w:val="28"/>
          <w:szCs w:val="28"/>
          <w:highlight w:val="none"/>
          <w:lang w:val="en-US" w:eastAsia="zh-CN" w:bidi="ar-SA"/>
        </w:rPr>
      </w:pPr>
      <w:r>
        <w:rPr>
          <w:rFonts w:hint="eastAsia" w:ascii="宋体" w:hAnsi="Times New Roman" w:eastAsia="宋体" w:cs="宋体"/>
          <w:color w:val="auto"/>
          <w:kern w:val="2"/>
          <w:sz w:val="28"/>
          <w:szCs w:val="28"/>
          <w:highlight w:val="none"/>
          <w:lang w:val="en-US" w:eastAsia="zh-CN" w:bidi="ar-SA"/>
        </w:rPr>
        <w:t>7、乙方所供货物发生质量问题，乙方应立即进行调换货，不得影响甲方正常使用，乙方承担因此造成的一切损失。每发生一次质量问题，甲方对乙方予以两千至两万元扣款。情节严重者，甲方有权取消乙方的供应商资格。</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七、</w:t>
      </w:r>
      <w:r>
        <w:rPr>
          <w:rFonts w:hint="eastAsia" w:ascii="宋体" w:hAnsi="宋体" w:eastAsia="宋体" w:cs="宋体"/>
          <w:color w:val="auto"/>
          <w:sz w:val="28"/>
          <w:szCs w:val="28"/>
          <w:highlight w:val="none"/>
        </w:rPr>
        <w:t xml:space="preserve">包装 </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、除合同另有规定外，乙方提供的全部货物，均应按标准保护措施进行包装，确保货物安全无损运抵现场。由于包装不善所引起的货物锈蚀、损坏和损失均由乙方承担。</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、每件包装箱内应附一份详细装箱单和质量合格证。</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八、</w:t>
      </w:r>
      <w:r>
        <w:rPr>
          <w:rFonts w:hint="eastAsia" w:ascii="宋体" w:hAnsi="宋体" w:eastAsia="宋体" w:cs="宋体"/>
          <w:color w:val="auto"/>
          <w:sz w:val="28"/>
          <w:szCs w:val="28"/>
          <w:highlight w:val="none"/>
        </w:rPr>
        <w:t xml:space="preserve">运输要求 </w:t>
      </w:r>
    </w:p>
    <w:p>
      <w:pPr>
        <w:numPr>
          <w:ilvl w:val="0"/>
          <w:numId w:val="0"/>
        </w:numPr>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运输方式及线路：</w:t>
      </w:r>
      <w:r>
        <w:rPr>
          <w:rFonts w:hint="eastAsia" w:ascii="宋体" w:hAnsi="宋体" w:eastAsia="宋体" w:cs="宋体"/>
          <w:color w:val="auto"/>
          <w:sz w:val="28"/>
          <w:szCs w:val="28"/>
          <w:highlight w:val="none"/>
          <w:u w:val="single"/>
          <w:lang w:val="en-US" w:eastAsia="zh-CN"/>
        </w:rPr>
        <w:t xml:space="preserve"> /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eastAsia="zh-CN"/>
        </w:rPr>
        <w:t>。</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（二）</w:t>
      </w:r>
      <w:r>
        <w:rPr>
          <w:rFonts w:hint="eastAsia" w:ascii="宋体" w:hAnsi="宋体" w:eastAsia="宋体" w:cs="宋体"/>
          <w:color w:val="auto"/>
          <w:sz w:val="28"/>
          <w:szCs w:val="28"/>
          <w:highlight w:val="none"/>
        </w:rPr>
        <w:t>运输及相关费用由</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承担。</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lang w:val="en-US" w:eastAsia="zh-CN"/>
        </w:rPr>
        <w:t>九</w:t>
      </w:r>
      <w:r>
        <w:rPr>
          <w:rFonts w:hint="eastAsia" w:ascii="宋体" w:cs="宋体"/>
          <w:b/>
          <w:bCs/>
          <w:color w:val="auto"/>
          <w:sz w:val="28"/>
          <w:szCs w:val="28"/>
          <w:highlight w:val="none"/>
        </w:rPr>
        <w:t>、违约责任</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、如果乙方未按照合同规定的要求交付时，乙方应承担相应违约责任，甲方有权终止合同，乙方向甲方、丙方支付本次货款总金额的</w:t>
      </w:r>
      <w:r>
        <w:rPr>
          <w:rFonts w:ascii="宋体" w:cs="宋体"/>
          <w:color w:val="auto"/>
          <w:sz w:val="28"/>
          <w:szCs w:val="28"/>
          <w:highlight w:val="none"/>
        </w:rPr>
        <w:t>10</w:t>
      </w:r>
      <w:r>
        <w:rPr>
          <w:rFonts w:hint="eastAsia" w:ascii="宋体" w:cs="宋体"/>
          <w:color w:val="auto"/>
          <w:sz w:val="28"/>
          <w:szCs w:val="28"/>
          <w:highlight w:val="none"/>
        </w:rPr>
        <w:t>﹪的违约金。</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、延期付款的违约责任</w:t>
      </w:r>
    </w:p>
    <w:p>
      <w:pPr>
        <w:spacing w:line="360" w:lineRule="auto"/>
        <w:ind w:firstLine="560" w:firstLineChars="200"/>
        <w:rPr>
          <w:rFonts w:ascii="宋体" w:cs="宋体"/>
          <w:color w:val="auto"/>
          <w:sz w:val="28"/>
          <w:szCs w:val="28"/>
          <w:highlight w:val="none"/>
        </w:rPr>
      </w:pPr>
      <w:r>
        <w:rPr>
          <w:rFonts w:hint="eastAsia" w:ascii="宋体" w:cs="宋体"/>
          <w:color w:val="auto"/>
          <w:sz w:val="28"/>
          <w:szCs w:val="28"/>
          <w:highlight w:val="none"/>
        </w:rPr>
        <w:t>如甲、丙方使用的部分未按照合同约定时间或金额支付合同价款，每逾期一日，甲方应按照逾期未支付本次货款金额</w:t>
      </w:r>
      <w:r>
        <w:rPr>
          <w:rFonts w:ascii="宋体" w:cs="宋体"/>
          <w:color w:val="auto"/>
          <w:sz w:val="28"/>
          <w:szCs w:val="28"/>
          <w:highlight w:val="none"/>
        </w:rPr>
        <w:t>10</w:t>
      </w:r>
      <w:r>
        <w:rPr>
          <w:rFonts w:hint="eastAsia" w:ascii="宋体" w:cs="宋体"/>
          <w:color w:val="auto"/>
          <w:sz w:val="28"/>
          <w:szCs w:val="28"/>
          <w:highlight w:val="none"/>
        </w:rPr>
        <w:t>﹪的违约金计算，向乙方支付逾期付款违约金。</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lang w:val="en-US" w:eastAsia="zh-CN"/>
        </w:rPr>
        <w:t>十</w:t>
      </w:r>
      <w:r>
        <w:rPr>
          <w:rFonts w:hint="eastAsia" w:ascii="宋体" w:cs="宋体"/>
          <w:b/>
          <w:bCs/>
          <w:color w:val="auto"/>
          <w:sz w:val="28"/>
          <w:szCs w:val="28"/>
          <w:highlight w:val="none"/>
        </w:rPr>
        <w:t>、不可抗力</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、不可抗力指不能预见、不能避免并不能克服的客观情况。</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、因不可抗力不能履行合同的，根据不可抗力的影响，部分或者全部免除责任，但法律另有规定的除外。</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3</w:t>
      </w:r>
      <w:r>
        <w:rPr>
          <w:rFonts w:hint="eastAsia" w:ascii="宋体" w:cs="宋体"/>
          <w:color w:val="auto"/>
          <w:sz w:val="28"/>
          <w:szCs w:val="28"/>
          <w:highlight w:val="none"/>
        </w:rPr>
        <w:t>、一方因不可抗力不能履行合同的，应当及时通知对方，以减轻可能给对方造成的损失，并应当在合理期限内提供证明。</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rPr>
        <w:t>十</w:t>
      </w:r>
      <w:r>
        <w:rPr>
          <w:rFonts w:hint="eastAsia" w:ascii="宋体" w:cs="宋体"/>
          <w:b/>
          <w:bCs/>
          <w:color w:val="auto"/>
          <w:sz w:val="28"/>
          <w:szCs w:val="28"/>
          <w:highlight w:val="none"/>
          <w:lang w:val="en-US" w:eastAsia="zh-CN"/>
        </w:rPr>
        <w:t>一</w:t>
      </w:r>
      <w:r>
        <w:rPr>
          <w:rFonts w:hint="eastAsia" w:ascii="宋体" w:cs="宋体"/>
          <w:b/>
          <w:bCs/>
          <w:color w:val="auto"/>
          <w:sz w:val="28"/>
          <w:szCs w:val="28"/>
          <w:highlight w:val="none"/>
        </w:rPr>
        <w:t>、争议解决</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、履行合同过程中发生争议，三方应通过友好协商解决；经协商不能达成协议时，则三方同意在甲方住所地有管辖权的人民法院提起诉讼。</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、在诉讼期间，除了必须在诉讼过程中进行解决的那部分问题以外，合同其余部分应继续履行。</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rPr>
        <w:t>十</w:t>
      </w:r>
      <w:r>
        <w:rPr>
          <w:rFonts w:hint="eastAsia" w:ascii="宋体" w:cs="宋体"/>
          <w:b/>
          <w:bCs/>
          <w:color w:val="auto"/>
          <w:sz w:val="28"/>
          <w:szCs w:val="28"/>
          <w:highlight w:val="none"/>
          <w:lang w:val="en-US" w:eastAsia="zh-CN"/>
        </w:rPr>
        <w:t>二</w:t>
      </w:r>
      <w:r>
        <w:rPr>
          <w:rFonts w:hint="eastAsia" w:ascii="宋体" w:cs="宋体"/>
          <w:b/>
          <w:bCs/>
          <w:color w:val="auto"/>
          <w:sz w:val="28"/>
          <w:szCs w:val="28"/>
          <w:highlight w:val="none"/>
        </w:rPr>
        <w:t>、合同补充、修改或变更</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w:t>
      </w:r>
      <w:r>
        <w:rPr>
          <w:rFonts w:hint="eastAsia" w:ascii="宋体" w:cs="宋体"/>
          <w:color w:val="auto"/>
          <w:sz w:val="30"/>
          <w:szCs w:val="30"/>
          <w:highlight w:val="none"/>
        </w:rPr>
        <w:t>三方</w:t>
      </w:r>
      <w:r>
        <w:rPr>
          <w:rFonts w:hint="eastAsia" w:ascii="宋体" w:cs="宋体"/>
          <w:color w:val="auto"/>
          <w:sz w:val="28"/>
          <w:szCs w:val="28"/>
          <w:highlight w:val="none"/>
        </w:rPr>
        <w:t>协商一致，可以依法对本合同进行补充、修改或变更。</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、对本合同的任何补充、修改或变更必须以书面形式进行。</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3</w:t>
      </w:r>
      <w:r>
        <w:rPr>
          <w:rFonts w:hint="eastAsia" w:ascii="宋体" w:cs="宋体"/>
          <w:color w:val="auto"/>
          <w:sz w:val="28"/>
          <w:szCs w:val="28"/>
          <w:highlight w:val="none"/>
        </w:rPr>
        <w:t>、</w:t>
      </w:r>
      <w:r>
        <w:rPr>
          <w:rFonts w:hint="eastAsia" w:ascii="宋体" w:cs="宋体"/>
          <w:color w:val="auto"/>
          <w:sz w:val="30"/>
          <w:szCs w:val="30"/>
          <w:highlight w:val="none"/>
        </w:rPr>
        <w:t>三方</w:t>
      </w:r>
      <w:r>
        <w:rPr>
          <w:rFonts w:hint="eastAsia" w:ascii="宋体" w:cs="宋体"/>
          <w:color w:val="auto"/>
          <w:sz w:val="28"/>
          <w:szCs w:val="28"/>
          <w:highlight w:val="none"/>
        </w:rPr>
        <w:t>签订的补充协议以及修改或变更的条款与本合同具有同等法律效力。</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rPr>
        <w:t>十</w:t>
      </w:r>
      <w:r>
        <w:rPr>
          <w:rFonts w:hint="eastAsia" w:ascii="宋体" w:cs="宋体"/>
          <w:b/>
          <w:bCs/>
          <w:color w:val="auto"/>
          <w:sz w:val="28"/>
          <w:szCs w:val="28"/>
          <w:highlight w:val="none"/>
          <w:lang w:val="en-US" w:eastAsia="zh-CN"/>
        </w:rPr>
        <w:t>三</w:t>
      </w:r>
      <w:r>
        <w:rPr>
          <w:rFonts w:hint="eastAsia" w:ascii="宋体" w:cs="宋体"/>
          <w:b/>
          <w:bCs/>
          <w:color w:val="auto"/>
          <w:sz w:val="28"/>
          <w:szCs w:val="28"/>
          <w:highlight w:val="none"/>
        </w:rPr>
        <w:t>、合同的生效</w:t>
      </w:r>
    </w:p>
    <w:p>
      <w:pPr>
        <w:spacing w:line="360" w:lineRule="auto"/>
        <w:ind w:firstLine="560" w:firstLineChars="200"/>
        <w:rPr>
          <w:rFonts w:ascii="宋体" w:cs="宋体"/>
          <w:color w:val="auto"/>
          <w:sz w:val="28"/>
          <w:szCs w:val="28"/>
          <w:highlight w:val="none"/>
        </w:rPr>
      </w:pPr>
      <w:r>
        <w:rPr>
          <w:rFonts w:hint="eastAsia" w:ascii="宋体" w:cs="宋体"/>
          <w:color w:val="auto"/>
          <w:sz w:val="28"/>
          <w:szCs w:val="28"/>
          <w:highlight w:val="none"/>
        </w:rPr>
        <w:t>合同签署的所有内容必须符合本次采购项目最终成交结果，甲、乙、丙三方协商一致签字盖章后生效。</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rPr>
        <w:t>十</w:t>
      </w:r>
      <w:r>
        <w:rPr>
          <w:rFonts w:hint="eastAsia" w:ascii="宋体" w:cs="宋体"/>
          <w:b/>
          <w:bCs/>
          <w:color w:val="auto"/>
          <w:sz w:val="28"/>
          <w:szCs w:val="28"/>
          <w:highlight w:val="none"/>
          <w:lang w:val="en-US" w:eastAsia="zh-CN"/>
        </w:rPr>
        <w:t>四</w:t>
      </w:r>
      <w:r>
        <w:rPr>
          <w:rFonts w:hint="eastAsia" w:ascii="宋体" w:cs="宋体"/>
          <w:b/>
          <w:bCs/>
          <w:color w:val="auto"/>
          <w:sz w:val="28"/>
          <w:szCs w:val="28"/>
          <w:highlight w:val="none"/>
        </w:rPr>
        <w:t>、其它约定事项</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、本合同涉及的竞争性磋商文件、乙方的响应文件和附件均为本合同不可分割的组成部分，具有相同的法律效力。</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、一方当事人未经另一方书面同意，不得将其在合同下的权利和义务全部或部分转让给第三人。</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3</w:t>
      </w:r>
      <w:r>
        <w:rPr>
          <w:rFonts w:hint="eastAsia" w:ascii="宋体" w:cs="宋体"/>
          <w:color w:val="auto"/>
          <w:sz w:val="28"/>
          <w:szCs w:val="28"/>
          <w:highlight w:val="none"/>
        </w:rPr>
        <w:t>、其他未尽事项，再行约定。</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rPr>
        <w:t>十</w:t>
      </w:r>
      <w:r>
        <w:rPr>
          <w:rFonts w:hint="eastAsia" w:ascii="宋体" w:cs="宋体"/>
          <w:b/>
          <w:bCs/>
          <w:color w:val="auto"/>
          <w:sz w:val="28"/>
          <w:szCs w:val="28"/>
          <w:highlight w:val="none"/>
          <w:lang w:val="en-US" w:eastAsia="zh-CN"/>
        </w:rPr>
        <w:t>五</w:t>
      </w:r>
      <w:r>
        <w:rPr>
          <w:rFonts w:hint="eastAsia" w:ascii="宋体" w:cs="宋体"/>
          <w:b/>
          <w:bCs/>
          <w:color w:val="auto"/>
          <w:sz w:val="28"/>
          <w:szCs w:val="28"/>
          <w:highlight w:val="none"/>
        </w:rPr>
        <w:t>、不可抗力</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、如果三方任何一方由于战争、严重的火灾、水灾、台风和地震以及其它经双方同意属于不可抗力的事故，致使影响合同履行时，履行合同的期限应予延长，延长的期限应相当于事故所影响的时间。</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、受事故影响的一方应在不可抗力发生后尽快通知另一方，并在事故发生后</w:t>
      </w:r>
      <w:r>
        <w:rPr>
          <w:rFonts w:ascii="宋体" w:cs="宋体"/>
          <w:color w:val="auto"/>
          <w:sz w:val="28"/>
          <w:szCs w:val="28"/>
          <w:highlight w:val="none"/>
        </w:rPr>
        <w:t>14</w:t>
      </w:r>
      <w:r>
        <w:rPr>
          <w:rFonts w:hint="eastAsia" w:ascii="宋体" w:cs="宋体"/>
          <w:color w:val="auto"/>
          <w:sz w:val="28"/>
          <w:szCs w:val="28"/>
          <w:highlight w:val="none"/>
        </w:rPr>
        <w:t>天内，将有关部门出具的证明文件用快递邮寄给另一方。如果不可抗力影响时间延续</w:t>
      </w:r>
      <w:r>
        <w:rPr>
          <w:rFonts w:ascii="宋体" w:cs="宋体"/>
          <w:color w:val="auto"/>
          <w:sz w:val="28"/>
          <w:szCs w:val="28"/>
          <w:highlight w:val="none"/>
        </w:rPr>
        <w:t>30</w:t>
      </w:r>
      <w:r>
        <w:rPr>
          <w:rFonts w:hint="eastAsia" w:ascii="宋体" w:cs="宋体"/>
          <w:color w:val="auto"/>
          <w:sz w:val="28"/>
          <w:szCs w:val="28"/>
          <w:highlight w:val="none"/>
        </w:rPr>
        <w:t>天以上时，三方应通过友好协商在合理的时间内达成进一步履行合同的协议。</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rPr>
        <w:t>十</w:t>
      </w:r>
      <w:r>
        <w:rPr>
          <w:rFonts w:hint="eastAsia" w:ascii="宋体" w:cs="宋体"/>
          <w:b/>
          <w:bCs/>
          <w:color w:val="auto"/>
          <w:sz w:val="28"/>
          <w:szCs w:val="28"/>
          <w:highlight w:val="none"/>
          <w:lang w:val="en-US" w:eastAsia="zh-CN"/>
        </w:rPr>
        <w:t>六</w:t>
      </w:r>
      <w:r>
        <w:rPr>
          <w:rFonts w:hint="eastAsia" w:ascii="宋体" w:cs="宋体"/>
          <w:b/>
          <w:bCs/>
          <w:color w:val="auto"/>
          <w:sz w:val="28"/>
          <w:szCs w:val="28"/>
          <w:highlight w:val="none"/>
        </w:rPr>
        <w:t>、违约终止合同</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1</w:t>
      </w:r>
      <w:r>
        <w:rPr>
          <w:rFonts w:hint="eastAsia" w:ascii="宋体" w:cs="宋体"/>
          <w:color w:val="auto"/>
          <w:sz w:val="28"/>
          <w:szCs w:val="28"/>
          <w:highlight w:val="none"/>
        </w:rPr>
        <w:t>、在乙方违约且甲、丙方利益不受损害的情况下，甲、丙有权向乙方发出终止部分或全部合同的书面通知书。</w:t>
      </w:r>
    </w:p>
    <w:p>
      <w:pPr>
        <w:spacing w:line="360" w:lineRule="auto"/>
        <w:ind w:firstLine="560" w:firstLineChars="200"/>
        <w:rPr>
          <w:rFonts w:ascii="宋体" w:cs="宋体"/>
          <w:color w:val="auto"/>
          <w:sz w:val="28"/>
          <w:szCs w:val="28"/>
          <w:highlight w:val="none"/>
        </w:rPr>
      </w:pPr>
      <w:r>
        <w:rPr>
          <w:rFonts w:ascii="宋体" w:cs="宋体"/>
          <w:color w:val="auto"/>
          <w:sz w:val="28"/>
          <w:szCs w:val="28"/>
          <w:highlight w:val="none"/>
        </w:rPr>
        <w:t>2</w:t>
      </w:r>
      <w:r>
        <w:rPr>
          <w:rFonts w:hint="eastAsia" w:ascii="宋体" w:cs="宋体"/>
          <w:color w:val="auto"/>
          <w:sz w:val="28"/>
          <w:szCs w:val="28"/>
          <w:highlight w:val="none"/>
        </w:rPr>
        <w:t>、在甲、丙根据上述第</w:t>
      </w:r>
      <w:r>
        <w:rPr>
          <w:rFonts w:ascii="宋体" w:cs="宋体"/>
          <w:color w:val="auto"/>
          <w:sz w:val="28"/>
          <w:szCs w:val="28"/>
          <w:highlight w:val="none"/>
        </w:rPr>
        <w:t>17.1</w:t>
      </w:r>
      <w:r>
        <w:rPr>
          <w:rFonts w:hint="eastAsia" w:ascii="宋体" w:cs="宋体"/>
          <w:color w:val="auto"/>
          <w:sz w:val="28"/>
          <w:szCs w:val="28"/>
          <w:highlight w:val="none"/>
        </w:rPr>
        <w:t>条规定，终止了全部或部分合同，甲、丙可以依其认为适当的条件和方法购买类似未交的货物，乙方应对购买类似货物所超出的费用部分负责。但是，乙方应继续执行合同中未终止部分。</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rPr>
        <w:t>十</w:t>
      </w:r>
      <w:r>
        <w:rPr>
          <w:rFonts w:hint="eastAsia" w:ascii="宋体" w:cs="宋体"/>
          <w:b/>
          <w:bCs/>
          <w:color w:val="auto"/>
          <w:sz w:val="28"/>
          <w:szCs w:val="28"/>
          <w:highlight w:val="none"/>
          <w:lang w:val="en-US" w:eastAsia="zh-CN"/>
        </w:rPr>
        <w:t>七</w:t>
      </w:r>
      <w:r>
        <w:rPr>
          <w:rFonts w:hint="eastAsia" w:ascii="宋体" w:cs="宋体"/>
          <w:b/>
          <w:bCs/>
          <w:color w:val="auto"/>
          <w:sz w:val="28"/>
          <w:szCs w:val="28"/>
          <w:highlight w:val="none"/>
        </w:rPr>
        <w:t>、破产终止合同</w:t>
      </w:r>
    </w:p>
    <w:p>
      <w:pPr>
        <w:spacing w:line="360" w:lineRule="auto"/>
        <w:ind w:firstLine="560" w:firstLineChars="200"/>
        <w:rPr>
          <w:rFonts w:ascii="宋体" w:cs="宋体"/>
          <w:color w:val="auto"/>
          <w:sz w:val="28"/>
          <w:szCs w:val="28"/>
          <w:highlight w:val="none"/>
        </w:rPr>
      </w:pPr>
      <w:r>
        <w:rPr>
          <w:rFonts w:hint="eastAsia" w:ascii="宋体" w:cs="宋体"/>
          <w:color w:val="auto"/>
          <w:sz w:val="28"/>
          <w:szCs w:val="28"/>
          <w:highlight w:val="none"/>
        </w:rPr>
        <w:t>如果乙方破产或无清偿能力时，甲、丙可在任何时候以书面通知乙方终止合同，该终止合同将不损害或不影响甲方已经采取或将要采取的补救措施的权利。</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lang w:val="en-US" w:eastAsia="zh-CN"/>
        </w:rPr>
        <w:t>十八</w:t>
      </w:r>
      <w:r>
        <w:rPr>
          <w:rFonts w:hint="eastAsia" w:ascii="宋体" w:cs="宋体"/>
          <w:b/>
          <w:bCs/>
          <w:color w:val="auto"/>
          <w:sz w:val="28"/>
          <w:szCs w:val="28"/>
          <w:highlight w:val="none"/>
        </w:rPr>
        <w:t>、转让和分包</w:t>
      </w:r>
    </w:p>
    <w:p>
      <w:pPr>
        <w:spacing w:line="360" w:lineRule="auto"/>
        <w:ind w:firstLine="560" w:firstLineChars="200"/>
        <w:rPr>
          <w:rFonts w:ascii="宋体" w:cs="宋体"/>
          <w:color w:val="auto"/>
          <w:sz w:val="28"/>
          <w:szCs w:val="28"/>
          <w:highlight w:val="none"/>
        </w:rPr>
      </w:pPr>
      <w:r>
        <w:rPr>
          <w:rFonts w:hint="eastAsia" w:ascii="宋体" w:cs="宋体"/>
          <w:color w:val="auto"/>
          <w:sz w:val="28"/>
          <w:szCs w:val="28"/>
          <w:highlight w:val="none"/>
        </w:rPr>
        <w:t>乙方不得部分转让或全部转让其应履行的合同义务。如乙方在与甲方签订合同以后，将本项目分包或转包给第三方，甲、丙方将有充分理由终止合同。</w:t>
      </w:r>
    </w:p>
    <w:p>
      <w:pPr>
        <w:spacing w:line="360" w:lineRule="auto"/>
        <w:ind w:firstLine="562" w:firstLineChars="200"/>
        <w:rPr>
          <w:rFonts w:ascii="宋体" w:cs="宋体"/>
          <w:b/>
          <w:bCs/>
          <w:color w:val="auto"/>
          <w:sz w:val="28"/>
          <w:szCs w:val="28"/>
          <w:highlight w:val="none"/>
        </w:rPr>
      </w:pPr>
      <w:r>
        <w:rPr>
          <w:rFonts w:hint="eastAsia" w:ascii="宋体" w:cs="宋体"/>
          <w:b/>
          <w:bCs/>
          <w:color w:val="auto"/>
          <w:sz w:val="28"/>
          <w:szCs w:val="28"/>
          <w:highlight w:val="none"/>
          <w:lang w:val="en-US" w:eastAsia="zh-CN"/>
        </w:rPr>
        <w:t>十九</w:t>
      </w:r>
      <w:r>
        <w:rPr>
          <w:rFonts w:hint="eastAsia" w:ascii="宋体" w:cs="宋体"/>
          <w:b/>
          <w:bCs/>
          <w:color w:val="auto"/>
          <w:sz w:val="28"/>
          <w:szCs w:val="28"/>
          <w:highlight w:val="none"/>
        </w:rPr>
        <w:t>、适用法律</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cs="宋体"/>
          <w:color w:val="auto"/>
          <w:sz w:val="28"/>
          <w:szCs w:val="28"/>
          <w:highlight w:val="none"/>
        </w:rPr>
        <w:t>甲乙丙三方签订的合同应按中华人民共和国的法律进行解释。</w:t>
      </w:r>
      <w:r>
        <w:rPr>
          <w:rFonts w:hint="eastAsia" w:ascii="宋体" w:hAnsi="宋体" w:eastAsia="宋体" w:cs="宋体"/>
          <w:color w:val="auto"/>
          <w:sz w:val="28"/>
          <w:szCs w:val="28"/>
          <w:highlight w:val="none"/>
          <w:lang w:eastAsia="zh-CN"/>
        </w:rPr>
        <w:t>十四、</w:t>
      </w:r>
      <w:r>
        <w:rPr>
          <w:rFonts w:hint="eastAsia" w:ascii="宋体" w:hAnsi="宋体" w:eastAsia="宋体" w:cs="宋体"/>
          <w:color w:val="auto"/>
          <w:sz w:val="28"/>
          <w:szCs w:val="28"/>
          <w:highlight w:val="none"/>
        </w:rPr>
        <w:t>争议的解决方式</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合同发生纠纷时，双方应协商解决，协商不成可以采用下列方式解决： </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提交</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采购人 </w:t>
      </w:r>
      <w:r>
        <w:rPr>
          <w:rFonts w:hint="eastAsia" w:ascii="宋体" w:hAnsi="宋体" w:eastAsia="宋体" w:cs="宋体"/>
          <w:color w:val="auto"/>
          <w:sz w:val="28"/>
          <w:szCs w:val="28"/>
          <w:highlight w:val="none"/>
        </w:rPr>
        <w:t xml:space="preserve">仲裁委员会仲裁。 </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（二）</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采购人 </w:t>
      </w:r>
      <w:r>
        <w:rPr>
          <w:rFonts w:hint="eastAsia" w:ascii="宋体" w:hAnsi="宋体" w:eastAsia="宋体" w:cs="宋体"/>
          <w:color w:val="auto"/>
          <w:sz w:val="28"/>
          <w:szCs w:val="28"/>
          <w:highlight w:val="none"/>
        </w:rPr>
        <w:t xml:space="preserve">人民法院起诉。 </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二十</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合同保存 </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合同文本一式五份，</w:t>
      </w:r>
      <w:r>
        <w:rPr>
          <w:rFonts w:hint="eastAsia" w:ascii="宋体" w:hAnsi="宋体" w:cs="宋体"/>
          <w:color w:val="auto"/>
          <w:sz w:val="28"/>
          <w:szCs w:val="28"/>
          <w:highlight w:val="none"/>
          <w:lang w:eastAsia="zh-CN"/>
        </w:rPr>
        <w:t>学院党政办、</w:t>
      </w:r>
      <w:r>
        <w:rPr>
          <w:rFonts w:hint="eastAsia" w:ascii="宋体" w:hAnsi="宋体" w:eastAsia="宋体" w:cs="宋体"/>
          <w:color w:val="auto"/>
          <w:sz w:val="28"/>
          <w:szCs w:val="28"/>
          <w:highlight w:val="none"/>
        </w:rPr>
        <w:t>采购单位、</w:t>
      </w:r>
      <w:r>
        <w:rPr>
          <w:rFonts w:hint="eastAsia" w:ascii="宋体" w:hAnsi="宋体" w:eastAsia="宋体" w:cs="宋体"/>
          <w:color w:val="auto"/>
          <w:sz w:val="28"/>
          <w:szCs w:val="28"/>
          <w:highlight w:val="none"/>
          <w:lang w:eastAsia="zh-CN"/>
        </w:rPr>
        <w:t>供应商</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 xml:space="preserve">采购代理机构、国库支付执行机构各一份，自双方签订之日起生效。 </w:t>
      </w:r>
    </w:p>
    <w:p>
      <w:pPr>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二十一</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合同未尽事宜，双方另行签订补充协议，补充协议是合同的组成部分。 </w:t>
      </w:r>
    </w:p>
    <w:p>
      <w:pPr>
        <w:numPr>
          <w:ilvl w:val="0"/>
          <w:numId w:val="0"/>
        </w:numPr>
        <w:spacing w:line="360" w:lineRule="auto"/>
        <w:rPr>
          <w:rFonts w:hint="eastAsia" w:ascii="宋体" w:hAnsi="宋体" w:eastAsia="宋体" w:cs="宋体"/>
          <w:color w:val="auto"/>
          <w:sz w:val="28"/>
          <w:szCs w:val="28"/>
          <w:highlight w:val="none"/>
          <w:lang w:eastAsia="zh-CN"/>
        </w:rPr>
      </w:pPr>
    </w:p>
    <w:p>
      <w:pPr>
        <w:numPr>
          <w:ilvl w:val="0"/>
          <w:numId w:val="0"/>
        </w:num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 xml:space="preserve">： 赤峰学院（章） </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供应商</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eastAsia="zh-CN"/>
        </w:rPr>
        <w:t>）</w:t>
      </w:r>
    </w:p>
    <w:p>
      <w:pPr>
        <w:numPr>
          <w:ilvl w:val="0"/>
          <w:numId w:val="0"/>
        </w:num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法人代表（签字）：</w:t>
      </w:r>
      <w:r>
        <w:rPr>
          <w:rFonts w:hint="eastAsia" w:ascii="宋体" w:hAnsi="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法人代表（签字）：</w:t>
      </w:r>
    </w:p>
    <w:p>
      <w:pPr>
        <w:numPr>
          <w:ilvl w:val="0"/>
          <w:numId w:val="0"/>
        </w:numPr>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项目负责人</w:t>
      </w:r>
      <w:r>
        <w:rPr>
          <w:rFonts w:hint="eastAsia" w:ascii="宋体" w:hAnsi="宋体" w:eastAsia="宋体" w:cs="宋体"/>
          <w:color w:val="auto"/>
          <w:sz w:val="28"/>
          <w:szCs w:val="28"/>
          <w:highlight w:val="none"/>
        </w:rPr>
        <w:t>（签字）：</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      开户行：</w:t>
      </w:r>
    </w:p>
    <w:p>
      <w:pPr>
        <w:numPr>
          <w:ilvl w:val="0"/>
          <w:numId w:val="0"/>
        </w:num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账号</w:t>
      </w:r>
      <w:r>
        <w:rPr>
          <w:rFonts w:hint="eastAsia" w:ascii="宋体" w:hAnsi="宋体" w:eastAsia="宋体" w:cs="宋体"/>
          <w:color w:val="auto"/>
          <w:sz w:val="28"/>
          <w:szCs w:val="28"/>
          <w:highlight w:val="none"/>
        </w:rPr>
        <w:t>：</w:t>
      </w:r>
    </w:p>
    <w:p>
      <w:pPr>
        <w:pStyle w:val="2"/>
        <w:rPr>
          <w:rFonts w:hint="default" w:eastAsia="宋体"/>
          <w:color w:val="auto"/>
          <w:highlight w:val="none"/>
          <w:lang w:val="en-US" w:eastAsia="zh-CN"/>
        </w:rPr>
      </w:pPr>
      <w:r>
        <w:rPr>
          <w:rFonts w:hint="eastAsia" w:ascii="宋体" w:hAnsi="宋体" w:cs="宋体"/>
          <w:color w:val="auto"/>
          <w:sz w:val="28"/>
          <w:szCs w:val="28"/>
          <w:highlight w:val="none"/>
          <w:lang w:val="en-US" w:eastAsia="zh-CN"/>
        </w:rPr>
        <w:t xml:space="preserve">                                      联系电话：</w:t>
      </w:r>
    </w:p>
    <w:p>
      <w:pPr>
        <w:numPr>
          <w:ilvl w:val="0"/>
          <w:numId w:val="0"/>
        </w:numPr>
        <w:spacing w:line="360" w:lineRule="auto"/>
        <w:ind w:left="420" w:leftChars="0" w:firstLine="3080" w:firstLineChars="1100"/>
        <w:rPr>
          <w:rFonts w:hint="eastAsia" w:ascii="宋体" w:hAnsi="宋体" w:eastAsia="宋体" w:cs="宋体"/>
          <w:color w:val="auto"/>
          <w:sz w:val="28"/>
          <w:szCs w:val="28"/>
          <w:highlight w:val="none"/>
        </w:rPr>
      </w:pPr>
    </w:p>
    <w:p>
      <w:pPr>
        <w:numPr>
          <w:ilvl w:val="0"/>
          <w:numId w:val="0"/>
        </w:num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pPr>
        <w:numPr>
          <w:ilvl w:val="0"/>
          <w:numId w:val="0"/>
        </w:numPr>
        <w:spacing w:line="360" w:lineRule="auto"/>
        <w:rPr>
          <w:rFonts w:hint="default" w:ascii="宋体" w:hAnsi="宋体" w:eastAsia="宋体" w:cs="宋体"/>
          <w:color w:val="auto"/>
          <w:sz w:val="28"/>
          <w:szCs w:val="28"/>
          <w:highlight w:val="none"/>
          <w:lang w:val="en-US" w:eastAsia="zh-CN"/>
        </w:rPr>
      </w:pPr>
    </w:p>
    <w:p>
      <w:pPr>
        <w:spacing w:line="360" w:lineRule="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br w:type="page"/>
      </w:r>
      <w:r>
        <w:rPr>
          <w:rFonts w:hint="eastAsia" w:ascii="宋体" w:hAnsi="宋体" w:eastAsia="宋体" w:cs="宋体"/>
          <w:color w:val="auto"/>
          <w:kern w:val="2"/>
          <w:sz w:val="28"/>
          <w:szCs w:val="28"/>
          <w:highlight w:val="none"/>
          <w:lang w:val="en-US" w:eastAsia="zh-CN" w:bidi="ar-SA"/>
        </w:rPr>
        <w:t>附表：标的物清单（主要技术指标需与响应文件相一致）</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2515"/>
        <w:gridCol w:w="842"/>
        <w:gridCol w:w="990"/>
        <w:gridCol w:w="1049"/>
        <w:gridCol w:w="1209"/>
        <w:gridCol w:w="2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54"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名称</w:t>
            </w:r>
          </w:p>
        </w:tc>
        <w:tc>
          <w:tcPr>
            <w:tcW w:w="1258"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品牌、规格、标准 品 /主要服务内容</w:t>
            </w:r>
          </w:p>
        </w:tc>
        <w:tc>
          <w:tcPr>
            <w:tcW w:w="42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产地</w:t>
            </w:r>
          </w:p>
        </w:tc>
        <w:tc>
          <w:tcPr>
            <w:tcW w:w="49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数量</w:t>
            </w:r>
          </w:p>
        </w:tc>
        <w:tc>
          <w:tcPr>
            <w:tcW w:w="52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单位</w:t>
            </w:r>
          </w:p>
        </w:tc>
        <w:tc>
          <w:tcPr>
            <w:tcW w:w="60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单位（元）</w:t>
            </w:r>
          </w:p>
        </w:tc>
        <w:tc>
          <w:tcPr>
            <w:tcW w:w="124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54"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1258"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42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49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52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60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124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54"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1258"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42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49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52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60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124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54"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1258"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42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49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525"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60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c>
          <w:tcPr>
            <w:tcW w:w="124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758" w:type="pct"/>
            <w:gridSpan w:val="6"/>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合计：人民币大写：**元整</w:t>
            </w:r>
          </w:p>
        </w:tc>
        <w:tc>
          <w:tcPr>
            <w:tcW w:w="1241" w:type="pct"/>
            <w:noWrap w:val="0"/>
            <w:vAlign w:val="center"/>
          </w:tcPr>
          <w:p>
            <w:pPr>
              <w:numPr>
                <w:ilvl w:val="0"/>
                <w:numId w:val="0"/>
              </w:numPr>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w:t>
            </w:r>
          </w:p>
        </w:tc>
      </w:tr>
    </w:tbl>
    <w:p>
      <w:pPr>
        <w:jc w:val="center"/>
        <w:rPr>
          <w:rFonts w:hint="eastAsia" w:ascii="宋体" w:hAnsi="宋体" w:eastAsia="宋体" w:cs="宋体"/>
          <w:color w:val="auto"/>
          <w:sz w:val="44"/>
          <w:szCs w:val="44"/>
          <w:highlight w:val="none"/>
        </w:rPr>
      </w:pPr>
    </w:p>
    <w:p>
      <w:pPr>
        <w:jc w:val="center"/>
        <w:rPr>
          <w:rFonts w:hint="eastAsia" w:ascii="宋体" w:hAnsi="宋体" w:eastAsia="宋体" w:cs="宋体"/>
          <w:color w:val="auto"/>
          <w:sz w:val="44"/>
          <w:szCs w:val="44"/>
          <w:highlight w:val="none"/>
        </w:rPr>
      </w:pPr>
    </w:p>
    <w:p>
      <w:pPr>
        <w:jc w:val="center"/>
        <w:rPr>
          <w:rFonts w:hint="eastAsia" w:ascii="宋体" w:hAnsi="宋体" w:eastAsia="宋体" w:cs="宋体"/>
          <w:color w:val="auto"/>
          <w:sz w:val="44"/>
          <w:szCs w:val="44"/>
          <w:highlight w:val="none"/>
        </w:rPr>
      </w:pPr>
    </w:p>
    <w:p>
      <w:pPr>
        <w:widowControl/>
        <w:spacing w:line="360" w:lineRule="auto"/>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br w:type="page"/>
      </w:r>
    </w:p>
    <w:p>
      <w:pPr>
        <w:spacing w:line="500" w:lineRule="exact"/>
        <w:jc w:val="center"/>
        <w:outlineLvl w:val="0"/>
        <w:rPr>
          <w:rFonts w:hint="eastAsia" w:ascii="宋体" w:hAnsi="宋体" w:eastAsia="宋体" w:cs="宋体"/>
          <w:b/>
          <w:color w:val="auto"/>
          <w:sz w:val="36"/>
          <w:szCs w:val="36"/>
          <w:highlight w:val="none"/>
        </w:rPr>
      </w:pPr>
      <w:bookmarkStart w:id="11" w:name="_Toc17526"/>
      <w:r>
        <w:rPr>
          <w:rFonts w:hint="eastAsia" w:ascii="宋体" w:hAnsi="宋体" w:eastAsia="宋体" w:cs="宋体"/>
          <w:b/>
          <w:color w:val="auto"/>
          <w:sz w:val="36"/>
          <w:szCs w:val="36"/>
          <w:highlight w:val="none"/>
        </w:rPr>
        <w:t>第七章  附件</w:t>
      </w:r>
      <w:bookmarkEnd w:id="11"/>
    </w:p>
    <w:p>
      <w:pPr>
        <w:spacing w:line="420" w:lineRule="exact"/>
        <w:ind w:firstLine="482" w:firstLineChars="15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一、磋 商 函</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8"/>
          <w:szCs w:val="28"/>
          <w:highlight w:val="none"/>
        </w:rPr>
        <w:t>采购人名称）：</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(供应商全称)授权</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(全权代表姓名)</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(职务、职称)为磋商代表，参加贵方组织的</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(项目名称、磋商文件编号)磋商的有关活动，并对本项目进行报价。为此：</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1、我方承诺已经具备《中华人民共和国政府采购法》中第二十二条中规定的参加政府采购活动的供应商应当具备的条件：</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（1）具有独立承担民事责任的能力；</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（2）具有良好的商业信誉和健全的财务会计制度；</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（3）具有履行合同所必需的设备和专业技术能力；</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（4）有依法缴纳税收和社会保障资金的良好记录；</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（5）参加政府采购活动前三年内，在经营活动中没有重大违法记录；</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（6）法律、行政法规规定的其他条件。</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我方将严格遵守《中华人民共和国政府采购法》的有关规定，若有下列情形之一，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（1）提供虚假材料谋取中标、成交的；</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（2）采取不正当手段诋毁、排挤其他供应商的；</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（3）与采购人、其他供应商或者采购代理机构恶意串通的；</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（4）向采购人、采购代理机构行贿或者提供其他不正当利益的；</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（5）在磋商采购过程中与采购人进行协商磋商的；</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（6）拒绝有关部门监督检查或者提供虚假情况的。</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3、完全满足磋商文件中全部实质性要求。</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4、提供规定的全部响应文件：正本一份、副本二份；</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5、保证遵守磋商文件中的有关规定。</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6、保证严格执行双方所签的采购合同，并承担合同规定的责任义务。</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7、愿意向贵方提供任何与磋商有关的资料、情况和技术资料。</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8、若我方成交，我方愿意按磋商文件规定交纳履约保证金。</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9、与本磋商有关的一切来往通讯请寄：</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地址：_____</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邮编：______</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电话：_______</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传真：______ </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供应商全称（公章）：</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全权代表（签字或盖章）：                    </w:t>
      </w:r>
    </w:p>
    <w:p>
      <w:pPr>
        <w:widowControl/>
        <w:spacing w:line="360" w:lineRule="auto"/>
        <w:ind w:firstLine="565" w:firstLineChars="202"/>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日     期：</w:t>
      </w:r>
    </w:p>
    <w:p>
      <w:pPr>
        <w:jc w:val="center"/>
        <w:rPr>
          <w:rFonts w:hint="eastAsia" w:ascii="宋体" w:hAnsi="宋体" w:eastAsia="宋体" w:cs="宋体"/>
          <w:b/>
          <w:color w:val="auto"/>
          <w:sz w:val="36"/>
          <w:szCs w:val="36"/>
          <w:highlight w:val="none"/>
        </w:rPr>
      </w:pPr>
      <w:r>
        <w:rPr>
          <w:rFonts w:hint="eastAsia" w:ascii="宋体" w:hAnsi="宋体" w:eastAsia="宋体" w:cs="宋体"/>
          <w:color w:val="auto"/>
          <w:kern w:val="0"/>
          <w:sz w:val="28"/>
          <w:szCs w:val="28"/>
          <w:highlight w:val="none"/>
        </w:rPr>
        <w:br w:type="page"/>
      </w:r>
      <w:r>
        <w:rPr>
          <w:rFonts w:hint="eastAsia" w:ascii="宋体" w:hAnsi="宋体" w:eastAsia="宋体" w:cs="宋体"/>
          <w:b/>
          <w:color w:val="auto"/>
          <w:sz w:val="36"/>
          <w:szCs w:val="36"/>
          <w:highlight w:val="none"/>
          <w:lang w:eastAsia="zh-CN"/>
        </w:rPr>
        <w:t>二、</w:t>
      </w:r>
      <w:r>
        <w:rPr>
          <w:rFonts w:hint="eastAsia" w:ascii="宋体" w:hAnsi="宋体" w:eastAsia="宋体" w:cs="宋体"/>
          <w:b/>
          <w:color w:val="auto"/>
          <w:sz w:val="36"/>
          <w:szCs w:val="36"/>
          <w:highlight w:val="none"/>
        </w:rPr>
        <w:t>法定代表人（单位负责人）身份证明</w:t>
      </w:r>
    </w:p>
    <w:p>
      <w:pPr>
        <w:spacing w:line="360" w:lineRule="auto"/>
        <w:ind w:firstLine="560" w:firstLineChars="200"/>
        <w:rPr>
          <w:rFonts w:hint="eastAsia" w:ascii="宋体" w:hAnsi="宋体" w:eastAsia="宋体" w:cs="宋体"/>
          <w:color w:val="auto"/>
          <w:sz w:val="28"/>
          <w:szCs w:val="28"/>
          <w:highlight w:val="none"/>
        </w:rPr>
      </w:pP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赤峰学院</w:t>
      </w:r>
      <w:r>
        <w:rPr>
          <w:rFonts w:hint="eastAsia" w:ascii="宋体" w:hAnsi="宋体" w:eastAsia="宋体" w:cs="宋体"/>
          <w:color w:val="auto"/>
          <w:sz w:val="28"/>
          <w:szCs w:val="28"/>
          <w:highlight w:val="none"/>
        </w:rPr>
        <w:t>：</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lang w:val="en-US" w:eastAsia="zh-CN"/>
        </w:rPr>
        <w:tab/>
      </w:r>
      <w:r>
        <w:rPr>
          <w:rFonts w:hint="eastAsia" w:ascii="宋体" w:hAnsi="宋体" w:eastAsia="宋体" w:cs="宋体"/>
          <w:color w:val="auto"/>
          <w:sz w:val="28"/>
          <w:szCs w:val="28"/>
          <w:highlight w:val="none"/>
          <w:u w:val="none"/>
          <w:lang w:val="en-US" w:eastAsia="zh-CN"/>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lang w:val="en-US" w:eastAsia="zh-CN"/>
        </w:rPr>
        <w:tab/>
      </w:r>
      <w:r>
        <w:rPr>
          <w:rFonts w:hint="eastAsia" w:ascii="宋体" w:hAnsi="宋体" w:eastAsia="宋体" w:cs="宋体"/>
          <w:color w:val="auto"/>
          <w:sz w:val="28"/>
          <w:szCs w:val="28"/>
          <w:highlight w:val="none"/>
          <w:u w:val="none"/>
          <w:lang w:val="en-US" w:eastAsia="zh-CN"/>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职务：系</w:t>
      </w:r>
      <w:r>
        <w:rPr>
          <w:rFonts w:hint="eastAsia" w:ascii="宋体" w:hAnsi="宋体" w:eastAsia="宋体" w:cs="宋体"/>
          <w:color w:val="auto"/>
          <w:sz w:val="28"/>
          <w:szCs w:val="28"/>
          <w:highlight w:val="none"/>
          <w:u w:val="single"/>
        </w:rPr>
        <w:t xml:space="preserve">   （供应商名称）  </w:t>
      </w:r>
      <w:r>
        <w:rPr>
          <w:rFonts w:hint="eastAsia" w:ascii="宋体" w:hAnsi="宋体" w:eastAsia="宋体" w:cs="宋体"/>
          <w:color w:val="auto"/>
          <w:sz w:val="28"/>
          <w:szCs w:val="28"/>
          <w:highlight w:val="none"/>
        </w:rPr>
        <w:t>的法定代表人（单位负责人）。</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pPr>
        <w:pStyle w:val="11"/>
        <w:numPr>
          <w:ilvl w:val="0"/>
          <w:numId w:val="0"/>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2876550</wp:posOffset>
                </wp:positionH>
                <wp:positionV relativeFrom="paragraph">
                  <wp:posOffset>452755</wp:posOffset>
                </wp:positionV>
                <wp:extent cx="2628900" cy="1905000"/>
                <wp:effectExtent l="4445" t="4445" r="14605" b="14605"/>
                <wp:wrapNone/>
                <wp:docPr id="16"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2628900" cy="1905000"/>
                        </a:xfrm>
                        <a:prstGeom prst="rect">
                          <a:avLst/>
                        </a:prstGeom>
                        <a:solidFill>
                          <a:srgbClr val="FFFFFF"/>
                        </a:solidFill>
                        <a:ln w="9525">
                          <a:solidFill>
                            <a:srgbClr val="000000"/>
                          </a:solidFill>
                          <a:miter lim="200000"/>
                        </a:ln>
                        <a:effectLst/>
                      </wps:spPr>
                      <wps:txbx>
                        <w:txbxContent>
                          <w:p>
                            <w:pPr>
                              <w:spacing w:line="560" w:lineRule="exact"/>
                              <w:jc w:val="center"/>
                              <w:rPr>
                                <w:rFonts w:ascii="黑体" w:eastAsia="黑体"/>
                                <w:sz w:val="28"/>
                                <w:szCs w:val="28"/>
                              </w:rPr>
                            </w:pPr>
                          </w:p>
                          <w:p>
                            <w:pPr>
                              <w:jc w:val="center"/>
                              <w:rPr>
                                <w:rFonts w:hint="eastAsia" w:ascii="黑体" w:eastAsia="黑体"/>
                                <w:sz w:val="32"/>
                                <w:szCs w:val="32"/>
                              </w:rPr>
                            </w:pPr>
                            <w:r>
                              <w:rPr>
                                <w:rFonts w:hint="eastAsia" w:ascii="黑体" w:eastAsia="黑体"/>
                                <w:sz w:val="32"/>
                                <w:szCs w:val="32"/>
                              </w:rPr>
                              <w:t>法定代表人身份证</w:t>
                            </w:r>
                            <w:r>
                              <w:rPr>
                                <w:rFonts w:hint="eastAsia" w:ascii="黑体" w:eastAsia="黑体"/>
                                <w:sz w:val="32"/>
                                <w:szCs w:val="32"/>
                                <w:lang w:eastAsia="zh-CN"/>
                              </w:rPr>
                              <w:t>反面复印件或</w:t>
                            </w:r>
                            <w:r>
                              <w:rPr>
                                <w:rFonts w:hint="eastAsia" w:ascii="黑体" w:eastAsia="黑体"/>
                                <w:sz w:val="32"/>
                                <w:szCs w:val="32"/>
                              </w:rPr>
                              <w:t>扫描件</w:t>
                            </w:r>
                          </w:p>
                          <w:p>
                            <w:pPr>
                              <w:jc w:val="center"/>
                              <w:rPr>
                                <w:rFonts w:ascii="楷体_GB2312" w:eastAsia="楷体_GB2312"/>
                                <w:sz w:val="24"/>
                              </w:rPr>
                            </w:pPr>
                            <w:r>
                              <w:rPr>
                                <w:rFonts w:hint="eastAsia" w:ascii="楷体_GB2312" w:eastAsia="楷体_GB2312"/>
                                <w:sz w:val="24"/>
                              </w:rPr>
                              <w:t>（本证件需直接扫描或复印，且身份证号码必须清晰，不允许粘贴）</w:t>
                            </w:r>
                          </w:p>
                          <w:p>
                            <w:pPr>
                              <w:jc w:val="center"/>
                              <w:rPr>
                                <w:rFonts w:ascii="黑体" w:eastAsia="黑体"/>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6.5pt;margin-top:35.65pt;height:150pt;width:207pt;z-index:251662336;mso-width-relative:page;mso-height-relative:page;" fillcolor="#FFFFFF" filled="t" stroked="t" coordsize="21600,21600" o:gfxdata="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JFsubjaAAAACgEAAA8AAAAAAAAA&#10;AQAgAAAAIgAAAGRycy9kb3ducmV2LnhtbFBLAQIUABQAAAAIAIdO4kAFW+XOSAIAAJgEAAAOAAAA&#10;AAAAAAEAIAAAACkBAABkcnMvZTJvRG9jLnhtbFBLBQYAAAAABgAGAFkBAADjBQAAAAA=&#10;">
                <v:fill on="t" focussize="0,0"/>
                <v:stroke color="#000000" miterlimit="2" joinstyle="miter"/>
                <v:imagedata o:title=""/>
                <o:lock v:ext="edit" aspectratio="f"/>
                <v:textbox>
                  <w:txbxContent>
                    <w:p>
                      <w:pPr>
                        <w:spacing w:line="560" w:lineRule="exact"/>
                        <w:jc w:val="center"/>
                        <w:rPr>
                          <w:rFonts w:ascii="黑体" w:eastAsia="黑体"/>
                          <w:sz w:val="28"/>
                          <w:szCs w:val="28"/>
                        </w:rPr>
                      </w:pPr>
                    </w:p>
                    <w:p>
                      <w:pPr>
                        <w:jc w:val="center"/>
                        <w:rPr>
                          <w:rFonts w:hint="eastAsia" w:ascii="黑体" w:eastAsia="黑体"/>
                          <w:sz w:val="32"/>
                          <w:szCs w:val="32"/>
                        </w:rPr>
                      </w:pPr>
                      <w:r>
                        <w:rPr>
                          <w:rFonts w:hint="eastAsia" w:ascii="黑体" w:eastAsia="黑体"/>
                          <w:sz w:val="32"/>
                          <w:szCs w:val="32"/>
                        </w:rPr>
                        <w:t>法定代表人身份证</w:t>
                      </w:r>
                      <w:r>
                        <w:rPr>
                          <w:rFonts w:hint="eastAsia" w:ascii="黑体" w:eastAsia="黑体"/>
                          <w:sz w:val="32"/>
                          <w:szCs w:val="32"/>
                          <w:lang w:eastAsia="zh-CN"/>
                        </w:rPr>
                        <w:t>反面复印件或</w:t>
                      </w:r>
                      <w:r>
                        <w:rPr>
                          <w:rFonts w:hint="eastAsia" w:ascii="黑体" w:eastAsia="黑体"/>
                          <w:sz w:val="32"/>
                          <w:szCs w:val="32"/>
                        </w:rPr>
                        <w:t>扫描件</w:t>
                      </w:r>
                    </w:p>
                    <w:p>
                      <w:pPr>
                        <w:jc w:val="center"/>
                        <w:rPr>
                          <w:rFonts w:ascii="楷体_GB2312" w:eastAsia="楷体_GB2312"/>
                          <w:sz w:val="24"/>
                        </w:rPr>
                      </w:pPr>
                      <w:r>
                        <w:rPr>
                          <w:rFonts w:hint="eastAsia" w:ascii="楷体_GB2312" w:eastAsia="楷体_GB2312"/>
                          <w:sz w:val="24"/>
                        </w:rPr>
                        <w:t>（本证件需直接扫描或复印，且身份证号码必须清晰，不允许粘贴）</w:t>
                      </w:r>
                    </w:p>
                    <w:p>
                      <w:pPr>
                        <w:jc w:val="center"/>
                        <w:rPr>
                          <w:rFonts w:ascii="黑体" w:eastAsia="黑体"/>
                          <w:sz w:val="32"/>
                          <w:szCs w:val="32"/>
                        </w:rPr>
                      </w:pPr>
                    </w:p>
                  </w:txbxContent>
                </v:textbox>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-6350</wp:posOffset>
                </wp:positionH>
                <wp:positionV relativeFrom="paragraph">
                  <wp:posOffset>448310</wp:posOffset>
                </wp:positionV>
                <wp:extent cx="2628900" cy="1905000"/>
                <wp:effectExtent l="4445" t="4445" r="14605" b="14605"/>
                <wp:wrapNone/>
                <wp:docPr id="17" name="文本框 17"/>
                <wp:cNvGraphicFramePr/>
                <a:graphic xmlns:a="http://schemas.openxmlformats.org/drawingml/2006/main">
                  <a:graphicData uri="http://schemas.microsoft.com/office/word/2010/wordprocessingShape">
                    <wps:wsp>
                      <wps:cNvSpPr txBox="1">
                        <a:spLocks noChangeArrowheads="1"/>
                      </wps:cNvSpPr>
                      <wps:spPr bwMode="auto">
                        <a:xfrm>
                          <a:off x="0" y="0"/>
                          <a:ext cx="2628900" cy="1905000"/>
                        </a:xfrm>
                        <a:prstGeom prst="rect">
                          <a:avLst/>
                        </a:prstGeom>
                        <a:solidFill>
                          <a:srgbClr val="FFFFFF"/>
                        </a:solidFill>
                        <a:ln w="9525">
                          <a:solidFill>
                            <a:srgbClr val="000000"/>
                          </a:solidFill>
                          <a:miter lim="200000"/>
                        </a:ln>
                        <a:effectLst/>
                      </wps:spPr>
                      <wps:txbx>
                        <w:txbxContent>
                          <w:p>
                            <w:pPr>
                              <w:spacing w:line="560" w:lineRule="exact"/>
                              <w:jc w:val="center"/>
                              <w:rPr>
                                <w:rFonts w:ascii="黑体" w:eastAsia="黑体"/>
                                <w:sz w:val="28"/>
                                <w:szCs w:val="28"/>
                              </w:rPr>
                            </w:pPr>
                          </w:p>
                          <w:p>
                            <w:pPr>
                              <w:jc w:val="center"/>
                            </w:pPr>
                            <w:r>
                              <w:rPr>
                                <w:rFonts w:hint="eastAsia" w:ascii="黑体" w:eastAsia="黑体"/>
                                <w:sz w:val="32"/>
                                <w:szCs w:val="32"/>
                              </w:rPr>
                              <w:t>法定代表人身份证</w:t>
                            </w:r>
                            <w:r>
                              <w:rPr>
                                <w:rFonts w:hint="eastAsia" w:ascii="黑体" w:eastAsia="黑体"/>
                                <w:sz w:val="32"/>
                                <w:szCs w:val="32"/>
                                <w:lang w:eastAsia="zh-CN"/>
                              </w:rPr>
                              <w:t>正面复印件或</w:t>
                            </w:r>
                            <w:r>
                              <w:rPr>
                                <w:rFonts w:hint="eastAsia" w:ascii="黑体" w:eastAsia="黑体"/>
                                <w:sz w:val="32"/>
                                <w:szCs w:val="32"/>
                              </w:rPr>
                              <w:t>扫描件</w:t>
                            </w:r>
                          </w:p>
                          <w:p>
                            <w:pPr>
                              <w:jc w:val="center"/>
                              <w:rPr>
                                <w:rFonts w:ascii="楷体_GB2312" w:eastAsia="楷体_GB2312"/>
                                <w:sz w:val="24"/>
                              </w:rPr>
                            </w:pPr>
                            <w:r>
                              <w:rPr>
                                <w:rFonts w:hint="eastAsia" w:ascii="楷体_GB2312" w:eastAsia="楷体_GB2312"/>
                                <w:sz w:val="24"/>
                              </w:rPr>
                              <w:t>（本证件需直接扫描或复印，且身份证号码必须清晰，不允许粘贴）</w:t>
                            </w:r>
                          </w:p>
                          <w:p>
                            <w:pPr>
                              <w:jc w:val="center"/>
                              <w:rPr>
                                <w:rFonts w:ascii="黑体" w:eastAsia="黑体"/>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5pt;margin-top:35.3pt;height:150pt;width:207pt;z-index:251661312;mso-width-relative:page;mso-height-relative:page;" fillcolor="#FFFFFF" filled="t" stroked="t" coordsize="21600,21600" o:gfxdata="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1JwfjtkAAAAJAQAADwAAAAAAAAAB&#10;ACAAAAAiAAAAZHJzL2Rvd25yZXYueG1sUEsBAhQAFAAAAAgAh07iQBiQd0RIAgAAmAQAAA4AAAAA&#10;AAAAAQAgAAAAKAEAAGRycy9lMm9Eb2MueG1sUEsFBgAAAAAGAAYAWQEAAOIFAAAAAA==&#10;">
                <v:fill on="t" focussize="0,0"/>
                <v:stroke color="#000000" miterlimit="2" joinstyle="miter"/>
                <v:imagedata o:title=""/>
                <o:lock v:ext="edit" aspectratio="f"/>
                <v:textbox>
                  <w:txbxContent>
                    <w:p>
                      <w:pPr>
                        <w:spacing w:line="560" w:lineRule="exact"/>
                        <w:jc w:val="center"/>
                        <w:rPr>
                          <w:rFonts w:ascii="黑体" w:eastAsia="黑体"/>
                          <w:sz w:val="28"/>
                          <w:szCs w:val="28"/>
                        </w:rPr>
                      </w:pPr>
                    </w:p>
                    <w:p>
                      <w:pPr>
                        <w:jc w:val="center"/>
                      </w:pPr>
                      <w:r>
                        <w:rPr>
                          <w:rFonts w:hint="eastAsia" w:ascii="黑体" w:eastAsia="黑体"/>
                          <w:sz w:val="32"/>
                          <w:szCs w:val="32"/>
                        </w:rPr>
                        <w:t>法定代表人身份证</w:t>
                      </w:r>
                      <w:r>
                        <w:rPr>
                          <w:rFonts w:hint="eastAsia" w:ascii="黑体" w:eastAsia="黑体"/>
                          <w:sz w:val="32"/>
                          <w:szCs w:val="32"/>
                          <w:lang w:eastAsia="zh-CN"/>
                        </w:rPr>
                        <w:t>正面复印件或</w:t>
                      </w:r>
                      <w:r>
                        <w:rPr>
                          <w:rFonts w:hint="eastAsia" w:ascii="黑体" w:eastAsia="黑体"/>
                          <w:sz w:val="32"/>
                          <w:szCs w:val="32"/>
                        </w:rPr>
                        <w:t>扫描件</w:t>
                      </w:r>
                    </w:p>
                    <w:p>
                      <w:pPr>
                        <w:jc w:val="center"/>
                        <w:rPr>
                          <w:rFonts w:ascii="楷体_GB2312" w:eastAsia="楷体_GB2312"/>
                          <w:sz w:val="24"/>
                        </w:rPr>
                      </w:pPr>
                      <w:r>
                        <w:rPr>
                          <w:rFonts w:hint="eastAsia" w:ascii="楷体_GB2312" w:eastAsia="楷体_GB2312"/>
                          <w:sz w:val="24"/>
                        </w:rPr>
                        <w:t>（本证件需直接扫描或复印，且身份证号码必须清晰，不允许粘贴）</w:t>
                      </w:r>
                    </w:p>
                    <w:p>
                      <w:pPr>
                        <w:jc w:val="center"/>
                        <w:rPr>
                          <w:rFonts w:ascii="黑体" w:eastAsia="黑体"/>
                          <w:sz w:val="32"/>
                          <w:szCs w:val="32"/>
                        </w:rPr>
                      </w:pPr>
                    </w:p>
                  </w:txbxContent>
                </v:textbox>
              </v:shape>
            </w:pict>
          </mc:Fallback>
        </mc:AlternateContent>
      </w: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bidi w:val="0"/>
        <w:rPr>
          <w:rFonts w:hint="eastAsia" w:ascii="宋体" w:hAnsi="宋体" w:eastAsia="宋体" w:cs="宋体"/>
          <w:color w:val="auto"/>
          <w:highlight w:val="none"/>
        </w:rPr>
      </w:pPr>
    </w:p>
    <w:p>
      <w:pPr>
        <w:widowControl/>
        <w:spacing w:line="360" w:lineRule="auto"/>
        <w:ind w:firstLine="565" w:firstLineChars="202"/>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注：法定代表人亲自参加投标适用，委托代理人参加投标可不提供。本身份证明需由供应商加盖单位公章。</w:t>
      </w:r>
    </w:p>
    <w:p>
      <w:pPr>
        <w:widowControl/>
        <w:spacing w:line="360" w:lineRule="auto"/>
        <w:ind w:firstLine="565" w:firstLineChars="202"/>
        <w:jc w:val="left"/>
        <w:rPr>
          <w:rFonts w:hint="eastAsia" w:ascii="宋体" w:hAnsi="宋体" w:eastAsia="宋体" w:cs="宋体"/>
          <w:color w:val="auto"/>
          <w:kern w:val="0"/>
          <w:sz w:val="28"/>
          <w:szCs w:val="28"/>
          <w:highlight w:val="none"/>
          <w:lang w:val="en-US" w:eastAsia="zh-CN"/>
        </w:rPr>
      </w:pPr>
    </w:p>
    <w:p>
      <w:pPr>
        <w:widowControl/>
        <w:spacing w:line="360" w:lineRule="auto"/>
        <w:ind w:firstLine="565" w:firstLineChars="202"/>
        <w:jc w:val="left"/>
        <w:rPr>
          <w:rFonts w:hint="eastAsia" w:ascii="宋体" w:hAnsi="宋体" w:eastAsia="宋体" w:cs="宋体"/>
          <w:color w:val="auto"/>
          <w:kern w:val="0"/>
          <w:sz w:val="28"/>
          <w:szCs w:val="28"/>
          <w:highlight w:val="none"/>
          <w:lang w:val="en-US" w:eastAsia="zh-CN"/>
        </w:rPr>
      </w:pPr>
    </w:p>
    <w:p>
      <w:pPr>
        <w:widowControl/>
        <w:spacing w:line="360" w:lineRule="auto"/>
        <w:ind w:left="4620" w:leftChars="0" w:firstLine="420" w:firstLineChars="0"/>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供应商名称加盖章：</w:t>
      </w:r>
    </w:p>
    <w:p>
      <w:pPr>
        <w:widowControl/>
        <w:spacing w:line="360" w:lineRule="auto"/>
        <w:ind w:left="4620" w:leftChars="0" w:firstLine="420" w:firstLineChars="0"/>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 xml:space="preserve"> 年    月    日</w:t>
      </w:r>
    </w:p>
    <w:p>
      <w:pPr>
        <w:pStyle w:val="11"/>
        <w:rPr>
          <w:rFonts w:hint="eastAsia"/>
          <w:color w:val="auto"/>
          <w:highlight w:val="none"/>
          <w:lang w:val="en-US" w:eastAsia="zh-CN"/>
        </w:rPr>
      </w:pPr>
    </w:p>
    <w:p>
      <w:pPr>
        <w:widowControl/>
        <w:spacing w:line="360" w:lineRule="auto"/>
        <w:ind w:firstLine="649" w:firstLineChars="202"/>
        <w:jc w:val="center"/>
        <w:rPr>
          <w:rFonts w:hint="eastAsia" w:ascii="宋体" w:hAnsi="宋体" w:eastAsia="宋体" w:cs="宋体"/>
          <w:b/>
          <w:color w:val="auto"/>
          <w:sz w:val="32"/>
          <w:szCs w:val="32"/>
          <w:highlight w:val="none"/>
        </w:rPr>
      </w:pPr>
    </w:p>
    <w:p>
      <w:pPr>
        <w:widowControl/>
        <w:spacing w:line="360" w:lineRule="auto"/>
        <w:ind w:firstLine="649" w:firstLineChars="202"/>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三</w:t>
      </w:r>
      <w:r>
        <w:rPr>
          <w:rFonts w:hint="eastAsia" w:ascii="宋体" w:hAnsi="宋体" w:eastAsia="宋体" w:cs="宋体"/>
          <w:b/>
          <w:color w:val="auto"/>
          <w:sz w:val="32"/>
          <w:szCs w:val="32"/>
          <w:highlight w:val="none"/>
        </w:rPr>
        <w:t>、授 权 委 托 书</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赤峰学院：</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兹授权我单位</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sz w:val="28"/>
          <w:szCs w:val="28"/>
          <w:highlight w:val="none"/>
        </w:rPr>
        <w:t>（姓名）作为参加贵单位组织的</w:t>
      </w:r>
      <w:r>
        <w:rPr>
          <w:rFonts w:hint="eastAsia" w:ascii="宋体" w:hAnsi="宋体" w:cs="宋体"/>
          <w:color w:val="auto"/>
          <w:sz w:val="28"/>
          <w:szCs w:val="28"/>
          <w:highlight w:val="none"/>
          <w:lang w:eastAsia="zh-CN"/>
        </w:rPr>
        <w:t>赤峰学院学生食堂（保障性餐厅）食品采购原材料供应商</w:t>
      </w:r>
      <w:r>
        <w:rPr>
          <w:rFonts w:hint="eastAsia" w:ascii="宋体" w:hAnsi="宋体" w:eastAsia="宋体" w:cs="宋体"/>
          <w:color w:val="auto"/>
          <w:sz w:val="28"/>
          <w:szCs w:val="28"/>
          <w:highlight w:val="none"/>
        </w:rPr>
        <w:t>政府采购活动（磋商文件编号：</w:t>
      </w:r>
      <w:r>
        <w:rPr>
          <w:rFonts w:hint="eastAsia" w:ascii="宋体" w:hAnsi="宋体" w:cs="宋体"/>
          <w:color w:val="auto"/>
          <w:sz w:val="28"/>
          <w:szCs w:val="28"/>
          <w:highlight w:val="none"/>
          <w:lang w:eastAsia="zh-CN"/>
        </w:rPr>
        <w:t>NMGFTCG-HW-2023006</w:t>
      </w:r>
      <w:r>
        <w:rPr>
          <w:rFonts w:hint="eastAsia" w:ascii="宋体" w:hAnsi="宋体" w:eastAsia="宋体" w:cs="宋体"/>
          <w:color w:val="auto"/>
          <w:sz w:val="28"/>
          <w:szCs w:val="28"/>
          <w:highlight w:val="none"/>
        </w:rPr>
        <w:t>）的委托代理人，委托代理人全权代表我单位处理本次磋商中的有关事务，并签署全部有关文件、协议及合同，我单位对委托代理人签署内容负全部责任。</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本授权书于盖章签字后生效，在贵单位收到撤消授权的书面通知以前，本授权书一直有效。被授权人签署的所有文件不因授权的撤消而失效。委托代理人无转委托权。</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特此委托。</w:t>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3209925</wp:posOffset>
                </wp:positionH>
                <wp:positionV relativeFrom="paragraph">
                  <wp:posOffset>3810</wp:posOffset>
                </wp:positionV>
                <wp:extent cx="3009900" cy="1647825"/>
                <wp:effectExtent l="5715" t="5715" r="13335" b="13335"/>
                <wp:wrapNone/>
                <wp:docPr id="15" name="Quad Arrow 2"/>
                <wp:cNvGraphicFramePr/>
                <a:graphic xmlns:a="http://schemas.openxmlformats.org/drawingml/2006/main">
                  <a:graphicData uri="http://schemas.microsoft.com/office/word/2010/wordprocessingShape">
                    <wps:wsp>
                      <wps:cNvSpPr txBox="1">
                        <a:spLocks noChangeArrowheads="1"/>
                      </wps:cNvSpPr>
                      <wps:spPr bwMode="auto">
                        <a:xfrm>
                          <a:off x="0" y="0"/>
                          <a:ext cx="3009900" cy="1647825"/>
                        </a:xfrm>
                        <a:prstGeom prst="rect">
                          <a:avLst/>
                        </a:prstGeom>
                        <a:solidFill>
                          <a:srgbClr val="FFFFFF"/>
                        </a:solidFill>
                        <a:ln w="9525" cmpd="sng">
                          <a:solidFill>
                            <a:srgbClr val="000000"/>
                          </a:solidFill>
                          <a:miter lim="800000"/>
                        </a:ln>
                      </wps:spPr>
                      <wps:txbx>
                        <w:txbxContent>
                          <w:p>
                            <w:pPr>
                              <w:jc w:val="center"/>
                              <w:rPr>
                                <w:rFonts w:ascii="黑体" w:eastAsia="黑体"/>
                                <w:sz w:val="32"/>
                                <w:szCs w:val="32"/>
                              </w:rPr>
                            </w:pPr>
                            <w:r>
                              <w:rPr>
                                <w:rFonts w:hint="eastAsia" w:ascii="黑体" w:eastAsia="黑体" w:cs="黑体"/>
                                <w:sz w:val="32"/>
                                <w:szCs w:val="32"/>
                              </w:rPr>
                              <w:t>委托代理人身份证</w:t>
                            </w:r>
                          </w:p>
                          <w:p>
                            <w:pPr>
                              <w:jc w:val="center"/>
                              <w:rPr>
                                <w:rFonts w:ascii="黑体" w:eastAsia="黑体"/>
                                <w:sz w:val="32"/>
                                <w:szCs w:val="32"/>
                              </w:rPr>
                            </w:pPr>
                            <w:r>
                              <w:rPr>
                                <w:rFonts w:hint="eastAsia" w:ascii="黑体" w:eastAsia="黑体" w:cs="黑体"/>
                                <w:sz w:val="32"/>
                                <w:szCs w:val="32"/>
                              </w:rPr>
                              <w:t>扫描件或复印件（正反）</w:t>
                            </w:r>
                          </w:p>
                          <w:p>
                            <w:pPr>
                              <w:jc w:val="center"/>
                              <w:rPr>
                                <w:rFonts w:ascii="楷体_GB2312" w:eastAsia="楷体_GB2312"/>
                                <w:sz w:val="24"/>
                                <w:szCs w:val="24"/>
                              </w:rPr>
                            </w:pPr>
                            <w:r>
                              <w:rPr>
                                <w:rFonts w:hint="eastAsia" w:ascii="楷体_GB2312" w:eastAsia="楷体_GB2312" w:cs="楷体_GB2312"/>
                                <w:sz w:val="24"/>
                                <w:szCs w:val="24"/>
                              </w:rPr>
                              <w:t>（本证件需直接扫描或复印，且身份证号码必须清晰，不允许粘贴）</w:t>
                            </w:r>
                          </w:p>
                          <w:p>
                            <w:pPr>
                              <w:jc w:val="center"/>
                              <w:rPr>
                                <w:rFonts w:ascii="黑体" w:eastAsia="黑体"/>
                                <w:sz w:val="32"/>
                                <w:szCs w:val="32"/>
                              </w:rPr>
                            </w:pPr>
                          </w:p>
                        </w:txbxContent>
                      </wps:txbx>
                      <wps:bodyPr rot="0" vert="horz" wrap="square" lIns="91440" tIns="45720" rIns="91440" bIns="45720" anchor="t" anchorCtr="0" upright="1">
                        <a:noAutofit/>
                      </wps:bodyPr>
                    </wps:wsp>
                  </a:graphicData>
                </a:graphic>
              </wp:anchor>
            </w:drawing>
          </mc:Choice>
          <mc:Fallback>
            <w:pict>
              <v:shape id="Quad Arrow 2" o:spid="_x0000_s1026" o:spt="202" type="#_x0000_t202" style="position:absolute;left:0pt;margin-left:252.75pt;margin-top:0.3pt;height:129.75pt;width:237pt;z-index:251659264;mso-width-relative:page;mso-height-relative:page;" fillcolor="#FFFFFF" filled="t" stroked="t" coordsize="21600,21600" o:gfxdata="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NdXIlHXAAAACAEAAA8AAAAAAAAAAQAgAAAAIgAAAGRycy9kb3du&#10;cmV2LnhtbFBLAQIUABQAAAAIAIdO4kDlxP++OQIAAJUEAAAOAAAAAAAAAAEAIAAAACYBAABkcnMv&#10;ZTJvRG9jLnhtbFBLBQYAAAAABgAGAFkBAADRBQAAAAA=&#10;">
                <v:fill on="t" focussize="0,0"/>
                <v:stroke color="#000000" miterlimit="8" joinstyle="miter"/>
                <v:imagedata o:title=""/>
                <o:lock v:ext="edit" aspectratio="f"/>
                <v:textbox>
                  <w:txbxContent>
                    <w:p>
                      <w:pPr>
                        <w:jc w:val="center"/>
                        <w:rPr>
                          <w:rFonts w:ascii="黑体" w:eastAsia="黑体"/>
                          <w:sz w:val="32"/>
                          <w:szCs w:val="32"/>
                        </w:rPr>
                      </w:pPr>
                      <w:r>
                        <w:rPr>
                          <w:rFonts w:hint="eastAsia" w:ascii="黑体" w:eastAsia="黑体" w:cs="黑体"/>
                          <w:sz w:val="32"/>
                          <w:szCs w:val="32"/>
                        </w:rPr>
                        <w:t>委托代理人身份证</w:t>
                      </w:r>
                    </w:p>
                    <w:p>
                      <w:pPr>
                        <w:jc w:val="center"/>
                        <w:rPr>
                          <w:rFonts w:ascii="黑体" w:eastAsia="黑体"/>
                          <w:sz w:val="32"/>
                          <w:szCs w:val="32"/>
                        </w:rPr>
                      </w:pPr>
                      <w:r>
                        <w:rPr>
                          <w:rFonts w:hint="eastAsia" w:ascii="黑体" w:eastAsia="黑体" w:cs="黑体"/>
                          <w:sz w:val="32"/>
                          <w:szCs w:val="32"/>
                        </w:rPr>
                        <w:t>扫描件或复印件（正反）</w:t>
                      </w:r>
                    </w:p>
                    <w:p>
                      <w:pPr>
                        <w:jc w:val="center"/>
                        <w:rPr>
                          <w:rFonts w:ascii="楷体_GB2312" w:eastAsia="楷体_GB2312"/>
                          <w:sz w:val="24"/>
                          <w:szCs w:val="24"/>
                        </w:rPr>
                      </w:pPr>
                      <w:r>
                        <w:rPr>
                          <w:rFonts w:hint="eastAsia" w:ascii="楷体_GB2312" w:eastAsia="楷体_GB2312" w:cs="楷体_GB2312"/>
                          <w:sz w:val="24"/>
                          <w:szCs w:val="24"/>
                        </w:rPr>
                        <w:t>（本证件需直接扫描或复印，且身份证号码必须清晰，不允许粘贴）</w:t>
                      </w:r>
                    </w:p>
                    <w:p>
                      <w:pPr>
                        <w:jc w:val="center"/>
                        <w:rPr>
                          <w:rFonts w:ascii="黑体" w:eastAsia="黑体"/>
                          <w:sz w:val="32"/>
                          <w:szCs w:val="32"/>
                        </w:rPr>
                      </w:pPr>
                    </w:p>
                  </w:txbxContent>
                </v:textbox>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16510</wp:posOffset>
                </wp:positionV>
                <wp:extent cx="2743200" cy="1584960"/>
                <wp:effectExtent l="5715" t="5715" r="13335" b="9525"/>
                <wp:wrapNone/>
                <wp:docPr id="14" name="Quad Arrow 3"/>
                <wp:cNvGraphicFramePr/>
                <a:graphic xmlns:a="http://schemas.openxmlformats.org/drawingml/2006/main">
                  <a:graphicData uri="http://schemas.microsoft.com/office/word/2010/wordprocessingShape">
                    <wps:wsp>
                      <wps:cNvSpPr txBox="1">
                        <a:spLocks noChangeArrowheads="1"/>
                      </wps:cNvSpPr>
                      <wps:spPr bwMode="auto">
                        <a:xfrm>
                          <a:off x="0" y="0"/>
                          <a:ext cx="2743200" cy="1584960"/>
                        </a:xfrm>
                        <a:prstGeom prst="rect">
                          <a:avLst/>
                        </a:prstGeom>
                        <a:solidFill>
                          <a:srgbClr val="FFFFFF"/>
                        </a:solidFill>
                        <a:ln w="9525" cmpd="sng">
                          <a:solidFill>
                            <a:srgbClr val="000000"/>
                          </a:solidFill>
                          <a:miter lim="800000"/>
                        </a:ln>
                      </wps:spPr>
                      <wps:txbx>
                        <w:txbxContent>
                          <w:p>
                            <w:pPr>
                              <w:jc w:val="center"/>
                              <w:rPr>
                                <w:rFonts w:ascii="黑体" w:eastAsia="黑体"/>
                                <w:sz w:val="32"/>
                                <w:szCs w:val="32"/>
                              </w:rPr>
                            </w:pPr>
                            <w:r>
                              <w:rPr>
                                <w:rFonts w:hint="eastAsia" w:ascii="黑体" w:eastAsia="黑体" w:cs="黑体"/>
                                <w:sz w:val="32"/>
                                <w:szCs w:val="32"/>
                              </w:rPr>
                              <w:t>法定代表人身份证</w:t>
                            </w:r>
                          </w:p>
                          <w:p>
                            <w:pPr>
                              <w:jc w:val="center"/>
                              <w:rPr>
                                <w:rFonts w:ascii="黑体" w:eastAsia="黑体"/>
                                <w:sz w:val="32"/>
                                <w:szCs w:val="32"/>
                              </w:rPr>
                            </w:pPr>
                            <w:r>
                              <w:rPr>
                                <w:rFonts w:hint="eastAsia" w:ascii="黑体" w:eastAsia="黑体" w:cs="黑体"/>
                                <w:sz w:val="32"/>
                                <w:szCs w:val="32"/>
                              </w:rPr>
                              <w:t>扫描件或复印件（正反）</w:t>
                            </w:r>
                          </w:p>
                          <w:p>
                            <w:pPr>
                              <w:jc w:val="center"/>
                              <w:rPr>
                                <w:rFonts w:ascii="楷体_GB2312" w:eastAsia="楷体_GB2312"/>
                                <w:sz w:val="24"/>
                                <w:szCs w:val="24"/>
                              </w:rPr>
                            </w:pPr>
                            <w:r>
                              <w:rPr>
                                <w:rFonts w:hint="eastAsia" w:ascii="楷体_GB2312" w:eastAsia="楷体_GB2312" w:cs="楷体_GB2312"/>
                                <w:sz w:val="24"/>
                                <w:szCs w:val="24"/>
                              </w:rPr>
                              <w:t>（本证件需直接扫描或复印，且身份证号码必须清晰，不允许粘贴）</w:t>
                            </w:r>
                          </w:p>
                        </w:txbxContent>
                      </wps:txbx>
                      <wps:bodyPr rot="0" vert="horz" wrap="square" lIns="91440" tIns="45720" rIns="91440" bIns="45720" anchor="t" anchorCtr="0" upright="1">
                        <a:noAutofit/>
                      </wps:bodyPr>
                    </wps:wsp>
                  </a:graphicData>
                </a:graphic>
              </wp:anchor>
            </w:drawing>
          </mc:Choice>
          <mc:Fallback>
            <w:pict>
              <v:shape id="Quad Arrow 3" o:spid="_x0000_s1026" o:spt="202" type="#_x0000_t202" style="position:absolute;left:0pt;margin-left:0.9pt;margin-top:1.3pt;height:124.8pt;width:216pt;z-index:251660288;mso-width-relative:page;mso-height-relative:page;" fillcolor="#FFFFFF" filled="t" stroked="t" coordsize="21600,21600" o:gfxdata="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Q68sA1AAAAAcBAAAPAAAAAAAAAAEAIAAAACIAAABkcnMvZG93bnJl&#10;di54bWxQSwECFAAUAAAACACHTuJAyTBoNToCAACVBAAADgAAAAAAAAABACAAAAAjAQAAZHJzL2Uy&#10;b0RvYy54bWxQSwUGAAAAAAYABgBZAQAAzwUAAAAA&#10;">
                <v:fill on="t" focussize="0,0"/>
                <v:stroke color="#000000" miterlimit="8" joinstyle="miter"/>
                <v:imagedata o:title=""/>
                <o:lock v:ext="edit" aspectratio="f"/>
                <v:textbox>
                  <w:txbxContent>
                    <w:p>
                      <w:pPr>
                        <w:jc w:val="center"/>
                        <w:rPr>
                          <w:rFonts w:ascii="黑体" w:eastAsia="黑体"/>
                          <w:sz w:val="32"/>
                          <w:szCs w:val="32"/>
                        </w:rPr>
                      </w:pPr>
                      <w:r>
                        <w:rPr>
                          <w:rFonts w:hint="eastAsia" w:ascii="黑体" w:eastAsia="黑体" w:cs="黑体"/>
                          <w:sz w:val="32"/>
                          <w:szCs w:val="32"/>
                        </w:rPr>
                        <w:t>法定代表人身份证</w:t>
                      </w:r>
                    </w:p>
                    <w:p>
                      <w:pPr>
                        <w:jc w:val="center"/>
                        <w:rPr>
                          <w:rFonts w:ascii="黑体" w:eastAsia="黑体"/>
                          <w:sz w:val="32"/>
                          <w:szCs w:val="32"/>
                        </w:rPr>
                      </w:pPr>
                      <w:r>
                        <w:rPr>
                          <w:rFonts w:hint="eastAsia" w:ascii="黑体" w:eastAsia="黑体" w:cs="黑体"/>
                          <w:sz w:val="32"/>
                          <w:szCs w:val="32"/>
                        </w:rPr>
                        <w:t>扫描件或复印件（正反）</w:t>
                      </w:r>
                    </w:p>
                    <w:p>
                      <w:pPr>
                        <w:jc w:val="center"/>
                        <w:rPr>
                          <w:rFonts w:ascii="楷体_GB2312" w:eastAsia="楷体_GB2312"/>
                          <w:sz w:val="24"/>
                          <w:szCs w:val="24"/>
                        </w:rPr>
                      </w:pPr>
                      <w:r>
                        <w:rPr>
                          <w:rFonts w:hint="eastAsia" w:ascii="楷体_GB2312" w:eastAsia="楷体_GB2312" w:cs="楷体_GB2312"/>
                          <w:sz w:val="24"/>
                          <w:szCs w:val="24"/>
                        </w:rPr>
                        <w:t>（本证件需直接扫描或复印，且身份证号码必须清晰，不允许粘贴）</w:t>
                      </w:r>
                    </w:p>
                  </w:txbxContent>
                </v:textbox>
              </v:shape>
            </w:pict>
          </mc:Fallback>
        </mc:AlternateContent>
      </w:r>
      <w:r>
        <w:rPr>
          <w:rFonts w:hint="eastAsia" w:ascii="宋体" w:hAnsi="宋体" w:eastAsia="宋体" w:cs="宋体"/>
          <w:color w:val="auto"/>
          <w:sz w:val="28"/>
          <w:szCs w:val="28"/>
          <w:highlight w:val="none"/>
        </w:rPr>
        <w:drawing>
          <wp:inline distT="0" distB="0" distL="0" distR="0">
            <wp:extent cx="5986145" cy="354076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pic:cNvPicPr>
                      <a:picLocks noChangeAspect="1" noChangeArrowheads="1"/>
                    </pic:cNvPicPr>
                  </pic:nvPicPr>
                  <pic:blipFill>
                    <a:blip r:embed="rId7">
                      <a:extLst>
                        <a:ext uri="{28A0092B-C50C-407E-A947-70E740481C1C}">
                          <a14:useLocalDpi xmlns:a14="http://schemas.microsoft.com/office/drawing/2010/main" val="0"/>
                        </a:ext>
                      </a:extLst>
                    </a:blip>
                    <a:srcRect t="-99977" b="99977"/>
                    <a:stretch>
                      <a:fillRect/>
                    </a:stretch>
                  </pic:blipFill>
                  <pic:spPr>
                    <a:xfrm>
                      <a:off x="0" y="0"/>
                      <a:ext cx="5986145" cy="3540760"/>
                    </a:xfrm>
                    <a:prstGeom prst="rect">
                      <a:avLst/>
                    </a:prstGeom>
                    <a:noFill/>
                    <a:ln>
                      <a:noFill/>
                    </a:ln>
                  </pic:spPr>
                </pic:pic>
              </a:graphicData>
            </a:graphic>
          </wp:inline>
        </w:drawing>
      </w:r>
    </w:p>
    <w:p>
      <w:pPr>
        <w:spacing w:line="480" w:lineRule="exact"/>
        <w:rPr>
          <w:rFonts w:hint="eastAsia" w:ascii="宋体" w:hAnsi="宋体" w:eastAsia="宋体" w:cs="宋体"/>
          <w:color w:val="auto"/>
          <w:sz w:val="28"/>
          <w:szCs w:val="28"/>
          <w:highlight w:val="none"/>
        </w:rPr>
      </w:pPr>
    </w:p>
    <w:p>
      <w:pPr>
        <w:spacing w:line="480" w:lineRule="exact"/>
        <w:rPr>
          <w:rFonts w:hint="eastAsia" w:ascii="宋体" w:hAnsi="宋体" w:eastAsia="宋体" w:cs="宋体"/>
          <w:color w:val="auto"/>
          <w:sz w:val="28"/>
          <w:szCs w:val="28"/>
          <w:highlight w:val="none"/>
        </w:rPr>
      </w:pPr>
    </w:p>
    <w:p>
      <w:pPr>
        <w:spacing w:line="480" w:lineRule="exact"/>
        <w:rPr>
          <w:rFonts w:hint="eastAsia" w:ascii="宋体" w:hAnsi="宋体" w:eastAsia="宋体" w:cs="宋体"/>
          <w:color w:val="auto"/>
          <w:sz w:val="28"/>
          <w:szCs w:val="28"/>
          <w:highlight w:val="none"/>
        </w:rPr>
      </w:pPr>
    </w:p>
    <w:p>
      <w:pPr>
        <w:spacing w:line="480" w:lineRule="exact"/>
        <w:rPr>
          <w:rFonts w:hint="eastAsia" w:ascii="宋体" w:hAnsi="宋体" w:eastAsia="宋体" w:cs="宋体"/>
          <w:color w:val="auto"/>
          <w:sz w:val="28"/>
          <w:szCs w:val="28"/>
          <w:highlight w:val="none"/>
        </w:rPr>
      </w:pPr>
    </w:p>
    <w:p>
      <w:pPr>
        <w:spacing w:line="500" w:lineRule="exact"/>
        <w:rPr>
          <w:rFonts w:hint="eastAsia" w:ascii="宋体" w:hAnsi="宋体" w:eastAsia="宋体" w:cs="宋体"/>
          <w:color w:val="auto"/>
          <w:sz w:val="28"/>
          <w:szCs w:val="28"/>
          <w:highlight w:val="none"/>
        </w:rPr>
      </w:pPr>
    </w:p>
    <w:p>
      <w:pPr>
        <w:spacing w:line="500" w:lineRule="exact"/>
        <w:rPr>
          <w:rFonts w:hint="eastAsia" w:ascii="宋体" w:hAnsi="宋体" w:eastAsia="宋体" w:cs="宋体"/>
          <w:color w:val="auto"/>
          <w:sz w:val="28"/>
          <w:szCs w:val="28"/>
          <w:highlight w:val="none"/>
        </w:rPr>
      </w:pPr>
    </w:p>
    <w:p>
      <w:pPr>
        <w:spacing w:line="500" w:lineRule="exact"/>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供应商：（加盖公章）</w:t>
      </w:r>
    </w:p>
    <w:p>
      <w:pPr>
        <w:pStyle w:val="67"/>
        <w:rPr>
          <w:rFonts w:hint="eastAsia" w:ascii="宋体" w:hAnsi="宋体" w:eastAsia="宋体" w:cs="宋体"/>
          <w:color w:val="auto"/>
          <w:highlight w:val="none"/>
        </w:rPr>
      </w:pPr>
    </w:p>
    <w:p>
      <w:pPr>
        <w:spacing w:line="500" w:lineRule="exact"/>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w:t>
      </w:r>
    </w:p>
    <w:p>
      <w:pPr>
        <w:spacing w:line="500" w:lineRule="exact"/>
        <w:ind w:firstLine="280" w:firstLineChars="100"/>
        <w:rPr>
          <w:rFonts w:hint="eastAsia" w:ascii="宋体" w:hAnsi="宋体" w:eastAsia="宋体" w:cs="宋体"/>
          <w:color w:val="auto"/>
          <w:sz w:val="28"/>
          <w:szCs w:val="28"/>
          <w:highlight w:val="none"/>
        </w:rPr>
      </w:pPr>
    </w:p>
    <w:p>
      <w:pPr>
        <w:spacing w:line="500" w:lineRule="exact"/>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委托代理人：（签字）</w:t>
      </w:r>
    </w:p>
    <w:p>
      <w:pPr>
        <w:pStyle w:val="16"/>
        <w:spacing w:before="0" w:beforeAutospacing="0" w:after="0" w:afterAutospacing="0" w:line="500" w:lineRule="exact"/>
        <w:ind w:left="57" w:right="57" w:firstLine="560"/>
        <w:jc w:val="center"/>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2" w:name="_Toc9086"/>
      <w:r>
        <w:rPr>
          <w:rFonts w:hint="eastAsia" w:ascii="宋体" w:hAnsi="宋体" w:eastAsia="宋体" w:cs="宋体"/>
          <w:color w:val="auto"/>
          <w:sz w:val="28"/>
          <w:szCs w:val="28"/>
          <w:highlight w:val="none"/>
        </w:rPr>
        <w:t>年    月    日</w:t>
      </w:r>
      <w:bookmarkEnd w:id="12"/>
    </w:p>
    <w:p>
      <w:pPr>
        <w:spacing w:line="480" w:lineRule="exact"/>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36"/>
          <w:highlight w:val="none"/>
        </w:rPr>
        <w:br w:type="page"/>
      </w:r>
      <w:r>
        <w:rPr>
          <w:rFonts w:hint="eastAsia" w:ascii="宋体" w:hAnsi="宋体" w:cs="宋体"/>
          <w:b/>
          <w:bCs/>
          <w:color w:val="auto"/>
          <w:sz w:val="32"/>
          <w:szCs w:val="32"/>
          <w:highlight w:val="none"/>
          <w:lang w:eastAsia="zh-CN"/>
        </w:rPr>
        <w:t>四</w:t>
      </w:r>
      <w:r>
        <w:rPr>
          <w:rFonts w:hint="eastAsia" w:ascii="宋体" w:hAnsi="宋体" w:eastAsia="宋体" w:cs="宋体"/>
          <w:b/>
          <w:bCs/>
          <w:color w:val="auto"/>
          <w:sz w:val="32"/>
          <w:szCs w:val="32"/>
          <w:highlight w:val="none"/>
        </w:rPr>
        <w:t>、竞争性磋商报价表</w:t>
      </w:r>
    </w:p>
    <w:p>
      <w:pPr>
        <w:spacing w:line="480" w:lineRule="exact"/>
        <w:jc w:val="center"/>
        <w:rPr>
          <w:rFonts w:hint="eastAsia" w:ascii="宋体" w:hAnsi="宋体" w:eastAsia="宋体" w:cs="宋体"/>
          <w:b/>
          <w:bCs/>
          <w:color w:val="auto"/>
          <w:sz w:val="32"/>
          <w:szCs w:val="32"/>
          <w:highlight w:val="none"/>
        </w:rPr>
      </w:pPr>
    </w:p>
    <w:p>
      <w:pPr>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rPr>
        <w:t>磋商文件编号：</w:t>
      </w:r>
      <w:r>
        <w:rPr>
          <w:rFonts w:hint="eastAsia" w:ascii="宋体" w:hAnsi="宋体" w:eastAsia="宋体" w:cs="宋体"/>
          <w:color w:val="auto"/>
          <w:kern w:val="0"/>
          <w:sz w:val="28"/>
          <w:szCs w:val="28"/>
          <w:highlight w:val="none"/>
        </w:rPr>
        <w:t xml:space="preserve">      </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9"/>
        <w:gridCol w:w="2616"/>
        <w:gridCol w:w="1488"/>
        <w:gridCol w:w="1652"/>
        <w:gridCol w:w="1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2839" w:type="dxa"/>
            <w:vAlign w:val="center"/>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项目名称</w:t>
            </w:r>
          </w:p>
        </w:tc>
        <w:tc>
          <w:tcPr>
            <w:tcW w:w="2616" w:type="dxa"/>
            <w:vAlign w:val="center"/>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首次报价</w:t>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（元）</w:t>
            </w:r>
          </w:p>
        </w:tc>
        <w:tc>
          <w:tcPr>
            <w:tcW w:w="1488" w:type="dxa"/>
            <w:vAlign w:val="center"/>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服务时间</w:t>
            </w:r>
          </w:p>
        </w:tc>
        <w:tc>
          <w:tcPr>
            <w:tcW w:w="1652" w:type="dxa"/>
            <w:vAlign w:val="center"/>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付款</w:t>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方式</w:t>
            </w:r>
          </w:p>
        </w:tc>
        <w:tc>
          <w:tcPr>
            <w:tcW w:w="1580" w:type="dxa"/>
            <w:vAlign w:val="center"/>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2839" w:type="dxa"/>
            <w:vAlign w:val="center"/>
          </w:tcPr>
          <w:p>
            <w:pPr>
              <w:jc w:val="center"/>
              <w:rPr>
                <w:rFonts w:hint="eastAsia" w:ascii="宋体" w:hAnsi="宋体" w:eastAsia="宋体" w:cs="宋体"/>
                <w:bCs/>
                <w:color w:val="auto"/>
                <w:sz w:val="24"/>
                <w:highlight w:val="none"/>
              </w:rPr>
            </w:pPr>
          </w:p>
        </w:tc>
        <w:tc>
          <w:tcPr>
            <w:tcW w:w="2616" w:type="dxa"/>
            <w:vAlign w:val="center"/>
          </w:tcPr>
          <w:p>
            <w:pPr>
              <w:jc w:val="center"/>
              <w:rPr>
                <w:rFonts w:hint="eastAsia" w:ascii="宋体" w:hAnsi="宋体" w:eastAsia="宋体" w:cs="宋体"/>
                <w:bCs/>
                <w:color w:val="auto"/>
                <w:sz w:val="24"/>
                <w:highlight w:val="none"/>
              </w:rPr>
            </w:pPr>
          </w:p>
        </w:tc>
        <w:tc>
          <w:tcPr>
            <w:tcW w:w="1488" w:type="dxa"/>
            <w:vAlign w:val="center"/>
          </w:tcPr>
          <w:p>
            <w:pPr>
              <w:jc w:val="center"/>
              <w:rPr>
                <w:rFonts w:hint="eastAsia" w:ascii="宋体" w:hAnsi="宋体" w:eastAsia="宋体" w:cs="宋体"/>
                <w:bCs/>
                <w:color w:val="auto"/>
                <w:sz w:val="24"/>
                <w:highlight w:val="none"/>
              </w:rPr>
            </w:pPr>
          </w:p>
        </w:tc>
        <w:tc>
          <w:tcPr>
            <w:tcW w:w="1652" w:type="dxa"/>
          </w:tcPr>
          <w:p>
            <w:pPr>
              <w:jc w:val="center"/>
              <w:rPr>
                <w:rFonts w:hint="eastAsia" w:ascii="宋体" w:hAnsi="宋体" w:eastAsia="宋体" w:cs="宋体"/>
                <w:bCs/>
                <w:color w:val="auto"/>
                <w:sz w:val="24"/>
                <w:highlight w:val="none"/>
              </w:rPr>
            </w:pPr>
          </w:p>
        </w:tc>
        <w:tc>
          <w:tcPr>
            <w:tcW w:w="1580" w:type="dxa"/>
            <w:vAlign w:val="center"/>
          </w:tcPr>
          <w:p>
            <w:pPr>
              <w:jc w:val="center"/>
              <w:rPr>
                <w:rFonts w:hint="eastAsia" w:ascii="宋体" w:hAnsi="宋体" w:eastAsia="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trPr>
        <w:tc>
          <w:tcPr>
            <w:tcW w:w="2839" w:type="dxa"/>
            <w:vAlign w:val="center"/>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 计 </w:t>
            </w:r>
          </w:p>
        </w:tc>
        <w:tc>
          <w:tcPr>
            <w:tcW w:w="7336" w:type="dxa"/>
            <w:gridSpan w:val="4"/>
            <w:vAlign w:val="center"/>
          </w:tcPr>
          <w:p>
            <w:pPr>
              <w:jc w:val="lef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人民币大写：</w:t>
            </w:r>
          </w:p>
        </w:tc>
      </w:tr>
    </w:tbl>
    <w:p>
      <w:pPr>
        <w:adjustRightInd w:val="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      </w:t>
      </w:r>
    </w:p>
    <w:p>
      <w:pPr>
        <w:adjustRightInd w:val="0"/>
        <w:spacing w:line="360" w:lineRule="auto"/>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供应商名称：（盖章）</w:t>
      </w:r>
    </w:p>
    <w:p>
      <w:pPr>
        <w:adjustRightInd w:val="0"/>
        <w:spacing w:line="360" w:lineRule="auto"/>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法定代表人或授权委托人：（签字）                     </w:t>
      </w:r>
    </w:p>
    <w:p>
      <w:pPr>
        <w:adjustRightInd w:val="0"/>
        <w:spacing w:line="360" w:lineRule="auto"/>
        <w:ind w:firstLine="560" w:firstLineChars="2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日期：   年  月  日</w:t>
      </w:r>
    </w:p>
    <w:p>
      <w:pPr>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说明：1、“交付时间”指合同生效之日起，</w:t>
      </w:r>
      <w:r>
        <w:rPr>
          <w:rFonts w:hint="eastAsia" w:ascii="宋体" w:hAnsi="宋体" w:cs="宋体"/>
          <w:color w:val="auto"/>
          <w:sz w:val="28"/>
          <w:highlight w:val="none"/>
          <w:lang w:val="en-US" w:eastAsia="zh-CN"/>
        </w:rPr>
        <w:t>填写“响应”或“不响应”</w:t>
      </w:r>
      <w:r>
        <w:rPr>
          <w:rFonts w:hint="eastAsia" w:ascii="宋体" w:hAnsi="宋体" w:eastAsia="宋体" w:cs="宋体"/>
          <w:color w:val="auto"/>
          <w:sz w:val="28"/>
          <w:highlight w:val="none"/>
        </w:rPr>
        <w:t>。</w:t>
      </w:r>
    </w:p>
    <w:p>
      <w:pPr>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2、“付款方式”由供应商填写“响应”或“不响应”。</w:t>
      </w:r>
    </w:p>
    <w:p>
      <w:pPr>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3、供应商需要对报价或其它内容加以说明，可在备注栏填写。</w:t>
      </w:r>
    </w:p>
    <w:p>
      <w:pPr>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4、此表必须经法定代表人或委托代理人签名，并加盖公章。</w:t>
      </w:r>
    </w:p>
    <w:p>
      <w:pPr>
        <w:pStyle w:val="58"/>
        <w:rPr>
          <w:rFonts w:hint="eastAsia" w:ascii="宋体" w:hAnsi="宋体" w:eastAsia="宋体" w:cs="宋体"/>
          <w:b/>
          <w:bCs/>
          <w:color w:val="auto"/>
          <w:highlight w:val="none"/>
        </w:rPr>
      </w:pPr>
      <w:r>
        <w:rPr>
          <w:rFonts w:hint="eastAsia" w:ascii="宋体" w:hAnsi="宋体" w:eastAsia="宋体" w:cs="宋体"/>
          <w:b/>
          <w:bCs/>
          <w:color w:val="auto"/>
          <w:sz w:val="28"/>
          <w:highlight w:val="none"/>
        </w:rPr>
        <w:t xml:space="preserve"> </w:t>
      </w:r>
    </w:p>
    <w:p>
      <w:pPr>
        <w:ind w:firstLine="560" w:firstLineChars="200"/>
        <w:rPr>
          <w:rFonts w:hint="eastAsia" w:ascii="宋体" w:hAnsi="宋体" w:eastAsia="宋体" w:cs="宋体"/>
          <w:color w:val="auto"/>
          <w:sz w:val="28"/>
          <w:highlight w:val="none"/>
        </w:rPr>
      </w:pPr>
    </w:p>
    <w:p>
      <w:pPr>
        <w:rPr>
          <w:rFonts w:hint="eastAsia" w:ascii="宋体" w:hAnsi="宋体" w:eastAsia="宋体" w:cs="宋体"/>
          <w:b/>
          <w:bCs/>
          <w:color w:val="auto"/>
          <w:sz w:val="28"/>
          <w:szCs w:val="28"/>
          <w:highlight w:val="none"/>
        </w:rPr>
      </w:pPr>
    </w:p>
    <w:p>
      <w:pPr>
        <w:rPr>
          <w:rFonts w:hint="eastAsia" w:ascii="宋体" w:hAnsi="宋体" w:eastAsia="宋体" w:cs="宋体"/>
          <w:b/>
          <w:bCs/>
          <w:color w:val="auto"/>
          <w:sz w:val="28"/>
          <w:szCs w:val="28"/>
          <w:highlight w:val="none"/>
        </w:rPr>
      </w:pPr>
    </w:p>
    <w:p>
      <w:pPr>
        <w:rPr>
          <w:rFonts w:hint="eastAsia" w:ascii="宋体" w:hAnsi="宋体" w:eastAsia="宋体" w:cs="宋体"/>
          <w:b/>
          <w:bCs/>
          <w:color w:val="auto"/>
          <w:sz w:val="28"/>
          <w:szCs w:val="28"/>
          <w:highlight w:val="none"/>
        </w:rPr>
      </w:pPr>
    </w:p>
    <w:p>
      <w:pPr>
        <w:jc w:val="center"/>
        <w:rPr>
          <w:rFonts w:hint="eastAsia" w:ascii="宋体" w:hAnsi="宋体" w:eastAsia="宋体" w:cs="宋体"/>
          <w:b/>
          <w:bCs/>
          <w:color w:val="auto"/>
          <w:sz w:val="32"/>
          <w:szCs w:val="32"/>
          <w:highlight w:val="none"/>
          <w:vertAlign w:val="baseline"/>
        </w:rPr>
      </w:pPr>
      <w:r>
        <w:rPr>
          <w:rFonts w:hint="eastAsia" w:ascii="宋体" w:hAnsi="宋体" w:eastAsia="宋体" w:cs="宋体"/>
          <w:b/>
          <w:bCs/>
          <w:color w:val="auto"/>
          <w:sz w:val="32"/>
          <w:szCs w:val="32"/>
          <w:highlight w:val="none"/>
        </w:rPr>
        <w:br w:type="page"/>
      </w:r>
      <w:r>
        <w:rPr>
          <w:rFonts w:hint="eastAsia" w:ascii="宋体" w:hAnsi="宋体" w:cs="宋体"/>
          <w:b/>
          <w:bCs/>
          <w:color w:val="auto"/>
          <w:sz w:val="32"/>
          <w:szCs w:val="32"/>
          <w:highlight w:val="none"/>
          <w:lang w:eastAsia="zh-CN"/>
        </w:rPr>
        <w:t>技术偏离表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783"/>
        <w:gridCol w:w="1817"/>
        <w:gridCol w:w="2450"/>
        <w:gridCol w:w="1362"/>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序号</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名称</w:t>
            </w: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采购技术参数</w:t>
            </w: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供应商提供响应内容</w:t>
            </w: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偏离程度</w:t>
            </w:r>
          </w:p>
        </w:tc>
        <w:tc>
          <w:tcPr>
            <w:tcW w:w="1666" w:type="dxa"/>
          </w:tcPr>
          <w:p>
            <w:pPr>
              <w:spacing w:line="360" w:lineRule="auto"/>
              <w:jc w:val="center"/>
              <w:rPr>
                <w:rFonts w:hint="eastAsia" w:ascii="宋体" w:hAnsi="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1</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2</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5</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6</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8</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9</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10</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default" w:ascii="宋体" w:hAnsi="宋体" w:eastAsia="宋体" w:cs="宋体"/>
                <w:b w:val="0"/>
                <w:bCs w:val="0"/>
                <w:color w:val="auto"/>
                <w:sz w:val="24"/>
                <w:szCs w:val="24"/>
                <w:highlight w:val="none"/>
                <w:vertAlign w:val="baseline"/>
                <w:lang w:val="en-US" w:eastAsia="zh-CN"/>
              </w:rPr>
            </w:pP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spacing w:line="360" w:lineRule="auto"/>
              <w:jc w:val="center"/>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w:t>
            </w:r>
          </w:p>
        </w:tc>
        <w:tc>
          <w:tcPr>
            <w:tcW w:w="1783"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817" w:type="dxa"/>
          </w:tcPr>
          <w:p>
            <w:pPr>
              <w:spacing w:line="360" w:lineRule="auto"/>
              <w:jc w:val="both"/>
              <w:rPr>
                <w:rFonts w:hint="eastAsia" w:ascii="宋体" w:hAnsi="宋体" w:eastAsia="宋体" w:cs="宋体"/>
                <w:b w:val="0"/>
                <w:bCs w:val="0"/>
                <w:color w:val="auto"/>
                <w:sz w:val="24"/>
                <w:szCs w:val="24"/>
                <w:highlight w:val="none"/>
                <w:vertAlign w:val="baseline"/>
              </w:rPr>
            </w:pPr>
          </w:p>
        </w:tc>
        <w:tc>
          <w:tcPr>
            <w:tcW w:w="2450"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362" w:type="dxa"/>
          </w:tcPr>
          <w:p>
            <w:pPr>
              <w:spacing w:line="360" w:lineRule="auto"/>
              <w:jc w:val="center"/>
              <w:rPr>
                <w:rFonts w:hint="eastAsia" w:ascii="宋体" w:hAnsi="宋体" w:eastAsia="宋体" w:cs="宋体"/>
                <w:b w:val="0"/>
                <w:bCs w:val="0"/>
                <w:color w:val="auto"/>
                <w:sz w:val="24"/>
                <w:szCs w:val="24"/>
                <w:highlight w:val="none"/>
                <w:vertAlign w:val="baseline"/>
              </w:rPr>
            </w:pPr>
          </w:p>
        </w:tc>
        <w:tc>
          <w:tcPr>
            <w:tcW w:w="1666" w:type="dxa"/>
          </w:tcPr>
          <w:p>
            <w:pPr>
              <w:spacing w:line="360" w:lineRule="auto"/>
              <w:jc w:val="center"/>
              <w:rPr>
                <w:rFonts w:hint="eastAsia" w:ascii="宋体" w:hAnsi="宋体" w:eastAsia="宋体" w:cs="宋体"/>
                <w:b w:val="0"/>
                <w:bCs w:val="0"/>
                <w:color w:val="auto"/>
                <w:sz w:val="24"/>
                <w:szCs w:val="24"/>
                <w:highlight w:val="none"/>
                <w:vertAlign w:val="baseline"/>
              </w:rPr>
            </w:pPr>
          </w:p>
        </w:tc>
      </w:tr>
    </w:tbl>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说明：1.</w:t>
      </w:r>
      <w:r>
        <w:rPr>
          <w:rFonts w:hint="eastAsia" w:ascii="宋体" w:hAnsi="宋体" w:cs="宋体"/>
          <w:color w:val="auto"/>
          <w:sz w:val="28"/>
          <w:szCs w:val="28"/>
          <w:highlight w:val="none"/>
          <w:lang w:eastAsia="zh-CN"/>
        </w:rPr>
        <w:t>供应商</w:t>
      </w:r>
      <w:r>
        <w:rPr>
          <w:rFonts w:hint="eastAsia" w:ascii="宋体" w:hAnsi="宋体" w:eastAsia="宋体" w:cs="宋体"/>
          <w:color w:val="auto"/>
          <w:sz w:val="28"/>
          <w:szCs w:val="28"/>
          <w:highlight w:val="none"/>
        </w:rPr>
        <w:t>应当如实填写上表“</w:t>
      </w:r>
      <w:r>
        <w:rPr>
          <w:rFonts w:hint="eastAsia" w:ascii="宋体" w:hAnsi="宋体" w:cs="宋体"/>
          <w:color w:val="auto"/>
          <w:sz w:val="28"/>
          <w:szCs w:val="28"/>
          <w:highlight w:val="none"/>
          <w:lang w:eastAsia="zh-CN"/>
        </w:rPr>
        <w:t>供应商</w:t>
      </w:r>
      <w:r>
        <w:rPr>
          <w:rFonts w:hint="eastAsia" w:ascii="宋体" w:hAnsi="宋体" w:eastAsia="宋体" w:cs="宋体"/>
          <w:color w:val="auto"/>
          <w:sz w:val="28"/>
          <w:szCs w:val="28"/>
          <w:highlight w:val="none"/>
        </w:rPr>
        <w:t>提供响应内容”处内容，对</w:t>
      </w:r>
      <w:r>
        <w:rPr>
          <w:rFonts w:hint="eastAsia" w:ascii="宋体" w:hAnsi="宋体" w:cs="宋体"/>
          <w:color w:val="auto"/>
          <w:sz w:val="28"/>
          <w:szCs w:val="28"/>
          <w:highlight w:val="none"/>
          <w:lang w:eastAsia="zh-CN"/>
        </w:rPr>
        <w:t>磋商文件</w:t>
      </w:r>
      <w:r>
        <w:rPr>
          <w:rFonts w:hint="eastAsia" w:ascii="宋体" w:hAnsi="宋体" w:eastAsia="宋体" w:cs="宋体"/>
          <w:color w:val="auto"/>
          <w:sz w:val="28"/>
          <w:szCs w:val="28"/>
          <w:highlight w:val="none"/>
        </w:rPr>
        <w:t>提出的要求和条件作出明确响应，并列明具体响应数值或内容，只注明符合、满足等无具体内容表述的，将视为未实质性满足</w:t>
      </w:r>
      <w:r>
        <w:rPr>
          <w:rFonts w:hint="eastAsia" w:ascii="宋体" w:hAnsi="宋体" w:cs="宋体"/>
          <w:color w:val="auto"/>
          <w:sz w:val="28"/>
          <w:szCs w:val="28"/>
          <w:highlight w:val="none"/>
          <w:lang w:eastAsia="zh-CN"/>
        </w:rPr>
        <w:t>磋商</w:t>
      </w:r>
      <w:r>
        <w:rPr>
          <w:rFonts w:hint="eastAsia" w:ascii="宋体" w:hAnsi="宋体" w:eastAsia="宋体" w:cs="宋体"/>
          <w:color w:val="auto"/>
          <w:sz w:val="28"/>
          <w:szCs w:val="28"/>
          <w:highlight w:val="none"/>
        </w:rPr>
        <w:t>文件要求。</w:t>
      </w:r>
    </w:p>
    <w:p>
      <w:pPr>
        <w:ind w:firstLine="840" w:firstLineChars="3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2.“偏离程度”处可填写满足、响应或正偏离、负偏离。</w:t>
      </w:r>
    </w:p>
    <w:p>
      <w:pPr>
        <w:ind w:firstLine="840" w:firstLineChars="3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3.“备注”处可填写偏离情况的具体说明。 </w:t>
      </w:r>
    </w:p>
    <w:p>
      <w:pPr>
        <w:ind w:firstLine="840" w:firstLineChars="300"/>
        <w:jc w:val="both"/>
        <w:rPr>
          <w:rFonts w:hint="eastAsia" w:ascii="宋体" w:hAnsi="宋体" w:eastAsia="宋体" w:cs="宋体"/>
          <w:b/>
          <w:bCs/>
          <w:color w:val="auto"/>
          <w:sz w:val="32"/>
          <w:szCs w:val="32"/>
          <w:highlight w:val="none"/>
        </w:rPr>
      </w:pPr>
      <w:r>
        <w:rPr>
          <w:rFonts w:hint="eastAsia" w:ascii="宋体" w:hAnsi="宋体" w:eastAsia="宋体" w:cs="宋体"/>
          <w:color w:val="auto"/>
          <w:sz w:val="28"/>
          <w:szCs w:val="28"/>
          <w:highlight w:val="none"/>
        </w:rPr>
        <w:t>4. 上表中“</w:t>
      </w:r>
      <w:r>
        <w:rPr>
          <w:rFonts w:hint="eastAsia" w:ascii="宋体" w:hAnsi="宋体" w:cs="宋体"/>
          <w:color w:val="auto"/>
          <w:sz w:val="28"/>
          <w:szCs w:val="28"/>
          <w:highlight w:val="none"/>
          <w:lang w:eastAsia="zh-CN"/>
        </w:rPr>
        <w:t>采购</w:t>
      </w:r>
      <w:r>
        <w:rPr>
          <w:rFonts w:hint="eastAsia" w:ascii="宋体" w:hAnsi="宋体" w:eastAsia="宋体" w:cs="宋体"/>
          <w:color w:val="auto"/>
          <w:sz w:val="28"/>
          <w:szCs w:val="28"/>
          <w:highlight w:val="none"/>
        </w:rPr>
        <w:t>技术要求”应详细填写</w:t>
      </w:r>
      <w:r>
        <w:rPr>
          <w:rFonts w:hint="eastAsia" w:ascii="宋体" w:hAnsi="宋体" w:cs="宋体"/>
          <w:color w:val="auto"/>
          <w:sz w:val="28"/>
          <w:szCs w:val="28"/>
          <w:highlight w:val="none"/>
          <w:lang w:eastAsia="zh-CN"/>
        </w:rPr>
        <w:t>采购</w:t>
      </w:r>
      <w:r>
        <w:rPr>
          <w:rFonts w:hint="eastAsia" w:ascii="宋体" w:hAnsi="宋体" w:eastAsia="宋体" w:cs="宋体"/>
          <w:color w:val="auto"/>
          <w:sz w:val="28"/>
          <w:szCs w:val="28"/>
          <w:highlight w:val="none"/>
        </w:rPr>
        <w:t>要求。</w:t>
      </w:r>
      <w:r>
        <w:rPr>
          <w:rFonts w:hint="eastAsia" w:ascii="宋体" w:hAnsi="宋体" w:eastAsia="宋体" w:cs="宋体"/>
          <w:b/>
          <w:bCs/>
          <w:color w:val="auto"/>
          <w:sz w:val="32"/>
          <w:szCs w:val="32"/>
          <w:highlight w:val="none"/>
        </w:rPr>
        <w:br w:type="page"/>
      </w:r>
    </w:p>
    <w:p>
      <w:pPr>
        <w:spacing w:line="360" w:lineRule="auto"/>
        <w:ind w:left="630"/>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五</w:t>
      </w:r>
      <w:r>
        <w:rPr>
          <w:rFonts w:hint="eastAsia" w:ascii="宋体" w:hAnsi="宋体" w:eastAsia="宋体" w:cs="宋体"/>
          <w:b/>
          <w:color w:val="auto"/>
          <w:sz w:val="32"/>
          <w:szCs w:val="32"/>
          <w:highlight w:val="none"/>
        </w:rPr>
        <w:t>、参加政府采购前三年内在经营活动中</w:t>
      </w:r>
    </w:p>
    <w:p>
      <w:pPr>
        <w:spacing w:line="360" w:lineRule="auto"/>
        <w:ind w:left="630"/>
        <w:jc w:val="center"/>
        <w:outlineLvl w:val="0"/>
        <w:rPr>
          <w:rFonts w:hint="eastAsia" w:ascii="宋体" w:hAnsi="宋体" w:eastAsia="宋体" w:cs="宋体"/>
          <w:b/>
          <w:color w:val="auto"/>
          <w:sz w:val="36"/>
          <w:szCs w:val="36"/>
          <w:highlight w:val="none"/>
        </w:rPr>
      </w:pPr>
      <w:bookmarkStart w:id="13" w:name="_Toc18272"/>
      <w:r>
        <w:rPr>
          <w:rFonts w:hint="eastAsia" w:ascii="宋体" w:hAnsi="宋体" w:eastAsia="宋体" w:cs="宋体"/>
          <w:b/>
          <w:color w:val="auto"/>
          <w:sz w:val="32"/>
          <w:szCs w:val="32"/>
          <w:highlight w:val="none"/>
        </w:rPr>
        <w:t>无重大违法记录书面声明</w:t>
      </w:r>
      <w:bookmarkEnd w:id="13"/>
    </w:p>
    <w:p>
      <w:pPr>
        <w:spacing w:line="500" w:lineRule="exact"/>
        <w:jc w:val="center"/>
        <w:rPr>
          <w:rFonts w:hint="eastAsia" w:ascii="宋体" w:hAnsi="宋体" w:eastAsia="宋体" w:cs="宋体"/>
          <w:b/>
          <w:color w:val="auto"/>
          <w:sz w:val="36"/>
          <w:szCs w:val="36"/>
          <w:highlight w:val="none"/>
        </w:rPr>
      </w:pP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赤峰学院：</w:t>
      </w:r>
    </w:p>
    <w:p>
      <w:pPr>
        <w:tabs>
          <w:tab w:val="left" w:pos="1725"/>
          <w:tab w:val="center" w:pos="4195"/>
        </w:tabs>
        <w:spacing w:line="6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我公司自愿参加本次政府采购活动（项目名称：</w:t>
      </w:r>
      <w:r>
        <w:rPr>
          <w:rFonts w:hint="eastAsia" w:ascii="宋体" w:hAnsi="宋体" w:cs="宋体"/>
          <w:color w:val="auto"/>
          <w:sz w:val="28"/>
          <w:szCs w:val="28"/>
          <w:highlight w:val="none"/>
          <w:lang w:eastAsia="zh-CN"/>
        </w:rPr>
        <w:t>赤峰学院学生食堂（保障性餐厅）食品采购原材料供应商</w:t>
      </w:r>
      <w:r>
        <w:rPr>
          <w:rFonts w:hint="eastAsia" w:ascii="宋体" w:hAnsi="宋体" w:eastAsia="宋体" w:cs="宋体"/>
          <w:color w:val="auto"/>
          <w:sz w:val="28"/>
          <w:szCs w:val="28"/>
          <w:highlight w:val="none"/>
        </w:rPr>
        <w:t>，磋商文件编号：</w:t>
      </w:r>
      <w:r>
        <w:rPr>
          <w:rFonts w:hint="eastAsia" w:ascii="宋体" w:hAnsi="宋体" w:cs="宋体"/>
          <w:color w:val="auto"/>
          <w:sz w:val="28"/>
          <w:szCs w:val="28"/>
          <w:highlight w:val="none"/>
          <w:lang w:eastAsia="zh-CN"/>
        </w:rPr>
        <w:t>NMGFTCG-HW-2023006</w:t>
      </w:r>
      <w:r>
        <w:rPr>
          <w:rFonts w:hint="eastAsia" w:ascii="宋体" w:hAnsi="宋体" w:eastAsia="宋体" w:cs="宋体"/>
          <w:color w:val="auto"/>
          <w:sz w:val="28"/>
          <w:szCs w:val="28"/>
          <w:highlight w:val="none"/>
        </w:rPr>
        <w:t>），严格遵守《中华人民共和国政府采购法》、《政府采购法实施条例》及所有相关法律、法规和规定，同时郑重承诺：</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在参加此次政府采购活动前3年内，本公司在经营活动中无重大违法记录，在“信用中国”网站（www.creditchina.gov.cn）、中国政府采购网（www.ccgp.gov.cn）上均无任何违法违规行为的纪录。</w:t>
      </w:r>
    </w:p>
    <w:p>
      <w:pPr>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特此声明。</w:t>
      </w:r>
    </w:p>
    <w:p>
      <w:pPr>
        <w:spacing w:line="500" w:lineRule="exact"/>
        <w:ind w:firstLine="560" w:firstLineChars="200"/>
        <w:rPr>
          <w:rFonts w:hint="eastAsia" w:ascii="宋体" w:hAnsi="宋体" w:eastAsia="宋体" w:cs="宋体"/>
          <w:color w:val="auto"/>
          <w:sz w:val="28"/>
          <w:szCs w:val="28"/>
          <w:highlight w:val="none"/>
        </w:rPr>
      </w:pPr>
    </w:p>
    <w:p>
      <w:pPr>
        <w:spacing w:line="500" w:lineRule="exact"/>
        <w:ind w:firstLine="5880" w:firstLineChars="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供应商名称加盖公章：</w:t>
      </w:r>
    </w:p>
    <w:p>
      <w:pPr>
        <w:spacing w:line="500" w:lineRule="exact"/>
        <w:ind w:firstLine="6720" w:firstLineChars="24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pPr>
        <w:spacing w:line="360" w:lineRule="auto"/>
        <w:ind w:firstLine="560" w:firstLineChars="200"/>
        <w:rPr>
          <w:rFonts w:hint="eastAsia" w:ascii="宋体" w:hAnsi="宋体" w:eastAsia="宋体" w:cs="宋体"/>
          <w:color w:val="auto"/>
          <w:sz w:val="28"/>
          <w:szCs w:val="28"/>
          <w:highlight w:val="none"/>
        </w:rPr>
      </w:pPr>
    </w:p>
    <w:p>
      <w:pPr>
        <w:spacing w:line="360" w:lineRule="auto"/>
        <w:ind w:firstLine="560" w:firstLineChars="200"/>
        <w:rPr>
          <w:rFonts w:hint="eastAsia" w:ascii="宋体" w:hAnsi="宋体" w:eastAsia="宋体" w:cs="宋体"/>
          <w:color w:val="auto"/>
          <w:sz w:val="28"/>
          <w:szCs w:val="28"/>
          <w:highlight w:val="none"/>
        </w:rPr>
      </w:pPr>
    </w:p>
    <w:p>
      <w:pPr>
        <w:jc w:val="center"/>
        <w:rPr>
          <w:rFonts w:hint="eastAsia" w:ascii="宋体" w:hAnsi="宋体" w:eastAsia="宋体" w:cs="宋体"/>
          <w:b/>
          <w:color w:val="auto"/>
          <w:sz w:val="36"/>
          <w:szCs w:val="36"/>
          <w:highlight w:val="none"/>
        </w:rPr>
      </w:pPr>
      <w:r>
        <w:rPr>
          <w:rFonts w:hint="eastAsia" w:ascii="宋体" w:hAnsi="宋体" w:eastAsia="宋体" w:cs="宋体"/>
          <w:color w:val="auto"/>
          <w:sz w:val="28"/>
          <w:szCs w:val="28"/>
          <w:highlight w:val="none"/>
        </w:rPr>
        <w:br w:type="page"/>
      </w:r>
      <w:r>
        <w:rPr>
          <w:rFonts w:hint="eastAsia" w:ascii="宋体" w:hAnsi="宋体" w:cs="宋体"/>
          <w:b/>
          <w:color w:val="auto"/>
          <w:sz w:val="32"/>
          <w:szCs w:val="32"/>
          <w:highlight w:val="none"/>
          <w:lang w:eastAsia="zh-CN"/>
        </w:rPr>
        <w:t>六</w:t>
      </w:r>
      <w:r>
        <w:rPr>
          <w:rFonts w:hint="eastAsia" w:ascii="宋体" w:hAnsi="宋体" w:eastAsia="宋体" w:cs="宋体"/>
          <w:b/>
          <w:color w:val="auto"/>
          <w:sz w:val="32"/>
          <w:szCs w:val="32"/>
          <w:highlight w:val="none"/>
        </w:rPr>
        <w:t>、中 小 企 业 声 明 函（如有）</w:t>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本公司郑重声明，根据《政府采购促进中小企业发展管理办法》（财库[2020]46号）的规定，本公司为______（请填写：中型、小型、微型）企业。即，本公司同时满足以下条件：</w:t>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1.根据《工业和信息化部、国家统计局、国家发展和改革委员会、财政部关于印发中小企业划型标准规定的通知》（工信部联企业[2011]300号）规定的划分标准，本公司为______（请填写：中型、小型、微型）企业。</w:t>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2.本公司参加__________________单位的_______________项目采购活动提供本企业制造的货物，由本企业承担工程、提供服务，或者提供其他_________________（请填写：中型、小型、微型）企业制造的货物。本条所称货物不包括使用大型企业注册商标的货物。</w:t>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本公司对上述声明的真实性负责。如有虚假，将依法承担相应责任。</w:t>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r>
        <w:rPr>
          <w:rFonts w:hint="eastAsia" w:ascii="宋体" w:hAnsi="宋体" w:eastAsia="宋体" w:cs="宋体"/>
          <w:color w:val="auto"/>
          <w:sz w:val="28"/>
          <w:szCs w:val="28"/>
          <w:highlight w:val="none"/>
        </w:rPr>
        <w:tab/>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企业名称（盖章）：</w:t>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pPr>
        <w:spacing w:line="50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日期：</w:t>
      </w: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jc w:val="center"/>
        <w:rPr>
          <w:rFonts w:hint="eastAsia" w:ascii="宋体" w:hAnsi="宋体" w:eastAsia="宋体" w:cs="宋体"/>
          <w:b/>
          <w:color w:val="auto"/>
          <w:sz w:val="28"/>
          <w:szCs w:val="28"/>
          <w:highlight w:val="none"/>
        </w:rPr>
      </w:pP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中小企业货物(工程、服务)清单表（如有）</w:t>
      </w:r>
    </w:p>
    <w:p>
      <w:pPr>
        <w:spacing w:line="400" w:lineRule="exact"/>
        <w:ind w:firstLine="420"/>
        <w:rPr>
          <w:rFonts w:hint="eastAsia" w:ascii="宋体" w:hAnsi="宋体" w:eastAsia="宋体" w:cs="宋体"/>
          <w:bCs/>
          <w:color w:val="auto"/>
          <w:highlight w:val="none"/>
        </w:rPr>
      </w:pPr>
      <w:r>
        <w:rPr>
          <w:rFonts w:hint="eastAsia" w:ascii="宋体" w:hAnsi="宋体" w:eastAsia="宋体" w:cs="宋体"/>
          <w:color w:val="auto"/>
          <w:highlight w:val="none"/>
        </w:rPr>
        <w:t>磋商文件编号：项目编号</w:t>
      </w:r>
    </w:p>
    <w:tbl>
      <w:tblPr>
        <w:tblStyle w:val="26"/>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91"/>
        <w:gridCol w:w="1268"/>
        <w:gridCol w:w="792"/>
        <w:gridCol w:w="950"/>
        <w:gridCol w:w="952"/>
        <w:gridCol w:w="1901"/>
        <w:gridCol w:w="1901"/>
        <w:gridCol w:w="14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7" w:hRule="atLeast"/>
        </w:trPr>
        <w:tc>
          <w:tcPr>
            <w:tcW w:w="5000" w:type="pct"/>
            <w:gridSpan w:val="8"/>
            <w:vAlign w:val="center"/>
          </w:tcPr>
          <w:p>
            <w:pPr>
              <w:spacing w:line="400" w:lineRule="exact"/>
              <w:ind w:firstLine="420"/>
              <w:rPr>
                <w:rFonts w:hint="eastAsia" w:ascii="宋体" w:hAnsi="宋体" w:eastAsia="宋体" w:cs="宋体"/>
                <w:color w:val="auto"/>
                <w:kern w:val="0"/>
                <w:highlight w:val="none"/>
              </w:rPr>
            </w:pPr>
            <w:r>
              <w:rPr>
                <w:rFonts w:hint="eastAsia" w:ascii="宋体" w:hAnsi="宋体" w:eastAsia="宋体" w:cs="宋体"/>
                <w:color w:val="auto"/>
                <w:kern w:val="0"/>
                <w:highlight w:val="none"/>
              </w:rPr>
              <w:t>本公司对本表的真实性负责。如有虚假，将依法承担相应责任。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3" w:hRule="atLeast"/>
        </w:trPr>
        <w:tc>
          <w:tcPr>
            <w:tcW w:w="396"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p>
        </w:tc>
        <w:tc>
          <w:tcPr>
            <w:tcW w:w="634"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p>
        </w:tc>
        <w:tc>
          <w:tcPr>
            <w:tcW w:w="396"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p>
        </w:tc>
        <w:tc>
          <w:tcPr>
            <w:tcW w:w="475"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w:t>
            </w:r>
          </w:p>
        </w:tc>
        <w:tc>
          <w:tcPr>
            <w:tcW w:w="476"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5</w:t>
            </w:r>
          </w:p>
        </w:tc>
        <w:tc>
          <w:tcPr>
            <w:tcW w:w="951"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6</w:t>
            </w:r>
          </w:p>
        </w:tc>
        <w:tc>
          <w:tcPr>
            <w:tcW w:w="951"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w:t>
            </w:r>
          </w:p>
        </w:tc>
        <w:tc>
          <w:tcPr>
            <w:tcW w:w="716" w:type="pct"/>
            <w:vAlign w:val="center"/>
          </w:tcPr>
          <w:p>
            <w:pPr>
              <w:spacing w:line="40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2" w:hRule="atLeast"/>
        </w:trPr>
        <w:tc>
          <w:tcPr>
            <w:tcW w:w="396"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序号</w:t>
            </w:r>
          </w:p>
        </w:tc>
        <w:tc>
          <w:tcPr>
            <w:tcW w:w="634"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货物（工程、服务）名称</w:t>
            </w:r>
          </w:p>
        </w:tc>
        <w:tc>
          <w:tcPr>
            <w:tcW w:w="396"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数量</w:t>
            </w:r>
          </w:p>
        </w:tc>
        <w:tc>
          <w:tcPr>
            <w:tcW w:w="475"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单价</w:t>
            </w:r>
          </w:p>
        </w:tc>
        <w:tc>
          <w:tcPr>
            <w:tcW w:w="476"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总额</w:t>
            </w:r>
          </w:p>
        </w:tc>
        <w:tc>
          <w:tcPr>
            <w:tcW w:w="951"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货物（工程、服务）制造商名称</w:t>
            </w:r>
          </w:p>
        </w:tc>
        <w:tc>
          <w:tcPr>
            <w:tcW w:w="951"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货物（工程、服务）制造商类型</w:t>
            </w:r>
          </w:p>
        </w:tc>
        <w:tc>
          <w:tcPr>
            <w:tcW w:w="716" w:type="pct"/>
            <w:vAlign w:val="center"/>
          </w:tcPr>
          <w:p>
            <w:pPr>
              <w:spacing w:line="40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商标名称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5000" w:type="pct"/>
            <w:gridSpan w:val="8"/>
            <w:vAlign w:val="center"/>
          </w:tcPr>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中型</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396" w:type="pct"/>
            <w:vAlign w:val="center"/>
          </w:tcPr>
          <w:p>
            <w:pPr>
              <w:spacing w:line="400" w:lineRule="exact"/>
              <w:rPr>
                <w:rFonts w:hint="eastAsia" w:ascii="宋体" w:hAnsi="宋体" w:eastAsia="宋体" w:cs="宋体"/>
                <w:color w:val="auto"/>
                <w:highlight w:val="none"/>
              </w:rPr>
            </w:pPr>
          </w:p>
        </w:tc>
        <w:tc>
          <w:tcPr>
            <w:tcW w:w="634" w:type="pct"/>
            <w:vAlign w:val="center"/>
          </w:tcPr>
          <w:p>
            <w:pPr>
              <w:spacing w:line="400" w:lineRule="exact"/>
              <w:rPr>
                <w:rFonts w:hint="eastAsia" w:ascii="宋体" w:hAnsi="宋体" w:eastAsia="宋体" w:cs="宋体"/>
                <w:color w:val="auto"/>
                <w:highlight w:val="none"/>
              </w:rPr>
            </w:pPr>
          </w:p>
        </w:tc>
        <w:tc>
          <w:tcPr>
            <w:tcW w:w="396" w:type="pct"/>
            <w:vAlign w:val="center"/>
          </w:tcPr>
          <w:p>
            <w:pPr>
              <w:spacing w:line="400" w:lineRule="exact"/>
              <w:ind w:firstLine="420"/>
              <w:rPr>
                <w:rFonts w:hint="eastAsia" w:ascii="宋体" w:hAnsi="宋体" w:eastAsia="宋体" w:cs="宋体"/>
                <w:color w:val="auto"/>
                <w:highlight w:val="none"/>
              </w:rPr>
            </w:pPr>
          </w:p>
        </w:tc>
        <w:tc>
          <w:tcPr>
            <w:tcW w:w="475" w:type="pct"/>
            <w:vAlign w:val="center"/>
          </w:tcPr>
          <w:p>
            <w:pPr>
              <w:spacing w:line="400" w:lineRule="exact"/>
              <w:ind w:firstLine="420"/>
              <w:rPr>
                <w:rFonts w:hint="eastAsia" w:ascii="宋体" w:hAnsi="宋体" w:eastAsia="宋体" w:cs="宋体"/>
                <w:color w:val="auto"/>
                <w:highlight w:val="none"/>
              </w:rPr>
            </w:pPr>
          </w:p>
        </w:tc>
        <w:tc>
          <w:tcPr>
            <w:tcW w:w="476" w:type="pct"/>
            <w:vAlign w:val="center"/>
          </w:tcPr>
          <w:p>
            <w:pPr>
              <w:spacing w:line="400" w:lineRule="exact"/>
              <w:rPr>
                <w:rFonts w:hint="eastAsia" w:ascii="宋体" w:hAnsi="宋体" w:eastAsia="宋体" w:cs="宋体"/>
                <w:color w:val="auto"/>
                <w:highlight w:val="none"/>
              </w:rPr>
            </w:pPr>
          </w:p>
        </w:tc>
        <w:tc>
          <w:tcPr>
            <w:tcW w:w="951" w:type="pct"/>
            <w:vAlign w:val="center"/>
          </w:tcPr>
          <w:p>
            <w:pPr>
              <w:spacing w:line="400" w:lineRule="exact"/>
              <w:rPr>
                <w:rFonts w:hint="eastAsia" w:ascii="宋体" w:hAnsi="宋体" w:eastAsia="宋体" w:cs="宋体"/>
                <w:color w:val="auto"/>
                <w:highlight w:val="none"/>
              </w:rPr>
            </w:pPr>
          </w:p>
        </w:tc>
        <w:tc>
          <w:tcPr>
            <w:tcW w:w="951" w:type="pct"/>
          </w:tcPr>
          <w:p>
            <w:pPr>
              <w:spacing w:line="400" w:lineRule="exact"/>
              <w:rPr>
                <w:rFonts w:hint="eastAsia" w:ascii="宋体" w:hAnsi="宋体" w:eastAsia="宋体" w:cs="宋体"/>
                <w:color w:val="auto"/>
                <w:highlight w:val="none"/>
              </w:rPr>
            </w:pPr>
          </w:p>
        </w:tc>
        <w:tc>
          <w:tcPr>
            <w:tcW w:w="716" w:type="pct"/>
            <w:vAlign w:val="center"/>
          </w:tcPr>
          <w:p>
            <w:pPr>
              <w:spacing w:line="400" w:lineRule="exact"/>
              <w:rPr>
                <w:rFonts w:hint="eastAsia" w:ascii="宋体" w:hAnsi="宋体" w:eastAsia="宋体" w:cs="宋体"/>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396" w:type="pct"/>
            <w:vAlign w:val="center"/>
          </w:tcPr>
          <w:p>
            <w:pPr>
              <w:spacing w:line="400" w:lineRule="exact"/>
              <w:rPr>
                <w:rFonts w:hint="eastAsia" w:ascii="宋体" w:hAnsi="宋体" w:eastAsia="宋体" w:cs="宋体"/>
                <w:color w:val="auto"/>
                <w:highlight w:val="none"/>
              </w:rPr>
            </w:pPr>
          </w:p>
        </w:tc>
        <w:tc>
          <w:tcPr>
            <w:tcW w:w="634" w:type="pct"/>
            <w:vAlign w:val="center"/>
          </w:tcPr>
          <w:p>
            <w:pPr>
              <w:spacing w:line="400" w:lineRule="exact"/>
              <w:rPr>
                <w:rFonts w:hint="eastAsia" w:ascii="宋体" w:hAnsi="宋体" w:eastAsia="宋体" w:cs="宋体"/>
                <w:color w:val="auto"/>
                <w:highlight w:val="none"/>
              </w:rPr>
            </w:pPr>
          </w:p>
        </w:tc>
        <w:tc>
          <w:tcPr>
            <w:tcW w:w="396" w:type="pct"/>
            <w:vAlign w:val="center"/>
          </w:tcPr>
          <w:p>
            <w:pPr>
              <w:spacing w:line="400" w:lineRule="exact"/>
              <w:ind w:firstLine="420"/>
              <w:rPr>
                <w:rFonts w:hint="eastAsia" w:ascii="宋体" w:hAnsi="宋体" w:eastAsia="宋体" w:cs="宋体"/>
                <w:color w:val="auto"/>
                <w:highlight w:val="none"/>
              </w:rPr>
            </w:pPr>
          </w:p>
        </w:tc>
        <w:tc>
          <w:tcPr>
            <w:tcW w:w="475" w:type="pct"/>
            <w:vAlign w:val="center"/>
          </w:tcPr>
          <w:p>
            <w:pPr>
              <w:spacing w:line="400" w:lineRule="exact"/>
              <w:ind w:firstLine="420"/>
              <w:rPr>
                <w:rFonts w:hint="eastAsia" w:ascii="宋体" w:hAnsi="宋体" w:eastAsia="宋体" w:cs="宋体"/>
                <w:color w:val="auto"/>
                <w:highlight w:val="none"/>
              </w:rPr>
            </w:pPr>
          </w:p>
        </w:tc>
        <w:tc>
          <w:tcPr>
            <w:tcW w:w="476" w:type="pct"/>
            <w:vAlign w:val="center"/>
          </w:tcPr>
          <w:p>
            <w:pPr>
              <w:spacing w:line="400" w:lineRule="exact"/>
              <w:rPr>
                <w:rFonts w:hint="eastAsia" w:ascii="宋体" w:hAnsi="宋体" w:eastAsia="宋体" w:cs="宋体"/>
                <w:color w:val="auto"/>
                <w:highlight w:val="none"/>
              </w:rPr>
            </w:pPr>
          </w:p>
        </w:tc>
        <w:tc>
          <w:tcPr>
            <w:tcW w:w="951" w:type="pct"/>
            <w:vAlign w:val="center"/>
          </w:tcPr>
          <w:p>
            <w:pPr>
              <w:spacing w:line="400" w:lineRule="exact"/>
              <w:rPr>
                <w:rFonts w:hint="eastAsia" w:ascii="宋体" w:hAnsi="宋体" w:eastAsia="宋体" w:cs="宋体"/>
                <w:color w:val="auto"/>
                <w:highlight w:val="none"/>
              </w:rPr>
            </w:pPr>
          </w:p>
        </w:tc>
        <w:tc>
          <w:tcPr>
            <w:tcW w:w="951" w:type="pct"/>
          </w:tcPr>
          <w:p>
            <w:pPr>
              <w:spacing w:line="400" w:lineRule="exact"/>
              <w:rPr>
                <w:rFonts w:hint="eastAsia" w:ascii="宋体" w:hAnsi="宋体" w:eastAsia="宋体" w:cs="宋体"/>
                <w:color w:val="auto"/>
                <w:highlight w:val="none"/>
              </w:rPr>
            </w:pPr>
          </w:p>
        </w:tc>
        <w:tc>
          <w:tcPr>
            <w:tcW w:w="716" w:type="pct"/>
            <w:vAlign w:val="center"/>
          </w:tcPr>
          <w:p>
            <w:pPr>
              <w:spacing w:line="400" w:lineRule="exact"/>
              <w:rPr>
                <w:rFonts w:hint="eastAsia" w:ascii="宋体" w:hAnsi="宋体" w:eastAsia="宋体" w:cs="宋体"/>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396" w:type="pct"/>
            <w:vAlign w:val="center"/>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小计</w:t>
            </w:r>
          </w:p>
        </w:tc>
        <w:tc>
          <w:tcPr>
            <w:tcW w:w="634" w:type="pct"/>
            <w:vAlign w:val="center"/>
          </w:tcPr>
          <w:p>
            <w:pPr>
              <w:spacing w:line="400" w:lineRule="exact"/>
              <w:rPr>
                <w:rFonts w:hint="eastAsia" w:ascii="宋体" w:hAnsi="宋体" w:eastAsia="宋体" w:cs="宋体"/>
                <w:color w:val="auto"/>
                <w:highlight w:val="none"/>
              </w:rPr>
            </w:pPr>
          </w:p>
        </w:tc>
        <w:tc>
          <w:tcPr>
            <w:tcW w:w="396" w:type="pct"/>
            <w:vAlign w:val="center"/>
          </w:tcPr>
          <w:p>
            <w:pPr>
              <w:spacing w:line="400" w:lineRule="exact"/>
              <w:ind w:firstLine="420"/>
              <w:rPr>
                <w:rFonts w:hint="eastAsia" w:ascii="宋体" w:hAnsi="宋体" w:eastAsia="宋体" w:cs="宋体"/>
                <w:color w:val="auto"/>
                <w:highlight w:val="none"/>
              </w:rPr>
            </w:pPr>
          </w:p>
        </w:tc>
        <w:tc>
          <w:tcPr>
            <w:tcW w:w="475" w:type="pct"/>
            <w:vAlign w:val="center"/>
          </w:tcPr>
          <w:p>
            <w:pPr>
              <w:spacing w:line="400" w:lineRule="exact"/>
              <w:ind w:firstLine="420"/>
              <w:rPr>
                <w:rFonts w:hint="eastAsia" w:ascii="宋体" w:hAnsi="宋体" w:eastAsia="宋体" w:cs="宋体"/>
                <w:color w:val="auto"/>
                <w:highlight w:val="none"/>
              </w:rPr>
            </w:pPr>
          </w:p>
        </w:tc>
        <w:tc>
          <w:tcPr>
            <w:tcW w:w="476" w:type="pct"/>
            <w:vAlign w:val="center"/>
          </w:tcPr>
          <w:p>
            <w:pPr>
              <w:spacing w:line="400" w:lineRule="exact"/>
              <w:rPr>
                <w:rFonts w:hint="eastAsia" w:ascii="宋体" w:hAnsi="宋体" w:eastAsia="宋体" w:cs="宋体"/>
                <w:color w:val="auto"/>
                <w:highlight w:val="none"/>
              </w:rPr>
            </w:pPr>
          </w:p>
        </w:tc>
        <w:tc>
          <w:tcPr>
            <w:tcW w:w="951" w:type="pct"/>
            <w:vAlign w:val="center"/>
          </w:tcPr>
          <w:p>
            <w:pPr>
              <w:spacing w:line="400" w:lineRule="exact"/>
              <w:rPr>
                <w:rFonts w:hint="eastAsia" w:ascii="宋体" w:hAnsi="宋体" w:eastAsia="宋体" w:cs="宋体"/>
                <w:color w:val="auto"/>
                <w:highlight w:val="none"/>
              </w:rPr>
            </w:pPr>
          </w:p>
        </w:tc>
        <w:tc>
          <w:tcPr>
            <w:tcW w:w="951" w:type="pct"/>
          </w:tcPr>
          <w:p>
            <w:pPr>
              <w:spacing w:line="400" w:lineRule="exact"/>
              <w:rPr>
                <w:rFonts w:hint="eastAsia" w:ascii="宋体" w:hAnsi="宋体" w:eastAsia="宋体" w:cs="宋体"/>
                <w:color w:val="auto"/>
                <w:highlight w:val="none"/>
              </w:rPr>
            </w:pPr>
          </w:p>
        </w:tc>
        <w:tc>
          <w:tcPr>
            <w:tcW w:w="716" w:type="pct"/>
            <w:vAlign w:val="center"/>
          </w:tcPr>
          <w:p>
            <w:pPr>
              <w:spacing w:line="400" w:lineRule="exact"/>
              <w:rPr>
                <w:rFonts w:hint="eastAsia" w:ascii="宋体" w:hAnsi="宋体" w:eastAsia="宋体" w:cs="宋体"/>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5000" w:type="pct"/>
            <w:gridSpan w:val="8"/>
            <w:vAlign w:val="center"/>
          </w:tcPr>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小型、微型</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396" w:type="pct"/>
            <w:vAlign w:val="center"/>
          </w:tcPr>
          <w:p>
            <w:pPr>
              <w:spacing w:line="400" w:lineRule="exact"/>
              <w:rPr>
                <w:rFonts w:hint="eastAsia" w:ascii="宋体" w:hAnsi="宋体" w:eastAsia="宋体" w:cs="宋体"/>
                <w:color w:val="auto"/>
                <w:highlight w:val="none"/>
              </w:rPr>
            </w:pPr>
          </w:p>
        </w:tc>
        <w:tc>
          <w:tcPr>
            <w:tcW w:w="634" w:type="pct"/>
            <w:vAlign w:val="center"/>
          </w:tcPr>
          <w:p>
            <w:pPr>
              <w:spacing w:line="400" w:lineRule="exact"/>
              <w:rPr>
                <w:rFonts w:hint="eastAsia" w:ascii="宋体" w:hAnsi="宋体" w:eastAsia="宋体" w:cs="宋体"/>
                <w:color w:val="auto"/>
                <w:highlight w:val="none"/>
              </w:rPr>
            </w:pPr>
          </w:p>
        </w:tc>
        <w:tc>
          <w:tcPr>
            <w:tcW w:w="396" w:type="pct"/>
            <w:vAlign w:val="center"/>
          </w:tcPr>
          <w:p>
            <w:pPr>
              <w:spacing w:line="400" w:lineRule="exact"/>
              <w:rPr>
                <w:rFonts w:hint="eastAsia" w:ascii="宋体" w:hAnsi="宋体" w:eastAsia="宋体" w:cs="宋体"/>
                <w:color w:val="auto"/>
                <w:highlight w:val="none"/>
              </w:rPr>
            </w:pPr>
          </w:p>
        </w:tc>
        <w:tc>
          <w:tcPr>
            <w:tcW w:w="475" w:type="pct"/>
            <w:vAlign w:val="center"/>
          </w:tcPr>
          <w:p>
            <w:pPr>
              <w:spacing w:line="400" w:lineRule="exact"/>
              <w:rPr>
                <w:rFonts w:hint="eastAsia" w:ascii="宋体" w:hAnsi="宋体" w:eastAsia="宋体" w:cs="宋体"/>
                <w:color w:val="auto"/>
                <w:highlight w:val="none"/>
              </w:rPr>
            </w:pPr>
          </w:p>
        </w:tc>
        <w:tc>
          <w:tcPr>
            <w:tcW w:w="476" w:type="pct"/>
            <w:vAlign w:val="center"/>
          </w:tcPr>
          <w:p>
            <w:pPr>
              <w:spacing w:line="400" w:lineRule="exact"/>
              <w:rPr>
                <w:rFonts w:hint="eastAsia" w:ascii="宋体" w:hAnsi="宋体" w:eastAsia="宋体" w:cs="宋体"/>
                <w:color w:val="auto"/>
                <w:highlight w:val="none"/>
              </w:rPr>
            </w:pPr>
          </w:p>
        </w:tc>
        <w:tc>
          <w:tcPr>
            <w:tcW w:w="951" w:type="pct"/>
            <w:vAlign w:val="center"/>
          </w:tcPr>
          <w:p>
            <w:pPr>
              <w:spacing w:line="400" w:lineRule="exact"/>
              <w:rPr>
                <w:rFonts w:hint="eastAsia" w:ascii="宋体" w:hAnsi="宋体" w:eastAsia="宋体" w:cs="宋体"/>
                <w:color w:val="auto"/>
                <w:highlight w:val="none"/>
              </w:rPr>
            </w:pPr>
          </w:p>
        </w:tc>
        <w:tc>
          <w:tcPr>
            <w:tcW w:w="951" w:type="pct"/>
          </w:tcPr>
          <w:p>
            <w:pPr>
              <w:spacing w:line="400" w:lineRule="exact"/>
              <w:rPr>
                <w:rFonts w:hint="eastAsia" w:ascii="宋体" w:hAnsi="宋体" w:eastAsia="宋体" w:cs="宋体"/>
                <w:color w:val="auto"/>
                <w:highlight w:val="none"/>
              </w:rPr>
            </w:pPr>
          </w:p>
        </w:tc>
        <w:tc>
          <w:tcPr>
            <w:tcW w:w="716" w:type="pct"/>
            <w:vAlign w:val="center"/>
          </w:tcPr>
          <w:p>
            <w:pPr>
              <w:spacing w:line="400" w:lineRule="exact"/>
              <w:rPr>
                <w:rFonts w:hint="eastAsia" w:ascii="宋体" w:hAnsi="宋体" w:eastAsia="宋体" w:cs="宋体"/>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396" w:type="pct"/>
            <w:vAlign w:val="center"/>
          </w:tcPr>
          <w:p>
            <w:pPr>
              <w:spacing w:line="400" w:lineRule="exact"/>
              <w:rPr>
                <w:rFonts w:hint="eastAsia" w:ascii="宋体" w:hAnsi="宋体" w:eastAsia="宋体" w:cs="宋体"/>
                <w:color w:val="auto"/>
                <w:highlight w:val="none"/>
              </w:rPr>
            </w:pPr>
          </w:p>
        </w:tc>
        <w:tc>
          <w:tcPr>
            <w:tcW w:w="634" w:type="pct"/>
            <w:vAlign w:val="center"/>
          </w:tcPr>
          <w:p>
            <w:pPr>
              <w:spacing w:line="400" w:lineRule="exact"/>
              <w:rPr>
                <w:rFonts w:hint="eastAsia" w:ascii="宋体" w:hAnsi="宋体" w:eastAsia="宋体" w:cs="宋体"/>
                <w:color w:val="auto"/>
                <w:highlight w:val="none"/>
              </w:rPr>
            </w:pPr>
          </w:p>
        </w:tc>
        <w:tc>
          <w:tcPr>
            <w:tcW w:w="396" w:type="pct"/>
            <w:vAlign w:val="center"/>
          </w:tcPr>
          <w:p>
            <w:pPr>
              <w:spacing w:line="400" w:lineRule="exact"/>
              <w:rPr>
                <w:rFonts w:hint="eastAsia" w:ascii="宋体" w:hAnsi="宋体" w:eastAsia="宋体" w:cs="宋体"/>
                <w:color w:val="auto"/>
                <w:highlight w:val="none"/>
              </w:rPr>
            </w:pPr>
          </w:p>
        </w:tc>
        <w:tc>
          <w:tcPr>
            <w:tcW w:w="475" w:type="pct"/>
            <w:vAlign w:val="center"/>
          </w:tcPr>
          <w:p>
            <w:pPr>
              <w:spacing w:line="400" w:lineRule="exact"/>
              <w:rPr>
                <w:rFonts w:hint="eastAsia" w:ascii="宋体" w:hAnsi="宋体" w:eastAsia="宋体" w:cs="宋体"/>
                <w:color w:val="auto"/>
                <w:highlight w:val="none"/>
              </w:rPr>
            </w:pPr>
          </w:p>
        </w:tc>
        <w:tc>
          <w:tcPr>
            <w:tcW w:w="476" w:type="pct"/>
            <w:vAlign w:val="center"/>
          </w:tcPr>
          <w:p>
            <w:pPr>
              <w:spacing w:line="400" w:lineRule="exact"/>
              <w:rPr>
                <w:rFonts w:hint="eastAsia" w:ascii="宋体" w:hAnsi="宋体" w:eastAsia="宋体" w:cs="宋体"/>
                <w:color w:val="auto"/>
                <w:highlight w:val="none"/>
              </w:rPr>
            </w:pPr>
          </w:p>
        </w:tc>
        <w:tc>
          <w:tcPr>
            <w:tcW w:w="951" w:type="pct"/>
            <w:vAlign w:val="center"/>
          </w:tcPr>
          <w:p>
            <w:pPr>
              <w:spacing w:line="400" w:lineRule="exact"/>
              <w:rPr>
                <w:rFonts w:hint="eastAsia" w:ascii="宋体" w:hAnsi="宋体" w:eastAsia="宋体" w:cs="宋体"/>
                <w:color w:val="auto"/>
                <w:highlight w:val="none"/>
              </w:rPr>
            </w:pPr>
          </w:p>
        </w:tc>
        <w:tc>
          <w:tcPr>
            <w:tcW w:w="951" w:type="pct"/>
          </w:tcPr>
          <w:p>
            <w:pPr>
              <w:spacing w:line="400" w:lineRule="exact"/>
              <w:rPr>
                <w:rFonts w:hint="eastAsia" w:ascii="宋体" w:hAnsi="宋体" w:eastAsia="宋体" w:cs="宋体"/>
                <w:color w:val="auto"/>
                <w:highlight w:val="none"/>
              </w:rPr>
            </w:pPr>
          </w:p>
        </w:tc>
        <w:tc>
          <w:tcPr>
            <w:tcW w:w="716" w:type="pct"/>
            <w:vAlign w:val="center"/>
          </w:tcPr>
          <w:p>
            <w:pPr>
              <w:spacing w:line="400" w:lineRule="exact"/>
              <w:rPr>
                <w:rFonts w:hint="eastAsia" w:ascii="宋体" w:hAnsi="宋体" w:eastAsia="宋体" w:cs="宋体"/>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trPr>
        <w:tc>
          <w:tcPr>
            <w:tcW w:w="396" w:type="pct"/>
            <w:vAlign w:val="center"/>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小计</w:t>
            </w:r>
          </w:p>
        </w:tc>
        <w:tc>
          <w:tcPr>
            <w:tcW w:w="634" w:type="pct"/>
            <w:vAlign w:val="center"/>
          </w:tcPr>
          <w:p>
            <w:pPr>
              <w:spacing w:line="400" w:lineRule="exact"/>
              <w:rPr>
                <w:rFonts w:hint="eastAsia" w:ascii="宋体" w:hAnsi="宋体" w:eastAsia="宋体" w:cs="宋体"/>
                <w:color w:val="auto"/>
                <w:highlight w:val="none"/>
              </w:rPr>
            </w:pPr>
          </w:p>
        </w:tc>
        <w:tc>
          <w:tcPr>
            <w:tcW w:w="396" w:type="pct"/>
            <w:vAlign w:val="center"/>
          </w:tcPr>
          <w:p>
            <w:pPr>
              <w:spacing w:line="400" w:lineRule="exact"/>
              <w:rPr>
                <w:rFonts w:hint="eastAsia" w:ascii="宋体" w:hAnsi="宋体" w:eastAsia="宋体" w:cs="宋体"/>
                <w:color w:val="auto"/>
                <w:highlight w:val="none"/>
              </w:rPr>
            </w:pPr>
          </w:p>
        </w:tc>
        <w:tc>
          <w:tcPr>
            <w:tcW w:w="475" w:type="pct"/>
            <w:vAlign w:val="center"/>
          </w:tcPr>
          <w:p>
            <w:pPr>
              <w:spacing w:line="400" w:lineRule="exact"/>
              <w:rPr>
                <w:rFonts w:hint="eastAsia" w:ascii="宋体" w:hAnsi="宋体" w:eastAsia="宋体" w:cs="宋体"/>
                <w:color w:val="auto"/>
                <w:highlight w:val="none"/>
              </w:rPr>
            </w:pPr>
          </w:p>
        </w:tc>
        <w:tc>
          <w:tcPr>
            <w:tcW w:w="476" w:type="pct"/>
            <w:vAlign w:val="center"/>
          </w:tcPr>
          <w:p>
            <w:pPr>
              <w:spacing w:line="400" w:lineRule="exact"/>
              <w:rPr>
                <w:rFonts w:hint="eastAsia" w:ascii="宋体" w:hAnsi="宋体" w:eastAsia="宋体" w:cs="宋体"/>
                <w:color w:val="auto"/>
                <w:highlight w:val="none"/>
              </w:rPr>
            </w:pPr>
          </w:p>
        </w:tc>
        <w:tc>
          <w:tcPr>
            <w:tcW w:w="951" w:type="pct"/>
            <w:vAlign w:val="center"/>
          </w:tcPr>
          <w:p>
            <w:pPr>
              <w:spacing w:line="400" w:lineRule="exact"/>
              <w:rPr>
                <w:rFonts w:hint="eastAsia" w:ascii="宋体" w:hAnsi="宋体" w:eastAsia="宋体" w:cs="宋体"/>
                <w:color w:val="auto"/>
                <w:highlight w:val="none"/>
              </w:rPr>
            </w:pPr>
          </w:p>
        </w:tc>
        <w:tc>
          <w:tcPr>
            <w:tcW w:w="951" w:type="pct"/>
          </w:tcPr>
          <w:p>
            <w:pPr>
              <w:spacing w:line="400" w:lineRule="exact"/>
              <w:rPr>
                <w:rFonts w:hint="eastAsia" w:ascii="宋体" w:hAnsi="宋体" w:eastAsia="宋体" w:cs="宋体"/>
                <w:color w:val="auto"/>
                <w:highlight w:val="none"/>
              </w:rPr>
            </w:pPr>
          </w:p>
        </w:tc>
        <w:tc>
          <w:tcPr>
            <w:tcW w:w="716" w:type="pct"/>
            <w:vAlign w:val="center"/>
          </w:tcPr>
          <w:p>
            <w:pPr>
              <w:spacing w:line="400" w:lineRule="exact"/>
              <w:rPr>
                <w:rFonts w:hint="eastAsia" w:ascii="宋体" w:hAnsi="宋体" w:eastAsia="宋体" w:cs="宋体"/>
                <w:color w:val="auto"/>
                <w:highlight w:val="none"/>
              </w:rPr>
            </w:pPr>
          </w:p>
        </w:tc>
      </w:tr>
    </w:tbl>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说明：1、本表用于计算中小企业应享受的政策功能价格扣除。</w:t>
      </w:r>
    </w:p>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2、栏目7“货物（工程、服务）制造商类型”，填写：中型或小型、微型。</w:t>
      </w:r>
    </w:p>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3、栏目4“单价”为综合单价，包含货物所有隐含的内容，如运输费、保险费、管理费和利润等。</w:t>
      </w:r>
    </w:p>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4、未提供《中小企业声明函》及未按上述要求填写，或者提供的内容不真实的，评审时本表所有优惠不予以考虑。</w:t>
      </w:r>
    </w:p>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货物（工程、服务）制造商名称（单位公章）：</w:t>
      </w:r>
    </w:p>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供应商法定代表人或委托代理人（签字）：</w:t>
      </w:r>
    </w:p>
    <w:p>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pPr>
        <w:jc w:val="center"/>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r>
      <w:r>
        <w:rPr>
          <w:rFonts w:hint="eastAsia" w:ascii="宋体" w:hAnsi="宋体" w:cs="宋体"/>
          <w:b/>
          <w:color w:val="auto"/>
          <w:sz w:val="32"/>
          <w:szCs w:val="32"/>
          <w:highlight w:val="none"/>
          <w:lang w:eastAsia="zh-CN"/>
        </w:rPr>
        <w:t>七</w:t>
      </w:r>
      <w:r>
        <w:rPr>
          <w:rFonts w:hint="eastAsia" w:ascii="宋体" w:hAnsi="宋体" w:eastAsia="宋体" w:cs="宋体"/>
          <w:b/>
          <w:color w:val="auto"/>
          <w:sz w:val="32"/>
          <w:szCs w:val="32"/>
          <w:highlight w:val="none"/>
        </w:rPr>
        <w:t>、</w:t>
      </w:r>
      <w:bookmarkStart w:id="14" w:name="OLE_LINK13"/>
      <w:bookmarkStart w:id="15" w:name="OLE_LINK14"/>
      <w:r>
        <w:rPr>
          <w:rFonts w:hint="eastAsia" w:ascii="宋体" w:hAnsi="宋体" w:eastAsia="宋体" w:cs="宋体"/>
          <w:b/>
          <w:color w:val="auto"/>
          <w:sz w:val="32"/>
          <w:szCs w:val="32"/>
          <w:highlight w:val="none"/>
        </w:rPr>
        <w:t>残 疾 人 福 利 性 单 位 声 明 函</w:t>
      </w:r>
      <w:bookmarkEnd w:id="14"/>
      <w:bookmarkEnd w:id="15"/>
      <w:r>
        <w:rPr>
          <w:rFonts w:hint="eastAsia" w:ascii="宋体" w:hAnsi="宋体" w:eastAsia="宋体" w:cs="宋体"/>
          <w:b/>
          <w:color w:val="auto"/>
          <w:sz w:val="32"/>
          <w:szCs w:val="32"/>
          <w:highlight w:val="none"/>
        </w:rPr>
        <w:t>（如有）</w:t>
      </w:r>
    </w:p>
    <w:p>
      <w:pPr>
        <w:spacing w:line="360" w:lineRule="auto"/>
        <w:ind w:firstLine="700" w:firstLineChars="25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本单位郑重声明，根据《财政部 民政部 中国残疾人联合会关于促进残疾人就业政府采购政策的通知》（财库[2018]141号）的规定，本单位为符合条件的残疾人福利性单位，且本单位参加</w:t>
      </w:r>
      <w:r>
        <w:rPr>
          <w:rFonts w:hint="eastAsia" w:ascii="宋体" w:hAnsi="宋体" w:eastAsia="宋体" w:cs="宋体"/>
          <w:color w:val="auto"/>
          <w:sz w:val="28"/>
          <w:szCs w:val="28"/>
          <w:highlight w:val="none"/>
          <w:u w:val="single"/>
        </w:rPr>
        <w:t>赤峰学院的</w:t>
      </w:r>
      <w:r>
        <w:rPr>
          <w:rFonts w:hint="eastAsia" w:ascii="宋体" w:hAnsi="宋体" w:cs="宋体"/>
          <w:color w:val="auto"/>
          <w:sz w:val="28"/>
          <w:szCs w:val="28"/>
          <w:highlight w:val="none"/>
          <w:u w:val="single"/>
          <w:lang w:eastAsia="zh-CN"/>
        </w:rPr>
        <w:t>赤峰学院学生食堂（保障性餐厅）食品采购原材料供应商</w:t>
      </w:r>
      <w:r>
        <w:rPr>
          <w:rFonts w:hint="eastAsia" w:ascii="宋体" w:hAnsi="宋体" w:eastAsia="宋体" w:cs="宋体"/>
          <w:color w:val="auto"/>
          <w:sz w:val="28"/>
          <w:szCs w:val="28"/>
          <w:highlight w:val="none"/>
        </w:rPr>
        <w:t>（磋商文件编号：</w:t>
      </w:r>
      <w:r>
        <w:rPr>
          <w:rFonts w:hint="eastAsia" w:ascii="宋体" w:hAnsi="宋体" w:cs="宋体"/>
          <w:color w:val="auto"/>
          <w:sz w:val="28"/>
          <w:szCs w:val="28"/>
          <w:highlight w:val="none"/>
          <w:lang w:eastAsia="zh-CN"/>
        </w:rPr>
        <w:t>NMGFTCG-HW-2023006</w:t>
      </w:r>
      <w:r>
        <w:rPr>
          <w:rFonts w:hint="eastAsia" w:ascii="宋体" w:hAnsi="宋体" w:eastAsia="宋体" w:cs="宋体"/>
          <w:color w:val="auto"/>
          <w:sz w:val="28"/>
          <w:szCs w:val="28"/>
          <w:highlight w:val="none"/>
        </w:rPr>
        <w:t>）采购活动提供服务以及有关货物，或者提供其他残疾人福利性单位提供服务以及有关货物（不包括使用非残疾人福利性单位注册商标的提供服务以及有关货物）。</w:t>
      </w:r>
    </w:p>
    <w:p>
      <w:pPr>
        <w:spacing w:line="360" w:lineRule="auto"/>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本单位对上述声明的真实性负责。如有虚假，将依法承担相应责任。</w:t>
      </w:r>
    </w:p>
    <w:p>
      <w:pPr>
        <w:spacing w:line="360" w:lineRule="auto"/>
        <w:ind w:firstLine="420" w:firstLineChars="150"/>
        <w:rPr>
          <w:rFonts w:hint="eastAsia" w:ascii="宋体" w:hAnsi="宋体" w:eastAsia="宋体" w:cs="宋体"/>
          <w:color w:val="auto"/>
          <w:sz w:val="28"/>
          <w:szCs w:val="28"/>
          <w:highlight w:val="none"/>
        </w:rPr>
      </w:pPr>
    </w:p>
    <w:p>
      <w:pPr>
        <w:spacing w:line="360" w:lineRule="auto"/>
        <w:ind w:firstLine="420" w:firstLineChars="15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企业名称（盖章）：</w:t>
      </w:r>
    </w:p>
    <w:p>
      <w:pPr>
        <w:spacing w:line="360" w:lineRule="auto"/>
        <w:ind w:firstLine="420" w:firstLineChars="15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kern w:val="0"/>
          <w:sz w:val="28"/>
          <w:szCs w:val="28"/>
          <w:highlight w:val="none"/>
        </w:rPr>
        <w:br w:type="page"/>
      </w:r>
      <w:r>
        <w:rPr>
          <w:rFonts w:hint="eastAsia" w:ascii="宋体" w:hAnsi="宋体" w:cs="宋体"/>
          <w:b/>
          <w:color w:val="auto"/>
          <w:kern w:val="0"/>
          <w:sz w:val="32"/>
          <w:szCs w:val="32"/>
          <w:highlight w:val="none"/>
          <w:lang w:eastAsia="zh-CN"/>
        </w:rPr>
        <w:t>八</w:t>
      </w:r>
      <w:r>
        <w:rPr>
          <w:rFonts w:hint="eastAsia" w:ascii="宋体" w:hAnsi="宋体" w:eastAsia="宋体" w:cs="宋体"/>
          <w:b/>
          <w:color w:val="auto"/>
          <w:kern w:val="0"/>
          <w:sz w:val="32"/>
          <w:szCs w:val="32"/>
          <w:highlight w:val="none"/>
          <w:lang w:eastAsia="zh-CN"/>
        </w:rPr>
        <w:t>、</w:t>
      </w:r>
      <w:r>
        <w:rPr>
          <w:rFonts w:hint="eastAsia" w:ascii="宋体" w:hAnsi="宋体" w:eastAsia="宋体" w:cs="宋体"/>
          <w:b/>
          <w:color w:val="auto"/>
          <w:sz w:val="32"/>
          <w:szCs w:val="32"/>
          <w:highlight w:val="none"/>
        </w:rPr>
        <w:t>未受过财政部门禁止参加政府采购活动的行政处罚或受过行政处罚但期限届满的书面声明</w:t>
      </w:r>
    </w:p>
    <w:p>
      <w:pPr>
        <w:jc w:val="center"/>
        <w:outlineLvl w:val="0"/>
        <w:rPr>
          <w:rFonts w:hint="eastAsia" w:ascii="宋体" w:hAnsi="宋体" w:eastAsia="宋体" w:cs="宋体"/>
          <w:b/>
          <w:color w:val="auto"/>
          <w:kern w:val="0"/>
          <w:sz w:val="28"/>
          <w:szCs w:val="28"/>
          <w:highlight w:val="none"/>
        </w:rPr>
      </w:pPr>
      <w:bookmarkStart w:id="16" w:name="_Toc11577"/>
      <w:r>
        <w:rPr>
          <w:rFonts w:hint="eastAsia" w:ascii="宋体" w:hAnsi="宋体" w:eastAsia="宋体" w:cs="宋体"/>
          <w:b w:val="0"/>
          <w:bCs/>
          <w:color w:val="auto"/>
          <w:kern w:val="0"/>
          <w:sz w:val="32"/>
          <w:szCs w:val="32"/>
          <w:highlight w:val="none"/>
          <w:lang w:eastAsia="zh-CN"/>
        </w:rPr>
        <w:t>格式自拟</w:t>
      </w:r>
      <w:r>
        <w:rPr>
          <w:rFonts w:hint="eastAsia" w:ascii="宋体" w:hAnsi="宋体" w:eastAsia="宋体" w:cs="宋体"/>
          <w:b/>
          <w:color w:val="auto"/>
          <w:kern w:val="0"/>
          <w:sz w:val="28"/>
          <w:szCs w:val="28"/>
          <w:highlight w:val="none"/>
        </w:rPr>
        <w:br w:type="page"/>
      </w:r>
      <w:bookmarkEnd w:id="16"/>
    </w:p>
    <w:p>
      <w:pPr>
        <w:widowControl/>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pPr>
        <w:jc w:val="center"/>
        <w:outlineLvl w:val="0"/>
        <w:rPr>
          <w:rFonts w:hint="eastAsia" w:ascii="宋体" w:hAnsi="宋体" w:eastAsia="宋体" w:cs="宋体"/>
          <w:b/>
          <w:color w:val="auto"/>
          <w:sz w:val="36"/>
          <w:szCs w:val="36"/>
          <w:highlight w:val="none"/>
        </w:rPr>
      </w:pPr>
      <w:bookmarkStart w:id="17" w:name="_Toc22425"/>
      <w:r>
        <w:rPr>
          <w:rFonts w:hint="eastAsia" w:ascii="宋体" w:hAnsi="宋体" w:eastAsia="宋体" w:cs="宋体"/>
          <w:b/>
          <w:color w:val="auto"/>
          <w:sz w:val="36"/>
          <w:szCs w:val="36"/>
          <w:highlight w:val="none"/>
        </w:rPr>
        <w:t>质疑函范本</w:t>
      </w:r>
      <w:bookmarkEnd w:id="17"/>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一、质疑供应商基本信息</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质疑供应商：</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地址：邮编：</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联系人：联系电话：</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授权代表：</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地址：邮编：</w:t>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二、质疑项目基本情况</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质疑项目的名称：</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质疑项目的编号：包号：</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采购人名称：</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采购文件获取日期：</w:t>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三、质疑事项具体内容</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质疑事项1：</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事实依据：</w:t>
      </w:r>
    </w:p>
    <w:p>
      <w:pPr>
        <w:spacing w:line="500" w:lineRule="exact"/>
        <w:rPr>
          <w:rFonts w:hint="eastAsia" w:ascii="宋体" w:hAnsi="宋体" w:eastAsia="宋体" w:cs="宋体"/>
          <w:color w:val="auto"/>
          <w:sz w:val="28"/>
          <w:szCs w:val="28"/>
          <w:highlight w:val="none"/>
          <w:u w:val="single"/>
        </w:rPr>
      </w:pPr>
    </w:p>
    <w:p>
      <w:pPr>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法律依据：</w:t>
      </w:r>
    </w:p>
    <w:p>
      <w:pPr>
        <w:spacing w:line="500" w:lineRule="exact"/>
        <w:rPr>
          <w:rFonts w:hint="eastAsia" w:ascii="宋体" w:hAnsi="宋体" w:eastAsia="宋体" w:cs="宋体"/>
          <w:color w:val="auto"/>
          <w:sz w:val="28"/>
          <w:szCs w:val="28"/>
          <w:highlight w:val="none"/>
        </w:rPr>
      </w:pP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质疑事项2：</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四、与质疑事项相关的质疑请求</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请求：                                               </w:t>
      </w:r>
    </w:p>
    <w:p>
      <w:pP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签字(签章)：                   公章： </w:t>
      </w:r>
    </w:p>
    <w:p>
      <w:pPr>
        <w:spacing w:line="500" w:lineRule="exact"/>
        <w:ind w:firstLine="4480" w:firstLineChars="16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pPr>
        <w:widowControl/>
        <w:jc w:val="lef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br w:type="page"/>
      </w:r>
      <w:r>
        <w:rPr>
          <w:rFonts w:hint="eastAsia" w:ascii="宋体" w:hAnsi="宋体" w:eastAsia="宋体" w:cs="宋体"/>
          <w:b/>
          <w:color w:val="auto"/>
          <w:sz w:val="28"/>
          <w:szCs w:val="28"/>
          <w:highlight w:val="none"/>
        </w:rPr>
        <w:t>质疑函制作说明：</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1.供应商提出质疑时，应提交质疑函和必要的证明材料。</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3.质疑供应商若对项目的某一分包进行质疑，质疑函中应列明具体分包号。</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4.质疑函的质疑事项应具体、明确，并有必要的事实依据和法律依据。</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5.质疑函的质疑请求应与质疑事项相关。</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pPr>
        <w:widowControl/>
        <w:adjustRightInd w:val="0"/>
        <w:snapToGrid w:val="0"/>
        <w:spacing w:line="360" w:lineRule="auto"/>
        <w:jc w:val="both"/>
        <w:rPr>
          <w:rFonts w:hint="eastAsia" w:ascii="宋体" w:hAnsi="宋体" w:eastAsia="宋体" w:cs="宋体"/>
          <w:b/>
          <w:color w:val="auto"/>
          <w:kern w:val="0"/>
          <w:sz w:val="28"/>
          <w:szCs w:val="28"/>
          <w:highlight w:val="none"/>
        </w:rPr>
      </w:pPr>
    </w:p>
    <w:sectPr>
      <w:footerReference r:id="rId5" w:type="default"/>
      <w:pgSz w:w="11906" w:h="16838"/>
      <w:pgMar w:top="1134" w:right="991" w:bottom="1191" w:left="113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3810" t="0" r="0" b="0"/>
              <wp:wrapNone/>
              <wp:docPr id="1"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9"/>
                          </w:pPr>
                          <w:r>
                            <w:fldChar w:fldCharType="begin"/>
                          </w:r>
                          <w:r>
                            <w:instrText xml:space="preserve"> PAGE  \* MERGEFORMAT </w:instrText>
                          </w:r>
                          <w:r>
                            <w:fldChar w:fldCharType="separate"/>
                          </w:r>
                          <w:r>
                            <w:t>18</w:t>
                          </w:r>
                          <w:r>
                            <w:fldChar w:fldCharType="end"/>
                          </w:r>
                        </w:p>
                      </w:txbxContent>
                    </wps:txbx>
                    <wps:bodyPr rot="0" vert="horz" wrap="none" lIns="0" tIns="0" rIns="0" bIns="0" anchor="t" anchorCtr="0" upright="1">
                      <a:spAutoFit/>
                    </wps:bodyPr>
                  </wps:wsp>
                </a:graphicData>
              </a:graphic>
            </wp:anchor>
          </w:drawing>
        </mc:Choice>
        <mc:Fallback>
          <w:pict>
            <v:shape id="文本框 5"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V+SdAAAAADAQAADwAAAAAAAAABACAAAAAiAAAAZHJzL2Rv&#10;d25yZXYueG1sUEsBAhQAFAAAAAgAh07iQEU2WxQJAgAAAgQAAA4AAAAAAAAAAQAgAAAAHwEAAGRy&#10;cy9lMm9Eb2MueG1sUEsFBgAAAAAGAAYAWQEAAJoFA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887730</wp:posOffset>
              </wp:positionH>
              <wp:positionV relativeFrom="page">
                <wp:posOffset>544830</wp:posOffset>
              </wp:positionV>
              <wp:extent cx="1568450" cy="139700"/>
              <wp:effectExtent l="1905" t="1905" r="1270" b="1270"/>
              <wp:wrapNone/>
              <wp:docPr id="3" name="文本框 1025"/>
              <wp:cNvGraphicFramePr/>
              <a:graphic xmlns:a="http://schemas.openxmlformats.org/drawingml/2006/main">
                <a:graphicData uri="http://schemas.microsoft.com/office/word/2010/wordprocessingShape">
                  <wps:wsp>
                    <wps:cNvSpPr txBox="1">
                      <a:spLocks noChangeArrowheads="1"/>
                    </wps:cNvSpPr>
                    <wps:spPr bwMode="auto">
                      <a:xfrm>
                        <a:off x="0" y="0"/>
                        <a:ext cx="1568450" cy="139700"/>
                      </a:xfrm>
                      <a:prstGeom prst="rect">
                        <a:avLst/>
                      </a:prstGeom>
                      <a:noFill/>
                      <a:ln>
                        <a:noFill/>
                      </a:ln>
                    </wps:spPr>
                    <wps:txbx>
                      <w:txbxContent>
                        <w:p>
                          <w:pPr>
                            <w:spacing w:line="220" w:lineRule="exact"/>
                            <w:ind w:left="20"/>
                            <w:jc w:val="left"/>
                            <w:rPr>
                              <w:sz w:val="18"/>
                            </w:rPr>
                          </w:pPr>
                        </w:p>
                      </w:txbxContent>
                    </wps:txbx>
                    <wps:bodyPr rot="0" vert="horz" wrap="square" lIns="0" tIns="0" rIns="0" bIns="0" anchor="t" anchorCtr="0" upright="1">
                      <a:noAutofit/>
                    </wps:bodyPr>
                  </wps:wsp>
                </a:graphicData>
              </a:graphic>
            </wp:anchor>
          </w:drawing>
        </mc:Choice>
        <mc:Fallback>
          <w:pict>
            <v:shape id="文本框 1025" o:spid="_x0000_s1026" o:spt="202" type="#_x0000_t202" style="position:absolute;left:0pt;margin-left:69.9pt;margin-top:42.9pt;height:11pt;width:123.5pt;mso-position-horizontal-relative:page;mso-position-vertical-relative:page;z-index:-251657216;mso-width-relative:page;mso-height-relative:page;" filled="f" stroked="f" coordsize="21600,21600" o:gfxdata="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zUnsj1wAAAAoBAAAPAAAAAAAAAAEA&#10;IAAAACIAAABkcnMvZG93bnJldi54bWxQSwECFAAUAAAACACHTuJApYZpTRACAAAIBAAADgAAAAAA&#10;AAABACAAAAAmAQAAZHJzL2Uyb0RvYy54bWxQSwUGAAAAAAYABgBZAQAAqAUAAAAA&#10;">
              <v:fill on="f" focussize="0,0"/>
              <v:stroke on="f"/>
              <v:imagedata o:title=""/>
              <o:lock v:ext="edit" aspectratio="f"/>
              <v:textbox inset="0mm,0mm,0mm,0mm">
                <w:txbxContent>
                  <w:p>
                    <w:pPr>
                      <w:spacing w:line="220" w:lineRule="exact"/>
                      <w:ind w:left="20"/>
                      <w:jc w:val="left"/>
                      <w:rPr>
                        <w:sz w:val="18"/>
                      </w:rPr>
                    </w:pP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5459730</wp:posOffset>
              </wp:positionH>
              <wp:positionV relativeFrom="page">
                <wp:posOffset>544830</wp:posOffset>
              </wp:positionV>
              <wp:extent cx="1168400" cy="139700"/>
              <wp:effectExtent l="1905" t="1905" r="1270" b="1270"/>
              <wp:wrapNone/>
              <wp:docPr id="2" name="文本框 1026"/>
              <wp:cNvGraphicFramePr/>
              <a:graphic xmlns:a="http://schemas.openxmlformats.org/drawingml/2006/main">
                <a:graphicData uri="http://schemas.microsoft.com/office/word/2010/wordprocessingShape">
                  <wps:wsp>
                    <wps:cNvSpPr txBox="1">
                      <a:spLocks noChangeArrowheads="1"/>
                    </wps:cNvSpPr>
                    <wps:spPr bwMode="auto">
                      <a:xfrm>
                        <a:off x="0" y="0"/>
                        <a:ext cx="1168400" cy="139700"/>
                      </a:xfrm>
                      <a:prstGeom prst="rect">
                        <a:avLst/>
                      </a:prstGeom>
                      <a:noFill/>
                      <a:ln>
                        <a:noFill/>
                      </a:ln>
                    </wps:spPr>
                    <wps:txbx>
                      <w:txbxContent>
                        <w:p>
                          <w:pPr>
                            <w:spacing w:line="220" w:lineRule="exact"/>
                            <w:ind w:left="20"/>
                            <w:jc w:val="left"/>
                            <w:rPr>
                              <w:sz w:val="18"/>
                            </w:rPr>
                          </w:pPr>
                        </w:p>
                      </w:txbxContent>
                    </wps:txbx>
                    <wps:bodyPr rot="0" vert="horz" wrap="square" lIns="0" tIns="0" rIns="0" bIns="0" anchor="t" anchorCtr="0" upright="1">
                      <a:noAutofit/>
                    </wps:bodyPr>
                  </wps:wsp>
                </a:graphicData>
              </a:graphic>
            </wp:anchor>
          </w:drawing>
        </mc:Choice>
        <mc:Fallback>
          <w:pict>
            <v:shape id="文本框 1026" o:spid="_x0000_s1026" o:spt="202" type="#_x0000_t202" style="position:absolute;left:0pt;margin-left:429.9pt;margin-top:42.9pt;height:11pt;width:92pt;mso-position-horizontal-relative:page;mso-position-vertical-relative:page;z-index:-251656192;mso-width-relative:page;mso-height-relative:page;" filled="f" stroked="f" coordsize="21600,21600" o:gfxdata="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C3s7rbYAAAACwEAAA8AAAAAAAAAAQAg&#10;AAAAIgAAAGRycy9kb3ducmV2LnhtbFBLAQIUABQAAAAIAIdO4kCaUDZNDgIAAAgEAAAOAAAAAAAA&#10;AAEAIAAAACcBAABkcnMvZTJvRG9jLnhtbFBLBQYAAAAABgAGAFkBAACnBQAAAAA=&#10;">
              <v:fill on="f" focussize="0,0"/>
              <v:stroke on="f"/>
              <v:imagedata o:title=""/>
              <o:lock v:ext="edit" aspectratio="f"/>
              <v:textbox inset="0mm,0mm,0mm,0mm">
                <w:txbxContent>
                  <w:p>
                    <w:pPr>
                      <w:spacing w:line="220" w:lineRule="exact"/>
                      <w:ind w:left="20"/>
                      <w:jc w:val="left"/>
                      <w:rPr>
                        <w:sz w:val="18"/>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RmMTQ4NTRlMWM1M2IyYmNiYzkzZTlmMjY0YzNkNmUifQ=="/>
  </w:docVars>
  <w:rsids>
    <w:rsidRoot w:val="00172A27"/>
    <w:rsid w:val="00004FE8"/>
    <w:rsid w:val="000071F3"/>
    <w:rsid w:val="00007C2E"/>
    <w:rsid w:val="000140A4"/>
    <w:rsid w:val="0001691C"/>
    <w:rsid w:val="0002046A"/>
    <w:rsid w:val="00025220"/>
    <w:rsid w:val="00030AE1"/>
    <w:rsid w:val="00031067"/>
    <w:rsid w:val="00031767"/>
    <w:rsid w:val="00035D0C"/>
    <w:rsid w:val="00042A0A"/>
    <w:rsid w:val="0004401E"/>
    <w:rsid w:val="00045DBB"/>
    <w:rsid w:val="0004622E"/>
    <w:rsid w:val="00046348"/>
    <w:rsid w:val="00051C8C"/>
    <w:rsid w:val="00052AF5"/>
    <w:rsid w:val="00054487"/>
    <w:rsid w:val="000551AF"/>
    <w:rsid w:val="00055D54"/>
    <w:rsid w:val="00060FAA"/>
    <w:rsid w:val="0006595F"/>
    <w:rsid w:val="00065A55"/>
    <w:rsid w:val="00067B1D"/>
    <w:rsid w:val="0007296D"/>
    <w:rsid w:val="00073536"/>
    <w:rsid w:val="00075D81"/>
    <w:rsid w:val="000838D9"/>
    <w:rsid w:val="00087226"/>
    <w:rsid w:val="000872C7"/>
    <w:rsid w:val="00090D7A"/>
    <w:rsid w:val="000A718F"/>
    <w:rsid w:val="000A7BFC"/>
    <w:rsid w:val="000B044D"/>
    <w:rsid w:val="000B1A20"/>
    <w:rsid w:val="000B2F2A"/>
    <w:rsid w:val="000B4A5F"/>
    <w:rsid w:val="000C5E64"/>
    <w:rsid w:val="000D0793"/>
    <w:rsid w:val="000D55D8"/>
    <w:rsid w:val="000D682D"/>
    <w:rsid w:val="000E5EC4"/>
    <w:rsid w:val="000F058F"/>
    <w:rsid w:val="000F782F"/>
    <w:rsid w:val="00104838"/>
    <w:rsid w:val="001049F1"/>
    <w:rsid w:val="00107DFA"/>
    <w:rsid w:val="001173EB"/>
    <w:rsid w:val="00127654"/>
    <w:rsid w:val="00134C8C"/>
    <w:rsid w:val="0014172C"/>
    <w:rsid w:val="001446C4"/>
    <w:rsid w:val="00150608"/>
    <w:rsid w:val="00153FE2"/>
    <w:rsid w:val="00154BD9"/>
    <w:rsid w:val="00155C7D"/>
    <w:rsid w:val="0016135D"/>
    <w:rsid w:val="001622A8"/>
    <w:rsid w:val="00164A7C"/>
    <w:rsid w:val="00167808"/>
    <w:rsid w:val="0017078D"/>
    <w:rsid w:val="00172A27"/>
    <w:rsid w:val="001769D5"/>
    <w:rsid w:val="00184BB9"/>
    <w:rsid w:val="001855F5"/>
    <w:rsid w:val="001918F0"/>
    <w:rsid w:val="00192A2D"/>
    <w:rsid w:val="00195DB1"/>
    <w:rsid w:val="0019694D"/>
    <w:rsid w:val="001A5044"/>
    <w:rsid w:val="001B3A00"/>
    <w:rsid w:val="001B40AE"/>
    <w:rsid w:val="001B6E8E"/>
    <w:rsid w:val="001D3F23"/>
    <w:rsid w:val="001D62B2"/>
    <w:rsid w:val="001E1A20"/>
    <w:rsid w:val="001E2515"/>
    <w:rsid w:val="001E2FB5"/>
    <w:rsid w:val="001E69E2"/>
    <w:rsid w:val="001E7F00"/>
    <w:rsid w:val="001F1CCC"/>
    <w:rsid w:val="001F6ACC"/>
    <w:rsid w:val="00200730"/>
    <w:rsid w:val="0020080C"/>
    <w:rsid w:val="00204E49"/>
    <w:rsid w:val="0020596C"/>
    <w:rsid w:val="0020620B"/>
    <w:rsid w:val="00206395"/>
    <w:rsid w:val="002130CB"/>
    <w:rsid w:val="00216C2A"/>
    <w:rsid w:val="002309C7"/>
    <w:rsid w:val="0023512E"/>
    <w:rsid w:val="00236C78"/>
    <w:rsid w:val="00236D34"/>
    <w:rsid w:val="002401C4"/>
    <w:rsid w:val="00244411"/>
    <w:rsid w:val="002459C6"/>
    <w:rsid w:val="00246DA5"/>
    <w:rsid w:val="002472DB"/>
    <w:rsid w:val="002474B0"/>
    <w:rsid w:val="00252F2A"/>
    <w:rsid w:val="0025574B"/>
    <w:rsid w:val="00256343"/>
    <w:rsid w:val="0027464C"/>
    <w:rsid w:val="00274CAB"/>
    <w:rsid w:val="00276052"/>
    <w:rsid w:val="00277BAC"/>
    <w:rsid w:val="00281ABB"/>
    <w:rsid w:val="00285E7D"/>
    <w:rsid w:val="002915BF"/>
    <w:rsid w:val="002916A6"/>
    <w:rsid w:val="00292008"/>
    <w:rsid w:val="002A0A65"/>
    <w:rsid w:val="002A1D1B"/>
    <w:rsid w:val="002A6E73"/>
    <w:rsid w:val="002B049C"/>
    <w:rsid w:val="002B0B3A"/>
    <w:rsid w:val="002B19DD"/>
    <w:rsid w:val="002B1D00"/>
    <w:rsid w:val="002B2FD8"/>
    <w:rsid w:val="002B6D8E"/>
    <w:rsid w:val="002C0AD4"/>
    <w:rsid w:val="002C1590"/>
    <w:rsid w:val="002C6E57"/>
    <w:rsid w:val="002C7799"/>
    <w:rsid w:val="002D3C54"/>
    <w:rsid w:val="002D586E"/>
    <w:rsid w:val="002D6F99"/>
    <w:rsid w:val="002D726C"/>
    <w:rsid w:val="002E01F2"/>
    <w:rsid w:val="002F1401"/>
    <w:rsid w:val="00300516"/>
    <w:rsid w:val="0030587E"/>
    <w:rsid w:val="00316BEA"/>
    <w:rsid w:val="003172D2"/>
    <w:rsid w:val="00324DD3"/>
    <w:rsid w:val="00332042"/>
    <w:rsid w:val="00340C4D"/>
    <w:rsid w:val="00340EDF"/>
    <w:rsid w:val="00340FD9"/>
    <w:rsid w:val="00343124"/>
    <w:rsid w:val="003454AC"/>
    <w:rsid w:val="00345EB6"/>
    <w:rsid w:val="00351A8C"/>
    <w:rsid w:val="00353D4C"/>
    <w:rsid w:val="003726BA"/>
    <w:rsid w:val="00373C5E"/>
    <w:rsid w:val="00373F2F"/>
    <w:rsid w:val="0038611C"/>
    <w:rsid w:val="00387A96"/>
    <w:rsid w:val="00390AF0"/>
    <w:rsid w:val="00393F4F"/>
    <w:rsid w:val="003963DE"/>
    <w:rsid w:val="003A3562"/>
    <w:rsid w:val="003A671B"/>
    <w:rsid w:val="003A6881"/>
    <w:rsid w:val="003B60EB"/>
    <w:rsid w:val="003B7E4C"/>
    <w:rsid w:val="003C1A6E"/>
    <w:rsid w:val="003C25DF"/>
    <w:rsid w:val="003C3FFC"/>
    <w:rsid w:val="003C476F"/>
    <w:rsid w:val="003E269B"/>
    <w:rsid w:val="003E5849"/>
    <w:rsid w:val="003F4691"/>
    <w:rsid w:val="003F4695"/>
    <w:rsid w:val="003F4DA8"/>
    <w:rsid w:val="003F6544"/>
    <w:rsid w:val="00400742"/>
    <w:rsid w:val="0040304D"/>
    <w:rsid w:val="00403C5C"/>
    <w:rsid w:val="00413E93"/>
    <w:rsid w:val="00413F80"/>
    <w:rsid w:val="00420647"/>
    <w:rsid w:val="00420EF2"/>
    <w:rsid w:val="00421607"/>
    <w:rsid w:val="00423DFB"/>
    <w:rsid w:val="00426CF9"/>
    <w:rsid w:val="004302B2"/>
    <w:rsid w:val="00440D0C"/>
    <w:rsid w:val="0044563C"/>
    <w:rsid w:val="00447755"/>
    <w:rsid w:val="004540EA"/>
    <w:rsid w:val="004556B0"/>
    <w:rsid w:val="00460662"/>
    <w:rsid w:val="00464410"/>
    <w:rsid w:val="00464485"/>
    <w:rsid w:val="0046605B"/>
    <w:rsid w:val="00466069"/>
    <w:rsid w:val="004660DB"/>
    <w:rsid w:val="00473BA5"/>
    <w:rsid w:val="004768FE"/>
    <w:rsid w:val="004832B5"/>
    <w:rsid w:val="0048349F"/>
    <w:rsid w:val="004A3516"/>
    <w:rsid w:val="004A4A6A"/>
    <w:rsid w:val="004A666C"/>
    <w:rsid w:val="004B1936"/>
    <w:rsid w:val="004B5C4B"/>
    <w:rsid w:val="004C0345"/>
    <w:rsid w:val="004D1C2C"/>
    <w:rsid w:val="004D40BF"/>
    <w:rsid w:val="004D705E"/>
    <w:rsid w:val="004E0364"/>
    <w:rsid w:val="004E2E8F"/>
    <w:rsid w:val="004E66E4"/>
    <w:rsid w:val="004F50F6"/>
    <w:rsid w:val="004F6589"/>
    <w:rsid w:val="004F7D9D"/>
    <w:rsid w:val="00503A4B"/>
    <w:rsid w:val="0050577A"/>
    <w:rsid w:val="00505EB2"/>
    <w:rsid w:val="00511247"/>
    <w:rsid w:val="0052480B"/>
    <w:rsid w:val="00537F3A"/>
    <w:rsid w:val="00542434"/>
    <w:rsid w:val="00542509"/>
    <w:rsid w:val="005502F4"/>
    <w:rsid w:val="00552C8E"/>
    <w:rsid w:val="005535CA"/>
    <w:rsid w:val="00555018"/>
    <w:rsid w:val="00555ED7"/>
    <w:rsid w:val="005566DF"/>
    <w:rsid w:val="00563CD7"/>
    <w:rsid w:val="00564A7D"/>
    <w:rsid w:val="00567436"/>
    <w:rsid w:val="005718DF"/>
    <w:rsid w:val="00573676"/>
    <w:rsid w:val="0057560F"/>
    <w:rsid w:val="00581F6C"/>
    <w:rsid w:val="00582DB7"/>
    <w:rsid w:val="005835D1"/>
    <w:rsid w:val="00585181"/>
    <w:rsid w:val="00587233"/>
    <w:rsid w:val="005938E8"/>
    <w:rsid w:val="005958BB"/>
    <w:rsid w:val="00595ECF"/>
    <w:rsid w:val="005A2582"/>
    <w:rsid w:val="005A3FB1"/>
    <w:rsid w:val="005A6D1C"/>
    <w:rsid w:val="005B0188"/>
    <w:rsid w:val="005B0B1E"/>
    <w:rsid w:val="005B51CE"/>
    <w:rsid w:val="005C3D61"/>
    <w:rsid w:val="005C763B"/>
    <w:rsid w:val="005D38F8"/>
    <w:rsid w:val="005D6423"/>
    <w:rsid w:val="005E0D34"/>
    <w:rsid w:val="005F00C5"/>
    <w:rsid w:val="005F766A"/>
    <w:rsid w:val="00603916"/>
    <w:rsid w:val="00625B3A"/>
    <w:rsid w:val="00627351"/>
    <w:rsid w:val="006279F4"/>
    <w:rsid w:val="0063694C"/>
    <w:rsid w:val="0064259D"/>
    <w:rsid w:val="006441BE"/>
    <w:rsid w:val="00645A60"/>
    <w:rsid w:val="00651BE2"/>
    <w:rsid w:val="00652B7E"/>
    <w:rsid w:val="0065368C"/>
    <w:rsid w:val="00654E38"/>
    <w:rsid w:val="00656524"/>
    <w:rsid w:val="006709B5"/>
    <w:rsid w:val="0067440D"/>
    <w:rsid w:val="00685296"/>
    <w:rsid w:val="00686829"/>
    <w:rsid w:val="00695285"/>
    <w:rsid w:val="0069724B"/>
    <w:rsid w:val="006A10E7"/>
    <w:rsid w:val="006A2C58"/>
    <w:rsid w:val="006A2DF1"/>
    <w:rsid w:val="006A2F2D"/>
    <w:rsid w:val="006A59B1"/>
    <w:rsid w:val="006A6C25"/>
    <w:rsid w:val="006B5B13"/>
    <w:rsid w:val="006C0CB8"/>
    <w:rsid w:val="006C1764"/>
    <w:rsid w:val="006C3F1E"/>
    <w:rsid w:val="006C417E"/>
    <w:rsid w:val="006C486E"/>
    <w:rsid w:val="006C56A4"/>
    <w:rsid w:val="006C6125"/>
    <w:rsid w:val="006D319E"/>
    <w:rsid w:val="006D428C"/>
    <w:rsid w:val="006E0514"/>
    <w:rsid w:val="006E0551"/>
    <w:rsid w:val="006E36BB"/>
    <w:rsid w:val="006F1BE5"/>
    <w:rsid w:val="006F5183"/>
    <w:rsid w:val="006F571B"/>
    <w:rsid w:val="006F57E6"/>
    <w:rsid w:val="00704646"/>
    <w:rsid w:val="00707186"/>
    <w:rsid w:val="00724D06"/>
    <w:rsid w:val="00725496"/>
    <w:rsid w:val="00730DC3"/>
    <w:rsid w:val="00730E82"/>
    <w:rsid w:val="00732997"/>
    <w:rsid w:val="00743F25"/>
    <w:rsid w:val="007444DE"/>
    <w:rsid w:val="007462CA"/>
    <w:rsid w:val="0075301A"/>
    <w:rsid w:val="00755B9F"/>
    <w:rsid w:val="00762F67"/>
    <w:rsid w:val="007637C8"/>
    <w:rsid w:val="00763B11"/>
    <w:rsid w:val="00782DEE"/>
    <w:rsid w:val="00796C18"/>
    <w:rsid w:val="007C3FF0"/>
    <w:rsid w:val="007C6398"/>
    <w:rsid w:val="007C66AE"/>
    <w:rsid w:val="007F26CC"/>
    <w:rsid w:val="007F4317"/>
    <w:rsid w:val="007F6FB2"/>
    <w:rsid w:val="00806695"/>
    <w:rsid w:val="008131A8"/>
    <w:rsid w:val="00813304"/>
    <w:rsid w:val="008302C3"/>
    <w:rsid w:val="00833059"/>
    <w:rsid w:val="00834190"/>
    <w:rsid w:val="0083551B"/>
    <w:rsid w:val="00836062"/>
    <w:rsid w:val="0084661C"/>
    <w:rsid w:val="00846C8E"/>
    <w:rsid w:val="00847E36"/>
    <w:rsid w:val="00851C33"/>
    <w:rsid w:val="00860523"/>
    <w:rsid w:val="0086222B"/>
    <w:rsid w:val="00866F2F"/>
    <w:rsid w:val="008769B8"/>
    <w:rsid w:val="008909B0"/>
    <w:rsid w:val="008911ED"/>
    <w:rsid w:val="00897D29"/>
    <w:rsid w:val="008A0829"/>
    <w:rsid w:val="008A0DF9"/>
    <w:rsid w:val="008A2630"/>
    <w:rsid w:val="008A5A3E"/>
    <w:rsid w:val="008B2EDE"/>
    <w:rsid w:val="008B4713"/>
    <w:rsid w:val="008B5177"/>
    <w:rsid w:val="008B6B37"/>
    <w:rsid w:val="008B7CE9"/>
    <w:rsid w:val="008C2C16"/>
    <w:rsid w:val="008C4AB0"/>
    <w:rsid w:val="008C6121"/>
    <w:rsid w:val="008C7C79"/>
    <w:rsid w:val="008D5661"/>
    <w:rsid w:val="008D6083"/>
    <w:rsid w:val="008D681A"/>
    <w:rsid w:val="008E0EE8"/>
    <w:rsid w:val="008E2C2B"/>
    <w:rsid w:val="008E4C5A"/>
    <w:rsid w:val="008E7B0D"/>
    <w:rsid w:val="008F18E3"/>
    <w:rsid w:val="008F1D55"/>
    <w:rsid w:val="008F3DD6"/>
    <w:rsid w:val="00902B11"/>
    <w:rsid w:val="00905A97"/>
    <w:rsid w:val="009104C5"/>
    <w:rsid w:val="00927ADC"/>
    <w:rsid w:val="00937639"/>
    <w:rsid w:val="00946238"/>
    <w:rsid w:val="00947D29"/>
    <w:rsid w:val="009506D9"/>
    <w:rsid w:val="00951DC2"/>
    <w:rsid w:val="00955AC0"/>
    <w:rsid w:val="00965885"/>
    <w:rsid w:val="00970A08"/>
    <w:rsid w:val="009722E3"/>
    <w:rsid w:val="00974288"/>
    <w:rsid w:val="00975253"/>
    <w:rsid w:val="00975BEB"/>
    <w:rsid w:val="00981767"/>
    <w:rsid w:val="00987E65"/>
    <w:rsid w:val="009920F5"/>
    <w:rsid w:val="009A149A"/>
    <w:rsid w:val="009A63CF"/>
    <w:rsid w:val="009A6C89"/>
    <w:rsid w:val="009C2E21"/>
    <w:rsid w:val="009C5A1C"/>
    <w:rsid w:val="009C6E94"/>
    <w:rsid w:val="009D189E"/>
    <w:rsid w:val="009D5DFB"/>
    <w:rsid w:val="009D7D7A"/>
    <w:rsid w:val="009E7999"/>
    <w:rsid w:val="009F6760"/>
    <w:rsid w:val="00A01317"/>
    <w:rsid w:val="00A07191"/>
    <w:rsid w:val="00A21422"/>
    <w:rsid w:val="00A24748"/>
    <w:rsid w:val="00A33672"/>
    <w:rsid w:val="00A347C7"/>
    <w:rsid w:val="00A35873"/>
    <w:rsid w:val="00A362FA"/>
    <w:rsid w:val="00A40D8C"/>
    <w:rsid w:val="00A4142F"/>
    <w:rsid w:val="00A50010"/>
    <w:rsid w:val="00A50E2B"/>
    <w:rsid w:val="00A66213"/>
    <w:rsid w:val="00A70BC9"/>
    <w:rsid w:val="00A7306C"/>
    <w:rsid w:val="00A76B0F"/>
    <w:rsid w:val="00A84AA0"/>
    <w:rsid w:val="00A85887"/>
    <w:rsid w:val="00A8689A"/>
    <w:rsid w:val="00A874A9"/>
    <w:rsid w:val="00A905B6"/>
    <w:rsid w:val="00A9106A"/>
    <w:rsid w:val="00A911A7"/>
    <w:rsid w:val="00A978DB"/>
    <w:rsid w:val="00AA2C24"/>
    <w:rsid w:val="00AA2F32"/>
    <w:rsid w:val="00AB1639"/>
    <w:rsid w:val="00AB21B6"/>
    <w:rsid w:val="00AB4005"/>
    <w:rsid w:val="00AC2728"/>
    <w:rsid w:val="00AC43B3"/>
    <w:rsid w:val="00AD3C8E"/>
    <w:rsid w:val="00AE507B"/>
    <w:rsid w:val="00AF0562"/>
    <w:rsid w:val="00AF3650"/>
    <w:rsid w:val="00AF40ED"/>
    <w:rsid w:val="00AF4958"/>
    <w:rsid w:val="00AF769F"/>
    <w:rsid w:val="00B030AB"/>
    <w:rsid w:val="00B22841"/>
    <w:rsid w:val="00B25323"/>
    <w:rsid w:val="00B3112A"/>
    <w:rsid w:val="00B41C2D"/>
    <w:rsid w:val="00B43909"/>
    <w:rsid w:val="00B43F36"/>
    <w:rsid w:val="00B441D5"/>
    <w:rsid w:val="00B466D1"/>
    <w:rsid w:val="00B503AA"/>
    <w:rsid w:val="00B56FB2"/>
    <w:rsid w:val="00B57833"/>
    <w:rsid w:val="00B62423"/>
    <w:rsid w:val="00B731AD"/>
    <w:rsid w:val="00B74320"/>
    <w:rsid w:val="00B77B17"/>
    <w:rsid w:val="00B823B8"/>
    <w:rsid w:val="00B856B5"/>
    <w:rsid w:val="00B9306C"/>
    <w:rsid w:val="00B97EBA"/>
    <w:rsid w:val="00BB3E74"/>
    <w:rsid w:val="00BB51C5"/>
    <w:rsid w:val="00BD4DE5"/>
    <w:rsid w:val="00BD4FDE"/>
    <w:rsid w:val="00BD5B5F"/>
    <w:rsid w:val="00BF437A"/>
    <w:rsid w:val="00BF5241"/>
    <w:rsid w:val="00C05F9B"/>
    <w:rsid w:val="00C063F1"/>
    <w:rsid w:val="00C115E4"/>
    <w:rsid w:val="00C11A52"/>
    <w:rsid w:val="00C1391A"/>
    <w:rsid w:val="00C2015A"/>
    <w:rsid w:val="00C3307A"/>
    <w:rsid w:val="00C37AEB"/>
    <w:rsid w:val="00C51CE5"/>
    <w:rsid w:val="00C52C34"/>
    <w:rsid w:val="00C55C66"/>
    <w:rsid w:val="00C62B4E"/>
    <w:rsid w:val="00C70FFA"/>
    <w:rsid w:val="00C7260A"/>
    <w:rsid w:val="00C76E1D"/>
    <w:rsid w:val="00CA40D2"/>
    <w:rsid w:val="00CB38B4"/>
    <w:rsid w:val="00CC4AFC"/>
    <w:rsid w:val="00CD78DD"/>
    <w:rsid w:val="00CE5CAC"/>
    <w:rsid w:val="00CE7067"/>
    <w:rsid w:val="00CE7747"/>
    <w:rsid w:val="00CF2004"/>
    <w:rsid w:val="00CF701B"/>
    <w:rsid w:val="00D011E9"/>
    <w:rsid w:val="00D01581"/>
    <w:rsid w:val="00D023AA"/>
    <w:rsid w:val="00D06018"/>
    <w:rsid w:val="00D2310F"/>
    <w:rsid w:val="00D23EAB"/>
    <w:rsid w:val="00D42BFB"/>
    <w:rsid w:val="00D4334C"/>
    <w:rsid w:val="00D46060"/>
    <w:rsid w:val="00D5214B"/>
    <w:rsid w:val="00D52D5B"/>
    <w:rsid w:val="00D660FE"/>
    <w:rsid w:val="00D67744"/>
    <w:rsid w:val="00D715A4"/>
    <w:rsid w:val="00D756A9"/>
    <w:rsid w:val="00D76A6D"/>
    <w:rsid w:val="00D80AA0"/>
    <w:rsid w:val="00D83008"/>
    <w:rsid w:val="00D83A0A"/>
    <w:rsid w:val="00D84F00"/>
    <w:rsid w:val="00D940BD"/>
    <w:rsid w:val="00D97CE5"/>
    <w:rsid w:val="00DA2DBC"/>
    <w:rsid w:val="00DA42DD"/>
    <w:rsid w:val="00DA4D61"/>
    <w:rsid w:val="00DB5E95"/>
    <w:rsid w:val="00DB6E1C"/>
    <w:rsid w:val="00DC2ECC"/>
    <w:rsid w:val="00DD1D92"/>
    <w:rsid w:val="00DE07CD"/>
    <w:rsid w:val="00DE1300"/>
    <w:rsid w:val="00DE1C3C"/>
    <w:rsid w:val="00DF33B3"/>
    <w:rsid w:val="00DF39B9"/>
    <w:rsid w:val="00DF3BBC"/>
    <w:rsid w:val="00DF6A76"/>
    <w:rsid w:val="00E114DB"/>
    <w:rsid w:val="00E12090"/>
    <w:rsid w:val="00E1224E"/>
    <w:rsid w:val="00E1476E"/>
    <w:rsid w:val="00E17186"/>
    <w:rsid w:val="00E179EE"/>
    <w:rsid w:val="00E27D27"/>
    <w:rsid w:val="00E31561"/>
    <w:rsid w:val="00E412E2"/>
    <w:rsid w:val="00E43410"/>
    <w:rsid w:val="00E47143"/>
    <w:rsid w:val="00E47814"/>
    <w:rsid w:val="00E53738"/>
    <w:rsid w:val="00E566FB"/>
    <w:rsid w:val="00E56A87"/>
    <w:rsid w:val="00E56E9D"/>
    <w:rsid w:val="00E62CC6"/>
    <w:rsid w:val="00E72495"/>
    <w:rsid w:val="00E7517C"/>
    <w:rsid w:val="00E841D0"/>
    <w:rsid w:val="00E85F78"/>
    <w:rsid w:val="00E90E5B"/>
    <w:rsid w:val="00E93719"/>
    <w:rsid w:val="00E93F82"/>
    <w:rsid w:val="00EA0349"/>
    <w:rsid w:val="00EA16AE"/>
    <w:rsid w:val="00EA6B2F"/>
    <w:rsid w:val="00EB159B"/>
    <w:rsid w:val="00EB2F8A"/>
    <w:rsid w:val="00EC48A0"/>
    <w:rsid w:val="00ED0103"/>
    <w:rsid w:val="00ED03C6"/>
    <w:rsid w:val="00ED0473"/>
    <w:rsid w:val="00ED1A9A"/>
    <w:rsid w:val="00ED3200"/>
    <w:rsid w:val="00ED5638"/>
    <w:rsid w:val="00ED5CB0"/>
    <w:rsid w:val="00EE0BF2"/>
    <w:rsid w:val="00EE240A"/>
    <w:rsid w:val="00EF69DE"/>
    <w:rsid w:val="00F00347"/>
    <w:rsid w:val="00F00418"/>
    <w:rsid w:val="00F016BC"/>
    <w:rsid w:val="00F046A7"/>
    <w:rsid w:val="00F074A6"/>
    <w:rsid w:val="00F20BAF"/>
    <w:rsid w:val="00F232E2"/>
    <w:rsid w:val="00F26687"/>
    <w:rsid w:val="00F34B91"/>
    <w:rsid w:val="00F40B22"/>
    <w:rsid w:val="00F460F7"/>
    <w:rsid w:val="00F46865"/>
    <w:rsid w:val="00F46F2E"/>
    <w:rsid w:val="00F51307"/>
    <w:rsid w:val="00F51939"/>
    <w:rsid w:val="00F53B06"/>
    <w:rsid w:val="00F54AFF"/>
    <w:rsid w:val="00F61574"/>
    <w:rsid w:val="00F758F9"/>
    <w:rsid w:val="00F77001"/>
    <w:rsid w:val="00F772DB"/>
    <w:rsid w:val="00F80E62"/>
    <w:rsid w:val="00F82561"/>
    <w:rsid w:val="00F84136"/>
    <w:rsid w:val="00F84DD1"/>
    <w:rsid w:val="00F8693E"/>
    <w:rsid w:val="00F86974"/>
    <w:rsid w:val="00F935D7"/>
    <w:rsid w:val="00FA3CD7"/>
    <w:rsid w:val="00FB2787"/>
    <w:rsid w:val="00FC0175"/>
    <w:rsid w:val="00FC25B1"/>
    <w:rsid w:val="00FC6122"/>
    <w:rsid w:val="00FD03E3"/>
    <w:rsid w:val="00FF2E65"/>
    <w:rsid w:val="00FF515C"/>
    <w:rsid w:val="01514A96"/>
    <w:rsid w:val="01663C29"/>
    <w:rsid w:val="02615937"/>
    <w:rsid w:val="02C8530C"/>
    <w:rsid w:val="040937F6"/>
    <w:rsid w:val="04CD22C2"/>
    <w:rsid w:val="055D0AC2"/>
    <w:rsid w:val="05801A58"/>
    <w:rsid w:val="05F014D9"/>
    <w:rsid w:val="06503235"/>
    <w:rsid w:val="06D61E4A"/>
    <w:rsid w:val="06E429EA"/>
    <w:rsid w:val="076B1289"/>
    <w:rsid w:val="07B52D9E"/>
    <w:rsid w:val="07EB7887"/>
    <w:rsid w:val="080D5688"/>
    <w:rsid w:val="081819D5"/>
    <w:rsid w:val="090E086C"/>
    <w:rsid w:val="096B05C8"/>
    <w:rsid w:val="0A786297"/>
    <w:rsid w:val="0B1F0459"/>
    <w:rsid w:val="0D04241A"/>
    <w:rsid w:val="0D714D42"/>
    <w:rsid w:val="0D802592"/>
    <w:rsid w:val="0E01637B"/>
    <w:rsid w:val="0E455802"/>
    <w:rsid w:val="0E4A2D34"/>
    <w:rsid w:val="0EBE7AAE"/>
    <w:rsid w:val="0EF42A1E"/>
    <w:rsid w:val="0F5F7253"/>
    <w:rsid w:val="0F640903"/>
    <w:rsid w:val="0F6A29F1"/>
    <w:rsid w:val="0F9D23BF"/>
    <w:rsid w:val="104E06A7"/>
    <w:rsid w:val="106E6735"/>
    <w:rsid w:val="115B3EC6"/>
    <w:rsid w:val="116F3DA5"/>
    <w:rsid w:val="118107EC"/>
    <w:rsid w:val="11A61A6F"/>
    <w:rsid w:val="11C82236"/>
    <w:rsid w:val="13D5438E"/>
    <w:rsid w:val="14036CA0"/>
    <w:rsid w:val="1424664F"/>
    <w:rsid w:val="143B66F4"/>
    <w:rsid w:val="145F5153"/>
    <w:rsid w:val="14ED09F8"/>
    <w:rsid w:val="1520087A"/>
    <w:rsid w:val="161839C3"/>
    <w:rsid w:val="16755E55"/>
    <w:rsid w:val="16CB1F27"/>
    <w:rsid w:val="16FB65B2"/>
    <w:rsid w:val="17170DF6"/>
    <w:rsid w:val="178A6CCB"/>
    <w:rsid w:val="17EF0061"/>
    <w:rsid w:val="19DE7282"/>
    <w:rsid w:val="1A525EF4"/>
    <w:rsid w:val="1AC25491"/>
    <w:rsid w:val="1B1041B5"/>
    <w:rsid w:val="1B3A1A9A"/>
    <w:rsid w:val="1B807ABB"/>
    <w:rsid w:val="1BD23F59"/>
    <w:rsid w:val="1BE14803"/>
    <w:rsid w:val="1BF211F7"/>
    <w:rsid w:val="1C5977AC"/>
    <w:rsid w:val="1C727F93"/>
    <w:rsid w:val="1C985027"/>
    <w:rsid w:val="1D12760A"/>
    <w:rsid w:val="1D216D0B"/>
    <w:rsid w:val="1D745684"/>
    <w:rsid w:val="1DA456A1"/>
    <w:rsid w:val="1DD32230"/>
    <w:rsid w:val="1DFB6C5F"/>
    <w:rsid w:val="1E024AAF"/>
    <w:rsid w:val="1E2503CF"/>
    <w:rsid w:val="1E5C198D"/>
    <w:rsid w:val="1FF0655C"/>
    <w:rsid w:val="205B5D5D"/>
    <w:rsid w:val="20AA4D5E"/>
    <w:rsid w:val="20C800F5"/>
    <w:rsid w:val="213721EF"/>
    <w:rsid w:val="21BC25F7"/>
    <w:rsid w:val="21EC64F8"/>
    <w:rsid w:val="22181907"/>
    <w:rsid w:val="2221325B"/>
    <w:rsid w:val="230E2EB3"/>
    <w:rsid w:val="2336795A"/>
    <w:rsid w:val="23652BFA"/>
    <w:rsid w:val="236E2544"/>
    <w:rsid w:val="23955524"/>
    <w:rsid w:val="2399138E"/>
    <w:rsid w:val="23DB0C36"/>
    <w:rsid w:val="24585C3B"/>
    <w:rsid w:val="24836748"/>
    <w:rsid w:val="24965C6D"/>
    <w:rsid w:val="24A7098D"/>
    <w:rsid w:val="24C87208"/>
    <w:rsid w:val="254404DB"/>
    <w:rsid w:val="255A2C57"/>
    <w:rsid w:val="25D26814"/>
    <w:rsid w:val="2601409E"/>
    <w:rsid w:val="268C016D"/>
    <w:rsid w:val="26CE78DB"/>
    <w:rsid w:val="27066265"/>
    <w:rsid w:val="2721487C"/>
    <w:rsid w:val="280E08A0"/>
    <w:rsid w:val="28363F37"/>
    <w:rsid w:val="28622ECA"/>
    <w:rsid w:val="2A025D5B"/>
    <w:rsid w:val="2A780BB5"/>
    <w:rsid w:val="2B3C53C4"/>
    <w:rsid w:val="2B747626"/>
    <w:rsid w:val="2BA61F52"/>
    <w:rsid w:val="2BFC0D1C"/>
    <w:rsid w:val="2C3E0AF8"/>
    <w:rsid w:val="2C703523"/>
    <w:rsid w:val="2CA82E93"/>
    <w:rsid w:val="2CE263F6"/>
    <w:rsid w:val="2D993ECE"/>
    <w:rsid w:val="2DD76226"/>
    <w:rsid w:val="2E366FF8"/>
    <w:rsid w:val="2E52462D"/>
    <w:rsid w:val="2E567A6A"/>
    <w:rsid w:val="2F9D77CB"/>
    <w:rsid w:val="2FC9749A"/>
    <w:rsid w:val="2FDC0F22"/>
    <w:rsid w:val="2FF624CB"/>
    <w:rsid w:val="308006F9"/>
    <w:rsid w:val="315F420B"/>
    <w:rsid w:val="31AD6ABB"/>
    <w:rsid w:val="323D74D1"/>
    <w:rsid w:val="326A2F43"/>
    <w:rsid w:val="326C1FDD"/>
    <w:rsid w:val="32B0394C"/>
    <w:rsid w:val="33314CCE"/>
    <w:rsid w:val="335C0978"/>
    <w:rsid w:val="338725D9"/>
    <w:rsid w:val="33BE78F4"/>
    <w:rsid w:val="341A63EF"/>
    <w:rsid w:val="34571ACD"/>
    <w:rsid w:val="345A60E1"/>
    <w:rsid w:val="34AB29A3"/>
    <w:rsid w:val="34B1715E"/>
    <w:rsid w:val="355E09B7"/>
    <w:rsid w:val="360F04EA"/>
    <w:rsid w:val="36510690"/>
    <w:rsid w:val="37404822"/>
    <w:rsid w:val="374E5A2E"/>
    <w:rsid w:val="37E962A1"/>
    <w:rsid w:val="380139C9"/>
    <w:rsid w:val="384806D5"/>
    <w:rsid w:val="389872AC"/>
    <w:rsid w:val="38DB1F81"/>
    <w:rsid w:val="39725859"/>
    <w:rsid w:val="3980169F"/>
    <w:rsid w:val="39F65457"/>
    <w:rsid w:val="39F677F7"/>
    <w:rsid w:val="3A2E7D0C"/>
    <w:rsid w:val="3A48011F"/>
    <w:rsid w:val="3A966A9D"/>
    <w:rsid w:val="3AA53D82"/>
    <w:rsid w:val="3B8A5D0C"/>
    <w:rsid w:val="3B941E1F"/>
    <w:rsid w:val="3BC845D4"/>
    <w:rsid w:val="3C870188"/>
    <w:rsid w:val="3CB06383"/>
    <w:rsid w:val="3CED2798"/>
    <w:rsid w:val="3DF64D6E"/>
    <w:rsid w:val="3F126AB0"/>
    <w:rsid w:val="3FB83932"/>
    <w:rsid w:val="40D80C91"/>
    <w:rsid w:val="414D6BE4"/>
    <w:rsid w:val="42347E90"/>
    <w:rsid w:val="42DB214E"/>
    <w:rsid w:val="43914717"/>
    <w:rsid w:val="43D036FB"/>
    <w:rsid w:val="44533EB6"/>
    <w:rsid w:val="44AF6E15"/>
    <w:rsid w:val="461F7014"/>
    <w:rsid w:val="465055F0"/>
    <w:rsid w:val="47056040"/>
    <w:rsid w:val="4750729B"/>
    <w:rsid w:val="47DF5B21"/>
    <w:rsid w:val="48C6642B"/>
    <w:rsid w:val="4909131C"/>
    <w:rsid w:val="4921130F"/>
    <w:rsid w:val="493576BB"/>
    <w:rsid w:val="49C91094"/>
    <w:rsid w:val="49F2404C"/>
    <w:rsid w:val="4A342C44"/>
    <w:rsid w:val="4AA412B8"/>
    <w:rsid w:val="4AB418FE"/>
    <w:rsid w:val="4AC515EA"/>
    <w:rsid w:val="4ADF68FF"/>
    <w:rsid w:val="4AE84635"/>
    <w:rsid w:val="4B0B7737"/>
    <w:rsid w:val="4B792511"/>
    <w:rsid w:val="4C7F4ABD"/>
    <w:rsid w:val="4CAA0F8D"/>
    <w:rsid w:val="4D1C36EF"/>
    <w:rsid w:val="4D76521F"/>
    <w:rsid w:val="4D9613F8"/>
    <w:rsid w:val="4DFC1360"/>
    <w:rsid w:val="4E990BDF"/>
    <w:rsid w:val="4FEB72BE"/>
    <w:rsid w:val="507D1FF1"/>
    <w:rsid w:val="50B90268"/>
    <w:rsid w:val="51043310"/>
    <w:rsid w:val="51907A92"/>
    <w:rsid w:val="51A569D8"/>
    <w:rsid w:val="51F90212"/>
    <w:rsid w:val="52091BC5"/>
    <w:rsid w:val="522F6832"/>
    <w:rsid w:val="523E61B2"/>
    <w:rsid w:val="52673B40"/>
    <w:rsid w:val="52BB3277"/>
    <w:rsid w:val="531F5585"/>
    <w:rsid w:val="54826DCE"/>
    <w:rsid w:val="56716E3C"/>
    <w:rsid w:val="56995297"/>
    <w:rsid w:val="572D5E7E"/>
    <w:rsid w:val="5797172D"/>
    <w:rsid w:val="57A24B33"/>
    <w:rsid w:val="5870794C"/>
    <w:rsid w:val="58A33908"/>
    <w:rsid w:val="58A86525"/>
    <w:rsid w:val="58C50F48"/>
    <w:rsid w:val="59AC35E0"/>
    <w:rsid w:val="5A277985"/>
    <w:rsid w:val="5A8F5A13"/>
    <w:rsid w:val="5AA15573"/>
    <w:rsid w:val="5AE1122D"/>
    <w:rsid w:val="5AF03D03"/>
    <w:rsid w:val="5B3A5A7B"/>
    <w:rsid w:val="5B633203"/>
    <w:rsid w:val="5BA41AE8"/>
    <w:rsid w:val="5BD90F3E"/>
    <w:rsid w:val="5CD400EC"/>
    <w:rsid w:val="5D230738"/>
    <w:rsid w:val="5D5C17FA"/>
    <w:rsid w:val="5D8B26C1"/>
    <w:rsid w:val="5DA20830"/>
    <w:rsid w:val="5EFB7DF2"/>
    <w:rsid w:val="5F3369F9"/>
    <w:rsid w:val="5F71700C"/>
    <w:rsid w:val="5FA21FCB"/>
    <w:rsid w:val="5FF34000"/>
    <w:rsid w:val="605005AD"/>
    <w:rsid w:val="607C6D30"/>
    <w:rsid w:val="60C219AF"/>
    <w:rsid w:val="61B646FC"/>
    <w:rsid w:val="61FC358E"/>
    <w:rsid w:val="62222E0B"/>
    <w:rsid w:val="62427873"/>
    <w:rsid w:val="63565CE9"/>
    <w:rsid w:val="63600E99"/>
    <w:rsid w:val="63615090"/>
    <w:rsid w:val="645A6EBE"/>
    <w:rsid w:val="64A80702"/>
    <w:rsid w:val="64BF6749"/>
    <w:rsid w:val="64D75A5A"/>
    <w:rsid w:val="65724304"/>
    <w:rsid w:val="66DF12B8"/>
    <w:rsid w:val="67881552"/>
    <w:rsid w:val="67EF2D04"/>
    <w:rsid w:val="68202E27"/>
    <w:rsid w:val="684F7E15"/>
    <w:rsid w:val="68963217"/>
    <w:rsid w:val="68BA4E6C"/>
    <w:rsid w:val="68D74E88"/>
    <w:rsid w:val="68DA3EC2"/>
    <w:rsid w:val="695508F8"/>
    <w:rsid w:val="69BD4D29"/>
    <w:rsid w:val="6A177D1F"/>
    <w:rsid w:val="6A3D1114"/>
    <w:rsid w:val="6A4E40F9"/>
    <w:rsid w:val="6BD643E3"/>
    <w:rsid w:val="6CCC2FE7"/>
    <w:rsid w:val="6E2D6933"/>
    <w:rsid w:val="6E83283A"/>
    <w:rsid w:val="6EBD7111"/>
    <w:rsid w:val="6F232B61"/>
    <w:rsid w:val="6F335057"/>
    <w:rsid w:val="6F37181E"/>
    <w:rsid w:val="6FF434E8"/>
    <w:rsid w:val="70CE2ECD"/>
    <w:rsid w:val="70D1170F"/>
    <w:rsid w:val="71265E41"/>
    <w:rsid w:val="71E02CF0"/>
    <w:rsid w:val="72382F1A"/>
    <w:rsid w:val="72424F0B"/>
    <w:rsid w:val="72781F1D"/>
    <w:rsid w:val="72A77996"/>
    <w:rsid w:val="72AA185E"/>
    <w:rsid w:val="72F50D2B"/>
    <w:rsid w:val="73CB2B2C"/>
    <w:rsid w:val="743C423C"/>
    <w:rsid w:val="755D46A1"/>
    <w:rsid w:val="7566613D"/>
    <w:rsid w:val="756E7100"/>
    <w:rsid w:val="7595246C"/>
    <w:rsid w:val="75C67477"/>
    <w:rsid w:val="760B7391"/>
    <w:rsid w:val="76B50416"/>
    <w:rsid w:val="773B3DDC"/>
    <w:rsid w:val="77B911AE"/>
    <w:rsid w:val="780932D0"/>
    <w:rsid w:val="7827320F"/>
    <w:rsid w:val="782E40FD"/>
    <w:rsid w:val="7896442C"/>
    <w:rsid w:val="78DC2823"/>
    <w:rsid w:val="79230E7F"/>
    <w:rsid w:val="79435A5B"/>
    <w:rsid w:val="79D04F78"/>
    <w:rsid w:val="79D1169C"/>
    <w:rsid w:val="79E63E1F"/>
    <w:rsid w:val="79F74935"/>
    <w:rsid w:val="7A4774F8"/>
    <w:rsid w:val="7A7174AB"/>
    <w:rsid w:val="7ABD3159"/>
    <w:rsid w:val="7C013991"/>
    <w:rsid w:val="7C366904"/>
    <w:rsid w:val="7C3D67ED"/>
    <w:rsid w:val="7C6C0E61"/>
    <w:rsid w:val="7CA04259"/>
    <w:rsid w:val="7CB56B05"/>
    <w:rsid w:val="7CFF32A9"/>
    <w:rsid w:val="7D0234C5"/>
    <w:rsid w:val="7D114ADF"/>
    <w:rsid w:val="7D5E7250"/>
    <w:rsid w:val="7D8D24A0"/>
    <w:rsid w:val="7D911205"/>
    <w:rsid w:val="7DCD0B33"/>
    <w:rsid w:val="7E5C5361"/>
    <w:rsid w:val="7EE55CC5"/>
    <w:rsid w:val="7F0938D6"/>
    <w:rsid w:val="7F0D20E7"/>
    <w:rsid w:val="7F4F03D8"/>
    <w:rsid w:val="7F7F260B"/>
    <w:rsid w:val="7FEA6C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nhideWhenUsed="0" w:uiPriority="9" w:semiHidden="0" w:name="heading 3" w:locked="1"/>
    <w:lsdException w:qFormat="1" w:unhideWhenUsed="0" w:uiPriority="99" w:semiHidden="0" w:name="heading 4" w:locked="1"/>
    <w:lsdException w:qFormat="1" w:unhideWhenUsed="0" w:uiPriority="1" w:semiHidden="0"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semiHidden="0" w:name="index 5"/>
    <w:lsdException w:unhideWhenUsed="0" w:uiPriority="0" w:semiHidden="0" w:name="index 6"/>
    <w:lsdException w:unhideWhenUsed="0" w:uiPriority="0" w:semiHidden="0" w:name="index 7"/>
    <w:lsdException w:qFormat="1" w:unhideWhenUsed="0" w:uiPriority="99" w:name="index 8"/>
    <w:lsdException w:unhideWhenUsed="0" w:uiPriority="0" w:semiHidden="0" w:name="index 9"/>
    <w:lsdException w:qFormat="1" w:unhideWhenUsed="0" w:uiPriority="99" w:name="toc 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ocked="1"/>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qFormat="1" w:unhideWhenUsed="0" w:uiPriority="99"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ocked="1"/>
    <w:lsdException w:qFormat="1" w:unhideWhenUsed="0" w:uiPriority="20" w:semiHidden="0" w:name="Emphasis" w:locked="1"/>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heading 1"/>
    <w:basedOn w:val="1"/>
    <w:next w:val="1"/>
    <w:link w:val="34"/>
    <w:qFormat/>
    <w:locked/>
    <w:uiPriority w:val="99"/>
    <w:pPr>
      <w:keepNext/>
      <w:outlineLvl w:val="0"/>
    </w:pPr>
    <w:rPr>
      <w:b/>
      <w:kern w:val="0"/>
      <w:sz w:val="24"/>
      <w:szCs w:val="24"/>
    </w:rPr>
  </w:style>
  <w:style w:type="paragraph" w:styleId="6">
    <w:name w:val="heading 2"/>
    <w:basedOn w:val="1"/>
    <w:next w:val="1"/>
    <w:qFormat/>
    <w:locked/>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qFormat/>
    <w:locked/>
    <w:uiPriority w:val="9"/>
    <w:pPr>
      <w:keepNext/>
      <w:keepLines/>
      <w:tabs>
        <w:tab w:val="left" w:pos="3402"/>
      </w:tabs>
      <w:spacing w:beforeLines="100" w:afterLines="100"/>
      <w:contextualSpacing/>
      <w:jc w:val="center"/>
      <w:outlineLvl w:val="2"/>
    </w:pPr>
    <w:rPr>
      <w:rFonts w:eastAsia="黑体"/>
      <w:bCs/>
      <w:szCs w:val="32"/>
    </w:rPr>
  </w:style>
  <w:style w:type="paragraph" w:styleId="8">
    <w:name w:val="heading 4"/>
    <w:basedOn w:val="1"/>
    <w:next w:val="1"/>
    <w:qFormat/>
    <w:locked/>
    <w:uiPriority w:val="99"/>
    <w:pPr>
      <w:keepNext/>
      <w:spacing w:line="440" w:lineRule="exact"/>
      <w:jc w:val="center"/>
      <w:outlineLvl w:val="3"/>
    </w:pPr>
    <w:rPr>
      <w:rFonts w:ascii="仿宋_GB2312" w:eastAsia="仿宋_GB2312" w:cs="仿宋_GB2312"/>
      <w:sz w:val="28"/>
      <w:szCs w:val="28"/>
    </w:rPr>
  </w:style>
  <w:style w:type="paragraph" w:styleId="9">
    <w:name w:val="heading 5"/>
    <w:basedOn w:val="1"/>
    <w:next w:val="1"/>
    <w:qFormat/>
    <w:locked/>
    <w:uiPriority w:val="1"/>
    <w:pPr>
      <w:ind w:left="638"/>
      <w:outlineLvl w:val="4"/>
    </w:pPr>
    <w:rPr>
      <w:rFonts w:ascii="宋体" w:hAnsi="宋体" w:cs="宋体"/>
      <w:b/>
      <w:bCs/>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BodyText"/>
    <w:basedOn w:val="1"/>
    <w:next w:val="3"/>
    <w:qFormat/>
    <w:uiPriority w:val="0"/>
    <w:pPr>
      <w:spacing w:after="120"/>
      <w:jc w:val="both"/>
      <w:textAlignment w:val="baseline"/>
    </w:pPr>
    <w:rPr>
      <w:rFonts w:ascii="Times New Roman" w:hAnsi="Times New Roman" w:eastAsia="宋体"/>
      <w:kern w:val="0"/>
      <w:sz w:val="21"/>
      <w:szCs w:val="21"/>
      <w:lang w:val="en-US" w:eastAsia="zh-CN" w:bidi="ar-SA"/>
    </w:rPr>
  </w:style>
  <w:style w:type="paragraph" w:styleId="3">
    <w:name w:val="header"/>
    <w:basedOn w:val="1"/>
    <w:next w:val="4"/>
    <w:link w:val="41"/>
    <w:qFormat/>
    <w:uiPriority w:val="99"/>
    <w:pPr>
      <w:pBdr>
        <w:bottom w:val="single" w:color="auto" w:sz="6" w:space="1"/>
      </w:pBdr>
      <w:tabs>
        <w:tab w:val="center" w:pos="4153"/>
        <w:tab w:val="right" w:pos="8306"/>
      </w:tabs>
      <w:snapToGrid w:val="0"/>
      <w:jc w:val="center"/>
    </w:pPr>
    <w:rPr>
      <w:kern w:val="0"/>
      <w:sz w:val="18"/>
      <w:szCs w:val="18"/>
    </w:rPr>
  </w:style>
  <w:style w:type="paragraph" w:customStyle="1" w:styleId="4">
    <w:name w:val="UserStyle_0"/>
    <w:basedOn w:val="1"/>
    <w:next w:val="1"/>
    <w:qFormat/>
    <w:uiPriority w:val="0"/>
    <w:pPr>
      <w:widowControl/>
      <w:spacing w:before="200" w:after="160"/>
      <w:ind w:left="864" w:right="864"/>
      <w:jc w:val="center"/>
      <w:textAlignment w:val="baseline"/>
    </w:pPr>
    <w:rPr>
      <w:rFonts w:ascii="宋体" w:hAnsi="Times New Roman" w:eastAsia="宋体"/>
      <w:i/>
      <w:color w:val="404040"/>
      <w:kern w:val="2"/>
      <w:sz w:val="28"/>
      <w:szCs w:val="21"/>
      <w:lang w:val="en-US" w:eastAsia="zh-CN" w:bidi="ar-SA"/>
    </w:rPr>
  </w:style>
  <w:style w:type="paragraph" w:styleId="10">
    <w:name w:val="index 8"/>
    <w:basedOn w:val="1"/>
    <w:next w:val="1"/>
    <w:semiHidden/>
    <w:qFormat/>
    <w:uiPriority w:val="99"/>
    <w:pPr>
      <w:jc w:val="center"/>
    </w:pPr>
    <w:rPr>
      <w:rFonts w:ascii="宋体" w:cs="宋体"/>
      <w:color w:val="000000"/>
      <w:sz w:val="32"/>
      <w:szCs w:val="32"/>
    </w:rPr>
  </w:style>
  <w:style w:type="paragraph" w:styleId="11">
    <w:name w:val="Normal Indent"/>
    <w:basedOn w:val="1"/>
    <w:qFormat/>
    <w:uiPriority w:val="0"/>
    <w:pPr>
      <w:ind w:firstLine="420" w:firstLineChars="200"/>
    </w:pPr>
    <w:rPr>
      <w:kern w:val="0"/>
      <w:sz w:val="20"/>
    </w:rPr>
  </w:style>
  <w:style w:type="paragraph" w:styleId="12">
    <w:name w:val="index 5"/>
    <w:basedOn w:val="1"/>
    <w:next w:val="1"/>
    <w:qFormat/>
    <w:uiPriority w:val="99"/>
    <w:pPr>
      <w:ind w:left="1680"/>
    </w:pPr>
  </w:style>
  <w:style w:type="paragraph" w:styleId="13">
    <w:name w:val="Document Map"/>
    <w:basedOn w:val="1"/>
    <w:link w:val="35"/>
    <w:qFormat/>
    <w:uiPriority w:val="0"/>
    <w:rPr>
      <w:rFonts w:ascii="宋体"/>
      <w:sz w:val="18"/>
      <w:szCs w:val="18"/>
    </w:rPr>
  </w:style>
  <w:style w:type="paragraph" w:styleId="14">
    <w:name w:val="annotation text"/>
    <w:basedOn w:val="1"/>
    <w:unhideWhenUsed/>
    <w:qFormat/>
    <w:uiPriority w:val="99"/>
    <w:pPr>
      <w:jc w:val="left"/>
    </w:pPr>
    <w:rPr>
      <w:rFonts w:ascii="Calibri" w:hAnsi="Calibri" w:cs="Calibri"/>
      <w:color w:val="000000"/>
      <w:kern w:val="0"/>
      <w:szCs w:val="24"/>
    </w:rPr>
  </w:style>
  <w:style w:type="paragraph" w:styleId="15">
    <w:name w:val="Body Text"/>
    <w:basedOn w:val="1"/>
    <w:next w:val="3"/>
    <w:link w:val="36"/>
    <w:qFormat/>
    <w:uiPriority w:val="99"/>
    <w:pPr>
      <w:spacing w:after="120"/>
    </w:pPr>
    <w:rPr>
      <w:kern w:val="0"/>
    </w:rPr>
  </w:style>
  <w:style w:type="paragraph" w:styleId="16">
    <w:name w:val="Plain Text"/>
    <w:basedOn w:val="1"/>
    <w:next w:val="12"/>
    <w:link w:val="37"/>
    <w:qFormat/>
    <w:uiPriority w:val="99"/>
    <w:pPr>
      <w:widowControl/>
      <w:spacing w:before="100" w:beforeAutospacing="1" w:after="100" w:afterAutospacing="1"/>
      <w:jc w:val="left"/>
    </w:pPr>
    <w:rPr>
      <w:rFonts w:ascii="宋体" w:hAnsi="Courier New"/>
      <w:kern w:val="0"/>
    </w:rPr>
  </w:style>
  <w:style w:type="paragraph" w:styleId="17">
    <w:name w:val="Body Text Indent 2"/>
    <w:basedOn w:val="1"/>
    <w:link w:val="38"/>
    <w:qFormat/>
    <w:uiPriority w:val="99"/>
    <w:pPr>
      <w:spacing w:after="120" w:line="480" w:lineRule="auto"/>
      <w:ind w:left="420" w:leftChars="200"/>
    </w:pPr>
    <w:rPr>
      <w:kern w:val="0"/>
      <w:sz w:val="24"/>
      <w:szCs w:val="24"/>
    </w:rPr>
  </w:style>
  <w:style w:type="paragraph" w:styleId="18">
    <w:name w:val="Balloon Text"/>
    <w:basedOn w:val="1"/>
    <w:link w:val="39"/>
    <w:qFormat/>
    <w:uiPriority w:val="99"/>
    <w:rPr>
      <w:kern w:val="0"/>
      <w:sz w:val="18"/>
      <w:szCs w:val="18"/>
    </w:rPr>
  </w:style>
  <w:style w:type="paragraph" w:styleId="19">
    <w:name w:val="footer"/>
    <w:basedOn w:val="1"/>
    <w:link w:val="40"/>
    <w:qFormat/>
    <w:uiPriority w:val="99"/>
    <w:pPr>
      <w:tabs>
        <w:tab w:val="center" w:pos="4153"/>
        <w:tab w:val="right" w:pos="8306"/>
      </w:tabs>
      <w:snapToGrid w:val="0"/>
      <w:jc w:val="left"/>
    </w:pPr>
    <w:rPr>
      <w:kern w:val="0"/>
      <w:sz w:val="18"/>
      <w:szCs w:val="18"/>
    </w:rPr>
  </w:style>
  <w:style w:type="paragraph" w:styleId="20">
    <w:name w:val="toc 1"/>
    <w:basedOn w:val="1"/>
    <w:next w:val="1"/>
    <w:semiHidden/>
    <w:qFormat/>
    <w:uiPriority w:val="99"/>
    <w:pPr>
      <w:ind w:firstLine="570"/>
    </w:pPr>
    <w:rPr>
      <w:rFonts w:ascii="宋体" w:hAnsi="宋体" w:cs="宋体"/>
      <w:color w:val="000000"/>
      <w:sz w:val="28"/>
      <w:szCs w:val="28"/>
    </w:rPr>
  </w:style>
  <w:style w:type="paragraph" w:styleId="21">
    <w:name w:val="Body Text Indent 3"/>
    <w:basedOn w:val="1"/>
    <w:link w:val="42"/>
    <w:semiHidden/>
    <w:qFormat/>
    <w:uiPriority w:val="99"/>
    <w:pPr>
      <w:spacing w:after="120"/>
      <w:ind w:left="420" w:leftChars="200"/>
    </w:pPr>
    <w:rPr>
      <w:kern w:val="0"/>
      <w:sz w:val="16"/>
      <w:szCs w:val="16"/>
    </w:rPr>
  </w:style>
  <w:style w:type="paragraph" w:styleId="22">
    <w:name w:val="Body Text 2"/>
    <w:basedOn w:val="1"/>
    <w:link w:val="43"/>
    <w:qFormat/>
    <w:uiPriority w:val="99"/>
    <w:pPr>
      <w:spacing w:after="120" w:line="480" w:lineRule="auto"/>
    </w:pPr>
    <w:rPr>
      <w:kern w:val="0"/>
      <w:sz w:val="24"/>
      <w:szCs w:val="24"/>
    </w:rPr>
  </w:style>
  <w:style w:type="paragraph" w:styleId="2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4">
    <w:name w:val="Title"/>
    <w:basedOn w:val="1"/>
    <w:next w:val="1"/>
    <w:qFormat/>
    <w:locked/>
    <w:uiPriority w:val="0"/>
    <w:pPr>
      <w:spacing w:before="240" w:after="60"/>
      <w:jc w:val="center"/>
    </w:pPr>
    <w:rPr>
      <w:rFonts w:ascii="Cambria" w:hAnsi="Cambria"/>
      <w:b/>
      <w:bCs/>
      <w:sz w:val="32"/>
      <w:szCs w:val="32"/>
    </w:rPr>
  </w:style>
  <w:style w:type="paragraph" w:styleId="25">
    <w:name w:val="Body Text First Indent"/>
    <w:basedOn w:val="15"/>
    <w:next w:val="1"/>
    <w:qFormat/>
    <w:uiPriority w:val="99"/>
    <w:pPr>
      <w:ind w:firstLine="420" w:firstLineChars="100"/>
    </w:pPr>
  </w:style>
  <w:style w:type="table" w:styleId="27">
    <w:name w:val="Table Grid"/>
    <w:basedOn w:val="26"/>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locked/>
    <w:uiPriority w:val="99"/>
    <w:rPr>
      <w:rFonts w:cs="Times New Roman"/>
      <w:b/>
      <w:bCs/>
    </w:rPr>
  </w:style>
  <w:style w:type="character" w:styleId="30">
    <w:name w:val="page number"/>
    <w:qFormat/>
    <w:uiPriority w:val="99"/>
    <w:rPr>
      <w:rFonts w:cs="Times New Roman"/>
    </w:rPr>
  </w:style>
  <w:style w:type="character" w:styleId="31">
    <w:name w:val="FollowedHyperlink"/>
    <w:qFormat/>
    <w:uiPriority w:val="99"/>
    <w:rPr>
      <w:rFonts w:cs="Times New Roman"/>
      <w:color w:val="800080"/>
      <w:u w:val="single"/>
    </w:rPr>
  </w:style>
  <w:style w:type="character" w:styleId="32">
    <w:name w:val="Hyperlink"/>
    <w:basedOn w:val="28"/>
    <w:qFormat/>
    <w:uiPriority w:val="99"/>
    <w:rPr>
      <w:rFonts w:cs="Times New Roman"/>
      <w:color w:val="0000FF"/>
      <w:u w:val="single"/>
    </w:rPr>
  </w:style>
  <w:style w:type="paragraph" w:customStyle="1" w:styleId="33">
    <w:name w:val="Quote1"/>
    <w:basedOn w:val="1"/>
    <w:next w:val="1"/>
    <w:qFormat/>
    <w:uiPriority w:val="99"/>
    <w:pPr>
      <w:widowControl/>
      <w:wordWrap w:val="0"/>
      <w:spacing w:before="200" w:after="160"/>
      <w:ind w:left="864" w:right="864"/>
      <w:jc w:val="center"/>
    </w:pPr>
    <w:rPr>
      <w:rFonts w:ascii="宋体"/>
      <w:i/>
      <w:color w:val="404040"/>
    </w:rPr>
  </w:style>
  <w:style w:type="character" w:customStyle="1" w:styleId="34">
    <w:name w:val="标题 1 字符"/>
    <w:link w:val="5"/>
    <w:qFormat/>
    <w:locked/>
    <w:uiPriority w:val="99"/>
    <w:rPr>
      <w:rFonts w:ascii="Times New Roman" w:hAnsi="Times New Roman" w:cs="Times New Roman"/>
      <w:b/>
      <w:sz w:val="24"/>
      <w:szCs w:val="24"/>
    </w:rPr>
  </w:style>
  <w:style w:type="character" w:customStyle="1" w:styleId="35">
    <w:name w:val="文档结构图 字符"/>
    <w:link w:val="13"/>
    <w:qFormat/>
    <w:uiPriority w:val="0"/>
    <w:rPr>
      <w:rFonts w:ascii="宋体" w:hAnsi="Times New Roman" w:cs="Times New Roman"/>
      <w:kern w:val="2"/>
      <w:sz w:val="18"/>
      <w:szCs w:val="18"/>
    </w:rPr>
  </w:style>
  <w:style w:type="character" w:customStyle="1" w:styleId="36">
    <w:name w:val="正文文本 字符"/>
    <w:link w:val="15"/>
    <w:qFormat/>
    <w:locked/>
    <w:uiPriority w:val="99"/>
    <w:rPr>
      <w:rFonts w:ascii="Times New Roman" w:hAnsi="Times New Roman" w:cs="Times New Roman"/>
      <w:sz w:val="21"/>
      <w:szCs w:val="21"/>
    </w:rPr>
  </w:style>
  <w:style w:type="character" w:customStyle="1" w:styleId="37">
    <w:name w:val="纯文本 字符"/>
    <w:link w:val="16"/>
    <w:qFormat/>
    <w:locked/>
    <w:uiPriority w:val="99"/>
    <w:rPr>
      <w:rFonts w:ascii="宋体" w:hAnsi="Courier New" w:eastAsia="宋体" w:cs="宋体"/>
      <w:sz w:val="21"/>
      <w:szCs w:val="21"/>
    </w:rPr>
  </w:style>
  <w:style w:type="character" w:customStyle="1" w:styleId="38">
    <w:name w:val="正文文本缩进 2 字符"/>
    <w:link w:val="17"/>
    <w:qFormat/>
    <w:locked/>
    <w:uiPriority w:val="99"/>
    <w:rPr>
      <w:rFonts w:ascii="Times New Roman" w:hAnsi="Times New Roman" w:eastAsia="宋体" w:cs="Times New Roman"/>
      <w:sz w:val="24"/>
      <w:szCs w:val="24"/>
    </w:rPr>
  </w:style>
  <w:style w:type="character" w:customStyle="1" w:styleId="39">
    <w:name w:val="批注框文本 字符"/>
    <w:link w:val="18"/>
    <w:qFormat/>
    <w:locked/>
    <w:uiPriority w:val="99"/>
    <w:rPr>
      <w:rFonts w:ascii="Times New Roman" w:hAnsi="Times New Roman" w:cs="Times New Roman"/>
      <w:sz w:val="18"/>
      <w:szCs w:val="18"/>
    </w:rPr>
  </w:style>
  <w:style w:type="character" w:customStyle="1" w:styleId="40">
    <w:name w:val="页脚 字符"/>
    <w:link w:val="19"/>
    <w:qFormat/>
    <w:locked/>
    <w:uiPriority w:val="99"/>
    <w:rPr>
      <w:rFonts w:cs="Times New Roman"/>
      <w:sz w:val="18"/>
      <w:szCs w:val="18"/>
    </w:rPr>
  </w:style>
  <w:style w:type="character" w:customStyle="1" w:styleId="41">
    <w:name w:val="页眉 字符"/>
    <w:link w:val="3"/>
    <w:semiHidden/>
    <w:qFormat/>
    <w:locked/>
    <w:uiPriority w:val="99"/>
    <w:rPr>
      <w:rFonts w:cs="Times New Roman"/>
      <w:sz w:val="18"/>
      <w:szCs w:val="18"/>
    </w:rPr>
  </w:style>
  <w:style w:type="character" w:customStyle="1" w:styleId="42">
    <w:name w:val="正文文本缩进 3 字符"/>
    <w:link w:val="21"/>
    <w:semiHidden/>
    <w:qFormat/>
    <w:locked/>
    <w:uiPriority w:val="99"/>
    <w:rPr>
      <w:rFonts w:ascii="Times New Roman" w:hAnsi="Times New Roman" w:eastAsia="宋体" w:cs="Times New Roman"/>
      <w:sz w:val="16"/>
      <w:szCs w:val="16"/>
    </w:rPr>
  </w:style>
  <w:style w:type="character" w:customStyle="1" w:styleId="43">
    <w:name w:val="正文文本 2 字符"/>
    <w:link w:val="22"/>
    <w:qFormat/>
    <w:locked/>
    <w:uiPriority w:val="99"/>
    <w:rPr>
      <w:rFonts w:ascii="Times New Roman" w:hAnsi="Times New Roman" w:eastAsia="宋体" w:cs="Times New Roman"/>
      <w:sz w:val="24"/>
      <w:szCs w:val="24"/>
    </w:rPr>
  </w:style>
  <w:style w:type="character" w:customStyle="1" w:styleId="44">
    <w:name w:val="Body Text Char"/>
    <w:qFormat/>
    <w:locked/>
    <w:uiPriority w:val="99"/>
  </w:style>
  <w:style w:type="character" w:customStyle="1" w:styleId="45">
    <w:name w:val="Plain Text Char"/>
    <w:qFormat/>
    <w:locked/>
    <w:uiPriority w:val="99"/>
    <w:rPr>
      <w:rFonts w:ascii="宋体" w:hAnsi="宋体" w:eastAsia="宋体" w:cs="Times New Roman"/>
      <w:kern w:val="0"/>
      <w:sz w:val="24"/>
    </w:rPr>
  </w:style>
  <w:style w:type="character" w:customStyle="1" w:styleId="46">
    <w:name w:val="明显强调1"/>
    <w:qFormat/>
    <w:uiPriority w:val="99"/>
    <w:rPr>
      <w:i/>
      <w:color w:val="5B9BD5"/>
    </w:rPr>
  </w:style>
  <w:style w:type="character" w:customStyle="1" w:styleId="47">
    <w:name w:val="font11"/>
    <w:qFormat/>
    <w:uiPriority w:val="0"/>
    <w:rPr>
      <w:rFonts w:hint="eastAsia" w:ascii="宋体" w:hAnsi="宋体" w:eastAsia="宋体" w:cs="宋体"/>
      <w:color w:val="000000"/>
      <w:sz w:val="22"/>
      <w:szCs w:val="22"/>
      <w:u w:val="none"/>
    </w:rPr>
  </w:style>
  <w:style w:type="character" w:customStyle="1" w:styleId="48">
    <w:name w:val="UserStyle_15"/>
    <w:qFormat/>
    <w:uiPriority w:val="0"/>
    <w:rPr>
      <w:rFonts w:ascii="宋体" w:hAnsi="宋体" w:eastAsia="宋体"/>
      <w:color w:val="000000"/>
      <w:sz w:val="20"/>
      <w:szCs w:val="20"/>
    </w:rPr>
  </w:style>
  <w:style w:type="character" w:customStyle="1" w:styleId="49">
    <w:name w:val="Body Text Indent 2 Char1"/>
    <w:semiHidden/>
    <w:qFormat/>
    <w:locked/>
    <w:uiPriority w:val="99"/>
    <w:rPr>
      <w:rFonts w:ascii="Times New Roman" w:hAnsi="Times New Roman" w:cs="Times New Roman"/>
      <w:sz w:val="24"/>
      <w:szCs w:val="24"/>
    </w:rPr>
  </w:style>
  <w:style w:type="character" w:customStyle="1" w:styleId="50">
    <w:name w:val="NormalCharacter"/>
    <w:qFormat/>
    <w:uiPriority w:val="0"/>
    <w:rPr>
      <w:rFonts w:ascii="Tahoma" w:hAnsi="Tahoma"/>
      <w:sz w:val="24"/>
      <w:szCs w:val="20"/>
    </w:rPr>
  </w:style>
  <w:style w:type="character" w:customStyle="1" w:styleId="51">
    <w:name w:val="Plain Text Char1"/>
    <w:semiHidden/>
    <w:qFormat/>
    <w:locked/>
    <w:uiPriority w:val="99"/>
    <w:rPr>
      <w:rFonts w:ascii="宋体" w:hAnsi="Courier New" w:cs="宋体"/>
      <w:sz w:val="21"/>
      <w:szCs w:val="21"/>
    </w:rPr>
  </w:style>
  <w:style w:type="character" w:customStyle="1" w:styleId="52">
    <w:name w:val="样式1 Char Char"/>
    <w:link w:val="53"/>
    <w:qFormat/>
    <w:locked/>
    <w:uiPriority w:val="99"/>
    <w:rPr>
      <w:rFonts w:ascii="宋体" w:eastAsia="宋体"/>
      <w:sz w:val="21"/>
    </w:rPr>
  </w:style>
  <w:style w:type="paragraph" w:customStyle="1" w:styleId="53">
    <w:name w:val="样式1"/>
    <w:basedOn w:val="1"/>
    <w:link w:val="52"/>
    <w:qFormat/>
    <w:uiPriority w:val="99"/>
    <w:pPr>
      <w:tabs>
        <w:tab w:val="left" w:pos="709"/>
      </w:tabs>
      <w:adjustRightInd w:val="0"/>
      <w:ind w:left="709" w:hanging="709"/>
      <w:textAlignment w:val="baseline"/>
    </w:pPr>
    <w:rPr>
      <w:rFonts w:ascii="宋体"/>
      <w:kern w:val="0"/>
      <w:szCs w:val="20"/>
    </w:rPr>
  </w:style>
  <w:style w:type="character" w:customStyle="1" w:styleId="54">
    <w:name w:val="Body Text Char1"/>
    <w:semiHidden/>
    <w:qFormat/>
    <w:locked/>
    <w:uiPriority w:val="99"/>
    <w:rPr>
      <w:rFonts w:ascii="Times New Roman" w:hAnsi="Times New Roman" w:cs="Times New Roman"/>
      <w:sz w:val="21"/>
      <w:szCs w:val="21"/>
    </w:rPr>
  </w:style>
  <w:style w:type="character" w:customStyle="1" w:styleId="55">
    <w:name w:val="Body Text Indent 2 Char"/>
    <w:qFormat/>
    <w:locked/>
    <w:uiPriority w:val="99"/>
    <w:rPr>
      <w:rFonts w:ascii="Times New Roman" w:hAnsi="Times New Roman" w:eastAsia="宋体" w:cs="Times New Roman"/>
      <w:sz w:val="24"/>
    </w:rPr>
  </w:style>
  <w:style w:type="paragraph" w:styleId="56">
    <w:name w:val="List Paragraph"/>
    <w:basedOn w:val="1"/>
    <w:qFormat/>
    <w:uiPriority w:val="0"/>
    <w:pPr>
      <w:ind w:firstLine="420" w:firstLineChars="200"/>
    </w:pPr>
    <w:rPr>
      <w:szCs w:val="20"/>
    </w:rPr>
  </w:style>
  <w:style w:type="paragraph" w:customStyle="1" w:styleId="57">
    <w:name w:val="列出段落1"/>
    <w:basedOn w:val="1"/>
    <w:qFormat/>
    <w:uiPriority w:val="99"/>
    <w:pPr>
      <w:ind w:firstLine="420" w:firstLineChars="200"/>
    </w:pPr>
  </w:style>
  <w:style w:type="paragraph" w:customStyle="1" w:styleId="58">
    <w:name w:val="wang正文"/>
    <w:basedOn w:val="1"/>
    <w:semiHidden/>
    <w:qFormat/>
    <w:uiPriority w:val="0"/>
    <w:pPr>
      <w:tabs>
        <w:tab w:val="left" w:pos="6840"/>
      </w:tabs>
      <w:topLinePunct/>
      <w:ind w:firstLine="420"/>
    </w:pPr>
    <w:rPr>
      <w:kern w:val="0"/>
      <w:szCs w:val="20"/>
    </w:rPr>
  </w:style>
  <w:style w:type="paragraph" w:customStyle="1" w:styleId="59">
    <w:name w:val="p0"/>
    <w:basedOn w:val="1"/>
    <w:qFormat/>
    <w:uiPriority w:val="0"/>
    <w:pPr>
      <w:widowControl/>
    </w:pPr>
    <w:rPr>
      <w:kern w:val="0"/>
    </w:rPr>
  </w:style>
  <w:style w:type="paragraph" w:customStyle="1" w:styleId="60">
    <w:name w:val="Table Paragraph"/>
    <w:basedOn w:val="1"/>
    <w:qFormat/>
    <w:uiPriority w:val="1"/>
    <w:rPr>
      <w:rFonts w:ascii="宋体" w:hAnsi="宋体" w:cs="宋体"/>
    </w:rPr>
  </w:style>
  <w:style w:type="paragraph" w:customStyle="1" w:styleId="61">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样式 黑色 首行缩进:  0.85 厘米 行距: 固定值 20 磅"/>
    <w:basedOn w:val="1"/>
    <w:qFormat/>
    <w:uiPriority w:val="99"/>
    <w:pPr>
      <w:tabs>
        <w:tab w:val="left" w:pos="8789"/>
      </w:tabs>
      <w:adjustRightInd w:val="0"/>
      <w:snapToGrid w:val="0"/>
      <w:spacing w:line="440" w:lineRule="exact"/>
      <w:ind w:firstLine="480" w:firstLineChars="200"/>
    </w:pPr>
    <w:rPr>
      <w:rFonts w:ascii="宋体" w:hAnsi="宋体" w:cs="宋体"/>
      <w:kern w:val="0"/>
      <w:sz w:val="24"/>
      <w:szCs w:val="24"/>
    </w:rPr>
  </w:style>
  <w:style w:type="paragraph" w:customStyle="1" w:styleId="63">
    <w:name w:val="列出段落2"/>
    <w:basedOn w:val="1"/>
    <w:qFormat/>
    <w:uiPriority w:val="99"/>
    <w:pPr>
      <w:ind w:firstLine="420" w:firstLineChars="200"/>
    </w:pPr>
    <w:rPr>
      <w:szCs w:val="24"/>
    </w:rPr>
  </w:style>
  <w:style w:type="paragraph" w:customStyle="1" w:styleId="64">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styleId="65">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66">
    <w:name w:val="_Style 3"/>
    <w:qFormat/>
    <w:uiPriority w:val="1"/>
    <w:pPr>
      <w:widowControl w:val="0"/>
      <w:jc w:val="both"/>
    </w:pPr>
    <w:rPr>
      <w:rFonts w:ascii="Times New Roman" w:hAnsi="Times New Roman" w:eastAsia="宋体" w:cs="黑体"/>
      <w:kern w:val="2"/>
      <w:sz w:val="21"/>
      <w:szCs w:val="22"/>
      <w:lang w:val="en-US" w:eastAsia="zh-CN" w:bidi="ar-SA"/>
    </w:rPr>
  </w:style>
  <w:style w:type="paragraph" w:customStyle="1" w:styleId="67">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68">
    <w:name w:val="标题2"/>
    <w:basedOn w:val="1"/>
    <w:qFormat/>
    <w:uiPriority w:val="0"/>
    <w:pPr>
      <w:spacing w:line="520" w:lineRule="exact"/>
      <w:jc w:val="center"/>
    </w:pPr>
    <w:rPr>
      <w:b/>
    </w:rPr>
  </w:style>
  <w:style w:type="paragraph" w:customStyle="1" w:styleId="69">
    <w:name w:val="正文缩进 New"/>
    <w:basedOn w:val="61"/>
    <w:qFormat/>
    <w:uiPriority w:val="0"/>
    <w:pPr>
      <w:ind w:firstLine="200" w:firstLineChars="200"/>
    </w:pPr>
  </w:style>
  <w:style w:type="paragraph" w:customStyle="1" w:styleId="70">
    <w:name w:val="WPSOffice手动目录 1"/>
    <w:qFormat/>
    <w:uiPriority w:val="0"/>
    <w:pPr>
      <w:ind w:leftChars="0"/>
    </w:pPr>
    <w:rPr>
      <w:rFonts w:ascii="Times New Roman" w:hAnsi="Times New Roman" w:eastAsia="宋体" w:cs="Times New Roman"/>
      <w:sz w:val="20"/>
      <w:szCs w:val="20"/>
    </w:rPr>
  </w:style>
  <w:style w:type="character" w:customStyle="1" w:styleId="71">
    <w:name w:val="font81"/>
    <w:basedOn w:val="28"/>
    <w:qFormat/>
    <w:uiPriority w:val="0"/>
    <w:rPr>
      <w:rFonts w:hint="default" w:ascii="Times New Roman" w:hAnsi="Times New Roman" w:cs="Times New Roman"/>
      <w:color w:val="000000"/>
      <w:sz w:val="21"/>
      <w:szCs w:val="21"/>
      <w:u w:val="none"/>
    </w:rPr>
  </w:style>
  <w:style w:type="character" w:customStyle="1" w:styleId="72">
    <w:name w:val="font31"/>
    <w:basedOn w:val="28"/>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18727</Words>
  <Characters>19740</Characters>
  <Lines>140</Lines>
  <Paragraphs>39</Paragraphs>
  <TotalTime>66</TotalTime>
  <ScaleCrop>false</ScaleCrop>
  <LinksUpToDate>false</LinksUpToDate>
  <CharactersWithSpaces>20627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2021-06-28T01:54:00Z</dcterms:created>
  <dc:creator>Administrator</dc:creator>
  <cp:lastModifiedBy>你在看孤独的风景mmu</cp:lastModifiedBy>
  <cp:lastPrinted>2022-07-26T00:55:00Z</cp:lastPrinted>
  <dcterms:modified xsi:type="dcterms:W3CDTF">2023-01-29T06:34:44Z</dcterms:modified>
  <dc:title>赤峰市政府办公厅</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AB57A0D94A514EBE919F99B8DF769290</vt:lpwstr>
  </property>
</Properties>
</file>