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default" w:eastAsia="宋体"/>
          <w:b/>
          <w:sz w:val="36"/>
          <w:szCs w:val="36"/>
          <w:lang w:val="en-US" w:eastAsia="zh-CN"/>
        </w:rPr>
      </w:pPr>
      <w:r>
        <w:rPr>
          <w:rFonts w:hint="eastAsia"/>
          <w:b/>
          <w:sz w:val="36"/>
          <w:szCs w:val="36"/>
        </w:rPr>
        <w:t>2024年商业卫星数据采购项目</w:t>
      </w:r>
      <w:r>
        <w:rPr>
          <w:rFonts w:hint="eastAsia"/>
          <w:b/>
          <w:sz w:val="36"/>
          <w:szCs w:val="36"/>
          <w:lang w:val="en-US" w:eastAsia="zh-CN"/>
        </w:rPr>
        <w:t>招标公告</w:t>
      </w:r>
    </w:p>
    <w:p>
      <w:pPr>
        <w:pStyle w:val="3"/>
        <w:spacing w:before="0" w:line="360" w:lineRule="auto"/>
        <w:jc w:val="left"/>
        <w:rPr>
          <w:rFonts w:ascii="Times New Roman" w:hAnsi="Times New Roman" w:eastAsia="宋体"/>
          <w:sz w:val="24"/>
          <w:szCs w:val="24"/>
        </w:rPr>
      </w:pPr>
      <w:bookmarkStart w:id="0" w:name="_Toc35393621"/>
      <w:bookmarkStart w:id="1" w:name="_Toc28359079"/>
      <w:bookmarkStart w:id="2" w:name="_Toc28359002"/>
      <w:bookmarkStart w:id="3" w:name="_Toc35393790"/>
      <w:bookmarkStart w:id="4" w:name="_Hlk24379207"/>
      <w:r>
        <w:rPr>
          <w:rFonts w:ascii="Times New Roman" w:hAnsi="Times New Roman" w:eastAsia="宋体"/>
          <w:sz w:val="24"/>
          <w:szCs w:val="24"/>
        </w:rPr>
        <w:t>一、项目基本情况</w:t>
      </w:r>
      <w:bookmarkEnd w:id="0"/>
      <w:bookmarkEnd w:id="1"/>
      <w:bookmarkEnd w:id="2"/>
      <w:bookmarkEnd w:id="3"/>
    </w:p>
    <w:p>
      <w:pPr>
        <w:spacing w:line="360" w:lineRule="auto"/>
        <w:ind w:firstLine="480" w:firstLineChars="200"/>
        <w:rPr>
          <w:sz w:val="24"/>
        </w:rPr>
      </w:pPr>
      <w:r>
        <w:rPr>
          <w:sz w:val="24"/>
        </w:rPr>
        <w:t>1.项目编号：</w:t>
      </w:r>
      <w:bookmarkStart w:id="29" w:name="_GoBack"/>
      <w:r>
        <w:rPr>
          <w:rFonts w:hint="eastAsia"/>
          <w:sz w:val="24"/>
        </w:rPr>
        <w:t>2441STC71402</w:t>
      </w:r>
      <w:bookmarkEnd w:id="29"/>
    </w:p>
    <w:p>
      <w:pPr>
        <w:spacing w:line="360" w:lineRule="auto"/>
        <w:ind w:firstLine="480" w:firstLineChars="200"/>
        <w:rPr>
          <w:sz w:val="24"/>
        </w:rPr>
      </w:pPr>
      <w:r>
        <w:rPr>
          <w:sz w:val="24"/>
        </w:rPr>
        <w:t>2.项目名称：</w:t>
      </w:r>
      <w:r>
        <w:rPr>
          <w:rFonts w:hint="eastAsia"/>
          <w:sz w:val="24"/>
        </w:rPr>
        <w:t>2024年商业卫星数据采购项目</w:t>
      </w:r>
    </w:p>
    <w:bookmarkEnd w:id="4"/>
    <w:p>
      <w:pPr>
        <w:spacing w:line="360" w:lineRule="auto"/>
        <w:ind w:firstLine="480" w:firstLineChars="200"/>
        <w:rPr>
          <w:sz w:val="24"/>
        </w:rPr>
      </w:pPr>
      <w:r>
        <w:rPr>
          <w:sz w:val="24"/>
        </w:rPr>
        <w:t>3.项目预算金额：</w:t>
      </w:r>
      <w:r>
        <w:rPr>
          <w:rFonts w:hint="eastAsia"/>
          <w:sz w:val="24"/>
          <w:u w:val="single"/>
        </w:rPr>
        <w:t>7206</w:t>
      </w:r>
      <w:r>
        <w:rPr>
          <w:sz w:val="24"/>
        </w:rPr>
        <w:t>万元、项目最高限价（如有）：</w:t>
      </w:r>
      <w:r>
        <w:rPr>
          <w:rFonts w:hint="eastAsia"/>
          <w:sz w:val="24"/>
          <w:u w:val="single"/>
        </w:rPr>
        <w:t>7206</w:t>
      </w:r>
      <w:r>
        <w:rPr>
          <w:sz w:val="24"/>
        </w:rPr>
        <w:t>万元</w:t>
      </w:r>
    </w:p>
    <w:p>
      <w:pPr>
        <w:spacing w:line="360" w:lineRule="auto"/>
        <w:ind w:firstLine="480" w:firstLineChars="200"/>
        <w:rPr>
          <w:sz w:val="24"/>
        </w:rPr>
      </w:pPr>
      <w:r>
        <w:rPr>
          <w:sz w:val="24"/>
        </w:rPr>
        <w:t>4.采购需求：</w:t>
      </w:r>
    </w:p>
    <w:tbl>
      <w:tblPr>
        <w:tblStyle w:val="1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1245"/>
        <w:gridCol w:w="1293"/>
        <w:gridCol w:w="1211"/>
        <w:gridCol w:w="1239"/>
        <w:gridCol w:w="2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337" w:type="pct"/>
            <w:shd w:val="clear" w:color="auto" w:fill="auto"/>
            <w:vAlign w:val="center"/>
          </w:tcPr>
          <w:p>
            <w:pPr>
              <w:jc w:val="center"/>
              <w:rPr>
                <w:bCs/>
                <w:szCs w:val="21"/>
              </w:rPr>
            </w:pPr>
            <w:r>
              <w:rPr>
                <w:bCs/>
                <w:szCs w:val="21"/>
              </w:rPr>
              <w:t>包号</w:t>
            </w:r>
          </w:p>
        </w:tc>
        <w:tc>
          <w:tcPr>
            <w:tcW w:w="731" w:type="pct"/>
            <w:shd w:val="clear" w:color="auto" w:fill="auto"/>
            <w:vAlign w:val="center"/>
          </w:tcPr>
          <w:p>
            <w:pPr>
              <w:jc w:val="center"/>
              <w:rPr>
                <w:bCs/>
                <w:szCs w:val="21"/>
              </w:rPr>
            </w:pPr>
            <w:r>
              <w:rPr>
                <w:bCs/>
                <w:szCs w:val="21"/>
              </w:rPr>
              <w:t>标的名称</w:t>
            </w:r>
          </w:p>
        </w:tc>
        <w:tc>
          <w:tcPr>
            <w:tcW w:w="759" w:type="pct"/>
            <w:shd w:val="clear" w:color="auto" w:fill="auto"/>
            <w:vAlign w:val="center"/>
          </w:tcPr>
          <w:p>
            <w:pPr>
              <w:jc w:val="center"/>
              <w:rPr>
                <w:bCs/>
                <w:szCs w:val="21"/>
              </w:rPr>
            </w:pPr>
            <w:r>
              <w:rPr>
                <w:bCs/>
                <w:szCs w:val="21"/>
              </w:rPr>
              <w:t>采购包预算金额</w:t>
            </w:r>
          </w:p>
          <w:p>
            <w:pPr>
              <w:jc w:val="center"/>
              <w:rPr>
                <w:bCs/>
                <w:szCs w:val="21"/>
              </w:rPr>
            </w:pPr>
            <w:r>
              <w:rPr>
                <w:bCs/>
                <w:szCs w:val="21"/>
              </w:rPr>
              <w:t>（万元）</w:t>
            </w:r>
          </w:p>
        </w:tc>
        <w:tc>
          <w:tcPr>
            <w:tcW w:w="711" w:type="pct"/>
            <w:shd w:val="clear" w:color="auto" w:fill="auto"/>
            <w:vAlign w:val="center"/>
          </w:tcPr>
          <w:p>
            <w:pPr>
              <w:jc w:val="center"/>
              <w:rPr>
                <w:bCs/>
                <w:szCs w:val="21"/>
              </w:rPr>
            </w:pPr>
            <w:r>
              <w:rPr>
                <w:rFonts w:hint="eastAsia"/>
                <w:bCs/>
                <w:szCs w:val="21"/>
              </w:rPr>
              <w:t>各包最高单价限价</w:t>
            </w:r>
          </w:p>
          <w:p>
            <w:pPr>
              <w:jc w:val="center"/>
              <w:rPr>
                <w:bCs/>
                <w:szCs w:val="21"/>
              </w:rPr>
            </w:pPr>
            <w:r>
              <w:rPr>
                <w:rFonts w:hint="eastAsia"/>
                <w:bCs/>
                <w:szCs w:val="21"/>
              </w:rPr>
              <w:t>(元/km²)</w:t>
            </w:r>
          </w:p>
        </w:tc>
        <w:tc>
          <w:tcPr>
            <w:tcW w:w="727" w:type="pct"/>
            <w:shd w:val="clear" w:color="auto" w:fill="auto"/>
            <w:vAlign w:val="center"/>
          </w:tcPr>
          <w:p>
            <w:pPr>
              <w:jc w:val="center"/>
              <w:rPr>
                <w:bCs/>
                <w:szCs w:val="21"/>
              </w:rPr>
            </w:pPr>
            <w:r>
              <w:rPr>
                <w:rFonts w:hint="eastAsia"/>
                <w:bCs/>
                <w:szCs w:val="21"/>
              </w:rPr>
              <w:t>拟采购数量（km²）</w:t>
            </w:r>
          </w:p>
        </w:tc>
        <w:tc>
          <w:tcPr>
            <w:tcW w:w="1733" w:type="pct"/>
            <w:shd w:val="clear" w:color="auto" w:fill="auto"/>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337" w:type="pct"/>
            <w:shd w:val="clear" w:color="auto" w:fill="auto"/>
            <w:vAlign w:val="center"/>
          </w:tcPr>
          <w:p>
            <w:pPr>
              <w:jc w:val="center"/>
              <w:rPr>
                <w:bCs/>
                <w:szCs w:val="21"/>
              </w:rPr>
            </w:pPr>
            <w:r>
              <w:rPr>
                <w:bCs/>
                <w:szCs w:val="21"/>
              </w:rPr>
              <w:t>01</w:t>
            </w:r>
          </w:p>
        </w:tc>
        <w:tc>
          <w:tcPr>
            <w:tcW w:w="731" w:type="pct"/>
            <w:shd w:val="clear" w:color="auto" w:fill="auto"/>
            <w:vAlign w:val="center"/>
          </w:tcPr>
          <w:p>
            <w:pPr>
              <w:jc w:val="center"/>
              <w:rPr>
                <w:bCs/>
                <w:szCs w:val="21"/>
              </w:rPr>
            </w:pPr>
            <w:r>
              <w:rPr>
                <w:rFonts w:hint="eastAsia"/>
                <w:bCs/>
                <w:szCs w:val="21"/>
              </w:rPr>
              <w:t>亚米商业卫星影像1</w:t>
            </w:r>
          </w:p>
        </w:tc>
        <w:tc>
          <w:tcPr>
            <w:tcW w:w="759" w:type="pct"/>
            <w:shd w:val="clear" w:color="auto" w:fill="auto"/>
            <w:vAlign w:val="center"/>
          </w:tcPr>
          <w:p>
            <w:pPr>
              <w:ind w:firstLine="210" w:firstLineChars="100"/>
              <w:jc w:val="center"/>
              <w:rPr>
                <w:bCs/>
                <w:szCs w:val="21"/>
              </w:rPr>
            </w:pPr>
            <w:r>
              <w:rPr>
                <w:rFonts w:hint="eastAsia" w:eastAsia="等线"/>
                <w:color w:val="000000"/>
              </w:rPr>
              <w:t>2016</w:t>
            </w:r>
          </w:p>
        </w:tc>
        <w:tc>
          <w:tcPr>
            <w:tcW w:w="711" w:type="pct"/>
            <w:shd w:val="clear" w:color="auto" w:fill="auto"/>
            <w:vAlign w:val="center"/>
          </w:tcPr>
          <w:p>
            <w:pPr>
              <w:widowControl/>
              <w:adjustRightInd w:val="0"/>
              <w:snapToGrid w:val="0"/>
              <w:jc w:val="center"/>
              <w:rPr>
                <w:bCs/>
                <w:szCs w:val="21"/>
              </w:rPr>
            </w:pPr>
            <w:r>
              <w:rPr>
                <w:rFonts w:hint="eastAsia" w:eastAsia="仿宋_GB2312"/>
                <w:kern w:val="0"/>
                <w:szCs w:val="21"/>
              </w:rPr>
              <w:t>12</w:t>
            </w:r>
            <w:r>
              <w:rPr>
                <w:rFonts w:eastAsia="仿宋_GB2312"/>
                <w:kern w:val="0"/>
                <w:szCs w:val="21"/>
              </w:rPr>
              <w:t xml:space="preserve"> </w:t>
            </w:r>
          </w:p>
        </w:tc>
        <w:tc>
          <w:tcPr>
            <w:tcW w:w="727" w:type="pct"/>
            <w:shd w:val="clear" w:color="auto" w:fill="auto"/>
            <w:vAlign w:val="center"/>
          </w:tcPr>
          <w:p>
            <w:pPr>
              <w:jc w:val="center"/>
              <w:rPr>
                <w:bCs/>
                <w:szCs w:val="21"/>
              </w:rPr>
            </w:pPr>
            <w:r>
              <w:rPr>
                <w:rFonts w:hint="eastAsia"/>
                <w:bCs/>
                <w:szCs w:val="21"/>
              </w:rPr>
              <w:t>1680000</w:t>
            </w:r>
          </w:p>
        </w:tc>
        <w:tc>
          <w:tcPr>
            <w:tcW w:w="1733" w:type="pct"/>
            <w:vMerge w:val="restart"/>
            <w:shd w:val="clear" w:color="auto" w:fill="auto"/>
            <w:vAlign w:val="center"/>
          </w:tcPr>
          <w:p>
            <w:pPr>
              <w:jc w:val="left"/>
              <w:rPr>
                <w:kern w:val="0"/>
                <w:szCs w:val="21"/>
              </w:rPr>
            </w:pPr>
            <w:r>
              <w:rPr>
                <w:rFonts w:hint="eastAsia"/>
                <w:kern w:val="0"/>
                <w:szCs w:val="21"/>
              </w:rPr>
              <w:t>1. 需提供满足正射纠正的卫星轨道参数或RPC参数等文件，数据格式为TIF等通用标准格式。</w:t>
            </w:r>
          </w:p>
          <w:p>
            <w:pPr>
              <w:jc w:val="left"/>
              <w:rPr>
                <w:kern w:val="0"/>
                <w:szCs w:val="21"/>
              </w:rPr>
            </w:pPr>
            <w:r>
              <w:rPr>
                <w:rFonts w:hint="eastAsia"/>
                <w:kern w:val="0"/>
                <w:szCs w:val="21"/>
              </w:rPr>
              <w:t>2. 侧视角规定：不大于20度。漏洞应急补充阶段，经招标方同意后，平原、丘陵地可放宽至25度，且当相邻条带侧视角过大影响测图精度时予以补摄。</w:t>
            </w:r>
          </w:p>
          <w:p>
            <w:pPr>
              <w:jc w:val="left"/>
              <w:rPr>
                <w:kern w:val="0"/>
                <w:szCs w:val="21"/>
              </w:rPr>
            </w:pPr>
            <w:r>
              <w:rPr>
                <w:rFonts w:hint="eastAsia"/>
                <w:kern w:val="0"/>
                <w:szCs w:val="21"/>
              </w:rPr>
              <w:t>3. 边界覆盖：影像范围保证覆盖摄区，相邻数据有不小于10％的重叠区，任务区边界数据须向外延伸不少于3千米。</w:t>
            </w:r>
          </w:p>
          <w:p>
            <w:pPr>
              <w:jc w:val="left"/>
              <w:rPr>
                <w:kern w:val="0"/>
                <w:szCs w:val="21"/>
              </w:rPr>
            </w:pPr>
            <w:r>
              <w:rPr>
                <w:rFonts w:hint="eastAsia"/>
                <w:kern w:val="0"/>
                <w:szCs w:val="21"/>
              </w:rPr>
              <w:t>4. 重采样规定：影像原始分辨率大于0.5米且小于1米的，提交成果时不允许重采样；影像原始分辨率小于或等于0.5米的，如需重采样，提交的成果最低分辨率要求不低于0.5米。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337" w:type="pct"/>
            <w:shd w:val="clear" w:color="auto" w:fill="auto"/>
            <w:vAlign w:val="center"/>
          </w:tcPr>
          <w:p>
            <w:pPr>
              <w:jc w:val="center"/>
              <w:rPr>
                <w:bCs/>
                <w:szCs w:val="21"/>
              </w:rPr>
            </w:pPr>
            <w:r>
              <w:rPr>
                <w:bCs/>
                <w:szCs w:val="21"/>
              </w:rPr>
              <w:t>02</w:t>
            </w:r>
          </w:p>
        </w:tc>
        <w:tc>
          <w:tcPr>
            <w:tcW w:w="731" w:type="pct"/>
            <w:shd w:val="clear" w:color="auto" w:fill="auto"/>
            <w:vAlign w:val="center"/>
          </w:tcPr>
          <w:p>
            <w:pPr>
              <w:jc w:val="center"/>
              <w:rPr>
                <w:bCs/>
                <w:szCs w:val="21"/>
              </w:rPr>
            </w:pPr>
            <w:r>
              <w:rPr>
                <w:rFonts w:hint="eastAsia"/>
                <w:bCs/>
                <w:szCs w:val="21"/>
              </w:rPr>
              <w:t>亚米商业卫星影像2</w:t>
            </w:r>
          </w:p>
        </w:tc>
        <w:tc>
          <w:tcPr>
            <w:tcW w:w="759" w:type="pct"/>
            <w:shd w:val="clear" w:color="auto" w:fill="auto"/>
            <w:vAlign w:val="center"/>
          </w:tcPr>
          <w:p>
            <w:pPr>
              <w:ind w:firstLine="210" w:firstLineChars="100"/>
              <w:jc w:val="center"/>
              <w:rPr>
                <w:bCs/>
                <w:szCs w:val="21"/>
              </w:rPr>
            </w:pPr>
            <w:r>
              <w:rPr>
                <w:rFonts w:hint="eastAsia" w:eastAsia="等线"/>
                <w:color w:val="000000"/>
              </w:rPr>
              <w:t>2030</w:t>
            </w:r>
          </w:p>
        </w:tc>
        <w:tc>
          <w:tcPr>
            <w:tcW w:w="711" w:type="pct"/>
            <w:shd w:val="clear" w:color="auto" w:fill="auto"/>
            <w:vAlign w:val="center"/>
          </w:tcPr>
          <w:p>
            <w:pPr>
              <w:widowControl/>
              <w:adjustRightInd w:val="0"/>
              <w:snapToGrid w:val="0"/>
              <w:jc w:val="center"/>
              <w:rPr>
                <w:bCs/>
                <w:szCs w:val="21"/>
              </w:rPr>
            </w:pPr>
            <w:r>
              <w:rPr>
                <w:rFonts w:hint="eastAsia" w:eastAsia="仿宋_GB2312"/>
                <w:kern w:val="0"/>
                <w:szCs w:val="21"/>
              </w:rPr>
              <w:t>12</w:t>
            </w:r>
          </w:p>
        </w:tc>
        <w:tc>
          <w:tcPr>
            <w:tcW w:w="727" w:type="pct"/>
            <w:shd w:val="clear" w:color="auto" w:fill="auto"/>
            <w:vAlign w:val="center"/>
          </w:tcPr>
          <w:p>
            <w:pPr>
              <w:jc w:val="center"/>
              <w:rPr>
                <w:bCs/>
                <w:szCs w:val="21"/>
              </w:rPr>
            </w:pPr>
            <w:r>
              <w:rPr>
                <w:rFonts w:hint="eastAsia"/>
                <w:bCs/>
                <w:szCs w:val="21"/>
              </w:rPr>
              <w:t>1691660</w:t>
            </w:r>
          </w:p>
        </w:tc>
        <w:tc>
          <w:tcPr>
            <w:tcW w:w="1733" w:type="pct"/>
            <w:vMerge w:val="continue"/>
            <w:shd w:val="clear" w:color="auto" w:fill="auto"/>
            <w:vAlign w:val="center"/>
          </w:tcPr>
          <w:p>
            <w:pPr>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37" w:type="pct"/>
            <w:shd w:val="clear" w:color="auto" w:fill="auto"/>
            <w:vAlign w:val="center"/>
          </w:tcPr>
          <w:p>
            <w:pPr>
              <w:jc w:val="center"/>
              <w:rPr>
                <w:bCs/>
                <w:szCs w:val="21"/>
              </w:rPr>
            </w:pPr>
            <w:r>
              <w:rPr>
                <w:rFonts w:hint="eastAsia"/>
                <w:bCs/>
                <w:szCs w:val="21"/>
              </w:rPr>
              <w:t>03</w:t>
            </w:r>
          </w:p>
        </w:tc>
        <w:tc>
          <w:tcPr>
            <w:tcW w:w="731" w:type="pct"/>
            <w:shd w:val="clear" w:color="auto" w:fill="auto"/>
            <w:vAlign w:val="center"/>
          </w:tcPr>
          <w:p>
            <w:pPr>
              <w:jc w:val="center"/>
              <w:rPr>
                <w:bCs/>
                <w:szCs w:val="21"/>
              </w:rPr>
            </w:pPr>
            <w:r>
              <w:rPr>
                <w:rFonts w:hint="eastAsia"/>
                <w:bCs/>
                <w:szCs w:val="21"/>
              </w:rPr>
              <w:t>亚米商业卫星影像3</w:t>
            </w:r>
          </w:p>
        </w:tc>
        <w:tc>
          <w:tcPr>
            <w:tcW w:w="759" w:type="pct"/>
            <w:shd w:val="clear" w:color="auto" w:fill="auto"/>
            <w:vAlign w:val="center"/>
          </w:tcPr>
          <w:p>
            <w:pPr>
              <w:ind w:right="-193" w:rightChars="-92"/>
              <w:jc w:val="center"/>
              <w:rPr>
                <w:bCs/>
                <w:szCs w:val="21"/>
              </w:rPr>
            </w:pPr>
            <w:r>
              <w:rPr>
                <w:rFonts w:hint="eastAsia"/>
                <w:bCs/>
                <w:szCs w:val="21"/>
              </w:rPr>
              <w:t>2040</w:t>
            </w:r>
          </w:p>
        </w:tc>
        <w:tc>
          <w:tcPr>
            <w:tcW w:w="711" w:type="pct"/>
            <w:shd w:val="clear" w:color="auto" w:fill="auto"/>
            <w:vAlign w:val="center"/>
          </w:tcPr>
          <w:p>
            <w:pPr>
              <w:widowControl/>
              <w:adjustRightInd w:val="0"/>
              <w:snapToGrid w:val="0"/>
              <w:jc w:val="center"/>
              <w:rPr>
                <w:bCs/>
                <w:szCs w:val="21"/>
              </w:rPr>
            </w:pPr>
            <w:r>
              <w:rPr>
                <w:rFonts w:hint="eastAsia" w:eastAsia="仿宋_GB2312"/>
                <w:kern w:val="0"/>
                <w:szCs w:val="21"/>
              </w:rPr>
              <w:t>12</w:t>
            </w:r>
            <w:r>
              <w:rPr>
                <w:rFonts w:eastAsia="仿宋_GB2312"/>
                <w:kern w:val="0"/>
                <w:szCs w:val="21"/>
              </w:rPr>
              <w:t xml:space="preserve">  </w:t>
            </w:r>
          </w:p>
        </w:tc>
        <w:tc>
          <w:tcPr>
            <w:tcW w:w="727" w:type="pct"/>
            <w:shd w:val="clear" w:color="auto" w:fill="auto"/>
            <w:vAlign w:val="center"/>
          </w:tcPr>
          <w:p>
            <w:pPr>
              <w:jc w:val="center"/>
              <w:rPr>
                <w:bCs/>
                <w:szCs w:val="21"/>
              </w:rPr>
            </w:pPr>
            <w:r>
              <w:rPr>
                <w:rFonts w:hint="eastAsia"/>
                <w:bCs/>
                <w:szCs w:val="21"/>
              </w:rPr>
              <w:t>1700000</w:t>
            </w:r>
          </w:p>
        </w:tc>
        <w:tc>
          <w:tcPr>
            <w:tcW w:w="1733" w:type="pct"/>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337" w:type="pct"/>
            <w:shd w:val="clear" w:color="auto" w:fill="auto"/>
            <w:vAlign w:val="center"/>
          </w:tcPr>
          <w:p>
            <w:pPr>
              <w:jc w:val="center"/>
              <w:rPr>
                <w:bCs/>
                <w:szCs w:val="21"/>
              </w:rPr>
            </w:pPr>
            <w:r>
              <w:rPr>
                <w:rFonts w:hint="eastAsia"/>
                <w:bCs/>
                <w:szCs w:val="21"/>
              </w:rPr>
              <w:t>04</w:t>
            </w:r>
          </w:p>
        </w:tc>
        <w:tc>
          <w:tcPr>
            <w:tcW w:w="731" w:type="pct"/>
            <w:shd w:val="clear" w:color="auto" w:fill="auto"/>
            <w:vAlign w:val="center"/>
          </w:tcPr>
          <w:p>
            <w:pPr>
              <w:jc w:val="center"/>
              <w:rPr>
                <w:bCs/>
                <w:szCs w:val="21"/>
              </w:rPr>
            </w:pPr>
            <w:r>
              <w:rPr>
                <w:rFonts w:hint="eastAsia"/>
                <w:bCs/>
                <w:szCs w:val="21"/>
              </w:rPr>
              <w:t>亚米商业卫星影像4</w:t>
            </w:r>
          </w:p>
        </w:tc>
        <w:tc>
          <w:tcPr>
            <w:tcW w:w="759" w:type="pct"/>
            <w:shd w:val="clear" w:color="auto" w:fill="auto"/>
            <w:vAlign w:val="center"/>
          </w:tcPr>
          <w:p>
            <w:pPr>
              <w:ind w:firstLine="210" w:firstLineChars="100"/>
              <w:jc w:val="center"/>
              <w:rPr>
                <w:bCs/>
                <w:szCs w:val="21"/>
              </w:rPr>
            </w:pPr>
            <w:r>
              <w:rPr>
                <w:rFonts w:hint="eastAsia" w:eastAsia="等线"/>
                <w:color w:val="000000"/>
              </w:rPr>
              <w:t>950</w:t>
            </w:r>
          </w:p>
        </w:tc>
        <w:tc>
          <w:tcPr>
            <w:tcW w:w="711" w:type="pct"/>
            <w:shd w:val="clear" w:color="auto" w:fill="auto"/>
            <w:vAlign w:val="center"/>
          </w:tcPr>
          <w:p>
            <w:pPr>
              <w:widowControl/>
              <w:adjustRightInd w:val="0"/>
              <w:snapToGrid w:val="0"/>
              <w:jc w:val="center"/>
              <w:rPr>
                <w:bCs/>
                <w:szCs w:val="21"/>
              </w:rPr>
            </w:pPr>
            <w:r>
              <w:rPr>
                <w:rFonts w:hint="eastAsia" w:eastAsia="仿宋_GB2312"/>
                <w:kern w:val="0"/>
                <w:szCs w:val="21"/>
              </w:rPr>
              <w:t>25</w:t>
            </w:r>
          </w:p>
        </w:tc>
        <w:tc>
          <w:tcPr>
            <w:tcW w:w="727" w:type="pct"/>
            <w:shd w:val="clear" w:color="auto" w:fill="auto"/>
            <w:vAlign w:val="center"/>
          </w:tcPr>
          <w:p>
            <w:pPr>
              <w:jc w:val="center"/>
              <w:rPr>
                <w:bCs/>
                <w:szCs w:val="21"/>
              </w:rPr>
            </w:pPr>
            <w:r>
              <w:rPr>
                <w:rFonts w:hint="eastAsia"/>
                <w:bCs/>
                <w:szCs w:val="21"/>
              </w:rPr>
              <w:t>380000</w:t>
            </w:r>
          </w:p>
        </w:tc>
        <w:tc>
          <w:tcPr>
            <w:tcW w:w="1733" w:type="pct"/>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shd w:val="clear" w:color="auto" w:fill="auto"/>
            <w:vAlign w:val="center"/>
          </w:tcPr>
          <w:p>
            <w:pPr>
              <w:jc w:val="center"/>
              <w:rPr>
                <w:bCs/>
                <w:szCs w:val="21"/>
              </w:rPr>
            </w:pPr>
            <w:r>
              <w:rPr>
                <w:rFonts w:hint="eastAsia"/>
                <w:bCs/>
                <w:szCs w:val="21"/>
              </w:rPr>
              <w:t>05</w:t>
            </w:r>
          </w:p>
        </w:tc>
        <w:tc>
          <w:tcPr>
            <w:tcW w:w="731" w:type="pct"/>
            <w:shd w:val="clear" w:color="auto" w:fill="auto"/>
            <w:vAlign w:val="center"/>
          </w:tcPr>
          <w:p>
            <w:pPr>
              <w:jc w:val="center"/>
              <w:rPr>
                <w:bCs/>
                <w:szCs w:val="21"/>
              </w:rPr>
            </w:pPr>
            <w:r>
              <w:rPr>
                <w:rFonts w:hint="eastAsia"/>
                <w:bCs/>
                <w:szCs w:val="21"/>
              </w:rPr>
              <w:t>3-5米商业卫星影像</w:t>
            </w:r>
          </w:p>
        </w:tc>
        <w:tc>
          <w:tcPr>
            <w:tcW w:w="759" w:type="pct"/>
            <w:shd w:val="clear" w:color="auto" w:fill="auto"/>
            <w:vAlign w:val="center"/>
          </w:tcPr>
          <w:p>
            <w:pPr>
              <w:ind w:firstLine="210" w:firstLineChars="100"/>
              <w:jc w:val="center"/>
              <w:rPr>
                <w:bCs/>
                <w:szCs w:val="21"/>
              </w:rPr>
            </w:pPr>
            <w:r>
              <w:rPr>
                <w:rFonts w:eastAsia="等线"/>
                <w:color w:val="000000"/>
              </w:rPr>
              <w:t>170.00</w:t>
            </w:r>
          </w:p>
        </w:tc>
        <w:tc>
          <w:tcPr>
            <w:tcW w:w="711" w:type="pct"/>
            <w:shd w:val="clear" w:color="auto" w:fill="auto"/>
            <w:vAlign w:val="center"/>
          </w:tcPr>
          <w:p>
            <w:pPr>
              <w:widowControl/>
              <w:adjustRightInd w:val="0"/>
              <w:snapToGrid w:val="0"/>
              <w:jc w:val="center"/>
              <w:rPr>
                <w:bCs/>
                <w:szCs w:val="21"/>
              </w:rPr>
            </w:pPr>
            <w:r>
              <w:rPr>
                <w:rFonts w:hint="eastAsia" w:eastAsia="仿宋_GB2312"/>
                <w:kern w:val="0"/>
                <w:szCs w:val="21"/>
              </w:rPr>
              <w:t>4.5</w:t>
            </w:r>
          </w:p>
        </w:tc>
        <w:tc>
          <w:tcPr>
            <w:tcW w:w="727" w:type="pct"/>
            <w:shd w:val="clear" w:color="auto" w:fill="auto"/>
            <w:vAlign w:val="center"/>
          </w:tcPr>
          <w:p>
            <w:pPr>
              <w:jc w:val="center"/>
              <w:rPr>
                <w:bCs/>
                <w:szCs w:val="21"/>
              </w:rPr>
            </w:pPr>
            <w:r>
              <w:rPr>
                <w:rFonts w:hint="eastAsia"/>
                <w:bCs/>
                <w:szCs w:val="21"/>
              </w:rPr>
              <w:t>377700</w:t>
            </w:r>
          </w:p>
        </w:tc>
        <w:tc>
          <w:tcPr>
            <w:tcW w:w="1733" w:type="pct"/>
            <w:vMerge w:val="continue"/>
            <w:shd w:val="clear" w:color="auto" w:fill="auto"/>
            <w:vAlign w:val="center"/>
          </w:tcPr>
          <w:p>
            <w:pPr>
              <w:jc w:val="center"/>
              <w:rPr>
                <w:szCs w:val="21"/>
              </w:rPr>
            </w:pPr>
          </w:p>
        </w:tc>
      </w:tr>
    </w:tbl>
    <w:p>
      <w:pPr>
        <w:spacing w:line="360" w:lineRule="auto"/>
        <w:ind w:firstLine="420" w:firstLineChars="200"/>
        <w:rPr>
          <w:iCs/>
          <w:szCs w:val="21"/>
        </w:rPr>
      </w:pPr>
      <w:r>
        <w:rPr>
          <w:iCs/>
          <w:szCs w:val="21"/>
        </w:rPr>
        <w:t>注：投标人可以对本项目中的一个采购包进行投标，也可同时对多个采购包进行投标，但必须针对每一采购包中的所有内容进行投标，不允许拆分投标。</w:t>
      </w:r>
    </w:p>
    <w:p>
      <w:pPr>
        <w:spacing w:line="360" w:lineRule="auto"/>
        <w:ind w:firstLine="480" w:firstLineChars="200"/>
        <w:rPr>
          <w:sz w:val="24"/>
          <w:u w:val="single"/>
        </w:rPr>
      </w:pPr>
      <w:r>
        <w:rPr>
          <w:sz w:val="24"/>
        </w:rPr>
        <w:t>5.合同履行期限：</w:t>
      </w:r>
      <w:r>
        <w:rPr>
          <w:rFonts w:hint="eastAsia"/>
          <w:iCs/>
          <w:sz w:val="24"/>
        </w:rPr>
        <w:t>自合同签订之日起至2025年3月。</w:t>
      </w:r>
    </w:p>
    <w:p>
      <w:pPr>
        <w:spacing w:line="360" w:lineRule="auto"/>
        <w:ind w:firstLine="480" w:firstLineChars="200"/>
        <w:rPr>
          <w:sz w:val="24"/>
        </w:rPr>
      </w:pPr>
      <w:r>
        <w:rPr>
          <w:sz w:val="24"/>
        </w:rPr>
        <w:t>6.本项目是否接受联合体投标：</w:t>
      </w:r>
      <w:r>
        <w:rPr>
          <w:rFonts w:hint="eastAsia" w:ascii="宋体" w:hAnsi="宋体" w:cs="宋体"/>
          <w:sz w:val="24"/>
          <w:u w:val="single"/>
        </w:rPr>
        <w:t>01、02、03</w:t>
      </w:r>
      <w:r>
        <w:rPr>
          <w:rFonts w:hint="eastAsia" w:ascii="宋体" w:hAnsi="宋体" w:cs="宋体"/>
          <w:sz w:val="24"/>
        </w:rPr>
        <w:t>包：是（联合体成员数量（含牵头人）不得超过2家）；</w:t>
      </w:r>
      <w:r>
        <w:rPr>
          <w:rFonts w:hint="eastAsia" w:ascii="宋体" w:hAnsi="宋体" w:cs="宋体"/>
          <w:sz w:val="24"/>
          <w:u w:val="single"/>
        </w:rPr>
        <w:t>04、05</w:t>
      </w:r>
      <w:r>
        <w:rPr>
          <w:rFonts w:hint="eastAsia" w:ascii="宋体" w:hAnsi="宋体" w:cs="宋体"/>
          <w:sz w:val="24"/>
        </w:rPr>
        <w:t>包：否</w:t>
      </w:r>
      <w:r>
        <w:rPr>
          <w:sz w:val="24"/>
        </w:rPr>
        <w:t>。</w:t>
      </w:r>
    </w:p>
    <w:p>
      <w:pPr>
        <w:spacing w:line="360" w:lineRule="auto"/>
        <w:ind w:firstLine="480" w:firstLineChars="200"/>
        <w:rPr>
          <w:sz w:val="24"/>
        </w:rPr>
      </w:pPr>
    </w:p>
    <w:p>
      <w:pPr>
        <w:pStyle w:val="3"/>
        <w:spacing w:before="0" w:line="360" w:lineRule="auto"/>
        <w:jc w:val="left"/>
        <w:rPr>
          <w:rFonts w:ascii="Times New Roman" w:hAnsi="Times New Roman" w:eastAsia="宋体"/>
          <w:sz w:val="24"/>
          <w:szCs w:val="24"/>
        </w:rPr>
      </w:pPr>
      <w:bookmarkStart w:id="5" w:name="_Toc35393791"/>
      <w:bookmarkStart w:id="6" w:name="_Toc35393622"/>
      <w:bookmarkStart w:id="7" w:name="_Toc28359003"/>
      <w:bookmarkStart w:id="8" w:name="_Toc28359080"/>
      <w:r>
        <w:rPr>
          <w:rFonts w:ascii="Times New Roman" w:hAnsi="Times New Roman" w:eastAsia="宋体"/>
          <w:sz w:val="24"/>
          <w:szCs w:val="24"/>
        </w:rPr>
        <w:t>二、申请人的资格要求（须同时满足）</w:t>
      </w:r>
      <w:bookmarkEnd w:id="5"/>
      <w:bookmarkEnd w:id="6"/>
      <w:bookmarkEnd w:id="7"/>
      <w:bookmarkEnd w:id="8"/>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9" w:name="_Toc28359081"/>
      <w:bookmarkStart w:id="10"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rFonts w:ascii="宋体" w:hAnsi="宋体" w:cs="宋体"/>
          <w:sz w:val="24"/>
        </w:rPr>
      </w:pPr>
      <w:r>
        <w:rPr>
          <w:rFonts w:hint="eastAsia" w:ascii="宋体" w:hAnsi="宋体" w:cs="宋体"/>
          <w:sz w:val="24"/>
        </w:rPr>
        <w:t>本项目</w:t>
      </w:r>
      <w:r>
        <w:rPr>
          <w:rFonts w:hint="eastAsia" w:ascii="宋体" w:hAnsi="宋体" w:cs="宋体"/>
          <w:sz w:val="24"/>
          <w:u w:val="single"/>
        </w:rPr>
        <w:t>04、05包</w:t>
      </w:r>
      <w:r>
        <w:rPr>
          <w:rFonts w:hint="eastAsia" w:ascii="宋体" w:hAnsi="宋体" w:cs="宋体"/>
          <w:sz w:val="24"/>
        </w:rPr>
        <w:t>专门面向中小企业采购。即：提供的服务全部由符合政策要求的中小企业承接。</w:t>
      </w:r>
    </w:p>
    <w:p>
      <w:pPr>
        <w:spacing w:line="360" w:lineRule="auto"/>
        <w:ind w:firstLine="480" w:firstLineChars="200"/>
        <w:rPr>
          <w:rFonts w:ascii="宋体" w:hAnsi="宋体" w:cs="宋体"/>
          <w:sz w:val="24"/>
        </w:rPr>
      </w:pPr>
      <w:r>
        <w:rPr>
          <w:rFonts w:hint="eastAsia" w:ascii="宋体" w:hAnsi="宋体" w:cs="宋体"/>
          <w:sz w:val="24"/>
        </w:rPr>
        <w:t>本项目</w:t>
      </w:r>
      <w:r>
        <w:rPr>
          <w:rFonts w:hint="eastAsia" w:ascii="宋体" w:hAnsi="宋体" w:cs="宋体"/>
          <w:sz w:val="24"/>
          <w:u w:val="single"/>
        </w:rPr>
        <w:t>01、02、03包</w:t>
      </w:r>
      <w:r>
        <w:rPr>
          <w:rFonts w:hint="eastAsia" w:ascii="宋体" w:hAnsi="宋体" w:cs="宋体"/>
          <w:sz w:val="24"/>
        </w:rPr>
        <w:t>预留部分采购项目预算专门面向中小企业采购，预留采购项目预算总额的</w:t>
      </w:r>
      <w:r>
        <w:rPr>
          <w:rFonts w:hint="eastAsia" w:ascii="宋体" w:hAnsi="宋体" w:cs="宋体"/>
          <w:sz w:val="24"/>
          <w:u w:val="single"/>
        </w:rPr>
        <w:t xml:space="preserve"> 18% </w:t>
      </w:r>
      <w:r>
        <w:rPr>
          <w:rFonts w:hint="eastAsia" w:ascii="宋体" w:hAnsi="宋体" w:cs="宋体"/>
          <w:sz w:val="24"/>
        </w:rPr>
        <w:t xml:space="preserve">专门面向中小企业采购。对于预留份额，提供的货物由符合政策要求的中小企业制造、服务由符合政策要求的中小企业承接。预留份额通过以下措施进行： </w:t>
      </w:r>
    </w:p>
    <w:p>
      <w:pPr>
        <w:spacing w:line="360" w:lineRule="auto"/>
        <w:ind w:left="420" w:leftChars="200"/>
        <w:rPr>
          <w:rFonts w:ascii="宋体" w:hAnsi="宋体" w:cs="宋体"/>
          <w:sz w:val="24"/>
        </w:rPr>
      </w:pPr>
      <w:r>
        <w:rPr>
          <w:rFonts w:hint="eastAsia" w:ascii="宋体" w:hAnsi="宋体" w:cs="宋体"/>
          <w:sz w:val="24"/>
        </w:rPr>
        <w:t>要求供应商以联合体形式参加采购活动，且联合体中中小企业（与大企业的负责人为同一人，或者与大企业存在直接控股、管理关系的除外）承担的部分应达到上述比例。仅当单个供应商可以满足上述预留份额要求时，允许独立进行投标，否则</w:t>
      </w:r>
      <w:r>
        <w:rPr>
          <w:rFonts w:hint="eastAsia" w:ascii="宋体" w:hAnsi="宋体" w:cs="宋体"/>
          <w:b/>
          <w:sz w:val="24"/>
        </w:rPr>
        <w:t>投标无效</w:t>
      </w:r>
      <w:r>
        <w:rPr>
          <w:rFonts w:hint="eastAsia" w:ascii="宋体" w:hAnsi="宋体" w:cs="宋体"/>
          <w:sz w:val="24"/>
        </w:rPr>
        <w:t>。</w:t>
      </w:r>
    </w:p>
    <w:p>
      <w:pPr>
        <w:spacing w:line="360" w:lineRule="auto"/>
        <w:ind w:firstLine="480" w:firstLineChars="200"/>
        <w:rPr>
          <w:sz w:val="24"/>
        </w:rPr>
      </w:pPr>
      <w:r>
        <w:rPr>
          <w:sz w:val="24"/>
        </w:rPr>
        <w:t>2.2 其它落实政府采购政策的资格要求（如有）：</w:t>
      </w:r>
      <w:r>
        <w:rPr>
          <w:rFonts w:hint="eastAsia"/>
          <w:sz w:val="24"/>
        </w:rPr>
        <w:t>无</w:t>
      </w:r>
      <w:r>
        <w:rPr>
          <w:sz w:val="24"/>
        </w:rPr>
        <w:t>。</w:t>
      </w:r>
    </w:p>
    <w:p>
      <w:pPr>
        <w:spacing w:line="360" w:lineRule="auto"/>
        <w:ind w:firstLine="480" w:firstLineChars="200"/>
        <w:rPr>
          <w:i/>
          <w:iCs/>
          <w:sz w:val="24"/>
          <w:u w:val="single"/>
        </w:rPr>
      </w:pPr>
      <w:r>
        <w:rPr>
          <w:sz w:val="24"/>
        </w:rPr>
        <w:t>3.本项目的特定资格要求：</w:t>
      </w:r>
    </w:p>
    <w:p>
      <w:pPr>
        <w:spacing w:line="360" w:lineRule="auto"/>
        <w:ind w:firstLine="480" w:firstLineChars="200"/>
        <w:rPr>
          <w:sz w:val="24"/>
        </w:rPr>
      </w:pPr>
      <w:r>
        <w:rPr>
          <w:sz w:val="24"/>
        </w:rPr>
        <w:t>3.1本项目是否属于政府购买服务</w:t>
      </w:r>
      <w:r>
        <w:rPr>
          <w:rFonts w:hint="eastAsia"/>
          <w:sz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eastAsiaTheme="minorEastAsia"/>
          <w:sz w:val="24"/>
        </w:rPr>
      </w:pPr>
      <w:r>
        <w:rPr>
          <w:sz w:val="24"/>
        </w:rPr>
        <w:t>3.2其他特定资格要求</w:t>
      </w:r>
      <w:r>
        <w:rPr>
          <w:rFonts w:eastAsiaTheme="minorEastAsia"/>
          <w:sz w:val="24"/>
        </w:rPr>
        <w:t>：</w:t>
      </w:r>
      <w:r>
        <w:rPr>
          <w:rFonts w:hint="eastAsia" w:eastAsiaTheme="minorEastAsia"/>
          <w:sz w:val="24"/>
        </w:rPr>
        <w:t>无。</w:t>
      </w:r>
    </w:p>
    <w:bookmarkEnd w:id="9"/>
    <w:bookmarkEnd w:id="10"/>
    <w:p>
      <w:pPr>
        <w:pStyle w:val="3"/>
        <w:widowControl/>
        <w:spacing w:before="0" w:line="360" w:lineRule="auto"/>
        <w:jc w:val="left"/>
        <w:rPr>
          <w:rFonts w:ascii="Times New Roman" w:hAnsi="Times New Roman" w:eastAsia="宋体"/>
          <w:sz w:val="24"/>
          <w:szCs w:val="24"/>
        </w:rPr>
      </w:pPr>
      <w:bookmarkStart w:id="11" w:name="_Toc35393792"/>
      <w:bookmarkStart w:id="12" w:name="_Toc35393623"/>
      <w:r>
        <w:rPr>
          <w:rFonts w:ascii="Times New Roman" w:hAnsi="Times New Roman" w:eastAsia="宋体"/>
          <w:sz w:val="24"/>
          <w:szCs w:val="24"/>
        </w:rPr>
        <w:t>三、获取招标文件</w:t>
      </w:r>
      <w:bookmarkEnd w:id="11"/>
      <w:bookmarkEnd w:id="12"/>
    </w:p>
    <w:p>
      <w:pPr>
        <w:adjustRightInd w:val="0"/>
        <w:snapToGrid w:val="0"/>
        <w:spacing w:line="360" w:lineRule="auto"/>
        <w:ind w:firstLine="480" w:firstLineChars="200"/>
        <w:rPr>
          <w:sz w:val="24"/>
          <w:lang w:bidi="ar"/>
        </w:rPr>
      </w:pPr>
      <w:r>
        <w:rPr>
          <w:sz w:val="24"/>
          <w:lang w:bidi="ar"/>
        </w:rPr>
        <w:t>1.时间：</w:t>
      </w:r>
      <w:r>
        <w:rPr>
          <w:rFonts w:hint="eastAsia"/>
          <w:color w:val="FF0000"/>
          <w:sz w:val="24"/>
          <w:u w:val="single"/>
          <w:lang w:bidi="ar"/>
        </w:rPr>
        <w:t>2024</w:t>
      </w:r>
      <w:r>
        <w:rPr>
          <w:color w:val="FF0000"/>
          <w:sz w:val="24"/>
          <w:lang w:bidi="ar"/>
        </w:rPr>
        <w:t>年</w:t>
      </w:r>
      <w:r>
        <w:rPr>
          <w:rFonts w:hint="eastAsia"/>
          <w:color w:val="FF0000"/>
          <w:sz w:val="24"/>
          <w:u w:val="single"/>
          <w:lang w:val="en-US" w:eastAsia="zh-CN" w:bidi="ar"/>
        </w:rPr>
        <w:t>4</w:t>
      </w:r>
      <w:r>
        <w:rPr>
          <w:color w:val="FF0000"/>
          <w:sz w:val="24"/>
          <w:lang w:bidi="ar"/>
        </w:rPr>
        <w:t>月</w:t>
      </w:r>
      <w:r>
        <w:rPr>
          <w:rFonts w:hint="eastAsia"/>
          <w:color w:val="FF0000"/>
          <w:sz w:val="24"/>
          <w:u w:val="single"/>
          <w:lang w:val="en-US" w:eastAsia="zh-CN" w:bidi="ar"/>
        </w:rPr>
        <w:t>28</w:t>
      </w:r>
      <w:r>
        <w:rPr>
          <w:color w:val="FF0000"/>
          <w:sz w:val="24"/>
          <w:lang w:bidi="ar"/>
        </w:rPr>
        <w:t>日至</w:t>
      </w:r>
      <w:r>
        <w:rPr>
          <w:rFonts w:hint="eastAsia"/>
          <w:color w:val="FF0000"/>
          <w:sz w:val="24"/>
          <w:u w:val="single"/>
          <w:lang w:bidi="ar"/>
        </w:rPr>
        <w:t>2024</w:t>
      </w:r>
      <w:r>
        <w:rPr>
          <w:color w:val="FF0000"/>
          <w:sz w:val="24"/>
          <w:lang w:bidi="ar"/>
        </w:rPr>
        <w:t>年</w:t>
      </w:r>
      <w:r>
        <w:rPr>
          <w:rFonts w:hint="eastAsia"/>
          <w:color w:val="FF0000"/>
          <w:sz w:val="24"/>
          <w:u w:val="single"/>
          <w:lang w:val="en-US" w:eastAsia="zh-CN" w:bidi="ar"/>
        </w:rPr>
        <w:t>5</w:t>
      </w:r>
      <w:r>
        <w:rPr>
          <w:color w:val="FF0000"/>
          <w:sz w:val="24"/>
          <w:lang w:bidi="ar"/>
        </w:rPr>
        <w:t>月</w:t>
      </w:r>
      <w:r>
        <w:rPr>
          <w:rFonts w:hint="eastAsia"/>
          <w:color w:val="FF0000"/>
          <w:sz w:val="24"/>
          <w:u w:val="single"/>
          <w:lang w:val="en-US" w:eastAsia="zh-CN" w:bidi="ar"/>
        </w:rPr>
        <w:t>8</w:t>
      </w:r>
      <w:r>
        <w:rPr>
          <w:color w:val="FF0000"/>
          <w:sz w:val="24"/>
          <w:lang w:bidi="ar"/>
        </w:rPr>
        <w:t>日</w:t>
      </w:r>
      <w:r>
        <w:rPr>
          <w:sz w:val="24"/>
          <w:lang w:bidi="ar"/>
        </w:rPr>
        <w:t>，</w:t>
      </w:r>
      <w:r>
        <w:rPr>
          <w:sz w:val="24"/>
        </w:rPr>
        <w:t>每天上午</w:t>
      </w:r>
      <w:r>
        <w:rPr>
          <w:sz w:val="24"/>
          <w:lang w:val="zh-TW"/>
        </w:rPr>
        <w:t>9:00</w:t>
      </w:r>
      <w:r>
        <w:rPr>
          <w:sz w:val="24"/>
        </w:rPr>
        <w:t>至</w:t>
      </w:r>
      <w:r>
        <w:rPr>
          <w:sz w:val="24"/>
          <w:lang w:val="zh-TW"/>
        </w:rPr>
        <w:t>12:00</w:t>
      </w:r>
      <w:r>
        <w:rPr>
          <w:sz w:val="24"/>
        </w:rPr>
        <w:t>，下午</w:t>
      </w:r>
      <w:r>
        <w:rPr>
          <w:sz w:val="24"/>
          <w:lang w:val="zh-TW"/>
        </w:rPr>
        <w:t>1</w:t>
      </w:r>
      <w:r>
        <w:rPr>
          <w:rFonts w:eastAsia="PMingLiU"/>
          <w:sz w:val="24"/>
          <w:lang w:val="zh-TW" w:eastAsia="zh-TW"/>
        </w:rPr>
        <w:t>2</w:t>
      </w:r>
      <w:r>
        <w:rPr>
          <w:sz w:val="24"/>
          <w:lang w:val="zh-TW"/>
        </w:rPr>
        <w:t>:00</w:t>
      </w:r>
      <w:r>
        <w:rPr>
          <w:sz w:val="24"/>
        </w:rPr>
        <w:t>至</w:t>
      </w:r>
      <w:r>
        <w:rPr>
          <w:sz w:val="24"/>
          <w:lang w:val="zh-TW"/>
        </w:rPr>
        <w:t>17:00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w:t>
      </w:r>
      <w:r>
        <w:rPr>
          <w:kern w:val="0"/>
          <w:sz w:val="24"/>
        </w:rPr>
        <w:t>中钢招标有限责任公司官网（http://tendering.sinosteel.com）。</w:t>
      </w:r>
    </w:p>
    <w:p>
      <w:pPr>
        <w:widowControl/>
        <w:adjustRightInd w:val="0"/>
        <w:snapToGrid w:val="0"/>
        <w:spacing w:line="360" w:lineRule="auto"/>
        <w:ind w:firstLine="480" w:firstLineChars="200"/>
        <w:jc w:val="left"/>
        <w:rPr>
          <w:sz w:val="24"/>
          <w:lang w:bidi="ar"/>
        </w:rPr>
      </w:pPr>
      <w:r>
        <w:rPr>
          <w:sz w:val="24"/>
          <w:lang w:bidi="ar"/>
        </w:rPr>
        <w:t xml:space="preserve">3.方式： </w:t>
      </w:r>
    </w:p>
    <w:p>
      <w:pPr>
        <w:widowControl/>
        <w:adjustRightInd w:val="0"/>
        <w:snapToGrid w:val="0"/>
        <w:spacing w:line="360" w:lineRule="auto"/>
        <w:ind w:firstLine="480" w:firstLineChars="200"/>
        <w:jc w:val="left"/>
        <w:rPr>
          <w:sz w:val="24"/>
        </w:rPr>
      </w:pPr>
      <w:r>
        <w:rPr>
          <w:kern w:val="0"/>
          <w:sz w:val="24"/>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w:t>
      </w:r>
      <w:r>
        <w:rPr>
          <w:rFonts w:hint="eastAsia"/>
          <w:kern w:val="0"/>
          <w:sz w:val="24"/>
        </w:rPr>
        <w:t>（</w:t>
      </w:r>
      <w:r>
        <w:rPr>
          <w:rFonts w:hint="eastAsia"/>
          <w:sz w:val="24"/>
          <w:lang w:bidi="ar"/>
        </w:rPr>
        <w:t>供应商如计划参与多个采购包，应按采购包分别获取并下载电子文件</w:t>
      </w:r>
      <w:r>
        <w:rPr>
          <w:rFonts w:hint="eastAsia"/>
          <w:kern w:val="0"/>
          <w:sz w:val="24"/>
        </w:rPr>
        <w:t>）</w:t>
      </w:r>
      <w:r>
        <w:rPr>
          <w:kern w:val="0"/>
          <w:sz w:val="24"/>
        </w:rPr>
        <w:t>。投标人应充分考虑平台注册、资料上传、平台复核、网上支付等流程所需的时间，务必在获取文件截止时间前完成所有手续，否则将无法保证获取招标文件。（3）纸质文件可与本项目联系人确定领取方式。（4）</w:t>
      </w:r>
      <w:r>
        <w:rPr>
          <w:sz w:val="24"/>
        </w:rPr>
        <w:t>投标人注册、文件获取等系统操作问题可咨询010-86397110。</w:t>
      </w:r>
    </w:p>
    <w:p>
      <w:pPr>
        <w:widowControl/>
        <w:adjustRightInd w:val="0"/>
        <w:snapToGrid w:val="0"/>
        <w:spacing w:line="360" w:lineRule="auto"/>
        <w:ind w:firstLine="480" w:firstLineChars="200"/>
        <w:jc w:val="left"/>
        <w:rPr>
          <w:sz w:val="24"/>
        </w:rPr>
      </w:pPr>
      <w:r>
        <w:rPr>
          <w:sz w:val="24"/>
          <w:lang w:bidi="ar"/>
        </w:rPr>
        <w:t>4.售价：</w:t>
      </w:r>
      <w:r>
        <w:rPr>
          <w:rFonts w:hint="eastAsia"/>
          <w:sz w:val="24"/>
        </w:rPr>
        <w:t>500</w:t>
      </w:r>
      <w:r>
        <w:rPr>
          <w:sz w:val="24"/>
          <w:lang w:bidi="ar"/>
        </w:rPr>
        <w:t>元</w:t>
      </w:r>
      <w:r>
        <w:rPr>
          <w:rFonts w:hint="eastAsia"/>
          <w:sz w:val="24"/>
          <w:lang w:val="en-US" w:eastAsia="zh-CN" w:bidi="ar"/>
        </w:rPr>
        <w:t>/包</w:t>
      </w:r>
      <w:r>
        <w:rPr>
          <w:sz w:val="24"/>
          <w:lang w:bidi="ar"/>
        </w:rPr>
        <w:t>。</w:t>
      </w:r>
    </w:p>
    <w:p>
      <w:pPr>
        <w:tabs>
          <w:tab w:val="left" w:pos="900"/>
          <w:tab w:val="left" w:pos="1980"/>
        </w:tabs>
        <w:snapToGrid w:val="0"/>
        <w:spacing w:line="360" w:lineRule="auto"/>
        <w:ind w:left="840"/>
        <w:rPr>
          <w:sz w:val="24"/>
        </w:rPr>
      </w:pPr>
    </w:p>
    <w:p>
      <w:pPr>
        <w:pStyle w:val="3"/>
        <w:widowControl/>
        <w:spacing w:before="0" w:line="360" w:lineRule="auto"/>
        <w:jc w:val="left"/>
        <w:rPr>
          <w:rFonts w:ascii="Times New Roman" w:hAnsi="Times New Roman" w:eastAsia="宋体"/>
          <w:sz w:val="24"/>
          <w:szCs w:val="24"/>
        </w:rPr>
      </w:pPr>
      <w:bookmarkStart w:id="13" w:name="_Toc28359005"/>
      <w:bookmarkStart w:id="14" w:name="_Toc28359082"/>
      <w:bookmarkStart w:id="15" w:name="_Toc35393793"/>
      <w:bookmarkStart w:id="16" w:name="_Toc35393624"/>
      <w:r>
        <w:rPr>
          <w:rFonts w:ascii="Times New Roman" w:hAnsi="Times New Roman" w:eastAsia="宋体"/>
          <w:sz w:val="24"/>
          <w:szCs w:val="24"/>
        </w:rPr>
        <w:t>四、提交投标文件</w:t>
      </w:r>
      <w:bookmarkEnd w:id="13"/>
      <w:bookmarkEnd w:id="14"/>
      <w:r>
        <w:rPr>
          <w:rFonts w:ascii="Times New Roman" w:hAnsi="Times New Roman" w:eastAsia="宋体"/>
          <w:sz w:val="24"/>
          <w:szCs w:val="24"/>
        </w:rPr>
        <w:t>截止时间、开标时间和地点</w:t>
      </w:r>
      <w:bookmarkEnd w:id="15"/>
      <w:bookmarkEnd w:id="16"/>
    </w:p>
    <w:p>
      <w:pPr>
        <w:spacing w:line="360" w:lineRule="auto"/>
        <w:ind w:firstLine="480" w:firstLineChars="200"/>
        <w:rPr>
          <w:bCs/>
          <w:sz w:val="24"/>
          <w:u w:val="single"/>
        </w:rPr>
      </w:pPr>
      <w:r>
        <w:rPr>
          <w:sz w:val="24"/>
          <w:lang w:bidi="ar"/>
        </w:rPr>
        <w:t>投标截止时间、开标时间：</w:t>
      </w:r>
      <w:r>
        <w:rPr>
          <w:rFonts w:hint="eastAsia"/>
          <w:color w:val="FF0000"/>
          <w:sz w:val="24"/>
          <w:u w:val="single"/>
          <w:lang w:bidi="ar"/>
        </w:rPr>
        <w:t>2024</w:t>
      </w:r>
      <w:r>
        <w:rPr>
          <w:color w:val="FF0000"/>
          <w:sz w:val="24"/>
          <w:lang w:bidi="ar"/>
        </w:rPr>
        <w:t>年</w:t>
      </w:r>
      <w:r>
        <w:rPr>
          <w:rFonts w:hint="eastAsia"/>
          <w:color w:val="FF0000"/>
          <w:sz w:val="24"/>
          <w:u w:val="single"/>
          <w:lang w:val="en-US" w:eastAsia="zh-CN" w:bidi="ar"/>
        </w:rPr>
        <w:t>5</w:t>
      </w:r>
      <w:r>
        <w:rPr>
          <w:color w:val="FF0000"/>
          <w:sz w:val="24"/>
          <w:lang w:bidi="ar"/>
        </w:rPr>
        <w:t>月</w:t>
      </w:r>
      <w:r>
        <w:rPr>
          <w:rFonts w:hint="eastAsia"/>
          <w:color w:val="FF0000"/>
          <w:sz w:val="24"/>
          <w:u w:val="single"/>
          <w:lang w:val="en-US" w:eastAsia="zh-CN" w:bidi="ar"/>
        </w:rPr>
        <w:t>21</w:t>
      </w:r>
      <w:r>
        <w:rPr>
          <w:color w:val="FF0000"/>
          <w:sz w:val="24"/>
          <w:lang w:bidi="ar"/>
        </w:rPr>
        <w:t>日</w:t>
      </w:r>
      <w:r>
        <w:rPr>
          <w:rFonts w:hint="eastAsia"/>
          <w:color w:val="FF0000"/>
          <w:sz w:val="24"/>
          <w:u w:val="single"/>
          <w:lang w:val="en-US" w:eastAsia="zh-CN" w:bidi="ar"/>
        </w:rPr>
        <w:t>09</w:t>
      </w:r>
      <w:r>
        <w:rPr>
          <w:color w:val="FF0000"/>
          <w:sz w:val="24"/>
          <w:lang w:bidi="ar"/>
        </w:rPr>
        <w:t>点</w:t>
      </w:r>
      <w:r>
        <w:rPr>
          <w:rFonts w:hint="eastAsia"/>
          <w:color w:val="FF0000"/>
          <w:sz w:val="24"/>
          <w:u w:val="single"/>
          <w:lang w:val="en-US" w:eastAsia="zh-CN" w:bidi="ar"/>
        </w:rPr>
        <w:t>30</w:t>
      </w:r>
      <w:r>
        <w:rPr>
          <w:color w:val="FF0000"/>
          <w:sz w:val="24"/>
          <w:lang w:bidi="ar"/>
        </w:rPr>
        <w:t>分</w:t>
      </w:r>
      <w:r>
        <w:rPr>
          <w:bCs/>
          <w:color w:val="FF0000"/>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color w:val="FF0000"/>
          <w:sz w:val="24"/>
          <w:lang w:val="zh-TW"/>
        </w:rPr>
        <w:t>北京市海淀大街8号中钢国际广场</w:t>
      </w:r>
      <w:r>
        <w:rPr>
          <w:rFonts w:hint="eastAsia"/>
          <w:color w:val="FF0000"/>
          <w:sz w:val="24"/>
          <w:lang w:val="en-US" w:eastAsia="zh-CN"/>
        </w:rPr>
        <w:t>21</w:t>
      </w:r>
      <w:r>
        <w:rPr>
          <w:color w:val="FF0000"/>
          <w:sz w:val="24"/>
          <w:lang w:val="zh-TW"/>
        </w:rPr>
        <w:t>层会议室</w:t>
      </w:r>
      <w:r>
        <w:rPr>
          <w:sz w:val="24"/>
          <w:lang w:val="zh-TW" w:bidi="ar"/>
        </w:rPr>
        <w:t>。</w:t>
      </w:r>
    </w:p>
    <w:p>
      <w:pPr>
        <w:spacing w:line="360" w:lineRule="auto"/>
        <w:ind w:firstLine="480" w:firstLineChars="200"/>
        <w:rPr>
          <w:bCs/>
          <w:sz w:val="24"/>
          <w:u w:val="single"/>
        </w:rPr>
      </w:pPr>
    </w:p>
    <w:p>
      <w:pPr>
        <w:pStyle w:val="3"/>
        <w:spacing w:before="0" w:line="360" w:lineRule="auto"/>
        <w:jc w:val="left"/>
        <w:rPr>
          <w:rFonts w:ascii="Times New Roman" w:hAnsi="Times New Roman" w:eastAsia="宋体"/>
          <w:sz w:val="24"/>
          <w:szCs w:val="24"/>
        </w:rPr>
      </w:pPr>
      <w:bookmarkStart w:id="17" w:name="_Toc35393794"/>
      <w:bookmarkStart w:id="18" w:name="_Toc28359007"/>
      <w:bookmarkStart w:id="19" w:name="_Toc28359084"/>
      <w:bookmarkStart w:id="20" w:name="_Toc35393625"/>
      <w:r>
        <w:rPr>
          <w:rFonts w:ascii="Times New Roman" w:hAnsi="Times New Roman" w:eastAsia="宋体"/>
          <w:sz w:val="24"/>
          <w:szCs w:val="24"/>
        </w:rPr>
        <w:t>五、公告期限</w:t>
      </w:r>
      <w:bookmarkEnd w:id="17"/>
      <w:bookmarkEnd w:id="18"/>
      <w:bookmarkEnd w:id="19"/>
      <w:bookmarkEnd w:id="20"/>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3"/>
        <w:spacing w:before="0" w:line="360" w:lineRule="auto"/>
        <w:jc w:val="left"/>
        <w:rPr>
          <w:rFonts w:ascii="Times New Roman" w:hAnsi="Times New Roman" w:eastAsia="宋体"/>
          <w:sz w:val="24"/>
          <w:szCs w:val="24"/>
        </w:rPr>
      </w:pPr>
      <w:bookmarkStart w:id="21" w:name="_Toc35393795"/>
      <w:bookmarkStart w:id="22" w:name="_Toc35393626"/>
      <w:r>
        <w:rPr>
          <w:rFonts w:ascii="Times New Roman" w:hAnsi="Times New Roman" w:eastAsia="宋体"/>
          <w:sz w:val="24"/>
          <w:szCs w:val="24"/>
        </w:rPr>
        <w:t>六、其他补充事宜</w:t>
      </w:r>
      <w:bookmarkEnd w:id="21"/>
      <w:bookmarkEnd w:id="22"/>
    </w:p>
    <w:p>
      <w:pPr>
        <w:spacing w:line="360" w:lineRule="auto"/>
        <w:ind w:firstLine="480" w:firstLineChars="200"/>
        <w:rPr>
          <w:sz w:val="24"/>
        </w:rPr>
      </w:pPr>
      <w:r>
        <w:rPr>
          <w:sz w:val="24"/>
        </w:rPr>
        <w:t>1.本项目需要落实的政府采购政策：节约能源、保护环境、促进中小企业及监狱企业发展、促进残疾人就业、</w:t>
      </w:r>
      <w:r>
        <w:rPr>
          <w:bCs/>
          <w:sz w:val="24"/>
        </w:rPr>
        <w:t>支持乡村产业振兴</w:t>
      </w:r>
      <w:r>
        <w:rPr>
          <w:sz w:val="24"/>
        </w:rPr>
        <w:t xml:space="preserve">，政府采购政策具体落实情况详见招标文件。 </w:t>
      </w:r>
    </w:p>
    <w:p>
      <w:pPr>
        <w:pStyle w:val="3"/>
        <w:spacing w:before="0" w:line="360" w:lineRule="auto"/>
        <w:jc w:val="left"/>
        <w:rPr>
          <w:rFonts w:ascii="Times New Roman" w:hAnsi="Times New Roman" w:eastAsia="宋体"/>
          <w:sz w:val="24"/>
          <w:szCs w:val="24"/>
        </w:rPr>
      </w:pPr>
      <w:bookmarkStart w:id="23" w:name="_Toc35393796"/>
      <w:bookmarkStart w:id="24" w:name="_Toc28359008"/>
      <w:bookmarkStart w:id="25" w:name="_Toc28359085"/>
      <w:bookmarkStart w:id="26" w:name="_Toc35393627"/>
      <w:r>
        <w:rPr>
          <w:rFonts w:ascii="Times New Roman" w:hAnsi="Times New Roman" w:eastAsia="宋体"/>
          <w:sz w:val="24"/>
          <w:szCs w:val="24"/>
        </w:rPr>
        <w:t>七、对本次招标提出询问，请按以下方式联系。</w:t>
      </w:r>
      <w:bookmarkEnd w:id="23"/>
      <w:bookmarkEnd w:id="24"/>
      <w:bookmarkEnd w:id="25"/>
      <w:bookmarkEnd w:id="26"/>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27" w:name="_Toc28359009"/>
      <w:bookmarkStart w:id="28" w:name="_Toc28359086"/>
      <w:r>
        <w:rPr>
          <w:sz w:val="24"/>
        </w:rPr>
        <w:t>名    称：</w:t>
      </w:r>
      <w:r>
        <w:rPr>
          <w:rFonts w:hint="eastAsia"/>
          <w:sz w:val="24"/>
        </w:rPr>
        <w:t>自然资源部国土卫星遥感应用中心</w:t>
      </w:r>
    </w:p>
    <w:p>
      <w:pPr>
        <w:spacing w:line="360" w:lineRule="auto"/>
        <w:ind w:left="1079" w:leftChars="371" w:hanging="300" w:hangingChars="125"/>
        <w:jc w:val="left"/>
        <w:rPr>
          <w:sz w:val="24"/>
        </w:rPr>
      </w:pPr>
      <w:r>
        <w:rPr>
          <w:sz w:val="24"/>
        </w:rPr>
        <w:t>地    址：</w:t>
      </w:r>
      <w:r>
        <w:rPr>
          <w:rFonts w:hint="eastAsia"/>
          <w:sz w:val="24"/>
        </w:rPr>
        <w:t>北京市海淀区紫竹院百胜村1号</w:t>
      </w:r>
    </w:p>
    <w:p>
      <w:pPr>
        <w:spacing w:line="360" w:lineRule="auto"/>
        <w:ind w:left="1079" w:leftChars="371" w:hanging="300" w:hangingChars="125"/>
        <w:jc w:val="left"/>
        <w:rPr>
          <w:sz w:val="24"/>
          <w:u w:val="single"/>
        </w:rPr>
      </w:pPr>
      <w:r>
        <w:rPr>
          <w:sz w:val="24"/>
        </w:rPr>
        <w:t>联系方式：</w:t>
      </w:r>
      <w:r>
        <w:rPr>
          <w:rFonts w:hint="eastAsia"/>
          <w:sz w:val="24"/>
        </w:rPr>
        <w:t>010-68412123</w:t>
      </w:r>
    </w:p>
    <w:p>
      <w:pPr>
        <w:spacing w:line="360" w:lineRule="auto"/>
        <w:ind w:firstLine="723" w:firstLineChars="300"/>
        <w:rPr>
          <w:b/>
          <w:sz w:val="24"/>
        </w:rPr>
      </w:pPr>
      <w:r>
        <w:rPr>
          <w:b/>
          <w:sz w:val="24"/>
        </w:rPr>
        <w:t>2.采购代理机构信息</w:t>
      </w:r>
    </w:p>
    <w:p>
      <w:pPr>
        <w:spacing w:line="360" w:lineRule="auto"/>
        <w:ind w:firstLine="720" w:firstLineChars="300"/>
        <w:rPr>
          <w:sz w:val="24"/>
        </w:rPr>
      </w:pPr>
      <w:r>
        <w:rPr>
          <w:sz w:val="24"/>
        </w:rPr>
        <w:t>名 称：中钢招标有限责任公司</w:t>
      </w:r>
    </w:p>
    <w:p>
      <w:pPr>
        <w:spacing w:line="360" w:lineRule="auto"/>
        <w:ind w:firstLine="720" w:firstLineChars="300"/>
        <w:rPr>
          <w:sz w:val="24"/>
        </w:rPr>
      </w:pPr>
      <w:r>
        <w:rPr>
          <w:sz w:val="24"/>
        </w:rPr>
        <w:t>地 址：北京市海淀区海淀大街8号中钢国际广场16层</w:t>
      </w:r>
    </w:p>
    <w:p>
      <w:pPr>
        <w:spacing w:line="360" w:lineRule="auto"/>
        <w:ind w:firstLine="720" w:firstLineChars="300"/>
        <w:rPr>
          <w:sz w:val="24"/>
        </w:rPr>
      </w:pPr>
      <w:r>
        <w:rPr>
          <w:sz w:val="24"/>
        </w:rPr>
        <w:t>联系方式：010-62688251</w:t>
      </w:r>
    </w:p>
    <w:p>
      <w:pPr>
        <w:spacing w:line="360" w:lineRule="auto"/>
        <w:ind w:firstLine="723" w:firstLineChars="300"/>
        <w:rPr>
          <w:b/>
          <w:sz w:val="24"/>
          <w:u w:val="single"/>
        </w:rPr>
      </w:pPr>
      <w:r>
        <w:rPr>
          <w:b/>
          <w:sz w:val="24"/>
        </w:rPr>
        <w:t>3.项目联系方式</w:t>
      </w:r>
    </w:p>
    <w:p>
      <w:pPr>
        <w:pStyle w:val="9"/>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szCs w:val="24"/>
        </w:rPr>
        <w:t>马娟娟、</w:t>
      </w:r>
      <w:r>
        <w:rPr>
          <w:rFonts w:hint="default" w:ascii="Times New Roman" w:hAnsi="Times New Roman"/>
          <w:sz w:val="24"/>
          <w:szCs w:val="24"/>
        </w:rPr>
        <w:t>刘健、聂娅琼、陈俊</w:t>
      </w:r>
    </w:p>
    <w:p>
      <w:pPr>
        <w:spacing w:line="360" w:lineRule="auto"/>
        <w:ind w:left="706" w:leftChars="336"/>
        <w:jc w:val="left"/>
        <w:rPr>
          <w:sz w:val="24"/>
        </w:rPr>
      </w:pPr>
      <w:r>
        <w:rPr>
          <w:sz w:val="24"/>
        </w:rPr>
        <w:t>电 话：</w:t>
      </w:r>
      <w:r>
        <w:rPr>
          <w:rFonts w:hint="eastAsia"/>
          <w:sz w:val="24"/>
        </w:rPr>
        <w:t>010-62688223（获取文件、发票咨询）、010-62686386（项目问询）、liujian5@sstc20.com（项目问询）</w:t>
      </w:r>
    </w:p>
    <w:bookmarkEnd w:id="27"/>
    <w:bookmarkEnd w:id="28"/>
    <w:p>
      <w:pPr>
        <w:pStyle w:val="9"/>
        <w:spacing w:line="360" w:lineRule="auto"/>
        <w:rPr>
          <w:rFonts w:hint="default" w:ascii="Times New Roman" w:hAnsi="Times New Roman"/>
          <w:sz w:val="24"/>
          <w:szCs w:val="24"/>
        </w:rPr>
      </w:pPr>
    </w:p>
    <w:p>
      <w:pPr>
        <w:pStyle w:val="9"/>
        <w:spacing w:line="360" w:lineRule="auto"/>
        <w:jc w:val="right"/>
        <w:rPr>
          <w:rFonts w:hint="default" w:ascii="Times New Roman" w:hAnsi="Times New Roman"/>
          <w:sz w:val="24"/>
          <w:szCs w:val="24"/>
        </w:rPr>
      </w:pPr>
      <w:r>
        <w:rPr>
          <w:rFonts w:hint="default" w:ascii="Times New Roman" w:hAnsi="Times New Roman"/>
          <w:sz w:val="24"/>
          <w:szCs w:val="24"/>
        </w:rPr>
        <w:t>中钢招标有限责任公司</w:t>
      </w:r>
    </w:p>
    <w:p>
      <w:pPr>
        <w:pStyle w:val="9"/>
        <w:spacing w:line="360" w:lineRule="auto"/>
        <w:jc w:val="right"/>
        <w:rPr>
          <w:rFonts w:hint="default" w:ascii="Times New Roman" w:hAnsi="Times New Roman"/>
          <w:sz w:val="24"/>
          <w:szCs w:val="24"/>
        </w:rPr>
      </w:pPr>
      <w:r>
        <w:rPr>
          <w:rFonts w:hint="default" w:ascii="Times New Roman" w:hAnsi="Times New Roman"/>
          <w:color w:val="FF0000"/>
          <w:sz w:val="24"/>
          <w:szCs w:val="24"/>
        </w:rPr>
        <w:t>202</w:t>
      </w:r>
      <w:r>
        <w:rPr>
          <w:rFonts w:ascii="Times New Roman" w:hAnsi="Times New Roman"/>
          <w:color w:val="FF0000"/>
          <w:sz w:val="24"/>
          <w:szCs w:val="24"/>
        </w:rPr>
        <w:t>4</w:t>
      </w:r>
      <w:r>
        <w:rPr>
          <w:rFonts w:hint="default" w:ascii="Times New Roman" w:hAnsi="Times New Roman"/>
          <w:color w:val="FF0000"/>
          <w:sz w:val="24"/>
          <w:szCs w:val="24"/>
        </w:rPr>
        <w:t>年</w:t>
      </w:r>
      <w:r>
        <w:rPr>
          <w:rFonts w:hint="eastAsia" w:ascii="Times New Roman" w:hAnsi="Times New Roman"/>
          <w:color w:val="FF0000"/>
          <w:sz w:val="24"/>
          <w:szCs w:val="24"/>
          <w:lang w:val="en-US" w:eastAsia="zh-CN"/>
        </w:rPr>
        <w:t>4</w:t>
      </w:r>
      <w:r>
        <w:rPr>
          <w:rFonts w:hint="default" w:ascii="Times New Roman" w:hAnsi="Times New Roman"/>
          <w:color w:val="FF0000"/>
          <w:sz w:val="24"/>
          <w:szCs w:val="24"/>
        </w:rPr>
        <w:t>月</w:t>
      </w:r>
      <w:r>
        <w:rPr>
          <w:rFonts w:hint="eastAsia" w:ascii="Times New Roman" w:hAnsi="Times New Roman"/>
          <w:color w:val="FF0000"/>
          <w:sz w:val="24"/>
          <w:szCs w:val="24"/>
          <w:lang w:val="en-US" w:eastAsia="zh-CN"/>
        </w:rPr>
        <w:t>28</w:t>
      </w:r>
      <w:r>
        <w:rPr>
          <w:rFonts w:hint="default" w:ascii="Times New Roman" w:hAnsi="Times New Roman"/>
          <w:color w:val="FF0000"/>
          <w:sz w:val="24"/>
          <w:szCs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E7B163"/>
    <w:multiLevelType w:val="multilevel"/>
    <w:tmpl w:val="E0E7B163"/>
    <w:lvl w:ilvl="0" w:tentative="0">
      <w:start w:val="1"/>
      <w:numFmt w:val="decimal"/>
      <w:pStyle w:val="7"/>
      <w:lvlText w:val="1.%1"/>
      <w:lvlJc w:val="left"/>
      <w:pPr>
        <w:ind w:left="425" w:hanging="425"/>
      </w:pPr>
      <w:rPr>
        <w:rFonts w:hint="default" w:ascii="Calibri" w:hAnsi="Calibri" w:cs="Calibri"/>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1235D436"/>
    <w:multiLevelType w:val="singleLevel"/>
    <w:tmpl w:val="1235D436"/>
    <w:lvl w:ilvl="0" w:tentative="0">
      <w:start w:val="1"/>
      <w:numFmt w:val="chineseCounting"/>
      <w:pStyle w:val="3"/>
      <w:suff w:val="nothing"/>
      <w:lvlText w:val="（%1）"/>
      <w:lvlJc w:val="left"/>
      <w:pPr>
        <w:ind w:left="0" w:firstLine="420"/>
      </w:pPr>
      <w:rPr>
        <w:rFonts w:hint="eastAsia"/>
      </w:rPr>
    </w:lvl>
  </w:abstractNum>
  <w:abstractNum w:abstractNumId="2">
    <w:nsid w:val="1DCB27CB"/>
    <w:multiLevelType w:val="singleLevel"/>
    <w:tmpl w:val="1DCB27CB"/>
    <w:lvl w:ilvl="0" w:tentative="0">
      <w:start w:val="1"/>
      <w:numFmt w:val="decimal"/>
      <w:pStyle w:val="6"/>
      <w:suff w:val="space"/>
      <w:lvlText w:val="(%1)"/>
      <w:lvlJc w:val="left"/>
      <w:pPr>
        <w:ind w:left="425" w:hanging="425"/>
      </w:pPr>
      <w:rPr>
        <w:rFonts w:hint="default" w:ascii="宋体" w:hAnsi="宋体" w:eastAsia="宋体" w:cs="宋体"/>
      </w:rPr>
    </w:lvl>
  </w:abstractNum>
  <w:abstractNum w:abstractNumId="3">
    <w:nsid w:val="2DC39134"/>
    <w:multiLevelType w:val="singleLevel"/>
    <w:tmpl w:val="2DC39134"/>
    <w:lvl w:ilvl="0" w:tentative="0">
      <w:start w:val="1"/>
      <w:numFmt w:val="chineseCounting"/>
      <w:pStyle w:val="2"/>
      <w:suff w:val="nothing"/>
      <w:lvlText w:val="%1、"/>
      <w:lvlJc w:val="left"/>
      <w:pPr>
        <w:ind w:left="0" w:firstLine="420"/>
      </w:pPr>
      <w:rPr>
        <w:rFonts w:hint="eastAsia"/>
      </w:rPr>
    </w:lvl>
  </w:abstractNum>
  <w:abstractNum w:abstractNumId="4">
    <w:nsid w:val="5CB3C158"/>
    <w:multiLevelType w:val="singleLevel"/>
    <w:tmpl w:val="5CB3C158"/>
    <w:lvl w:ilvl="0" w:tentative="0">
      <w:start w:val="1"/>
      <w:numFmt w:val="decimal"/>
      <w:pStyle w:val="5"/>
      <w:lvlText w:val="%1."/>
      <w:lvlJc w:val="left"/>
      <w:pPr>
        <w:ind w:left="425" w:hanging="425"/>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2Y2NjMTA2OGY2YzgxNDNlNTNhZjEzMjRhOTZiNTEifQ=="/>
  </w:docVars>
  <w:rsids>
    <w:rsidRoot w:val="2B6E28EC"/>
    <w:rsid w:val="00AB17A5"/>
    <w:rsid w:val="09FD75AE"/>
    <w:rsid w:val="0C6A7E0A"/>
    <w:rsid w:val="0E581497"/>
    <w:rsid w:val="0EF26546"/>
    <w:rsid w:val="108E4939"/>
    <w:rsid w:val="16911378"/>
    <w:rsid w:val="16D17208"/>
    <w:rsid w:val="21B34857"/>
    <w:rsid w:val="23A61A52"/>
    <w:rsid w:val="28B87571"/>
    <w:rsid w:val="290872A8"/>
    <w:rsid w:val="2ACC06D1"/>
    <w:rsid w:val="2B6E28EC"/>
    <w:rsid w:val="2D4F0ECE"/>
    <w:rsid w:val="2E871D01"/>
    <w:rsid w:val="2F0F76ED"/>
    <w:rsid w:val="2F47535F"/>
    <w:rsid w:val="302C2998"/>
    <w:rsid w:val="32547815"/>
    <w:rsid w:val="33737E02"/>
    <w:rsid w:val="35394A23"/>
    <w:rsid w:val="39111020"/>
    <w:rsid w:val="3AA0503A"/>
    <w:rsid w:val="42E73C50"/>
    <w:rsid w:val="44511A62"/>
    <w:rsid w:val="46DA56D2"/>
    <w:rsid w:val="48740D80"/>
    <w:rsid w:val="51F74E5C"/>
    <w:rsid w:val="52D93B7C"/>
    <w:rsid w:val="557B2E4B"/>
    <w:rsid w:val="58D2068E"/>
    <w:rsid w:val="5A6C6E22"/>
    <w:rsid w:val="5DA6294C"/>
    <w:rsid w:val="5DBD7190"/>
    <w:rsid w:val="5ED2769F"/>
    <w:rsid w:val="5FB67912"/>
    <w:rsid w:val="624C05D4"/>
    <w:rsid w:val="65D951D4"/>
    <w:rsid w:val="65DA349F"/>
    <w:rsid w:val="6E193E12"/>
    <w:rsid w:val="6EC304C5"/>
    <w:rsid w:val="7607073E"/>
    <w:rsid w:val="78D11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numPr>
        <w:ilvl w:val="0"/>
        <w:numId w:val="1"/>
      </w:numPr>
      <w:spacing w:before="50" w:beforeLines="50" w:beforeAutospacing="0" w:after="50" w:afterLines="50" w:afterAutospacing="0" w:line="360" w:lineRule="auto"/>
      <w:ind w:firstLine="0" w:firstLineChars="0"/>
      <w:jc w:val="left"/>
      <w:outlineLvl w:val="0"/>
    </w:pPr>
    <w:rPr>
      <w:rFonts w:eastAsia="黑体" w:asciiTheme="minorAscii" w:hAnsiTheme="minorAscii"/>
      <w:b/>
      <w:kern w:val="44"/>
      <w:sz w:val="36"/>
    </w:rPr>
  </w:style>
  <w:style w:type="paragraph" w:styleId="3">
    <w:name w:val="heading 2"/>
    <w:basedOn w:val="1"/>
    <w:next w:val="4"/>
    <w:autoRedefine/>
    <w:semiHidden/>
    <w:unhideWhenUsed/>
    <w:qFormat/>
    <w:uiPriority w:val="0"/>
    <w:pPr>
      <w:keepNext/>
      <w:keepLines/>
      <w:numPr>
        <w:ilvl w:val="0"/>
        <w:numId w:val="2"/>
      </w:numPr>
      <w:spacing w:before="50" w:beforeLines="50" w:beforeAutospacing="0" w:after="50" w:afterLines="50" w:afterAutospacing="0" w:line="360" w:lineRule="auto"/>
      <w:ind w:firstLine="0" w:firstLineChars="0"/>
      <w:jc w:val="left"/>
      <w:outlineLvl w:val="1"/>
    </w:pPr>
    <w:rPr>
      <w:b/>
      <w:sz w:val="28"/>
    </w:rPr>
  </w:style>
  <w:style w:type="paragraph" w:styleId="5">
    <w:name w:val="heading 3"/>
    <w:basedOn w:val="1"/>
    <w:next w:val="1"/>
    <w:autoRedefine/>
    <w:semiHidden/>
    <w:unhideWhenUsed/>
    <w:qFormat/>
    <w:uiPriority w:val="0"/>
    <w:pPr>
      <w:keepNext/>
      <w:keepLines/>
      <w:numPr>
        <w:ilvl w:val="0"/>
        <w:numId w:val="3"/>
      </w:numPr>
      <w:spacing w:beforeLines="0" w:beforeAutospacing="0" w:afterLines="0" w:afterAutospacing="0" w:line="360" w:lineRule="auto"/>
      <w:ind w:left="0" w:firstLine="0" w:firstLineChars="0"/>
      <w:jc w:val="left"/>
      <w:outlineLvl w:val="2"/>
    </w:pPr>
    <w:rPr>
      <w:rFonts w:ascii="Times New Roman" w:hAnsi="Times New Roman" w:eastAsia="宋体"/>
      <w:b/>
      <w:sz w:val="28"/>
      <w:szCs w:val="28"/>
    </w:rPr>
  </w:style>
  <w:style w:type="paragraph" w:styleId="6">
    <w:name w:val="heading 4"/>
    <w:basedOn w:val="1"/>
    <w:next w:val="1"/>
    <w:autoRedefine/>
    <w:semiHidden/>
    <w:unhideWhenUsed/>
    <w:qFormat/>
    <w:uiPriority w:val="0"/>
    <w:pPr>
      <w:keepNext/>
      <w:keepLines/>
      <w:numPr>
        <w:ilvl w:val="0"/>
        <w:numId w:val="4"/>
      </w:numPr>
      <w:spacing w:beforeAutospacing="0" w:afterAutospacing="0" w:line="360" w:lineRule="auto"/>
      <w:ind w:left="0" w:firstLine="984" w:firstLineChars="200"/>
      <w:jc w:val="left"/>
      <w:outlineLvl w:val="3"/>
    </w:pPr>
    <w:rPr>
      <w:rFonts w:ascii="Times New Roman" w:hAnsi="Times New Roman"/>
      <w:b/>
    </w:rPr>
  </w:style>
  <w:style w:type="paragraph" w:styleId="7">
    <w:name w:val="heading 6"/>
    <w:basedOn w:val="1"/>
    <w:next w:val="1"/>
    <w:autoRedefine/>
    <w:semiHidden/>
    <w:unhideWhenUsed/>
    <w:qFormat/>
    <w:uiPriority w:val="0"/>
    <w:pPr>
      <w:keepNext/>
      <w:keepLines/>
      <w:numPr>
        <w:ilvl w:val="0"/>
        <w:numId w:val="5"/>
      </w:numPr>
      <w:spacing w:beforeLines="0" w:beforeAutospacing="0" w:afterLines="0" w:afterAutospacing="0" w:line="360" w:lineRule="auto"/>
      <w:ind w:left="0" w:firstLine="0"/>
      <w:jc w:val="left"/>
      <w:outlineLvl w:val="5"/>
    </w:pPr>
    <w:rPr>
      <w:rFonts w:ascii="Arial" w:hAnsi="Arial"/>
      <w:sz w:val="28"/>
    </w:rPr>
  </w:style>
  <w:style w:type="paragraph" w:styleId="8">
    <w:name w:val="heading 7"/>
    <w:basedOn w:val="1"/>
    <w:next w:val="1"/>
    <w:autoRedefine/>
    <w:semiHidden/>
    <w:unhideWhenUsed/>
    <w:qFormat/>
    <w:uiPriority w:val="0"/>
    <w:pPr>
      <w:keepNext/>
      <w:keepLines/>
      <w:spacing w:beforeLines="0" w:beforeAutospacing="0" w:afterLines="0" w:afterAutospacing="0" w:line="360" w:lineRule="auto"/>
      <w:outlineLvl w:val="6"/>
    </w:pPr>
    <w:rPr>
      <w:b/>
      <w:sz w:val="28"/>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9">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2024-04-28T09:21:00Z</dcterms:created>
  <dc:creator>Ben</dc:creator>
  <cp:lastModifiedBy>Ben</cp:lastModifiedBy>
  <dcterms:modified xsi:type="dcterms:W3CDTF">2024-04-28T09:21:46Z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56040F4A9BC044049017946A0EF70050_11</vt:lpwstr>
  </property>
</Properties>
</file>