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005F6F">
      <w:pPr>
        <w:pStyle w:val="4"/>
        <w:jc w:val="center"/>
        <w:outlineLvl w:val="1"/>
        <w:rPr>
          <w:rFonts w:hint="eastAsia" w:ascii="宋体" w:hAnsi="宋体" w:eastAsia="宋体" w:cs="宋体"/>
          <w:color w:val="0000FF"/>
          <w:highlight w:val="none"/>
        </w:rPr>
      </w:pPr>
      <w:r>
        <w:rPr>
          <w:rFonts w:hint="eastAsia" w:ascii="宋体" w:hAnsi="宋体" w:eastAsia="宋体" w:cs="宋体"/>
          <w:b/>
          <w:color w:val="0000FF"/>
          <w:sz w:val="36"/>
          <w:highlight w:val="none"/>
        </w:rPr>
        <w:t>采购内容及要求</w:t>
      </w:r>
    </w:p>
    <w:p w14:paraId="4DB3D04A">
      <w:pPr>
        <w:pStyle w:val="4"/>
        <w:jc w:val="both"/>
        <w:outlineLvl w:val="2"/>
        <w:rPr>
          <w:rFonts w:hint="eastAsia" w:ascii="宋体" w:hAnsi="宋体" w:eastAsia="宋体" w:cs="宋体"/>
          <w:highlight w:val="none"/>
        </w:rPr>
      </w:pPr>
      <w:r>
        <w:rPr>
          <w:rFonts w:hint="eastAsia" w:ascii="宋体" w:hAnsi="宋体" w:eastAsia="宋体" w:cs="宋体"/>
          <w:b/>
          <w:sz w:val="28"/>
          <w:highlight w:val="none"/>
        </w:rPr>
        <w:t>一、（根据本项目实际情况，填写“采购标的”或“项目概况”）</w:t>
      </w:r>
    </w:p>
    <w:p w14:paraId="05842E2A">
      <w:pPr>
        <w:pStyle w:val="4"/>
        <w:jc w:val="left"/>
        <w:rPr>
          <w:rFonts w:hint="eastAsia" w:ascii="宋体" w:hAnsi="宋体" w:eastAsia="宋体" w:cs="宋体"/>
          <w:sz w:val="22"/>
          <w:szCs w:val="22"/>
          <w:highlight w:val="none"/>
          <w:lang w:eastAsia="zh-CN"/>
        </w:rPr>
      </w:pPr>
      <w:r>
        <w:rPr>
          <w:rFonts w:hint="eastAsia" w:ascii="宋体" w:hAnsi="宋体" w:eastAsia="宋体" w:cs="宋体"/>
          <w:sz w:val="22"/>
          <w:szCs w:val="22"/>
          <w:highlight w:val="none"/>
          <w:lang w:val="en-US" w:eastAsia="zh-CN"/>
        </w:rPr>
        <w:t>1、</w:t>
      </w:r>
      <w:r>
        <w:rPr>
          <w:rFonts w:hint="eastAsia" w:ascii="宋体" w:hAnsi="宋体" w:eastAsia="宋体" w:cs="宋体"/>
          <w:sz w:val="22"/>
          <w:szCs w:val="22"/>
          <w:highlight w:val="none"/>
        </w:rPr>
        <w:t xml:space="preserve">项目名称： </w:t>
      </w:r>
      <w:r>
        <w:rPr>
          <w:rFonts w:hint="eastAsia" w:ascii="宋体" w:hAnsi="宋体" w:eastAsia="宋体" w:cs="宋体"/>
          <w:sz w:val="22"/>
          <w:szCs w:val="22"/>
          <w:highlight w:val="none"/>
          <w:lang w:eastAsia="zh-CN"/>
        </w:rPr>
        <w:t>九龙江南溪流域下游河道综合整治（一期）工程符合生态保护红线内允许有限人为活动论证报告编制服务</w:t>
      </w:r>
    </w:p>
    <w:p w14:paraId="712CAA2C">
      <w:pPr>
        <w:pStyle w:val="4"/>
        <w:jc w:val="left"/>
        <w:rPr>
          <w:rFonts w:hint="default"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2、</w:t>
      </w:r>
      <w:r>
        <w:rPr>
          <w:rFonts w:hint="eastAsia" w:ascii="宋体" w:hAnsi="宋体" w:eastAsia="宋体" w:cs="宋体"/>
          <w:sz w:val="22"/>
          <w:szCs w:val="22"/>
          <w:highlight w:val="none"/>
          <w:lang w:eastAsia="zh-CN"/>
        </w:rPr>
        <w:t>项目概况：南溪位于福建省南部，为九龙江一级支流。工程主要对南溪下游河道进行清淤疏浚，其中河道清淤起点为漳武高速大桥桥址，终点为南溪入河口，全长6.70km，桩号K0+000~K6+700。工程任务为进一步改善南溪下游河道水动力条件,提高河道行洪能力，开展以南溪下游河道清淤疏浚为主要建设内容的河道综合整治，保障当地社会经济健康稳步发展，促进乡村振兴建设。</w:t>
      </w:r>
    </w:p>
    <w:p w14:paraId="7D11131B">
      <w:pPr>
        <w:pStyle w:val="4"/>
        <w:jc w:val="both"/>
        <w:outlineLvl w:val="2"/>
        <w:rPr>
          <w:rFonts w:hint="eastAsia" w:ascii="宋体" w:hAnsi="宋体" w:eastAsia="宋体" w:cs="宋体"/>
          <w:highlight w:val="none"/>
        </w:rPr>
      </w:pPr>
      <w:r>
        <w:rPr>
          <w:rFonts w:hint="eastAsia" w:ascii="宋体" w:hAnsi="宋体" w:eastAsia="宋体" w:cs="宋体"/>
          <w:b/>
          <w:sz w:val="28"/>
          <w:highlight w:val="none"/>
        </w:rPr>
        <w:t>二、技术和服务要求</w:t>
      </w:r>
    </w:p>
    <w:p w14:paraId="6C7A5123">
      <w:pPr>
        <w:pStyle w:val="4"/>
        <w:keepNext w:val="0"/>
        <w:keepLines w:val="0"/>
        <w:pageBreakBefore w:val="0"/>
        <w:widowControl/>
        <w:kinsoku/>
        <w:wordWrap/>
        <w:overflowPunct/>
        <w:topLinePunct w:val="0"/>
        <w:autoSpaceDE/>
        <w:autoSpaceDN/>
        <w:bidi w:val="0"/>
        <w:adjustRightInd/>
        <w:snapToGrid/>
        <w:ind w:firstLine="440" w:firstLineChars="200"/>
        <w:jc w:val="left"/>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1、服务要求：根据《福建省自然资源厅 福建省生态环境厅 福建省林业局关于进一步加强生态保护红线监管的通知（试行）》（闽自然资发〔2023〕56号）等政策要求编制九龙江南溪流域下游河道综合整治（一期）工程符合生态保护红线内允许有限人为活动论证报告并取得政策相关规定的文件。</w:t>
      </w:r>
    </w:p>
    <w:p w14:paraId="567911D1">
      <w:pPr>
        <w:pStyle w:val="4"/>
        <w:keepNext w:val="0"/>
        <w:keepLines w:val="0"/>
        <w:pageBreakBefore w:val="0"/>
        <w:widowControl/>
        <w:kinsoku/>
        <w:wordWrap/>
        <w:overflowPunct/>
        <w:topLinePunct w:val="0"/>
        <w:autoSpaceDE/>
        <w:autoSpaceDN/>
        <w:bidi w:val="0"/>
        <w:adjustRightInd/>
        <w:snapToGrid/>
        <w:ind w:firstLine="440" w:firstLineChars="200"/>
        <w:jc w:val="left"/>
        <w:textAlignment w:val="auto"/>
        <w:rPr>
          <w:rFonts w:hint="default"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2、服务范围：本工程永久用地涉及生态保护红线论证工作。</w:t>
      </w:r>
    </w:p>
    <w:p w14:paraId="16167E49">
      <w:pPr>
        <w:pStyle w:val="4"/>
        <w:keepNext w:val="0"/>
        <w:keepLines w:val="0"/>
        <w:pageBreakBefore w:val="0"/>
        <w:widowControl/>
        <w:kinsoku/>
        <w:wordWrap/>
        <w:overflowPunct/>
        <w:topLinePunct w:val="0"/>
        <w:autoSpaceDE/>
        <w:autoSpaceDN/>
        <w:bidi w:val="0"/>
        <w:adjustRightInd/>
        <w:snapToGrid/>
        <w:ind w:firstLine="440" w:firstLineChars="200"/>
        <w:jc w:val="left"/>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3、服务期：暂定30天，自签订合同之日起至取得政策相关规定的文件止。</w:t>
      </w:r>
    </w:p>
    <w:p w14:paraId="7EC7F02F">
      <w:pPr>
        <w:pStyle w:val="4"/>
        <w:keepNext w:val="0"/>
        <w:keepLines w:val="0"/>
        <w:pageBreakBefore w:val="0"/>
        <w:widowControl/>
        <w:kinsoku/>
        <w:wordWrap/>
        <w:overflowPunct/>
        <w:topLinePunct w:val="0"/>
        <w:autoSpaceDE/>
        <w:autoSpaceDN/>
        <w:bidi w:val="0"/>
        <w:adjustRightInd/>
        <w:snapToGrid/>
        <w:ind w:firstLine="440" w:firstLineChars="200"/>
        <w:jc w:val="both"/>
        <w:textAlignment w:val="auto"/>
        <w:outlineLvl w:val="2"/>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4、项目负责人：1名，具备有效的国家城乡（或城市）规划师注册证书或高级工程师（城乡规划专业或城市规划专业或国土空间规划专业）及以上或注册咨询工程师资格证书，且为供应商正式职工，以注册证书上的聘用单位为准（提供职称证书的以行政主管部门颁发的有效执业注册证书或社保管理部门出具的投标截止时间前近半年任一个月社保缴费证明所署单位为准）。</w:t>
      </w:r>
    </w:p>
    <w:p w14:paraId="61AD234B">
      <w:pPr>
        <w:pStyle w:val="4"/>
        <w:keepNext w:val="0"/>
        <w:keepLines w:val="0"/>
        <w:pageBreakBefore w:val="0"/>
        <w:widowControl/>
        <w:kinsoku/>
        <w:wordWrap/>
        <w:overflowPunct/>
        <w:topLinePunct w:val="0"/>
        <w:autoSpaceDE/>
        <w:autoSpaceDN/>
        <w:bidi w:val="0"/>
        <w:adjustRightInd/>
        <w:snapToGrid/>
        <w:ind w:firstLine="440" w:firstLineChars="200"/>
        <w:jc w:val="both"/>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5、</w:t>
      </w:r>
      <w:r>
        <w:rPr>
          <w:rFonts w:hint="eastAsia" w:ascii="宋体" w:hAnsi="宋体" w:eastAsia="宋体" w:cs="宋体"/>
          <w:sz w:val="22"/>
          <w:szCs w:val="22"/>
          <w:highlight w:val="none"/>
        </w:rPr>
        <w:t>违约责任</w:t>
      </w:r>
    </w:p>
    <w:p w14:paraId="2DF8C9D3">
      <w:pPr>
        <w:pStyle w:val="4"/>
        <w:keepNext w:val="0"/>
        <w:keepLines w:val="0"/>
        <w:pageBreakBefore w:val="0"/>
        <w:widowControl/>
        <w:kinsoku/>
        <w:wordWrap/>
        <w:overflowPunct/>
        <w:topLinePunct w:val="0"/>
        <w:autoSpaceDE/>
        <w:autoSpaceDN/>
        <w:bidi w:val="0"/>
        <w:adjustRightInd/>
        <w:snapToGrid/>
        <w:ind w:firstLine="440" w:firstLineChars="200"/>
        <w:jc w:val="both"/>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5.1</w:t>
      </w:r>
      <w:r>
        <w:rPr>
          <w:rFonts w:hint="eastAsia" w:ascii="宋体" w:hAnsi="宋体" w:eastAsia="宋体" w:cs="宋体"/>
          <w:sz w:val="22"/>
          <w:szCs w:val="22"/>
          <w:highlight w:val="none"/>
        </w:rPr>
        <w:t>因成交供应商原因造成采购合同无法按时签订的，视为成交供应商违约。</w:t>
      </w:r>
    </w:p>
    <w:p w14:paraId="5038915A">
      <w:pPr>
        <w:pStyle w:val="4"/>
        <w:keepNext w:val="0"/>
        <w:keepLines w:val="0"/>
        <w:pageBreakBefore w:val="0"/>
        <w:widowControl/>
        <w:kinsoku/>
        <w:wordWrap/>
        <w:overflowPunct/>
        <w:topLinePunct w:val="0"/>
        <w:autoSpaceDE/>
        <w:autoSpaceDN/>
        <w:bidi w:val="0"/>
        <w:adjustRightInd/>
        <w:snapToGrid/>
        <w:ind w:firstLine="440" w:firstLineChars="200"/>
        <w:jc w:val="both"/>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5.2</w:t>
      </w:r>
      <w:r>
        <w:rPr>
          <w:rFonts w:hint="eastAsia" w:ascii="宋体" w:hAnsi="宋体" w:eastAsia="宋体" w:cs="宋体"/>
          <w:sz w:val="22"/>
          <w:szCs w:val="22"/>
          <w:highlight w:val="none"/>
        </w:rPr>
        <w:t>在签订采购合同之后，有下列情形之一的，将视为成交供应商违约：</w:t>
      </w:r>
    </w:p>
    <w:p w14:paraId="05981FC6">
      <w:pPr>
        <w:pStyle w:val="4"/>
        <w:keepNext w:val="0"/>
        <w:keepLines w:val="0"/>
        <w:pageBreakBefore w:val="0"/>
        <w:widowControl/>
        <w:kinsoku/>
        <w:wordWrap/>
        <w:overflowPunct/>
        <w:topLinePunct w:val="0"/>
        <w:autoSpaceDE/>
        <w:autoSpaceDN/>
        <w:bidi w:val="0"/>
        <w:adjustRightInd/>
        <w:snapToGrid/>
        <w:ind w:firstLine="880" w:firstLineChars="400"/>
        <w:jc w:val="both"/>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5.</w:t>
      </w:r>
      <w:r>
        <w:rPr>
          <w:rFonts w:hint="eastAsia" w:ascii="宋体" w:hAnsi="宋体" w:eastAsia="宋体" w:cs="宋体"/>
          <w:sz w:val="22"/>
          <w:szCs w:val="22"/>
          <w:highlight w:val="none"/>
        </w:rPr>
        <w:t>2.1.成交供应商提供的服务实际情况与响应文件响应不符，或未按合同规定的质量要求服务的，验收不合格，采购人有权拒绝支付合同款；</w:t>
      </w:r>
    </w:p>
    <w:p w14:paraId="5FE13EB5">
      <w:pPr>
        <w:pStyle w:val="4"/>
        <w:keepNext w:val="0"/>
        <w:keepLines w:val="0"/>
        <w:pageBreakBefore w:val="0"/>
        <w:widowControl/>
        <w:kinsoku/>
        <w:wordWrap/>
        <w:overflowPunct/>
        <w:topLinePunct w:val="0"/>
        <w:autoSpaceDE/>
        <w:autoSpaceDN/>
        <w:bidi w:val="0"/>
        <w:adjustRightInd/>
        <w:snapToGrid/>
        <w:ind w:firstLine="880" w:firstLineChars="400"/>
        <w:jc w:val="both"/>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5.</w:t>
      </w:r>
      <w:r>
        <w:rPr>
          <w:rFonts w:hint="eastAsia" w:ascii="宋体" w:hAnsi="宋体" w:eastAsia="宋体" w:cs="宋体"/>
          <w:sz w:val="22"/>
          <w:szCs w:val="22"/>
          <w:highlight w:val="none"/>
        </w:rPr>
        <w:t>2.2.成交供应商未能按合同规定履行其义务的；</w:t>
      </w:r>
    </w:p>
    <w:p w14:paraId="54B1314C">
      <w:pPr>
        <w:pStyle w:val="4"/>
        <w:keepNext w:val="0"/>
        <w:keepLines w:val="0"/>
        <w:pageBreakBefore w:val="0"/>
        <w:widowControl/>
        <w:kinsoku/>
        <w:wordWrap/>
        <w:overflowPunct/>
        <w:topLinePunct w:val="0"/>
        <w:autoSpaceDE/>
        <w:autoSpaceDN/>
        <w:bidi w:val="0"/>
        <w:adjustRightInd/>
        <w:snapToGrid/>
        <w:ind w:firstLine="880" w:firstLineChars="400"/>
        <w:jc w:val="both"/>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5.</w:t>
      </w:r>
      <w:r>
        <w:rPr>
          <w:rFonts w:hint="eastAsia" w:ascii="宋体" w:hAnsi="宋体" w:eastAsia="宋体" w:cs="宋体"/>
          <w:sz w:val="22"/>
          <w:szCs w:val="22"/>
          <w:highlight w:val="none"/>
        </w:rPr>
        <w:t>2.3.在签订采购合同之后，成交供应商要求解除合同的；</w:t>
      </w:r>
    </w:p>
    <w:p w14:paraId="371606D2">
      <w:pPr>
        <w:pStyle w:val="4"/>
        <w:keepNext w:val="0"/>
        <w:keepLines w:val="0"/>
        <w:pageBreakBefore w:val="0"/>
        <w:widowControl/>
        <w:kinsoku/>
        <w:wordWrap/>
        <w:overflowPunct/>
        <w:topLinePunct w:val="0"/>
        <w:autoSpaceDE/>
        <w:autoSpaceDN/>
        <w:bidi w:val="0"/>
        <w:adjustRightInd/>
        <w:snapToGrid/>
        <w:ind w:firstLine="880" w:firstLineChars="400"/>
        <w:jc w:val="both"/>
        <w:textAlignment w:val="auto"/>
        <w:rPr>
          <w:rFonts w:hint="eastAsia" w:ascii="宋体" w:hAnsi="宋体" w:eastAsia="宋体" w:cs="宋体"/>
          <w:sz w:val="22"/>
          <w:szCs w:val="22"/>
          <w:highlight w:val="none"/>
          <w:lang w:eastAsia="zh-CN"/>
        </w:rPr>
      </w:pPr>
      <w:r>
        <w:rPr>
          <w:rFonts w:hint="eastAsia" w:ascii="宋体" w:hAnsi="宋体" w:eastAsia="宋体" w:cs="宋体"/>
          <w:sz w:val="22"/>
          <w:szCs w:val="22"/>
          <w:highlight w:val="none"/>
          <w:lang w:val="en-US" w:eastAsia="zh-CN"/>
        </w:rPr>
        <w:t>5.</w:t>
      </w:r>
      <w:r>
        <w:rPr>
          <w:rFonts w:hint="eastAsia" w:ascii="宋体" w:hAnsi="宋体" w:eastAsia="宋体" w:cs="宋体"/>
          <w:sz w:val="22"/>
          <w:szCs w:val="22"/>
          <w:highlight w:val="none"/>
        </w:rPr>
        <w:t>2.4.本合同所有服务，都必须由成交供应商自己或在响应文件中明确的单位承担，不得以任何名义和理由进行分包或转包。如有发现，视为成交供应商违约，采购人有权单方面终止合同，对采购人造成损失的，须另行支付相应的赔偿</w:t>
      </w:r>
      <w:r>
        <w:rPr>
          <w:rFonts w:hint="eastAsia" w:ascii="宋体" w:hAnsi="宋体" w:eastAsia="宋体" w:cs="宋体"/>
          <w:sz w:val="22"/>
          <w:szCs w:val="22"/>
          <w:highlight w:val="none"/>
          <w:lang w:eastAsia="zh-CN"/>
        </w:rPr>
        <w:t>；</w:t>
      </w:r>
    </w:p>
    <w:p w14:paraId="3BC31205">
      <w:pPr>
        <w:pStyle w:val="4"/>
        <w:keepNext w:val="0"/>
        <w:keepLines w:val="0"/>
        <w:pageBreakBefore w:val="0"/>
        <w:widowControl/>
        <w:kinsoku/>
        <w:wordWrap/>
        <w:overflowPunct/>
        <w:topLinePunct w:val="0"/>
        <w:autoSpaceDE/>
        <w:autoSpaceDN/>
        <w:bidi w:val="0"/>
        <w:adjustRightInd/>
        <w:snapToGrid/>
        <w:ind w:firstLine="440" w:firstLineChars="200"/>
        <w:jc w:val="both"/>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5.</w:t>
      </w:r>
      <w:r>
        <w:rPr>
          <w:rFonts w:hint="eastAsia" w:ascii="宋体" w:hAnsi="宋体" w:eastAsia="宋体" w:cs="宋体"/>
          <w:sz w:val="22"/>
          <w:szCs w:val="22"/>
          <w:highlight w:val="none"/>
        </w:rPr>
        <w:t>3.因成交供应商原因发生重大质量事故或没有按规定对服务对象的隐私权益进行保护，除依约承担赔偿责任外，还将按有关质量管理办法规定执行。同时，采购人有权终止合同，并报相关行政主管部门处罚。</w:t>
      </w:r>
    </w:p>
    <w:p w14:paraId="66B28E4E">
      <w:pPr>
        <w:pStyle w:val="4"/>
        <w:keepNext w:val="0"/>
        <w:keepLines w:val="0"/>
        <w:pageBreakBefore w:val="0"/>
        <w:widowControl/>
        <w:kinsoku/>
        <w:wordWrap/>
        <w:overflowPunct/>
        <w:topLinePunct w:val="0"/>
        <w:autoSpaceDE/>
        <w:autoSpaceDN/>
        <w:bidi w:val="0"/>
        <w:adjustRightInd/>
        <w:snapToGrid/>
        <w:ind w:firstLine="440" w:firstLineChars="200"/>
        <w:jc w:val="both"/>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5.</w:t>
      </w:r>
      <w:r>
        <w:rPr>
          <w:rFonts w:hint="eastAsia" w:ascii="宋体" w:hAnsi="宋体" w:eastAsia="宋体" w:cs="宋体"/>
          <w:sz w:val="22"/>
          <w:szCs w:val="22"/>
          <w:highlight w:val="none"/>
        </w:rPr>
        <w:t>4.本采购文件未明确的其它约定事项或条款，待采购人与成交供应商签订合同时，由双方协商订立。</w:t>
      </w:r>
    </w:p>
    <w:p w14:paraId="21F22E64">
      <w:pPr>
        <w:pStyle w:val="4"/>
        <w:keepNext w:val="0"/>
        <w:keepLines w:val="0"/>
        <w:pageBreakBefore w:val="0"/>
        <w:widowControl/>
        <w:kinsoku/>
        <w:wordWrap/>
        <w:overflowPunct/>
        <w:topLinePunct w:val="0"/>
        <w:autoSpaceDE/>
        <w:autoSpaceDN/>
        <w:bidi w:val="0"/>
        <w:adjustRightInd/>
        <w:snapToGrid/>
        <w:ind w:firstLine="440" w:firstLineChars="200"/>
        <w:jc w:val="both"/>
        <w:textAlignment w:val="auto"/>
        <w:outlineLvl w:val="2"/>
        <w:rPr>
          <w:rFonts w:hint="default"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6、</w:t>
      </w:r>
      <w:r>
        <w:rPr>
          <w:rFonts w:hint="eastAsia" w:ascii="宋体" w:hAnsi="宋体" w:eastAsia="宋体" w:cs="宋体"/>
          <w:sz w:val="22"/>
          <w:szCs w:val="22"/>
          <w:highlight w:val="none"/>
        </w:rPr>
        <w:t>供应商为履行本谈判文件要求而发生的所有费用均应包含在报价中。</w:t>
      </w:r>
    </w:p>
    <w:p w14:paraId="1AF9B894">
      <w:pPr>
        <w:pStyle w:val="4"/>
        <w:jc w:val="both"/>
        <w:outlineLvl w:val="2"/>
        <w:rPr>
          <w:rFonts w:hint="eastAsia" w:ascii="宋体" w:hAnsi="宋体" w:eastAsia="宋体" w:cs="宋体"/>
          <w:highlight w:val="none"/>
        </w:rPr>
      </w:pPr>
      <w:r>
        <w:rPr>
          <w:rFonts w:hint="eastAsia" w:ascii="宋体" w:hAnsi="宋体" w:eastAsia="宋体" w:cs="宋体"/>
          <w:b/>
          <w:sz w:val="28"/>
          <w:highlight w:val="none"/>
        </w:rPr>
        <w:t>三、商务条件</w:t>
      </w:r>
    </w:p>
    <w:p w14:paraId="73EC7463">
      <w:pPr>
        <w:pStyle w:val="4"/>
        <w:jc w:val="left"/>
        <w:rPr>
          <w:rFonts w:hint="eastAsia" w:ascii="宋体" w:hAnsi="宋体" w:eastAsia="宋体" w:cs="宋体"/>
          <w:sz w:val="22"/>
          <w:szCs w:val="22"/>
          <w:highlight w:val="none"/>
        </w:rPr>
      </w:pPr>
      <w:r>
        <w:rPr>
          <w:rFonts w:hint="eastAsia" w:ascii="宋体" w:hAnsi="宋体" w:eastAsia="宋体" w:cs="宋体"/>
          <w:sz w:val="22"/>
          <w:szCs w:val="22"/>
          <w:highlight w:val="none"/>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20"/>
        <w:gridCol w:w="1092"/>
        <w:gridCol w:w="1672"/>
        <w:gridCol w:w="4820"/>
      </w:tblGrid>
      <w:tr w14:paraId="039639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0" w:type="dxa"/>
          </w:tcPr>
          <w:p w14:paraId="18B151F5">
            <w:pPr>
              <w:pStyle w:val="4"/>
              <w:rPr>
                <w:rFonts w:hint="eastAsia" w:ascii="宋体" w:hAnsi="宋体" w:eastAsia="宋体" w:cs="宋体"/>
                <w:sz w:val="22"/>
                <w:szCs w:val="22"/>
                <w:highlight w:val="none"/>
              </w:rPr>
            </w:pPr>
            <w:r>
              <w:rPr>
                <w:rFonts w:hint="eastAsia" w:ascii="宋体" w:hAnsi="宋体" w:eastAsia="宋体" w:cs="宋体"/>
                <w:sz w:val="22"/>
                <w:szCs w:val="22"/>
                <w:highlight w:val="none"/>
              </w:rPr>
              <w:t>序号</w:t>
            </w:r>
          </w:p>
        </w:tc>
        <w:tc>
          <w:tcPr>
            <w:tcW w:w="1092" w:type="dxa"/>
          </w:tcPr>
          <w:p w14:paraId="656341AA">
            <w:pPr>
              <w:pStyle w:val="4"/>
              <w:rPr>
                <w:rFonts w:hint="eastAsia" w:ascii="宋体" w:hAnsi="宋体" w:eastAsia="宋体" w:cs="宋体"/>
                <w:sz w:val="22"/>
                <w:szCs w:val="22"/>
                <w:highlight w:val="none"/>
              </w:rPr>
            </w:pPr>
            <w:r>
              <w:rPr>
                <w:rFonts w:hint="eastAsia" w:ascii="宋体" w:hAnsi="宋体" w:eastAsia="宋体" w:cs="宋体"/>
                <w:sz w:val="22"/>
                <w:szCs w:val="22"/>
                <w:highlight w:val="none"/>
              </w:rPr>
              <w:t>参数性质</w:t>
            </w:r>
          </w:p>
        </w:tc>
        <w:tc>
          <w:tcPr>
            <w:tcW w:w="1672" w:type="dxa"/>
          </w:tcPr>
          <w:p w14:paraId="270E1AF9">
            <w:pPr>
              <w:pStyle w:val="4"/>
              <w:rPr>
                <w:rFonts w:hint="eastAsia" w:ascii="宋体" w:hAnsi="宋体" w:eastAsia="宋体" w:cs="宋体"/>
                <w:sz w:val="22"/>
                <w:szCs w:val="22"/>
                <w:highlight w:val="none"/>
              </w:rPr>
            </w:pPr>
            <w:r>
              <w:rPr>
                <w:rFonts w:hint="eastAsia" w:ascii="宋体" w:hAnsi="宋体" w:eastAsia="宋体" w:cs="宋体"/>
                <w:sz w:val="22"/>
                <w:szCs w:val="22"/>
                <w:highlight w:val="none"/>
              </w:rPr>
              <w:t>类型</w:t>
            </w:r>
          </w:p>
        </w:tc>
        <w:tc>
          <w:tcPr>
            <w:tcW w:w="4820" w:type="dxa"/>
          </w:tcPr>
          <w:p w14:paraId="68EAC3EF">
            <w:pPr>
              <w:pStyle w:val="4"/>
              <w:rPr>
                <w:rFonts w:hint="eastAsia" w:ascii="宋体" w:hAnsi="宋体" w:eastAsia="宋体" w:cs="宋体"/>
                <w:sz w:val="22"/>
                <w:szCs w:val="22"/>
                <w:highlight w:val="none"/>
              </w:rPr>
            </w:pPr>
            <w:r>
              <w:rPr>
                <w:rFonts w:hint="eastAsia" w:ascii="宋体" w:hAnsi="宋体" w:eastAsia="宋体" w:cs="宋体"/>
                <w:sz w:val="22"/>
                <w:szCs w:val="22"/>
                <w:highlight w:val="none"/>
              </w:rPr>
              <w:t>要求</w:t>
            </w:r>
          </w:p>
        </w:tc>
      </w:tr>
      <w:tr w14:paraId="7A399B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53" w:hRule="atLeast"/>
        </w:trPr>
        <w:tc>
          <w:tcPr>
            <w:tcW w:w="720" w:type="dxa"/>
          </w:tcPr>
          <w:p w14:paraId="6BF4DA39">
            <w:pPr>
              <w:pStyle w:val="4"/>
              <w:rPr>
                <w:rFonts w:hint="eastAsia" w:ascii="宋体" w:hAnsi="宋体" w:eastAsia="宋体" w:cs="宋体"/>
                <w:sz w:val="22"/>
                <w:szCs w:val="22"/>
                <w:highlight w:val="none"/>
              </w:rPr>
            </w:pPr>
            <w:r>
              <w:rPr>
                <w:rFonts w:hint="eastAsia" w:ascii="宋体" w:hAnsi="宋体" w:eastAsia="宋体" w:cs="宋体"/>
                <w:sz w:val="22"/>
                <w:szCs w:val="22"/>
                <w:highlight w:val="none"/>
              </w:rPr>
              <w:t>1</w:t>
            </w:r>
          </w:p>
        </w:tc>
        <w:tc>
          <w:tcPr>
            <w:tcW w:w="1092" w:type="dxa"/>
          </w:tcPr>
          <w:p w14:paraId="3552A5C2">
            <w:pPr>
              <w:pStyle w:val="4"/>
              <w:rPr>
                <w:rFonts w:hint="eastAsia" w:ascii="宋体" w:hAnsi="宋体" w:eastAsia="宋体" w:cs="宋体"/>
                <w:sz w:val="22"/>
                <w:szCs w:val="22"/>
                <w:highlight w:val="none"/>
              </w:rPr>
            </w:pPr>
            <w:r>
              <w:rPr>
                <w:rFonts w:hint="eastAsia" w:ascii="宋体" w:hAnsi="宋体" w:eastAsia="宋体" w:cs="宋体"/>
                <w:sz w:val="22"/>
                <w:szCs w:val="22"/>
                <w:highlight w:val="none"/>
              </w:rPr>
              <w:t>★</w:t>
            </w:r>
          </w:p>
        </w:tc>
        <w:tc>
          <w:tcPr>
            <w:tcW w:w="1672" w:type="dxa"/>
          </w:tcPr>
          <w:p w14:paraId="4FFCE9A8">
            <w:pPr>
              <w:pStyle w:val="4"/>
              <w:rPr>
                <w:rFonts w:hint="eastAsia" w:ascii="宋体" w:hAnsi="宋体" w:eastAsia="宋体" w:cs="宋体"/>
                <w:sz w:val="22"/>
                <w:szCs w:val="22"/>
                <w:highlight w:val="none"/>
              </w:rPr>
            </w:pPr>
            <w:r>
              <w:rPr>
                <w:rFonts w:hint="eastAsia" w:ascii="宋体" w:hAnsi="宋体" w:eastAsia="宋体" w:cs="宋体"/>
                <w:sz w:val="22"/>
                <w:szCs w:val="22"/>
                <w:highlight w:val="none"/>
              </w:rPr>
              <w:t>交货时间</w:t>
            </w:r>
          </w:p>
        </w:tc>
        <w:tc>
          <w:tcPr>
            <w:tcW w:w="4820" w:type="dxa"/>
          </w:tcPr>
          <w:p w14:paraId="508A4848">
            <w:pPr>
              <w:pStyle w:val="4"/>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暂定30天，自签订合同之日起至取得政策相关规定的文件止</w:t>
            </w:r>
            <w:r>
              <w:rPr>
                <w:rFonts w:hint="eastAsia" w:ascii="宋体" w:hAnsi="宋体" w:eastAsia="宋体" w:cs="宋体"/>
                <w:color w:val="auto"/>
                <w:sz w:val="22"/>
                <w:szCs w:val="22"/>
                <w:highlight w:val="none"/>
              </w:rPr>
              <w:t>。</w:t>
            </w:r>
          </w:p>
        </w:tc>
      </w:tr>
      <w:tr w14:paraId="1E7A1D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0" w:type="dxa"/>
          </w:tcPr>
          <w:p w14:paraId="459B1367">
            <w:pPr>
              <w:pStyle w:val="4"/>
              <w:rPr>
                <w:rFonts w:hint="eastAsia" w:ascii="宋体" w:hAnsi="宋体" w:eastAsia="宋体" w:cs="宋体"/>
                <w:sz w:val="22"/>
                <w:szCs w:val="22"/>
                <w:highlight w:val="none"/>
              </w:rPr>
            </w:pPr>
            <w:r>
              <w:rPr>
                <w:rFonts w:hint="eastAsia" w:ascii="宋体" w:hAnsi="宋体" w:eastAsia="宋体" w:cs="宋体"/>
                <w:sz w:val="22"/>
                <w:szCs w:val="22"/>
                <w:highlight w:val="none"/>
              </w:rPr>
              <w:t>2</w:t>
            </w:r>
          </w:p>
        </w:tc>
        <w:tc>
          <w:tcPr>
            <w:tcW w:w="1092" w:type="dxa"/>
          </w:tcPr>
          <w:p w14:paraId="794C7AE4">
            <w:pPr>
              <w:pStyle w:val="4"/>
              <w:rPr>
                <w:rFonts w:hint="eastAsia" w:ascii="宋体" w:hAnsi="宋体" w:eastAsia="宋体" w:cs="宋体"/>
                <w:sz w:val="22"/>
                <w:szCs w:val="22"/>
                <w:highlight w:val="none"/>
              </w:rPr>
            </w:pPr>
            <w:r>
              <w:rPr>
                <w:rFonts w:hint="eastAsia" w:ascii="宋体" w:hAnsi="宋体" w:eastAsia="宋体" w:cs="宋体"/>
                <w:sz w:val="22"/>
                <w:szCs w:val="22"/>
                <w:highlight w:val="none"/>
              </w:rPr>
              <w:t>★</w:t>
            </w:r>
          </w:p>
        </w:tc>
        <w:tc>
          <w:tcPr>
            <w:tcW w:w="1672" w:type="dxa"/>
          </w:tcPr>
          <w:p w14:paraId="5788AABD">
            <w:pPr>
              <w:pStyle w:val="4"/>
              <w:rPr>
                <w:rFonts w:hint="eastAsia" w:ascii="宋体" w:hAnsi="宋体" w:eastAsia="宋体" w:cs="宋体"/>
                <w:sz w:val="22"/>
                <w:szCs w:val="22"/>
                <w:highlight w:val="none"/>
              </w:rPr>
            </w:pPr>
            <w:r>
              <w:rPr>
                <w:rFonts w:hint="eastAsia" w:ascii="宋体" w:hAnsi="宋体" w:eastAsia="宋体" w:cs="宋体"/>
                <w:sz w:val="22"/>
                <w:szCs w:val="22"/>
                <w:highlight w:val="none"/>
              </w:rPr>
              <w:t>交货地点</w:t>
            </w:r>
          </w:p>
        </w:tc>
        <w:tc>
          <w:tcPr>
            <w:tcW w:w="4820" w:type="dxa"/>
          </w:tcPr>
          <w:p w14:paraId="56412C4A">
            <w:pPr>
              <w:pStyle w:val="4"/>
              <w:rPr>
                <w:rFonts w:hint="eastAsia" w:ascii="宋体" w:hAnsi="宋体" w:eastAsia="宋体" w:cs="宋体"/>
                <w:sz w:val="22"/>
                <w:szCs w:val="22"/>
                <w:highlight w:val="none"/>
                <w:lang w:eastAsia="zh-CN"/>
              </w:rPr>
            </w:pPr>
            <w:r>
              <w:rPr>
                <w:rFonts w:hint="eastAsia" w:ascii="宋体" w:hAnsi="宋体" w:eastAsia="宋体" w:cs="宋体"/>
                <w:sz w:val="22"/>
                <w:szCs w:val="22"/>
                <w:highlight w:val="none"/>
                <w:lang w:eastAsia="zh-CN"/>
              </w:rPr>
              <w:t>采购人指定地点</w:t>
            </w:r>
          </w:p>
        </w:tc>
      </w:tr>
      <w:tr w14:paraId="3BBA83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0" w:type="dxa"/>
          </w:tcPr>
          <w:p w14:paraId="5ECDCDB0">
            <w:pPr>
              <w:pStyle w:val="4"/>
              <w:rPr>
                <w:rFonts w:hint="eastAsia" w:ascii="宋体" w:hAnsi="宋体" w:eastAsia="宋体" w:cs="宋体"/>
                <w:sz w:val="22"/>
                <w:szCs w:val="22"/>
                <w:highlight w:val="none"/>
              </w:rPr>
            </w:pPr>
            <w:r>
              <w:rPr>
                <w:rFonts w:hint="eastAsia" w:ascii="宋体" w:hAnsi="宋体" w:eastAsia="宋体" w:cs="宋体"/>
                <w:sz w:val="22"/>
                <w:szCs w:val="22"/>
                <w:highlight w:val="none"/>
              </w:rPr>
              <w:t>3</w:t>
            </w:r>
          </w:p>
        </w:tc>
        <w:tc>
          <w:tcPr>
            <w:tcW w:w="1092" w:type="dxa"/>
          </w:tcPr>
          <w:p w14:paraId="494CF436">
            <w:pPr>
              <w:pStyle w:val="4"/>
              <w:rPr>
                <w:rFonts w:hint="eastAsia" w:ascii="宋体" w:hAnsi="宋体" w:eastAsia="宋体" w:cs="宋体"/>
                <w:sz w:val="22"/>
                <w:szCs w:val="22"/>
                <w:highlight w:val="none"/>
              </w:rPr>
            </w:pPr>
            <w:r>
              <w:rPr>
                <w:rFonts w:hint="eastAsia" w:ascii="宋体" w:hAnsi="宋体" w:eastAsia="宋体" w:cs="宋体"/>
                <w:sz w:val="22"/>
                <w:szCs w:val="22"/>
                <w:highlight w:val="none"/>
              </w:rPr>
              <w:t>★</w:t>
            </w:r>
          </w:p>
        </w:tc>
        <w:tc>
          <w:tcPr>
            <w:tcW w:w="1672" w:type="dxa"/>
          </w:tcPr>
          <w:p w14:paraId="165FBDE4">
            <w:pPr>
              <w:pStyle w:val="4"/>
              <w:rPr>
                <w:rFonts w:hint="eastAsia" w:ascii="宋体" w:hAnsi="宋体" w:eastAsia="宋体" w:cs="宋体"/>
                <w:sz w:val="22"/>
                <w:szCs w:val="22"/>
                <w:highlight w:val="none"/>
              </w:rPr>
            </w:pPr>
            <w:r>
              <w:rPr>
                <w:rFonts w:hint="eastAsia" w:ascii="宋体" w:hAnsi="宋体" w:eastAsia="宋体" w:cs="宋体"/>
                <w:sz w:val="22"/>
                <w:szCs w:val="22"/>
                <w:highlight w:val="none"/>
              </w:rPr>
              <w:t>交货条件</w:t>
            </w:r>
          </w:p>
        </w:tc>
        <w:tc>
          <w:tcPr>
            <w:tcW w:w="4820" w:type="dxa"/>
          </w:tcPr>
          <w:p w14:paraId="704D723C">
            <w:pPr>
              <w:pStyle w:val="4"/>
              <w:rPr>
                <w:rFonts w:hint="eastAsia" w:ascii="宋体" w:hAnsi="宋体" w:eastAsia="宋体" w:cs="宋体"/>
                <w:sz w:val="22"/>
                <w:szCs w:val="22"/>
                <w:highlight w:val="none"/>
              </w:rPr>
            </w:pPr>
            <w:r>
              <w:rPr>
                <w:rFonts w:hint="eastAsia" w:ascii="宋体" w:hAnsi="宋体" w:eastAsia="宋体" w:cs="宋体"/>
                <w:sz w:val="22"/>
                <w:szCs w:val="22"/>
                <w:highlight w:val="none"/>
              </w:rPr>
              <w:t>符合国家、行业和地方现行标准</w:t>
            </w:r>
            <w:r>
              <w:rPr>
                <w:rFonts w:hint="eastAsia" w:ascii="宋体" w:hAnsi="宋体" w:eastAsia="宋体" w:cs="宋体"/>
                <w:sz w:val="22"/>
                <w:szCs w:val="22"/>
                <w:highlight w:val="none"/>
                <w:lang w:eastAsia="zh-CN"/>
              </w:rPr>
              <w:t>，并按照采购文件规定执行，验收合格。</w:t>
            </w:r>
          </w:p>
        </w:tc>
      </w:tr>
      <w:tr w14:paraId="26A0C1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0" w:type="dxa"/>
          </w:tcPr>
          <w:p w14:paraId="4CBF9BC6">
            <w:pPr>
              <w:pStyle w:val="4"/>
              <w:rPr>
                <w:rFonts w:hint="eastAsia" w:ascii="宋体" w:hAnsi="宋体" w:eastAsia="宋体" w:cs="宋体"/>
                <w:sz w:val="22"/>
                <w:szCs w:val="22"/>
                <w:highlight w:val="none"/>
              </w:rPr>
            </w:pPr>
            <w:r>
              <w:rPr>
                <w:rFonts w:hint="eastAsia" w:ascii="宋体" w:hAnsi="宋体" w:eastAsia="宋体" w:cs="宋体"/>
                <w:sz w:val="22"/>
                <w:szCs w:val="22"/>
                <w:highlight w:val="none"/>
              </w:rPr>
              <w:t>4</w:t>
            </w:r>
          </w:p>
        </w:tc>
        <w:tc>
          <w:tcPr>
            <w:tcW w:w="1092" w:type="dxa"/>
          </w:tcPr>
          <w:p w14:paraId="29D883BC">
            <w:pPr>
              <w:pStyle w:val="4"/>
              <w:rPr>
                <w:rFonts w:hint="eastAsia" w:ascii="宋体" w:hAnsi="宋体" w:eastAsia="宋体" w:cs="宋体"/>
                <w:sz w:val="22"/>
                <w:szCs w:val="22"/>
                <w:highlight w:val="none"/>
              </w:rPr>
            </w:pPr>
            <w:r>
              <w:rPr>
                <w:rFonts w:hint="eastAsia" w:ascii="宋体" w:hAnsi="宋体" w:eastAsia="宋体" w:cs="宋体"/>
                <w:sz w:val="22"/>
                <w:szCs w:val="22"/>
                <w:highlight w:val="none"/>
              </w:rPr>
              <w:t>★</w:t>
            </w:r>
          </w:p>
        </w:tc>
        <w:tc>
          <w:tcPr>
            <w:tcW w:w="1672" w:type="dxa"/>
          </w:tcPr>
          <w:p w14:paraId="68A0D6D8">
            <w:pPr>
              <w:pStyle w:val="4"/>
              <w:rPr>
                <w:rFonts w:hint="eastAsia" w:ascii="宋体" w:hAnsi="宋体" w:eastAsia="宋体" w:cs="宋体"/>
                <w:sz w:val="22"/>
                <w:szCs w:val="22"/>
                <w:highlight w:val="none"/>
              </w:rPr>
            </w:pPr>
            <w:r>
              <w:rPr>
                <w:rFonts w:hint="eastAsia" w:ascii="宋体" w:hAnsi="宋体" w:eastAsia="宋体" w:cs="宋体"/>
                <w:sz w:val="22"/>
                <w:szCs w:val="22"/>
                <w:highlight w:val="none"/>
              </w:rPr>
              <w:t>是否邀请投标人验收</w:t>
            </w:r>
          </w:p>
        </w:tc>
        <w:tc>
          <w:tcPr>
            <w:tcW w:w="4820" w:type="dxa"/>
          </w:tcPr>
          <w:p w14:paraId="77E6DFC9">
            <w:pPr>
              <w:pStyle w:val="4"/>
              <w:rPr>
                <w:rFonts w:hint="eastAsia" w:ascii="宋体" w:hAnsi="宋体" w:eastAsia="宋体" w:cs="宋体"/>
                <w:sz w:val="22"/>
                <w:szCs w:val="22"/>
                <w:highlight w:val="none"/>
              </w:rPr>
            </w:pPr>
            <w:r>
              <w:rPr>
                <w:rFonts w:hint="eastAsia" w:ascii="宋体" w:hAnsi="宋体" w:eastAsia="宋体" w:cs="宋体"/>
                <w:sz w:val="22"/>
                <w:szCs w:val="22"/>
                <w:highlight w:val="none"/>
              </w:rPr>
              <w:t>不邀请投标人验收</w:t>
            </w:r>
          </w:p>
        </w:tc>
      </w:tr>
      <w:tr w14:paraId="4FE3BE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0" w:type="dxa"/>
          </w:tcPr>
          <w:p w14:paraId="24DE3288">
            <w:pPr>
              <w:pStyle w:val="4"/>
              <w:rPr>
                <w:rFonts w:hint="eastAsia" w:ascii="宋体" w:hAnsi="宋体" w:eastAsia="宋体" w:cs="宋体"/>
                <w:sz w:val="22"/>
                <w:szCs w:val="22"/>
                <w:highlight w:val="none"/>
              </w:rPr>
            </w:pPr>
            <w:r>
              <w:rPr>
                <w:rFonts w:hint="eastAsia" w:ascii="宋体" w:hAnsi="宋体" w:eastAsia="宋体" w:cs="宋体"/>
                <w:sz w:val="22"/>
                <w:szCs w:val="22"/>
                <w:highlight w:val="none"/>
              </w:rPr>
              <w:t>5</w:t>
            </w:r>
          </w:p>
        </w:tc>
        <w:tc>
          <w:tcPr>
            <w:tcW w:w="1092" w:type="dxa"/>
          </w:tcPr>
          <w:p w14:paraId="27463110">
            <w:pPr>
              <w:pStyle w:val="4"/>
              <w:rPr>
                <w:rFonts w:hint="eastAsia" w:ascii="宋体" w:hAnsi="宋体" w:eastAsia="宋体" w:cs="宋体"/>
                <w:sz w:val="22"/>
                <w:szCs w:val="22"/>
                <w:highlight w:val="none"/>
              </w:rPr>
            </w:pPr>
            <w:r>
              <w:rPr>
                <w:rFonts w:hint="eastAsia" w:ascii="宋体" w:hAnsi="宋体" w:eastAsia="宋体" w:cs="宋体"/>
                <w:sz w:val="22"/>
                <w:szCs w:val="22"/>
                <w:highlight w:val="none"/>
              </w:rPr>
              <w:t>★</w:t>
            </w:r>
          </w:p>
        </w:tc>
        <w:tc>
          <w:tcPr>
            <w:tcW w:w="1672" w:type="dxa"/>
          </w:tcPr>
          <w:p w14:paraId="09F75B9E">
            <w:pPr>
              <w:pStyle w:val="4"/>
              <w:rPr>
                <w:rFonts w:hint="eastAsia" w:ascii="宋体" w:hAnsi="宋体" w:eastAsia="宋体" w:cs="宋体"/>
                <w:sz w:val="22"/>
                <w:szCs w:val="22"/>
                <w:highlight w:val="none"/>
              </w:rPr>
            </w:pPr>
            <w:r>
              <w:rPr>
                <w:rFonts w:hint="eastAsia" w:ascii="宋体" w:hAnsi="宋体" w:eastAsia="宋体" w:cs="宋体"/>
                <w:sz w:val="22"/>
                <w:szCs w:val="22"/>
                <w:highlight w:val="none"/>
              </w:rPr>
              <w:t>履约验收方式</w:t>
            </w:r>
          </w:p>
        </w:tc>
        <w:tc>
          <w:tcPr>
            <w:tcW w:w="4820" w:type="dxa"/>
          </w:tcPr>
          <w:p w14:paraId="3DA23760">
            <w:pPr>
              <w:pStyle w:val="4"/>
              <w:rPr>
                <w:rFonts w:hint="eastAsia" w:ascii="宋体" w:hAnsi="宋体" w:eastAsia="宋体" w:cs="宋体"/>
                <w:sz w:val="22"/>
                <w:szCs w:val="22"/>
                <w:highlight w:val="none"/>
                <w:lang w:eastAsia="zh-CN"/>
              </w:rPr>
            </w:pPr>
            <w:r>
              <w:rPr>
                <w:rFonts w:hint="eastAsia" w:ascii="宋体" w:hAnsi="宋体" w:eastAsia="宋体" w:cs="宋体"/>
                <w:sz w:val="22"/>
                <w:szCs w:val="22"/>
                <w:highlight w:val="none"/>
              </w:rPr>
              <w:t>1、期次1，说明：符合国家、行业和地方现行标准</w:t>
            </w:r>
            <w:r>
              <w:rPr>
                <w:rFonts w:hint="eastAsia" w:ascii="宋体" w:hAnsi="宋体" w:eastAsia="宋体" w:cs="宋体"/>
                <w:sz w:val="22"/>
                <w:szCs w:val="22"/>
                <w:highlight w:val="none"/>
                <w:lang w:eastAsia="zh-CN"/>
              </w:rPr>
              <w:t>，并按照采购文件规定执行、验收。</w:t>
            </w:r>
          </w:p>
        </w:tc>
      </w:tr>
      <w:tr w14:paraId="2E1682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0" w:type="dxa"/>
          </w:tcPr>
          <w:p w14:paraId="4BBEB984">
            <w:pPr>
              <w:pStyle w:val="4"/>
              <w:rPr>
                <w:rFonts w:hint="eastAsia" w:ascii="宋体" w:hAnsi="宋体" w:eastAsia="宋体" w:cs="宋体"/>
                <w:sz w:val="22"/>
                <w:szCs w:val="22"/>
                <w:highlight w:val="none"/>
              </w:rPr>
            </w:pPr>
            <w:r>
              <w:rPr>
                <w:rFonts w:hint="eastAsia" w:ascii="宋体" w:hAnsi="宋体" w:eastAsia="宋体" w:cs="宋体"/>
                <w:sz w:val="22"/>
                <w:szCs w:val="22"/>
                <w:highlight w:val="none"/>
              </w:rPr>
              <w:t>6</w:t>
            </w:r>
          </w:p>
        </w:tc>
        <w:tc>
          <w:tcPr>
            <w:tcW w:w="1092" w:type="dxa"/>
          </w:tcPr>
          <w:p w14:paraId="7CB6E598">
            <w:pPr>
              <w:pStyle w:val="4"/>
              <w:rPr>
                <w:rFonts w:hint="eastAsia" w:ascii="宋体" w:hAnsi="宋体" w:eastAsia="宋体" w:cs="宋体"/>
                <w:sz w:val="22"/>
                <w:szCs w:val="22"/>
                <w:highlight w:val="none"/>
              </w:rPr>
            </w:pPr>
            <w:r>
              <w:rPr>
                <w:rFonts w:hint="eastAsia" w:ascii="宋体" w:hAnsi="宋体" w:eastAsia="宋体" w:cs="宋体"/>
                <w:sz w:val="22"/>
                <w:szCs w:val="22"/>
                <w:highlight w:val="none"/>
              </w:rPr>
              <w:t>★</w:t>
            </w:r>
          </w:p>
        </w:tc>
        <w:tc>
          <w:tcPr>
            <w:tcW w:w="1672" w:type="dxa"/>
          </w:tcPr>
          <w:p w14:paraId="6CE34C6C">
            <w:pPr>
              <w:pStyle w:val="4"/>
              <w:rPr>
                <w:rFonts w:hint="eastAsia" w:ascii="宋体" w:hAnsi="宋体" w:eastAsia="宋体" w:cs="宋体"/>
                <w:sz w:val="22"/>
                <w:szCs w:val="22"/>
                <w:highlight w:val="none"/>
              </w:rPr>
            </w:pPr>
            <w:r>
              <w:rPr>
                <w:rFonts w:hint="eastAsia" w:ascii="宋体" w:hAnsi="宋体" w:eastAsia="宋体" w:cs="宋体"/>
                <w:sz w:val="22"/>
                <w:szCs w:val="22"/>
                <w:highlight w:val="none"/>
              </w:rPr>
              <w:t>合同支付方式</w:t>
            </w:r>
          </w:p>
        </w:tc>
        <w:tc>
          <w:tcPr>
            <w:tcW w:w="4820" w:type="dxa"/>
          </w:tcPr>
          <w:p w14:paraId="64B2B712">
            <w:pPr>
              <w:pStyle w:val="4"/>
              <w:rPr>
                <w:rFonts w:hint="eastAsia" w:ascii="宋体" w:hAnsi="宋体" w:eastAsia="宋体" w:cs="宋体"/>
                <w:color w:val="0000FF"/>
                <w:sz w:val="22"/>
                <w:szCs w:val="22"/>
                <w:highlight w:val="none"/>
                <w:lang w:val="en-US" w:eastAsia="zh-CN"/>
              </w:rPr>
            </w:pPr>
            <w:r>
              <w:rPr>
                <w:rFonts w:hint="eastAsia" w:ascii="宋体" w:hAnsi="宋体" w:eastAsia="宋体" w:cs="宋体"/>
                <w:color w:val="0000FF"/>
                <w:sz w:val="22"/>
                <w:szCs w:val="22"/>
                <w:highlight w:val="none"/>
                <w:lang w:val="en-US" w:eastAsia="zh-CN"/>
              </w:rPr>
              <w:t>成交供应商</w:t>
            </w:r>
            <w:r>
              <w:rPr>
                <w:rFonts w:hint="eastAsia" w:ascii="宋体" w:hAnsi="宋体" w:eastAsia="宋体" w:cs="宋体"/>
                <w:color w:val="0000FF"/>
                <w:sz w:val="22"/>
                <w:szCs w:val="22"/>
                <w:highlight w:val="none"/>
              </w:rPr>
              <w:t>在签订合同15日内提供满足专家评审要求的评审稿，并经甲方确认后提交评审稿，根据专家评审意见，</w:t>
            </w:r>
            <w:r>
              <w:rPr>
                <w:rFonts w:hint="eastAsia" w:ascii="宋体" w:hAnsi="宋体" w:eastAsia="宋体" w:cs="宋体"/>
                <w:color w:val="0000FF"/>
                <w:sz w:val="22"/>
                <w:szCs w:val="22"/>
                <w:highlight w:val="none"/>
                <w:lang w:val="en-US" w:eastAsia="zh-CN"/>
              </w:rPr>
              <w:t>成交供应商</w:t>
            </w:r>
            <w:r>
              <w:rPr>
                <w:rFonts w:hint="eastAsia" w:ascii="宋体" w:hAnsi="宋体" w:eastAsia="宋体" w:cs="宋体"/>
                <w:color w:val="0000FF"/>
                <w:sz w:val="22"/>
                <w:szCs w:val="22"/>
                <w:highlight w:val="none"/>
              </w:rPr>
              <w:t>在15日内修改完成，取得政策相关规定的文件。成交供应商持有效的正式发票及请款手续</w:t>
            </w:r>
            <w:r>
              <w:rPr>
                <w:rFonts w:hint="eastAsia" w:ascii="宋体" w:hAnsi="宋体" w:eastAsia="宋体" w:cs="宋体"/>
                <w:color w:val="0000FF"/>
                <w:sz w:val="22"/>
                <w:szCs w:val="22"/>
                <w:highlight w:val="none"/>
                <w:lang w:eastAsia="zh-CN"/>
              </w:rPr>
              <w:t>，</w:t>
            </w:r>
            <w:r>
              <w:rPr>
                <w:rFonts w:hint="eastAsia" w:ascii="宋体" w:hAnsi="宋体" w:eastAsia="宋体" w:cs="宋体"/>
                <w:color w:val="0000FF"/>
                <w:sz w:val="22"/>
                <w:szCs w:val="22"/>
                <w:highlight w:val="none"/>
              </w:rPr>
              <w:t>经采购人审核无误，达到付款条件起15日内，支付至该专题合同价的100%。</w:t>
            </w:r>
          </w:p>
        </w:tc>
      </w:tr>
      <w:tr w14:paraId="5DE3E2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0" w:type="dxa"/>
          </w:tcPr>
          <w:p w14:paraId="5A605729">
            <w:pPr>
              <w:pStyle w:val="4"/>
              <w:rPr>
                <w:rFonts w:hint="eastAsia" w:ascii="宋体" w:hAnsi="宋体" w:eastAsia="宋体" w:cs="宋体"/>
                <w:sz w:val="22"/>
                <w:szCs w:val="22"/>
                <w:highlight w:val="none"/>
              </w:rPr>
            </w:pPr>
            <w:r>
              <w:rPr>
                <w:rFonts w:hint="eastAsia" w:ascii="宋体" w:hAnsi="宋体" w:eastAsia="宋体" w:cs="宋体"/>
                <w:sz w:val="22"/>
                <w:szCs w:val="22"/>
                <w:highlight w:val="none"/>
              </w:rPr>
              <w:t>7</w:t>
            </w:r>
          </w:p>
        </w:tc>
        <w:tc>
          <w:tcPr>
            <w:tcW w:w="1092" w:type="dxa"/>
          </w:tcPr>
          <w:p w14:paraId="7AE4C79C">
            <w:pPr>
              <w:pStyle w:val="4"/>
              <w:rPr>
                <w:rFonts w:hint="eastAsia" w:ascii="宋体" w:hAnsi="宋体" w:eastAsia="宋体" w:cs="宋体"/>
                <w:sz w:val="22"/>
                <w:szCs w:val="22"/>
                <w:highlight w:val="none"/>
              </w:rPr>
            </w:pPr>
            <w:r>
              <w:rPr>
                <w:rFonts w:hint="eastAsia" w:ascii="宋体" w:hAnsi="宋体" w:eastAsia="宋体" w:cs="宋体"/>
                <w:sz w:val="22"/>
                <w:szCs w:val="22"/>
                <w:highlight w:val="none"/>
              </w:rPr>
              <w:t>★</w:t>
            </w:r>
          </w:p>
        </w:tc>
        <w:tc>
          <w:tcPr>
            <w:tcW w:w="1672" w:type="dxa"/>
          </w:tcPr>
          <w:p w14:paraId="2A264A52">
            <w:pPr>
              <w:pStyle w:val="4"/>
              <w:rPr>
                <w:rFonts w:hint="eastAsia" w:ascii="宋体" w:hAnsi="宋体" w:eastAsia="宋体" w:cs="宋体"/>
                <w:sz w:val="22"/>
                <w:szCs w:val="22"/>
                <w:highlight w:val="none"/>
              </w:rPr>
            </w:pPr>
            <w:r>
              <w:rPr>
                <w:rFonts w:hint="eastAsia" w:ascii="宋体" w:hAnsi="宋体" w:eastAsia="宋体" w:cs="宋体"/>
                <w:sz w:val="22"/>
                <w:szCs w:val="22"/>
                <w:highlight w:val="none"/>
              </w:rPr>
              <w:t>履约保证金</w:t>
            </w:r>
          </w:p>
        </w:tc>
        <w:tc>
          <w:tcPr>
            <w:tcW w:w="4820" w:type="dxa"/>
          </w:tcPr>
          <w:p w14:paraId="18F556C8">
            <w:pPr>
              <w:pStyle w:val="4"/>
              <w:rPr>
                <w:rFonts w:hint="eastAsia" w:ascii="宋体" w:hAnsi="宋体" w:eastAsia="宋体" w:cs="宋体"/>
                <w:sz w:val="22"/>
                <w:szCs w:val="22"/>
                <w:highlight w:val="none"/>
              </w:rPr>
            </w:pPr>
            <w:r>
              <w:rPr>
                <w:rFonts w:hint="eastAsia" w:ascii="宋体" w:hAnsi="宋体" w:eastAsia="宋体" w:cs="宋体"/>
                <w:sz w:val="22"/>
                <w:szCs w:val="22"/>
                <w:highlight w:val="none"/>
              </w:rPr>
              <w:t>不缴纳</w:t>
            </w:r>
          </w:p>
        </w:tc>
      </w:tr>
    </w:tbl>
    <w:p w14:paraId="3483A34A">
      <w:pPr>
        <w:pStyle w:val="4"/>
        <w:jc w:val="left"/>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rPr>
        <w:t>其他商务要求：</w:t>
      </w:r>
      <w:r>
        <w:rPr>
          <w:rFonts w:hint="eastAsia" w:ascii="宋体" w:hAnsi="宋体" w:eastAsia="宋体" w:cs="宋体"/>
          <w:sz w:val="22"/>
          <w:szCs w:val="22"/>
          <w:highlight w:val="none"/>
          <w:lang w:val="en-US" w:eastAsia="zh-CN"/>
        </w:rPr>
        <w:t>无</w:t>
      </w:r>
    </w:p>
    <w:p w14:paraId="48C70E9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yMjNjYzBhYjk3OTMxM2E4MDRhMGYyNjJkODhhZTcifQ=="/>
  </w:docVars>
  <w:rsids>
    <w:rsidRoot w:val="4C8845E8"/>
    <w:rsid w:val="4C8845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2025-02-14T12:27:00Z</dcterms:created>
  <dc:creator>NTKO</dc:creator>
  <cp:lastModifiedBy>NTKO</cp:lastModifiedBy>
  <dcterms:modified xsi:type="dcterms:W3CDTF">2025-02-14T12:27:58Z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892F42F31B884A28889EA8A58EB637AC_11</vt:lpwstr>
  </property>
</Properties>
</file>