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numPr>
          <w:ilvl w:val="0"/>
          <w:numId w:val="0"/>
        </w:numPr>
        <w:rPr>
          <w:rFonts w:cs="宋体"/>
          <w:kern w:val="0"/>
          <w:sz w:val="36"/>
          <w:szCs w:val="36"/>
        </w:rPr>
      </w:pPr>
    </w:p>
    <w:p>
      <w:pPr>
        <w:rPr>
          <w:rFonts w:cs="宋体"/>
          <w:b/>
          <w:bCs/>
          <w:kern w:val="0"/>
          <w:sz w:val="36"/>
          <w:szCs w:val="36"/>
        </w:rPr>
      </w:pPr>
    </w:p>
    <w:p>
      <w:pPr>
        <w:pStyle w:val="23"/>
      </w:pPr>
    </w:p>
    <w:p>
      <w:pPr>
        <w:spacing w:line="360" w:lineRule="atLeast"/>
        <w:ind w:left="1626" w:hanging="1626" w:hangingChars="450"/>
        <w:jc w:val="center"/>
        <w:rPr>
          <w:rFonts w:cs="宋体"/>
          <w:b/>
          <w:bCs/>
          <w:kern w:val="0"/>
          <w:sz w:val="36"/>
          <w:szCs w:val="36"/>
        </w:rPr>
      </w:pPr>
      <w:r>
        <w:rPr>
          <w:rFonts w:hint="eastAsia" w:cs="宋体"/>
          <w:b/>
          <w:bCs/>
          <w:kern w:val="0"/>
          <w:sz w:val="36"/>
          <w:szCs w:val="36"/>
        </w:rPr>
        <w:t>新疆消防救援总队克州支队“自然灾害应急能力</w:t>
      </w:r>
    </w:p>
    <w:p>
      <w:pPr>
        <w:spacing w:line="360" w:lineRule="atLeast"/>
        <w:ind w:left="1626" w:hanging="1626" w:hangingChars="450"/>
        <w:jc w:val="center"/>
        <w:rPr>
          <w:rFonts w:cs="宋体"/>
          <w:b/>
          <w:bCs/>
          <w:kern w:val="0"/>
          <w:sz w:val="36"/>
          <w:szCs w:val="36"/>
        </w:rPr>
      </w:pPr>
      <w:r>
        <w:rPr>
          <w:rFonts w:hint="eastAsia" w:cs="宋体"/>
          <w:b/>
          <w:bCs/>
          <w:kern w:val="0"/>
          <w:sz w:val="36"/>
          <w:szCs w:val="36"/>
        </w:rPr>
        <w:t>提升工程”装备配备项目二</w:t>
      </w:r>
    </w:p>
    <w:p>
      <w:pPr>
        <w:spacing w:line="360" w:lineRule="atLeast"/>
        <w:ind w:left="1446" w:hanging="1446" w:hangingChars="450"/>
        <w:jc w:val="center"/>
        <w:rPr>
          <w:sz w:val="30"/>
          <w:szCs w:val="30"/>
        </w:rPr>
      </w:pPr>
      <w:r>
        <w:rPr>
          <w:rFonts w:hint="eastAsia" w:hAnsi="宋体" w:cs="宋体"/>
          <w:b/>
          <w:bCs/>
          <w:kern w:val="0"/>
          <w:sz w:val="32"/>
          <w:szCs w:val="32"/>
        </w:rPr>
        <w:t>项目编号：XJYLHK-2024-071</w:t>
      </w:r>
    </w:p>
    <w:p>
      <w:pPr>
        <w:spacing w:line="360" w:lineRule="atLeast"/>
        <w:ind w:left="1350" w:hanging="1350" w:hangingChars="450"/>
        <w:jc w:val="center"/>
        <w:rPr>
          <w:sz w:val="30"/>
          <w:szCs w:val="30"/>
        </w:rPr>
      </w:pPr>
    </w:p>
    <w:p>
      <w:pPr>
        <w:spacing w:line="360" w:lineRule="auto"/>
        <w:jc w:val="center"/>
        <w:rPr>
          <w:rFonts w:ascii="宋体" w:hAnsi="宋体" w:cs="宋体"/>
          <w:b/>
          <w:bCs/>
          <w:sz w:val="44"/>
          <w:szCs w:val="44"/>
        </w:rPr>
      </w:pPr>
      <w:r>
        <w:rPr>
          <w:rFonts w:hint="eastAsia" w:ascii="宋体" w:hAnsi="宋体" w:cs="宋体"/>
          <w:b/>
          <w:bCs/>
          <w:sz w:val="44"/>
          <w:szCs w:val="44"/>
        </w:rPr>
        <w:t>招  标  文  件</w:t>
      </w:r>
    </w:p>
    <w:p>
      <w:pPr>
        <w:spacing w:line="360" w:lineRule="auto"/>
        <w:rPr>
          <w:rFonts w:ascii="宋体" w:hAnsi="宋体" w:cs="宋体"/>
          <w:sz w:val="30"/>
          <w:szCs w:val="30"/>
        </w:rPr>
      </w:pPr>
    </w:p>
    <w:p>
      <w:pPr>
        <w:spacing w:line="360" w:lineRule="auto"/>
        <w:rPr>
          <w:rFonts w:ascii="宋体" w:hAnsi="宋体" w:cs="宋体"/>
          <w:sz w:val="30"/>
          <w:szCs w:val="30"/>
        </w:rPr>
      </w:pPr>
    </w:p>
    <w:p>
      <w:pPr>
        <w:spacing w:line="360" w:lineRule="auto"/>
        <w:rPr>
          <w:rFonts w:ascii="宋体" w:hAnsi="宋体" w:cs="宋体"/>
          <w:sz w:val="30"/>
          <w:szCs w:val="30"/>
        </w:rPr>
      </w:pPr>
    </w:p>
    <w:p>
      <w:pPr>
        <w:spacing w:line="360" w:lineRule="auto"/>
        <w:rPr>
          <w:rFonts w:ascii="宋体" w:hAnsi="宋体" w:cs="宋体"/>
          <w:sz w:val="30"/>
          <w:szCs w:val="30"/>
        </w:rPr>
      </w:pPr>
    </w:p>
    <w:p>
      <w:pPr>
        <w:pStyle w:val="4"/>
        <w:rPr>
          <w:rFonts w:ascii="宋体" w:hAnsi="宋体" w:cs="宋体"/>
          <w:sz w:val="30"/>
          <w:szCs w:val="30"/>
        </w:rPr>
      </w:pPr>
    </w:p>
    <w:p>
      <w:pPr>
        <w:rPr>
          <w:rFonts w:ascii="宋体" w:hAnsi="宋体" w:cs="宋体"/>
          <w:sz w:val="30"/>
          <w:szCs w:val="30"/>
        </w:rPr>
      </w:pPr>
    </w:p>
    <w:p>
      <w:pPr>
        <w:pStyle w:val="4"/>
      </w:pPr>
    </w:p>
    <w:p>
      <w:pPr>
        <w:spacing w:line="360" w:lineRule="auto"/>
        <w:rPr>
          <w:rFonts w:ascii="宋体" w:hAnsi="宋体" w:cs="宋体"/>
          <w:b/>
          <w:bCs/>
          <w:sz w:val="30"/>
          <w:szCs w:val="30"/>
        </w:rPr>
      </w:pPr>
      <w:r>
        <w:rPr>
          <w:rFonts w:hint="eastAsia" w:ascii="宋体" w:hAnsi="宋体" w:cs="宋体"/>
          <w:b/>
          <w:bCs/>
          <w:kern w:val="0"/>
          <w:sz w:val="30"/>
          <w:szCs w:val="30"/>
        </w:rPr>
        <w:t>招标人（盖章）</w:t>
      </w:r>
      <w:r>
        <w:rPr>
          <w:rFonts w:hint="eastAsia" w:ascii="宋体" w:hAnsi="宋体" w:cs="宋体"/>
          <w:b/>
          <w:bCs/>
          <w:sz w:val="30"/>
          <w:szCs w:val="30"/>
        </w:rPr>
        <w:t>：克孜勒苏柯尔克孜自治州消防救援支队</w:t>
      </w:r>
    </w:p>
    <w:p>
      <w:pPr>
        <w:spacing w:line="360" w:lineRule="auto"/>
        <w:rPr>
          <w:rFonts w:ascii="宋体" w:hAnsi="宋体" w:cs="宋体"/>
          <w:b/>
          <w:bCs/>
          <w:sz w:val="30"/>
          <w:szCs w:val="30"/>
        </w:rPr>
      </w:pPr>
      <w:r>
        <w:rPr>
          <w:rFonts w:hint="eastAsia" w:ascii="宋体" w:hAnsi="宋体" w:cs="宋体"/>
          <w:b/>
          <w:bCs/>
          <w:sz w:val="30"/>
          <w:szCs w:val="30"/>
        </w:rPr>
        <w:t>联系人：戴先生、卢女士</w:t>
      </w:r>
    </w:p>
    <w:p>
      <w:pPr>
        <w:spacing w:line="360" w:lineRule="auto"/>
        <w:rPr>
          <w:rFonts w:ascii="宋体" w:hAnsi="宋体" w:cs="宋体"/>
          <w:b/>
          <w:bCs/>
          <w:sz w:val="30"/>
          <w:szCs w:val="30"/>
        </w:rPr>
      </w:pPr>
      <w:r>
        <w:rPr>
          <w:rFonts w:hint="eastAsia" w:ascii="宋体" w:hAnsi="宋体" w:cs="宋体"/>
          <w:b/>
          <w:bCs/>
          <w:sz w:val="30"/>
          <w:szCs w:val="30"/>
        </w:rPr>
        <w:t>联系电话： 18199729119、18699769975</w:t>
      </w:r>
    </w:p>
    <w:p>
      <w:pPr>
        <w:spacing w:line="360" w:lineRule="auto"/>
        <w:rPr>
          <w:rFonts w:ascii="宋体" w:hAnsi="宋体" w:cs="宋体"/>
          <w:b/>
          <w:bCs/>
          <w:sz w:val="30"/>
          <w:szCs w:val="30"/>
        </w:rPr>
      </w:pPr>
      <w:r>
        <w:rPr>
          <w:rFonts w:ascii="宋体" w:hAnsi="宋体" w:cs="宋体"/>
          <w:b/>
          <w:bCs/>
          <w:sz w:val="30"/>
          <w:szCs w:val="30"/>
        </w:rPr>
        <w:pict>
          <v:line id="_x0000_s1026" o:spid="_x0000_s1026" o:spt="20" style="position:absolute;left:0pt;margin-left:-9pt;margin-top:0pt;height:0pt;width:474pt;z-index:251660288;mso-width-relative:page;mso-height-relative:page;" coordsize="21600,21600" o:gfxdata="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">
            <v:path arrowok="t"/>
            <v:fill focussize="0,0"/>
            <v:stroke weight="1pt" dashstyle="1 1"/>
            <v:imagedata o:title=""/>
            <o:lock v:ext="edit"/>
          </v:line>
        </w:pict>
      </w:r>
    </w:p>
    <w:p>
      <w:pPr>
        <w:spacing w:line="360" w:lineRule="auto"/>
        <w:rPr>
          <w:rFonts w:ascii="宋体" w:hAnsi="宋体" w:cs="宋体"/>
          <w:b/>
          <w:bCs/>
          <w:sz w:val="30"/>
          <w:szCs w:val="30"/>
        </w:rPr>
      </w:pPr>
      <w:bookmarkStart w:id="0" w:name="_Toc120614210"/>
      <w:bookmarkStart w:id="1" w:name="_Toc494375077"/>
      <w:bookmarkStart w:id="2" w:name="_Toc20823272"/>
      <w:bookmarkStart w:id="3" w:name="_Toc16938516"/>
      <w:bookmarkStart w:id="4" w:name="_Toc479757206"/>
      <w:bookmarkStart w:id="5" w:name="_Toc513029200"/>
      <w:bookmarkStart w:id="6" w:name="_Toc523127445"/>
      <w:r>
        <w:rPr>
          <w:rFonts w:hint="eastAsia" w:ascii="宋体" w:hAnsi="宋体" w:cs="宋体"/>
          <w:b/>
          <w:bCs/>
          <w:kern w:val="0"/>
          <w:sz w:val="30"/>
          <w:szCs w:val="30"/>
        </w:rPr>
        <w:t>招标代理机构（盖章）：</w:t>
      </w:r>
      <w:r>
        <w:rPr>
          <w:rFonts w:hint="eastAsia" w:ascii="宋体" w:hAnsi="宋体" w:cs="宋体"/>
          <w:b/>
          <w:bCs/>
          <w:sz w:val="30"/>
          <w:szCs w:val="30"/>
        </w:rPr>
        <w:t>新疆云联慧科工程咨询有限公司</w:t>
      </w:r>
    </w:p>
    <w:p>
      <w:pPr>
        <w:spacing w:line="360" w:lineRule="auto"/>
        <w:rPr>
          <w:rFonts w:ascii="宋体" w:hAnsi="宋体" w:cs="宋体"/>
          <w:b/>
          <w:bCs/>
          <w:kern w:val="0"/>
          <w:sz w:val="30"/>
          <w:szCs w:val="30"/>
        </w:rPr>
      </w:pPr>
      <w:r>
        <w:rPr>
          <w:rFonts w:hint="eastAsia" w:ascii="宋体" w:hAnsi="宋体" w:cs="宋体"/>
          <w:b/>
          <w:bCs/>
          <w:kern w:val="0"/>
          <w:sz w:val="30"/>
          <w:szCs w:val="30"/>
        </w:rPr>
        <w:t>法人代表（盖章）：</w:t>
      </w:r>
    </w:p>
    <w:p>
      <w:pPr>
        <w:spacing w:line="360" w:lineRule="auto"/>
        <w:rPr>
          <w:rFonts w:ascii="宋体" w:hAnsi="宋体" w:cs="宋体"/>
          <w:b/>
          <w:bCs/>
          <w:kern w:val="0"/>
          <w:sz w:val="30"/>
          <w:szCs w:val="30"/>
        </w:rPr>
      </w:pPr>
      <w:r>
        <w:rPr>
          <w:rFonts w:hint="eastAsia" w:ascii="宋体" w:hAnsi="宋体" w:cs="宋体"/>
          <w:b/>
          <w:bCs/>
          <w:kern w:val="0"/>
          <w:sz w:val="30"/>
          <w:szCs w:val="30"/>
        </w:rPr>
        <w:t>联系人：</w:t>
      </w:r>
      <w:r>
        <w:rPr>
          <w:rFonts w:hint="eastAsia" w:ascii="宋体" w:hAnsi="宋体" w:cs="宋体"/>
          <w:b/>
          <w:bCs/>
          <w:sz w:val="30"/>
          <w:szCs w:val="30"/>
        </w:rPr>
        <w:t>邓丽娟、郑慧敏</w:t>
      </w:r>
    </w:p>
    <w:p>
      <w:pPr>
        <w:spacing w:line="360" w:lineRule="auto"/>
      </w:pPr>
      <w:r>
        <w:rPr>
          <w:rFonts w:hint="eastAsia" w:ascii="宋体" w:hAnsi="宋体" w:cs="宋体"/>
          <w:b/>
          <w:bCs/>
          <w:kern w:val="0"/>
          <w:sz w:val="30"/>
          <w:szCs w:val="30"/>
        </w:rPr>
        <w:t>联系电话：</w:t>
      </w:r>
      <w:r>
        <w:rPr>
          <w:rFonts w:hint="eastAsia" w:cs="宋体" w:asciiTheme="minorEastAsia" w:hAnsiTheme="minorEastAsia" w:eastAsiaTheme="minorEastAsia"/>
          <w:b/>
          <w:bCs/>
          <w:sz w:val="30"/>
          <w:szCs w:val="30"/>
        </w:rPr>
        <w:t>13629903024、17690987272</w:t>
      </w:r>
    </w:p>
    <w:p>
      <w:pPr>
        <w:spacing w:line="360" w:lineRule="auto"/>
        <w:rPr>
          <w:rFonts w:ascii="宋体" w:hAnsi="宋体" w:cs="宋体"/>
          <w:b/>
          <w:bCs/>
          <w:kern w:val="0"/>
          <w:sz w:val="30"/>
          <w:szCs w:val="30"/>
        </w:rPr>
        <w:sectPr>
          <w:headerReference r:id="rId5" w:type="first"/>
          <w:footerReference r:id="rId8" w:type="first"/>
          <w:headerReference r:id="rId3" w:type="default"/>
          <w:footerReference r:id="rId6" w:type="default"/>
          <w:headerReference r:id="rId4" w:type="even"/>
          <w:footerReference r:id="rId7" w:type="even"/>
          <w:pgSz w:w="11906" w:h="16838"/>
          <w:pgMar w:top="1418" w:right="1417" w:bottom="1418" w:left="1417" w:header="851" w:footer="907" w:gutter="0"/>
          <w:pgNumType w:start="1"/>
          <w:cols w:space="720" w:num="1"/>
          <w:titlePg/>
          <w:docGrid w:type="lines" w:linePitch="290" w:charSpace="0"/>
        </w:sectPr>
      </w:pPr>
    </w:p>
    <w:p>
      <w:pPr>
        <w:spacing w:line="360" w:lineRule="auto"/>
        <w:rPr>
          <w:rFonts w:ascii="宋体" w:hAnsi="宋体" w:cs="宋体"/>
          <w:b/>
          <w:bCs/>
          <w:kern w:val="0"/>
          <w:sz w:val="30"/>
          <w:szCs w:val="30"/>
        </w:rPr>
      </w:pPr>
    </w:p>
    <w:p>
      <w:pPr>
        <w:pStyle w:val="130"/>
        <w:jc w:val="center"/>
        <w:rPr>
          <w:color w:val="auto"/>
          <w:sz w:val="44"/>
          <w:szCs w:val="44"/>
          <w:lang w:val="zh-CN"/>
        </w:rPr>
      </w:pPr>
      <w:r>
        <w:rPr>
          <w:color w:val="auto"/>
          <w:sz w:val="44"/>
          <w:szCs w:val="44"/>
          <w:lang w:val="zh-CN"/>
        </w:rPr>
        <w:t>目录</w:t>
      </w:r>
    </w:p>
    <w:p>
      <w:pPr>
        <w:rPr>
          <w:sz w:val="44"/>
          <w:szCs w:val="44"/>
          <w:lang w:val="zh-CN"/>
        </w:rPr>
      </w:pPr>
    </w:p>
    <w:p>
      <w:pPr>
        <w:pStyle w:val="22"/>
        <w:tabs>
          <w:tab w:val="right" w:leader="dot" w:pos="9072"/>
        </w:tabs>
        <w:spacing w:line="720" w:lineRule="auto"/>
        <w:rPr>
          <w:sz w:val="28"/>
          <w:szCs w:val="28"/>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"_Toc26965" </w:instrText>
      </w:r>
      <w:r>
        <w:fldChar w:fldCharType="separate"/>
      </w:r>
      <w:r>
        <w:rPr>
          <w:rFonts w:hint="eastAsia"/>
          <w:sz w:val="28"/>
          <w:szCs w:val="28"/>
        </w:rPr>
        <w:t>须知前附表</w:t>
      </w:r>
      <w:r>
        <w:rPr>
          <w:sz w:val="28"/>
          <w:szCs w:val="28"/>
        </w:rPr>
        <w:tab/>
      </w:r>
      <w:r>
        <w:rPr>
          <w:sz w:val="28"/>
          <w:szCs w:val="28"/>
        </w:rPr>
        <w:fldChar w:fldCharType="begin"/>
      </w:r>
      <w:r>
        <w:rPr>
          <w:sz w:val="28"/>
          <w:szCs w:val="28"/>
        </w:rPr>
        <w:instrText xml:space="preserve"> PAGEREF _Toc26965 \h </w:instrText>
      </w:r>
      <w:r>
        <w:rPr>
          <w:sz w:val="28"/>
          <w:szCs w:val="28"/>
        </w:rPr>
        <w:fldChar w:fldCharType="separate"/>
      </w:r>
      <w:r>
        <w:rPr>
          <w:sz w:val="28"/>
          <w:szCs w:val="28"/>
        </w:rPr>
        <w:t>1</w:t>
      </w:r>
      <w:r>
        <w:rPr>
          <w:sz w:val="28"/>
          <w:szCs w:val="28"/>
        </w:rPr>
        <w:fldChar w:fldCharType="end"/>
      </w:r>
      <w:r>
        <w:rPr>
          <w:sz w:val="28"/>
          <w:szCs w:val="28"/>
        </w:rPr>
        <w:fldChar w:fldCharType="end"/>
      </w:r>
    </w:p>
    <w:p>
      <w:pPr>
        <w:pStyle w:val="22"/>
        <w:tabs>
          <w:tab w:val="right" w:leader="dot" w:pos="9072"/>
        </w:tabs>
        <w:spacing w:line="720" w:lineRule="auto"/>
        <w:rPr>
          <w:sz w:val="28"/>
          <w:szCs w:val="28"/>
        </w:rPr>
      </w:pPr>
      <w:r>
        <w:fldChar w:fldCharType="begin"/>
      </w:r>
      <w:r>
        <w:instrText xml:space="preserve"> HYPERLINK \l "_Toc32510" </w:instrText>
      </w:r>
      <w:r>
        <w:fldChar w:fldCharType="separate"/>
      </w:r>
      <w:r>
        <w:rPr>
          <w:rFonts w:hint="eastAsia"/>
          <w:sz w:val="28"/>
          <w:szCs w:val="28"/>
        </w:rPr>
        <w:t>第一章 招标邀请</w:t>
      </w:r>
      <w:r>
        <w:rPr>
          <w:sz w:val="28"/>
          <w:szCs w:val="28"/>
        </w:rPr>
        <w:tab/>
      </w:r>
      <w:r>
        <w:rPr>
          <w:sz w:val="28"/>
          <w:szCs w:val="28"/>
        </w:rPr>
        <w:fldChar w:fldCharType="begin"/>
      </w:r>
      <w:r>
        <w:rPr>
          <w:sz w:val="28"/>
          <w:szCs w:val="28"/>
        </w:rPr>
        <w:instrText xml:space="preserve"> PAGEREF _Toc32510 \h </w:instrText>
      </w:r>
      <w:r>
        <w:rPr>
          <w:sz w:val="28"/>
          <w:szCs w:val="28"/>
        </w:rPr>
        <w:fldChar w:fldCharType="separate"/>
      </w:r>
      <w:r>
        <w:rPr>
          <w:sz w:val="28"/>
          <w:szCs w:val="28"/>
        </w:rPr>
        <w:t>8</w:t>
      </w:r>
      <w:r>
        <w:rPr>
          <w:sz w:val="28"/>
          <w:szCs w:val="28"/>
        </w:rPr>
        <w:fldChar w:fldCharType="end"/>
      </w:r>
      <w:r>
        <w:rPr>
          <w:sz w:val="28"/>
          <w:szCs w:val="28"/>
        </w:rPr>
        <w:fldChar w:fldCharType="end"/>
      </w:r>
    </w:p>
    <w:p>
      <w:pPr>
        <w:pStyle w:val="22"/>
        <w:tabs>
          <w:tab w:val="right" w:leader="dot" w:pos="9072"/>
        </w:tabs>
        <w:spacing w:line="720" w:lineRule="auto"/>
        <w:rPr>
          <w:sz w:val="28"/>
          <w:szCs w:val="28"/>
        </w:rPr>
      </w:pPr>
      <w:r>
        <w:fldChar w:fldCharType="begin"/>
      </w:r>
      <w:r>
        <w:instrText xml:space="preserve"> HYPERLINK \l "_Toc26763" </w:instrText>
      </w:r>
      <w:r>
        <w:fldChar w:fldCharType="separate"/>
      </w:r>
      <w:r>
        <w:rPr>
          <w:rFonts w:hint="eastAsia"/>
          <w:sz w:val="28"/>
          <w:szCs w:val="28"/>
        </w:rPr>
        <w:t>第二章 投标人须知</w:t>
      </w:r>
      <w:r>
        <w:rPr>
          <w:sz w:val="28"/>
          <w:szCs w:val="28"/>
        </w:rPr>
        <w:tab/>
      </w:r>
      <w:r>
        <w:rPr>
          <w:sz w:val="28"/>
          <w:szCs w:val="28"/>
        </w:rPr>
        <w:fldChar w:fldCharType="begin"/>
      </w:r>
      <w:r>
        <w:rPr>
          <w:sz w:val="28"/>
          <w:szCs w:val="28"/>
        </w:rPr>
        <w:instrText xml:space="preserve"> PAGEREF _Toc26763 \h </w:instrText>
      </w:r>
      <w:r>
        <w:rPr>
          <w:sz w:val="28"/>
          <w:szCs w:val="28"/>
        </w:rPr>
        <w:fldChar w:fldCharType="separate"/>
      </w:r>
      <w:r>
        <w:rPr>
          <w:sz w:val="28"/>
          <w:szCs w:val="28"/>
        </w:rPr>
        <w:t>16</w:t>
      </w:r>
      <w:r>
        <w:rPr>
          <w:sz w:val="28"/>
          <w:szCs w:val="28"/>
        </w:rPr>
        <w:fldChar w:fldCharType="end"/>
      </w:r>
      <w:r>
        <w:rPr>
          <w:sz w:val="28"/>
          <w:szCs w:val="28"/>
        </w:rPr>
        <w:fldChar w:fldCharType="end"/>
      </w:r>
    </w:p>
    <w:p>
      <w:pPr>
        <w:pStyle w:val="22"/>
        <w:tabs>
          <w:tab w:val="right" w:leader="dot" w:pos="9072"/>
        </w:tabs>
        <w:spacing w:line="720" w:lineRule="auto"/>
        <w:rPr>
          <w:sz w:val="28"/>
          <w:szCs w:val="28"/>
        </w:rPr>
      </w:pPr>
      <w:r>
        <w:fldChar w:fldCharType="begin"/>
      </w:r>
      <w:r>
        <w:instrText xml:space="preserve"> HYPERLINK \l "_Toc30905" </w:instrText>
      </w:r>
      <w:r>
        <w:fldChar w:fldCharType="separate"/>
      </w:r>
      <w:r>
        <w:rPr>
          <w:rFonts w:hint="eastAsia"/>
          <w:sz w:val="28"/>
          <w:szCs w:val="28"/>
        </w:rPr>
        <w:t>第三章 评分办法及评分标准</w:t>
      </w:r>
      <w:r>
        <w:rPr>
          <w:sz w:val="28"/>
          <w:szCs w:val="28"/>
        </w:rPr>
        <w:tab/>
      </w:r>
      <w:r>
        <w:rPr>
          <w:sz w:val="28"/>
          <w:szCs w:val="28"/>
        </w:rPr>
        <w:fldChar w:fldCharType="begin"/>
      </w:r>
      <w:r>
        <w:rPr>
          <w:sz w:val="28"/>
          <w:szCs w:val="28"/>
        </w:rPr>
        <w:instrText xml:space="preserve"> PAGEREF _Toc30905 \h </w:instrText>
      </w:r>
      <w:r>
        <w:rPr>
          <w:sz w:val="28"/>
          <w:szCs w:val="28"/>
        </w:rPr>
        <w:fldChar w:fldCharType="separate"/>
      </w:r>
      <w:r>
        <w:rPr>
          <w:sz w:val="28"/>
          <w:szCs w:val="28"/>
        </w:rPr>
        <w:t>32</w:t>
      </w:r>
      <w:r>
        <w:rPr>
          <w:sz w:val="28"/>
          <w:szCs w:val="28"/>
        </w:rPr>
        <w:fldChar w:fldCharType="end"/>
      </w:r>
      <w:r>
        <w:rPr>
          <w:sz w:val="28"/>
          <w:szCs w:val="28"/>
        </w:rPr>
        <w:fldChar w:fldCharType="end"/>
      </w:r>
    </w:p>
    <w:p>
      <w:pPr>
        <w:pStyle w:val="22"/>
        <w:tabs>
          <w:tab w:val="right" w:leader="dot" w:pos="9072"/>
        </w:tabs>
        <w:spacing w:line="720" w:lineRule="auto"/>
        <w:rPr>
          <w:sz w:val="28"/>
          <w:szCs w:val="28"/>
        </w:rPr>
      </w:pPr>
      <w:r>
        <w:fldChar w:fldCharType="begin"/>
      </w:r>
      <w:r>
        <w:instrText xml:space="preserve"> HYPERLINK \l "_Toc15450" </w:instrText>
      </w:r>
      <w:r>
        <w:fldChar w:fldCharType="separate"/>
      </w:r>
      <w:r>
        <w:rPr>
          <w:rFonts w:hint="eastAsia"/>
          <w:sz w:val="28"/>
          <w:szCs w:val="28"/>
        </w:rPr>
        <w:t xml:space="preserve">第四章 </w:t>
      </w:r>
      <w:r>
        <w:rPr>
          <w:rFonts w:hint="eastAsia"/>
          <w:sz w:val="28"/>
          <w:szCs w:val="28"/>
          <w:lang w:eastAsia="en-US"/>
        </w:rPr>
        <w:t>拟订立的合同样本</w:t>
      </w:r>
      <w:r>
        <w:rPr>
          <w:sz w:val="28"/>
          <w:szCs w:val="28"/>
        </w:rPr>
        <w:tab/>
      </w:r>
      <w:r>
        <w:rPr>
          <w:sz w:val="28"/>
          <w:szCs w:val="28"/>
        </w:rPr>
        <w:fldChar w:fldCharType="begin"/>
      </w:r>
      <w:r>
        <w:rPr>
          <w:sz w:val="28"/>
          <w:szCs w:val="28"/>
        </w:rPr>
        <w:instrText xml:space="preserve"> PAGEREF _Toc15450 \h </w:instrText>
      </w:r>
      <w:r>
        <w:rPr>
          <w:sz w:val="28"/>
          <w:szCs w:val="28"/>
        </w:rPr>
        <w:fldChar w:fldCharType="separate"/>
      </w:r>
      <w:r>
        <w:rPr>
          <w:sz w:val="28"/>
          <w:szCs w:val="28"/>
        </w:rPr>
        <w:t>61</w:t>
      </w:r>
      <w:r>
        <w:rPr>
          <w:sz w:val="28"/>
          <w:szCs w:val="28"/>
        </w:rPr>
        <w:fldChar w:fldCharType="end"/>
      </w:r>
      <w:r>
        <w:rPr>
          <w:sz w:val="28"/>
          <w:szCs w:val="28"/>
        </w:rPr>
        <w:fldChar w:fldCharType="end"/>
      </w:r>
    </w:p>
    <w:p>
      <w:pPr>
        <w:pStyle w:val="22"/>
        <w:tabs>
          <w:tab w:val="right" w:leader="dot" w:pos="9072"/>
        </w:tabs>
        <w:spacing w:line="720" w:lineRule="auto"/>
        <w:rPr>
          <w:sz w:val="28"/>
          <w:szCs w:val="28"/>
        </w:rPr>
      </w:pPr>
      <w:r>
        <w:fldChar w:fldCharType="begin"/>
      </w:r>
      <w:r>
        <w:instrText xml:space="preserve"> HYPERLINK \l "_Toc17639" </w:instrText>
      </w:r>
      <w:r>
        <w:fldChar w:fldCharType="separate"/>
      </w:r>
      <w:r>
        <w:rPr>
          <w:rFonts w:hint="eastAsia"/>
          <w:sz w:val="28"/>
          <w:szCs w:val="28"/>
        </w:rPr>
        <w:t>第五章 投标文件格式</w:t>
      </w:r>
      <w:r>
        <w:rPr>
          <w:sz w:val="28"/>
          <w:szCs w:val="28"/>
        </w:rPr>
        <w:tab/>
      </w:r>
      <w:r>
        <w:rPr>
          <w:rFonts w:hint="eastAsia"/>
          <w:sz w:val="28"/>
          <w:szCs w:val="28"/>
        </w:rPr>
        <w:t>42</w:t>
      </w:r>
      <w:r>
        <w:rPr>
          <w:rFonts w:hint="eastAsia"/>
          <w:sz w:val="28"/>
          <w:szCs w:val="28"/>
        </w:rPr>
        <w:fldChar w:fldCharType="end"/>
      </w:r>
    </w:p>
    <w:p>
      <w:pPr>
        <w:pStyle w:val="22"/>
        <w:tabs>
          <w:tab w:val="right" w:leader="dot" w:pos="9072"/>
        </w:tabs>
        <w:spacing w:line="720" w:lineRule="auto"/>
      </w:pPr>
      <w:r>
        <w:fldChar w:fldCharType="begin"/>
      </w:r>
      <w:r>
        <w:instrText xml:space="preserve"> HYPERLINK \l "_Toc24870" </w:instrText>
      </w:r>
      <w:r>
        <w:fldChar w:fldCharType="separate"/>
      </w:r>
      <w:r>
        <w:rPr>
          <w:rFonts w:hint="eastAsia"/>
          <w:sz w:val="28"/>
          <w:szCs w:val="28"/>
        </w:rPr>
        <w:t>第六章 项目需求</w:t>
      </w:r>
      <w:r>
        <w:rPr>
          <w:sz w:val="28"/>
          <w:szCs w:val="28"/>
        </w:rPr>
        <w:tab/>
      </w:r>
      <w:r>
        <w:rPr>
          <w:rFonts w:hint="eastAsia"/>
          <w:sz w:val="28"/>
          <w:szCs w:val="28"/>
        </w:rPr>
        <w:t>74</w:t>
      </w:r>
      <w:r>
        <w:rPr>
          <w:rFonts w:hint="eastAsia"/>
          <w:sz w:val="28"/>
          <w:szCs w:val="28"/>
        </w:rPr>
        <w:fldChar w:fldCharType="end"/>
      </w:r>
    </w:p>
    <w:p>
      <w:r>
        <w:rPr>
          <w:szCs w:val="28"/>
        </w:rPr>
        <w:fldChar w:fldCharType="end"/>
      </w:r>
    </w:p>
    <w:p>
      <w:pPr>
        <w:pStyle w:val="3"/>
        <w:sectPr>
          <w:headerReference r:id="rId9" w:type="default"/>
          <w:footerReference r:id="rId10" w:type="default"/>
          <w:pgSz w:w="11906" w:h="16838"/>
          <w:pgMar w:top="1440" w:right="1800" w:bottom="1440" w:left="1800" w:header="851" w:footer="992" w:gutter="0"/>
          <w:cols w:space="720" w:num="1"/>
          <w:docGrid w:type="lines" w:linePitch="312" w:charSpace="0"/>
        </w:sectPr>
      </w:pPr>
      <w:bookmarkStart w:id="7" w:name="_Toc26965"/>
      <w:bookmarkStart w:id="8" w:name="_Toc21554"/>
      <w:bookmarkStart w:id="9" w:name="_Toc20753"/>
      <w:bookmarkStart w:id="10" w:name="_Toc534725596"/>
      <w:bookmarkStart w:id="11" w:name="_Toc13808"/>
      <w:bookmarkStart w:id="12" w:name="_Toc22122"/>
    </w:p>
    <w:p>
      <w:pPr>
        <w:pStyle w:val="3"/>
        <w:rPr>
          <w:lang w:eastAsia="en-US"/>
        </w:rPr>
      </w:pPr>
      <w:r>
        <w:rPr>
          <w:rFonts w:hint="eastAsia"/>
        </w:rPr>
        <w:t>须知前附表</w:t>
      </w:r>
      <w:bookmarkEnd w:id="7"/>
      <w:bookmarkEnd w:id="8"/>
      <w:bookmarkEnd w:id="9"/>
    </w:p>
    <w:tbl>
      <w:tblPr>
        <w:tblStyle w:val="38"/>
        <w:tblW w:w="901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84"/>
        <w:gridCol w:w="1695"/>
        <w:gridCol w:w="663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rPr>
            </w:pPr>
            <w:r>
              <w:rPr>
                <w:rFonts w:hint="eastAsia" w:hAnsi="宋体" w:cs="Arial"/>
                <w:b/>
                <w:bCs/>
              </w:rPr>
              <w:t>序号</w:t>
            </w:r>
          </w:p>
        </w:tc>
        <w:tc>
          <w:tcPr>
            <w:tcW w:w="1695"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rPr>
            </w:pPr>
            <w:r>
              <w:rPr>
                <w:rFonts w:hint="eastAsia" w:hAnsi="宋体" w:cs="Arial"/>
                <w:b/>
                <w:bCs/>
              </w:rPr>
              <w:t>内  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
                <w:bCs/>
              </w:rPr>
            </w:pPr>
            <w:r>
              <w:rPr>
                <w:rFonts w:hint="eastAsia" w:hAnsi="宋体" w:cs="Arial"/>
                <w:b/>
                <w:bCs/>
              </w:rPr>
              <w:t>说明及要求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5"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项目名称</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rFonts w:cs="宋体"/>
                <w:b/>
                <w:bCs/>
                <w:kern w:val="0"/>
                <w:sz w:val="36"/>
                <w:szCs w:val="36"/>
              </w:rPr>
            </w:pPr>
            <w:r>
              <w:rPr>
                <w:rFonts w:hint="eastAsia" w:hAnsi="宋体" w:cs="Arial"/>
                <w:bCs/>
              </w:rPr>
              <w:t>新疆消防救援总队克州支队“自然灾害应急能力提升工程”装备配备项目二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5"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00" w:lineRule="exact"/>
              <w:jc w:val="center"/>
              <w:rPr>
                <w:rFonts w:hAnsi="宋体" w:cs="Arial"/>
                <w:bCs/>
              </w:rPr>
            </w:pP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rPr>
              <w:t>招标编号</w:t>
            </w:r>
          </w:p>
        </w:tc>
        <w:tc>
          <w:tcPr>
            <w:tcW w:w="6639" w:type="dxa"/>
            <w:tcBorders>
              <w:top w:val="single" w:color="auto" w:sz="4" w:space="0"/>
              <w:left w:val="single" w:color="auto" w:sz="4" w:space="0"/>
              <w:bottom w:val="single" w:color="auto" w:sz="4" w:space="0"/>
              <w:right w:val="single" w:color="auto" w:sz="4" w:space="0"/>
            </w:tcBorders>
            <w:vAlign w:val="center"/>
          </w:tcPr>
          <w:p>
            <w:pPr>
              <w:spacing w:line="400" w:lineRule="exact"/>
              <w:rPr>
                <w:rFonts w:hAnsi="宋体" w:cs="Arial"/>
                <w:bCs/>
              </w:rPr>
            </w:pPr>
            <w:r>
              <w:rPr>
                <w:rFonts w:hint="eastAsia" w:hAnsi="宋体" w:cs="Arial"/>
                <w:bCs/>
              </w:rPr>
              <w:t>XJYLHK-2024-071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1" w:hRule="atLeast"/>
          <w:jc w:val="center"/>
        </w:trPr>
        <w:tc>
          <w:tcPr>
            <w:tcW w:w="684" w:type="dxa"/>
            <w:vMerge w:val="restart"/>
            <w:tcBorders>
              <w:top w:val="single" w:color="auto" w:sz="4" w:space="0"/>
              <w:left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资金来源</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s="Arial"/>
                <w:bCs/>
              </w:rPr>
            </w:pPr>
            <w:r>
              <w:rPr>
                <w:rFonts w:hint="eastAsia" w:hAnsi="宋体" w:cs="Arial"/>
                <w:bCs/>
              </w:rPr>
              <w:t>国债资金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vMerge w:val="continue"/>
            <w:tcBorders>
              <w:left w:val="single" w:color="auto" w:sz="4" w:space="0"/>
              <w:right w:val="single" w:color="auto" w:sz="4" w:space="0"/>
            </w:tcBorders>
            <w:vAlign w:val="center"/>
          </w:tcPr>
          <w:p>
            <w:pPr>
              <w:spacing w:line="300" w:lineRule="exact"/>
              <w:jc w:val="center"/>
              <w:rPr>
                <w:rFonts w:hAnsi="宋体" w:cs="Arial"/>
                <w:bCs/>
              </w:rPr>
            </w:pPr>
          </w:p>
        </w:tc>
        <w:tc>
          <w:tcPr>
            <w:tcW w:w="1695" w:type="dxa"/>
            <w:vMerge w:val="restart"/>
            <w:tcBorders>
              <w:top w:val="single" w:color="auto" w:sz="4" w:space="0"/>
              <w:left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预算金额</w:t>
            </w:r>
          </w:p>
          <w:p>
            <w:pPr>
              <w:spacing w:line="288" w:lineRule="auto"/>
              <w:jc w:val="center"/>
            </w:pPr>
            <w:r>
              <w:rPr>
                <w:rFonts w:hint="eastAsia" w:hAnsi="宋体" w:cs="Arial"/>
                <w:bCs/>
              </w:rPr>
              <w:t>最高限价</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s="Arial"/>
                <w:bCs/>
              </w:rPr>
            </w:pPr>
            <w:r>
              <w:rPr>
                <w:rFonts w:hint="eastAsia" w:hAnsi="宋体" w:cs="Arial"/>
                <w:bCs/>
              </w:rPr>
              <w:t>预算总金额：945.16万元</w:t>
            </w:r>
          </w:p>
          <w:p>
            <w:pPr>
              <w:pStyle w:val="23"/>
              <w:spacing w:line="288" w:lineRule="auto"/>
              <w:jc w:val="left"/>
              <w:rPr>
                <w:rFonts w:ascii="Times New Roman" w:hAnsi="宋体" w:cs="Arial"/>
                <w:bCs/>
              </w:rPr>
            </w:pPr>
            <w:r>
              <w:rPr>
                <w:rFonts w:hint="eastAsia" w:ascii="Times New Roman" w:hAnsi="宋体" w:cs="Arial"/>
                <w:bCs/>
              </w:rPr>
              <w:t>第一包：181.26万元；第二包：200万元；第三包：176.15万元</w:t>
            </w:r>
          </w:p>
          <w:p>
            <w:pPr>
              <w:pStyle w:val="23"/>
              <w:spacing w:line="288" w:lineRule="auto"/>
              <w:jc w:val="left"/>
              <w:rPr>
                <w:rFonts w:hAnsi="宋体" w:cs="Arial"/>
                <w:bCs/>
              </w:rPr>
            </w:pPr>
            <w:r>
              <w:rPr>
                <w:rFonts w:hint="eastAsia" w:ascii="Times New Roman" w:hAnsi="宋体" w:cs="Arial"/>
                <w:bCs/>
              </w:rPr>
              <w:t>第四包：156.8万元；第五包：230.95万元；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vMerge w:val="continue"/>
            <w:tcBorders>
              <w:left w:val="single" w:color="auto" w:sz="4" w:space="0"/>
              <w:bottom w:val="single" w:color="auto" w:sz="4" w:space="0"/>
              <w:right w:val="single" w:color="auto" w:sz="4" w:space="0"/>
            </w:tcBorders>
            <w:vAlign w:val="center"/>
          </w:tcPr>
          <w:p>
            <w:pPr>
              <w:spacing w:line="300" w:lineRule="exact"/>
              <w:jc w:val="center"/>
              <w:rPr>
                <w:rFonts w:hAnsi="宋体" w:cs="Arial"/>
                <w:bCs/>
              </w:rPr>
            </w:pPr>
          </w:p>
        </w:tc>
        <w:tc>
          <w:tcPr>
            <w:tcW w:w="1695" w:type="dxa"/>
            <w:vMerge w:val="continue"/>
            <w:tcBorders>
              <w:left w:val="single" w:color="auto" w:sz="4" w:space="0"/>
              <w:bottom w:val="single" w:color="auto" w:sz="4" w:space="0"/>
              <w:right w:val="single" w:color="auto" w:sz="4" w:space="0"/>
            </w:tcBorders>
            <w:vAlign w:val="center"/>
          </w:tcPr>
          <w:p>
            <w:pPr>
              <w:spacing w:line="288" w:lineRule="auto"/>
              <w:jc w:val="center"/>
              <w:rPr>
                <w:rFonts w:hAnsi="宋体" w:cs="Arial"/>
                <w:bCs/>
              </w:rPr>
            </w:pPr>
          </w:p>
        </w:tc>
        <w:tc>
          <w:tcPr>
            <w:tcW w:w="6639" w:type="dxa"/>
            <w:tcBorders>
              <w:top w:val="single" w:color="auto" w:sz="4" w:space="0"/>
              <w:left w:val="single" w:color="auto" w:sz="4" w:space="0"/>
              <w:bottom w:val="single" w:color="auto" w:sz="4" w:space="0"/>
              <w:right w:val="single" w:color="auto" w:sz="4" w:space="0"/>
            </w:tcBorders>
            <w:vAlign w:val="center"/>
          </w:tcPr>
          <w:p>
            <w:pPr>
              <w:pStyle w:val="23"/>
              <w:spacing w:line="288" w:lineRule="auto"/>
              <w:jc w:val="left"/>
              <w:rPr>
                <w:rFonts w:hAnsi="宋体" w:cs="Arial"/>
                <w:bCs/>
              </w:rPr>
            </w:pPr>
            <w:r>
              <w:rPr>
                <w:rFonts w:hint="eastAsia" w:hAnsi="宋体" w:cs="Arial"/>
                <w:bCs/>
              </w:rPr>
              <w:t>最高限价：945.16万元</w:t>
            </w:r>
          </w:p>
          <w:p>
            <w:pPr>
              <w:pStyle w:val="23"/>
              <w:spacing w:line="288" w:lineRule="auto"/>
              <w:jc w:val="left"/>
              <w:rPr>
                <w:rFonts w:asciiTheme="minorEastAsia" w:hAnsiTheme="minorEastAsia" w:eastAsiaTheme="minorEastAsia" w:cstheme="minorEastAsia"/>
                <w:bCs/>
              </w:rPr>
            </w:pPr>
            <w:r>
              <w:rPr>
                <w:rFonts w:hint="eastAsia" w:asciiTheme="minorEastAsia" w:hAnsiTheme="minorEastAsia" w:eastAsiaTheme="minorEastAsia" w:cstheme="minorEastAsia"/>
                <w:bCs/>
              </w:rPr>
              <w:t>第一包：181.26万元；第二包：200万元；第三包：176.15万元</w:t>
            </w:r>
          </w:p>
          <w:p>
            <w:pPr>
              <w:pStyle w:val="23"/>
              <w:spacing w:line="288" w:lineRule="auto"/>
              <w:jc w:val="left"/>
              <w:rPr>
                <w:rFonts w:asciiTheme="minorEastAsia" w:hAnsiTheme="minorEastAsia" w:eastAsiaTheme="minorEastAsia" w:cstheme="minorEastAsia"/>
                <w:bCs/>
              </w:rPr>
            </w:pPr>
            <w:r>
              <w:rPr>
                <w:rFonts w:hint="eastAsia" w:asciiTheme="minorEastAsia" w:hAnsiTheme="minorEastAsia" w:eastAsiaTheme="minorEastAsia" w:cstheme="minorEastAsia"/>
                <w:bCs/>
              </w:rPr>
              <w:t>第四包：156.8万元；第五包：230.95万元（供应商的报价不得超过最高限价，否则其响应文件将被拒绝。）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招标方式</w:t>
            </w:r>
          </w:p>
        </w:tc>
        <w:tc>
          <w:tcPr>
            <w:tcW w:w="6639" w:type="dxa"/>
            <w:tcBorders>
              <w:top w:val="single" w:color="auto" w:sz="4" w:space="0"/>
              <w:left w:val="single" w:color="auto" w:sz="4" w:space="0"/>
              <w:bottom w:val="single" w:color="auto" w:sz="4" w:space="0"/>
              <w:right w:val="single" w:color="auto" w:sz="4" w:space="0"/>
            </w:tcBorders>
            <w:vAlign w:val="center"/>
          </w:tcPr>
          <w:p>
            <w:pPr>
              <w:pStyle w:val="124"/>
              <w:spacing w:line="288" w:lineRule="auto"/>
              <w:ind w:left="0"/>
              <w:rPr>
                <w:rFonts w:ascii="宋体" w:hAnsi="宋体" w:cs="Arial"/>
                <w:bCs/>
                <w:sz w:val="21"/>
                <w:szCs w:val="21"/>
              </w:rPr>
            </w:pPr>
            <w:r>
              <w:rPr>
                <w:rFonts w:hint="eastAsia" w:ascii="宋体" w:hAnsi="宋体" w:cs="Arial"/>
                <w:bCs/>
                <w:sz w:val="21"/>
                <w:szCs w:val="21"/>
              </w:rPr>
              <w:t>公开招标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招标内容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rPr>
            </w:pPr>
            <w:r>
              <w:rPr>
                <w:rFonts w:hint="eastAsia" w:hAnsi="宋体"/>
              </w:rPr>
              <w:t>详见本招标文件第六章项目需求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供货地点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rPr>
            </w:pPr>
            <w:r>
              <w:rPr>
                <w:rFonts w:hint="eastAsia" w:hAnsi="宋体"/>
              </w:rPr>
              <w:t>招标人指定地点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rPr>
            </w:pPr>
            <w:r>
              <w:rPr>
                <w:rFonts w:hint="eastAsia" w:hAnsi="宋体" w:cs="Arial"/>
              </w:rPr>
              <w:t>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rPr>
            </w:pPr>
            <w:r>
              <w:rPr>
                <w:rFonts w:hint="eastAsia" w:hAnsi="宋体" w:cs="宋体"/>
              </w:rPr>
              <w:t>货物交付时限</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rPr>
            </w:pPr>
            <w:r>
              <w:rPr>
                <w:rFonts w:hint="eastAsia" w:hAnsi="宋体"/>
              </w:rPr>
              <w:t>装备合同签订后45天内交货</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rPr>
            </w:pPr>
            <w:r>
              <w:rPr>
                <w:rFonts w:hint="eastAsia" w:hAnsi="宋体" w:cs="宋体"/>
              </w:rPr>
              <w:t>质量标准</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rPr>
            </w:pPr>
            <w:r>
              <w:rPr>
                <w:rFonts w:hint="eastAsia" w:hAnsi="宋体"/>
              </w:rPr>
              <w:t>达到招标人要求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宋体"/>
              </w:rPr>
            </w:pPr>
            <w:r>
              <w:rPr>
                <w:rFonts w:hint="eastAsia" w:cs="宋体"/>
              </w:rPr>
              <w:t>付款方式</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pPr>
            <w:r>
              <w:rPr>
                <w:rFonts w:hint="eastAsia"/>
              </w:rPr>
              <w:t>中标单位按合同约定交付全部产品、安装调试完毕，验收合格并经过结算审计后30日内，采购人按验收报告、结算审计、合同相关条款支付货款100%；如结算审计有审减，按照结算审计结果支付货款；如验收不合格、未完成安装调试，参照第四章违约责任执行。(如采购人有付款需求，在签订合同后，中标单位向采购人提供同等合同金额的银行保函，收到保函，采购人可支付合同金额的100%，待验收合格、安装调试完毕后，根据结算审计结果解除银行质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rPr>
            </w:pPr>
            <w:r>
              <w:rPr>
                <w:rFonts w:hint="eastAsia" w:cs="宋体"/>
              </w:rPr>
              <w:t>质量保修期</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pPr>
            <w:r>
              <w:rPr>
                <w:rFonts w:hint="eastAsia"/>
              </w:rPr>
              <w:t>消防装备自验收合格之日起三年，质保期内免费维修更换相关配件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rPr>
            </w:pPr>
            <w:r>
              <w:rPr>
                <w:rFonts w:hint="eastAsia" w:cs="宋体"/>
              </w:rPr>
              <w:t>进口产品</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rPr>
            </w:pPr>
            <w:r>
              <w:rPr>
                <w:rFonts w:hint="eastAsia" w:hAnsi="宋体"/>
              </w:rPr>
              <w:t>本项目不接受进口产品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6"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rPr>
            </w:pPr>
            <w:r>
              <w:rPr>
                <w:rFonts w:hint="eastAsia" w:cs="宋体"/>
              </w:rPr>
              <w:t>核心产品</w:t>
            </w:r>
          </w:p>
        </w:tc>
        <w:tc>
          <w:tcPr>
            <w:tcW w:w="6639" w:type="dxa"/>
            <w:tcBorders>
              <w:top w:val="single" w:color="auto" w:sz="4" w:space="0"/>
              <w:left w:val="single" w:color="auto" w:sz="4" w:space="0"/>
              <w:bottom w:val="single" w:color="auto" w:sz="4" w:space="0"/>
              <w:right w:val="single" w:color="auto" w:sz="4" w:space="0"/>
            </w:tcBorders>
            <w:vAlign w:val="center"/>
          </w:tcPr>
          <w:p>
            <w:pPr>
              <w:pStyle w:val="23"/>
              <w:spacing w:line="320" w:lineRule="exact"/>
              <w:rPr>
                <w:sz w:val="22"/>
                <w:szCs w:val="22"/>
              </w:rPr>
            </w:pPr>
            <w:r>
              <w:rPr>
                <w:rFonts w:hint="eastAsia"/>
                <w:sz w:val="22"/>
                <w:szCs w:val="22"/>
              </w:rPr>
              <w:t>第一包：☑有  □无 核心产品为：干式潜水衣、水下推进器；</w:t>
            </w:r>
          </w:p>
          <w:p>
            <w:pPr>
              <w:pStyle w:val="23"/>
              <w:spacing w:line="320" w:lineRule="exact"/>
              <w:rPr>
                <w:sz w:val="22"/>
                <w:szCs w:val="22"/>
              </w:rPr>
            </w:pPr>
            <w:r>
              <w:rPr>
                <w:rFonts w:hint="eastAsia"/>
                <w:sz w:val="22"/>
                <w:szCs w:val="22"/>
              </w:rPr>
              <w:t>第二包：☑有  □无 核心产品为：电动破拆工具组 ；</w:t>
            </w:r>
          </w:p>
          <w:p>
            <w:pPr>
              <w:pStyle w:val="23"/>
              <w:spacing w:line="320" w:lineRule="exact"/>
              <w:rPr>
                <w:sz w:val="22"/>
                <w:szCs w:val="22"/>
              </w:rPr>
            </w:pPr>
            <w:r>
              <w:rPr>
                <w:rFonts w:hint="eastAsia"/>
                <w:sz w:val="22"/>
                <w:szCs w:val="22"/>
              </w:rPr>
              <w:t>第三包：☑有  □无 核心产品为：液压万向剪切钳、开缝器；</w:t>
            </w:r>
          </w:p>
          <w:p>
            <w:pPr>
              <w:pStyle w:val="23"/>
              <w:spacing w:line="320" w:lineRule="exact"/>
              <w:rPr>
                <w:sz w:val="22"/>
                <w:szCs w:val="22"/>
              </w:rPr>
            </w:pPr>
            <w:r>
              <w:rPr>
                <w:rFonts w:hint="eastAsia"/>
                <w:sz w:val="22"/>
                <w:szCs w:val="22"/>
              </w:rPr>
              <w:t>第四包：</w:t>
            </w:r>
            <w:r>
              <w:rPr>
                <w:rFonts w:hint="eastAsia" w:ascii="MS Mincho" w:hAnsi="MS Mincho" w:cs="MS Mincho"/>
                <w:sz w:val="22"/>
                <w:szCs w:val="22"/>
              </w:rPr>
              <w:t>☑</w:t>
            </w:r>
            <w:r>
              <w:rPr>
                <w:rFonts w:hint="eastAsia"/>
                <w:sz w:val="22"/>
                <w:szCs w:val="22"/>
              </w:rPr>
              <w:t>有  □无 核心产品：空气呼吸器；</w:t>
            </w:r>
          </w:p>
          <w:p>
            <w:pPr>
              <w:pStyle w:val="23"/>
              <w:spacing w:line="320" w:lineRule="exact"/>
              <w:rPr>
                <w:sz w:val="22"/>
                <w:szCs w:val="22"/>
              </w:rPr>
            </w:pPr>
            <w:r>
              <w:rPr>
                <w:rFonts w:hint="eastAsia"/>
                <w:sz w:val="22"/>
                <w:szCs w:val="22"/>
              </w:rPr>
              <w:t>第五包：☑有  □无 核心产品为：热成像仪、雷达生命探测仪；</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12</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宋体"/>
              </w:rPr>
            </w:pPr>
            <w:r>
              <w:rPr>
                <w:rFonts w:hint="eastAsia" w:ascii="宋体" w:hAnsi="宋体" w:cs="宋体"/>
                <w:lang w:val="zh-CN"/>
              </w:rPr>
              <w:t>构成招标文件的其他文件</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rPr>
            </w:pPr>
            <w:r>
              <w:rPr>
                <w:rFonts w:hint="eastAsia" w:hAnsi="宋体"/>
                <w:lang w:val="zh-CN"/>
              </w:rPr>
              <w:t>招标文件的澄清、修改书及有关补充通知为招标文件的有效组成部分。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2"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13</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rPr>
            </w:pPr>
            <w:r>
              <w:rPr>
                <w:rFonts w:hint="eastAsia" w:hAnsi="宋体" w:cs="Arial"/>
              </w:rPr>
              <w:t>投标人资格要求</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rPr>
                <w:lang w:val="zh-CN"/>
              </w:rPr>
            </w:pPr>
            <w:r>
              <w:rPr>
                <w:rFonts w:hint="eastAsia"/>
                <w:lang w:val="zh-CN"/>
              </w:rPr>
              <w:t>1.满足《中华人民共和国政府采购法》第二十二条规定；</w:t>
            </w:r>
          </w:p>
          <w:p>
            <w:pPr>
              <w:spacing w:line="400" w:lineRule="exact"/>
              <w:rPr>
                <w:lang w:val="zh-CN"/>
              </w:rPr>
            </w:pPr>
            <w:r>
              <w:rPr>
                <w:rFonts w:hint="eastAsia"/>
                <w:lang w:val="zh-CN"/>
              </w:rPr>
              <w:t>2.落实政府采购政策需满足的资格要求：1）本项目专门面向中小企业采购，价格不再进行财政政策扣除。</w:t>
            </w:r>
          </w:p>
          <w:p>
            <w:pPr>
              <w:spacing w:line="400" w:lineRule="exact"/>
              <w:rPr>
                <w:lang w:val="zh-CN"/>
              </w:rPr>
            </w:pPr>
            <w:r>
              <w:rPr>
                <w:rFonts w:hint="eastAsia"/>
                <w:lang w:val="zh-CN"/>
              </w:rPr>
              <w:t xml:space="preserve"> 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288" w:lineRule="auto"/>
              <w:rPr>
                <w:lang w:val="zh-CN"/>
              </w:rPr>
            </w:pPr>
            <w:r>
              <w:rPr>
                <w:rFonts w:hint="eastAsia"/>
              </w:rPr>
              <w:t>3</w:t>
            </w:r>
            <w:r>
              <w:rPr>
                <w:rFonts w:hint="eastAsia"/>
                <w:lang w:val="zh-CN"/>
              </w:rPr>
              <w:t>.本项目的特定资格要求：</w:t>
            </w:r>
          </w:p>
          <w:p>
            <w:pPr>
              <w:spacing w:line="288" w:lineRule="auto"/>
            </w:pPr>
            <w:r>
              <w:rPr>
                <w:rFonts w:hint="eastAsia"/>
              </w:rPr>
              <w:t>3.1与招标人存在利害关系可能影响招标公正性的法人、其他组织或者个人，不得参加同一标段投标或者未划分标段的同一招标不得参加投标；</w:t>
            </w:r>
          </w:p>
          <w:p>
            <w:pPr>
              <w:spacing w:line="288" w:lineRule="auto"/>
            </w:pPr>
            <w:r>
              <w:rPr>
                <w:rFonts w:hint="eastAsia"/>
              </w:rPr>
              <w:t>3.2 投标人负责人为同一人或者存在控股、管理关系的不同单位，不得同时参加本项目的投标。</w:t>
            </w:r>
          </w:p>
          <w:p>
            <w:pPr>
              <w:pStyle w:val="4"/>
              <w:ind w:firstLine="0"/>
            </w:pPr>
            <w:r>
              <w:rPr>
                <w:rFonts w:hint="eastAsia"/>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288" w:lineRule="auto"/>
            </w:pPr>
            <w:r>
              <w:rPr>
                <w:rFonts w:hint="eastAsia"/>
              </w:rPr>
              <w:t>4.本项目不接受联合体投标。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14</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rPr>
            </w:pPr>
            <w:r>
              <w:rPr>
                <w:rFonts w:hint="eastAsia" w:hAnsi="宋体" w:cs="Arial"/>
                <w:bCs/>
              </w:rPr>
              <w:t>投标保证金</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pPr>
            <w:r>
              <w:rPr>
                <w:rFonts w:hint="eastAsia"/>
              </w:rPr>
              <w:t>1. 投标保证金金额：</w:t>
            </w:r>
          </w:p>
          <w:p>
            <w:pPr>
              <w:spacing w:line="288" w:lineRule="auto"/>
            </w:pPr>
            <w:r>
              <w:rPr>
                <w:rFonts w:hint="eastAsia"/>
              </w:rPr>
              <w:t>第一包：18100元，大写：壹万捌仟壹佰元整；</w:t>
            </w:r>
          </w:p>
          <w:p>
            <w:pPr>
              <w:spacing w:line="288" w:lineRule="auto"/>
            </w:pPr>
            <w:r>
              <w:rPr>
                <w:rFonts w:hint="eastAsia"/>
              </w:rPr>
              <w:t>第二包：20000元，大写：贰万元整；</w:t>
            </w:r>
          </w:p>
          <w:p>
            <w:pPr>
              <w:spacing w:line="288" w:lineRule="auto"/>
            </w:pPr>
            <w:r>
              <w:rPr>
                <w:rFonts w:hint="eastAsia"/>
              </w:rPr>
              <w:t>第三包：17600元，大写：壹万柒仟陆佰元整；</w:t>
            </w:r>
          </w:p>
          <w:p>
            <w:pPr>
              <w:spacing w:line="288" w:lineRule="auto"/>
            </w:pPr>
            <w:r>
              <w:rPr>
                <w:rFonts w:hint="eastAsia"/>
              </w:rPr>
              <w:t>第四包：15600元，大写：壹万伍仟陆佰元整；</w:t>
            </w:r>
          </w:p>
          <w:p>
            <w:pPr>
              <w:spacing w:line="288" w:lineRule="auto"/>
            </w:pPr>
            <w:r>
              <w:rPr>
                <w:rFonts w:hint="eastAsia"/>
              </w:rPr>
              <w:t>第五包：23000元，大写：贰万叁仟元整；</w:t>
            </w:r>
          </w:p>
          <w:p>
            <w:pPr>
              <w:spacing w:line="360" w:lineRule="exact"/>
              <w:rPr>
                <w:lang w:val="zh-CN"/>
              </w:rPr>
            </w:pPr>
            <w:r>
              <w:rPr>
                <w:rFonts w:hint="eastAsia"/>
              </w:rPr>
              <w:t>2.</w:t>
            </w:r>
            <w:r>
              <w:rPr>
                <w:rFonts w:hint="eastAsia"/>
                <w:lang w:val="zh-CN"/>
              </w:rPr>
              <w:t>投标保证金递交截止时间：投标文件递交截止时间前。</w:t>
            </w:r>
          </w:p>
          <w:p>
            <w:pPr>
              <w:spacing w:line="400" w:lineRule="exact"/>
            </w:pPr>
            <w:r>
              <w:rPr>
                <w:rFonts w:hint="eastAsia"/>
              </w:rPr>
              <w:t>3.投标保证金缴纳形式：投标保证金应当以支票、汇票、本票或者金融机构、担保机构出具的保函等非现金形式提交，投标人未按照招标文件要求提交投标保证金的，投标无效。</w:t>
            </w:r>
          </w:p>
          <w:p>
            <w:pPr>
              <w:spacing w:line="400" w:lineRule="exact"/>
            </w:pPr>
            <w:r>
              <w:rPr>
                <w:rFonts w:hint="eastAsia"/>
              </w:rPr>
              <w:t>4.投标保证金由投标人基本账户一次性汇入。投标保证金必须在提交投标文件截止时间前缴纳，投标人应充分考虑资金到账时间，在规定的时限前自行办妥投标保证金交纳手续。投标保证金采取银行转账、电汇方式递交的，以电汇凭证和网银对账单的时间为准，采取支票、银行汇票、保函方式递交的，以实际递交至招标代理机构的时间为准，超过时限交纳投标保证金视为投标无效。</w:t>
            </w:r>
          </w:p>
          <w:p>
            <w:pPr>
              <w:spacing w:line="360" w:lineRule="exact"/>
            </w:pPr>
            <w:r>
              <w:rPr>
                <w:rFonts w:hint="eastAsia"/>
              </w:rPr>
              <w:t>5.投标保证金递交的开户银行及账号如下：</w:t>
            </w:r>
          </w:p>
          <w:p>
            <w:pPr>
              <w:spacing w:line="288" w:lineRule="auto"/>
            </w:pPr>
            <w:r>
              <w:rPr>
                <w:rFonts w:hint="eastAsia"/>
              </w:rPr>
              <w:t>账户名称：新疆云联慧科工程咨询有限公司</w:t>
            </w:r>
          </w:p>
          <w:p>
            <w:pPr>
              <w:spacing w:line="288" w:lineRule="auto"/>
            </w:pPr>
            <w:r>
              <w:rPr>
                <w:rFonts w:hint="eastAsia"/>
              </w:rPr>
              <w:t>账    号：</w:t>
            </w:r>
            <w:r>
              <w:t>0000020080110033766313</w:t>
            </w:r>
          </w:p>
          <w:p>
            <w:pPr>
              <w:spacing w:line="288" w:lineRule="auto"/>
            </w:pPr>
            <w:r>
              <w:rPr>
                <w:rFonts w:hint="eastAsia"/>
              </w:rPr>
              <w:t>开户行名称：乌鲁木齐银行营业部</w:t>
            </w:r>
          </w:p>
          <w:p>
            <w:pPr>
              <w:spacing w:line="288" w:lineRule="auto"/>
            </w:pPr>
            <w:r>
              <w:rPr>
                <w:rFonts w:hint="eastAsia"/>
              </w:rPr>
              <w:t>行    号：313881000019</w:t>
            </w:r>
          </w:p>
          <w:p>
            <w:pPr>
              <w:spacing w:line="400" w:lineRule="exact"/>
            </w:pPr>
            <w:r>
              <w:rPr>
                <w:rFonts w:hint="eastAsia"/>
              </w:rPr>
              <w:t>注意：不得以现金的方式和其他的形式缴纳，不得以办事处或其他机构名义缴纳，投标人在缴纳保证金时，需在进账凭证上明确自己用途和投标项目，并注明联系人及电话，以便查对核实。请投标人按上述要求将投标保证金汇入指定的开户银行，未按规定提交投标保证金的投标，将被视为投标无效。保证金事宜请联系邓丽娟、郑慧敏：13629903024、17690987272</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rPr>
            </w:pPr>
            <w:r>
              <w:rPr>
                <w:rFonts w:hint="eastAsia" w:hAnsi="宋体" w:cs="Arial"/>
                <w:bCs/>
              </w:rPr>
              <w:t>投标有效期</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spacing w:line="288" w:lineRule="auto"/>
              <w:jc w:val="left"/>
              <w:rPr>
                <w:rFonts w:ascii="宋体" w:hAnsi="宋体" w:cs="Arial"/>
                <w:bCs/>
              </w:rPr>
            </w:pPr>
            <w:r>
              <w:rPr>
                <w:rFonts w:hint="eastAsia" w:ascii="宋体" w:hAnsi="宋体" w:cs="宋体"/>
                <w:kern w:val="0"/>
              </w:rPr>
              <w:t>递交</w:t>
            </w:r>
            <w:r>
              <w:rPr>
                <w:rFonts w:ascii="宋体" w:hAnsi="宋体" w:cs="宋体"/>
                <w:kern w:val="0"/>
              </w:rPr>
              <w:t>投标文件的截止之日</w:t>
            </w:r>
            <w:r>
              <w:rPr>
                <w:rFonts w:hint="eastAsia" w:cs="宋体"/>
                <w:kern w:val="0"/>
              </w:rPr>
              <w:t>起90天。</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16</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rPr>
            </w:pPr>
            <w:r>
              <w:rPr>
                <w:rFonts w:hint="eastAsia" w:hAnsi="宋体" w:cs="Arial"/>
                <w:bCs/>
              </w:rPr>
              <w:t>现场踏勘</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rPr>
            </w:pPr>
            <w:r>
              <w:rPr>
                <w:rFonts w:hint="eastAsia" w:hAnsi="宋体" w:cs="Arial"/>
                <w:bCs/>
              </w:rPr>
              <w:t>本项目不安排现场踏勘。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17</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投标文件</w:t>
            </w:r>
          </w:p>
          <w:p>
            <w:pPr>
              <w:spacing w:line="288" w:lineRule="auto"/>
              <w:jc w:val="center"/>
              <w:rPr>
                <w:rFonts w:ascii="宋体" w:hAnsi="宋体" w:cs="Arial"/>
                <w:bCs/>
              </w:rPr>
            </w:pPr>
            <w:r>
              <w:rPr>
                <w:rFonts w:hint="eastAsia" w:hAnsi="宋体" w:cs="Arial"/>
                <w:bCs/>
              </w:rPr>
              <w:t>份数</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pPr>
            <w:r>
              <w:rPr>
                <w:rFonts w:hint="eastAsia"/>
              </w:rPr>
              <w:t>1、一份正本、四份副本</w:t>
            </w:r>
            <w:r>
              <w:rPr>
                <w:rFonts w:hint="eastAsia"/>
                <w:b/>
                <w:bCs/>
              </w:rPr>
              <w:t>（报价文件单独胶装成一册，商务技术文件合并胶装）。</w:t>
            </w:r>
          </w:p>
          <w:p>
            <w:pPr>
              <w:spacing w:line="288" w:lineRule="auto"/>
              <w:rPr>
                <w:rFonts w:ascii="宋体" w:hAnsi="宋体" w:cs="Arial"/>
                <w:bCs/>
              </w:rPr>
            </w:pPr>
            <w:r>
              <w:rPr>
                <w:rFonts w:hint="eastAsia"/>
              </w:rPr>
              <w:t>2、电子文档：1份光盘，1份U盘。格式为WORD版和签章后的投标文件正本扫描件PDF版，样品讲解视频（如本项目标包要求提供样品讲解视频）。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rPr>
            </w:pPr>
            <w:r>
              <w:rPr>
                <w:rFonts w:hint="eastAsia" w:hAnsi="宋体" w:cs="Arial"/>
              </w:rPr>
              <w:t>18</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rPr>
            </w:pPr>
            <w:r>
              <w:rPr>
                <w:rFonts w:hint="eastAsia" w:hAnsi="宋体" w:cs="Arial"/>
                <w:bCs/>
              </w:rPr>
              <w:t>投标截止时间及投标文件递交地点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hAnsi="宋体" w:cs="Arial"/>
                <w:bCs/>
              </w:rPr>
            </w:pPr>
            <w:r>
              <w:rPr>
                <w:rFonts w:hint="eastAsia" w:hAnsi="宋体" w:cs="Arial"/>
                <w:bCs/>
              </w:rPr>
              <w:t>投标截止时间：2024年04 月16日10点30分(北京时间)</w:t>
            </w:r>
          </w:p>
          <w:p>
            <w:pPr>
              <w:spacing w:line="288" w:lineRule="auto"/>
              <w:jc w:val="left"/>
              <w:rPr>
                <w:rFonts w:ascii="宋体" w:hAnsi="宋体" w:cs="Arial"/>
                <w:bCs/>
              </w:rPr>
            </w:pPr>
            <w:r>
              <w:rPr>
                <w:rFonts w:hint="eastAsia" w:hAnsi="宋体" w:cs="Arial"/>
                <w:bCs/>
              </w:rPr>
              <w:t>投标地点：乌鲁木齐市公共资源交易中心（益民大厦5楼515室）</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19</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开标时间</w:t>
            </w:r>
          </w:p>
          <w:p>
            <w:pPr>
              <w:spacing w:line="288" w:lineRule="auto"/>
              <w:jc w:val="center"/>
              <w:rPr>
                <w:rFonts w:ascii="宋体" w:hAnsi="宋体" w:cs="Arial"/>
                <w:bCs/>
              </w:rPr>
            </w:pPr>
            <w:r>
              <w:rPr>
                <w:rFonts w:hint="eastAsia" w:hAnsi="宋体" w:cs="Arial"/>
                <w:bCs/>
              </w:rPr>
              <w:t>及地点</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ind w:left="1050" w:hanging="1050" w:hangingChars="500"/>
              <w:rPr>
                <w:rFonts w:hAnsi="宋体" w:cs="Arial"/>
                <w:bCs/>
              </w:rPr>
            </w:pPr>
            <w:r>
              <w:rPr>
                <w:rFonts w:hint="eastAsia" w:hAnsi="宋体" w:cs="Arial"/>
                <w:bCs/>
              </w:rPr>
              <w:t>开标时间：2024年 04 月16日10点30分(北京时间)</w:t>
            </w:r>
          </w:p>
          <w:p>
            <w:pPr>
              <w:spacing w:line="288" w:lineRule="auto"/>
              <w:ind w:left="1050" w:hanging="1050" w:hangingChars="500"/>
              <w:jc w:val="left"/>
              <w:rPr>
                <w:rFonts w:ascii="宋体" w:hAnsi="宋体" w:cs="Arial"/>
                <w:bCs/>
              </w:rPr>
            </w:pPr>
            <w:r>
              <w:rPr>
                <w:rFonts w:hint="eastAsia" w:hAnsi="宋体" w:cs="Arial"/>
                <w:bCs/>
              </w:rPr>
              <w:t>开标地点：乌鲁木齐市公共资源交易中心（益民大厦5楼）</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20</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ind w:right="-8"/>
              <w:jc w:val="center"/>
              <w:rPr>
                <w:rFonts w:ascii="宋体" w:hAnsi="宋体" w:cs="Arial"/>
                <w:bCs/>
              </w:rPr>
            </w:pPr>
            <w:r>
              <w:rPr>
                <w:rFonts w:hint="eastAsia" w:hAnsi="宋体" w:cs="Arial"/>
                <w:bCs/>
              </w:rPr>
              <w:t>评标办法</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rPr>
            </w:pPr>
            <w:r>
              <w:rPr>
                <w:rFonts w:hint="eastAsia" w:hAnsi="宋体" w:cs="Arial"/>
                <w:bCs/>
              </w:rPr>
              <w:t>综合评</w:t>
            </w:r>
            <w:r>
              <w:rPr>
                <w:rFonts w:hint="eastAsia" w:cs="Arial"/>
                <w:bCs/>
              </w:rPr>
              <w:t>分</w:t>
            </w:r>
            <w:r>
              <w:rPr>
                <w:rFonts w:hint="eastAsia" w:hAnsi="宋体" w:cs="Arial"/>
                <w:bCs/>
              </w:rPr>
              <w:t>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21</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hAnsi="宋体" w:cs="Arial"/>
                <w:bCs/>
              </w:rPr>
            </w:pPr>
            <w:r>
              <w:rPr>
                <w:rFonts w:hint="eastAsia" w:hAnsi="宋体" w:cs="Arial"/>
                <w:bCs/>
              </w:rPr>
              <w:t>履约保证金</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pPr>
            <w:r>
              <w:t>合同签订前，中标</w:t>
            </w:r>
            <w:r>
              <w:rPr>
                <w:rFonts w:hint="eastAsia"/>
              </w:rPr>
              <w:t>单位</w:t>
            </w:r>
            <w:r>
              <w:t>按照中标</w:t>
            </w:r>
            <w:r>
              <w:rPr>
                <w:rFonts w:hint="eastAsia"/>
              </w:rPr>
              <w:t>金额</w:t>
            </w:r>
            <w:r>
              <w:t>的</w:t>
            </w:r>
            <w:r>
              <w:rPr>
                <w:rFonts w:hint="eastAsia"/>
              </w:rPr>
              <w:t>5</w:t>
            </w:r>
            <w:r>
              <w:t>%缴纳履约保证金，</w:t>
            </w:r>
            <w:r>
              <w:rPr>
                <w:rFonts w:hint="eastAsia"/>
              </w:rPr>
              <w:t>中标单位按合同约定交付全部产品，安装调试完毕，书面验收合格一年后，采购单位无息退还全部履约保证金</w:t>
            </w:r>
            <w: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22</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bCs/>
                <w:spacing w:val="-4"/>
              </w:rPr>
              <w:t>开标准备</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pPr>
            <w:r>
              <w:rPr>
                <w:rFonts w:hint="eastAsia" w:ascii="宋体" w:hAnsi="宋体" w:cs="宋体"/>
                <w:spacing w:val="-4"/>
              </w:rPr>
              <w:t>详见本招标文件投标人须知第22条。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ascii="宋体" w:hAnsi="宋体" w:cs="Arial"/>
                <w:bCs/>
              </w:rPr>
            </w:pPr>
            <w:r>
              <w:rPr>
                <w:rFonts w:hint="eastAsia" w:hAnsi="宋体" w:cs="Arial"/>
                <w:bCs/>
              </w:rPr>
              <w:t>23</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同品牌投标处理原则</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rPr>
                <w:rFonts w:ascii="宋体" w:hAnsi="宋体" w:cs="宋体"/>
                <w:b/>
                <w:bCs/>
                <w:spacing w:val="-4"/>
              </w:rPr>
            </w:pPr>
            <w:r>
              <w:rPr>
                <w:rFonts w:hint="eastAsia" w:ascii="宋体" w:hAnsi="宋体" w:cs="宋体"/>
                <w:spacing w:val="-4"/>
              </w:rPr>
              <w:t>详见本招标文件投标人须知第7条。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24</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国家规定的优先、强制采购范围（节能、环保）</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pPr>
            <w:r>
              <w:rPr>
                <w:rFonts w:hint="eastAsia"/>
              </w:rPr>
              <w:t>1.根据《国家市场监督管理总局关于发布强制性产品认证目录描述与界定表的公告》（2023年第36号）要求，本项目的产品属于《强制性产品认证目录》、《强制性产品认证目录描述与界定表（2023年修订）》范围内产品的，应取得有效期内的强制性认证证书（CCC认证证书），供应商须在投标文件中提供认证证书复印件加盖公章，否则将被视为无效投标。</w:t>
            </w:r>
          </w:p>
          <w:p>
            <w:pPr>
              <w:widowControl/>
              <w:tabs>
                <w:tab w:val="left" w:pos="720"/>
                <w:tab w:val="left" w:pos="900"/>
                <w:tab w:val="left" w:pos="1080"/>
                <w:tab w:val="left" w:pos="1260"/>
                <w:tab w:val="left" w:pos="1440"/>
                <w:tab w:val="left" w:pos="1800"/>
              </w:tabs>
              <w:spacing w:line="288" w:lineRule="auto"/>
            </w:pPr>
            <w:r>
              <w:rPr>
                <w:rFonts w:hint="eastAsia"/>
              </w:rPr>
              <w:t>2.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范围内的政府强制采购产品的，应取得有效期内的节能产品认证证书，供应商须在投标文件中提供认证证书复印件加盖公章，否则将被视为无效投标。</w:t>
            </w:r>
          </w:p>
          <w:p>
            <w:pPr>
              <w:widowControl/>
              <w:tabs>
                <w:tab w:val="left" w:pos="720"/>
                <w:tab w:val="left" w:pos="900"/>
                <w:tab w:val="left" w:pos="1080"/>
                <w:tab w:val="left" w:pos="1260"/>
                <w:tab w:val="left" w:pos="1440"/>
                <w:tab w:val="left" w:pos="1800"/>
              </w:tabs>
              <w:spacing w:line="288" w:lineRule="auto"/>
            </w:pPr>
            <w:r>
              <w:rPr>
                <w:rFonts w:hint="eastAsia"/>
              </w:rPr>
              <w:t>3.根据财政部、发展改革委、生态环境部、市场监管总局联合发布的《关于调整优化节能产品、环境标志产品政府采购执行机制的通知》(财库[2019]9号)要求,本项目采购产品如属于《关于印发节能产品政府采购品目清单的通知》（财库[2019]19号）、《关于印发环境标志产品政府采购品目清单的通知》（财库[2019]18号）范围内的政府优先采购产品的，应取得有效期内的节能产品、环境标志产品认证证书，供应商须在投标文件中提供认证证书复印件（加盖公章），否则不予认定。</w:t>
            </w:r>
          </w:p>
          <w:p>
            <w:pPr>
              <w:widowControl/>
              <w:tabs>
                <w:tab w:val="left" w:pos="720"/>
                <w:tab w:val="left" w:pos="900"/>
                <w:tab w:val="left" w:pos="1080"/>
                <w:tab w:val="left" w:pos="1260"/>
                <w:tab w:val="left" w:pos="1440"/>
                <w:tab w:val="left" w:pos="1800"/>
              </w:tabs>
              <w:spacing w:line="288" w:lineRule="auto"/>
            </w:pPr>
            <w:r>
              <w:rPr>
                <w:rFonts w:hint="eastAsia"/>
              </w:rPr>
              <w:t>4.根据《中华人民共和国无线电管理条例》规定，本项目的产品如属于应取得《无线电设备发射型号核准证》的无线电设备，应取得有效期内的《无线电设备发射型号核准证》且在投标人要求的频率范围内，供应商须在投标文件中提供核准证复印件（加盖公章），否则将被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hAnsi="宋体" w:cs="Arial"/>
                <w:bCs/>
              </w:rPr>
              <w:t>25</w:t>
            </w:r>
          </w:p>
        </w:tc>
        <w:tc>
          <w:tcPr>
            <w:tcW w:w="169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ascii="宋体" w:hAnsi="宋体" w:cs="Arial"/>
                <w:bCs/>
              </w:rPr>
            </w:pPr>
            <w:r>
              <w:rPr>
                <w:rFonts w:hint="eastAsia" w:cs="Arial"/>
                <w:bCs/>
              </w:rPr>
              <w:t>代理服务费用</w:t>
            </w:r>
          </w:p>
        </w:tc>
        <w:tc>
          <w:tcPr>
            <w:tcW w:w="6639" w:type="dxa"/>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ascii="宋体" w:hAnsi="宋体" w:cs="Arial"/>
                <w:bCs/>
              </w:rPr>
            </w:pPr>
            <w:r>
              <w:rPr>
                <w:rFonts w:hint="eastAsia" w:hAnsi="宋体" w:cs="Arial"/>
                <w:bCs/>
              </w:rPr>
              <w:t>参照国家发展改革委员会发改价格【2011】534号、发改办价格【2003】857号文件和国家发展改革委“发改价格”和《招标代理服务收费管理暂行办法》（计价格【2002】1980号），以中标价为基准计算，采用差额定率累进计法计取</w:t>
            </w:r>
            <w:r>
              <w:rPr>
                <w:rFonts w:hint="eastAsia" w:hAnsi="宋体" w:cs="Arial"/>
                <w:bCs/>
                <w:lang w:eastAsia="zh-CN"/>
              </w:rPr>
              <w:t>下浮</w:t>
            </w:r>
            <w:r>
              <w:rPr>
                <w:rFonts w:hint="eastAsia" w:hAnsi="宋体" w:cs="Arial"/>
                <w:bCs/>
                <w:lang w:val="en-US" w:eastAsia="zh-CN"/>
              </w:rPr>
              <w:t>3%，</w:t>
            </w:r>
            <w:r>
              <w:rPr>
                <w:rFonts w:hint="eastAsia" w:hAnsi="宋体" w:cs="Arial"/>
                <w:bCs/>
              </w:rPr>
              <w:t>由中标人支付。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Ansi="宋体" w:cs="Arial"/>
                <w:bCs/>
              </w:rPr>
            </w:pPr>
            <w:r>
              <w:rPr>
                <w:rFonts w:hint="eastAsia" w:cs="Arial"/>
                <w:bCs/>
              </w:rPr>
              <w:t>26</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Arial"/>
                <w:bCs/>
              </w:rPr>
              <w:t>低于成本价不正当竞争预防措施</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ascii="宋体" w:hAnsi="宋体" w:cs="宋体"/>
                <w:spacing w:val="-4"/>
              </w:rPr>
            </w:pPr>
            <w:r>
              <w:rPr>
                <w:rFonts w:hint="eastAsia" w:ascii="宋体" w:hAnsi="宋体" w:cs="宋体"/>
                <w:spacing w:val="-4"/>
              </w:rPr>
              <w:t>1.在评标过程中，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widowControl/>
              <w:tabs>
                <w:tab w:val="left" w:pos="720"/>
                <w:tab w:val="left" w:pos="900"/>
                <w:tab w:val="left" w:pos="1080"/>
                <w:tab w:val="left" w:pos="1260"/>
                <w:tab w:val="left" w:pos="1440"/>
                <w:tab w:val="left" w:pos="1800"/>
              </w:tabs>
              <w:spacing w:line="288" w:lineRule="auto"/>
              <w:jc w:val="left"/>
              <w:rPr>
                <w:rFonts w:ascii="宋体" w:hAnsi="宋体" w:cs="宋体"/>
                <w:spacing w:val="-4"/>
              </w:rPr>
            </w:pPr>
            <w:r>
              <w:rPr>
                <w:rFonts w:hint="eastAsia" w:ascii="宋体" w:hAnsi="宋体" w:cs="宋体"/>
                <w:spacing w:val="-4"/>
              </w:rPr>
              <w:t>2.投标人书面说明应当签字确认并且加盖公章，否则无效。书面说明的签字确认，投标人为法人的，由其法定代表人或者代理人签字确认；投标人为其他组织的，由其主要负责人或者代理人签字确认；投标人为自然人的，由其本人或者代理人签字确认。</w:t>
            </w:r>
          </w:p>
          <w:p>
            <w:pPr>
              <w:widowControl/>
              <w:tabs>
                <w:tab w:val="left" w:pos="720"/>
                <w:tab w:val="left" w:pos="900"/>
                <w:tab w:val="left" w:pos="1080"/>
                <w:tab w:val="left" w:pos="1260"/>
                <w:tab w:val="left" w:pos="1440"/>
                <w:tab w:val="left" w:pos="1800"/>
              </w:tabs>
              <w:spacing w:line="288" w:lineRule="auto"/>
              <w:jc w:val="left"/>
              <w:rPr>
                <w:rFonts w:ascii="宋体" w:hAnsi="宋体" w:cs="宋体"/>
                <w:spacing w:val="-4"/>
              </w:rPr>
            </w:pPr>
            <w:r>
              <w:rPr>
                <w:rFonts w:hint="eastAsia" w:ascii="宋体" w:hAnsi="宋体" w:cs="宋体"/>
                <w:spacing w:val="-4"/>
              </w:rPr>
              <w:t>3.投标人提供书面说明后，评标委员会应当结合采购项目采购需求、专业实际情况、投标人财务状况报告、与其他投标人比较情况等就投标人书面说明进行审查评价。投标人拒绝或者变相拒绝提供有效书面说明或者书面说明不能证明其报价合理性的，评标委员会应当将其投标文件作为无效处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cs="Arial"/>
                <w:bCs/>
              </w:rPr>
            </w:pPr>
            <w:r>
              <w:rPr>
                <w:rFonts w:hint="eastAsia" w:cs="Arial"/>
                <w:bCs/>
              </w:rPr>
              <w:t>27</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中小企业所属行业</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ascii="宋体" w:hAnsi="宋体" w:cs="宋体"/>
                <w:spacing w:val="-4"/>
              </w:rPr>
            </w:pPr>
            <w:r>
              <w:rPr>
                <w:rFonts w:hint="eastAsia" w:ascii="宋体" w:hAnsi="宋体" w:cs="宋体"/>
                <w:spacing w:val="-4"/>
              </w:rPr>
              <w:t xml:space="preserve">本项目采购标的对应的中小企业划分标准所属行业：工业（根据工信部联企业〔2011〕300 号中小企业划型标准规定：工业。从业人员1000 人以下或营业收入 40000 万元以下的为中小微型企业。其中，从业人员300 人及以上，且营业收入 2000 万元及以上的为中型企业；从业人员20 人及以上，且营业收入 300 万元及以上的为小型企业；从业人员20 人以下或营业收入 300 万元以下的为微型企业。）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7"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cs="Arial"/>
                <w:bCs/>
              </w:rPr>
            </w:pPr>
            <w:r>
              <w:rPr>
                <w:rFonts w:hint="eastAsia" w:cs="Arial"/>
                <w:bCs/>
              </w:rPr>
              <w:t>28</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中小微企业</w:t>
            </w:r>
          </w:p>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声明函</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pPr>
            <w:r>
              <w:rPr>
                <w:rFonts w:hint="eastAsia"/>
              </w:rPr>
              <w:t>1.</w:t>
            </w:r>
            <w:r>
              <w:rPr>
                <w:rFonts w:hint="eastAsia"/>
                <w:lang w:val="zh-CN"/>
              </w:rPr>
              <w:t>本项目专门面向中小企业采购，价格不再进行财政政策扣除。</w:t>
            </w:r>
          </w:p>
          <w:p>
            <w:pPr>
              <w:widowControl/>
              <w:tabs>
                <w:tab w:val="left" w:pos="720"/>
                <w:tab w:val="left" w:pos="900"/>
                <w:tab w:val="left" w:pos="1080"/>
                <w:tab w:val="left" w:pos="1260"/>
                <w:tab w:val="left" w:pos="1440"/>
                <w:tab w:val="left" w:pos="1800"/>
              </w:tabs>
              <w:spacing w:line="288" w:lineRule="auto"/>
              <w:jc w:val="left"/>
            </w:pPr>
            <w:r>
              <w:rPr>
                <w:rFonts w:hint="eastAsia"/>
              </w:rPr>
              <w:t>2.残疾人福利性单位、监狱和戒毒企业（简称监狱企业）视同小型、微型企业；残疾人福利单位、监狱企业同时属于小型、微型企业的，不重复享受财政政策。</w:t>
            </w:r>
          </w:p>
          <w:p>
            <w:pPr>
              <w:widowControl/>
              <w:tabs>
                <w:tab w:val="left" w:pos="720"/>
                <w:tab w:val="left" w:pos="900"/>
                <w:tab w:val="left" w:pos="1080"/>
                <w:tab w:val="left" w:pos="1260"/>
                <w:tab w:val="left" w:pos="1440"/>
                <w:tab w:val="left" w:pos="1800"/>
              </w:tabs>
              <w:spacing w:line="288" w:lineRule="auto"/>
              <w:jc w:val="left"/>
            </w:pPr>
            <w:r>
              <w:rPr>
                <w:rFonts w:hint="eastAsia"/>
              </w:rPr>
              <w:t>3.根据《政府采购促进中小企业发展管理办法》（财库[2020]46号）和《财政部关于进一步加大政府采购支持中小企业力度的通知》要求，供应商应提供合格的《中小企业声明函》，如投标人提供的《中小企业声明函》不合格或未提供《中小微企业声明函》的，不得享受相关中小微企业扶持政策。</w:t>
            </w:r>
          </w:p>
          <w:p>
            <w:pPr>
              <w:widowControl/>
              <w:tabs>
                <w:tab w:val="left" w:pos="720"/>
                <w:tab w:val="left" w:pos="900"/>
                <w:tab w:val="left" w:pos="1080"/>
                <w:tab w:val="left" w:pos="1260"/>
                <w:tab w:val="left" w:pos="1440"/>
                <w:tab w:val="left" w:pos="1800"/>
              </w:tabs>
              <w:spacing w:line="288" w:lineRule="auto"/>
              <w:jc w:val="left"/>
            </w:pPr>
            <w:r>
              <w:rPr>
                <w:rFonts w:hint="eastAsia"/>
              </w:rPr>
              <w:t>4.根据《关于政府采购支持监狱企业发展有关问题的通知》（财库[2014]68号）和本招标文件要求，投标人应提供合格的《监狱企业声明函》，如投标人提供的《监狱企业声明函》不合格或未提供《监狱企业声明函》的，不得享受相关中小微企业扶持政策。</w:t>
            </w:r>
          </w:p>
          <w:p>
            <w:pPr>
              <w:widowControl/>
              <w:tabs>
                <w:tab w:val="left" w:pos="720"/>
                <w:tab w:val="left" w:pos="900"/>
                <w:tab w:val="left" w:pos="1080"/>
                <w:tab w:val="left" w:pos="1260"/>
                <w:tab w:val="left" w:pos="1440"/>
                <w:tab w:val="left" w:pos="1800"/>
              </w:tabs>
              <w:spacing w:line="288" w:lineRule="auto"/>
              <w:jc w:val="left"/>
            </w:pPr>
            <w:r>
              <w:rPr>
                <w:rFonts w:hint="eastAsia"/>
              </w:rPr>
              <w:t>5.根据《关于促进残疾人就业政府采购政策的通知》（财库[2017]141号）要求，投标人应提供合格的《残疾人福利性单位声明函》，如投标人提供的《残疾人福利性单位声明函》不合格或未提供《残疾人福利性单位声明函》的，不得享受相关中小微企业扶持政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cs="Arial"/>
                <w:bCs/>
              </w:rPr>
            </w:pPr>
            <w:r>
              <w:rPr>
                <w:rFonts w:hint="eastAsia" w:cs="Arial"/>
                <w:bCs/>
              </w:rPr>
              <w:t>29</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公告及检验</w:t>
            </w:r>
          </w:p>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检测报告</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rPr>
                <w:rFonts w:ascii="宋体" w:hAnsi="宋体" w:cs="宋体"/>
                <w:spacing w:val="-4"/>
              </w:rPr>
            </w:pPr>
            <w:r>
              <w:rPr>
                <w:rFonts w:hint="eastAsia" w:ascii="宋体" w:hAnsi="宋体" w:cs="宋体"/>
                <w:spacing w:val="-4"/>
              </w:rPr>
              <w:t>1.可在投标时提供工信部公告，也可承诺在交付车辆时提供工信部公告，投标时不提供工信部公告或承诺函，将视为无效投标。（车辆类）</w:t>
            </w:r>
          </w:p>
          <w:p>
            <w:pPr>
              <w:widowControl/>
              <w:tabs>
                <w:tab w:val="left" w:pos="720"/>
                <w:tab w:val="left" w:pos="900"/>
                <w:tab w:val="left" w:pos="1080"/>
                <w:tab w:val="left" w:pos="1260"/>
                <w:tab w:val="left" w:pos="1440"/>
                <w:tab w:val="left" w:pos="1800"/>
              </w:tabs>
              <w:spacing w:line="288" w:lineRule="auto"/>
              <w:jc w:val="left"/>
              <w:rPr>
                <w:rFonts w:ascii="宋体" w:hAnsi="宋体" w:cs="宋体"/>
                <w:spacing w:val="-4"/>
              </w:rPr>
            </w:pPr>
            <w:r>
              <w:rPr>
                <w:rFonts w:hint="eastAsia" w:ascii="宋体" w:hAnsi="宋体" w:cs="宋体"/>
                <w:spacing w:val="-4"/>
              </w:rPr>
              <w:t>2.有国家或行业标准的产品投标时应提供国家消防产品合格评定中心所属国家消防装备质量检验检测中心（应急管理部上海消防研究所）、国家消防电子产品质量检验检测中心（应急管理部沈阳消防研究所）、国家防火建筑材料质量检验检测中心（应急管理部四川消防研究所）、国家固定灭火系统和耐火构件质量检验检测中心（应急管理部天津消防研究所）、国家消防产品质量检验检测中心（广东）、国家消防及阻燃产品质量检验检测中心（山东）、国家消防产品质量检验检测中心（江苏）、国家五金工具及门类产品质量检验检测中心出具的检验检测报告，或国家级质量检验检测机构出具的检验检测报告。</w:t>
            </w:r>
          </w:p>
          <w:p>
            <w:pPr>
              <w:widowControl/>
              <w:tabs>
                <w:tab w:val="left" w:pos="720"/>
                <w:tab w:val="left" w:pos="900"/>
                <w:tab w:val="left" w:pos="1080"/>
                <w:tab w:val="left" w:pos="1260"/>
                <w:tab w:val="left" w:pos="1440"/>
                <w:tab w:val="left" w:pos="1800"/>
              </w:tabs>
              <w:spacing w:line="288" w:lineRule="auto"/>
              <w:jc w:val="left"/>
              <w:rPr>
                <w:rFonts w:ascii="宋体" w:hAnsi="宋体" w:cs="宋体"/>
                <w:spacing w:val="-4"/>
              </w:rPr>
            </w:pPr>
            <w:r>
              <w:rPr>
                <w:rFonts w:hint="eastAsia" w:ascii="宋体" w:hAnsi="宋体" w:cs="宋体"/>
                <w:spacing w:val="-4"/>
              </w:rPr>
              <w:t>3.无国家或行业标准的产品投标时应提供国家认可的质量检验检测机构出具的检验检测报告（如有）；如投标时未提供，应在产品交付验收时提供国家认可的质量检验检测机构出具的检验检测报告。”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cs="Arial"/>
                <w:bCs/>
              </w:rPr>
            </w:pPr>
            <w:r>
              <w:rPr>
                <w:rFonts w:hint="eastAsia" w:cs="Arial"/>
                <w:bCs/>
              </w:rPr>
              <w:t>30</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其他</w:t>
            </w:r>
          </w:p>
        </w:tc>
        <w:tc>
          <w:tcPr>
            <w:tcW w:w="6639"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left"/>
            </w:pPr>
            <w:r>
              <w:rPr>
                <w:rFonts w:hint="eastAsia"/>
              </w:rPr>
              <w:t>1、根据《国家消防救援局办公室关于推广应用新版消防装备管理系统的通知》要求，中标投标人在交付装备时须附着由“消防装备物资信息采集系统”统一发行的装备物资二维码和 RFID。</w:t>
            </w:r>
          </w:p>
          <w:p>
            <w:pPr>
              <w:widowControl/>
              <w:tabs>
                <w:tab w:val="left" w:pos="720"/>
                <w:tab w:val="left" w:pos="900"/>
                <w:tab w:val="left" w:pos="1080"/>
                <w:tab w:val="left" w:pos="1260"/>
                <w:tab w:val="left" w:pos="1440"/>
                <w:tab w:val="left" w:pos="1800"/>
              </w:tabs>
              <w:spacing w:line="288" w:lineRule="auto"/>
              <w:jc w:val="left"/>
              <w:rPr>
                <w:rFonts w:ascii="宋体" w:hAnsi="宋体" w:cs="宋体"/>
              </w:rPr>
            </w:pPr>
            <w:r>
              <w:rPr>
                <w:rFonts w:hint="eastAsia"/>
              </w:rPr>
              <w:t>2、除法律、法规和规章规定外，招标文件中用“拒绝”“不接受”“无效”“不得”“必须”“应当”等文字规定的条款为实质性要求条款（即重要条款），对其中任何一条偏离的，在评标时将其视为无效投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13" w:hRule="atLeast"/>
          <w:jc w:val="center"/>
        </w:trPr>
        <w:tc>
          <w:tcPr>
            <w:tcW w:w="68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cs="Arial"/>
                <w:bCs/>
              </w:rPr>
            </w:pPr>
            <w:r>
              <w:rPr>
                <w:rFonts w:hint="eastAsia" w:cs="Arial"/>
                <w:bCs/>
              </w:rPr>
              <w:t>31</w:t>
            </w:r>
          </w:p>
        </w:tc>
        <w:tc>
          <w:tcPr>
            <w:tcW w:w="1695" w:type="dxa"/>
            <w:tcBorders>
              <w:top w:val="single" w:color="auto" w:sz="4" w:space="0"/>
              <w:left w:val="single" w:color="auto" w:sz="4" w:space="0"/>
              <w:bottom w:val="single" w:color="auto" w:sz="4" w:space="0"/>
              <w:right w:val="single" w:color="auto" w:sz="4" w:space="0"/>
            </w:tcBorders>
            <w:vAlign w:val="center"/>
          </w:tcPr>
          <w:p>
            <w:pPr>
              <w:widowControl/>
              <w:tabs>
                <w:tab w:val="left" w:pos="720"/>
                <w:tab w:val="left" w:pos="900"/>
                <w:tab w:val="left" w:pos="1080"/>
                <w:tab w:val="left" w:pos="1260"/>
                <w:tab w:val="left" w:pos="1440"/>
                <w:tab w:val="left" w:pos="1800"/>
              </w:tabs>
              <w:spacing w:line="288" w:lineRule="auto"/>
              <w:jc w:val="center"/>
              <w:rPr>
                <w:rFonts w:ascii="宋体" w:hAnsi="宋体" w:cs="宋体"/>
                <w:spacing w:val="-4"/>
              </w:rPr>
            </w:pPr>
            <w:r>
              <w:rPr>
                <w:rFonts w:hint="eastAsia" w:ascii="宋体" w:hAnsi="宋体" w:cs="宋体"/>
                <w:spacing w:val="-4"/>
              </w:rPr>
              <w:t>样品</w:t>
            </w:r>
          </w:p>
        </w:tc>
        <w:tc>
          <w:tcPr>
            <w:tcW w:w="6639" w:type="dxa"/>
            <w:tcBorders>
              <w:top w:val="single" w:color="auto" w:sz="4" w:space="0"/>
              <w:left w:val="single" w:color="auto" w:sz="4" w:space="0"/>
              <w:bottom w:val="single" w:color="auto" w:sz="4" w:space="0"/>
              <w:right w:val="single" w:color="auto" w:sz="4" w:space="0"/>
            </w:tcBorders>
            <w:vAlign w:val="center"/>
          </w:tcPr>
          <w:p>
            <w:pPr>
              <w:pStyle w:val="23"/>
              <w:spacing w:line="320" w:lineRule="exact"/>
            </w:pPr>
            <w:r>
              <w:rPr>
                <w:rFonts w:hint="eastAsia"/>
              </w:rPr>
              <w:t>样品：</w:t>
            </w:r>
            <w:r>
              <w:rPr>
                <w:rFonts w:hint="eastAsia"/>
                <w:sz w:val="22"/>
                <w:szCs w:val="22"/>
              </w:rPr>
              <w:t>1. 第一包：干式潜水衣；第三包：液压万向剪切钳；第四包：空气呼吸器；第五包：热成像仪、雷达生命探测仪</w:t>
            </w:r>
            <w:r>
              <w:rPr>
                <w:rFonts w:hint="eastAsia"/>
              </w:rPr>
              <w:t>因仅凭书面方式不能准确描述采购需求，需要投标人提供样品进行主观判断以确认是否满足采购需求。</w:t>
            </w:r>
          </w:p>
          <w:p>
            <w:pPr>
              <w:widowControl/>
              <w:tabs>
                <w:tab w:val="left" w:pos="720"/>
                <w:tab w:val="left" w:pos="900"/>
                <w:tab w:val="left" w:pos="1080"/>
                <w:tab w:val="left" w:pos="1260"/>
                <w:tab w:val="left" w:pos="1440"/>
                <w:tab w:val="left" w:pos="1800"/>
              </w:tabs>
              <w:spacing w:line="300" w:lineRule="exact"/>
              <w:jc w:val="left"/>
            </w:pPr>
            <w:r>
              <w:rPr>
                <w:rFonts w:hint="eastAsia"/>
              </w:rPr>
              <w:t>2.（1）样品递交时间和地点：2024年04月11日-2024年04月12日，投保人应将样品递交至新疆云联慧科工程咨询有限公司（地址：乌鲁木齐市水磨沟区立井街198号丽景中央城10号写字楼1601室）；如未按上述方式将样品递交至采购代理机构，也可在投标文件递交截止时间前，随投标文件一并现场递交。</w:t>
            </w:r>
          </w:p>
          <w:p>
            <w:pPr>
              <w:widowControl/>
              <w:tabs>
                <w:tab w:val="left" w:pos="720"/>
                <w:tab w:val="left" w:pos="900"/>
                <w:tab w:val="left" w:pos="1080"/>
                <w:tab w:val="left" w:pos="1260"/>
                <w:tab w:val="left" w:pos="1440"/>
                <w:tab w:val="left" w:pos="1800"/>
              </w:tabs>
              <w:spacing w:line="300" w:lineRule="exact"/>
              <w:jc w:val="left"/>
            </w:pPr>
            <w:r>
              <w:rPr>
                <w:rFonts w:hint="eastAsia"/>
              </w:rPr>
              <w:t>（2）样品递交截止时间：同投标文件递交截止时间。</w:t>
            </w:r>
          </w:p>
          <w:p>
            <w:pPr>
              <w:widowControl/>
              <w:tabs>
                <w:tab w:val="left" w:pos="720"/>
                <w:tab w:val="left" w:pos="900"/>
                <w:tab w:val="left" w:pos="1080"/>
                <w:tab w:val="left" w:pos="1260"/>
                <w:tab w:val="left" w:pos="1440"/>
                <w:tab w:val="left" w:pos="1800"/>
              </w:tabs>
              <w:spacing w:line="288" w:lineRule="auto"/>
              <w:jc w:val="left"/>
            </w:pPr>
            <w:r>
              <w:rPr>
                <w:rFonts w:hint="eastAsia"/>
              </w:rPr>
              <w:t>3.样品制作的标准和要求：按采购文件第六章“项目需求”的要求制作。所递交样品上不得体现投标人或制造商名称或其他标识，相应位置须一律空白。</w:t>
            </w:r>
          </w:p>
          <w:p>
            <w:pPr>
              <w:widowControl/>
              <w:tabs>
                <w:tab w:val="left" w:pos="720"/>
                <w:tab w:val="left" w:pos="900"/>
                <w:tab w:val="left" w:pos="1080"/>
                <w:tab w:val="left" w:pos="1260"/>
                <w:tab w:val="left" w:pos="1440"/>
                <w:tab w:val="left" w:pos="1800"/>
              </w:tabs>
              <w:spacing w:line="288" w:lineRule="auto"/>
              <w:jc w:val="left"/>
            </w:pPr>
            <w:r>
              <w:rPr>
                <w:rFonts w:hint="eastAsia"/>
              </w:rPr>
              <w:t>4.是否需要随样品提交相关检测报告：相关检测报告无需随样品提交。</w:t>
            </w:r>
          </w:p>
          <w:p>
            <w:pPr>
              <w:widowControl/>
              <w:tabs>
                <w:tab w:val="left" w:pos="720"/>
                <w:tab w:val="left" w:pos="900"/>
                <w:tab w:val="left" w:pos="1080"/>
                <w:tab w:val="left" w:pos="1260"/>
                <w:tab w:val="left" w:pos="1440"/>
                <w:tab w:val="left" w:pos="1800"/>
              </w:tabs>
              <w:spacing w:line="288" w:lineRule="auto"/>
              <w:jc w:val="left"/>
            </w:pPr>
            <w:r>
              <w:rPr>
                <w:rFonts w:hint="eastAsia"/>
              </w:rPr>
              <w:t>5.样品的评审方法以及评审标准：详见第三章“评分办法及评分标准”。</w:t>
            </w:r>
          </w:p>
          <w:p>
            <w:pPr>
              <w:widowControl/>
              <w:tabs>
                <w:tab w:val="left" w:pos="720"/>
                <w:tab w:val="left" w:pos="900"/>
                <w:tab w:val="left" w:pos="1080"/>
                <w:tab w:val="left" w:pos="1260"/>
                <w:tab w:val="left" w:pos="1440"/>
                <w:tab w:val="left" w:pos="1800"/>
              </w:tabs>
              <w:spacing w:line="288" w:lineRule="auto"/>
              <w:jc w:val="left"/>
              <w:rPr>
                <w:rFonts w:ascii="宋体" w:hAnsi="宋体" w:cs="宋体"/>
                <w:spacing w:val="-4"/>
              </w:rPr>
            </w:pPr>
            <w:r>
              <w:rPr>
                <w:rFonts w:hint="eastAsia"/>
              </w:rPr>
              <w:t>6.样品的密封及包装：所提交样品须分包装箱密封，并在外包装上粘贴A4纸注明项目名称、项目编号、包号、投标人名称、样品名称。密封箱中须随样品附样品清单一份（样品清单表格自拟，须包含项目名称、项目编号、包号、投标人名称、样品名称等信息），并附样品正面、背面、左侧面 45 度角清晰照片三张。</w:t>
            </w:r>
          </w:p>
          <w:p>
            <w:pPr>
              <w:widowControl/>
              <w:tabs>
                <w:tab w:val="left" w:pos="720"/>
                <w:tab w:val="left" w:pos="900"/>
                <w:tab w:val="left" w:pos="1080"/>
                <w:tab w:val="left" w:pos="1260"/>
                <w:tab w:val="left" w:pos="1440"/>
                <w:tab w:val="left" w:pos="1800"/>
              </w:tabs>
              <w:spacing w:line="288" w:lineRule="auto"/>
              <w:jc w:val="left"/>
              <w:rPr>
                <w:rFonts w:ascii="宋体" w:hAnsi="宋体" w:cs="宋体"/>
                <w:b/>
                <w:bCs/>
                <w:spacing w:val="-4"/>
              </w:rPr>
            </w:pPr>
            <w:r>
              <w:rPr>
                <w:rFonts w:hint="eastAsia" w:ascii="宋体" w:hAnsi="宋体" w:cs="宋体"/>
                <w:b/>
                <w:bCs/>
                <w:spacing w:val="-4"/>
              </w:rPr>
              <w:t>特别说明：</w:t>
            </w:r>
          </w:p>
          <w:p>
            <w:pPr>
              <w:widowControl/>
              <w:tabs>
                <w:tab w:val="left" w:pos="720"/>
                <w:tab w:val="left" w:pos="900"/>
                <w:tab w:val="left" w:pos="1080"/>
                <w:tab w:val="left" w:pos="1260"/>
                <w:tab w:val="left" w:pos="1440"/>
                <w:tab w:val="left" w:pos="1800"/>
              </w:tabs>
              <w:spacing w:line="288" w:lineRule="auto"/>
              <w:jc w:val="left"/>
              <w:rPr>
                <w:rFonts w:ascii="宋体" w:hAnsi="宋体" w:cs="宋体"/>
              </w:rPr>
            </w:pPr>
            <w:r>
              <w:rPr>
                <w:rFonts w:hint="eastAsia" w:ascii="宋体" w:hAnsi="宋体" w:cs="宋体"/>
              </w:rPr>
              <w:t>（1）若不满足以上样品制作的标准和要求，样品评分为0分。</w:t>
            </w:r>
          </w:p>
          <w:p>
            <w:pPr>
              <w:widowControl/>
              <w:tabs>
                <w:tab w:val="left" w:pos="720"/>
                <w:tab w:val="left" w:pos="900"/>
                <w:tab w:val="left" w:pos="1080"/>
                <w:tab w:val="left" w:pos="1260"/>
                <w:tab w:val="left" w:pos="1440"/>
                <w:tab w:val="left" w:pos="1800"/>
              </w:tabs>
              <w:spacing w:line="288" w:lineRule="auto"/>
              <w:jc w:val="left"/>
              <w:rPr>
                <w:rFonts w:ascii="宋体" w:hAnsi="宋体" w:cs="宋体"/>
              </w:rPr>
            </w:pPr>
            <w:r>
              <w:rPr>
                <w:rFonts w:hint="eastAsia" w:ascii="宋体" w:hAnsi="宋体" w:cs="宋体"/>
              </w:rPr>
              <w:t>（2）投标人代表须随身携带加盖投标人公章的备用密封条（密封条形式不做要求，每包提供4个密封条）。</w:t>
            </w:r>
          </w:p>
          <w:p>
            <w:pPr>
              <w:widowControl/>
              <w:tabs>
                <w:tab w:val="left" w:pos="720"/>
                <w:tab w:val="left" w:pos="900"/>
                <w:tab w:val="left" w:pos="1080"/>
                <w:tab w:val="left" w:pos="1260"/>
                <w:tab w:val="left" w:pos="1440"/>
                <w:tab w:val="left" w:pos="1800"/>
              </w:tabs>
              <w:spacing w:line="288" w:lineRule="auto"/>
              <w:jc w:val="left"/>
              <w:rPr>
                <w:rFonts w:ascii="宋体" w:hAnsi="宋体" w:cs="宋体"/>
              </w:rPr>
            </w:pPr>
            <w:r>
              <w:rPr>
                <w:rFonts w:hint="eastAsia" w:ascii="宋体" w:hAnsi="宋体" w:cs="宋体"/>
              </w:rPr>
              <w:t>（3）投标人应具有所投标包样品的所有权，并确保采购人和采购代理机构免于受到第三方基于样品所有权产生的起诉。</w:t>
            </w:r>
          </w:p>
          <w:p>
            <w:pPr>
              <w:widowControl/>
              <w:tabs>
                <w:tab w:val="left" w:pos="720"/>
                <w:tab w:val="left" w:pos="900"/>
                <w:tab w:val="left" w:pos="1080"/>
                <w:tab w:val="left" w:pos="1260"/>
                <w:tab w:val="left" w:pos="1440"/>
                <w:tab w:val="left" w:pos="1800"/>
              </w:tabs>
              <w:spacing w:line="288" w:lineRule="auto"/>
              <w:jc w:val="left"/>
              <w:rPr>
                <w:rFonts w:ascii="宋体" w:hAnsi="宋体" w:cs="宋体"/>
              </w:rPr>
            </w:pPr>
            <w:r>
              <w:rPr>
                <w:rFonts w:hint="eastAsia" w:ascii="宋体" w:hAnsi="宋体" w:cs="宋体"/>
              </w:rPr>
              <w:t>（4）现场根据评标委员会的要求可以对样品进行破坏性测试，采购人及采购代理机构不承担任何责任。</w:t>
            </w:r>
          </w:p>
          <w:p>
            <w:pPr>
              <w:widowControl/>
              <w:tabs>
                <w:tab w:val="left" w:pos="720"/>
                <w:tab w:val="left" w:pos="900"/>
                <w:tab w:val="left" w:pos="1080"/>
                <w:tab w:val="left" w:pos="1260"/>
                <w:tab w:val="left" w:pos="1440"/>
                <w:tab w:val="left" w:pos="1800"/>
              </w:tabs>
              <w:spacing w:line="288" w:lineRule="auto"/>
              <w:jc w:val="left"/>
              <w:rPr>
                <w:rFonts w:ascii="宋体" w:hAnsi="宋体" w:cs="宋体"/>
              </w:rPr>
            </w:pPr>
            <w:r>
              <w:rPr>
                <w:rFonts w:hint="eastAsia" w:ascii="宋体" w:hAnsi="宋体" w:cs="宋体"/>
              </w:rPr>
              <w:t xml:space="preserve">（5）评审结束后，中标人的样品经密封封存于指定位置，作为履约验收的参考，待交货验收完毕后退还。未中标人的投标样品应在中标公告发布之日起7个工作日由投标人自行联系采购代理机构取回，或自行委托采购代理机构邮寄退回，邮寄样品所产生的费用由投标人自行承担。若未中标人未按时取回样品又拒绝以邮寄方式退回样品，则视为同意采购代理机构有权自行处置相关样品。 </w:t>
            </w:r>
          </w:p>
          <w:p>
            <w:pPr>
              <w:pStyle w:val="2"/>
            </w:pPr>
            <w:r>
              <w:rPr>
                <w:rFonts w:hint="eastAsia"/>
                <w:sz w:val="22"/>
                <w:szCs w:val="22"/>
                <w:highlight w:val="yellow"/>
              </w:rPr>
              <w:t>第一包：水下推进器；第二包：电动破拆工具组 ；第三包：开缝器需提供样品视频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35" w:hRule="atLeast"/>
          <w:jc w:val="center"/>
        </w:trPr>
        <w:tc>
          <w:tcPr>
            <w:tcW w:w="9018" w:type="dxa"/>
            <w:gridSpan w:val="3"/>
            <w:tcBorders>
              <w:top w:val="single" w:color="auto" w:sz="4" w:space="0"/>
              <w:left w:val="single" w:color="auto" w:sz="4" w:space="0"/>
              <w:bottom w:val="single" w:color="auto" w:sz="4" w:space="0"/>
              <w:right w:val="single" w:color="auto" w:sz="4" w:space="0"/>
            </w:tcBorders>
            <w:vAlign w:val="center"/>
          </w:tcPr>
          <w:p>
            <w:pPr>
              <w:spacing w:line="300" w:lineRule="exact"/>
              <w:jc w:val="left"/>
              <w:rPr>
                <w:rFonts w:hAnsi="宋体" w:cs="Arial"/>
                <w:bCs/>
              </w:rPr>
            </w:pPr>
            <w:r>
              <w:rPr>
                <w:rFonts w:hint="eastAsia" w:hAnsi="宋体" w:cs="Arial"/>
                <w:b/>
                <w:bCs/>
              </w:rPr>
              <w:t>备注：本投标人须知前附表是对招标文件中的重要内容进行罗列；如与招标文件不符，应以本表为准。</w:t>
            </w:r>
          </w:p>
        </w:tc>
      </w:tr>
    </w:tbl>
    <w:p>
      <w:r>
        <w:rPr>
          <w:rFonts w:hint="eastAsia"/>
        </w:rPr>
        <w:br w:type="page"/>
      </w:r>
    </w:p>
    <w:p>
      <w:pPr>
        <w:pStyle w:val="3"/>
      </w:pPr>
      <w:bookmarkStart w:id="13" w:name="_Toc32510"/>
      <w:r>
        <w:rPr>
          <w:rFonts w:hint="eastAsia"/>
        </w:rPr>
        <w:t xml:space="preserve">第一章 </w:t>
      </w:r>
      <w:bookmarkEnd w:id="0"/>
      <w:bookmarkEnd w:id="1"/>
      <w:bookmarkEnd w:id="10"/>
      <w:r>
        <w:rPr>
          <w:rFonts w:hint="eastAsia"/>
        </w:rPr>
        <w:t>招标邀请</w:t>
      </w:r>
      <w:bookmarkEnd w:id="11"/>
      <w:bookmarkEnd w:id="12"/>
      <w:bookmarkEnd w:id="13"/>
    </w:p>
    <w:bookmarkEnd w:id="2"/>
    <w:bookmarkEnd w:id="3"/>
    <w:bookmarkEnd w:id="4"/>
    <w:bookmarkEnd w:id="5"/>
    <w:bookmarkEnd w:id="6"/>
    <w:p>
      <w:pPr>
        <w:jc w:val="center"/>
        <w:rPr>
          <w:sz w:val="24"/>
          <w:szCs w:val="24"/>
        </w:rPr>
      </w:pPr>
      <w:bookmarkStart w:id="14" w:name="_Toc120614211"/>
      <w:bookmarkStart w:id="15" w:name="_Toc534725597"/>
      <w:bookmarkStart w:id="16" w:name="_Toc479757207"/>
      <w:bookmarkStart w:id="17" w:name="_Toc494375079"/>
      <w:bookmarkStart w:id="18" w:name="_Toc16938558"/>
      <w:bookmarkStart w:id="19" w:name="_Toc20823314"/>
      <w:bookmarkStart w:id="20" w:name="_Toc513029242"/>
      <w:bookmarkStart w:id="21" w:name="_Toc120614221"/>
      <w:r>
        <w:rPr>
          <w:rFonts w:hint="eastAsia"/>
          <w:sz w:val="24"/>
          <w:szCs w:val="24"/>
        </w:rPr>
        <w:t>新疆消防救援总队克州支队“自然灾害应急能力提升工程”装备配备项目二</w:t>
      </w:r>
    </w:p>
    <w:p>
      <w:pPr>
        <w:jc w:val="center"/>
        <w:rPr>
          <w:sz w:val="24"/>
          <w:szCs w:val="24"/>
        </w:rPr>
      </w:pPr>
      <w:r>
        <w:rPr>
          <w:rFonts w:hint="eastAsia"/>
          <w:sz w:val="24"/>
          <w:szCs w:val="24"/>
        </w:rPr>
        <w:t>公开</w:t>
      </w:r>
      <w:r>
        <w:rPr>
          <w:sz w:val="24"/>
          <w:szCs w:val="24"/>
        </w:rPr>
        <w:t>招标</w:t>
      </w:r>
      <w:r>
        <w:rPr>
          <w:rFonts w:hint="eastAsia"/>
          <w:sz w:val="24"/>
          <w:szCs w:val="24"/>
        </w:rPr>
        <w:t>公告</w:t>
      </w:r>
    </w:p>
    <w:p>
      <w:pPr>
        <w:pBdr>
          <w:top w:val="single" w:color="auto" w:sz="4" w:space="1"/>
          <w:left w:val="single" w:color="auto" w:sz="4" w:space="4"/>
          <w:bottom w:val="single" w:color="auto" w:sz="4" w:space="15"/>
          <w:right w:val="single" w:color="auto" w:sz="4" w:space="4"/>
        </w:pBdr>
        <w:spacing w:line="500" w:lineRule="exact"/>
        <w:jc w:val="center"/>
        <w:rPr>
          <w:rFonts w:ascii="宋体" w:hAnsi="宋体" w:cs="宋体"/>
          <w:b/>
          <w:bCs/>
          <w:sz w:val="24"/>
          <w:szCs w:val="24"/>
        </w:rPr>
      </w:pPr>
      <w:r>
        <w:rPr>
          <w:rFonts w:hint="eastAsia" w:ascii="宋体" w:hAnsi="宋体" w:cs="宋体"/>
          <w:b/>
          <w:bCs/>
          <w:sz w:val="24"/>
          <w:szCs w:val="24"/>
        </w:rPr>
        <w:t>项目概况</w:t>
      </w:r>
    </w:p>
    <w:p>
      <w:pPr>
        <w:pBdr>
          <w:top w:val="single" w:color="auto" w:sz="4" w:space="1"/>
          <w:left w:val="single" w:color="auto" w:sz="4" w:space="4"/>
          <w:bottom w:val="single" w:color="auto" w:sz="4" w:space="15"/>
          <w:right w:val="single" w:color="auto" w:sz="4" w:space="4"/>
        </w:pBdr>
        <w:spacing w:line="500" w:lineRule="exact"/>
        <w:ind w:firstLine="480" w:firstLineChars="200"/>
        <w:rPr>
          <w:rFonts w:ascii="宋体" w:hAnsi="宋体" w:cs="宋体"/>
          <w:sz w:val="24"/>
          <w:szCs w:val="24"/>
        </w:rPr>
      </w:pPr>
      <w:r>
        <w:rPr>
          <w:rFonts w:hint="eastAsia" w:ascii="宋体" w:hAnsi="宋体" w:cs="宋体"/>
          <w:sz w:val="24"/>
          <w:szCs w:val="24"/>
        </w:rPr>
        <w:t>新疆消防救援总队克州支队“自然灾害应急能力提升工程”装备配备项目二的潜在供应商应在</w:t>
      </w:r>
      <w:r>
        <w:rPr>
          <w:rFonts w:hint="eastAsia" w:ascii="宋体" w:hAnsi="宋体" w:cs="宋体"/>
          <w:spacing w:val="10"/>
          <w:sz w:val="24"/>
          <w:szCs w:val="24"/>
        </w:rPr>
        <w:t>线上</w:t>
      </w:r>
      <w:r>
        <w:rPr>
          <w:rFonts w:hint="eastAsia" w:ascii="宋体" w:hAnsi="宋体" w:cs="宋体"/>
          <w:sz w:val="24"/>
          <w:szCs w:val="24"/>
        </w:rPr>
        <w:t>获取招标文件，并于</w:t>
      </w:r>
      <w:r>
        <w:rPr>
          <w:rFonts w:ascii="宋体" w:hAnsi="宋体" w:cs="宋体"/>
          <w:sz w:val="24"/>
          <w:szCs w:val="24"/>
        </w:rPr>
        <w:t>20</w:t>
      </w:r>
      <w:r>
        <w:rPr>
          <w:rFonts w:hint="eastAsia" w:ascii="宋体" w:hAnsi="宋体" w:cs="宋体"/>
          <w:sz w:val="24"/>
          <w:szCs w:val="24"/>
        </w:rPr>
        <w:t>24</w:t>
      </w:r>
      <w:r>
        <w:rPr>
          <w:rFonts w:hint="eastAsia" w:ascii="宋体" w:hAnsi="宋体" w:cs="宋体"/>
          <w:bCs/>
          <w:sz w:val="24"/>
          <w:szCs w:val="24"/>
        </w:rPr>
        <w:t>年04 月16日10点30分（北京时间）前提交投标文件</w:t>
      </w:r>
      <w:r>
        <w:rPr>
          <w:rFonts w:hint="eastAsia" w:ascii="宋体" w:hAnsi="宋体" w:cs="宋体"/>
          <w:sz w:val="24"/>
          <w:szCs w:val="24"/>
        </w:rPr>
        <w:t>。</w:t>
      </w:r>
    </w:p>
    <w:p>
      <w:pPr>
        <w:pStyle w:val="5"/>
        <w:rPr>
          <w:rFonts w:ascii="宋体" w:hAnsi="宋体" w:cs="宋体"/>
          <w:sz w:val="24"/>
          <w:szCs w:val="24"/>
        </w:rPr>
      </w:pPr>
      <w:r>
        <w:rPr>
          <w:rFonts w:hint="eastAsia"/>
        </w:rPr>
        <w:t>一、项目基本情况</w:t>
      </w:r>
    </w:p>
    <w:tbl>
      <w:tblPr>
        <w:tblStyle w:val="39"/>
        <w:tblW w:w="85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00"/>
        <w:gridCol w:w="5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2600" w:type="dxa"/>
          </w:tcPr>
          <w:p>
            <w:pPr>
              <w:spacing w:line="460" w:lineRule="exact"/>
              <w:jc w:val="left"/>
              <w:rPr>
                <w:rFonts w:ascii="宋体" w:hAnsi="宋体" w:cs="宋体"/>
                <w:sz w:val="24"/>
                <w:szCs w:val="24"/>
              </w:rPr>
            </w:pPr>
            <w:r>
              <w:rPr>
                <w:rFonts w:hint="eastAsia" w:ascii="宋体" w:hAnsi="宋体" w:cs="宋体"/>
                <w:sz w:val="24"/>
                <w:szCs w:val="24"/>
              </w:rPr>
              <w:t>项目编号</w:t>
            </w:r>
          </w:p>
        </w:tc>
        <w:tc>
          <w:tcPr>
            <w:tcW w:w="5926" w:type="dxa"/>
          </w:tcPr>
          <w:p>
            <w:pPr>
              <w:spacing w:line="460" w:lineRule="exact"/>
              <w:jc w:val="left"/>
              <w:rPr>
                <w:rFonts w:ascii="宋体" w:hAnsi="宋体" w:cs="宋体"/>
                <w:sz w:val="24"/>
                <w:szCs w:val="24"/>
              </w:rPr>
            </w:pPr>
            <w:r>
              <w:rPr>
                <w:rFonts w:hint="eastAsia" w:ascii="宋体" w:hAnsi="宋体" w:cs="宋体"/>
                <w:sz w:val="24"/>
                <w:szCs w:val="24"/>
              </w:rPr>
              <w:t>XJYLHK-2024-071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trPr>
        <w:tc>
          <w:tcPr>
            <w:tcW w:w="2600" w:type="dxa"/>
          </w:tcPr>
          <w:p>
            <w:pPr>
              <w:spacing w:line="460" w:lineRule="exact"/>
              <w:jc w:val="left"/>
              <w:rPr>
                <w:rFonts w:ascii="宋体" w:hAnsi="宋体" w:cs="宋体"/>
                <w:sz w:val="24"/>
                <w:szCs w:val="24"/>
              </w:rPr>
            </w:pPr>
            <w:r>
              <w:rPr>
                <w:rFonts w:hint="eastAsia" w:ascii="宋体" w:hAnsi="宋体" w:cs="宋体"/>
                <w:sz w:val="24"/>
                <w:szCs w:val="24"/>
              </w:rPr>
              <w:t>项目名称</w:t>
            </w:r>
          </w:p>
        </w:tc>
        <w:tc>
          <w:tcPr>
            <w:tcW w:w="5926" w:type="dxa"/>
          </w:tcPr>
          <w:p>
            <w:pPr>
              <w:spacing w:line="460" w:lineRule="exact"/>
              <w:jc w:val="left"/>
              <w:rPr>
                <w:rFonts w:ascii="宋体" w:hAnsi="宋体" w:cs="宋体"/>
                <w:sz w:val="24"/>
                <w:szCs w:val="24"/>
              </w:rPr>
            </w:pPr>
            <w:r>
              <w:rPr>
                <w:rFonts w:hint="eastAsia" w:ascii="宋体" w:hAnsi="宋体" w:cs="宋体"/>
                <w:sz w:val="24"/>
                <w:szCs w:val="24"/>
              </w:rPr>
              <w:t>新疆消防救援总队克州支队“自然灾害应急能力提升工程”装备配备项目二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2600" w:type="dxa"/>
          </w:tcPr>
          <w:p>
            <w:pPr>
              <w:spacing w:line="460" w:lineRule="exact"/>
              <w:jc w:val="left"/>
              <w:rPr>
                <w:rFonts w:ascii="宋体" w:hAnsi="宋体" w:cs="宋体"/>
                <w:sz w:val="24"/>
                <w:szCs w:val="24"/>
              </w:rPr>
            </w:pPr>
            <w:r>
              <w:rPr>
                <w:rFonts w:hint="eastAsia" w:ascii="宋体" w:hAnsi="宋体" w:cs="宋体"/>
                <w:sz w:val="24"/>
                <w:szCs w:val="24"/>
              </w:rPr>
              <w:t>采购方式</w:t>
            </w:r>
          </w:p>
        </w:tc>
        <w:tc>
          <w:tcPr>
            <w:tcW w:w="5926" w:type="dxa"/>
          </w:tcPr>
          <w:p>
            <w:pPr>
              <w:spacing w:line="460" w:lineRule="exact"/>
              <w:jc w:val="left"/>
              <w:rPr>
                <w:rFonts w:ascii="宋体" w:hAnsi="宋体" w:cs="宋体"/>
                <w:sz w:val="24"/>
                <w:szCs w:val="24"/>
              </w:rPr>
            </w:pPr>
            <w:r>
              <w:rPr>
                <w:rFonts w:hint="eastAsia" w:ascii="宋体" w:hAnsi="宋体" w:cs="宋体"/>
                <w:sz w:val="24"/>
                <w:szCs w:val="24"/>
              </w:rPr>
              <w:t>公开招标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Pr>
          <w:p>
            <w:pPr>
              <w:spacing w:line="460" w:lineRule="exact"/>
              <w:jc w:val="left"/>
              <w:rPr>
                <w:rFonts w:ascii="宋体" w:hAnsi="宋体" w:cs="宋体"/>
                <w:sz w:val="24"/>
                <w:szCs w:val="24"/>
              </w:rPr>
            </w:pPr>
            <w:r>
              <w:rPr>
                <w:rFonts w:hint="eastAsia" w:ascii="宋体" w:hAnsi="宋体" w:cs="宋体"/>
                <w:sz w:val="24"/>
                <w:szCs w:val="24"/>
              </w:rPr>
              <w:t>预算金额</w:t>
            </w:r>
          </w:p>
        </w:tc>
        <w:tc>
          <w:tcPr>
            <w:tcW w:w="5926" w:type="dxa"/>
          </w:tcPr>
          <w:p>
            <w:pPr>
              <w:spacing w:line="460" w:lineRule="exact"/>
              <w:jc w:val="left"/>
              <w:rPr>
                <w:rFonts w:ascii="宋体" w:hAnsi="宋体" w:cs="宋体"/>
                <w:sz w:val="24"/>
                <w:szCs w:val="24"/>
              </w:rPr>
            </w:pPr>
            <w:r>
              <w:rPr>
                <w:rFonts w:hint="eastAsia" w:ascii="宋体" w:hAnsi="宋体" w:cs="宋体"/>
                <w:sz w:val="24"/>
                <w:szCs w:val="24"/>
              </w:rPr>
              <w:t>945.16万元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600" w:type="dxa"/>
          </w:tcPr>
          <w:p>
            <w:pPr>
              <w:spacing w:line="460" w:lineRule="exact"/>
              <w:jc w:val="left"/>
              <w:rPr>
                <w:rFonts w:ascii="宋体" w:hAnsi="宋体" w:cs="宋体"/>
                <w:sz w:val="24"/>
                <w:szCs w:val="24"/>
              </w:rPr>
            </w:pPr>
            <w:r>
              <w:rPr>
                <w:rFonts w:hint="eastAsia" w:ascii="宋体" w:hAnsi="宋体" w:cs="宋体"/>
                <w:sz w:val="24"/>
                <w:szCs w:val="24"/>
              </w:rPr>
              <w:t>最高限价</w:t>
            </w:r>
          </w:p>
        </w:tc>
        <w:tc>
          <w:tcPr>
            <w:tcW w:w="5926" w:type="dxa"/>
          </w:tcPr>
          <w:p>
            <w:pPr>
              <w:spacing w:line="460" w:lineRule="exact"/>
              <w:jc w:val="left"/>
              <w:rPr>
                <w:rFonts w:ascii="宋体" w:hAnsi="宋体" w:cs="宋体"/>
                <w:sz w:val="24"/>
                <w:szCs w:val="24"/>
              </w:rPr>
            </w:pPr>
            <w:r>
              <w:rPr>
                <w:rFonts w:hint="eastAsia" w:ascii="宋体" w:hAnsi="宋体" w:cs="宋体"/>
                <w:sz w:val="24"/>
                <w:szCs w:val="24"/>
              </w:rPr>
              <w:t>945.16万元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Borders>
              <w:bottom w:val="single" w:color="auto" w:sz="4" w:space="0"/>
            </w:tcBorders>
          </w:tcPr>
          <w:p>
            <w:pPr>
              <w:spacing w:line="460" w:lineRule="exact"/>
              <w:jc w:val="left"/>
              <w:rPr>
                <w:rFonts w:ascii="宋体" w:hAnsi="宋体" w:cs="宋体"/>
                <w:sz w:val="24"/>
                <w:szCs w:val="24"/>
              </w:rPr>
            </w:pPr>
            <w:r>
              <w:rPr>
                <w:rFonts w:hint="eastAsia" w:cs="宋体"/>
                <w:sz w:val="24"/>
                <w:szCs w:val="24"/>
              </w:rPr>
              <w:t>资金来源</w:t>
            </w:r>
          </w:p>
        </w:tc>
        <w:tc>
          <w:tcPr>
            <w:tcW w:w="5926" w:type="dxa"/>
            <w:tcBorders>
              <w:bottom w:val="single" w:color="auto" w:sz="4" w:space="0"/>
            </w:tcBorders>
          </w:tcPr>
          <w:p>
            <w:pPr>
              <w:pStyle w:val="37"/>
              <w:spacing w:line="460" w:lineRule="exact"/>
              <w:ind w:firstLine="0" w:firstLineChars="0"/>
              <w:jc w:val="left"/>
              <w:rPr>
                <w:rFonts w:cs="宋体"/>
                <w:sz w:val="24"/>
                <w:szCs w:val="24"/>
              </w:rPr>
            </w:pPr>
            <w:r>
              <w:rPr>
                <w:rFonts w:hint="eastAsia" w:cs="宋体"/>
                <w:sz w:val="24"/>
                <w:szCs w:val="24"/>
              </w:rPr>
              <w:t>国债资金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2600" w:type="dxa"/>
            <w:tcBorders>
              <w:top w:val="single" w:color="auto" w:sz="4" w:space="0"/>
              <w:left w:val="nil"/>
              <w:bottom w:val="nil"/>
              <w:right w:val="nil"/>
            </w:tcBorders>
          </w:tcPr>
          <w:p>
            <w:pPr>
              <w:spacing w:line="460" w:lineRule="exact"/>
              <w:jc w:val="left"/>
              <w:rPr>
                <w:rFonts w:cs="宋体"/>
                <w:sz w:val="24"/>
                <w:szCs w:val="24"/>
              </w:rPr>
            </w:pPr>
          </w:p>
        </w:tc>
        <w:tc>
          <w:tcPr>
            <w:tcW w:w="5926" w:type="dxa"/>
            <w:tcBorders>
              <w:top w:val="single" w:color="auto" w:sz="4" w:space="0"/>
              <w:left w:val="nil"/>
              <w:bottom w:val="nil"/>
              <w:right w:val="nil"/>
            </w:tcBorders>
          </w:tcPr>
          <w:p>
            <w:pPr>
              <w:pStyle w:val="37"/>
              <w:spacing w:line="460" w:lineRule="exact"/>
              <w:ind w:firstLine="0" w:firstLineChars="0"/>
              <w:jc w:val="left"/>
              <w:rPr>
                <w:rFonts w:cs="宋体"/>
                <w:sz w:val="24"/>
                <w:szCs w:val="24"/>
              </w:rPr>
            </w:pPr>
          </w:p>
        </w:tc>
      </w:tr>
    </w:tbl>
    <w:p>
      <w:pPr>
        <w:spacing w:line="460" w:lineRule="exact"/>
        <w:jc w:val="left"/>
        <w:rPr>
          <w:rFonts w:ascii="宋体" w:hAnsi="宋体" w:cs="宋体"/>
          <w:b/>
          <w:bCs/>
          <w:sz w:val="24"/>
          <w:szCs w:val="24"/>
        </w:rPr>
      </w:pPr>
      <w:r>
        <w:rPr>
          <w:rFonts w:hint="eastAsia" w:ascii="宋体" w:hAnsi="宋体" w:cs="宋体"/>
          <w:b/>
          <w:bCs/>
          <w:sz w:val="24"/>
          <w:szCs w:val="24"/>
        </w:rPr>
        <w:t>采购需求：</w:t>
      </w:r>
    </w:p>
    <w:tbl>
      <w:tblPr>
        <w:tblStyle w:val="38"/>
        <w:tblW w:w="8578" w:type="dxa"/>
        <w:tblInd w:w="98" w:type="dxa"/>
        <w:tblLayout w:type="fixed"/>
        <w:tblCellMar>
          <w:top w:w="0" w:type="dxa"/>
          <w:left w:w="108" w:type="dxa"/>
          <w:bottom w:w="0" w:type="dxa"/>
          <w:right w:w="108" w:type="dxa"/>
        </w:tblCellMar>
      </w:tblPr>
      <w:tblGrid>
        <w:gridCol w:w="990"/>
        <w:gridCol w:w="3245"/>
        <w:gridCol w:w="900"/>
        <w:gridCol w:w="900"/>
        <w:gridCol w:w="1271"/>
        <w:gridCol w:w="1272"/>
      </w:tblGrid>
      <w:tr>
        <w:tblPrEx>
          <w:tblCellMar>
            <w:top w:w="0" w:type="dxa"/>
            <w:left w:w="108" w:type="dxa"/>
            <w:bottom w:w="0" w:type="dxa"/>
            <w:right w:w="108" w:type="dxa"/>
          </w:tblCellMar>
        </w:tblPrEx>
        <w:trPr>
          <w:trHeight w:val="380" w:hRule="atLeast"/>
        </w:trPr>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包号</w:t>
            </w: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装备名称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单位</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数量</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预算单价（万元）</w:t>
            </w:r>
          </w:p>
        </w:tc>
        <w:tc>
          <w:tcPr>
            <w:tcW w:w="12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合计金额（万元）</w:t>
            </w:r>
          </w:p>
        </w:tc>
      </w:tr>
      <w:tr>
        <w:tblPrEx>
          <w:tblCellMar>
            <w:top w:w="0" w:type="dxa"/>
            <w:left w:w="108" w:type="dxa"/>
            <w:bottom w:w="0" w:type="dxa"/>
            <w:right w:w="108" w:type="dxa"/>
          </w:tblCellMar>
        </w:tblPrEx>
        <w:trPr>
          <w:trHeight w:val="380" w:hRule="atLeast"/>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w:t>
            </w: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干式水域救援服</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0.8000 </w:t>
            </w:r>
          </w:p>
        </w:tc>
        <w:tc>
          <w:tcPr>
            <w:tcW w:w="12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181.2600 </w:t>
            </w: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湿式水域救援服</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0.3500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充气救援艇（橡皮艇）</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5.5000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硬质救援艇（冲锋舟）</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4.8000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舷外机（含油箱防护罩）</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7</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3.0000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便携式流速仪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1.8000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锚固装备套装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1.4300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定位浮标</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0.1800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可漂浮救生担架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0.6000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滚钩</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0.3000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潜水全面罩</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1.6000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干式潜水衣</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1.3200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湿式潜水衣</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0.4600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潜水浮力装置</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0.4000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潜水气瓶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0.2400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潜水调节器（含附件）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0.5000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水下推进器</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2.8000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水域救援套装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0.2000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水域救生套装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0.2000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潜水装备套装</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0.5900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冰面救援服</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1.4000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全面罩</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1.6000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冰域呼吸器组件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1.5000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水面漂浮救生绳（200米）</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0.4600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冰面行动辅助套装</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0.5350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电动液压剪扩组</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10.0000 </w:t>
            </w:r>
          </w:p>
        </w:tc>
        <w:tc>
          <w:tcPr>
            <w:tcW w:w="12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200.0000 </w:t>
            </w: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电动破拆工具组</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10.0000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手动破拆工具组</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0.3500 </w:t>
            </w:r>
          </w:p>
        </w:tc>
        <w:tc>
          <w:tcPr>
            <w:tcW w:w="12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176.1500 </w:t>
            </w: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无齿锯</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1.7000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双轮异向切割锯</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1.5000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电动钢筋速断器</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0.6000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玻璃破碎器</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液压万向剪切钳</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5.0000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凿岩机</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2.0000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机动链锯</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8</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0.3500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门锁破拆工具组</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0.6000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气动切割刀</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0.2400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毁锁器</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0.4800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电动链锯</w:t>
            </w:r>
          </w:p>
        </w:tc>
        <w:tc>
          <w:tcPr>
            <w:tcW w:w="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18</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手动破拆工具组</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0.3500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开缝器</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2.2000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4</w:t>
            </w: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空气呼吸器</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130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0.8000 </w:t>
            </w:r>
          </w:p>
        </w:tc>
        <w:tc>
          <w:tcPr>
            <w:tcW w:w="12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156.8000 </w:t>
            </w: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空呼气瓶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60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0.1800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正压式消防氧气呼吸器</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1.1000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空气充填泵</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9.0000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热成像仪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7.0000 </w:t>
            </w:r>
          </w:p>
        </w:tc>
        <w:tc>
          <w:tcPr>
            <w:tcW w:w="127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230.9500 </w:t>
            </w: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测温仪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有毒气体探测仪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可燃气体检测仪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激光测距仪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0.3900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雷达生命探测仪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25.0000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99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32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视频生命探测仪</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5.8000 </w:t>
            </w:r>
          </w:p>
        </w:tc>
        <w:tc>
          <w:tcPr>
            <w:tcW w:w="127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r>
    </w:tbl>
    <w:p>
      <w:pPr>
        <w:spacing w:line="460" w:lineRule="exact"/>
        <w:jc w:val="left"/>
        <w:rPr>
          <w:rFonts w:ascii="宋体" w:hAnsi="宋体" w:cs="宋体"/>
          <w:b/>
          <w:bCs/>
          <w:sz w:val="24"/>
          <w:szCs w:val="24"/>
        </w:rPr>
      </w:pPr>
    </w:p>
    <w:p>
      <w:pPr>
        <w:spacing w:line="460" w:lineRule="exact"/>
        <w:ind w:firstLine="480" w:firstLineChars="200"/>
        <w:jc w:val="left"/>
        <w:rPr>
          <w:rFonts w:ascii="宋体" w:hAnsi="宋体" w:cs="宋体"/>
          <w:sz w:val="24"/>
          <w:szCs w:val="24"/>
        </w:rPr>
      </w:pPr>
      <w:r>
        <w:rPr>
          <w:rFonts w:hint="eastAsia" w:ascii="宋体" w:hAnsi="宋体" w:cs="宋体"/>
          <w:sz w:val="24"/>
          <w:szCs w:val="24"/>
          <w:lang w:val="zh-CN"/>
        </w:rPr>
        <w:t>供货地点：</w:t>
      </w:r>
      <w:r>
        <w:rPr>
          <w:rFonts w:hint="eastAsia" w:ascii="宋体" w:hAnsi="宋体" w:cs="宋体"/>
          <w:sz w:val="24"/>
          <w:szCs w:val="24"/>
        </w:rPr>
        <w:t>招标人指定地点。</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合同履行期限：装备合同签订后45天内交货。</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本项目不接受联合体投标。</w:t>
      </w:r>
    </w:p>
    <w:p>
      <w:pPr>
        <w:pStyle w:val="5"/>
      </w:pPr>
      <w:r>
        <w:rPr>
          <w:rFonts w:hint="eastAsia"/>
        </w:rPr>
        <w:t>二、申请人的资格要求</w:t>
      </w:r>
    </w:p>
    <w:p>
      <w:pPr>
        <w:spacing w:line="460" w:lineRule="exact"/>
        <w:ind w:firstLine="480" w:firstLineChars="200"/>
        <w:jc w:val="left"/>
        <w:rPr>
          <w:rFonts w:ascii="宋体" w:hAnsi="宋体" w:cs="宋体"/>
          <w:sz w:val="24"/>
          <w:szCs w:val="24"/>
          <w:lang w:val="zh-CN"/>
        </w:rPr>
      </w:pPr>
      <w:r>
        <w:rPr>
          <w:rFonts w:hint="eastAsia" w:ascii="宋体" w:hAnsi="宋体" w:cs="宋体"/>
          <w:sz w:val="24"/>
          <w:szCs w:val="24"/>
          <w:lang w:val="zh-CN"/>
        </w:rPr>
        <w:t>1.满足《中华人民共和国政府采购法》第二十二条规定；</w:t>
      </w:r>
    </w:p>
    <w:p>
      <w:pPr>
        <w:spacing w:line="460" w:lineRule="exact"/>
        <w:ind w:firstLine="480" w:firstLineChars="200"/>
        <w:jc w:val="left"/>
        <w:rPr>
          <w:rFonts w:ascii="宋体" w:hAnsi="宋体" w:cs="宋体"/>
          <w:sz w:val="24"/>
          <w:szCs w:val="24"/>
          <w:lang w:val="zh-CN"/>
        </w:rPr>
      </w:pPr>
      <w:r>
        <w:rPr>
          <w:rFonts w:hint="eastAsia" w:ascii="宋体" w:hAnsi="宋体" w:cs="宋体"/>
          <w:sz w:val="24"/>
          <w:szCs w:val="24"/>
          <w:lang w:val="zh-CN"/>
        </w:rPr>
        <w:t>2.落实政府采购政策需满足的资格要求：1）本项目专门面向中小企业采购，价格不再进行财政政策扣除。2）落实《关于调整优化节能产品、环境标志产品政府采购执行机制的通知》（财库[2019]9号）、财政部《关于进一步加大政府采购支持中小企业力度的通知》（财库〔2022〕19号）、关于印发《政府采购促进中小企业发展管理办法》的通知（财库[2020]46号）、《财政部、司法部关于政府采购支持监狱企业发展有关问题的通知》（财库[2014]68号）和《关于促进残疾人就业政府采购政策的通知》（财库[2017]141号）等政府采购政策。</w:t>
      </w:r>
    </w:p>
    <w:p>
      <w:pPr>
        <w:spacing w:line="460" w:lineRule="exact"/>
        <w:ind w:firstLine="480" w:firstLineChars="200"/>
        <w:jc w:val="left"/>
        <w:rPr>
          <w:rFonts w:ascii="宋体" w:hAnsi="宋体" w:cs="宋体"/>
          <w:sz w:val="24"/>
          <w:szCs w:val="24"/>
          <w:lang w:val="zh-CN"/>
        </w:rPr>
      </w:pPr>
      <w:r>
        <w:rPr>
          <w:rFonts w:hint="eastAsia" w:ascii="宋体" w:hAnsi="宋体" w:cs="宋体"/>
          <w:sz w:val="24"/>
          <w:szCs w:val="24"/>
        </w:rPr>
        <w:t>3</w:t>
      </w:r>
      <w:r>
        <w:rPr>
          <w:rFonts w:hint="eastAsia" w:ascii="宋体" w:hAnsi="宋体" w:cs="宋体"/>
          <w:sz w:val="24"/>
          <w:szCs w:val="24"/>
          <w:lang w:val="zh-CN"/>
        </w:rPr>
        <w:t>.本项目的特定资格要求：</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3.1与招标人存在利害关系可能影响招标公正性的法人、其他组织或者个人，不得参加同一标段投标或者未划分标段的同一招标不得参加投标；</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3.2 投标人负责人为同一人或者存在控股、管理关系的不同单位，不得同时参加本项目的投标；</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3.3 根据《财政部关于在政府采购活动中查询及使用信用记录有关问题的通知》（财库﹝2016﹞125号）的要求，凡拟参加本次招标项目的投标供应商，如在“信用中国”网（www.creditchina.gov.cn）、中国政府采购网（www.ccgp.gov.cn）列入失信被执行人、重大税收违法案件当事人名单、政府采购严重违法失信行为记录名单的（尚在处罚期内的），将拒绝其参加本次项目投标；</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4.本项目不接受联合体投标。</w:t>
      </w:r>
    </w:p>
    <w:p>
      <w:pPr>
        <w:pStyle w:val="5"/>
      </w:pPr>
      <w:r>
        <w:rPr>
          <w:rFonts w:hint="eastAsia"/>
        </w:rPr>
        <w:t>三、获取招标文件</w:t>
      </w:r>
    </w:p>
    <w:p>
      <w:pPr>
        <w:spacing w:line="460" w:lineRule="exact"/>
        <w:ind w:firstLine="540"/>
        <w:jc w:val="left"/>
        <w:rPr>
          <w:rFonts w:ascii="宋体" w:hAnsi="宋体" w:cs="宋体"/>
          <w:sz w:val="24"/>
          <w:szCs w:val="24"/>
        </w:rPr>
      </w:pPr>
      <w:r>
        <w:rPr>
          <w:rFonts w:hint="eastAsia" w:ascii="宋体" w:hAnsi="宋体" w:cs="宋体"/>
          <w:sz w:val="24"/>
          <w:szCs w:val="24"/>
        </w:rPr>
        <w:t>时间</w:t>
      </w:r>
      <w:r>
        <w:rPr>
          <w:rFonts w:hint="eastAsia" w:ascii="宋体" w:hAnsi="宋体" w:cs="宋体"/>
          <w:sz w:val="24"/>
          <w:szCs w:val="24"/>
          <w:u w:val="single"/>
        </w:rPr>
        <w:t>2024年03月 26日</w:t>
      </w:r>
      <w:r>
        <w:rPr>
          <w:rFonts w:hint="eastAsia" w:ascii="宋体" w:hAnsi="宋体" w:cs="宋体"/>
          <w:sz w:val="24"/>
          <w:szCs w:val="24"/>
        </w:rPr>
        <w:t>至</w:t>
      </w:r>
      <w:r>
        <w:rPr>
          <w:rFonts w:hint="eastAsia" w:ascii="宋体" w:hAnsi="宋体" w:cs="宋体"/>
          <w:sz w:val="24"/>
          <w:szCs w:val="24"/>
          <w:u w:val="single"/>
        </w:rPr>
        <w:t>2024年04 月01日</w:t>
      </w:r>
      <w:r>
        <w:rPr>
          <w:rFonts w:hint="eastAsia" w:ascii="宋体" w:hAnsi="宋体" w:cs="宋体"/>
          <w:sz w:val="24"/>
          <w:szCs w:val="24"/>
        </w:rPr>
        <w:t>，每天上午</w:t>
      </w:r>
      <w:r>
        <w:rPr>
          <w:rFonts w:hint="eastAsia" w:ascii="宋体" w:hAnsi="宋体" w:cs="宋体"/>
          <w:sz w:val="24"/>
          <w:szCs w:val="24"/>
          <w:u w:val="single"/>
        </w:rPr>
        <w:t>10:00</w:t>
      </w:r>
      <w:r>
        <w:rPr>
          <w:rFonts w:hint="eastAsia" w:ascii="宋体" w:hAnsi="宋体" w:cs="宋体"/>
          <w:sz w:val="24"/>
          <w:szCs w:val="24"/>
        </w:rPr>
        <w:t>至</w:t>
      </w:r>
      <w:r>
        <w:rPr>
          <w:rFonts w:hint="eastAsia" w:ascii="宋体" w:hAnsi="宋体" w:cs="宋体"/>
          <w:sz w:val="24"/>
          <w:szCs w:val="24"/>
          <w:u w:val="single"/>
        </w:rPr>
        <w:t>14:00</w:t>
      </w:r>
      <w:r>
        <w:rPr>
          <w:rFonts w:hint="eastAsia" w:ascii="宋体" w:hAnsi="宋体" w:cs="宋体"/>
          <w:sz w:val="24"/>
          <w:szCs w:val="24"/>
        </w:rPr>
        <w:t>，下午</w:t>
      </w:r>
      <w:r>
        <w:rPr>
          <w:rFonts w:hint="eastAsia" w:ascii="宋体" w:hAnsi="宋体" w:cs="宋体"/>
          <w:sz w:val="24"/>
          <w:szCs w:val="24"/>
          <w:u w:val="single"/>
        </w:rPr>
        <w:t>15:30</w:t>
      </w:r>
      <w:r>
        <w:rPr>
          <w:rFonts w:hint="eastAsia" w:ascii="宋体" w:hAnsi="宋体" w:cs="宋体"/>
          <w:sz w:val="24"/>
          <w:szCs w:val="24"/>
        </w:rPr>
        <w:t>至</w:t>
      </w:r>
      <w:r>
        <w:rPr>
          <w:rFonts w:hint="eastAsia" w:ascii="宋体" w:hAnsi="宋体" w:cs="宋体"/>
          <w:sz w:val="24"/>
          <w:szCs w:val="24"/>
          <w:u w:val="single"/>
        </w:rPr>
        <w:t>19:30</w:t>
      </w:r>
      <w:r>
        <w:rPr>
          <w:rFonts w:hint="eastAsia" w:ascii="宋体" w:hAnsi="宋体" w:cs="宋体"/>
          <w:sz w:val="24"/>
          <w:szCs w:val="24"/>
        </w:rPr>
        <w:t>（北京时间，法定节假日除外）</w:t>
      </w:r>
    </w:p>
    <w:p>
      <w:pPr>
        <w:spacing w:line="400" w:lineRule="exact"/>
        <w:ind w:firstLine="480" w:firstLineChars="200"/>
        <w:jc w:val="left"/>
        <w:rPr>
          <w:rFonts w:ascii="仿宋" w:hAnsi="仿宋" w:cs="宋体"/>
          <w:kern w:val="0"/>
          <w:sz w:val="24"/>
          <w:szCs w:val="24"/>
        </w:rPr>
      </w:pPr>
      <w:r>
        <w:rPr>
          <w:rFonts w:hint="eastAsia" w:ascii="宋体" w:hAnsi="宋体" w:cs="宋体"/>
          <w:sz w:val="24"/>
          <w:szCs w:val="24"/>
        </w:rPr>
        <w:t>地点：</w:t>
      </w:r>
      <w:r>
        <w:rPr>
          <w:rFonts w:hint="eastAsia" w:ascii="仿宋" w:hAnsi="仿宋" w:cs="宋体"/>
          <w:kern w:val="0"/>
          <w:sz w:val="24"/>
          <w:szCs w:val="24"/>
        </w:rPr>
        <w:t>新疆云联慧科工程咨询有限公司（乌鲁木齐市水磨沟区立井街198号丽景中央城10号写字楼1601室）</w:t>
      </w:r>
    </w:p>
    <w:p>
      <w:pPr>
        <w:widowControl/>
        <w:spacing w:line="400" w:lineRule="exact"/>
        <w:ind w:firstLine="480" w:firstLineChars="200"/>
      </w:pPr>
      <w:r>
        <w:rPr>
          <w:rFonts w:hint="eastAsia" w:ascii="宋体" w:hAnsi="宋体" w:cs="宋体"/>
          <w:sz w:val="24"/>
          <w:szCs w:val="24"/>
        </w:rPr>
        <w:t>方式：</w:t>
      </w:r>
      <w:r>
        <w:rPr>
          <w:rFonts w:hint="eastAsia" w:ascii="宋体" w:hAnsi="宋体" w:cs="宋体"/>
          <w:kern w:val="0"/>
          <w:sz w:val="24"/>
        </w:rPr>
        <w:t>线上</w:t>
      </w:r>
    </w:p>
    <w:p>
      <w:pPr>
        <w:spacing w:line="460" w:lineRule="exact"/>
        <w:ind w:firstLine="540"/>
        <w:jc w:val="left"/>
        <w:rPr>
          <w:rFonts w:ascii="宋体" w:hAnsi="宋体" w:cs="宋体"/>
          <w:sz w:val="24"/>
          <w:szCs w:val="24"/>
          <w:u w:val="single"/>
        </w:rPr>
      </w:pPr>
      <w:r>
        <w:rPr>
          <w:rFonts w:hint="eastAsia" w:ascii="仿宋" w:hAnsi="仿宋" w:cs="宋体"/>
          <w:kern w:val="0"/>
          <w:sz w:val="24"/>
          <w:szCs w:val="24"/>
        </w:rPr>
        <w:t>售价：</w:t>
      </w:r>
      <w:r>
        <w:rPr>
          <w:rFonts w:ascii="宋体" w:hAnsi="宋体" w:cs="宋体"/>
          <w:kern w:val="0"/>
          <w:sz w:val="24"/>
          <w:szCs w:val="24"/>
        </w:rPr>
        <w:t>¥</w:t>
      </w:r>
      <w:r>
        <w:rPr>
          <w:rFonts w:hint="eastAsia" w:ascii="仿宋" w:hAnsi="仿宋" w:cs="宋体"/>
          <w:kern w:val="0"/>
          <w:sz w:val="24"/>
          <w:szCs w:val="24"/>
        </w:rPr>
        <w:t>0元</w:t>
      </w:r>
    </w:p>
    <w:p>
      <w:pPr>
        <w:pStyle w:val="5"/>
      </w:pPr>
      <w:r>
        <w:rPr>
          <w:rFonts w:hint="eastAsia"/>
        </w:rPr>
        <w:t>四、投标文件提交</w:t>
      </w:r>
    </w:p>
    <w:p>
      <w:pPr>
        <w:spacing w:line="460" w:lineRule="exact"/>
        <w:ind w:firstLine="480" w:firstLineChars="200"/>
        <w:jc w:val="left"/>
        <w:rPr>
          <w:rFonts w:ascii="宋体" w:hAnsi="宋体" w:cs="宋体"/>
          <w:bCs/>
          <w:sz w:val="24"/>
          <w:szCs w:val="24"/>
          <w:u w:val="single"/>
        </w:rPr>
      </w:pPr>
      <w:r>
        <w:rPr>
          <w:rFonts w:hint="eastAsia" w:ascii="宋体" w:hAnsi="宋体" w:cs="宋体"/>
          <w:sz w:val="24"/>
          <w:szCs w:val="24"/>
        </w:rPr>
        <w:t>截止时间：</w:t>
      </w:r>
      <w:r>
        <w:rPr>
          <w:rFonts w:hint="eastAsia" w:ascii="宋体" w:hAnsi="宋体" w:cs="宋体"/>
          <w:sz w:val="24"/>
          <w:szCs w:val="24"/>
          <w:u w:val="single"/>
        </w:rPr>
        <w:t>2024</w:t>
      </w:r>
      <w:r>
        <w:rPr>
          <w:rFonts w:hint="eastAsia" w:ascii="宋体" w:hAnsi="宋体" w:cs="宋体"/>
          <w:bCs/>
          <w:sz w:val="24"/>
          <w:szCs w:val="24"/>
          <w:u w:val="single"/>
        </w:rPr>
        <w:t>年 04 月16日</w:t>
      </w:r>
      <w:r>
        <w:rPr>
          <w:rFonts w:hint="eastAsia" w:ascii="宋体" w:hAnsi="宋体" w:cs="宋体"/>
          <w:sz w:val="24"/>
          <w:szCs w:val="24"/>
          <w:u w:val="single"/>
        </w:rPr>
        <w:t>10</w:t>
      </w:r>
      <w:r>
        <w:rPr>
          <w:rFonts w:hint="eastAsia" w:ascii="宋体" w:hAnsi="宋体" w:cs="宋体"/>
          <w:bCs/>
          <w:sz w:val="24"/>
          <w:szCs w:val="24"/>
          <w:u w:val="single"/>
        </w:rPr>
        <w:t>点</w:t>
      </w:r>
      <w:r>
        <w:rPr>
          <w:rFonts w:hint="eastAsia" w:ascii="宋体" w:hAnsi="宋体" w:cs="宋体"/>
          <w:sz w:val="24"/>
          <w:szCs w:val="24"/>
          <w:u w:val="single"/>
        </w:rPr>
        <w:t>30</w:t>
      </w:r>
      <w:r>
        <w:rPr>
          <w:rFonts w:hint="eastAsia" w:ascii="宋体" w:hAnsi="宋体" w:cs="宋体"/>
          <w:bCs/>
          <w:sz w:val="24"/>
          <w:szCs w:val="24"/>
          <w:u w:val="single"/>
        </w:rPr>
        <w:t>分</w:t>
      </w:r>
      <w:r>
        <w:rPr>
          <w:rFonts w:hint="eastAsia" w:ascii="宋体" w:hAnsi="宋体" w:cs="宋体"/>
          <w:bCs/>
          <w:sz w:val="24"/>
          <w:szCs w:val="24"/>
        </w:rPr>
        <w:t>（北京时间）</w:t>
      </w:r>
    </w:p>
    <w:p>
      <w:pPr>
        <w:spacing w:line="460" w:lineRule="exact"/>
        <w:ind w:firstLine="480" w:firstLineChars="200"/>
        <w:jc w:val="left"/>
        <w:rPr>
          <w:rFonts w:ascii="宋体" w:hAnsi="宋体" w:cs="宋体"/>
          <w:sz w:val="24"/>
          <w:szCs w:val="24"/>
        </w:rPr>
      </w:pPr>
      <w:r>
        <w:rPr>
          <w:rFonts w:hint="eastAsia" w:ascii="宋体" w:hAnsi="宋体" w:cs="宋体"/>
          <w:sz w:val="24"/>
          <w:szCs w:val="24"/>
        </w:rPr>
        <w:t>地点：乌鲁木齐市公共资源交易中心（益民大厦5楼515室）</w:t>
      </w:r>
    </w:p>
    <w:p>
      <w:pPr>
        <w:pStyle w:val="5"/>
      </w:pPr>
      <w:r>
        <w:rPr>
          <w:rFonts w:hint="eastAsia"/>
        </w:rPr>
        <w:t>五、开启</w:t>
      </w:r>
    </w:p>
    <w:p>
      <w:pPr>
        <w:spacing w:line="460" w:lineRule="exact"/>
        <w:ind w:firstLine="480" w:firstLineChars="200"/>
        <w:jc w:val="left"/>
        <w:rPr>
          <w:rFonts w:ascii="宋体" w:hAnsi="宋体" w:cs="宋体"/>
          <w:bCs/>
          <w:sz w:val="24"/>
          <w:szCs w:val="24"/>
        </w:rPr>
      </w:pPr>
      <w:r>
        <w:rPr>
          <w:rFonts w:hint="eastAsia" w:ascii="宋体" w:hAnsi="宋体" w:cs="宋体"/>
          <w:sz w:val="24"/>
          <w:szCs w:val="24"/>
        </w:rPr>
        <w:t>时间：</w:t>
      </w:r>
      <w:r>
        <w:rPr>
          <w:rFonts w:hint="eastAsia" w:ascii="宋体" w:hAnsi="宋体" w:cs="宋体"/>
          <w:sz w:val="24"/>
          <w:szCs w:val="24"/>
          <w:u w:val="single"/>
        </w:rPr>
        <w:t>2024</w:t>
      </w:r>
      <w:r>
        <w:rPr>
          <w:rFonts w:hint="eastAsia" w:ascii="宋体" w:hAnsi="宋体" w:cs="宋体"/>
          <w:bCs/>
          <w:sz w:val="24"/>
          <w:szCs w:val="24"/>
          <w:u w:val="single"/>
        </w:rPr>
        <w:t>年 04月 16 日</w:t>
      </w:r>
      <w:r>
        <w:rPr>
          <w:rFonts w:hint="eastAsia" w:ascii="宋体" w:hAnsi="宋体" w:cs="宋体"/>
          <w:sz w:val="24"/>
          <w:szCs w:val="24"/>
          <w:u w:val="single"/>
        </w:rPr>
        <w:t>10</w:t>
      </w:r>
      <w:r>
        <w:rPr>
          <w:rFonts w:hint="eastAsia" w:ascii="宋体" w:hAnsi="宋体" w:cs="宋体"/>
          <w:bCs/>
          <w:sz w:val="24"/>
          <w:szCs w:val="24"/>
          <w:u w:val="single"/>
        </w:rPr>
        <w:t>点</w:t>
      </w:r>
      <w:r>
        <w:rPr>
          <w:rFonts w:hint="eastAsia" w:ascii="宋体" w:hAnsi="宋体" w:cs="宋体"/>
          <w:sz w:val="24"/>
          <w:szCs w:val="24"/>
          <w:u w:val="single"/>
        </w:rPr>
        <w:t>30</w:t>
      </w:r>
      <w:r>
        <w:rPr>
          <w:rFonts w:hint="eastAsia" w:ascii="宋体" w:hAnsi="宋体" w:cs="宋体"/>
          <w:bCs/>
          <w:sz w:val="24"/>
          <w:szCs w:val="24"/>
          <w:u w:val="single"/>
        </w:rPr>
        <w:t>分</w:t>
      </w:r>
      <w:r>
        <w:rPr>
          <w:rFonts w:hint="eastAsia" w:ascii="宋体" w:hAnsi="宋体" w:cs="宋体"/>
          <w:bCs/>
          <w:sz w:val="24"/>
          <w:szCs w:val="24"/>
        </w:rPr>
        <w:t>（北京时间）</w:t>
      </w:r>
    </w:p>
    <w:p>
      <w:pPr>
        <w:spacing w:line="460" w:lineRule="exact"/>
        <w:ind w:firstLine="480" w:firstLineChars="200"/>
        <w:jc w:val="left"/>
        <w:rPr>
          <w:rFonts w:ascii="宋体" w:hAnsi="宋体" w:cs="宋体"/>
          <w:bCs/>
          <w:sz w:val="24"/>
          <w:szCs w:val="24"/>
          <w:u w:val="single"/>
        </w:rPr>
      </w:pPr>
      <w:r>
        <w:rPr>
          <w:rFonts w:hint="eastAsia" w:ascii="宋体" w:hAnsi="宋体" w:cs="宋体"/>
          <w:sz w:val="24"/>
          <w:szCs w:val="24"/>
        </w:rPr>
        <w:t>地点：</w:t>
      </w:r>
      <w:r>
        <w:rPr>
          <w:rFonts w:hint="eastAsia" w:ascii="宋体" w:hAnsi="宋体" w:cs="宋体"/>
          <w:bCs/>
          <w:sz w:val="24"/>
          <w:szCs w:val="24"/>
        </w:rPr>
        <w:t>乌鲁木齐市公共资源交易中心（益民大厦5楼）</w:t>
      </w:r>
    </w:p>
    <w:p>
      <w:pPr>
        <w:pStyle w:val="5"/>
      </w:pPr>
      <w:r>
        <w:rPr>
          <w:rFonts w:hint="eastAsia"/>
        </w:rPr>
        <w:t>六、公告期限</w:t>
      </w:r>
    </w:p>
    <w:p>
      <w:pPr>
        <w:spacing w:line="500" w:lineRule="exact"/>
        <w:ind w:firstLine="480" w:firstLineChars="200"/>
        <w:jc w:val="left"/>
        <w:rPr>
          <w:rFonts w:ascii="宋体" w:hAnsi="宋体" w:cs="宋体"/>
          <w:kern w:val="0"/>
          <w:sz w:val="24"/>
          <w:szCs w:val="24"/>
        </w:rPr>
      </w:pPr>
      <w:r>
        <w:rPr>
          <w:rFonts w:hint="eastAsia" w:ascii="宋体" w:hAnsi="宋体" w:cs="宋体"/>
          <w:kern w:val="0"/>
          <w:sz w:val="24"/>
          <w:szCs w:val="24"/>
        </w:rPr>
        <w:t>自本公告发布之日起5个工作日。</w:t>
      </w:r>
    </w:p>
    <w:p>
      <w:pPr>
        <w:pStyle w:val="5"/>
        <w:numPr>
          <w:ilvl w:val="0"/>
          <w:numId w:val="7"/>
        </w:numPr>
      </w:pPr>
      <w:r>
        <w:rPr>
          <w:rFonts w:hint="eastAsia"/>
        </w:rPr>
        <w:t>其他补充事宜</w:t>
      </w:r>
    </w:p>
    <w:p>
      <w:pPr>
        <w:pStyle w:val="6"/>
        <w:ind w:firstLine="480" w:firstLineChars="200"/>
        <w:jc w:val="both"/>
        <w:rPr>
          <w:rFonts w:ascii="宋体" w:hAnsi="宋体" w:cs="宋体"/>
          <w:b w:val="0"/>
          <w:bCs w:val="0"/>
          <w:sz w:val="24"/>
          <w:szCs w:val="24"/>
        </w:rPr>
      </w:pPr>
      <w:r>
        <w:rPr>
          <w:rFonts w:hint="eastAsia" w:ascii="宋体" w:hAnsi="宋体" w:cs="宋体"/>
          <w:b w:val="0"/>
          <w:bCs w:val="0"/>
          <w:sz w:val="24"/>
          <w:szCs w:val="24"/>
        </w:rPr>
        <w:t>领取招标文件时：需将单位名称、所投项目名称、联系人、联系方式和电子邮箱号书写在一张A4纸上并加盖公章，扫描后发送至指定邮箱394864045@qq.com。</w:t>
      </w:r>
    </w:p>
    <w:p>
      <w:pPr>
        <w:pStyle w:val="5"/>
        <w:ind w:firstLine="452" w:firstLineChars="150"/>
      </w:pPr>
      <w:r>
        <w:rPr>
          <w:rFonts w:hint="eastAsia"/>
        </w:rPr>
        <w:t>八、凡对本次采购提出询问，请按以下方式联系</w:t>
      </w:r>
    </w:p>
    <w:p>
      <w:pPr>
        <w:spacing w:line="500" w:lineRule="exact"/>
        <w:ind w:firstLine="720" w:firstLineChars="300"/>
        <w:jc w:val="left"/>
        <w:rPr>
          <w:rFonts w:ascii="宋体" w:hAnsi="宋体" w:cs="宋体"/>
          <w:sz w:val="24"/>
          <w:szCs w:val="24"/>
        </w:rPr>
      </w:pPr>
      <w:r>
        <w:rPr>
          <w:rFonts w:hint="eastAsia" w:ascii="宋体" w:hAnsi="宋体" w:cs="宋体"/>
          <w:sz w:val="24"/>
          <w:szCs w:val="24"/>
        </w:rPr>
        <w:t>1.采购人信息</w:t>
      </w:r>
    </w:p>
    <w:p>
      <w:pPr>
        <w:spacing w:line="360" w:lineRule="auto"/>
        <w:ind w:firstLine="720" w:firstLineChars="300"/>
        <w:rPr>
          <w:rFonts w:ascii="宋体" w:hAnsi="宋体" w:cs="宋体"/>
          <w:b/>
          <w:bCs/>
          <w:sz w:val="30"/>
          <w:szCs w:val="30"/>
          <w:u w:val="single"/>
        </w:rPr>
      </w:pPr>
      <w:r>
        <w:rPr>
          <w:rFonts w:hint="eastAsia" w:ascii="宋体" w:hAnsi="宋体" w:cs="宋体"/>
          <w:sz w:val="24"/>
          <w:szCs w:val="24"/>
        </w:rPr>
        <w:t>名    称：</w:t>
      </w:r>
      <w:r>
        <w:rPr>
          <w:rFonts w:hint="eastAsia" w:ascii="宋体" w:hAnsi="宋体" w:cs="宋体"/>
          <w:sz w:val="24"/>
          <w:szCs w:val="24"/>
          <w:u w:val="single"/>
        </w:rPr>
        <w:t>克孜勒苏柯尔克孜自治州消防救援支队</w:t>
      </w:r>
    </w:p>
    <w:p>
      <w:pPr>
        <w:spacing w:line="460" w:lineRule="exact"/>
        <w:ind w:firstLine="720" w:firstLineChars="300"/>
        <w:jc w:val="left"/>
        <w:rPr>
          <w:rFonts w:ascii="宋体" w:hAnsi="宋体" w:cs="宋体"/>
          <w:sz w:val="24"/>
          <w:szCs w:val="24"/>
        </w:rPr>
      </w:pPr>
      <w:r>
        <w:rPr>
          <w:rFonts w:hint="eastAsia" w:ascii="宋体" w:hAnsi="宋体" w:cs="宋体"/>
          <w:sz w:val="24"/>
          <w:szCs w:val="24"/>
        </w:rPr>
        <w:t>地    址：</w:t>
      </w:r>
      <w:r>
        <w:rPr>
          <w:rFonts w:hint="eastAsia" w:ascii="宋体" w:hAnsi="宋体" w:cs="宋体"/>
          <w:sz w:val="24"/>
          <w:szCs w:val="24"/>
          <w:u w:val="single"/>
        </w:rPr>
        <w:t xml:space="preserve">新疆克州阿图什市帕米尔路80号克州消防救援支队          </w:t>
      </w:r>
    </w:p>
    <w:p>
      <w:pPr>
        <w:spacing w:line="460" w:lineRule="exact"/>
        <w:ind w:firstLine="720" w:firstLineChars="300"/>
        <w:jc w:val="left"/>
        <w:rPr>
          <w:rFonts w:ascii="宋体" w:hAnsi="宋体" w:cs="宋体"/>
          <w:sz w:val="24"/>
          <w:szCs w:val="24"/>
          <w:u w:val="single"/>
        </w:rPr>
      </w:pPr>
      <w:r>
        <w:rPr>
          <w:rFonts w:hint="eastAsia" w:ascii="宋体" w:hAnsi="宋体" w:cs="宋体"/>
          <w:sz w:val="24"/>
          <w:szCs w:val="24"/>
          <w:lang w:val="zh-CN"/>
        </w:rPr>
        <w:t>联系人：</w:t>
      </w:r>
      <w:r>
        <w:rPr>
          <w:rFonts w:hint="eastAsia" w:ascii="宋体" w:hAnsi="宋体" w:cs="宋体"/>
          <w:sz w:val="24"/>
          <w:szCs w:val="24"/>
          <w:u w:val="single"/>
          <w:lang w:val="zh-CN"/>
        </w:rPr>
        <w:t>戴先生、卢女士</w:t>
      </w:r>
    </w:p>
    <w:p>
      <w:pPr>
        <w:spacing w:line="360" w:lineRule="auto"/>
        <w:ind w:firstLine="720" w:firstLineChars="300"/>
        <w:rPr>
          <w:rFonts w:ascii="宋体" w:hAnsi="宋体" w:cs="宋体"/>
          <w:sz w:val="24"/>
          <w:szCs w:val="24"/>
          <w:u w:val="single"/>
        </w:rPr>
      </w:pPr>
      <w:r>
        <w:rPr>
          <w:rFonts w:hint="eastAsia" w:ascii="宋体" w:hAnsi="宋体" w:cs="宋体"/>
          <w:sz w:val="24"/>
          <w:szCs w:val="24"/>
        </w:rPr>
        <w:t>联系方式：</w:t>
      </w:r>
      <w:r>
        <w:rPr>
          <w:rFonts w:hint="eastAsia" w:ascii="宋体" w:hAnsi="宋体" w:cs="宋体"/>
          <w:sz w:val="24"/>
          <w:szCs w:val="24"/>
          <w:u w:val="single"/>
        </w:rPr>
        <w:t>18199729119、18699769975</w:t>
      </w:r>
    </w:p>
    <w:p>
      <w:pPr>
        <w:spacing w:line="460" w:lineRule="exact"/>
        <w:ind w:firstLine="630" w:firstLineChars="300"/>
        <w:jc w:val="left"/>
        <w:rPr>
          <w:rFonts w:ascii="宋体" w:hAnsi="宋体" w:cs="宋体"/>
        </w:rPr>
      </w:pPr>
    </w:p>
    <w:p>
      <w:pPr>
        <w:spacing w:line="460" w:lineRule="exact"/>
        <w:ind w:firstLine="720" w:firstLineChars="300"/>
        <w:jc w:val="left"/>
        <w:rPr>
          <w:rFonts w:ascii="宋体" w:hAnsi="宋体" w:cs="宋体"/>
          <w:sz w:val="24"/>
          <w:szCs w:val="24"/>
        </w:rPr>
      </w:pPr>
      <w:r>
        <w:rPr>
          <w:rFonts w:hint="eastAsia" w:ascii="宋体" w:hAnsi="宋体" w:cs="宋体"/>
          <w:sz w:val="24"/>
          <w:szCs w:val="24"/>
        </w:rPr>
        <w:t>2.采购代理机构信息</w:t>
      </w:r>
    </w:p>
    <w:p>
      <w:pPr>
        <w:spacing w:line="460" w:lineRule="exact"/>
        <w:ind w:firstLine="720" w:firstLineChars="300"/>
        <w:jc w:val="left"/>
        <w:rPr>
          <w:rFonts w:ascii="宋体" w:hAnsi="宋体" w:cs="宋体"/>
          <w:sz w:val="24"/>
          <w:szCs w:val="24"/>
        </w:rPr>
      </w:pPr>
      <w:r>
        <w:rPr>
          <w:rFonts w:hint="eastAsia" w:ascii="宋体" w:hAnsi="宋体" w:cs="宋体"/>
          <w:sz w:val="24"/>
          <w:szCs w:val="24"/>
        </w:rPr>
        <w:t>名    称：</w:t>
      </w:r>
      <w:r>
        <w:rPr>
          <w:rFonts w:hint="eastAsia" w:ascii="宋体" w:hAnsi="宋体" w:cs="宋体"/>
          <w:sz w:val="24"/>
          <w:szCs w:val="24"/>
          <w:u w:val="single"/>
        </w:rPr>
        <w:t>新疆云联慧科工程咨询有限公司</w:t>
      </w:r>
    </w:p>
    <w:p>
      <w:pPr>
        <w:spacing w:line="460" w:lineRule="exact"/>
        <w:ind w:left="1798" w:leftChars="342" w:hanging="1080" w:hangingChars="450"/>
        <w:jc w:val="left"/>
        <w:rPr>
          <w:rFonts w:ascii="宋体" w:hAnsi="宋体" w:cs="宋体"/>
          <w:sz w:val="24"/>
          <w:szCs w:val="24"/>
          <w:u w:val="single"/>
        </w:rPr>
      </w:pPr>
      <w:r>
        <w:rPr>
          <w:rFonts w:hint="eastAsia" w:ascii="宋体" w:hAnsi="宋体" w:cs="宋体"/>
          <w:sz w:val="24"/>
          <w:szCs w:val="24"/>
        </w:rPr>
        <w:t>地　　址：</w:t>
      </w:r>
      <w:r>
        <w:rPr>
          <w:rFonts w:hint="eastAsia" w:ascii="宋体" w:hAnsi="宋体" w:cs="宋体"/>
          <w:sz w:val="24"/>
          <w:szCs w:val="24"/>
          <w:u w:val="single"/>
        </w:rPr>
        <w:t>乌鲁木齐市水磨沟区立井街198号丽景中央城10号写字楼1601室</w:t>
      </w:r>
    </w:p>
    <w:p>
      <w:pPr>
        <w:spacing w:line="460" w:lineRule="exact"/>
        <w:ind w:left="1198" w:leftChars="342" w:hanging="480" w:hangingChars="200"/>
        <w:jc w:val="left"/>
        <w:rPr>
          <w:rFonts w:ascii="宋体" w:hAnsi="宋体" w:cs="宋体"/>
          <w:spacing w:val="-6"/>
          <w:sz w:val="24"/>
          <w:szCs w:val="24"/>
          <w:u w:val="single"/>
        </w:rPr>
      </w:pPr>
      <w:r>
        <w:rPr>
          <w:rFonts w:hint="eastAsia" w:ascii="宋体" w:hAnsi="宋体" w:cs="宋体"/>
          <w:sz w:val="24"/>
          <w:szCs w:val="24"/>
          <w:lang w:val="zh-CN"/>
        </w:rPr>
        <w:t>联系人：</w:t>
      </w:r>
      <w:r>
        <w:rPr>
          <w:rFonts w:hint="eastAsia" w:ascii="宋体" w:hAnsi="宋体" w:cs="宋体"/>
          <w:sz w:val="24"/>
          <w:szCs w:val="24"/>
          <w:u w:val="single"/>
        </w:rPr>
        <w:t>邓丽娟、郑慧敏</w:t>
      </w:r>
    </w:p>
    <w:p>
      <w:pPr>
        <w:spacing w:line="460" w:lineRule="exact"/>
        <w:ind w:left="1198" w:leftChars="342" w:hanging="480" w:hangingChars="200"/>
        <w:jc w:val="left"/>
        <w:rPr>
          <w:rFonts w:ascii="宋体" w:hAnsi="宋体" w:cs="宋体"/>
          <w:spacing w:val="10"/>
          <w:sz w:val="24"/>
          <w:szCs w:val="24"/>
        </w:rPr>
      </w:pPr>
      <w:r>
        <w:rPr>
          <w:rFonts w:hint="eastAsia" w:ascii="宋体" w:hAnsi="宋体" w:cs="宋体"/>
          <w:sz w:val="24"/>
          <w:szCs w:val="24"/>
        </w:rPr>
        <w:t>联系方式</w:t>
      </w:r>
      <w:r>
        <w:rPr>
          <w:rFonts w:hint="eastAsia" w:ascii="宋体" w:hAnsi="宋体" w:cs="宋体"/>
          <w:sz w:val="24"/>
          <w:szCs w:val="24"/>
          <w:u w:val="single"/>
        </w:rPr>
        <w:t>：13629903024、17690987272</w:t>
      </w:r>
    </w:p>
    <w:p>
      <w:pPr>
        <w:spacing w:line="460" w:lineRule="exact"/>
        <w:ind w:left="1174" w:leftChars="342" w:hanging="456" w:hangingChars="200"/>
        <w:jc w:val="left"/>
        <w:rPr>
          <w:rFonts w:ascii="宋体" w:hAnsi="宋体" w:cs="宋体"/>
          <w:spacing w:val="-6"/>
          <w:sz w:val="24"/>
          <w:szCs w:val="24"/>
          <w:u w:val="single"/>
        </w:rPr>
      </w:pPr>
    </w:p>
    <w:p>
      <w:pPr>
        <w:pStyle w:val="124"/>
        <w:ind w:left="432" w:right="130"/>
        <w:jc w:val="right"/>
        <w:rPr>
          <w:rFonts w:ascii="宋体" w:hAnsi="宋体" w:cs="宋体"/>
          <w:spacing w:val="10"/>
          <w:lang w:eastAsia="zh-CN"/>
        </w:rPr>
      </w:pPr>
      <w:r>
        <w:rPr>
          <w:rFonts w:hint="eastAsia" w:ascii="宋体" w:hAnsi="宋体" w:cs="宋体"/>
          <w:spacing w:val="10"/>
          <w:lang w:eastAsia="zh-CN"/>
        </w:rPr>
        <w:t>2024年03月25日</w:t>
      </w:r>
    </w:p>
    <w:p>
      <w:pPr>
        <w:jc w:val="right"/>
        <w:rPr>
          <w:rFonts w:ascii="宋体" w:hAnsi="宋体" w:cs="宋体"/>
          <w:spacing w:val="10"/>
          <w:sz w:val="24"/>
          <w:szCs w:val="24"/>
        </w:rPr>
      </w:pPr>
      <w:r>
        <w:rPr>
          <w:rFonts w:hint="eastAsia" w:ascii="宋体" w:hAnsi="宋体" w:cs="宋体"/>
          <w:spacing w:val="10"/>
          <w:sz w:val="24"/>
          <w:szCs w:val="24"/>
        </w:rPr>
        <w:br w:type="page"/>
      </w:r>
    </w:p>
    <w:bookmarkEnd w:id="14"/>
    <w:p>
      <w:pPr>
        <w:pStyle w:val="3"/>
      </w:pPr>
      <w:bookmarkStart w:id="22" w:name="_Toc120614213"/>
      <w:bookmarkStart w:id="23" w:name="_Toc26763"/>
      <w:bookmarkStart w:id="24" w:name="_Toc9359"/>
      <w:bookmarkStart w:id="25" w:name="_Toc513029202"/>
      <w:bookmarkStart w:id="26" w:name="_Toc13939"/>
      <w:bookmarkStart w:id="27" w:name="_Toc20823274"/>
      <w:bookmarkStart w:id="28" w:name="_Toc16938518"/>
      <w:r>
        <w:rPr>
          <w:rFonts w:hint="eastAsia"/>
        </w:rPr>
        <w:t>第二章 投标人须知</w:t>
      </w:r>
      <w:bookmarkEnd w:id="15"/>
      <w:bookmarkEnd w:id="22"/>
      <w:bookmarkEnd w:id="23"/>
      <w:bookmarkEnd w:id="24"/>
      <w:bookmarkEnd w:id="25"/>
      <w:bookmarkEnd w:id="26"/>
      <w:bookmarkEnd w:id="27"/>
      <w:bookmarkEnd w:id="28"/>
    </w:p>
    <w:p>
      <w:pPr>
        <w:pStyle w:val="5"/>
      </w:pPr>
      <w:bookmarkStart w:id="29" w:name="_Toc21065"/>
      <w:bookmarkStart w:id="30" w:name="_Toc19352"/>
      <w:bookmarkStart w:id="31" w:name="_Toc534725606"/>
      <w:r>
        <w:rPr>
          <w:rFonts w:hint="eastAsia"/>
        </w:rPr>
        <w:t xml:space="preserve">一、总  </w:t>
      </w:r>
      <w:bookmarkStart w:id="32" w:name="_Toc9510635"/>
      <w:r>
        <w:rPr>
          <w:rFonts w:hint="eastAsia"/>
        </w:rPr>
        <w:t>则</w:t>
      </w:r>
      <w:bookmarkEnd w:id="29"/>
      <w:bookmarkEnd w:id="30"/>
    </w:p>
    <w:p>
      <w:pPr>
        <w:pStyle w:val="6"/>
      </w:pPr>
      <w:bookmarkStart w:id="33" w:name="_Toc26214"/>
      <w:r>
        <w:rPr>
          <w:rFonts w:hint="eastAsia"/>
        </w:rPr>
        <w:t>1、适用</w:t>
      </w:r>
      <w:bookmarkEnd w:id="32"/>
      <w:r>
        <w:rPr>
          <w:rFonts w:hint="eastAsia"/>
        </w:rPr>
        <w:t>范围</w:t>
      </w:r>
      <w:bookmarkEnd w:id="33"/>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本招标文件适用于</w:t>
      </w:r>
      <w:r>
        <w:rPr>
          <w:rFonts w:hint="eastAsia" w:asciiTheme="majorEastAsia" w:hAnsiTheme="majorEastAsia" w:eastAsiaTheme="majorEastAsia" w:cstheme="majorEastAsia"/>
          <w:bCs/>
          <w:sz w:val="24"/>
          <w:szCs w:val="24"/>
        </w:rPr>
        <w:t>本次采购项目</w:t>
      </w:r>
      <w:r>
        <w:rPr>
          <w:rFonts w:hint="eastAsia" w:asciiTheme="majorEastAsia" w:hAnsiTheme="majorEastAsia" w:eastAsiaTheme="majorEastAsia" w:cstheme="majorEastAsia"/>
          <w:sz w:val="24"/>
          <w:szCs w:val="24"/>
        </w:rPr>
        <w:t>的招标、投标、评标、定标、验收、合同履约、付款等行为（法律、法规另有规定的，从其规定）。</w:t>
      </w:r>
    </w:p>
    <w:p>
      <w:pPr>
        <w:pStyle w:val="6"/>
      </w:pPr>
      <w:bookmarkStart w:id="34" w:name="_Toc24800"/>
      <w:r>
        <w:rPr>
          <w:rFonts w:hint="eastAsia"/>
        </w:rPr>
        <w:t>2、定义</w:t>
      </w:r>
      <w:bookmarkEnd w:id="34"/>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 招标采购单位（采购人）系指采购单位。</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2.2 “投标人”系指向采购方提交投标文件的法人、其他组织或者自然人。</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2.3 “产品”系指供方按招标文件规定，须向采购人提供的一切设备、保险、税金、备品备件、工具、手册及其它有关技术资料和材料。</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2.4 “服务”系指招标文件规定投标人须承担的安装、调试、技术协助、校准、培训、技术指导以及其他类似的义务。</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2.5 “项目”系指投标人按招标文件规定向采购人提供的产品和服务。</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2.6 “书面形式”包括信函、传真、电子邮件等。</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2.7实质性响应:系指投标文件符合招标文件规定的实质性内容、条件和规定。</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2.8重大偏离或保留：系指将会影响到招标文件规定的服务范围、质量标准，或会给合同中规定的招标人的权利和投标人的责任造成实质性限制，而纠正这些偏离或保留将对其他提交了实质性响应的投标文件的投标人产生不公平影响的。</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2.9 细微偏离：系指投标文件对招标文件的非实质性内容存在不完全响应或不响应。</w:t>
      </w:r>
    </w:p>
    <w:p>
      <w:pPr>
        <w:pStyle w:val="6"/>
      </w:pPr>
      <w:bookmarkStart w:id="35" w:name="_Toc17392"/>
      <w:r>
        <w:rPr>
          <w:rFonts w:hint="eastAsia"/>
        </w:rPr>
        <w:t>3、招标方式</w:t>
      </w:r>
      <w:bookmarkEnd w:id="35"/>
    </w:p>
    <w:p>
      <w:pPr>
        <w:adjustRightInd w:val="0"/>
        <w:snapToGrid w:val="0"/>
        <w:spacing w:line="4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本项目采用公开招标方式进行。</w:t>
      </w:r>
    </w:p>
    <w:p>
      <w:pPr>
        <w:pStyle w:val="6"/>
      </w:pPr>
      <w:bookmarkStart w:id="36" w:name="_Toc32376"/>
      <w:r>
        <w:rPr>
          <w:rFonts w:hint="eastAsia"/>
        </w:rPr>
        <w:t>4、投标委托</w:t>
      </w:r>
      <w:bookmarkEnd w:id="36"/>
    </w:p>
    <w:p>
      <w:pPr>
        <w:adjustRightInd w:val="0"/>
        <w:snapToGrid w:val="0"/>
        <w:spacing w:line="500" w:lineRule="exact"/>
        <w:ind w:firstLine="464" w:firstLineChars="200"/>
        <w:jc w:val="left"/>
        <w:rPr>
          <w:rFonts w:asciiTheme="majorEastAsia" w:hAnsiTheme="majorEastAsia" w:eastAsiaTheme="majorEastAsia" w:cstheme="majorEastAsia"/>
          <w:spacing w:val="-4"/>
          <w:sz w:val="24"/>
          <w:szCs w:val="24"/>
        </w:rPr>
      </w:pPr>
      <w:r>
        <w:rPr>
          <w:rFonts w:hint="eastAsia" w:asciiTheme="majorEastAsia" w:hAnsiTheme="majorEastAsia" w:eastAsiaTheme="majorEastAsia" w:cstheme="majorEastAsia"/>
          <w:spacing w:val="-4"/>
          <w:sz w:val="24"/>
          <w:szCs w:val="24"/>
        </w:rPr>
        <w:t>投标人代表须携带有效身份证件。如投标人代表不是法定代表人（负责人、自然人），须有法定代表人（负责人、自然人）出具的授权委托书（格式见第五章）。</w:t>
      </w:r>
    </w:p>
    <w:p>
      <w:pPr>
        <w:pStyle w:val="6"/>
      </w:pPr>
      <w:bookmarkStart w:id="37" w:name="_Toc21031"/>
      <w:r>
        <w:rPr>
          <w:rFonts w:hint="eastAsia"/>
        </w:rPr>
        <w:t>5、投标费用</w:t>
      </w:r>
      <w:bookmarkEnd w:id="37"/>
    </w:p>
    <w:p>
      <w:pPr>
        <w:adjustRightInd w:val="0"/>
        <w:snapToGrid w:val="0"/>
        <w:spacing w:line="4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不论投标结果如何，投标人均应自行承担所有与投标有关的全部费用。</w:t>
      </w:r>
    </w:p>
    <w:p>
      <w:pPr>
        <w:pStyle w:val="6"/>
      </w:pPr>
      <w:bookmarkStart w:id="38" w:name="_Toc505"/>
      <w:r>
        <w:rPr>
          <w:rFonts w:hint="eastAsia"/>
        </w:rPr>
        <w:t>6、分包转包</w:t>
      </w:r>
      <w:bookmarkEnd w:id="38"/>
    </w:p>
    <w:p>
      <w:pPr>
        <w:adjustRightInd w:val="0"/>
        <w:snapToGrid w:val="0"/>
        <w:spacing w:line="4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本项目不允许分包和转包。</w:t>
      </w:r>
    </w:p>
    <w:p>
      <w:pPr>
        <w:pStyle w:val="6"/>
      </w:pPr>
      <w:bookmarkStart w:id="39" w:name="_Toc5076"/>
      <w:r>
        <w:rPr>
          <w:rFonts w:hint="eastAsia"/>
        </w:rPr>
        <w:t>7、提供相同品牌产品处理</w:t>
      </w:r>
      <w:bookmarkEnd w:id="39"/>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提供相同品牌产品且通过资格审查、符合性审查的不同投标人参加同一合同项下投标的，按一家投标人计算，评审后得分最高的同品牌投标人获得中标人推荐资格；评审得分相同的，商务部分得分最高的获得中标人推荐资格，商务部分得分相同的采取随机抽取方式确定，其他同品牌投标人不作为中标候选人。 </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非单一产品采购项目，采购人应当根据采购项目技术构成、产品价格比重等合理确定核心产品，并在招标文件中载明。多家投标人提供的任一核心产品品牌相同的，按前款规定处理。</w:t>
      </w:r>
    </w:p>
    <w:p>
      <w:pPr>
        <w:pStyle w:val="6"/>
      </w:pPr>
      <w:bookmarkStart w:id="40" w:name="_Toc21631"/>
      <w:r>
        <w:rPr>
          <w:rFonts w:hint="eastAsia"/>
        </w:rPr>
        <w:t>8、特别说明：</w:t>
      </w:r>
      <w:bookmarkEnd w:id="40"/>
    </w:p>
    <w:p>
      <w:pPr>
        <w:adjustRightInd w:val="0"/>
        <w:snapToGrid w:val="0"/>
        <w:spacing w:line="500" w:lineRule="exact"/>
        <w:ind w:firstLine="470"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sz w:val="24"/>
          <w:szCs w:val="24"/>
        </w:rPr>
        <w:t>8.1 投标人投标所使用的资格、信誉、荣誉、业绩与认证证书必须为本法人（其他组织、个人）所拥有。</w:t>
      </w:r>
    </w:p>
    <w:p>
      <w:pPr>
        <w:adjustRightInd w:val="0"/>
        <w:snapToGrid w:val="0"/>
        <w:spacing w:line="500" w:lineRule="exact"/>
        <w:ind w:left="2" w:leftChars="1"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8.2 投标人应仔细阅读招标文件的所有内容，按照招标文件的要求提交投标文件，并对所提供的全部资料的真实性承担法律责任。</w:t>
      </w:r>
    </w:p>
    <w:p>
      <w:pPr>
        <w:adjustRightInd w:val="0"/>
        <w:snapToGrid w:val="0"/>
        <w:spacing w:line="500" w:lineRule="exact"/>
        <w:ind w:left="2" w:leftChars="1"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8.3 投标人在投标活动中提供任何虚假材料,其投标无效，并报监管部门查处；中标后发现的,中标人须依照《中华人民共和国消费者权益保护法》第49条之规定双倍赔偿采购人，且民事赔偿并不免除违法投标人的行政与刑事责任。</w:t>
      </w:r>
    </w:p>
    <w:p>
      <w:pPr>
        <w:pStyle w:val="6"/>
      </w:pPr>
      <w:bookmarkStart w:id="41" w:name="_Toc24888"/>
      <w:r>
        <w:rPr>
          <w:rFonts w:hint="eastAsia"/>
        </w:rPr>
        <w:t>9、质疑</w:t>
      </w:r>
      <w:bookmarkEnd w:id="41"/>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9.1供应商认为招标文件、采购过程和中标、成交结果使自己的权益受到损害的，可以在知道或者应知其权益受到损害之日起七个工作日内，以书面形式向采购人提出质疑。</w:t>
      </w:r>
      <w:r>
        <w:rPr>
          <w:rFonts w:hint="eastAsia" w:asciiTheme="majorEastAsia" w:hAnsiTheme="majorEastAsia" w:eastAsiaTheme="majorEastAsia" w:cstheme="majorEastAsia"/>
          <w:bCs/>
          <w:sz w:val="24"/>
          <w:szCs w:val="24"/>
        </w:rPr>
        <w:t>投标人应在法定质疑期内一次性提出针对同一采购程序环节的质疑。</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质疑供应商对采购人、采购代理机构的答复不满意或者采购人、采购代理机构未在规定的时间内作出答复的，可以在答复期满后十五个工作日内向同级政府采购监督管理部门投诉。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500" w:lineRule="exact"/>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9.2 质疑、投诉应当采用书面形式，质疑书、投诉书均应明确阐述招标文件、招标过程或中标结果中使自己合法权益受到损害的实质性内容，提供相关事实、依据和证据及其来源或线索，便于有关单位调查、答复和处理。</w:t>
      </w:r>
    </w:p>
    <w:p>
      <w:pPr>
        <w:adjustRightInd w:val="0"/>
        <w:snapToGrid w:val="0"/>
        <w:spacing w:line="500" w:lineRule="exact"/>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9.3质疑（投诉）书应载明质疑（投诉）人全称、地址、邮编、传真、联系人、联系电话，电子邮箱。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投标人委托代理人提出质疑（投诉），应当提交供应商签署的授权委托书。质疑（投诉）书必须有联系人署名。（质疑函格式见本文件质疑函范本）</w:t>
      </w:r>
    </w:p>
    <w:p>
      <w:pPr>
        <w:pStyle w:val="2"/>
      </w:pPr>
    </w:p>
    <w:p>
      <w:pPr>
        <w:pStyle w:val="2"/>
        <w:spacing w:line="360" w:lineRule="auto"/>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9.4接收质疑函的方式、联系部门、联系电话和通讯地址：以书面形式递交到新疆云联慧科工程咨询有限公司（联系人：邓丽娟，联系电话：13629903024，邮箱：394864045@qq.com，地址：乌鲁木齐市水磨沟区立井街198号丽景中央城10号写字楼1601室</w:t>
      </w:r>
      <w:r>
        <w:rPr>
          <w:rFonts w:asciiTheme="majorEastAsia" w:hAnsiTheme="majorEastAsia" w:eastAsiaTheme="majorEastAsia" w:cstheme="majorEastAsia"/>
          <w:bCs/>
          <w:sz w:val="24"/>
          <w:szCs w:val="24"/>
        </w:rPr>
        <w:t>）</w:t>
      </w:r>
      <w:r>
        <w:rPr>
          <w:rFonts w:hint="eastAsia" w:asciiTheme="majorEastAsia" w:hAnsiTheme="majorEastAsia" w:eastAsiaTheme="majorEastAsia" w:cstheme="majorEastAsia"/>
          <w:bCs/>
          <w:sz w:val="24"/>
          <w:szCs w:val="24"/>
        </w:rPr>
        <w:t>。</w:t>
      </w:r>
    </w:p>
    <w:p>
      <w:pPr>
        <w:pStyle w:val="2"/>
        <w:spacing w:line="360" w:lineRule="auto"/>
        <w:rPr>
          <w:rFonts w:eastAsiaTheme="majorEastAsia"/>
        </w:rPr>
      </w:pPr>
    </w:p>
    <w:p>
      <w:pPr>
        <w:pStyle w:val="5"/>
      </w:pPr>
      <w:bookmarkStart w:id="42" w:name="_Toc31383"/>
      <w:bookmarkStart w:id="43" w:name="_Toc12925"/>
      <w:r>
        <w:rPr>
          <w:rFonts w:hint="eastAsia"/>
        </w:rPr>
        <w:t>二、</w:t>
      </w:r>
      <w:bookmarkEnd w:id="42"/>
      <w:bookmarkEnd w:id="43"/>
      <w:bookmarkStart w:id="44" w:name="_Toc9510636"/>
      <w:r>
        <w:rPr>
          <w:rFonts w:hint="eastAsia"/>
        </w:rPr>
        <w:t>招标文件</w:t>
      </w:r>
    </w:p>
    <w:p>
      <w:pPr>
        <w:pStyle w:val="6"/>
      </w:pPr>
      <w:bookmarkStart w:id="45" w:name="_Toc11465"/>
      <w:r>
        <w:rPr>
          <w:rFonts w:hint="eastAsia"/>
        </w:rPr>
        <w:t>10、</w:t>
      </w:r>
      <w:bookmarkEnd w:id="44"/>
      <w:r>
        <w:rPr>
          <w:rFonts w:hint="eastAsia"/>
        </w:rPr>
        <w:t>招标文件的构成</w:t>
      </w:r>
      <w:bookmarkEnd w:id="45"/>
      <w:r>
        <w:rPr>
          <w:rFonts w:hint="eastAsia" w:asciiTheme="majorEastAsia" w:hAnsiTheme="majorEastAsia" w:eastAsiaTheme="majorEastAsia" w:cstheme="majorEastAsia"/>
          <w:b w:val="0"/>
          <w:bCs w:val="0"/>
          <w:sz w:val="24"/>
          <w:szCs w:val="24"/>
        </w:rPr>
        <w:t>（详见本招标文件目录明细）</w:t>
      </w:r>
    </w:p>
    <w:p>
      <w:pPr>
        <w:pStyle w:val="6"/>
      </w:pPr>
      <w:bookmarkStart w:id="46" w:name="_Toc9329"/>
      <w:r>
        <w:rPr>
          <w:rFonts w:hint="eastAsia"/>
        </w:rPr>
        <w:t>11、投标人的风险</w:t>
      </w:r>
      <w:bookmarkEnd w:id="46"/>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投标人没有按照招标文件要求提供全部资料，或者投标人没有对招标文件在各方面作出实质性响应是投标人的风险，并可能导致其投标被拒绝。</w:t>
      </w:r>
    </w:p>
    <w:p>
      <w:pPr>
        <w:pStyle w:val="6"/>
      </w:pPr>
      <w:bookmarkStart w:id="47" w:name="_Toc14128"/>
      <w:r>
        <w:rPr>
          <w:rFonts w:hint="eastAsia"/>
        </w:rPr>
        <w:t>1</w:t>
      </w:r>
      <w:bookmarkStart w:id="48" w:name="_Toc9510637"/>
      <w:r>
        <w:rPr>
          <w:rFonts w:hint="eastAsia"/>
        </w:rPr>
        <w:t>2、招标文件的澄清与修改</w:t>
      </w:r>
      <w:bookmarkEnd w:id="47"/>
    </w:p>
    <w:p>
      <w:pPr>
        <w:spacing w:line="500" w:lineRule="exact"/>
        <w:ind w:firstLine="480" w:firstLineChars="200"/>
        <w:rPr>
          <w:sz w:val="24"/>
          <w:szCs w:val="24"/>
        </w:rPr>
      </w:pPr>
      <w:r>
        <w:rPr>
          <w:rFonts w:hint="eastAsia"/>
          <w:sz w:val="24"/>
          <w:szCs w:val="24"/>
        </w:rPr>
        <w:t>12.1采购人或采购代理机构对已发出的招标文件进行必要澄清或者修改的，应当在投标人须知前附表规定的提交投标文件截止时间15日前，在原刊登招标公告的媒体上发布更正公告，并以书面形式通知所有招标文件收受人。</w:t>
      </w:r>
    </w:p>
    <w:p>
      <w:pPr>
        <w:spacing w:line="500" w:lineRule="exact"/>
        <w:ind w:firstLine="480" w:firstLineChars="200"/>
        <w:rPr>
          <w:sz w:val="24"/>
          <w:szCs w:val="24"/>
        </w:rPr>
      </w:pPr>
      <w:r>
        <w:rPr>
          <w:rFonts w:hint="eastAsia"/>
          <w:sz w:val="24"/>
          <w:szCs w:val="24"/>
        </w:rPr>
        <w:t>12.2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spacing w:line="500" w:lineRule="exact"/>
        <w:ind w:firstLine="480" w:firstLineChars="200"/>
        <w:rPr>
          <w:sz w:val="24"/>
          <w:szCs w:val="24"/>
        </w:rPr>
      </w:pPr>
      <w:r>
        <w:rPr>
          <w:rFonts w:hint="eastAsia"/>
          <w:sz w:val="24"/>
          <w:szCs w:val="24"/>
        </w:rPr>
        <w:t>12.3澄清或者修改内容为招标文件的组成部分，对所有领取了招标文件的潜在投标人均具有约束力。</w:t>
      </w:r>
    </w:p>
    <w:p>
      <w:pPr>
        <w:pStyle w:val="5"/>
      </w:pPr>
      <w:bookmarkStart w:id="49" w:name="_Toc25731"/>
      <w:bookmarkStart w:id="50" w:name="_Toc3009"/>
      <w:r>
        <w:rPr>
          <w:rFonts w:hint="eastAsia"/>
        </w:rPr>
        <w:t>三、投标文件的编制</w:t>
      </w:r>
      <w:bookmarkEnd w:id="49"/>
      <w:bookmarkEnd w:id="50"/>
    </w:p>
    <w:bookmarkEnd w:id="48"/>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投标人应认真阅读招标文件中所有的事项、格式、条款和技术要求等内容。如果投标人没有按照招标文件的要求和规定编制投标文件及提交全部资料，或者投标文件没有对招标文件中的各方面作出实质性响应，其风险应由投标人承担。投标文件应按照每包的要求编制并独立密封，不得混装，否则视为无效标。</w:t>
      </w:r>
    </w:p>
    <w:p>
      <w:pPr>
        <w:pStyle w:val="6"/>
      </w:pPr>
      <w:bookmarkStart w:id="51" w:name="_Toc29638"/>
      <w:r>
        <w:rPr>
          <w:rFonts w:hint="eastAsia"/>
        </w:rPr>
        <w:t>13、投标文件的组成</w:t>
      </w:r>
      <w:bookmarkEnd w:id="51"/>
    </w:p>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投标文件由报价文件、商务技术文件组成，其中报价文件单独装订成一册（正本1份，副本4份）；商务技术文件装订成一册（正本1份，副本4份）。</w:t>
      </w:r>
    </w:p>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13.1 报价文件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（1）投标函（格式见附件）；</w:t>
      </w:r>
    </w:p>
    <w:p>
      <w:pPr>
        <w:tabs>
          <w:tab w:val="left" w:pos="3870"/>
          <w:tab w:val="left" w:pos="4085"/>
        </w:tabs>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（2）开标一览表（格式见附件）；</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（3）投标报价明细表（格式见附件）；</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（4）投标保证金缴纳凭证复印件；</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（5）投标人针对报价需要说明的其他文件和资料（如有）。</w:t>
      </w:r>
    </w:p>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13.2商务部分</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（1）投标声明书(格式见附件)；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（2）授权委托书(格式见附件)；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（3）有效的营业执照（事业单位法人证书、民办非企业单位登记证书、社会团体法人登记证书、基金会法人登记证书、自然人身份证）副本复印件；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（4）投标人情况介绍（格式见附件）；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（5）2022和2023年度经审计的财务报告（注册不满1年的企业无需提供）</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（6）投标人须具有履行合同所必需的设备和专业技术能力，须附相关证明材料或声明；</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（7）依法缴纳税收和社会保障资金的良好记录；</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（8）前三年内在经营活动中没有重大违法记录的书面声明（格式见附件）；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（9）投标人未被列入失信被执行人、重大税收违法案件当事人名单、政府采购严重违法失信行为记录名单；</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（10）投标人已取得的各种有效认证证书、政府部门（企业）或第三方权威鉴定机构出具的信用等级证书或证明复印件；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（11）投标人2021年03月1日至今做过与本项目类似的业绩；</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（12）政府采购政策扶持证明材料；</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（13）其他证明文件或供应商认为应提交的商务文件（如有）。</w:t>
      </w:r>
    </w:p>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13.2技术部分</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（14）技术响应偏离表（格式见附件）；</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（15）产品详细技术规格书（包括产品详细配置、技术性能指标等）（格式自拟）；</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（16）与产品相关的由国家认可的检测机构出具的检测报告（如有）；</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（18）针对本项目的详细技术培训方案：包括（但不限于）</w:t>
      </w:r>
      <w:r>
        <w:rPr>
          <w:rFonts w:asciiTheme="majorEastAsia" w:hAnsiTheme="majorEastAsia" w:eastAsiaTheme="majorEastAsia" w:cstheme="majorEastAsia"/>
          <w:sz w:val="24"/>
          <w:szCs w:val="24"/>
        </w:rPr>
        <w:t>培训内容</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培训方式</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培训计划</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培训团队人员配置等</w:t>
      </w:r>
      <w:r>
        <w:rPr>
          <w:rFonts w:hint="eastAsia" w:asciiTheme="majorEastAsia" w:hAnsiTheme="majorEastAsia" w:eastAsiaTheme="majorEastAsia" w:cstheme="majorEastAsia"/>
          <w:sz w:val="24"/>
          <w:szCs w:val="24"/>
        </w:rPr>
        <w:t>内容（格式自拟）；</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（19）针对本项目的售后服务方案：包括（但不限于）售后</w:t>
      </w:r>
      <w:r>
        <w:rPr>
          <w:rFonts w:asciiTheme="majorEastAsia" w:hAnsiTheme="majorEastAsia" w:eastAsiaTheme="majorEastAsia" w:cstheme="majorEastAsia"/>
          <w:sz w:val="24"/>
          <w:szCs w:val="24"/>
        </w:rPr>
        <w:t>服务承诺</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服务响应方案</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备件（易耗品）供应方案</w:t>
      </w:r>
      <w:r>
        <w:rPr>
          <w:rFonts w:hint="eastAsia" w:asciiTheme="majorEastAsia" w:hAnsiTheme="majorEastAsia" w:eastAsiaTheme="majorEastAsia" w:cstheme="majorEastAsia"/>
          <w:sz w:val="24"/>
          <w:szCs w:val="24"/>
        </w:rPr>
        <w:t>（含备件价格）、</w:t>
      </w:r>
      <w:r>
        <w:rPr>
          <w:rFonts w:asciiTheme="majorEastAsia" w:hAnsiTheme="majorEastAsia" w:eastAsiaTheme="majorEastAsia" w:cstheme="majorEastAsia"/>
          <w:sz w:val="24"/>
          <w:szCs w:val="24"/>
        </w:rPr>
        <w:t>服务人员配备</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故障响应</w:t>
      </w:r>
      <w:r>
        <w:rPr>
          <w:rFonts w:hint="eastAsia" w:asciiTheme="majorEastAsia" w:hAnsiTheme="majorEastAsia" w:eastAsiaTheme="majorEastAsia" w:cstheme="majorEastAsia"/>
          <w:sz w:val="24"/>
          <w:szCs w:val="24"/>
        </w:rPr>
        <w:t>措施、</w:t>
      </w:r>
      <w:r>
        <w:rPr>
          <w:rFonts w:asciiTheme="majorEastAsia" w:hAnsiTheme="majorEastAsia" w:eastAsiaTheme="majorEastAsia" w:cstheme="majorEastAsia"/>
          <w:sz w:val="24"/>
          <w:szCs w:val="24"/>
        </w:rPr>
        <w:t>质保外服务措施等</w:t>
      </w:r>
      <w:r>
        <w:rPr>
          <w:rFonts w:hint="eastAsia" w:asciiTheme="majorEastAsia" w:hAnsiTheme="majorEastAsia" w:eastAsiaTheme="majorEastAsia" w:cstheme="majorEastAsia"/>
          <w:sz w:val="24"/>
          <w:szCs w:val="24"/>
        </w:rPr>
        <w:t>内容（格式自拟）；</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（20）其他优惠条件（如有）：投标人承诺给予采购人的各种优惠条件，包括备品备件、专用耗材等；</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（21）投标人需要提供的其他文件或资料（如有）。</w:t>
      </w:r>
    </w:p>
    <w:p>
      <w:pPr>
        <w:adjustRightInd w:val="0"/>
        <w:snapToGrid w:val="0"/>
        <w:spacing w:line="500" w:lineRule="exact"/>
        <w:ind w:left="479" w:leftChars="228"/>
        <w:jc w:val="left"/>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注：a.授权委托书、投标声明书、投标函、开标一览表必须由法定代表人（负责人、自然人）或其授权代表签名（按格式要求）并加盖单位公章。</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b.以上提供的各种证书、证件、证明资料如是复印件，须在复印件上加盖有效公章，如发现有造假嫌疑的，将根据有关规定以“提供虚假材料谋取中标”予以处罚。</w:t>
      </w:r>
    </w:p>
    <w:p>
      <w:pPr>
        <w:adjustRightInd w:val="0"/>
        <w:snapToGrid w:val="0"/>
        <w:spacing w:line="500" w:lineRule="exact"/>
        <w:ind w:left="479" w:leftChars="228" w:firstLine="463" w:firstLineChars="192"/>
        <w:jc w:val="left"/>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c.《报价文件》单独装订成册，投标供应商须按要求单独递交《报价文件》；投标文件中除《报价文件》外，其他部分不得有任何涉及本次投标报价的信息。</w:t>
      </w:r>
    </w:p>
    <w:p>
      <w:pPr>
        <w:adjustRightInd w:val="0"/>
        <w:snapToGrid w:val="0"/>
        <w:spacing w:line="500" w:lineRule="exact"/>
        <w:ind w:left="479" w:leftChars="228" w:firstLine="463" w:firstLineChars="192"/>
        <w:jc w:val="left"/>
        <w:rPr>
          <w:rFonts w:eastAsiaTheme="majorEastAsia"/>
        </w:rPr>
      </w:pPr>
      <w:r>
        <w:rPr>
          <w:rFonts w:hint="eastAsia" w:asciiTheme="majorEastAsia" w:hAnsiTheme="majorEastAsia" w:eastAsiaTheme="majorEastAsia" w:cstheme="majorEastAsia"/>
          <w:b/>
          <w:bCs/>
          <w:sz w:val="24"/>
          <w:szCs w:val="24"/>
        </w:rPr>
        <w:t>d.以上材料须加盖单位公章，投标人需将投标文件按上述顺序装订成一整册，请投标人编制投标文件的目录及页码。</w:t>
      </w:r>
    </w:p>
    <w:p>
      <w:pPr>
        <w:pStyle w:val="6"/>
      </w:pPr>
      <w:bookmarkStart w:id="52" w:name="_Toc26745"/>
      <w:r>
        <w:rPr>
          <w:rFonts w:hint="eastAsia"/>
        </w:rPr>
        <w:t>14、投标文件的语言及计量</w:t>
      </w:r>
      <w:bookmarkEnd w:id="52"/>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14.1 投标文件以及投标方与招标方就有关投标事宜的所有来往函电，均应以中文汉语书写。除签名、盖章、专用名称等特殊情形外，以中文汉语以外的文字表述的投标文件视同未提供。</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14.2 投标计量单位，招标文件已有明确规定的，使用招标文件规定的计量单位；招标文件没有规定的，应采用中华人民共和国法定计量单位（货币单位：人民币元），否则视同未响应。</w:t>
      </w:r>
    </w:p>
    <w:p>
      <w:pPr>
        <w:pStyle w:val="6"/>
      </w:pPr>
      <w:bookmarkStart w:id="53" w:name="_Toc10847"/>
      <w:r>
        <w:rPr>
          <w:rFonts w:hint="eastAsia"/>
        </w:rPr>
        <w:t>15、投标报价</w:t>
      </w:r>
      <w:bookmarkEnd w:id="53"/>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15.1 投标报价按招标文件中相关附表格式填写，应为所投标包的产品的单价报价，每个产品只允许一个报价。</w:t>
      </w:r>
      <w:r>
        <w:rPr>
          <w:rFonts w:hint="eastAsia" w:asciiTheme="majorEastAsia" w:hAnsiTheme="majorEastAsia" w:eastAsiaTheme="majorEastAsia" w:cstheme="majorEastAsia"/>
          <w:bCs/>
          <w:sz w:val="24"/>
          <w:szCs w:val="24"/>
        </w:rPr>
        <w:t>同型号产品参与不同标包投标的，则其报价必须相同，否则视为有选择性报价，按无效标处理</w:t>
      </w:r>
      <w:r>
        <w:rPr>
          <w:rFonts w:hint="eastAsia" w:asciiTheme="majorEastAsia" w:hAnsiTheme="majorEastAsia" w:eastAsiaTheme="majorEastAsia" w:cstheme="majorEastAsia"/>
          <w:sz w:val="24"/>
          <w:szCs w:val="24"/>
        </w:rPr>
        <w:t>。</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15.2 投标报价应包括货款、标准附件、备品备件、专用工具、包装、运输、装卸、保险、税金、货到就位以及安装、调试、培训、保修等一切税金和费用。</w:t>
      </w:r>
    </w:p>
    <w:p>
      <w:pPr>
        <w:tabs>
          <w:tab w:val="left" w:pos="525"/>
        </w:tabs>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15.3 每种货物只允许有一个报价，有选择的或有条件的报价将不予接受。</w:t>
      </w:r>
    </w:p>
    <w:p>
      <w:pPr>
        <w:pStyle w:val="6"/>
      </w:pPr>
      <w:bookmarkStart w:id="54" w:name="_Toc11872"/>
      <w:r>
        <w:rPr>
          <w:rFonts w:hint="eastAsia"/>
        </w:rPr>
        <w:t>16、投标文件的有效期</w:t>
      </w:r>
      <w:bookmarkEnd w:id="54"/>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16.1 自投标截止日起</w:t>
      </w:r>
      <w:r>
        <w:rPr>
          <w:rFonts w:hint="eastAsia" w:asciiTheme="majorEastAsia" w:hAnsiTheme="majorEastAsia" w:eastAsiaTheme="majorEastAsia" w:cstheme="majorEastAsia"/>
          <w:kern w:val="0"/>
          <w:sz w:val="24"/>
          <w:szCs w:val="24"/>
          <w:u w:val="single"/>
        </w:rPr>
        <w:t>90</w:t>
      </w:r>
      <w:r>
        <w:rPr>
          <w:rFonts w:hint="eastAsia" w:asciiTheme="majorEastAsia" w:hAnsiTheme="majorEastAsia" w:eastAsiaTheme="majorEastAsia" w:cstheme="majorEastAsia"/>
          <w:kern w:val="0"/>
          <w:sz w:val="24"/>
          <w:szCs w:val="24"/>
        </w:rPr>
        <w:t>天投标文件应保持有效。</w:t>
      </w:r>
    </w:p>
    <w:p>
      <w:pPr>
        <w:tabs>
          <w:tab w:val="left" w:pos="454"/>
          <w:tab w:val="left" w:pos="720"/>
        </w:tabs>
        <w:adjustRightInd w:val="0"/>
        <w:snapToGrid w:val="0"/>
        <w:spacing w:line="500" w:lineRule="exact"/>
        <w:ind w:firstLine="480" w:firstLineChars="200"/>
        <w:jc w:val="left"/>
        <w:rPr>
          <w:rFonts w:asciiTheme="majorEastAsia" w:hAnsiTheme="majorEastAsia" w:eastAsiaTheme="majorEastAsia" w:cstheme="majorEastAsia"/>
          <w:kern w:val="0"/>
          <w:sz w:val="24"/>
          <w:szCs w:val="24"/>
        </w:rPr>
      </w:pPr>
      <w:r>
        <w:rPr>
          <w:rFonts w:hint="eastAsia" w:asciiTheme="majorEastAsia" w:hAnsiTheme="majorEastAsia" w:eastAsiaTheme="majorEastAsia" w:cstheme="majorEastAsia"/>
          <w:kern w:val="0"/>
          <w:sz w:val="24"/>
          <w:szCs w:val="24"/>
        </w:rPr>
        <w:t>16.2 在特殊情况下，采购人可与投标人协商延长投标书的有效期，这种要求和答复均以书面形式进行。</w:t>
      </w:r>
    </w:p>
    <w:p>
      <w:pPr>
        <w:adjustRightInd w:val="0"/>
        <w:snapToGrid w:val="0"/>
        <w:spacing w:line="500" w:lineRule="exact"/>
        <w:ind w:firstLine="480" w:firstLineChars="200"/>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sz w:val="24"/>
          <w:szCs w:val="24"/>
        </w:rPr>
        <w:t>16.3 投标人可拒绝接受延期要求而不会导致投标保证金被没收。同意延长有效期的投标人需要相应延长投标保证金的有效期，但不能修改投标文件。</w:t>
      </w:r>
    </w:p>
    <w:p>
      <w:pPr>
        <w:adjustRightInd w:val="0"/>
        <w:snapToGrid w:val="0"/>
        <w:spacing w:line="500" w:lineRule="exact"/>
        <w:ind w:firstLine="480" w:firstLineChars="200"/>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sz w:val="24"/>
          <w:szCs w:val="24"/>
        </w:rPr>
        <w:t>16.4 中标人的投标文件自开标之日起至合同履行完毕止均应保持有效。</w:t>
      </w:r>
    </w:p>
    <w:p>
      <w:pPr>
        <w:pStyle w:val="6"/>
      </w:pPr>
      <w:bookmarkStart w:id="55" w:name="_Toc2098"/>
      <w:r>
        <w:rPr>
          <w:rFonts w:hint="eastAsia"/>
        </w:rPr>
        <w:t>17、投标保证金</w:t>
      </w:r>
      <w:bookmarkEnd w:id="55"/>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17.1 投标人须按规定提交投标保证金。否则，其投标将被拒绝。</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17.2 保证金形式：投标保证金应当以支票、汇票、本票或者金融机构、担保机构出具的保函等非现金形式提交。</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17.3 退还保证金时，投标人提供单位账户信息。</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17.4 采购代理机构应当自中标通知书发出之日起5个工作日内退还未中标单位的投标保证金，自政府采购合同签订之日起 5 个工作日内退还中标单位的投标保证金。但因投标人自身原因导致无法及时退还的除外。</w:t>
      </w:r>
    </w:p>
    <w:p>
      <w:pPr>
        <w:adjustRightInd w:val="0"/>
        <w:snapToGrid w:val="0"/>
        <w:spacing w:line="500" w:lineRule="exact"/>
        <w:ind w:firstLine="472" w:firstLineChars="196"/>
        <w:jc w:val="left"/>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17.5 投标人有下列情形之一的，投标保证金将不予退还：</w:t>
      </w:r>
    </w:p>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（1）投标人在投标有效期内撤回投标文件的；</w:t>
      </w:r>
    </w:p>
    <w:p>
      <w:pPr>
        <w:adjustRightInd w:val="0"/>
        <w:snapToGrid w:val="0"/>
        <w:spacing w:line="500" w:lineRule="exact"/>
        <w:ind w:firstLine="472" w:firstLineChars="196"/>
        <w:jc w:val="left"/>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（2）投标人在投标过程中弄虚作假，提供虚假材料的；</w:t>
      </w:r>
    </w:p>
    <w:p>
      <w:pPr>
        <w:adjustRightInd w:val="0"/>
        <w:snapToGrid w:val="0"/>
        <w:spacing w:line="500" w:lineRule="exact"/>
        <w:ind w:firstLine="472" w:firstLineChars="196"/>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（3）中标人无正当理由不与采购人签订合同的；</w:t>
      </w:r>
    </w:p>
    <w:p>
      <w:pPr>
        <w:adjustRightInd w:val="0"/>
        <w:snapToGrid w:val="0"/>
        <w:spacing w:line="500" w:lineRule="exact"/>
        <w:ind w:firstLine="472" w:firstLineChars="196"/>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（4）</w:t>
      </w:r>
      <w:r>
        <w:rPr>
          <w:rFonts w:hint="eastAsia" w:asciiTheme="majorEastAsia" w:hAnsiTheme="majorEastAsia" w:eastAsiaTheme="majorEastAsia" w:cstheme="majorEastAsia"/>
          <w:b/>
          <w:bCs/>
          <w:sz w:val="24"/>
          <w:szCs w:val="24"/>
        </w:rPr>
        <w:t>将中标项目转让给他人或者在投标文件中未说明且未经招标采购单位同意，将项目分包给他人的；</w:t>
      </w:r>
    </w:p>
    <w:p>
      <w:pPr>
        <w:adjustRightInd w:val="0"/>
        <w:snapToGrid w:val="0"/>
        <w:spacing w:line="500" w:lineRule="exact"/>
        <w:ind w:firstLine="482" w:firstLineChars="200"/>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（5）拒绝履行合同义务的；</w:t>
      </w:r>
    </w:p>
    <w:p>
      <w:pPr>
        <w:adjustRightInd w:val="0"/>
        <w:snapToGrid w:val="0"/>
        <w:spacing w:line="500" w:lineRule="exact"/>
        <w:ind w:firstLine="482" w:firstLineChars="200"/>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（6）其他严重扰乱招投标程序的。</w:t>
      </w:r>
    </w:p>
    <w:p>
      <w:pPr>
        <w:pStyle w:val="6"/>
        <w:rPr>
          <w:rFonts w:asciiTheme="majorEastAsia" w:hAnsiTheme="majorEastAsia" w:eastAsiaTheme="majorEastAsia" w:cstheme="majorEastAsia"/>
          <w:sz w:val="24"/>
          <w:szCs w:val="24"/>
        </w:rPr>
      </w:pPr>
      <w:bookmarkStart w:id="56" w:name="_Toc16494"/>
      <w:r>
        <w:rPr>
          <w:rFonts w:hint="eastAsia" w:asciiTheme="majorEastAsia" w:hAnsiTheme="majorEastAsia" w:eastAsiaTheme="majorEastAsia" w:cstheme="majorEastAsia"/>
          <w:sz w:val="24"/>
          <w:szCs w:val="24"/>
        </w:rPr>
        <w:t>18、投标文件</w:t>
      </w:r>
      <w:r>
        <w:rPr>
          <w:rStyle w:val="84"/>
          <w:rFonts w:hint="eastAsia"/>
          <w:b/>
          <w:bCs/>
        </w:rPr>
        <w:t>的</w:t>
      </w:r>
      <w:r>
        <w:rPr>
          <w:rFonts w:hint="eastAsia" w:asciiTheme="majorEastAsia" w:hAnsiTheme="majorEastAsia" w:eastAsiaTheme="majorEastAsia" w:cstheme="majorEastAsia"/>
          <w:sz w:val="24"/>
          <w:szCs w:val="24"/>
        </w:rPr>
        <w:t>签署和份数</w:t>
      </w:r>
      <w:bookmarkEnd w:id="56"/>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18.1 投标人应按本招标文件规定的格式和顺序编制、装订投标文件并标注页码，投标文件内容不完整、编排混乱导致投标文件被误读、漏读或者查找不到相关内容的，是投标人的责任。</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18.2投标人递交的纸质投标文件包括“正本”一份、“副本”四份。报价文件单独装订成一册“正本”一份、“副本”四份；商务技术文件内容不得体现价格合并装订。</w:t>
      </w:r>
      <w:r>
        <w:rPr>
          <w:rFonts w:hint="eastAsia" w:asciiTheme="majorEastAsia" w:hAnsiTheme="majorEastAsia" w:eastAsiaTheme="majorEastAsia" w:cstheme="majorEastAsia"/>
          <w:b/>
          <w:sz w:val="24"/>
          <w:szCs w:val="24"/>
        </w:rPr>
        <w:t>建议采用胶装，不得采用活页装订（是指用卡条、抽杆夹、订书机等形式装订，使投标文件可以拆卸或者在翻动过程中易脱落的一种装订方式）。</w:t>
      </w:r>
      <w:r>
        <w:rPr>
          <w:rFonts w:hint="eastAsia" w:asciiTheme="majorEastAsia" w:hAnsiTheme="majorEastAsia" w:eastAsiaTheme="majorEastAsia" w:cstheme="majorEastAsia"/>
          <w:sz w:val="24"/>
          <w:szCs w:val="24"/>
        </w:rPr>
        <w:t>在投标文件封面的须清楚的注明“正本”或“副本”。</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18.3 投标文件的正本需打印或用不褪色的墨水填写，投标文件正本除本《投标人须知》中规定的可提供复印件外均须提供原件。副本可为正本的复印件。</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18.4 投标文件须由投标人在规定位置盖章并由法定代表人（负责人、自然人）或法定代表人（负责人、自然人）的授权代表签署，投标人应写全称。</w:t>
      </w:r>
    </w:p>
    <w:p>
      <w:pPr>
        <w:adjustRightInd w:val="0"/>
        <w:snapToGrid w:val="0"/>
        <w:spacing w:line="500" w:lineRule="exact"/>
        <w:ind w:firstLine="480" w:firstLineChars="20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18.5 投标文件不得涂改，若有修改错漏处，须加盖单位公章或者法定代表人（负责人、自然人）或授权代表签字。投标文件因字迹潦草或表达不清所引起的后果由投标人负责。</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18.6电子文件（1份光盘，1份U盘）</w:t>
      </w:r>
      <w:bookmarkStart w:id="57" w:name="_Toc86216991"/>
      <w:bookmarkStart w:id="58" w:name="_Toc233618975"/>
      <w:r>
        <w:rPr>
          <w:rFonts w:hint="eastAsia" w:asciiTheme="majorEastAsia" w:hAnsiTheme="majorEastAsia" w:eastAsiaTheme="majorEastAsia" w:cstheme="majorEastAsia"/>
          <w:b/>
          <w:sz w:val="24"/>
          <w:szCs w:val="24"/>
        </w:rPr>
        <w:t>U盘和1份电子版光盘中须包含投标文件的全部内容，包括报价文件</w:t>
      </w:r>
      <w:bookmarkStart w:id="59" w:name="_Hlt68403820"/>
      <w:bookmarkEnd w:id="59"/>
      <w:bookmarkStart w:id="60" w:name="_Hlt68073093"/>
      <w:bookmarkEnd w:id="60"/>
      <w:bookmarkStart w:id="61" w:name="_Hlt68072998"/>
      <w:bookmarkEnd w:id="61"/>
      <w:r>
        <w:rPr>
          <w:rFonts w:hint="eastAsia" w:asciiTheme="majorEastAsia" w:hAnsiTheme="majorEastAsia" w:eastAsiaTheme="majorEastAsia" w:cstheme="majorEastAsia"/>
          <w:b/>
          <w:sz w:val="24"/>
          <w:szCs w:val="24"/>
        </w:rPr>
        <w:t>和商务技术文件，格式为WORD版和签章后的投标文件正本扫描件PDF版两种。</w:t>
      </w:r>
      <w:r>
        <w:rPr>
          <w:rFonts w:hint="eastAsia" w:asciiTheme="majorEastAsia" w:hAnsiTheme="majorEastAsia" w:eastAsiaTheme="majorEastAsia" w:cstheme="majorEastAsia"/>
          <w:sz w:val="24"/>
          <w:szCs w:val="24"/>
        </w:rPr>
        <w:t>光盘上须注明投标人名称及所投标包及内容。光盘上的内容应与投标人纸制投标文件一致。</w:t>
      </w:r>
    </w:p>
    <w:p>
      <w:pPr>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18.7</w:t>
      </w:r>
      <w:r>
        <w:rPr>
          <w:rFonts w:hint="eastAsia" w:asciiTheme="majorEastAsia" w:hAnsiTheme="majorEastAsia" w:eastAsiaTheme="majorEastAsia" w:cstheme="majorEastAsia"/>
          <w:b/>
          <w:sz w:val="24"/>
          <w:szCs w:val="24"/>
        </w:rPr>
        <w:t>投</w:t>
      </w:r>
      <w:bookmarkEnd w:id="57"/>
      <w:bookmarkEnd w:id="58"/>
      <w:r>
        <w:rPr>
          <w:rFonts w:hint="eastAsia" w:asciiTheme="majorEastAsia" w:hAnsiTheme="majorEastAsia" w:eastAsiaTheme="majorEastAsia" w:cstheme="majorEastAsia"/>
          <w:b/>
          <w:sz w:val="24"/>
          <w:szCs w:val="24"/>
        </w:rPr>
        <w:t>标人如投多个标包的，应当按照标包编号单独提供每一套投标文件</w:t>
      </w:r>
      <w:r>
        <w:rPr>
          <w:rFonts w:hint="eastAsia" w:asciiTheme="majorEastAsia" w:hAnsiTheme="majorEastAsia" w:eastAsiaTheme="majorEastAsia" w:cstheme="majorEastAsia"/>
          <w:sz w:val="24"/>
          <w:szCs w:val="24"/>
        </w:rPr>
        <w:t>。</w:t>
      </w:r>
      <w:r>
        <w:rPr>
          <w:rFonts w:hint="eastAsia" w:asciiTheme="majorEastAsia" w:hAnsiTheme="majorEastAsia" w:eastAsiaTheme="majorEastAsia" w:cstheme="majorEastAsia"/>
          <w:b/>
          <w:sz w:val="24"/>
          <w:szCs w:val="24"/>
        </w:rPr>
        <w:t>商务技术文件装订成一册，报价文件单独装订成一册，在投标文件封面上列明标包编号，商务技术文件的书脊处须写明投标单位公司全称。否则按照无效响应以处理。</w:t>
      </w:r>
    </w:p>
    <w:p>
      <w:pPr>
        <w:pStyle w:val="6"/>
      </w:pPr>
      <w:bookmarkStart w:id="62" w:name="_Toc8464"/>
      <w:r>
        <w:rPr>
          <w:rFonts w:hint="eastAsia"/>
        </w:rPr>
        <w:t>19、投标文件的包装、递交、修改和撤回</w:t>
      </w:r>
      <w:bookmarkEnd w:id="62"/>
    </w:p>
    <w:p>
      <w:pPr>
        <w:adjustRightInd w:val="0"/>
        <w:snapToGrid w:val="0"/>
        <w:spacing w:line="500" w:lineRule="exact"/>
        <w:ind w:firstLine="42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b/>
          <w:bCs/>
          <w:sz w:val="24"/>
          <w:szCs w:val="24"/>
        </w:rPr>
        <w:t>19.1投标人应将报价文件单独装订成一册，商务文件和技术文件装订成一册,并分别密封包装，电子光盘单独密封并递交，包装封面上应注明“商务技术文件”、“报价文件”、“电子文件”及投标人名称、标包名称、标包编号及内容及“开标时启封”字样，并加盖投标人公章。</w:t>
      </w:r>
    </w:p>
    <w:p>
      <w:pPr>
        <w:pStyle w:val="194"/>
        <w:snapToGrid w:val="0"/>
        <w:spacing w:before="0" w:line="500" w:lineRule="exact"/>
        <w:ind w:left="0" w:firstLine="480" w:firstLineChars="200"/>
        <w:rPr>
          <w:rFonts w:asciiTheme="majorEastAsia" w:hAnsiTheme="majorEastAsia" w:eastAsiaTheme="majorEastAsia" w:cstheme="majorEastAsia"/>
          <w:kern w:val="2"/>
          <w:sz w:val="24"/>
          <w:szCs w:val="24"/>
        </w:rPr>
      </w:pPr>
      <w:r>
        <w:rPr>
          <w:rFonts w:hint="eastAsia" w:asciiTheme="majorEastAsia" w:hAnsiTheme="majorEastAsia" w:eastAsiaTheme="majorEastAsia" w:cstheme="majorEastAsia"/>
          <w:kern w:val="2"/>
          <w:sz w:val="24"/>
          <w:szCs w:val="24"/>
        </w:rPr>
        <w:t>19.2如果投标文件的包装没有按上述规定密封并加写标志，采购人或采购代理机构将拒绝接收。</w:t>
      </w:r>
    </w:p>
    <w:p>
      <w:pPr>
        <w:pStyle w:val="194"/>
        <w:snapToGrid w:val="0"/>
        <w:spacing w:before="0" w:line="500" w:lineRule="exact"/>
        <w:ind w:left="0" w:firstLine="480" w:firstLineChars="200"/>
        <w:rPr>
          <w:rFonts w:asciiTheme="majorEastAsia" w:hAnsiTheme="majorEastAsia" w:eastAsiaTheme="majorEastAsia" w:cstheme="majorEastAsia"/>
          <w:kern w:val="2"/>
          <w:sz w:val="24"/>
          <w:szCs w:val="24"/>
        </w:rPr>
      </w:pPr>
      <w:r>
        <w:rPr>
          <w:rFonts w:hint="eastAsia" w:asciiTheme="majorEastAsia" w:hAnsiTheme="majorEastAsia" w:eastAsiaTheme="majorEastAsia" w:cstheme="majorEastAsia"/>
          <w:kern w:val="2"/>
          <w:sz w:val="24"/>
          <w:szCs w:val="24"/>
        </w:rPr>
        <w:t>19.3 投标人在投标截止时间之前，可以对已提交的投标文件进行修改或撤回，并书面通知采购代理机构；投标截止时间后，投标人不得撤回、修改投标文件。修改后重新递交的投标文件应当按本招标文件的要求签署、盖章和密封。</w:t>
      </w:r>
    </w:p>
    <w:p>
      <w:pPr>
        <w:pStyle w:val="195"/>
        <w:adjustRightInd w:val="0"/>
        <w:snapToGrid w:val="0"/>
        <w:spacing w:before="0" w:line="500" w:lineRule="exact"/>
        <w:ind w:firstLine="482"/>
        <w:rPr>
          <w:rFonts w:asciiTheme="majorEastAsia" w:hAnsiTheme="majorEastAsia" w:eastAsiaTheme="majorEastAsia" w:cstheme="majorEastAsia"/>
          <w:b/>
          <w:szCs w:val="24"/>
        </w:rPr>
      </w:pPr>
      <w:r>
        <w:rPr>
          <w:rFonts w:hint="eastAsia" w:asciiTheme="majorEastAsia" w:hAnsiTheme="majorEastAsia" w:eastAsiaTheme="majorEastAsia" w:cstheme="majorEastAsia"/>
          <w:b/>
          <w:szCs w:val="24"/>
        </w:rPr>
        <w:t>19.4投标文件有下列情况之一的将不予接受：</w:t>
      </w:r>
    </w:p>
    <w:p>
      <w:pPr>
        <w:pStyle w:val="194"/>
        <w:snapToGrid w:val="0"/>
        <w:spacing w:before="0" w:line="500" w:lineRule="exact"/>
        <w:ind w:left="0" w:firstLine="480" w:firstLineChars="200"/>
        <w:rPr>
          <w:rFonts w:asciiTheme="majorEastAsia" w:hAnsiTheme="majorEastAsia" w:eastAsiaTheme="majorEastAsia" w:cstheme="majorEastAsia"/>
          <w:kern w:val="2"/>
          <w:sz w:val="24"/>
          <w:szCs w:val="24"/>
        </w:rPr>
      </w:pPr>
      <w:r>
        <w:rPr>
          <w:rFonts w:hint="eastAsia" w:asciiTheme="majorEastAsia" w:hAnsiTheme="majorEastAsia" w:eastAsiaTheme="majorEastAsia" w:cstheme="majorEastAsia"/>
          <w:kern w:val="2"/>
          <w:sz w:val="24"/>
          <w:szCs w:val="24"/>
        </w:rPr>
        <w:t>19.4.1在投标文件递交截止时间以后送达的投标文件；</w:t>
      </w:r>
    </w:p>
    <w:p>
      <w:pPr>
        <w:pStyle w:val="19"/>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19.4.2投标文件没有密封包装或者由于包装不妥，在递交时严重破损或失散的投标文件；</w:t>
      </w:r>
    </w:p>
    <w:p>
      <w:pPr>
        <w:pStyle w:val="19"/>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19.4.3投标文件未按19.1条款密封包装的；</w:t>
      </w:r>
    </w:p>
    <w:p>
      <w:pPr>
        <w:pStyle w:val="194"/>
        <w:snapToGrid w:val="0"/>
        <w:spacing w:before="0" w:line="500" w:lineRule="exact"/>
        <w:ind w:left="0" w:firstLine="480" w:firstLineChars="200"/>
        <w:rPr>
          <w:rFonts w:asciiTheme="majorEastAsia" w:hAnsiTheme="majorEastAsia" w:eastAsiaTheme="majorEastAsia" w:cstheme="majorEastAsia"/>
          <w:kern w:val="2"/>
          <w:sz w:val="24"/>
          <w:szCs w:val="24"/>
        </w:rPr>
      </w:pPr>
      <w:r>
        <w:rPr>
          <w:rFonts w:hint="eastAsia" w:asciiTheme="majorEastAsia" w:hAnsiTheme="majorEastAsia" w:eastAsiaTheme="majorEastAsia" w:cstheme="majorEastAsia"/>
          <w:kern w:val="2"/>
          <w:sz w:val="24"/>
          <w:szCs w:val="24"/>
        </w:rPr>
        <w:t>19.4.4仅以非纸制文本形式的投标文件；</w:t>
      </w:r>
    </w:p>
    <w:p>
      <w:pPr>
        <w:pStyle w:val="6"/>
      </w:pPr>
      <w:bookmarkStart w:id="63" w:name="_Toc5085"/>
      <w:r>
        <w:rPr>
          <w:rFonts w:hint="eastAsia"/>
        </w:rPr>
        <w:t>20、投标截止期</w:t>
      </w:r>
      <w:bookmarkEnd w:id="63"/>
    </w:p>
    <w:p>
      <w:pPr>
        <w:adjustRightInd w:val="0"/>
        <w:snapToGrid w:val="0"/>
        <w:spacing w:line="500" w:lineRule="exact"/>
        <w:ind w:firstLine="42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20.1 投标人应按照前附表规定的日期、时间和地点递交投标文件。</w:t>
      </w:r>
    </w:p>
    <w:p>
      <w:pPr>
        <w:adjustRightInd w:val="0"/>
        <w:snapToGrid w:val="0"/>
        <w:spacing w:line="500" w:lineRule="exact"/>
        <w:ind w:firstLine="42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20.2 采购人将拒绝并原封退回在前附表中规定的截止时间后收到的投标文件。</w:t>
      </w:r>
    </w:p>
    <w:p>
      <w:pPr>
        <w:adjustRightInd w:val="0"/>
        <w:snapToGrid w:val="0"/>
        <w:spacing w:line="500" w:lineRule="exact"/>
        <w:ind w:firstLine="420"/>
        <w:jc w:val="lef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20.3 采购人可以按本须知第12条的规定，通过修改招标文件适当延长投标截止时间。如投标截止时间有延长的，采购人和投标人受投标截止期制约的所有权利和义务均应延长至新的截止期。</w:t>
      </w:r>
    </w:p>
    <w:p>
      <w:pPr>
        <w:pStyle w:val="6"/>
      </w:pPr>
      <w:bookmarkStart w:id="64" w:name="_Toc11084"/>
      <w:r>
        <w:rPr>
          <w:rFonts w:hint="eastAsia"/>
        </w:rPr>
        <w:t>21、投标无效的情形</w:t>
      </w:r>
      <w:bookmarkEnd w:id="64"/>
    </w:p>
    <w:p>
      <w:pPr>
        <w:adjustRightInd w:val="0"/>
        <w:snapToGrid w:val="0"/>
        <w:spacing w:line="500" w:lineRule="exact"/>
        <w:ind w:firstLine="470" w:firstLineChars="196"/>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实质上没有响应招标文件要求的投标将被视为无效投标。投标人不得通过修正或撤销不合要求的偏离或保留从而使其投标成为实质上响应的投标。投标人修改、补正投标文件后，不影响评标委员会对其投标文件所作的评价和评分结果。</w:t>
      </w:r>
    </w:p>
    <w:p>
      <w:pPr>
        <w:adjustRightInd w:val="0"/>
        <w:snapToGrid w:val="0"/>
        <w:spacing w:line="500" w:lineRule="exact"/>
        <w:ind w:firstLine="472" w:firstLineChars="196"/>
        <w:rPr>
          <w:rFonts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在评审时，如发现下列情形之一的，由评标委员会按少数服从多数原则进行认定，投标文件将被视为无效：</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21.1 投标方未能提供合格的投标文件；</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21.2未采用人民币报价或未按招标文件标明的币种或计量单位报价的；</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21.3投标文件有采购人不能接受的附加条件的；</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21.4有重大偏离的投标文件；</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21.5未提供或未如实提供投标货物产品的技术参数；投标文件标明的商务、技术响应或偏离与事实不符或虚假投标的；</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21.6投标人的报价明显低于其他通过符合性审查投标人的报价，有可能影响产品质量或者不能诚信履约的，投标人又不能在规定时间内作出合理说明或提供相关证明材料；</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21.7 标包以赠送方式投标的、对一个标包提供两个投标方案或两个报价的；</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21.8投标文件应盖公章而未盖公章或盖非公司公章、未按照本招标文件要求装订、正副本标书数量不足的、内容字迹严重模糊辨认不清的、未有效授权。</w:t>
      </w:r>
    </w:p>
    <w:p>
      <w:pPr>
        <w:adjustRightInd w:val="0"/>
        <w:snapToGrid w:val="0"/>
        <w:spacing w:line="500" w:lineRule="exact"/>
        <w:ind w:firstLine="480" w:firstLineChars="200"/>
        <w:rPr>
          <w:rFonts w:asciiTheme="majorEastAsia" w:hAnsiTheme="majorEastAsia" w:eastAsiaTheme="majorEastAsia" w:cstheme="majorEastAsia"/>
          <w:sz w:val="24"/>
          <w:szCs w:val="24"/>
        </w:rPr>
      </w:pPr>
      <w:bookmarkStart w:id="65" w:name="_Toc12370"/>
      <w:bookmarkStart w:id="66" w:name="_Toc19368"/>
      <w:r>
        <w:rPr>
          <w:rFonts w:hint="eastAsia" w:asciiTheme="majorEastAsia" w:hAnsiTheme="majorEastAsia" w:eastAsiaTheme="majorEastAsia" w:cstheme="majorEastAsia"/>
          <w:sz w:val="24"/>
          <w:szCs w:val="24"/>
        </w:rPr>
        <w:t>21.9  投标报价超出最高限价的；</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21.10投标人不能在规定时间内提供原件核实或提供相关证明材料；</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21.11不符合法律、法规和本招标文件明确规定的其他实质性要求的。</w:t>
      </w:r>
    </w:p>
    <w:p>
      <w:pPr>
        <w:pStyle w:val="5"/>
      </w:pPr>
      <w:r>
        <w:rPr>
          <w:rFonts w:hint="eastAsia"/>
        </w:rPr>
        <w:t>四、开标</w:t>
      </w:r>
      <w:bookmarkEnd w:id="65"/>
      <w:bookmarkEnd w:id="66"/>
    </w:p>
    <w:p>
      <w:pPr>
        <w:pStyle w:val="6"/>
      </w:pPr>
      <w:bookmarkStart w:id="67" w:name="_Toc9510638"/>
      <w:bookmarkStart w:id="68" w:name="_Toc21515"/>
      <w:r>
        <w:rPr>
          <w:rFonts w:hint="eastAsia"/>
        </w:rPr>
        <w:t>22、开</w:t>
      </w:r>
      <w:bookmarkEnd w:id="67"/>
      <w:r>
        <w:rPr>
          <w:rFonts w:hint="eastAsia"/>
        </w:rPr>
        <w:t>标准备</w:t>
      </w:r>
      <w:bookmarkEnd w:id="68"/>
    </w:p>
    <w:p>
      <w:pPr>
        <w:adjustRightInd w:val="0"/>
        <w:snapToGrid w:val="0"/>
        <w:spacing w:line="500" w:lineRule="exact"/>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22.1 采购代理机构将在规定的时间和地点进行开标，投标人的法定代表人</w:t>
      </w:r>
      <w:r>
        <w:rPr>
          <w:rFonts w:hint="eastAsia" w:asciiTheme="majorEastAsia" w:hAnsiTheme="majorEastAsia" w:eastAsiaTheme="majorEastAsia" w:cstheme="majorEastAsia"/>
          <w:sz w:val="24"/>
          <w:szCs w:val="24"/>
        </w:rPr>
        <w:t>（负责人、自然人）</w:t>
      </w:r>
      <w:r>
        <w:rPr>
          <w:rFonts w:hint="eastAsia" w:asciiTheme="majorEastAsia" w:hAnsiTheme="majorEastAsia" w:eastAsiaTheme="majorEastAsia" w:cstheme="majorEastAsia"/>
          <w:bCs/>
          <w:sz w:val="24"/>
          <w:szCs w:val="24"/>
        </w:rPr>
        <w:t>或其授权代表应参加开标会并签到。</w:t>
      </w:r>
    </w:p>
    <w:p>
      <w:pPr>
        <w:adjustRightInd w:val="0"/>
        <w:snapToGrid w:val="0"/>
        <w:spacing w:line="500" w:lineRule="exact"/>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22.2参加开标的投标人的法定代表人</w:t>
      </w:r>
      <w:r>
        <w:rPr>
          <w:rFonts w:hint="eastAsia" w:asciiTheme="majorEastAsia" w:hAnsiTheme="majorEastAsia" w:eastAsiaTheme="majorEastAsia" w:cstheme="majorEastAsia"/>
          <w:sz w:val="24"/>
          <w:szCs w:val="24"/>
        </w:rPr>
        <w:t>（负责人、自然人）</w:t>
      </w:r>
      <w:r>
        <w:rPr>
          <w:rFonts w:hint="eastAsia" w:asciiTheme="majorEastAsia" w:hAnsiTheme="majorEastAsia" w:eastAsiaTheme="majorEastAsia" w:cstheme="majorEastAsia"/>
          <w:bCs/>
          <w:sz w:val="24"/>
          <w:szCs w:val="24"/>
        </w:rPr>
        <w:t>或其授权代表须携带本人有效身份证明原件（身份证或公安机关出具的临时身份证明）和法定代表人</w:t>
      </w:r>
      <w:r>
        <w:rPr>
          <w:rFonts w:hint="eastAsia" w:asciiTheme="majorEastAsia" w:hAnsiTheme="majorEastAsia" w:eastAsiaTheme="majorEastAsia" w:cstheme="majorEastAsia"/>
          <w:sz w:val="24"/>
          <w:szCs w:val="24"/>
        </w:rPr>
        <w:t>（负责人、自然人）</w:t>
      </w:r>
      <w:r>
        <w:rPr>
          <w:rFonts w:hint="eastAsia" w:asciiTheme="majorEastAsia" w:hAnsiTheme="majorEastAsia" w:eastAsiaTheme="majorEastAsia" w:cstheme="majorEastAsia"/>
          <w:bCs/>
          <w:sz w:val="24"/>
          <w:szCs w:val="24"/>
        </w:rPr>
        <w:t>资格证明或法定代表人</w:t>
      </w:r>
      <w:r>
        <w:rPr>
          <w:rFonts w:hint="eastAsia" w:asciiTheme="majorEastAsia" w:hAnsiTheme="majorEastAsia" w:eastAsiaTheme="majorEastAsia" w:cstheme="majorEastAsia"/>
          <w:sz w:val="24"/>
          <w:szCs w:val="24"/>
        </w:rPr>
        <w:t>（负责人、自然人）</w:t>
      </w:r>
      <w:r>
        <w:rPr>
          <w:rFonts w:hint="eastAsia" w:asciiTheme="majorEastAsia" w:hAnsiTheme="majorEastAsia" w:eastAsiaTheme="majorEastAsia" w:cstheme="majorEastAsia"/>
          <w:bCs/>
          <w:sz w:val="24"/>
          <w:szCs w:val="24"/>
        </w:rPr>
        <w:t>授权委托书原件，投标人代表未对开标结果签字确认或者拒绝签字确认的，不影响评标过程。</w:t>
      </w:r>
    </w:p>
    <w:p>
      <w:pPr>
        <w:pStyle w:val="6"/>
      </w:pPr>
      <w:bookmarkStart w:id="69" w:name="_Toc26159"/>
      <w:r>
        <w:rPr>
          <w:rFonts w:hint="eastAsia"/>
        </w:rPr>
        <w:t>23、开标程序：</w:t>
      </w:r>
      <w:bookmarkEnd w:id="69"/>
    </w:p>
    <w:p>
      <w:pPr>
        <w:adjustRightInd w:val="0"/>
        <w:snapToGrid w:val="0"/>
        <w:spacing w:line="500" w:lineRule="exact"/>
        <w:ind w:firstLine="523" w:firstLineChars="218"/>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23.1 开标会由采购代理机构主持，主持人宣布开标会议开始；</w:t>
      </w:r>
    </w:p>
    <w:p>
      <w:pPr>
        <w:adjustRightInd w:val="0"/>
        <w:snapToGrid w:val="0"/>
        <w:spacing w:line="500" w:lineRule="exact"/>
        <w:ind w:firstLine="523" w:firstLineChars="218"/>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23.2 主持人介绍参加开标会的投标人名单；</w:t>
      </w:r>
    </w:p>
    <w:p>
      <w:pPr>
        <w:adjustRightInd w:val="0"/>
        <w:snapToGrid w:val="0"/>
        <w:spacing w:line="500" w:lineRule="exact"/>
        <w:ind w:firstLine="523" w:firstLineChars="218"/>
        <w:rPr>
          <w:rFonts w:asciiTheme="majorEastAsia" w:hAnsiTheme="majorEastAsia" w:eastAsiaTheme="majorEastAsia" w:cstheme="majorEastAsia"/>
          <w:bCs/>
          <w:sz w:val="24"/>
          <w:szCs w:val="24"/>
        </w:rPr>
      </w:pPr>
      <w:bookmarkStart w:id="70" w:name="_Toc14026"/>
      <w:r>
        <w:rPr>
          <w:rFonts w:hint="eastAsia" w:asciiTheme="majorEastAsia" w:hAnsiTheme="majorEastAsia" w:eastAsiaTheme="majorEastAsia" w:cstheme="majorEastAsia"/>
          <w:bCs/>
          <w:sz w:val="24"/>
          <w:szCs w:val="24"/>
        </w:rPr>
        <w:t>23.3投标人法定代表人</w:t>
      </w:r>
      <w:r>
        <w:rPr>
          <w:rFonts w:hint="eastAsia" w:asciiTheme="majorEastAsia" w:hAnsiTheme="majorEastAsia" w:eastAsiaTheme="majorEastAsia" w:cstheme="majorEastAsia"/>
          <w:sz w:val="24"/>
          <w:szCs w:val="24"/>
        </w:rPr>
        <w:t>（负责人、自然人）</w:t>
      </w:r>
      <w:r>
        <w:rPr>
          <w:rFonts w:hint="eastAsia" w:asciiTheme="majorEastAsia" w:hAnsiTheme="majorEastAsia" w:eastAsiaTheme="majorEastAsia" w:cstheme="majorEastAsia"/>
          <w:bCs/>
          <w:sz w:val="24"/>
          <w:szCs w:val="24"/>
        </w:rPr>
        <w:t>或其授权代表人，及采购人监督代表、公证员/律师（如有）检查投标文件密封的完整性并签字确认；</w:t>
      </w:r>
    </w:p>
    <w:p>
      <w:pPr>
        <w:adjustRightInd w:val="0"/>
        <w:snapToGrid w:val="0"/>
        <w:spacing w:line="500" w:lineRule="exact"/>
        <w:ind w:firstLine="523" w:firstLineChars="218"/>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23.4开标时，核对授权代表身份后清点投标文件的正副本及电子文件，然后按递交标书的顺序进行唱标，采购人或采购代理机构工作人员即当众拆封，宣读《开标一览表》的内容并做记录；</w:t>
      </w:r>
    </w:p>
    <w:p>
      <w:pPr>
        <w:pStyle w:val="195"/>
        <w:adjustRightInd w:val="0"/>
        <w:snapToGrid w:val="0"/>
        <w:spacing w:before="0" w:line="500" w:lineRule="exact"/>
        <w:ind w:firstLine="480"/>
        <w:rPr>
          <w:rFonts w:asciiTheme="majorEastAsia" w:hAnsiTheme="majorEastAsia" w:eastAsiaTheme="majorEastAsia" w:cstheme="majorEastAsia"/>
          <w:bCs/>
          <w:szCs w:val="24"/>
        </w:rPr>
      </w:pPr>
      <w:r>
        <w:rPr>
          <w:rFonts w:hint="eastAsia" w:asciiTheme="majorEastAsia" w:hAnsiTheme="majorEastAsia" w:eastAsiaTheme="majorEastAsia" w:cstheme="majorEastAsia"/>
          <w:bCs/>
          <w:szCs w:val="24"/>
        </w:rPr>
        <w:t>23.5开标后投标人代表当场对开标结果进行签字确认，投标人代表未在开标记录上签字的，均视为对开标结果予以默认；</w:t>
      </w:r>
    </w:p>
    <w:p>
      <w:pPr>
        <w:adjustRightInd w:val="0"/>
        <w:snapToGrid w:val="0"/>
        <w:spacing w:line="500" w:lineRule="exact"/>
        <w:ind w:firstLine="523" w:firstLineChars="218"/>
        <w:rPr>
          <w:rFonts w:asciiTheme="majorEastAsia" w:hAnsiTheme="majorEastAsia" w:eastAsiaTheme="majorEastAsia" w:cstheme="majorEastAsia"/>
          <w:bCs/>
          <w:szCs w:val="24"/>
        </w:rPr>
      </w:pPr>
      <w:r>
        <w:rPr>
          <w:rFonts w:hint="eastAsia" w:asciiTheme="majorEastAsia" w:hAnsiTheme="majorEastAsia" w:eastAsiaTheme="majorEastAsia" w:cstheme="majorEastAsia"/>
          <w:bCs/>
          <w:sz w:val="24"/>
          <w:szCs w:val="24"/>
        </w:rPr>
        <w:t>23.6投标人代表对开标过程和开标记录有异议，以及认为采购人、采购代理机构相关工作人员有需要回避的情形的，应当场提出询问或者回避申请，采购人、采购代理机构将对投标人代表提出的询问或者回避申请及时处理。</w:t>
      </w:r>
    </w:p>
    <w:p>
      <w:pPr>
        <w:pStyle w:val="6"/>
      </w:pPr>
      <w:r>
        <w:rPr>
          <w:rFonts w:hint="eastAsia"/>
        </w:rPr>
        <w:t>24、资格审查</w:t>
      </w:r>
      <w:bookmarkEnd w:id="70"/>
    </w:p>
    <w:p>
      <w:pPr>
        <w:adjustRightInd w:val="0"/>
        <w:snapToGrid w:val="0"/>
        <w:spacing w:line="500" w:lineRule="exact"/>
        <w:ind w:firstLine="523" w:firstLineChars="218"/>
        <w:rPr>
          <w:rFonts w:asciiTheme="majorEastAsia" w:hAnsiTheme="majorEastAsia" w:eastAsiaTheme="majorEastAsia" w:cstheme="majorEastAsia"/>
          <w:bCs/>
          <w:sz w:val="24"/>
          <w:szCs w:val="24"/>
        </w:rPr>
      </w:pPr>
      <w:bookmarkStart w:id="71" w:name="_Toc21778"/>
      <w:bookmarkStart w:id="72" w:name="_Toc25332"/>
      <w:r>
        <w:rPr>
          <w:rFonts w:hint="eastAsia" w:asciiTheme="majorEastAsia" w:hAnsiTheme="majorEastAsia" w:eastAsiaTheme="majorEastAsia" w:cstheme="majorEastAsia"/>
          <w:bCs/>
          <w:sz w:val="24"/>
          <w:szCs w:val="24"/>
        </w:rPr>
        <w:t>公开招标采购项目开标结束后，采购人或者采购代理机构应当依法对投标人的资格进行审查。</w:t>
      </w:r>
    </w:p>
    <w:p>
      <w:pPr>
        <w:pStyle w:val="2"/>
      </w:pPr>
    </w:p>
    <w:tbl>
      <w:tblPr>
        <w:tblStyle w:val="38"/>
        <w:tblpPr w:leftFromText="180" w:rightFromText="180" w:vertAnchor="text" w:horzAnchor="page" w:tblpX="1698" w:tblpY="208"/>
        <w:tblOverlap w:val="never"/>
        <w:tblW w:w="8696" w:type="dxa"/>
        <w:tblInd w:w="0" w:type="dxa"/>
        <w:tblBorders>
          <w:top w:val="none" w:color="auto" w:sz="0" w:space="0"/>
          <w:left w:val="none" w:color="auto" w:sz="0" w:space="0"/>
          <w:bottom w:val="none" w:color="auto" w:sz="0" w:space="0"/>
          <w:right w:val="none" w:color="auto" w:sz="0" w:space="0"/>
          <w:insideH w:val="outset" w:color="auto" w:sz="6" w:space="0"/>
          <w:insideV w:val="outset" w:color="auto" w:sz="6" w:space="0"/>
        </w:tblBorders>
        <w:tblLayout w:type="fixed"/>
        <w:tblCellMar>
          <w:top w:w="0" w:type="dxa"/>
          <w:left w:w="0" w:type="dxa"/>
          <w:bottom w:w="0" w:type="dxa"/>
          <w:right w:w="0" w:type="dxa"/>
        </w:tblCellMar>
      </w:tblPr>
      <w:tblGrid>
        <w:gridCol w:w="889"/>
        <w:gridCol w:w="7807"/>
      </w:tblGrid>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506" w:hRule="atLeast"/>
        </w:trPr>
        <w:tc>
          <w:tcPr>
            <w:tcW w:w="889" w:type="dxa"/>
            <w:tcBorders>
              <w:top w:val="single" w:color="auto" w:sz="8" w:space="0"/>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序号</w:t>
            </w:r>
          </w:p>
        </w:tc>
        <w:tc>
          <w:tcPr>
            <w:tcW w:w="7807" w:type="dxa"/>
            <w:tcBorders>
              <w:top w:val="single" w:color="auto" w:sz="8" w:space="0"/>
              <w:left w:val="nil"/>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审查</w:t>
            </w:r>
            <w:r>
              <w:rPr>
                <w:rFonts w:hint="eastAsia" w:asciiTheme="majorEastAsia" w:hAnsiTheme="majorEastAsia" w:eastAsiaTheme="majorEastAsia" w:cstheme="majorEastAsia"/>
                <w:bCs/>
                <w:sz w:val="24"/>
                <w:szCs w:val="24"/>
              </w:rPr>
              <w:t>内容</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247"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sz w:val="24"/>
                <w:szCs w:val="24"/>
              </w:rPr>
            </w:pPr>
            <w:r>
              <w:rPr>
                <w:rFonts w:hint="eastAsia" w:asciiTheme="majorEastAsia" w:hAnsiTheme="majorEastAsia" w:eastAsiaTheme="majorEastAsia" w:cstheme="majorEastAsia"/>
                <w:sz w:val="24"/>
                <w:szCs w:val="24"/>
              </w:rPr>
              <w:t>在中华人民共和国境内注册或登记，具有有效的营业执照（事业单位法人证书、民办非企业单位登记证书、社会团体法人登记证书、基金会法人登记证书、自然人身份证）；</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24"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sz w:val="24"/>
                <w:szCs w:val="24"/>
              </w:rPr>
            </w:pPr>
            <w:r>
              <w:rPr>
                <w:rFonts w:hint="eastAsia" w:ascii="宋体" w:hAnsi="宋体" w:cs="宋体"/>
                <w:sz w:val="24"/>
                <w:szCs w:val="24"/>
              </w:rPr>
              <w:t>符合《中华人民共和国政府采购法》第二十二条的相关规定。</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64"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sz w:val="24"/>
                <w:szCs w:val="24"/>
              </w:rPr>
            </w:pPr>
            <w:r>
              <w:rPr>
                <w:rFonts w:hint="eastAsia" w:asciiTheme="majorEastAsia" w:hAnsiTheme="majorEastAsia" w:eastAsiaTheme="majorEastAsia" w:cstheme="majorEastAsia"/>
                <w:sz w:val="24"/>
                <w:szCs w:val="24"/>
              </w:rPr>
              <w:t>与采购人存在利害关系可能影响招标公正性的法人、其他组织或者个人，不得参加同一标段投标或者未划分标段的同一招标不得参加投标；</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036"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4</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sz w:val="24"/>
                <w:szCs w:val="24"/>
              </w:rPr>
            </w:pPr>
            <w:r>
              <w:rPr>
                <w:rFonts w:hint="eastAsia" w:ascii="宋体" w:hAnsi="宋体" w:cs="宋体"/>
                <w:sz w:val="24"/>
                <w:szCs w:val="24"/>
              </w:rPr>
              <w:t>投标单位负责人为同一人或者存在直接控股、管理关系的不同投标人不得参加同一合同项下的采购活动。</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90"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5</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投标单位未被列入失信被执行人、重大税收违法案件当事人名单、政府采购严重违法失信行为记录名单。</w:t>
            </w:r>
          </w:p>
          <w:p>
            <w:pPr>
              <w:snapToGrid w:val="0"/>
              <w:spacing w:line="400" w:lineRule="exact"/>
              <w:rPr>
                <w:rFonts w:ascii="宋体" w:hAnsi="宋体" w:cs="宋体"/>
                <w:sz w:val="24"/>
                <w:szCs w:val="24"/>
              </w:rPr>
            </w:pPr>
            <w:r>
              <w:rPr>
                <w:rFonts w:hint="eastAsia" w:asciiTheme="majorEastAsia" w:hAnsiTheme="majorEastAsia" w:eastAsiaTheme="majorEastAsia" w:cstheme="majorEastAsia"/>
                <w:sz w:val="24"/>
                <w:szCs w:val="24"/>
              </w:rPr>
              <w:t>注：开标当天采购代理机构将通过“信用中国”网站（</w:t>
            </w:r>
            <w:r>
              <w:rPr>
                <w:rFonts w:hint="eastAsia" w:asciiTheme="majorEastAsia" w:hAnsiTheme="majorEastAsia" w:eastAsiaTheme="majorEastAsia" w:cstheme="majorEastAsia"/>
                <w:spacing w:val="-34"/>
                <w:sz w:val="24"/>
                <w:szCs w:val="24"/>
              </w:rPr>
              <w:t>www.creditchina.gov.cn</w:t>
            </w:r>
            <w:r>
              <w:rPr>
                <w:rFonts w:hint="eastAsia" w:asciiTheme="majorEastAsia" w:hAnsiTheme="majorEastAsia" w:eastAsiaTheme="majorEastAsia" w:cstheme="majorEastAsia"/>
                <w:sz w:val="24"/>
                <w:szCs w:val="24"/>
              </w:rPr>
              <w:t>）和中国政府采购网（</w:t>
            </w:r>
            <w:r>
              <w:rPr>
                <w:rFonts w:hint="eastAsia" w:asciiTheme="majorEastAsia" w:hAnsiTheme="majorEastAsia" w:eastAsiaTheme="majorEastAsia" w:cstheme="majorEastAsia"/>
                <w:spacing w:val="-34"/>
                <w:sz w:val="24"/>
                <w:szCs w:val="24"/>
              </w:rPr>
              <w:t>www.ccgp.gov.cn</w:t>
            </w:r>
            <w:r>
              <w:rPr>
                <w:rFonts w:hint="eastAsia" w:asciiTheme="majorEastAsia" w:hAnsiTheme="majorEastAsia" w:eastAsiaTheme="majorEastAsia" w:cstheme="majorEastAsia"/>
                <w:sz w:val="24"/>
                <w:szCs w:val="24"/>
              </w:rPr>
              <w:t>）对投标人的信用信息进行查询，查询截止时间点即投标截止时间。</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680" w:hRule="atLeast"/>
        </w:trPr>
        <w:tc>
          <w:tcPr>
            <w:tcW w:w="889" w:type="dxa"/>
            <w:tcBorders>
              <w:top w:val="nil"/>
              <w:left w:val="single" w:color="auto" w:sz="8" w:space="0"/>
              <w:bottom w:val="single" w:color="auto" w:sz="8" w:space="0"/>
              <w:right w:val="single" w:color="auto" w:sz="8" w:space="0"/>
            </w:tcBorders>
            <w:tcMar>
              <w:left w:w="108" w:type="dxa"/>
              <w:right w:w="108" w:type="dxa"/>
            </w:tcMar>
            <w:vAlign w:val="center"/>
          </w:tcPr>
          <w:p>
            <w:pPr>
              <w:snapToGrid w:val="0"/>
              <w:spacing w:line="400" w:lineRule="exact"/>
              <w:jc w:val="center"/>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6</w:t>
            </w:r>
          </w:p>
        </w:tc>
        <w:tc>
          <w:tcPr>
            <w:tcW w:w="7807" w:type="dxa"/>
            <w:tcBorders>
              <w:top w:val="nil"/>
              <w:left w:val="nil"/>
              <w:bottom w:val="single" w:color="auto" w:sz="8" w:space="0"/>
              <w:right w:val="single" w:color="auto" w:sz="8" w:space="0"/>
            </w:tcBorders>
            <w:tcMar>
              <w:left w:w="108" w:type="dxa"/>
              <w:right w:w="108" w:type="dxa"/>
            </w:tcMar>
            <w:vAlign w:val="center"/>
          </w:tcPr>
          <w:p>
            <w:pPr>
              <w:snapToGrid w:val="0"/>
              <w:spacing w:line="400" w:lineRule="exact"/>
              <w:rPr>
                <w:rFonts w:ascii="宋体" w:hAnsi="宋体" w:cs="宋体"/>
                <w:sz w:val="24"/>
                <w:szCs w:val="24"/>
              </w:rPr>
            </w:pPr>
            <w:r>
              <w:rPr>
                <w:rFonts w:hint="eastAsia" w:ascii="宋体" w:hAnsi="宋体" w:cs="宋体"/>
                <w:sz w:val="24"/>
                <w:szCs w:val="24"/>
              </w:rPr>
              <w:t>按招标文件要求缴纳了投标保证金；</w:t>
            </w:r>
          </w:p>
        </w:tc>
      </w:tr>
      <w:tr>
        <w:tblPrEx>
          <w:tblBorders>
            <w:top w:val="none" w:color="auto" w:sz="0" w:space="0"/>
            <w:left w:val="none" w:color="auto" w:sz="0" w:space="0"/>
            <w:bottom w:val="none" w:color="auto" w:sz="0" w:space="0"/>
            <w:right w:val="none" w:color="auto" w:sz="0" w:space="0"/>
            <w:insideH w:val="outset" w:color="auto" w:sz="6" w:space="0"/>
            <w:insideV w:val="outset" w:color="auto" w:sz="6" w:space="0"/>
          </w:tblBorders>
          <w:tblCellMar>
            <w:top w:w="0" w:type="dxa"/>
            <w:left w:w="0" w:type="dxa"/>
            <w:bottom w:w="0" w:type="dxa"/>
            <w:right w:w="0" w:type="dxa"/>
          </w:tblCellMar>
        </w:tblPrEx>
        <w:trPr>
          <w:trHeight w:val="1180" w:hRule="atLeast"/>
        </w:trPr>
        <w:tc>
          <w:tcPr>
            <w:tcW w:w="8696" w:type="dxa"/>
            <w:gridSpan w:val="2"/>
            <w:tcBorders>
              <w:top w:val="nil"/>
              <w:left w:val="single" w:color="auto" w:sz="8" w:space="0"/>
              <w:bottom w:val="single" w:color="auto" w:sz="8" w:space="0"/>
              <w:right w:val="single" w:color="auto" w:sz="8" w:space="0"/>
            </w:tcBorders>
            <w:tcMar>
              <w:left w:w="108" w:type="dxa"/>
              <w:right w:w="108" w:type="dxa"/>
            </w:tcMar>
            <w:vAlign w:val="center"/>
          </w:tcPr>
          <w:p>
            <w:pPr>
              <w:adjustRightInd w:val="0"/>
              <w:snapToGrid w:val="0"/>
              <w:spacing w:line="400" w:lineRule="exact"/>
              <w:ind w:firstLine="33" w:firstLineChars="14"/>
              <w:rPr>
                <w:rFonts w:ascii="宋体" w:hAnsi="宋体" w:cs="宋体"/>
                <w:sz w:val="24"/>
                <w:szCs w:val="24"/>
              </w:rPr>
            </w:pPr>
            <w:r>
              <w:rPr>
                <w:rFonts w:hint="eastAsia" w:ascii="宋体" w:hAnsi="宋体" w:cs="宋体"/>
                <w:sz w:val="24"/>
                <w:szCs w:val="24"/>
              </w:rPr>
              <w:t>备注：1.如果资格评审中有一项不满足审查标准的，将认定该投标人不通过资格审查，不得进入下一阶段评审，并且不允许供应商通过修改或撤销其不符合要求的差异或保留，使其成为实质性响应。</w:t>
            </w:r>
          </w:p>
          <w:p>
            <w:pPr>
              <w:adjustRightInd w:val="0"/>
              <w:snapToGrid w:val="0"/>
              <w:spacing w:line="400" w:lineRule="exact"/>
              <w:ind w:firstLine="751" w:firstLineChars="313"/>
            </w:pPr>
            <w:r>
              <w:rPr>
                <w:rFonts w:hint="eastAsia" w:ascii="宋体" w:hAnsi="宋体" w:cs="宋体"/>
                <w:sz w:val="24"/>
                <w:szCs w:val="24"/>
              </w:rPr>
              <w:t>2.合格投标人不足3家的，不得评标。</w:t>
            </w:r>
          </w:p>
        </w:tc>
      </w:tr>
    </w:tbl>
    <w:p>
      <w:pPr>
        <w:pStyle w:val="2"/>
      </w:pPr>
    </w:p>
    <w:p>
      <w:pPr>
        <w:pStyle w:val="5"/>
      </w:pPr>
      <w:r>
        <w:rPr>
          <w:rFonts w:hint="eastAsia"/>
        </w:rPr>
        <w:t>五、评标</w:t>
      </w:r>
      <w:bookmarkEnd w:id="71"/>
      <w:bookmarkEnd w:id="72"/>
    </w:p>
    <w:p>
      <w:pPr>
        <w:pStyle w:val="6"/>
      </w:pPr>
      <w:bookmarkStart w:id="73" w:name="_Toc9510639"/>
      <w:bookmarkStart w:id="74" w:name="_Toc6750"/>
      <w:r>
        <w:rPr>
          <w:rFonts w:hint="eastAsia"/>
        </w:rPr>
        <w:t>25、组</w:t>
      </w:r>
      <w:bookmarkEnd w:id="73"/>
      <w:r>
        <w:rPr>
          <w:rFonts w:hint="eastAsia"/>
        </w:rPr>
        <w:t>建评标委员会</w:t>
      </w:r>
      <w:bookmarkEnd w:id="74"/>
    </w:p>
    <w:p>
      <w:pPr>
        <w:adjustRightInd w:val="0"/>
        <w:snapToGrid w:val="0"/>
        <w:spacing w:line="360" w:lineRule="auto"/>
        <w:ind w:firstLine="480" w:firstLineChars="200"/>
        <w:rPr>
          <w:rFonts w:ascii="宋体" w:hAnsi="宋体" w:cs="宋体"/>
          <w:sz w:val="24"/>
          <w:szCs w:val="24"/>
        </w:rPr>
      </w:pPr>
      <w:bookmarkStart w:id="75" w:name="_Toc14527"/>
      <w:r>
        <w:rPr>
          <w:rFonts w:hint="eastAsia" w:asciiTheme="majorEastAsia" w:hAnsiTheme="majorEastAsia" w:eastAsiaTheme="majorEastAsia" w:cstheme="majorEastAsia"/>
          <w:sz w:val="24"/>
          <w:szCs w:val="24"/>
        </w:rPr>
        <w:t>按《中华人民共和国政府采购法》相关要求，本项目评标委员会由乌鲁木齐市公共资源交易中心评标专家库随机抽取的4名评审专家和1名采购人代表组成。</w:t>
      </w:r>
    </w:p>
    <w:p>
      <w:pPr>
        <w:pStyle w:val="6"/>
        <w:rPr>
          <w:rFonts w:asciiTheme="majorEastAsia" w:hAnsiTheme="majorEastAsia" w:eastAsiaTheme="majorEastAsia" w:cstheme="majorEastAsia"/>
          <w:sz w:val="24"/>
          <w:szCs w:val="24"/>
        </w:rPr>
      </w:pPr>
      <w:r>
        <w:rPr>
          <w:rFonts w:hint="eastAsia"/>
        </w:rPr>
        <w:t>26、评标程序</w:t>
      </w:r>
      <w:bookmarkEnd w:id="75"/>
    </w:p>
    <w:p>
      <w:pPr>
        <w:adjustRightInd w:val="0"/>
        <w:snapToGrid w:val="0"/>
        <w:spacing w:line="400" w:lineRule="exact"/>
        <w:ind w:firstLine="472" w:firstLineChars="196"/>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26.1符合性审查</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评标委员会对投标文件的完整性、合法性等进行审查。</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下列有一项未通过审查</w:t>
      </w:r>
      <w:r>
        <w:rPr>
          <w:rFonts w:hint="eastAsia" w:asciiTheme="majorEastAsia" w:hAnsiTheme="majorEastAsia" w:eastAsiaTheme="majorEastAsia" w:cstheme="majorEastAsia"/>
          <w:bCs/>
          <w:sz w:val="24"/>
          <w:szCs w:val="24"/>
        </w:rPr>
        <w:t>内容</w:t>
      </w:r>
      <w:r>
        <w:rPr>
          <w:rFonts w:hint="eastAsia" w:asciiTheme="majorEastAsia" w:hAnsiTheme="majorEastAsia" w:eastAsiaTheme="majorEastAsia" w:cstheme="majorEastAsia"/>
          <w:sz w:val="24"/>
          <w:szCs w:val="24"/>
        </w:rPr>
        <w:t>的，应在符合性审查时按照无效投标处理：</w:t>
      </w:r>
    </w:p>
    <w:tbl>
      <w:tblPr>
        <w:tblStyle w:val="38"/>
        <w:tblW w:w="86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78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序号</w:t>
            </w:r>
          </w:p>
        </w:tc>
        <w:tc>
          <w:tcPr>
            <w:tcW w:w="7832"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sz w:val="24"/>
                <w:szCs w:val="24"/>
              </w:rPr>
              <w:t>审查</w:t>
            </w:r>
            <w:r>
              <w:rPr>
                <w:rFonts w:hint="eastAsia" w:asciiTheme="majorEastAsia" w:hAnsiTheme="majorEastAsia" w:eastAsiaTheme="majorEastAsia" w:cstheme="majorEastAsia"/>
                <w:bCs/>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1</w:t>
            </w:r>
          </w:p>
        </w:tc>
        <w:tc>
          <w:tcPr>
            <w:tcW w:w="7832" w:type="dxa"/>
            <w:vAlign w:val="center"/>
          </w:tcPr>
          <w:p>
            <w:pPr>
              <w:adjustRightInd w:val="0"/>
              <w:snapToGrid w:val="0"/>
              <w:spacing w:line="400" w:lineRule="exact"/>
              <w:ind w:firstLine="33" w:firstLineChars="14"/>
              <w:rPr>
                <w:rFonts w:ascii="宋体" w:hAnsi="宋体" w:cs="宋体"/>
                <w:sz w:val="24"/>
                <w:szCs w:val="24"/>
              </w:rPr>
            </w:pPr>
            <w:r>
              <w:rPr>
                <w:rFonts w:hint="eastAsia" w:ascii="宋体" w:hAnsi="宋体" w:cs="宋体"/>
                <w:sz w:val="24"/>
                <w:szCs w:val="24"/>
              </w:rPr>
              <w:t>只允许有一个报价，不接受可变动性报价、赠送及“零”报价。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2</w:t>
            </w:r>
          </w:p>
        </w:tc>
        <w:tc>
          <w:tcPr>
            <w:tcW w:w="7832" w:type="dxa"/>
            <w:vAlign w:val="center"/>
          </w:tcPr>
          <w:p>
            <w:pPr>
              <w:adjustRightInd w:val="0"/>
              <w:snapToGrid w:val="0"/>
              <w:spacing w:line="400" w:lineRule="exact"/>
              <w:ind w:firstLine="33" w:firstLineChars="14"/>
              <w:rPr>
                <w:rFonts w:ascii="宋体" w:hAnsi="宋体" w:cs="宋体"/>
                <w:sz w:val="24"/>
                <w:szCs w:val="24"/>
              </w:rPr>
            </w:pPr>
            <w:r>
              <w:rPr>
                <w:rFonts w:hint="eastAsia" w:ascii="宋体" w:hAnsi="宋体" w:cs="宋体"/>
                <w:sz w:val="24"/>
                <w:szCs w:val="24"/>
              </w:rPr>
              <w:t>必须采用人民币报价。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3</w:t>
            </w:r>
          </w:p>
        </w:tc>
        <w:tc>
          <w:tcPr>
            <w:tcW w:w="7832" w:type="dxa"/>
            <w:vAlign w:val="center"/>
          </w:tcPr>
          <w:p>
            <w:pPr>
              <w:adjustRightInd w:val="0"/>
              <w:snapToGrid w:val="0"/>
              <w:spacing w:line="400" w:lineRule="exact"/>
              <w:ind w:firstLine="33" w:firstLineChars="14"/>
            </w:pPr>
            <w:r>
              <w:rPr>
                <w:rFonts w:hint="eastAsia" w:ascii="宋体" w:hAnsi="宋体" w:cs="宋体"/>
                <w:sz w:val="24"/>
                <w:szCs w:val="24"/>
              </w:rPr>
              <w:t>投标人的报价明显低于其他通过符合性审查投标人的报价，有可能影响产品质量或者不能诚信履约的。若有时，投标人能在规定时间内作出合理说明或提供相关证明材料。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4</w:t>
            </w:r>
          </w:p>
        </w:tc>
        <w:tc>
          <w:tcPr>
            <w:tcW w:w="7832" w:type="dxa"/>
            <w:vAlign w:val="center"/>
          </w:tcPr>
          <w:p>
            <w:pPr>
              <w:adjustRightInd w:val="0"/>
              <w:snapToGrid w:val="0"/>
              <w:spacing w:line="400" w:lineRule="exact"/>
              <w:ind w:firstLine="33" w:firstLineChars="14"/>
              <w:rPr>
                <w:rFonts w:ascii="宋体" w:hAnsi="宋体" w:cs="宋体"/>
                <w:sz w:val="24"/>
                <w:szCs w:val="24"/>
              </w:rPr>
            </w:pPr>
            <w:r>
              <w:rPr>
                <w:rFonts w:hint="eastAsia" w:ascii="宋体" w:hAnsi="宋体" w:cs="宋体"/>
                <w:sz w:val="24"/>
                <w:szCs w:val="24"/>
              </w:rPr>
              <w:t>投标文件必须按招标文件规定格式完整提供，并要盖投标人章、法定代表人或被授权人签字或盖章。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5</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法定代表人（负责人、自然人）授权委托书必须按招标文件规定格式完整提供，并要盖投标人章、法定代表人（负责人、自然人）签字或盖章，被授权人签字或盖章。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6</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投标文件必须注明“正本”或“副本”字样。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7</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投标报价没有超过最高限价。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8</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投标文件未含有采购人不能接受的附加条件。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9</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投标文件与招标文件没有重大偏离的。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850" w:type="dxa"/>
            <w:vAlign w:val="center"/>
          </w:tcPr>
          <w:p>
            <w:pPr>
              <w:adjustRightInd w:val="0"/>
              <w:snapToGrid w:val="0"/>
              <w:spacing w:line="400" w:lineRule="exact"/>
              <w:jc w:val="cente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10</w:t>
            </w:r>
          </w:p>
        </w:tc>
        <w:tc>
          <w:tcPr>
            <w:tcW w:w="7832" w:type="dxa"/>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不存在其他无效情形的，如不符合法律、法规和招标文件规定的。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8682" w:type="dxa"/>
            <w:gridSpan w:val="2"/>
            <w:vAlign w:val="center"/>
          </w:tcPr>
          <w:p>
            <w:pPr>
              <w:adjustRightInd w:val="0"/>
              <w:snapToGrid w:val="0"/>
              <w:spacing w:line="400" w:lineRule="exact"/>
              <w:ind w:firstLine="33" w:firstLineChars="14"/>
              <w:rPr>
                <w:rFonts w:asciiTheme="majorEastAsia" w:hAnsiTheme="majorEastAsia" w:eastAsiaTheme="majorEastAsia" w:cstheme="majorEastAsia"/>
                <w:sz w:val="24"/>
                <w:szCs w:val="24"/>
              </w:rPr>
            </w:pPr>
            <w:r>
              <w:rPr>
                <w:rFonts w:hint="eastAsia" w:ascii="宋体" w:hAnsi="宋体" w:cs="宋体"/>
                <w:sz w:val="24"/>
                <w:szCs w:val="24"/>
              </w:rPr>
              <w:t>备注：如果符合性审查中有一项不满足审查标准的，将认定该供应商不通过符合性审查，不得进入下一阶段评审，并且不允许供应商通过修改或撤销其不符合要求的差异或保留，使其成为实质性响应。</w:t>
            </w:r>
          </w:p>
        </w:tc>
      </w:tr>
    </w:tbl>
    <w:p>
      <w:pPr>
        <w:pStyle w:val="23"/>
      </w:pPr>
    </w:p>
    <w:p>
      <w:pPr>
        <w:adjustRightInd w:val="0"/>
        <w:snapToGrid w:val="0"/>
        <w:spacing w:line="500" w:lineRule="exact"/>
        <w:ind w:firstLine="472" w:firstLineChars="196"/>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26.2 实质审查与比较</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26.2.1评标委员会审查投标文件的实质性内容是否符合招标文件的实质性要求。</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26.2.2评标委员会将根据投标人的投标文件进行审查、核对,如有疑问,将对投标人进行询标,投标人要向评标委员会澄清有关问题,并最终以书面形式进行答复。</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26.2.3各投标人的技术得分为所有评委的有效评分的算术平均数，由指定专人进行计算复核。</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26.2.4采购代理机构工作人员协助评标委员会根据本项目的评分标准计算各投标人的商务报价得分。</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26.2.5评标委员会完成评标后,评委对各部分得分汇总,计算出本项目最终得分等。评标委员会按评标原则推荐中标候选人，同时起草评标报告。</w:t>
      </w:r>
    </w:p>
    <w:p>
      <w:pPr>
        <w:pStyle w:val="6"/>
      </w:pPr>
      <w:bookmarkStart w:id="76" w:name="_Toc26304"/>
      <w:r>
        <w:rPr>
          <w:rFonts w:hint="eastAsia"/>
        </w:rPr>
        <w:t>27、澄清问题的形式</w:t>
      </w:r>
      <w:bookmarkEnd w:id="76"/>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pStyle w:val="6"/>
      </w:pPr>
      <w:bookmarkStart w:id="77" w:name="_Toc1409"/>
      <w:r>
        <w:rPr>
          <w:rFonts w:hint="eastAsia"/>
        </w:rPr>
        <w:t>28、错误修正</w:t>
      </w:r>
      <w:bookmarkEnd w:id="77"/>
    </w:p>
    <w:p>
      <w:pPr>
        <w:adjustRightInd w:val="0"/>
        <w:snapToGrid w:val="0"/>
        <w:spacing w:line="500" w:lineRule="exact"/>
        <w:ind w:left="719" w:leftChars="228" w:hanging="240" w:hangingChars="1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投标文件如果出现计算或表达上的错误，修正错误的原则如下：</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28.1 开标一览表总价与投标报价明细表汇总数不一致的，</w:t>
      </w:r>
      <w:r>
        <w:rPr>
          <w:rFonts w:hint="eastAsia" w:asciiTheme="majorEastAsia" w:hAnsiTheme="majorEastAsia" w:eastAsiaTheme="majorEastAsia" w:cstheme="majorEastAsia"/>
          <w:kern w:val="0"/>
          <w:sz w:val="24"/>
          <w:szCs w:val="24"/>
        </w:rPr>
        <w:t>以开标一览表为准；</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28.2 投标文件的大写金额和小写金额不一致的，以大写金额为准；</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28.3 总价金额与按单价汇总金额不一致的，以单价金额计算结果为准；</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28.4 对不同文字文本投标文件的解释发生异议的，以中文文本为准。</w:t>
      </w:r>
    </w:p>
    <w:p>
      <w:pPr>
        <w:adjustRightInd w:val="0"/>
        <w:snapToGrid w:val="0"/>
        <w:spacing w:line="500" w:lineRule="exact"/>
        <w:ind w:firstLine="482" w:firstLineChars="200"/>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按上述修正错误的原则及方法调整或修正投标文件的投标报价，投标人同意并签字确认后，调整后的投标报价对投标人具有约束作用。如果投标人不接受修正后的报价，则其投标将作为无效投标处理。</w:t>
      </w:r>
    </w:p>
    <w:p>
      <w:pPr>
        <w:pStyle w:val="6"/>
      </w:pPr>
      <w:bookmarkStart w:id="78" w:name="_Toc8797"/>
      <w:r>
        <w:rPr>
          <w:rFonts w:hint="eastAsia"/>
        </w:rPr>
        <w:t>29、评标原则和评标办法</w:t>
      </w:r>
      <w:bookmarkEnd w:id="78"/>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29.1 评标原则。评标委员会必须公平、公正、客观，不带任何倾向性和启发性；不得向外界透露任何与评标有关的内容；任何单位和个人不得干扰、影响评标的正常进行；评标委员会及有关工作人员不得私下与投标人接触。</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29.2 评标办法。本项目评标办法是</w:t>
      </w:r>
      <w:r>
        <w:rPr>
          <w:rFonts w:hint="eastAsia" w:asciiTheme="majorEastAsia" w:hAnsiTheme="majorEastAsia" w:eastAsiaTheme="majorEastAsia" w:cstheme="majorEastAsia"/>
          <w:b/>
          <w:sz w:val="24"/>
          <w:szCs w:val="24"/>
          <w:u w:val="single"/>
        </w:rPr>
        <w:t xml:space="preserve"> 综合评分法 </w:t>
      </w:r>
      <w:r>
        <w:rPr>
          <w:rFonts w:hint="eastAsia" w:asciiTheme="majorEastAsia" w:hAnsiTheme="majorEastAsia" w:eastAsiaTheme="majorEastAsia" w:cstheme="majorEastAsia"/>
          <w:sz w:val="24"/>
          <w:szCs w:val="24"/>
        </w:rPr>
        <w:t>，具体评标内容及评分标准等详见《第三章 评分办法及评分标准》。</w:t>
      </w:r>
    </w:p>
    <w:p>
      <w:pPr>
        <w:pStyle w:val="19"/>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29.3废标</w:t>
      </w:r>
    </w:p>
    <w:p>
      <w:pPr>
        <w:pStyle w:val="19"/>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在采购中，出现下列情形之一的，本项目或标包应予废标：</w:t>
      </w:r>
    </w:p>
    <w:p>
      <w:pPr>
        <w:pStyle w:val="19"/>
        <w:adjustRightInd w:val="0"/>
        <w:snapToGrid w:val="0"/>
        <w:spacing w:line="500" w:lineRule="exact"/>
        <w:ind w:firstLine="420" w:firstLineChars="175"/>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(1）出现影响采购公正的违法、违规行为的；</w:t>
      </w:r>
    </w:p>
    <w:p>
      <w:pPr>
        <w:pStyle w:val="19"/>
        <w:adjustRightInd w:val="0"/>
        <w:snapToGrid w:val="0"/>
        <w:spacing w:line="500" w:lineRule="exact"/>
        <w:ind w:firstLine="420" w:firstLineChars="175"/>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(2）有效投标单位不足三家的；</w:t>
      </w:r>
    </w:p>
    <w:p>
      <w:pPr>
        <w:pStyle w:val="19"/>
        <w:adjustRightInd w:val="0"/>
        <w:snapToGrid w:val="0"/>
        <w:spacing w:line="500" w:lineRule="exact"/>
        <w:ind w:firstLine="420" w:firstLineChars="175"/>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(3）因重大变故，采购任务取消的。</w:t>
      </w:r>
    </w:p>
    <w:p>
      <w:pPr>
        <w:pStyle w:val="5"/>
      </w:pPr>
      <w:bookmarkStart w:id="79" w:name="_Toc17951"/>
      <w:bookmarkStart w:id="80" w:name="_Toc5562"/>
      <w:r>
        <w:rPr>
          <w:rFonts w:hint="eastAsia"/>
        </w:rPr>
        <w:t>六、定标及</w:t>
      </w:r>
      <w:bookmarkStart w:id="81" w:name="_Toc9510640"/>
      <w:r>
        <w:rPr>
          <w:rFonts w:hint="eastAsia"/>
        </w:rPr>
        <w:t>合同授予</w:t>
      </w:r>
      <w:bookmarkEnd w:id="79"/>
      <w:bookmarkEnd w:id="80"/>
    </w:p>
    <w:p>
      <w:pPr>
        <w:pStyle w:val="6"/>
      </w:pPr>
      <w:bookmarkStart w:id="82" w:name="_Toc31428"/>
      <w:r>
        <w:rPr>
          <w:rFonts w:hint="eastAsia"/>
        </w:rPr>
        <w:t>30、确</w:t>
      </w:r>
      <w:bookmarkEnd w:id="81"/>
      <w:r>
        <w:rPr>
          <w:rFonts w:hint="eastAsia"/>
        </w:rPr>
        <w:t>定中标人</w:t>
      </w:r>
      <w:bookmarkEnd w:id="82"/>
    </w:p>
    <w:p>
      <w:pPr>
        <w:adjustRightInd w:val="0"/>
        <w:snapToGrid w:val="0"/>
        <w:spacing w:line="500" w:lineRule="exact"/>
        <w:ind w:firstLine="472" w:firstLineChars="196"/>
        <w:rPr>
          <w:rFonts w:asciiTheme="majorEastAsia" w:hAnsiTheme="majorEastAsia" w:eastAsiaTheme="majorEastAsia" w:cstheme="majorEastAsia"/>
          <w:b/>
          <w:bCs/>
          <w:sz w:val="24"/>
          <w:szCs w:val="24"/>
        </w:rPr>
      </w:pPr>
      <w:r>
        <w:rPr>
          <w:rFonts w:hint="eastAsia" w:asciiTheme="majorEastAsia" w:hAnsiTheme="majorEastAsia" w:eastAsiaTheme="majorEastAsia" w:cstheme="majorEastAsia"/>
          <w:b/>
          <w:bCs/>
          <w:sz w:val="24"/>
          <w:szCs w:val="24"/>
        </w:rPr>
        <w:t>本项目由采购人确定中标人。</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30.1本项目由评标委员会推荐每个标包的中标候选人，</w:t>
      </w:r>
      <w:r>
        <w:rPr>
          <w:rFonts w:hint="eastAsia" w:cs="宋体" w:asciiTheme="minorEastAsia" w:hAnsiTheme="minorEastAsia"/>
          <w:kern w:val="0"/>
          <w:sz w:val="24"/>
          <w:szCs w:val="24"/>
        </w:rPr>
        <w:t>采购代理机构应当自评审结束之日起2个工作日内将评审报告送交采购人。采购人应当自收到评审报告之日起5个工作日内在评审报告推荐的中标或者成交候选人中按顺序确定中标或者成交供应商。</w:t>
      </w:r>
    </w:p>
    <w:p>
      <w:pPr>
        <w:adjustRightInd w:val="0"/>
        <w:snapToGrid w:val="0"/>
        <w:spacing w:line="500" w:lineRule="exact"/>
        <w:ind w:firstLine="470" w:firstLineChars="196"/>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30.2</w:t>
      </w:r>
      <w:r>
        <w:rPr>
          <w:rFonts w:hint="eastAsia" w:cs="宋体" w:asciiTheme="minorEastAsia" w:hAnsiTheme="minorEastAsia"/>
          <w:kern w:val="0"/>
          <w:sz w:val="24"/>
          <w:szCs w:val="24"/>
        </w:rPr>
        <w:t>采购人或者采购代理机构应当自中标、成交供应商确定之日起2个工作日内，发出中标、成交通知书，并在省级以上人民政府财政部门指定的媒体上公告中标、成交结果</w:t>
      </w:r>
      <w:r>
        <w:rPr>
          <w:rFonts w:hint="eastAsia" w:asciiTheme="majorEastAsia" w:hAnsiTheme="majorEastAsia" w:eastAsiaTheme="majorEastAsia" w:cstheme="majorEastAsia"/>
          <w:sz w:val="24"/>
          <w:szCs w:val="24"/>
        </w:rPr>
        <w:t>。投标人如对评审结果有质疑的，按照《中华人民共和国政府采购法》、《中华人民共和国政府采购法实施条例》等有关程序办理。</w:t>
      </w:r>
    </w:p>
    <w:p>
      <w:pPr>
        <w:pStyle w:val="6"/>
      </w:pPr>
      <w:bookmarkStart w:id="83" w:name="_Toc4164"/>
      <w:r>
        <w:rPr>
          <w:rFonts w:hint="eastAsia"/>
        </w:rPr>
        <w:t>31、签订合同</w:t>
      </w:r>
      <w:bookmarkEnd w:id="83"/>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31.1招标文件和中标投标人的投标文件均为签订采购合同的依据。</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31.2中标投标人应当在中标通知书发出之日起30日内，与采购人签订采购合同。</w:t>
      </w:r>
    </w:p>
    <w:p>
      <w:pPr>
        <w:adjustRightInd w:val="0"/>
        <w:snapToGrid w:val="0"/>
        <w:spacing w:line="500" w:lineRule="exact"/>
        <w:ind w:firstLine="480" w:firstLineChars="200"/>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31.3采购人不得与中标投标人订立背离招标文件确定的合同文本以及采购标的、规格型号、采购金额、采购数量、技术和服务要求等实质性内容的协议。</w:t>
      </w:r>
    </w:p>
    <w:p>
      <w:pPr>
        <w:adjustRightInd w:val="0"/>
        <w:snapToGrid w:val="0"/>
        <w:spacing w:line="500" w:lineRule="exact"/>
        <w:ind w:firstLine="480" w:firstLineChars="200"/>
        <w:rPr>
          <w:rFonts w:asciiTheme="majorEastAsia" w:hAnsiTheme="majorEastAsia" w:eastAsiaTheme="majorEastAsia" w:cstheme="majorEastAsia"/>
          <w:sz w:val="24"/>
          <w:szCs w:val="24"/>
        </w:rPr>
      </w:pPr>
      <w:bookmarkStart w:id="84" w:name="_Toc15336"/>
      <w:r>
        <w:rPr>
          <w:rFonts w:hint="eastAsia" w:asciiTheme="majorEastAsia" w:hAnsiTheme="majorEastAsia" w:eastAsiaTheme="majorEastAsia" w:cstheme="majorEastAsia"/>
          <w:sz w:val="24"/>
          <w:szCs w:val="24"/>
        </w:rPr>
        <w:t>31.4自政府采购合同签订之日起2个工作日内，本项目政府采购合同在中国政府采购网（http://www.ccgp.gov.cn/）上公告，但政府采购合同中涉及国家秘密、商业秘密的内容除外。</w:t>
      </w:r>
    </w:p>
    <w:p>
      <w:pPr>
        <w:pStyle w:val="6"/>
      </w:pPr>
      <w:r>
        <w:rPr>
          <w:rFonts w:hint="eastAsia"/>
        </w:rPr>
        <w:t>32、其他说明</w:t>
      </w:r>
      <w:bookmarkEnd w:id="84"/>
    </w:p>
    <w:p>
      <w:pPr>
        <w:adjustRightInd w:val="0"/>
        <w:snapToGrid w:val="0"/>
        <w:spacing w:line="500" w:lineRule="exact"/>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保密要求：在合同期内或合同终止后，未征得有关方同意，不得泄露与本项目、本合同业务有关的保密资料。</w:t>
      </w:r>
    </w:p>
    <w:p>
      <w:pPr>
        <w:adjustRightInd w:val="0"/>
        <w:snapToGrid w:val="0"/>
        <w:spacing w:line="500" w:lineRule="exact"/>
        <w:ind w:firstLine="480" w:firstLineChars="200"/>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t>本招标文件未尽事宜按现行招标投标的有关法律法规和规定执行。</w:t>
      </w:r>
    </w:p>
    <w:p>
      <w:pPr>
        <w:rPr>
          <w:rFonts w:asciiTheme="majorEastAsia" w:hAnsiTheme="majorEastAsia" w:eastAsiaTheme="majorEastAsia" w:cstheme="majorEastAsia"/>
          <w:bCs/>
          <w:sz w:val="24"/>
          <w:szCs w:val="24"/>
        </w:rPr>
      </w:pPr>
      <w:r>
        <w:rPr>
          <w:rFonts w:hint="eastAsia" w:asciiTheme="majorEastAsia" w:hAnsiTheme="majorEastAsia" w:eastAsiaTheme="majorEastAsia" w:cstheme="majorEastAsia"/>
          <w:bCs/>
          <w:sz w:val="24"/>
          <w:szCs w:val="24"/>
        </w:rPr>
        <w:br w:type="page"/>
      </w:r>
    </w:p>
    <w:p>
      <w:pPr>
        <w:pStyle w:val="3"/>
      </w:pPr>
      <w:bookmarkStart w:id="85" w:name="_Toc8515"/>
      <w:bookmarkStart w:id="86" w:name="_Toc23127"/>
      <w:bookmarkStart w:id="87" w:name="_Toc30905"/>
      <w:r>
        <w:rPr>
          <w:rFonts w:hint="eastAsia"/>
        </w:rPr>
        <w:t>第三章 评分</w:t>
      </w:r>
      <w:bookmarkEnd w:id="85"/>
      <w:bookmarkEnd w:id="86"/>
      <w:r>
        <w:rPr>
          <w:rFonts w:hint="eastAsia"/>
        </w:rPr>
        <w:t>办法及评分标准</w:t>
      </w:r>
      <w:bookmarkEnd w:id="87"/>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为公正、公平、科学地选择中标人，根据有关法律法规的规定，并结合本项目的实际情况，制定本办法。</w:t>
      </w:r>
    </w:p>
    <w:p>
      <w:pPr>
        <w:pStyle w:val="5"/>
      </w:pPr>
      <w:bookmarkStart w:id="88" w:name="_Toc29264"/>
      <w:bookmarkStart w:id="89" w:name="_Toc32479"/>
      <w:r>
        <w:rPr>
          <w:rFonts w:hint="eastAsia"/>
        </w:rPr>
        <w:t>一、评标组织</w:t>
      </w:r>
      <w:bookmarkEnd w:id="88"/>
      <w:bookmarkEnd w:id="89"/>
    </w:p>
    <w:p>
      <w:pPr>
        <w:spacing w:line="500" w:lineRule="exact"/>
        <w:ind w:firstLine="480" w:firstLineChars="200"/>
        <w:rPr>
          <w:rFonts w:asciiTheme="minorEastAsia" w:hAnsiTheme="minorEastAsia" w:eastAsiaTheme="minorEastAsia" w:cstheme="minorEastAsia"/>
          <w:sz w:val="24"/>
          <w:szCs w:val="24"/>
        </w:rPr>
      </w:pPr>
      <w:bookmarkStart w:id="90" w:name="_Toc249760792"/>
      <w:bookmarkStart w:id="91" w:name="_Toc251566663"/>
      <w:bookmarkStart w:id="92" w:name="_Toc405213814"/>
      <w:r>
        <w:rPr>
          <w:rFonts w:hint="eastAsia" w:asciiTheme="minorEastAsia" w:hAnsiTheme="minorEastAsia" w:eastAsiaTheme="minorEastAsia" w:cstheme="minorEastAsia"/>
          <w:sz w:val="24"/>
          <w:szCs w:val="24"/>
        </w:rPr>
        <w:t>评标工作</w:t>
      </w:r>
      <w:bookmarkEnd w:id="90"/>
      <w:bookmarkEnd w:id="91"/>
      <w:bookmarkEnd w:id="92"/>
      <w:r>
        <w:rPr>
          <w:rFonts w:hint="eastAsia" w:asciiTheme="minorEastAsia" w:hAnsiTheme="minorEastAsia" w:eastAsiaTheme="minorEastAsia" w:cstheme="minorEastAsia"/>
          <w:sz w:val="24"/>
          <w:szCs w:val="24"/>
        </w:rPr>
        <w:t>由</w:t>
      </w:r>
      <w:bookmarkStart w:id="93" w:name="_Toc251566664"/>
      <w:bookmarkStart w:id="94" w:name="_Toc405213815"/>
      <w:bookmarkStart w:id="95" w:name="_Toc249760793"/>
      <w:r>
        <w:rPr>
          <w:rFonts w:hint="eastAsia" w:asciiTheme="minorEastAsia" w:hAnsiTheme="minorEastAsia" w:eastAsiaTheme="minorEastAsia" w:cstheme="minorEastAsia"/>
          <w:sz w:val="24"/>
          <w:szCs w:val="24"/>
        </w:rPr>
        <w:t>采购代理机构负责组织，具体评标事务由依法组建的评标委员会负责。</w:t>
      </w:r>
    </w:p>
    <w:p>
      <w:pPr>
        <w:pStyle w:val="5"/>
      </w:pPr>
      <w:bookmarkStart w:id="96" w:name="_Toc3581"/>
      <w:bookmarkStart w:id="97" w:name="_Toc24221"/>
      <w:r>
        <w:rPr>
          <w:rFonts w:hint="eastAsia"/>
        </w:rPr>
        <w:t>二、评标纪律</w:t>
      </w:r>
      <w:bookmarkEnd w:id="96"/>
      <w:bookmarkEnd w:id="97"/>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w:t>
      </w:r>
      <w:bookmarkEnd w:id="93"/>
      <w:bookmarkEnd w:id="94"/>
      <w:bookmarkEnd w:id="95"/>
      <w:r>
        <w:rPr>
          <w:rFonts w:hint="eastAsia" w:asciiTheme="minorEastAsia" w:hAnsiTheme="minorEastAsia" w:eastAsiaTheme="minorEastAsia" w:cstheme="minorEastAsia"/>
          <w:sz w:val="24"/>
          <w:szCs w:val="24"/>
        </w:rPr>
        <w:t>是招标工作的重要环节，评标工作在评标委员会内独立进行。评标委员会将按照评标原则的要求，公正、平等地对待所有投标人。</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2．所有评标人员应忠于职守、廉洁自律、秉公办事、不徇私情。</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3．评标人员不得接受或参加投标人或与投标有关的单位、组织或个人的有碍公务的宴请、娱乐活动等，不得以任何形式弄虚作假。</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4．评标期间，评标人员不得随意出入评标地点、与外界通讯、会客等。</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5．在投标文件的审查、澄清、评价和比较以及授予合同的过程中，投标人对采购人、采购代理机构人员及评标委员会成员施加影响的任何行为，都将导致被取消投标资格。</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6．为保证评标的公正性，在评标过程中，评标委员会成员不得与投标人或与中标结果有利害关系的人进行私下接触。在评标工作结束后，凡与评标情况有接触的任何人，不得将评标情况扩散出评标委员会以外。</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7．评标过程中，评标专家对投标人的优劣情况，以及认为差异较大的情况，应以书面意见作出真实、专业、诚恳负责的表述，不得违背客观、公正的原则。</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8．评标结束后，各评标人员应将全部资料整理上交采购代理机构，严禁将评标过程中的任何资料带出评标现场向投标人或其他单位提供。</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9．在中标结果公布前应对评标委员会成员名单予以</w:t>
      </w:r>
      <w:r>
        <w:rPr>
          <w:rFonts w:hint="eastAsia" w:asciiTheme="majorEastAsia" w:hAnsiTheme="majorEastAsia" w:eastAsiaTheme="majorEastAsia" w:cstheme="majorEastAsia"/>
          <w:bCs/>
          <w:sz w:val="24"/>
          <w:szCs w:val="24"/>
        </w:rPr>
        <w:t>保密</w:t>
      </w:r>
      <w:r>
        <w:rPr>
          <w:rFonts w:hint="eastAsia" w:asciiTheme="minorEastAsia" w:hAnsiTheme="minorEastAsia" w:eastAsiaTheme="minorEastAsia" w:cstheme="minorEastAsia"/>
          <w:sz w:val="24"/>
          <w:szCs w:val="24"/>
        </w:rPr>
        <w:t>。</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10．评标委员会对各投标人的商业秘密予以</w:t>
      </w:r>
      <w:r>
        <w:rPr>
          <w:rFonts w:hint="eastAsia" w:asciiTheme="majorEastAsia" w:hAnsiTheme="majorEastAsia" w:eastAsiaTheme="majorEastAsia" w:cstheme="majorEastAsia"/>
          <w:bCs/>
          <w:sz w:val="24"/>
          <w:szCs w:val="24"/>
        </w:rPr>
        <w:t>保密</w:t>
      </w:r>
      <w:r>
        <w:rPr>
          <w:rFonts w:hint="eastAsia" w:asciiTheme="minorEastAsia" w:hAnsiTheme="minorEastAsia" w:eastAsiaTheme="minorEastAsia" w:cstheme="minorEastAsia"/>
          <w:sz w:val="24"/>
          <w:szCs w:val="24"/>
        </w:rPr>
        <w:t>。</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11．评标委员会成员应当客观、公正地履行职责，遵守职业道德，对所提出的评审意见承担个人责任。</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12．在整个评标过程中，投标人企图影响招标结果的任何活动，可能导致其投标失败。如有违法行为，将依法追究其法律责任。</w:t>
      </w:r>
    </w:p>
    <w:p>
      <w:pPr>
        <w:pStyle w:val="5"/>
      </w:pPr>
      <w:bookmarkStart w:id="98" w:name="_Toc6124"/>
      <w:bookmarkStart w:id="99" w:name="_Toc10772"/>
      <w:r>
        <w:rPr>
          <w:rFonts w:hint="eastAsia"/>
        </w:rPr>
        <w:t>三、评分标准和细则</w:t>
      </w:r>
      <w:bookmarkEnd w:id="98"/>
      <w:bookmarkEnd w:id="99"/>
    </w:p>
    <w:p>
      <w:pPr>
        <w:spacing w:line="500" w:lineRule="exact"/>
        <w:ind w:firstLine="482" w:firstLineChars="200"/>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（一）评分标准：</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1.评标委员会各成员独立根据招标文件对各投标文件技术内容充分审核、讨论、评议后，评标委员会成员独立按评分细则，进行评审，各投标人技术的最终评分值为评标委员会成员的有效评分票的算术平均值。</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2.评标委员会成员独立按评审细则对各投标人的最终报价进行统一评分，集体统一判定评分。</w:t>
      </w:r>
    </w:p>
    <w:p>
      <w:pPr>
        <w:spacing w:line="5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供应商的综合评分为技术、商务和投标报价三部分的总计，由指定专人进行计算和复核。中标候选资格按评标得分由高到低顺序排列，得分相同的，按投标报价由低到高顺序排列；得分且投标报价相同的，按技术得分由高到低顺序排列。</w:t>
      </w:r>
    </w:p>
    <w:p>
      <w:pPr>
        <w:spacing w:line="400" w:lineRule="exact"/>
        <w:ind w:firstLine="482" w:firstLineChars="200"/>
        <w:rPr>
          <w:rFonts w:asciiTheme="minorEastAsia" w:hAnsiTheme="minorEastAsia" w:eastAsiaTheme="minorEastAsia" w:cstheme="minorEastAsia"/>
          <w:b/>
          <w:sz w:val="24"/>
          <w:szCs w:val="24"/>
        </w:rPr>
      </w:pPr>
      <w:r>
        <w:rPr>
          <w:rFonts w:hint="eastAsia" w:ascii="宋体" w:hAnsi="宋体" w:cs="宋体"/>
          <w:b/>
          <w:bCs/>
          <w:sz w:val="24"/>
          <w:szCs w:val="24"/>
        </w:rPr>
        <w:t>（二）评分细则：</w:t>
      </w:r>
    </w:p>
    <w:p>
      <w:pPr>
        <w:rPr>
          <w:rFonts w:asciiTheme="minorEastAsia" w:hAnsiTheme="minorEastAsia" w:eastAsiaTheme="minorEastAsia" w:cstheme="minorEastAsia"/>
          <w:b/>
          <w:bCs/>
          <w:sz w:val="24"/>
          <w:szCs w:val="24"/>
        </w:rPr>
      </w:pPr>
    </w:p>
    <w:p>
      <w:pPr>
        <w:pStyle w:val="4"/>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第1包评分标准：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投标</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技术要求</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对照第六章“项目需求”第</w:t>
            </w:r>
            <w:r>
              <w:rPr>
                <w:rFonts w:hint="eastAsia" w:asciiTheme="minorEastAsia" w:hAnsiTheme="minorEastAsia" w:eastAsiaTheme="minorEastAsia" w:cstheme="minorEastAsia"/>
                <w:kern w:val="0"/>
                <w:sz w:val="24"/>
                <w:szCs w:val="24"/>
                <w:lang w:val="en-US" w:eastAsia="zh-CN"/>
              </w:rPr>
              <w:t>1</w:t>
            </w:r>
            <w:r>
              <w:rPr>
                <w:rFonts w:hint="eastAsia" w:asciiTheme="minorEastAsia" w:hAnsiTheme="minorEastAsia" w:eastAsiaTheme="minorEastAsia" w:cstheme="minorEastAsia"/>
                <w:kern w:val="0"/>
                <w:sz w:val="24"/>
                <w:szCs w:val="24"/>
              </w:rPr>
              <w:t>包的技术参数（每条技术参数前标注“★”的为核心技术参数，标注“▲”的为主要技术参数，未标注的为一般参数），根据投标人提供的产品配置及技术性能指标的响应情况进行评审。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1.本标包25种产品，投标人每有一种所投产品技术参数完全响应招标文件要求的，得1分，最多得25分；</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2.核心技术参数存在负偏离的（33条），此项不得分；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3.每种产品主要技术参数存在负偏离的（22条），该产品技术参数分为0分；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4.每种产品一般技术参数存在负偏离的，每一条扣0.5分，每种产品技术参数得分最多扣1分。</w:t>
            </w:r>
          </w:p>
          <w:p>
            <w:pPr>
              <w:widowControl/>
              <w:spacing w:line="400" w:lineRule="exact"/>
              <w:ind w:firstLine="482" w:firstLineChars="200"/>
              <w:textAlignment w:val="center"/>
              <w:rPr>
                <w:rFonts w:eastAsiaTheme="minorEastAsia"/>
              </w:rPr>
            </w:pPr>
            <w:r>
              <w:rPr>
                <w:b/>
                <w:bCs/>
                <w:sz w:val="24"/>
                <w:szCs w:val="24"/>
              </w:rPr>
              <w:t>注：负偏离评审依据：</w:t>
            </w:r>
            <w:r>
              <w:rPr>
                <w:rFonts w:hint="eastAsia"/>
                <w:b/>
                <w:bCs/>
                <w:sz w:val="24"/>
                <w:szCs w:val="24"/>
              </w:rPr>
              <w:t>①</w:t>
            </w:r>
            <w:r>
              <w:rPr>
                <w:b/>
                <w:bCs/>
                <w:sz w:val="24"/>
                <w:szCs w:val="24"/>
              </w:rPr>
              <w:t>所</w:t>
            </w:r>
            <w:r>
              <w:rPr>
                <w:rFonts w:hint="eastAsia"/>
                <w:b/>
                <w:bCs/>
                <w:sz w:val="24"/>
                <w:szCs w:val="24"/>
              </w:rPr>
              <w:t>提供</w:t>
            </w:r>
            <w:r>
              <w:rPr>
                <w:b/>
                <w:bCs/>
                <w:sz w:val="24"/>
                <w:szCs w:val="24"/>
              </w:rPr>
              <w:t>产品技术参数低于</w:t>
            </w:r>
            <w:r>
              <w:rPr>
                <w:rFonts w:hint="eastAsia"/>
                <w:b/>
                <w:bCs/>
                <w:sz w:val="24"/>
                <w:szCs w:val="24"/>
              </w:rPr>
              <w:t>招标</w:t>
            </w:r>
            <w:r>
              <w:rPr>
                <w:b/>
                <w:bCs/>
                <w:sz w:val="24"/>
                <w:szCs w:val="24"/>
              </w:rPr>
              <w:t>文件要求的，视为负偏离；</w:t>
            </w:r>
            <w:r>
              <w:rPr>
                <w:rFonts w:hint="eastAsia"/>
                <w:b/>
                <w:bCs/>
                <w:sz w:val="24"/>
                <w:szCs w:val="24"/>
              </w:rPr>
              <w:t>②</w:t>
            </w:r>
            <w:r>
              <w:rPr>
                <w:b/>
                <w:bCs/>
                <w:sz w:val="24"/>
                <w:szCs w:val="24"/>
              </w:rPr>
              <w:t>技术参数响应条款</w:t>
            </w:r>
            <w:r>
              <w:rPr>
                <w:rFonts w:hint="eastAsia"/>
                <w:b/>
                <w:bCs/>
                <w:sz w:val="24"/>
                <w:szCs w:val="24"/>
              </w:rPr>
              <w:t>（以投标文件内技术偏离表为准）</w:t>
            </w:r>
            <w:r>
              <w:rPr>
                <w:b/>
                <w:bCs/>
                <w:sz w:val="24"/>
                <w:szCs w:val="24"/>
              </w:rPr>
              <w:t>与</w:t>
            </w:r>
            <w:r>
              <w:rPr>
                <w:rFonts w:hint="eastAsia"/>
                <w:b/>
                <w:bCs/>
                <w:sz w:val="24"/>
                <w:szCs w:val="24"/>
              </w:rPr>
              <w:t>招标</w:t>
            </w:r>
            <w:r>
              <w:rPr>
                <w:b/>
                <w:bCs/>
                <w:sz w:val="24"/>
                <w:szCs w:val="24"/>
              </w:rPr>
              <w:t>文件对比有缺项、漏项的，视为负偏离；</w:t>
            </w:r>
            <w:r>
              <w:rPr>
                <w:rFonts w:hint="eastAsia"/>
                <w:b/>
                <w:bCs/>
                <w:sz w:val="24"/>
                <w:szCs w:val="24"/>
              </w:rPr>
              <w:t>③投标文件内技术偏离表完全复制招标文件技术参数的（不涉及具体参数指标的描述性技术要求除外），视为负偏离；④投标人</w:t>
            </w:r>
            <w:r>
              <w:rPr>
                <w:b/>
                <w:bCs/>
                <w:sz w:val="24"/>
                <w:szCs w:val="24"/>
              </w:rPr>
              <w:t>提供的</w:t>
            </w:r>
            <w:r>
              <w:rPr>
                <w:rFonts w:hint="eastAsia"/>
                <w:b/>
                <w:bCs/>
                <w:sz w:val="24"/>
                <w:szCs w:val="24"/>
              </w:rPr>
              <w:t>投标</w:t>
            </w:r>
            <w:r>
              <w:rPr>
                <w:b/>
                <w:bCs/>
                <w:sz w:val="24"/>
                <w:szCs w:val="24"/>
              </w:rPr>
              <w:t>文件中产品技术偏离表、产品技术规格书和产品检测报告内描述的同一产品技术参数响应值不一致的，视为负偏离</w:t>
            </w:r>
            <w:r>
              <w:rPr>
                <w:rFonts w:hint="eastAsia"/>
                <w:b/>
                <w:bCs/>
                <w:sz w:val="24"/>
                <w:szCs w:val="24"/>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sz w:val="24"/>
                <w:szCs w:val="24"/>
              </w:rPr>
              <w:t>业绩证明</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供应商近三年内（2021年03月01日起至今，以合同签订日期为准）完成类似项目的业绩，每个项目业绩得2.5分，最多得5分。</w:t>
            </w:r>
          </w:p>
          <w:p>
            <w:pPr>
              <w:widowControl/>
              <w:spacing w:line="400" w:lineRule="exact"/>
              <w:ind w:firstLine="482" w:firstLineChars="200"/>
              <w:textAlignment w:val="center"/>
              <w:rPr>
                <w:b/>
                <w:bCs/>
                <w:sz w:val="24"/>
                <w:szCs w:val="24"/>
              </w:rPr>
            </w:pPr>
            <w:r>
              <w:rPr>
                <w:rFonts w:hint="eastAsia"/>
                <w:b/>
                <w:bCs/>
                <w:sz w:val="24"/>
                <w:szCs w:val="24"/>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项目组织</w:t>
            </w:r>
          </w:p>
          <w:p>
            <w:pPr>
              <w:widowControl/>
              <w:spacing w:line="400" w:lineRule="exact"/>
              <w:jc w:val="center"/>
              <w:textAlignment w:val="center"/>
              <w:rPr>
                <w:sz w:val="24"/>
                <w:szCs w:val="24"/>
              </w:rPr>
            </w:pPr>
            <w:r>
              <w:rPr>
                <w:rFonts w:hint="eastAsia" w:asciiTheme="minorEastAsia" w:hAnsiTheme="minorEastAsia" w:eastAsiaTheme="minorEastAsia" w:cstheme="minorEastAsia"/>
                <w:sz w:val="24"/>
                <w:szCs w:val="24"/>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根据供应商提供的项目实施方案进行评分：</w:t>
            </w:r>
          </w:p>
          <w:p>
            <w:pPr>
              <w:widowControl/>
              <w:spacing w:line="400" w:lineRule="exact"/>
              <w:ind w:firstLine="480" w:firstLineChars="200"/>
              <w:rPr>
                <w:sz w:val="24"/>
                <w:szCs w:val="24"/>
              </w:rPr>
            </w:pPr>
            <w:r>
              <w:rPr>
                <w:rFonts w:hint="eastAsia"/>
                <w:sz w:val="24"/>
                <w:szCs w:val="24"/>
              </w:rPr>
              <w:t>项目实施方案包括但不限于：①</w:t>
            </w:r>
            <w:r>
              <w:rPr>
                <w:rFonts w:hint="eastAsia" w:asciiTheme="majorEastAsia" w:hAnsiTheme="majorEastAsia" w:eastAsiaTheme="majorEastAsia" w:cstheme="majorEastAsia"/>
                <w:sz w:val="24"/>
                <w:szCs w:val="24"/>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rPr>
              <w:t>等</w:t>
            </w:r>
            <w:r>
              <w:rPr>
                <w:rFonts w:hint="eastAsia"/>
                <w:sz w:val="24"/>
                <w:szCs w:val="24"/>
              </w:rPr>
              <w:t>4项内容，方案内容完整齐全，符合项目实际（</w:t>
            </w:r>
            <w:r>
              <w:rPr>
                <w:rFonts w:hint="eastAsia" w:asciiTheme="majorEastAsia" w:hAnsiTheme="majorEastAsia" w:eastAsiaTheme="majorEastAsia" w:cstheme="majorEastAsia"/>
                <w:sz w:val="24"/>
                <w:szCs w:val="24"/>
              </w:rPr>
              <w:t>第六章“项目需求”</w:t>
            </w:r>
            <w:r>
              <w:rPr>
                <w:rFonts w:hint="eastAsia"/>
                <w:sz w:val="24"/>
                <w:szCs w:val="24"/>
              </w:rPr>
              <w:t>）的，得12分；每缺少一项方案内容，或一项内容存在缺陷的，每一项扣3分，扣完为止；未提供项目实施方案的，此项不得分。</w:t>
            </w:r>
          </w:p>
          <w:p>
            <w:pPr>
              <w:widowControl/>
              <w:spacing w:line="400" w:lineRule="exact"/>
              <w:ind w:firstLine="482" w:firstLineChars="200"/>
              <w:rPr>
                <w:b/>
                <w:bCs/>
                <w:sz w:val="24"/>
                <w:szCs w:val="24"/>
              </w:rPr>
            </w:pPr>
            <w:r>
              <w:rPr>
                <w:rFonts w:hint="eastAsia"/>
                <w:b/>
                <w:bCs/>
                <w:sz w:val="24"/>
                <w:szCs w:val="24"/>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技术培训</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根据供应商提供的项目培训方案进行评分：</w:t>
            </w:r>
          </w:p>
          <w:p>
            <w:pPr>
              <w:widowControl/>
              <w:spacing w:line="400" w:lineRule="exact"/>
              <w:ind w:firstLine="480" w:firstLineChars="200"/>
              <w:rPr>
                <w:sz w:val="24"/>
                <w:szCs w:val="24"/>
              </w:rPr>
            </w:pPr>
            <w:r>
              <w:rPr>
                <w:rFonts w:hint="eastAsia"/>
                <w:sz w:val="24"/>
                <w:szCs w:val="24"/>
              </w:rPr>
              <w:t>项目培训方案包括但不限于</w:t>
            </w:r>
            <w:r>
              <w:rPr>
                <w:rFonts w:asciiTheme="majorEastAsia" w:hAnsiTheme="majorEastAsia" w:eastAsiaTheme="majorEastAsia" w:cstheme="majorEastAsia"/>
                <w:sz w:val="24"/>
                <w:szCs w:val="24"/>
              </w:rPr>
              <w:t>培训内容</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培训方式</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培训计划</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培训团队人员配置</w:t>
            </w:r>
            <w:r>
              <w:rPr>
                <w:sz w:val="24"/>
                <w:szCs w:val="24"/>
              </w:rPr>
              <w:t>等</w:t>
            </w:r>
            <w:r>
              <w:rPr>
                <w:rFonts w:hint="eastAsia"/>
                <w:sz w:val="24"/>
                <w:szCs w:val="24"/>
              </w:rPr>
              <w:t>4项内容，方案内容完整齐全，符合项目实际的，得8分；每缺少一项方案内容，或一项内容存在缺陷的，每一项扣2分，扣完为止；未提供项目实施方案的，此项不得分。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kern w:val="0"/>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1"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根据供应商提供的售后服务方案进行评分：</w:t>
            </w:r>
          </w:p>
          <w:p>
            <w:pPr>
              <w:widowControl/>
              <w:spacing w:line="400" w:lineRule="exact"/>
              <w:ind w:firstLine="480" w:firstLineChars="200"/>
              <w:rPr>
                <w:sz w:val="24"/>
                <w:szCs w:val="24"/>
              </w:rPr>
            </w:pPr>
            <w:r>
              <w:rPr>
                <w:rFonts w:hint="eastAsia"/>
                <w:sz w:val="24"/>
                <w:szCs w:val="24"/>
              </w:rPr>
              <w:t>项目售后服务方案包括但不限于</w:t>
            </w:r>
            <w:r>
              <w:rPr>
                <w:rFonts w:hint="eastAsia" w:asciiTheme="majorEastAsia" w:hAnsiTheme="majorEastAsia" w:eastAsiaTheme="majorEastAsia" w:cstheme="majorEastAsia"/>
                <w:sz w:val="24"/>
                <w:szCs w:val="24"/>
              </w:rPr>
              <w:t>售后</w:t>
            </w:r>
            <w:r>
              <w:rPr>
                <w:rFonts w:asciiTheme="majorEastAsia" w:hAnsiTheme="majorEastAsia" w:eastAsiaTheme="majorEastAsia" w:cstheme="majorEastAsia"/>
                <w:sz w:val="24"/>
                <w:szCs w:val="24"/>
              </w:rPr>
              <w:t>服务承诺</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服务响应方案</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备件（易耗品）供应方案</w:t>
            </w:r>
            <w:r>
              <w:rPr>
                <w:rFonts w:hint="eastAsia" w:asciiTheme="majorEastAsia" w:hAnsiTheme="majorEastAsia" w:eastAsiaTheme="majorEastAsia" w:cstheme="majorEastAsia"/>
                <w:sz w:val="24"/>
                <w:szCs w:val="24"/>
              </w:rPr>
              <w:t>（含备件价格）、</w:t>
            </w:r>
            <w:r>
              <w:rPr>
                <w:rFonts w:asciiTheme="majorEastAsia" w:hAnsiTheme="majorEastAsia" w:eastAsiaTheme="majorEastAsia" w:cstheme="majorEastAsia"/>
                <w:sz w:val="24"/>
                <w:szCs w:val="24"/>
              </w:rPr>
              <w:t>服务人员配备</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故障响应</w:t>
            </w:r>
            <w:r>
              <w:rPr>
                <w:rFonts w:hint="eastAsia" w:asciiTheme="majorEastAsia" w:hAnsiTheme="majorEastAsia" w:eastAsiaTheme="majorEastAsia" w:cstheme="majorEastAsia"/>
                <w:sz w:val="24"/>
                <w:szCs w:val="24"/>
              </w:rPr>
              <w:t>措施、</w:t>
            </w:r>
            <w:r>
              <w:rPr>
                <w:rFonts w:asciiTheme="majorEastAsia" w:hAnsiTheme="majorEastAsia" w:eastAsiaTheme="majorEastAsia" w:cstheme="majorEastAsia"/>
                <w:sz w:val="24"/>
                <w:szCs w:val="24"/>
              </w:rPr>
              <w:t>质保外服务措施</w:t>
            </w:r>
            <w:r>
              <w:rPr>
                <w:sz w:val="24"/>
                <w:szCs w:val="24"/>
              </w:rPr>
              <w:t>等</w:t>
            </w:r>
            <w:r>
              <w:rPr>
                <w:rFonts w:hint="eastAsia"/>
                <w:sz w:val="24"/>
                <w:szCs w:val="24"/>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hAnsi="宋体" w:cs="宋体"/>
                <w:sz w:val="24"/>
                <w:szCs w:val="24"/>
              </w:rPr>
              <w:t>投标样品评价</w:t>
            </w:r>
          </w:p>
        </w:tc>
        <w:tc>
          <w:tcPr>
            <w:tcW w:w="5954" w:type="dxa"/>
            <w:tcMar>
              <w:top w:w="15" w:type="dxa"/>
              <w:left w:w="15" w:type="dxa"/>
              <w:right w:w="15" w:type="dxa"/>
            </w:tcMar>
            <w:vAlign w:val="center"/>
          </w:tcPr>
          <w:p>
            <w:pPr>
              <w:spacing w:line="400" w:lineRule="exact"/>
              <w:ind w:firstLine="480" w:firstLineChars="200"/>
              <w:jc w:val="left"/>
              <w:rPr>
                <w:sz w:val="24"/>
                <w:szCs w:val="24"/>
              </w:rPr>
            </w:pPr>
            <w:r>
              <w:rPr>
                <w:rFonts w:hint="eastAsia"/>
                <w:sz w:val="24"/>
                <w:szCs w:val="24"/>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sz w:val="24"/>
                <w:szCs w:val="24"/>
              </w:rPr>
            </w:pPr>
            <w:r>
              <w:rPr>
                <w:rFonts w:hint="eastAsia"/>
                <w:sz w:val="24"/>
                <w:szCs w:val="24"/>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widowControl/>
              <w:spacing w:line="400" w:lineRule="exact"/>
              <w:ind w:firstLine="482" w:firstLineChars="200"/>
              <w:rPr>
                <w:sz w:val="24"/>
                <w:szCs w:val="24"/>
              </w:rPr>
            </w:pPr>
            <w:r>
              <w:rPr>
                <w:rFonts w:hint="eastAsia"/>
                <w:b/>
                <w:bCs/>
                <w:sz w:val="24"/>
                <w:szCs w:val="24"/>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hAnsi="宋体" w:cs="宋体"/>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合计：100分</w:t>
            </w:r>
          </w:p>
        </w:tc>
      </w:tr>
    </w:tbl>
    <w:p>
      <w:pPr>
        <w:pStyle w:val="4"/>
        <w:ind w:firstLine="0"/>
        <w:rPr>
          <w:rFonts w:asciiTheme="minorEastAsia" w:hAnsiTheme="minorEastAsia" w:eastAsiaTheme="minorEastAsia" w:cstheme="minorEastAsia"/>
          <w:b/>
          <w:bCs/>
          <w:sz w:val="24"/>
          <w:szCs w:val="24"/>
        </w:rPr>
      </w:pPr>
    </w:p>
    <w:p>
      <w:pPr>
        <w:pStyle w:val="4"/>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第2包评分标准：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954"/>
        <w:gridCol w:w="68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评标因素</w:t>
            </w:r>
          </w:p>
        </w:tc>
        <w:tc>
          <w:tcPr>
            <w:tcW w:w="5954"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评分标准</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投标</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报价</w:t>
            </w:r>
          </w:p>
        </w:tc>
        <w:tc>
          <w:tcPr>
            <w:tcW w:w="5954"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综合评分法中的价格分统一采用低价优先法计算，即满足招标文件要求且投标价格最低的投标报价为评标基准价，其价格分为满分30分，其它投标报价得分=评标基准价/投标报价*30</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技术要求</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响应评价</w:t>
            </w:r>
          </w:p>
        </w:tc>
        <w:tc>
          <w:tcPr>
            <w:tcW w:w="5954"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对照第六章“项目需求”第</w:t>
            </w:r>
            <w:r>
              <w:rPr>
                <w:rFonts w:hint="eastAsia" w:asciiTheme="minorEastAsia" w:hAnsiTheme="minorEastAsia" w:eastAsiaTheme="minorEastAsia" w:cstheme="minorEastAsia"/>
                <w:kern w:val="0"/>
                <w:sz w:val="24"/>
                <w:szCs w:val="24"/>
                <w:lang w:val="en-US" w:eastAsia="zh-CN"/>
              </w:rPr>
              <w:t>2</w:t>
            </w:r>
            <w:r>
              <w:rPr>
                <w:rFonts w:hint="eastAsia" w:asciiTheme="minorEastAsia" w:hAnsiTheme="minorEastAsia" w:eastAsiaTheme="minorEastAsia" w:cstheme="minorEastAsia"/>
                <w:kern w:val="0"/>
                <w:sz w:val="24"/>
                <w:szCs w:val="24"/>
              </w:rPr>
              <w:t>包的技术参数（每条技术参数前标注“★”的为核心技术参数，标注“▲”的为主要技术参数，未标注的为一般参数），根据投标人提供的产品配置及技术性能指标的响应情况进行评审。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1.本标包2种产品，投标人每有一种所投产品技术参数完全响应招标文件要求的，得12.5分，最多得25分；</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2.核心技术参数存在负偏离的（3条），此项不得分；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3.每种产品主要技术参数存在负偏离的（9条），该产品技术参数分为0分；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4.每种产品一般技术参数存在负偏离的，每一条扣3分，每种产品技术参数得分最多扣12.5分。</w:t>
            </w:r>
          </w:p>
          <w:p>
            <w:pPr>
              <w:widowControl/>
              <w:spacing w:line="400" w:lineRule="exact"/>
              <w:ind w:firstLine="482" w:firstLineChars="200"/>
              <w:textAlignment w:val="center"/>
              <w:rPr>
                <w:rFonts w:eastAsiaTheme="minorEastAsia"/>
              </w:rPr>
            </w:pPr>
            <w:r>
              <w:rPr>
                <w:b/>
                <w:bCs/>
                <w:sz w:val="24"/>
                <w:szCs w:val="24"/>
              </w:rPr>
              <w:t>注：负偏离评审依据：</w:t>
            </w:r>
            <w:r>
              <w:rPr>
                <w:rFonts w:hint="eastAsia"/>
                <w:b/>
                <w:bCs/>
                <w:sz w:val="24"/>
                <w:szCs w:val="24"/>
              </w:rPr>
              <w:t>①</w:t>
            </w:r>
            <w:r>
              <w:rPr>
                <w:b/>
                <w:bCs/>
                <w:sz w:val="24"/>
                <w:szCs w:val="24"/>
              </w:rPr>
              <w:t>所</w:t>
            </w:r>
            <w:r>
              <w:rPr>
                <w:rFonts w:hint="eastAsia"/>
                <w:b/>
                <w:bCs/>
                <w:sz w:val="24"/>
                <w:szCs w:val="24"/>
              </w:rPr>
              <w:t>提供</w:t>
            </w:r>
            <w:r>
              <w:rPr>
                <w:b/>
                <w:bCs/>
                <w:sz w:val="24"/>
                <w:szCs w:val="24"/>
              </w:rPr>
              <w:t>产品技术参数低于</w:t>
            </w:r>
            <w:r>
              <w:rPr>
                <w:rFonts w:hint="eastAsia"/>
                <w:b/>
                <w:bCs/>
                <w:sz w:val="24"/>
                <w:szCs w:val="24"/>
              </w:rPr>
              <w:t>招标</w:t>
            </w:r>
            <w:r>
              <w:rPr>
                <w:b/>
                <w:bCs/>
                <w:sz w:val="24"/>
                <w:szCs w:val="24"/>
              </w:rPr>
              <w:t>文件要求的，视为负偏离；</w:t>
            </w:r>
            <w:r>
              <w:rPr>
                <w:rFonts w:hint="eastAsia"/>
                <w:b/>
                <w:bCs/>
                <w:sz w:val="24"/>
                <w:szCs w:val="24"/>
              </w:rPr>
              <w:t>②</w:t>
            </w:r>
            <w:r>
              <w:rPr>
                <w:b/>
                <w:bCs/>
                <w:sz w:val="24"/>
                <w:szCs w:val="24"/>
              </w:rPr>
              <w:t>技术参数响应条款</w:t>
            </w:r>
            <w:r>
              <w:rPr>
                <w:rFonts w:hint="eastAsia"/>
                <w:b/>
                <w:bCs/>
                <w:sz w:val="24"/>
                <w:szCs w:val="24"/>
              </w:rPr>
              <w:t>（以投标文件内技术偏离表为准）</w:t>
            </w:r>
            <w:r>
              <w:rPr>
                <w:b/>
                <w:bCs/>
                <w:sz w:val="24"/>
                <w:szCs w:val="24"/>
              </w:rPr>
              <w:t>与</w:t>
            </w:r>
            <w:r>
              <w:rPr>
                <w:rFonts w:hint="eastAsia"/>
                <w:b/>
                <w:bCs/>
                <w:sz w:val="24"/>
                <w:szCs w:val="24"/>
              </w:rPr>
              <w:t>招标</w:t>
            </w:r>
            <w:r>
              <w:rPr>
                <w:b/>
                <w:bCs/>
                <w:sz w:val="24"/>
                <w:szCs w:val="24"/>
              </w:rPr>
              <w:t>文件对比有缺项、漏项的，视为负偏离；</w:t>
            </w:r>
            <w:r>
              <w:rPr>
                <w:rFonts w:hint="eastAsia"/>
                <w:b/>
                <w:bCs/>
                <w:sz w:val="24"/>
                <w:szCs w:val="24"/>
              </w:rPr>
              <w:t>③投标文件内技术偏离表完全复制招标文件技术参数的（不涉及具体参数指标的描述性技术要求除外），视为负偏离；④投标人</w:t>
            </w:r>
            <w:r>
              <w:rPr>
                <w:b/>
                <w:bCs/>
                <w:sz w:val="24"/>
                <w:szCs w:val="24"/>
              </w:rPr>
              <w:t>提供的</w:t>
            </w:r>
            <w:r>
              <w:rPr>
                <w:rFonts w:hint="eastAsia"/>
                <w:b/>
                <w:bCs/>
                <w:sz w:val="24"/>
                <w:szCs w:val="24"/>
              </w:rPr>
              <w:t>投标</w:t>
            </w:r>
            <w:r>
              <w:rPr>
                <w:b/>
                <w:bCs/>
                <w:sz w:val="24"/>
                <w:szCs w:val="24"/>
              </w:rPr>
              <w:t>文件中产品技术偏离表、产品技术规格书和产品检测报告内描述的同一产品技术参数响应值不一致的，视为负偏离</w:t>
            </w:r>
            <w:r>
              <w:rPr>
                <w:rFonts w:hint="eastAsia"/>
                <w:b/>
                <w:bCs/>
                <w:sz w:val="24"/>
                <w:szCs w:val="24"/>
              </w:rPr>
              <w:t>。</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25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sz w:val="24"/>
                <w:szCs w:val="24"/>
              </w:rPr>
              <w:t>业绩证明</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供应商近三年内（2021年03月01日起至今，以合同签订日期为准）完成类似项目的业绩，每个项目业绩得2.5分，最多得5分。</w:t>
            </w:r>
          </w:p>
          <w:p>
            <w:pPr>
              <w:widowControl/>
              <w:spacing w:line="400" w:lineRule="exact"/>
              <w:ind w:firstLine="482" w:firstLineChars="200"/>
              <w:textAlignment w:val="center"/>
              <w:rPr>
                <w:b/>
                <w:bCs/>
                <w:sz w:val="24"/>
                <w:szCs w:val="24"/>
              </w:rPr>
            </w:pPr>
            <w:r>
              <w:rPr>
                <w:rFonts w:hint="eastAsia"/>
                <w:b/>
                <w:bCs/>
                <w:sz w:val="24"/>
                <w:szCs w:val="24"/>
              </w:rPr>
              <w:t>注：①提供中标（成交）通知书和合同复印件，未按要求提供不得分；②同一单位近三年的类似合同不重复计算业绩，仅算一个业绩。</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项目组织</w:t>
            </w:r>
          </w:p>
          <w:p>
            <w:pPr>
              <w:widowControl/>
              <w:spacing w:line="400" w:lineRule="exact"/>
              <w:jc w:val="center"/>
              <w:textAlignment w:val="center"/>
              <w:rPr>
                <w:sz w:val="24"/>
                <w:szCs w:val="24"/>
              </w:rPr>
            </w:pPr>
            <w:r>
              <w:rPr>
                <w:rFonts w:hint="eastAsia" w:asciiTheme="minorEastAsia" w:hAnsiTheme="minorEastAsia" w:eastAsiaTheme="minorEastAsia" w:cstheme="minorEastAsia"/>
                <w:sz w:val="24"/>
                <w:szCs w:val="24"/>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根据供应商提供的项目实施方案进行评分：</w:t>
            </w:r>
          </w:p>
          <w:p>
            <w:pPr>
              <w:widowControl/>
              <w:spacing w:line="400" w:lineRule="exact"/>
              <w:ind w:firstLine="480" w:firstLineChars="200"/>
              <w:rPr>
                <w:sz w:val="24"/>
                <w:szCs w:val="24"/>
              </w:rPr>
            </w:pPr>
            <w:r>
              <w:rPr>
                <w:rFonts w:hint="eastAsia"/>
                <w:sz w:val="24"/>
                <w:szCs w:val="24"/>
              </w:rPr>
              <w:t>项目实施方案包括但不限于：①</w:t>
            </w:r>
            <w:r>
              <w:rPr>
                <w:rFonts w:hint="eastAsia" w:asciiTheme="majorEastAsia" w:hAnsiTheme="majorEastAsia" w:eastAsiaTheme="majorEastAsia" w:cstheme="majorEastAsia"/>
                <w:sz w:val="24"/>
                <w:szCs w:val="24"/>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rPr>
              <w:t>等</w:t>
            </w:r>
            <w:r>
              <w:rPr>
                <w:rFonts w:hint="eastAsia"/>
                <w:sz w:val="24"/>
                <w:szCs w:val="24"/>
              </w:rPr>
              <w:t>4项内容，方案内容完整齐全，符合项目实际（</w:t>
            </w:r>
            <w:r>
              <w:rPr>
                <w:rFonts w:hint="eastAsia" w:asciiTheme="majorEastAsia" w:hAnsiTheme="majorEastAsia" w:eastAsiaTheme="majorEastAsia" w:cstheme="majorEastAsia"/>
                <w:sz w:val="24"/>
                <w:szCs w:val="24"/>
              </w:rPr>
              <w:t>第六章“项目需求”</w:t>
            </w:r>
            <w:r>
              <w:rPr>
                <w:rFonts w:hint="eastAsia"/>
                <w:sz w:val="24"/>
                <w:szCs w:val="24"/>
              </w:rPr>
              <w:t>）的，得12分；每缺少一项方案内容，或一项内容存在缺陷的，每一项扣3分，扣完为止；未提供项目实施方案的，此项不得分。</w:t>
            </w:r>
          </w:p>
          <w:p>
            <w:pPr>
              <w:widowControl/>
              <w:spacing w:line="400" w:lineRule="exact"/>
              <w:ind w:firstLine="482" w:firstLineChars="200"/>
              <w:rPr>
                <w:b/>
                <w:bCs/>
                <w:sz w:val="24"/>
                <w:szCs w:val="24"/>
              </w:rPr>
            </w:pPr>
            <w:r>
              <w:rPr>
                <w:rFonts w:hint="eastAsia"/>
                <w:b/>
                <w:bCs/>
                <w:sz w:val="24"/>
                <w:szCs w:val="24"/>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技术培训</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根据供应商提供的项目培训方案进行评分：</w:t>
            </w:r>
          </w:p>
          <w:p>
            <w:pPr>
              <w:widowControl/>
              <w:spacing w:line="400" w:lineRule="exact"/>
              <w:ind w:firstLine="480" w:firstLineChars="200"/>
              <w:rPr>
                <w:sz w:val="24"/>
                <w:szCs w:val="24"/>
              </w:rPr>
            </w:pPr>
            <w:r>
              <w:rPr>
                <w:rFonts w:hint="eastAsia"/>
                <w:sz w:val="24"/>
                <w:szCs w:val="24"/>
              </w:rPr>
              <w:t>项目培训方案包括但不限于</w:t>
            </w:r>
            <w:r>
              <w:rPr>
                <w:rFonts w:asciiTheme="majorEastAsia" w:hAnsiTheme="majorEastAsia" w:eastAsiaTheme="majorEastAsia" w:cstheme="majorEastAsia"/>
                <w:sz w:val="24"/>
                <w:szCs w:val="24"/>
              </w:rPr>
              <w:t>培训内容</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培训方式</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培训计划</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培训团队人员配置</w:t>
            </w:r>
            <w:r>
              <w:rPr>
                <w:sz w:val="24"/>
                <w:szCs w:val="24"/>
              </w:rPr>
              <w:t>等</w:t>
            </w:r>
            <w:r>
              <w:rPr>
                <w:rFonts w:hint="eastAsia"/>
                <w:sz w:val="24"/>
                <w:szCs w:val="24"/>
              </w:rPr>
              <w:t>4项内容，方案内容完整齐全，符合项目实际的，得8分；每缺少一项方案内容，或一项内容存在缺陷的，每一项扣2分，扣完为止；未提供项目实施方案的，此项不得分。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kern w:val="0"/>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1"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954"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根据供应商提供的售后服务方案进行评分：</w:t>
            </w:r>
          </w:p>
          <w:p>
            <w:pPr>
              <w:widowControl/>
              <w:spacing w:line="400" w:lineRule="exact"/>
              <w:ind w:firstLine="480" w:firstLineChars="200"/>
              <w:rPr>
                <w:sz w:val="24"/>
                <w:szCs w:val="24"/>
              </w:rPr>
            </w:pPr>
            <w:r>
              <w:rPr>
                <w:rFonts w:hint="eastAsia"/>
                <w:sz w:val="24"/>
                <w:szCs w:val="24"/>
              </w:rPr>
              <w:t>项目售后服务方案包括但不限于</w:t>
            </w:r>
            <w:r>
              <w:rPr>
                <w:rFonts w:hint="eastAsia" w:asciiTheme="majorEastAsia" w:hAnsiTheme="majorEastAsia" w:eastAsiaTheme="majorEastAsia" w:cstheme="majorEastAsia"/>
                <w:sz w:val="24"/>
                <w:szCs w:val="24"/>
              </w:rPr>
              <w:t>售后</w:t>
            </w:r>
            <w:r>
              <w:rPr>
                <w:rFonts w:asciiTheme="majorEastAsia" w:hAnsiTheme="majorEastAsia" w:eastAsiaTheme="majorEastAsia" w:cstheme="majorEastAsia"/>
                <w:sz w:val="24"/>
                <w:szCs w:val="24"/>
              </w:rPr>
              <w:t>服务承诺</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服务响应方案</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备件（易耗品）供应方案</w:t>
            </w:r>
            <w:r>
              <w:rPr>
                <w:rFonts w:hint="eastAsia" w:asciiTheme="majorEastAsia" w:hAnsiTheme="majorEastAsia" w:eastAsiaTheme="majorEastAsia" w:cstheme="majorEastAsia"/>
                <w:sz w:val="24"/>
                <w:szCs w:val="24"/>
              </w:rPr>
              <w:t>（含备件价格）、</w:t>
            </w:r>
            <w:r>
              <w:rPr>
                <w:rFonts w:asciiTheme="majorEastAsia" w:hAnsiTheme="majorEastAsia" w:eastAsiaTheme="majorEastAsia" w:cstheme="majorEastAsia"/>
                <w:sz w:val="24"/>
                <w:szCs w:val="24"/>
              </w:rPr>
              <w:t>服务人员配备</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故障响应</w:t>
            </w:r>
            <w:r>
              <w:rPr>
                <w:rFonts w:hint="eastAsia" w:asciiTheme="majorEastAsia" w:hAnsiTheme="majorEastAsia" w:eastAsiaTheme="majorEastAsia" w:cstheme="majorEastAsia"/>
                <w:sz w:val="24"/>
                <w:szCs w:val="24"/>
              </w:rPr>
              <w:t>措施、</w:t>
            </w:r>
            <w:r>
              <w:rPr>
                <w:rFonts w:asciiTheme="majorEastAsia" w:hAnsiTheme="majorEastAsia" w:eastAsiaTheme="majorEastAsia" w:cstheme="majorEastAsia"/>
                <w:sz w:val="24"/>
                <w:szCs w:val="24"/>
              </w:rPr>
              <w:t>质保外服务措施</w:t>
            </w:r>
            <w:r>
              <w:rPr>
                <w:sz w:val="24"/>
                <w:szCs w:val="24"/>
              </w:rPr>
              <w:t>等</w:t>
            </w:r>
            <w:r>
              <w:rPr>
                <w:rFonts w:hint="eastAsia"/>
                <w:sz w:val="24"/>
                <w:szCs w:val="24"/>
              </w:rPr>
              <w:t>6项内容，方案内容完整齐全，符合项目实际的，得12分；每缺少一项方案内容，或一项内容存在缺陷的，每一项扣2分，扣完为止；未提供项目实施方案的，此项不得分。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2"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hAnsi="宋体" w:cs="宋体"/>
                <w:sz w:val="24"/>
                <w:szCs w:val="24"/>
              </w:rPr>
              <w:t>投标样品评价</w:t>
            </w:r>
          </w:p>
        </w:tc>
        <w:tc>
          <w:tcPr>
            <w:tcW w:w="5954" w:type="dxa"/>
            <w:tcMar>
              <w:top w:w="15" w:type="dxa"/>
              <w:left w:w="15" w:type="dxa"/>
              <w:right w:w="15" w:type="dxa"/>
            </w:tcMar>
            <w:vAlign w:val="center"/>
          </w:tcPr>
          <w:p>
            <w:pPr>
              <w:spacing w:line="400" w:lineRule="exact"/>
              <w:ind w:firstLine="480" w:firstLineChars="200"/>
              <w:jc w:val="left"/>
              <w:rPr>
                <w:sz w:val="24"/>
                <w:szCs w:val="24"/>
              </w:rPr>
            </w:pPr>
            <w:r>
              <w:rPr>
                <w:rFonts w:hint="eastAsia"/>
                <w:sz w:val="24"/>
                <w:szCs w:val="24"/>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sz w:val="24"/>
                <w:szCs w:val="24"/>
              </w:rPr>
            </w:pPr>
            <w:r>
              <w:rPr>
                <w:rFonts w:hint="eastAsia"/>
                <w:sz w:val="24"/>
                <w:szCs w:val="24"/>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widowControl/>
              <w:spacing w:line="400" w:lineRule="exact"/>
              <w:ind w:firstLine="482" w:firstLineChars="200"/>
              <w:rPr>
                <w:sz w:val="24"/>
                <w:szCs w:val="24"/>
              </w:rPr>
            </w:pPr>
            <w:r>
              <w:rPr>
                <w:rFonts w:hint="eastAsia"/>
                <w:b/>
                <w:bCs/>
                <w:sz w:val="24"/>
                <w:szCs w:val="24"/>
              </w:rPr>
              <w:t>注：样品由采购代理机构提前编号并作登记，评标委员会采用盲评形式进行评审。</w:t>
            </w:r>
          </w:p>
        </w:tc>
        <w:tc>
          <w:tcPr>
            <w:tcW w:w="687"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hAnsi="宋体" w:cs="宋体"/>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合计：100分</w:t>
            </w:r>
          </w:p>
        </w:tc>
      </w:tr>
    </w:tbl>
    <w:p>
      <w:pPr>
        <w:pStyle w:val="4"/>
        <w:ind w:firstLine="0"/>
        <w:rPr>
          <w:rFonts w:asciiTheme="minorEastAsia" w:hAnsiTheme="minorEastAsia" w:eastAsiaTheme="minorEastAsia" w:cstheme="minorEastAsia"/>
          <w:b/>
          <w:bCs/>
          <w:sz w:val="24"/>
          <w:szCs w:val="24"/>
        </w:rPr>
      </w:pPr>
    </w:p>
    <w:p>
      <w:pPr>
        <w:pStyle w:val="4"/>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第3包评分标准：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872"/>
        <w:gridCol w:w="7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评标因素</w:t>
            </w:r>
          </w:p>
        </w:tc>
        <w:tc>
          <w:tcPr>
            <w:tcW w:w="5872"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评分标准</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投标</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报价</w:t>
            </w:r>
          </w:p>
        </w:tc>
        <w:tc>
          <w:tcPr>
            <w:tcW w:w="5872"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综合评分法中的价格分统一采用低价优先法计算，即满足招标文件要求且投标价格最低的投标报价为评标基准价，其价格分为满分30分，其它投标报价得分=评标基准价/投标报价*30</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技术要求</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响应评价</w:t>
            </w:r>
          </w:p>
        </w:tc>
        <w:tc>
          <w:tcPr>
            <w:tcW w:w="5872"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对照第六章“项目需求”第</w:t>
            </w:r>
            <w:r>
              <w:rPr>
                <w:rFonts w:hint="eastAsia" w:asciiTheme="minorEastAsia" w:hAnsiTheme="minorEastAsia" w:eastAsiaTheme="minorEastAsia" w:cstheme="minorEastAsia"/>
                <w:kern w:val="0"/>
                <w:sz w:val="24"/>
                <w:szCs w:val="24"/>
                <w:lang w:val="en-US" w:eastAsia="zh-CN"/>
              </w:rPr>
              <w:t>3</w:t>
            </w:r>
            <w:r>
              <w:rPr>
                <w:rFonts w:hint="eastAsia" w:asciiTheme="minorEastAsia" w:hAnsiTheme="minorEastAsia" w:eastAsiaTheme="minorEastAsia" w:cstheme="minorEastAsia"/>
                <w:kern w:val="0"/>
                <w:sz w:val="24"/>
                <w:szCs w:val="24"/>
              </w:rPr>
              <w:t>包的技术参数（每条技术参数前标注“★”的为核心技术参数，标注“▲”的为主要技术参数，未标注的为一般参数），根据投标人提供的产品配置及技术性能指标的响应情况进行评审。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1.本标包14种产品，投标人每有一种所投产品技术参数完全响应招标文件要求的，得2分，最多得28分；</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2.核心技术参数存在负偏离的（19条），此项不得分；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3.每种产品主要技术参数存在负偏离的（22条），该产品技术参数分为0分；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4.每种产品一般技术参数存在负偏离的，每一条扣1分，每种产品技术参数得分最多扣2分。</w:t>
            </w:r>
          </w:p>
          <w:p>
            <w:pPr>
              <w:widowControl/>
              <w:spacing w:line="400" w:lineRule="exact"/>
              <w:ind w:firstLine="482" w:firstLineChars="200"/>
              <w:textAlignment w:val="center"/>
              <w:rPr>
                <w:rFonts w:eastAsiaTheme="minorEastAsia"/>
              </w:rPr>
            </w:pPr>
            <w:r>
              <w:rPr>
                <w:b/>
                <w:bCs/>
                <w:sz w:val="24"/>
                <w:szCs w:val="24"/>
              </w:rPr>
              <w:t>注：负偏离评审依据：</w:t>
            </w:r>
            <w:r>
              <w:rPr>
                <w:rFonts w:hint="eastAsia"/>
                <w:b/>
                <w:bCs/>
                <w:sz w:val="24"/>
                <w:szCs w:val="24"/>
              </w:rPr>
              <w:t>①</w:t>
            </w:r>
            <w:r>
              <w:rPr>
                <w:b/>
                <w:bCs/>
                <w:sz w:val="24"/>
                <w:szCs w:val="24"/>
              </w:rPr>
              <w:t>所</w:t>
            </w:r>
            <w:r>
              <w:rPr>
                <w:rFonts w:hint="eastAsia"/>
                <w:b/>
                <w:bCs/>
                <w:sz w:val="24"/>
                <w:szCs w:val="24"/>
              </w:rPr>
              <w:t>提供</w:t>
            </w:r>
            <w:r>
              <w:rPr>
                <w:b/>
                <w:bCs/>
                <w:sz w:val="24"/>
                <w:szCs w:val="24"/>
              </w:rPr>
              <w:t>产品技术参数低于</w:t>
            </w:r>
            <w:r>
              <w:rPr>
                <w:rFonts w:hint="eastAsia"/>
                <w:b/>
                <w:bCs/>
                <w:sz w:val="24"/>
                <w:szCs w:val="24"/>
              </w:rPr>
              <w:t>招标</w:t>
            </w:r>
            <w:r>
              <w:rPr>
                <w:b/>
                <w:bCs/>
                <w:sz w:val="24"/>
                <w:szCs w:val="24"/>
              </w:rPr>
              <w:t>文件要求的，视为负偏离；</w:t>
            </w:r>
            <w:r>
              <w:rPr>
                <w:rFonts w:hint="eastAsia"/>
                <w:b/>
                <w:bCs/>
                <w:sz w:val="24"/>
                <w:szCs w:val="24"/>
              </w:rPr>
              <w:t>②</w:t>
            </w:r>
            <w:r>
              <w:rPr>
                <w:b/>
                <w:bCs/>
                <w:sz w:val="24"/>
                <w:szCs w:val="24"/>
              </w:rPr>
              <w:t>技术参数响应条款</w:t>
            </w:r>
            <w:r>
              <w:rPr>
                <w:rFonts w:hint="eastAsia"/>
                <w:b/>
                <w:bCs/>
                <w:sz w:val="24"/>
                <w:szCs w:val="24"/>
              </w:rPr>
              <w:t>（以投标文件内技术偏离表为准）</w:t>
            </w:r>
            <w:r>
              <w:rPr>
                <w:b/>
                <w:bCs/>
                <w:sz w:val="24"/>
                <w:szCs w:val="24"/>
              </w:rPr>
              <w:t>与</w:t>
            </w:r>
            <w:r>
              <w:rPr>
                <w:rFonts w:hint="eastAsia"/>
                <w:b/>
                <w:bCs/>
                <w:sz w:val="24"/>
                <w:szCs w:val="24"/>
              </w:rPr>
              <w:t>招标</w:t>
            </w:r>
            <w:r>
              <w:rPr>
                <w:b/>
                <w:bCs/>
                <w:sz w:val="24"/>
                <w:szCs w:val="24"/>
              </w:rPr>
              <w:t>文件对比有缺项、漏项的，视为负偏离；</w:t>
            </w:r>
            <w:r>
              <w:rPr>
                <w:rFonts w:hint="eastAsia"/>
                <w:b/>
                <w:bCs/>
                <w:sz w:val="24"/>
                <w:szCs w:val="24"/>
              </w:rPr>
              <w:t>③投标文件内技术偏离表完全复制招标文件技术参数的（不涉及具体参数指标的描述性技术要求除外），视为负偏离；④投标人</w:t>
            </w:r>
            <w:r>
              <w:rPr>
                <w:b/>
                <w:bCs/>
                <w:sz w:val="24"/>
                <w:szCs w:val="24"/>
              </w:rPr>
              <w:t>提供的</w:t>
            </w:r>
            <w:r>
              <w:rPr>
                <w:rFonts w:hint="eastAsia"/>
                <w:b/>
                <w:bCs/>
                <w:sz w:val="24"/>
                <w:szCs w:val="24"/>
              </w:rPr>
              <w:t>投标</w:t>
            </w:r>
            <w:r>
              <w:rPr>
                <w:b/>
                <w:bCs/>
                <w:sz w:val="24"/>
                <w:szCs w:val="24"/>
              </w:rPr>
              <w:t>文件中产品技术偏离表、产品技术规格书和产品检测报告内描述的同一产品技术参数响应值不一致的，视为负偏离</w:t>
            </w:r>
            <w:r>
              <w:rPr>
                <w:rFonts w:hint="eastAsia"/>
                <w:b/>
                <w:bCs/>
                <w:sz w:val="24"/>
                <w:szCs w:val="24"/>
              </w:rPr>
              <w:t>。</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sz w:val="24"/>
                <w:szCs w:val="24"/>
              </w:rPr>
              <w:t>业绩证明</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供应商近三年内（2021年03月01日起至今，以合同签订日期为准）完成类似项目的业绩，每个项目业绩得2.5分，最多得5分。</w:t>
            </w:r>
          </w:p>
          <w:p>
            <w:pPr>
              <w:widowControl/>
              <w:spacing w:line="400" w:lineRule="exact"/>
              <w:ind w:firstLine="482" w:firstLineChars="200"/>
              <w:textAlignment w:val="center"/>
              <w:rPr>
                <w:b/>
                <w:bCs/>
                <w:sz w:val="24"/>
                <w:szCs w:val="24"/>
              </w:rPr>
            </w:pPr>
            <w:r>
              <w:rPr>
                <w:rFonts w:hint="eastAsia"/>
                <w:b/>
                <w:bCs/>
                <w:sz w:val="24"/>
                <w:szCs w:val="24"/>
              </w:rPr>
              <w:t>注：①提供中标（成交）通知书和合同复印件，未按要求提供不得分；②同一单位近三年的类似合同不重复计算业绩，仅算一个业绩。</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项目组织</w:t>
            </w:r>
          </w:p>
          <w:p>
            <w:pPr>
              <w:widowControl/>
              <w:spacing w:line="400" w:lineRule="exact"/>
              <w:jc w:val="center"/>
              <w:textAlignment w:val="center"/>
              <w:rPr>
                <w:sz w:val="24"/>
                <w:szCs w:val="24"/>
              </w:rPr>
            </w:pPr>
            <w:r>
              <w:rPr>
                <w:rFonts w:hint="eastAsia" w:asciiTheme="minorEastAsia" w:hAnsiTheme="minorEastAsia" w:eastAsiaTheme="minorEastAsia" w:cstheme="minorEastAsia"/>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根据供应商提供的项目实施方案进行评分：</w:t>
            </w:r>
          </w:p>
          <w:p>
            <w:pPr>
              <w:widowControl/>
              <w:spacing w:line="400" w:lineRule="exact"/>
              <w:ind w:firstLine="480" w:firstLineChars="200"/>
              <w:rPr>
                <w:sz w:val="24"/>
                <w:szCs w:val="24"/>
              </w:rPr>
            </w:pPr>
            <w:r>
              <w:rPr>
                <w:rFonts w:hint="eastAsia"/>
                <w:sz w:val="24"/>
                <w:szCs w:val="24"/>
              </w:rPr>
              <w:t>项目实施方案包括但不限于：①</w:t>
            </w:r>
            <w:r>
              <w:rPr>
                <w:rFonts w:hint="eastAsia" w:asciiTheme="majorEastAsia" w:hAnsiTheme="majorEastAsia" w:eastAsiaTheme="majorEastAsia" w:cstheme="majorEastAsia"/>
                <w:sz w:val="24"/>
                <w:szCs w:val="24"/>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rPr>
              <w:t>等</w:t>
            </w:r>
            <w:r>
              <w:rPr>
                <w:rFonts w:hint="eastAsia"/>
                <w:sz w:val="24"/>
                <w:szCs w:val="24"/>
              </w:rPr>
              <w:t>4项内容，方案内容完整齐全，符合项目实际（</w:t>
            </w:r>
            <w:r>
              <w:rPr>
                <w:rFonts w:hint="eastAsia" w:asciiTheme="majorEastAsia" w:hAnsiTheme="majorEastAsia" w:eastAsiaTheme="majorEastAsia" w:cstheme="majorEastAsia"/>
                <w:sz w:val="24"/>
                <w:szCs w:val="24"/>
              </w:rPr>
              <w:t>第六章“项目需求”</w:t>
            </w:r>
            <w:r>
              <w:rPr>
                <w:rFonts w:hint="eastAsia"/>
                <w:sz w:val="24"/>
                <w:szCs w:val="24"/>
              </w:rPr>
              <w:t>）的，得10分；每缺少一项方案内容，或一项内容存在缺陷的，每一项扣2.5分，扣完为止；未提供项目实施方案的，此项不得分。</w:t>
            </w:r>
          </w:p>
          <w:p>
            <w:pPr>
              <w:widowControl/>
              <w:spacing w:line="400" w:lineRule="exact"/>
              <w:ind w:firstLine="482" w:firstLineChars="200"/>
              <w:rPr>
                <w:b/>
                <w:bCs/>
                <w:sz w:val="24"/>
                <w:szCs w:val="24"/>
              </w:rPr>
            </w:pPr>
            <w:r>
              <w:rPr>
                <w:rFonts w:hint="eastAsia"/>
                <w:b/>
                <w:bCs/>
                <w:sz w:val="24"/>
                <w:szCs w:val="24"/>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技术培训</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根据供应商提供的项目培训方案进行评分：</w:t>
            </w:r>
          </w:p>
          <w:p>
            <w:pPr>
              <w:widowControl/>
              <w:spacing w:line="400" w:lineRule="exact"/>
              <w:ind w:firstLine="480" w:firstLineChars="200"/>
              <w:rPr>
                <w:sz w:val="24"/>
                <w:szCs w:val="24"/>
              </w:rPr>
            </w:pPr>
            <w:r>
              <w:rPr>
                <w:rFonts w:hint="eastAsia"/>
                <w:sz w:val="24"/>
                <w:szCs w:val="24"/>
              </w:rPr>
              <w:t>项目培训方案包括但不限于</w:t>
            </w:r>
            <w:r>
              <w:rPr>
                <w:rFonts w:asciiTheme="majorEastAsia" w:hAnsiTheme="majorEastAsia" w:eastAsiaTheme="majorEastAsia" w:cstheme="majorEastAsia"/>
                <w:sz w:val="24"/>
                <w:szCs w:val="24"/>
              </w:rPr>
              <w:t>培训内容</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培训方式</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培训计划</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培训团队人员配置</w:t>
            </w:r>
            <w:r>
              <w:rPr>
                <w:sz w:val="24"/>
                <w:szCs w:val="24"/>
              </w:rPr>
              <w:t>等</w:t>
            </w:r>
            <w:r>
              <w:rPr>
                <w:rFonts w:hint="eastAsia"/>
                <w:sz w:val="24"/>
                <w:szCs w:val="24"/>
              </w:rPr>
              <w:t>4项内容，方案内容完整齐全，符合项目实际的，得10分；每缺少一项方案内容，或一项内容存在缺陷的，每一项扣2.5分，扣完为止；未提供项目实施方案的，此项不得分。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kern w:val="0"/>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7"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根据供应商提供的售后服务方案进行评分：</w:t>
            </w:r>
          </w:p>
          <w:p>
            <w:pPr>
              <w:widowControl/>
              <w:spacing w:line="400" w:lineRule="exact"/>
              <w:ind w:firstLine="480" w:firstLineChars="200"/>
              <w:rPr>
                <w:sz w:val="24"/>
                <w:szCs w:val="24"/>
              </w:rPr>
            </w:pPr>
            <w:r>
              <w:rPr>
                <w:rFonts w:hint="eastAsia"/>
                <w:sz w:val="24"/>
                <w:szCs w:val="24"/>
              </w:rPr>
              <w:t>项目售后服务方案包括但不限于</w:t>
            </w:r>
            <w:r>
              <w:rPr>
                <w:rFonts w:hint="eastAsia" w:asciiTheme="majorEastAsia" w:hAnsiTheme="majorEastAsia" w:eastAsiaTheme="majorEastAsia" w:cstheme="majorEastAsia"/>
                <w:sz w:val="24"/>
                <w:szCs w:val="24"/>
              </w:rPr>
              <w:t>售后</w:t>
            </w:r>
            <w:r>
              <w:rPr>
                <w:rFonts w:asciiTheme="majorEastAsia" w:hAnsiTheme="majorEastAsia" w:eastAsiaTheme="majorEastAsia" w:cstheme="majorEastAsia"/>
                <w:sz w:val="24"/>
                <w:szCs w:val="24"/>
              </w:rPr>
              <w:t>服务承诺</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服务响应方案</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备件（易耗品）供应方案</w:t>
            </w:r>
            <w:r>
              <w:rPr>
                <w:rFonts w:hint="eastAsia" w:asciiTheme="majorEastAsia" w:hAnsiTheme="majorEastAsia" w:eastAsiaTheme="majorEastAsia" w:cstheme="majorEastAsia"/>
                <w:sz w:val="24"/>
                <w:szCs w:val="24"/>
              </w:rPr>
              <w:t>（含备件价格）、</w:t>
            </w:r>
            <w:r>
              <w:rPr>
                <w:rFonts w:asciiTheme="majorEastAsia" w:hAnsiTheme="majorEastAsia" w:eastAsiaTheme="majorEastAsia" w:cstheme="majorEastAsia"/>
                <w:sz w:val="24"/>
                <w:szCs w:val="24"/>
              </w:rPr>
              <w:t>服务人员配备</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故障响应</w:t>
            </w:r>
            <w:r>
              <w:rPr>
                <w:rFonts w:hint="eastAsia" w:asciiTheme="majorEastAsia" w:hAnsiTheme="majorEastAsia" w:eastAsiaTheme="majorEastAsia" w:cstheme="majorEastAsia"/>
                <w:sz w:val="24"/>
                <w:szCs w:val="24"/>
              </w:rPr>
              <w:t>措施、</w:t>
            </w:r>
            <w:r>
              <w:rPr>
                <w:rFonts w:asciiTheme="majorEastAsia" w:hAnsiTheme="majorEastAsia" w:eastAsiaTheme="majorEastAsia" w:cstheme="majorEastAsia"/>
                <w:sz w:val="24"/>
                <w:szCs w:val="24"/>
              </w:rPr>
              <w:t>质保外服务措施</w:t>
            </w:r>
            <w:r>
              <w:rPr>
                <w:sz w:val="24"/>
                <w:szCs w:val="24"/>
              </w:rPr>
              <w:t>等</w:t>
            </w:r>
            <w:r>
              <w:rPr>
                <w:rFonts w:hint="eastAsia"/>
                <w:sz w:val="24"/>
                <w:szCs w:val="24"/>
              </w:rPr>
              <w:t>6项内容，方案内容完整齐全，符合项目实际的，得9分；每缺少一项方案内容，或一项内容存在缺陷的，每一项扣1.5分，扣完为止；未提供项目实施方案的，此项不得分。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hAnsi="宋体" w:cs="宋体"/>
                <w:sz w:val="24"/>
                <w:szCs w:val="24"/>
              </w:rPr>
              <w:t>投标样品评价</w:t>
            </w:r>
          </w:p>
        </w:tc>
        <w:tc>
          <w:tcPr>
            <w:tcW w:w="5872" w:type="dxa"/>
            <w:tcMar>
              <w:top w:w="15" w:type="dxa"/>
              <w:left w:w="15" w:type="dxa"/>
              <w:right w:w="15" w:type="dxa"/>
            </w:tcMar>
            <w:vAlign w:val="center"/>
          </w:tcPr>
          <w:p>
            <w:pPr>
              <w:spacing w:line="400" w:lineRule="exact"/>
              <w:ind w:firstLine="480" w:firstLineChars="200"/>
              <w:jc w:val="left"/>
              <w:rPr>
                <w:sz w:val="24"/>
                <w:szCs w:val="24"/>
              </w:rPr>
            </w:pPr>
            <w:r>
              <w:rPr>
                <w:rFonts w:hint="eastAsia"/>
                <w:sz w:val="24"/>
                <w:szCs w:val="24"/>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sz w:val="24"/>
                <w:szCs w:val="24"/>
              </w:rPr>
            </w:pPr>
            <w:r>
              <w:rPr>
                <w:rFonts w:hint="eastAsia"/>
                <w:sz w:val="24"/>
                <w:szCs w:val="24"/>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widowControl/>
              <w:spacing w:line="400" w:lineRule="exact"/>
              <w:ind w:firstLine="482" w:firstLineChars="200"/>
              <w:rPr>
                <w:sz w:val="24"/>
                <w:szCs w:val="24"/>
              </w:rPr>
            </w:pPr>
            <w:r>
              <w:rPr>
                <w:rFonts w:hint="eastAsia"/>
                <w:b/>
                <w:bCs/>
                <w:sz w:val="24"/>
                <w:szCs w:val="24"/>
              </w:rPr>
              <w:t>注：样品由采购代理机构提前编号并作登记，评标委员会采用盲评形式进行评审。</w:t>
            </w:r>
          </w:p>
        </w:tc>
        <w:tc>
          <w:tcPr>
            <w:tcW w:w="769"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hAnsi="宋体" w:cs="宋体"/>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合计：100分</w:t>
            </w:r>
          </w:p>
        </w:tc>
      </w:tr>
    </w:tbl>
    <w:p>
      <w:pPr>
        <w:pStyle w:val="4"/>
        <w:rPr>
          <w:rFonts w:asciiTheme="minorEastAsia" w:hAnsiTheme="minorEastAsia" w:eastAsiaTheme="minorEastAsia" w:cstheme="minorEastAsia"/>
          <w:b/>
          <w:bCs/>
          <w:sz w:val="24"/>
          <w:szCs w:val="24"/>
        </w:rPr>
      </w:pPr>
    </w:p>
    <w:p>
      <w:pPr>
        <w:rPr>
          <w:rFonts w:asciiTheme="minorEastAsia" w:hAnsiTheme="minorEastAsia" w:eastAsiaTheme="minorEastAsia" w:cstheme="minorEastAsia"/>
          <w:b/>
          <w:bCs/>
          <w:sz w:val="24"/>
          <w:szCs w:val="24"/>
        </w:rPr>
      </w:pPr>
    </w:p>
    <w:p>
      <w:pPr>
        <w:pStyle w:val="4"/>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第4包评分标准：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872"/>
        <w:gridCol w:w="7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评标因素</w:t>
            </w:r>
          </w:p>
        </w:tc>
        <w:tc>
          <w:tcPr>
            <w:tcW w:w="5872"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评分标准</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投标</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报价</w:t>
            </w:r>
          </w:p>
        </w:tc>
        <w:tc>
          <w:tcPr>
            <w:tcW w:w="5872"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综合评分法中的价格分统一采用低价优先法计算，即满足招标文件要求且投标价格最低的投标报价为评标基准价，其价格分为满分30分，其它投标报价得分=评标基准价/投标报价*30</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技术要求</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响应评价</w:t>
            </w:r>
          </w:p>
        </w:tc>
        <w:tc>
          <w:tcPr>
            <w:tcW w:w="5872"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对照第六章“项目需求”第</w:t>
            </w:r>
            <w:r>
              <w:rPr>
                <w:rFonts w:hint="eastAsia" w:asciiTheme="minorEastAsia" w:hAnsiTheme="minorEastAsia" w:eastAsiaTheme="minorEastAsia" w:cstheme="minorEastAsia"/>
                <w:kern w:val="0"/>
                <w:sz w:val="24"/>
                <w:szCs w:val="24"/>
                <w:lang w:val="en-US" w:eastAsia="zh-CN"/>
              </w:rPr>
              <w:t>4</w:t>
            </w:r>
            <w:r>
              <w:rPr>
                <w:rFonts w:hint="eastAsia" w:asciiTheme="minorEastAsia" w:hAnsiTheme="minorEastAsia" w:eastAsiaTheme="minorEastAsia" w:cstheme="minorEastAsia"/>
                <w:kern w:val="0"/>
                <w:sz w:val="24"/>
                <w:szCs w:val="24"/>
              </w:rPr>
              <w:t>包的技术参数（每条技术参数前标注“★”的为核心技术参数，标注“▲”的为主要技术参数，未标注的为一般参数），根据投标人提供的产品配置及技术性能指标的响应情况进行评审。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1.本标包4种产品，投标人每有一种所投产品技术参数完全响应招标文件要求的，得7分，最多得28分；</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2.核心技术参数存在负偏离的（11条），此项不得分；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3.每种产品主要技术参数存在负偏离的（11条），该产品技术参数分为0分；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4.每种产品一般技术参数存在负偏离的，每一条扣1分，每种产品技术参数得分最多扣7分。</w:t>
            </w:r>
          </w:p>
          <w:p>
            <w:pPr>
              <w:widowControl/>
              <w:spacing w:line="400" w:lineRule="exact"/>
              <w:ind w:firstLine="482" w:firstLineChars="200"/>
              <w:textAlignment w:val="center"/>
              <w:rPr>
                <w:rFonts w:eastAsiaTheme="minorEastAsia"/>
              </w:rPr>
            </w:pPr>
            <w:r>
              <w:rPr>
                <w:b/>
                <w:bCs/>
                <w:sz w:val="24"/>
                <w:szCs w:val="24"/>
              </w:rPr>
              <w:t>注：负偏离评审依据：</w:t>
            </w:r>
            <w:r>
              <w:rPr>
                <w:rFonts w:hint="eastAsia"/>
                <w:b/>
                <w:bCs/>
                <w:sz w:val="24"/>
                <w:szCs w:val="24"/>
              </w:rPr>
              <w:t>①</w:t>
            </w:r>
            <w:r>
              <w:rPr>
                <w:b/>
                <w:bCs/>
                <w:sz w:val="24"/>
                <w:szCs w:val="24"/>
              </w:rPr>
              <w:t>所</w:t>
            </w:r>
            <w:r>
              <w:rPr>
                <w:rFonts w:hint="eastAsia"/>
                <w:b/>
                <w:bCs/>
                <w:sz w:val="24"/>
                <w:szCs w:val="24"/>
              </w:rPr>
              <w:t>提供</w:t>
            </w:r>
            <w:r>
              <w:rPr>
                <w:b/>
                <w:bCs/>
                <w:sz w:val="24"/>
                <w:szCs w:val="24"/>
              </w:rPr>
              <w:t>产品技术参数低于</w:t>
            </w:r>
            <w:r>
              <w:rPr>
                <w:rFonts w:hint="eastAsia"/>
                <w:b/>
                <w:bCs/>
                <w:sz w:val="24"/>
                <w:szCs w:val="24"/>
              </w:rPr>
              <w:t>招标</w:t>
            </w:r>
            <w:r>
              <w:rPr>
                <w:b/>
                <w:bCs/>
                <w:sz w:val="24"/>
                <w:szCs w:val="24"/>
              </w:rPr>
              <w:t>文件要求的，视为负偏离；</w:t>
            </w:r>
            <w:r>
              <w:rPr>
                <w:rFonts w:hint="eastAsia"/>
                <w:b/>
                <w:bCs/>
                <w:sz w:val="24"/>
                <w:szCs w:val="24"/>
              </w:rPr>
              <w:t>②</w:t>
            </w:r>
            <w:r>
              <w:rPr>
                <w:b/>
                <w:bCs/>
                <w:sz w:val="24"/>
                <w:szCs w:val="24"/>
              </w:rPr>
              <w:t>技术参数响应条款</w:t>
            </w:r>
            <w:r>
              <w:rPr>
                <w:rFonts w:hint="eastAsia"/>
                <w:b/>
                <w:bCs/>
                <w:sz w:val="24"/>
                <w:szCs w:val="24"/>
              </w:rPr>
              <w:t>（以投标文件内技术偏离表为准）</w:t>
            </w:r>
            <w:r>
              <w:rPr>
                <w:b/>
                <w:bCs/>
                <w:sz w:val="24"/>
                <w:szCs w:val="24"/>
              </w:rPr>
              <w:t>与</w:t>
            </w:r>
            <w:r>
              <w:rPr>
                <w:rFonts w:hint="eastAsia"/>
                <w:b/>
                <w:bCs/>
                <w:sz w:val="24"/>
                <w:szCs w:val="24"/>
              </w:rPr>
              <w:t>招标</w:t>
            </w:r>
            <w:r>
              <w:rPr>
                <w:b/>
                <w:bCs/>
                <w:sz w:val="24"/>
                <w:szCs w:val="24"/>
              </w:rPr>
              <w:t>文件对比有缺项、漏项的，视为负偏离；</w:t>
            </w:r>
            <w:r>
              <w:rPr>
                <w:rFonts w:hint="eastAsia"/>
                <w:b/>
                <w:bCs/>
                <w:sz w:val="24"/>
                <w:szCs w:val="24"/>
              </w:rPr>
              <w:t>③投标文件内技术偏离表完全复制招标文件技术参数的（不涉及具体参数指标的描述性技术要求除外），视为负偏离；④投标人</w:t>
            </w:r>
            <w:r>
              <w:rPr>
                <w:b/>
                <w:bCs/>
                <w:sz w:val="24"/>
                <w:szCs w:val="24"/>
              </w:rPr>
              <w:t>提供的</w:t>
            </w:r>
            <w:r>
              <w:rPr>
                <w:rFonts w:hint="eastAsia"/>
                <w:b/>
                <w:bCs/>
                <w:sz w:val="24"/>
                <w:szCs w:val="24"/>
              </w:rPr>
              <w:t>投标</w:t>
            </w:r>
            <w:r>
              <w:rPr>
                <w:b/>
                <w:bCs/>
                <w:sz w:val="24"/>
                <w:szCs w:val="24"/>
              </w:rPr>
              <w:t>文件中产品技术偏离表、产品技术规格书和产品检测报告内描述的同一产品技术参数响应值不一致的，视为负偏离</w:t>
            </w:r>
            <w:r>
              <w:rPr>
                <w:rFonts w:hint="eastAsia"/>
                <w:b/>
                <w:bCs/>
                <w:sz w:val="24"/>
                <w:szCs w:val="24"/>
              </w:rPr>
              <w:t>。</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sz w:val="24"/>
                <w:szCs w:val="24"/>
              </w:rPr>
              <w:t>业绩证明</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供应商近三年内（2021年03月01日起至今，以合同签订日期为准）完成类似项目的业绩，每个项目业绩得2.5分，最多得5分。</w:t>
            </w:r>
          </w:p>
          <w:p>
            <w:pPr>
              <w:widowControl/>
              <w:spacing w:line="400" w:lineRule="exact"/>
              <w:ind w:firstLine="482" w:firstLineChars="200"/>
              <w:textAlignment w:val="center"/>
              <w:rPr>
                <w:b/>
                <w:bCs/>
                <w:sz w:val="24"/>
                <w:szCs w:val="24"/>
              </w:rPr>
            </w:pPr>
            <w:r>
              <w:rPr>
                <w:rFonts w:hint="eastAsia"/>
                <w:b/>
                <w:bCs/>
                <w:sz w:val="24"/>
                <w:szCs w:val="24"/>
              </w:rPr>
              <w:t>注：①提供中标（成交）通知书和合同复印件，未按要求提供不得分；②同一单位近三年的类似合同不重复计算业绩，仅算一个业绩。</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项目组织</w:t>
            </w:r>
          </w:p>
          <w:p>
            <w:pPr>
              <w:widowControl/>
              <w:spacing w:line="400" w:lineRule="exact"/>
              <w:jc w:val="center"/>
              <w:textAlignment w:val="center"/>
              <w:rPr>
                <w:sz w:val="24"/>
                <w:szCs w:val="24"/>
              </w:rPr>
            </w:pPr>
            <w:r>
              <w:rPr>
                <w:rFonts w:hint="eastAsia" w:asciiTheme="minorEastAsia" w:hAnsiTheme="minorEastAsia" w:eastAsiaTheme="minorEastAsia" w:cstheme="minorEastAsia"/>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根据供应商提供的项目实施方案进行评分：</w:t>
            </w:r>
          </w:p>
          <w:p>
            <w:pPr>
              <w:widowControl/>
              <w:spacing w:line="400" w:lineRule="exact"/>
              <w:ind w:firstLine="480" w:firstLineChars="200"/>
              <w:rPr>
                <w:sz w:val="24"/>
                <w:szCs w:val="24"/>
              </w:rPr>
            </w:pPr>
            <w:r>
              <w:rPr>
                <w:rFonts w:hint="eastAsia"/>
                <w:sz w:val="24"/>
                <w:szCs w:val="24"/>
              </w:rPr>
              <w:t>项目实施方案包括但不限于：①</w:t>
            </w:r>
            <w:r>
              <w:rPr>
                <w:rFonts w:hint="eastAsia" w:asciiTheme="majorEastAsia" w:hAnsiTheme="majorEastAsia" w:eastAsiaTheme="majorEastAsia" w:cstheme="majorEastAsia"/>
                <w:sz w:val="24"/>
                <w:szCs w:val="24"/>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rPr>
              <w:t>等</w:t>
            </w:r>
            <w:r>
              <w:rPr>
                <w:rFonts w:hint="eastAsia"/>
                <w:sz w:val="24"/>
                <w:szCs w:val="24"/>
              </w:rPr>
              <w:t>4项内容，方案内容完整齐全，符合项目实际（</w:t>
            </w:r>
            <w:r>
              <w:rPr>
                <w:rFonts w:hint="eastAsia" w:asciiTheme="majorEastAsia" w:hAnsiTheme="majorEastAsia" w:eastAsiaTheme="majorEastAsia" w:cstheme="majorEastAsia"/>
                <w:sz w:val="24"/>
                <w:szCs w:val="24"/>
              </w:rPr>
              <w:t>第六章“项目需求”</w:t>
            </w:r>
            <w:r>
              <w:rPr>
                <w:rFonts w:hint="eastAsia"/>
                <w:sz w:val="24"/>
                <w:szCs w:val="24"/>
              </w:rPr>
              <w:t>）的，得10分；每缺少一项方案内容，或一项内容存在缺陷的，每一项扣2.5分，扣完为止；未提供项目实施方案的，此项不得分。</w:t>
            </w:r>
          </w:p>
          <w:p>
            <w:pPr>
              <w:widowControl/>
              <w:spacing w:line="400" w:lineRule="exact"/>
              <w:ind w:firstLine="482" w:firstLineChars="200"/>
              <w:rPr>
                <w:b/>
                <w:bCs/>
                <w:sz w:val="24"/>
                <w:szCs w:val="24"/>
              </w:rPr>
            </w:pPr>
            <w:r>
              <w:rPr>
                <w:rFonts w:hint="eastAsia"/>
                <w:b/>
                <w:bCs/>
                <w:sz w:val="24"/>
                <w:szCs w:val="24"/>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技术培训</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根据供应商提供的项目培训方案进行评分：</w:t>
            </w:r>
          </w:p>
          <w:p>
            <w:pPr>
              <w:widowControl/>
              <w:spacing w:line="400" w:lineRule="exact"/>
              <w:ind w:firstLine="480" w:firstLineChars="200"/>
              <w:rPr>
                <w:sz w:val="24"/>
                <w:szCs w:val="24"/>
              </w:rPr>
            </w:pPr>
            <w:r>
              <w:rPr>
                <w:rFonts w:hint="eastAsia"/>
                <w:sz w:val="24"/>
                <w:szCs w:val="24"/>
              </w:rPr>
              <w:t>项目培训方案包括但不限于</w:t>
            </w:r>
            <w:r>
              <w:rPr>
                <w:rFonts w:asciiTheme="majorEastAsia" w:hAnsiTheme="majorEastAsia" w:eastAsiaTheme="majorEastAsia" w:cstheme="majorEastAsia"/>
                <w:sz w:val="24"/>
                <w:szCs w:val="24"/>
              </w:rPr>
              <w:t>培训内容</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培训方式</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培训计划</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培训团队人员配置</w:t>
            </w:r>
            <w:r>
              <w:rPr>
                <w:sz w:val="24"/>
                <w:szCs w:val="24"/>
              </w:rPr>
              <w:t>等</w:t>
            </w:r>
            <w:r>
              <w:rPr>
                <w:rFonts w:hint="eastAsia"/>
                <w:sz w:val="24"/>
                <w:szCs w:val="24"/>
              </w:rPr>
              <w:t>4项内容，方案内容完整齐全，符合项目实际的，得10分；每缺少一项方案内容，或一项内容存在缺陷的，每一项扣2.5分，扣完为止；未提供项目实施方案的，此项不得分。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kern w:val="0"/>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7"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根据供应商提供的售后服务方案进行评分：</w:t>
            </w:r>
          </w:p>
          <w:p>
            <w:pPr>
              <w:widowControl/>
              <w:spacing w:line="400" w:lineRule="exact"/>
              <w:ind w:firstLine="480" w:firstLineChars="200"/>
              <w:rPr>
                <w:sz w:val="24"/>
                <w:szCs w:val="24"/>
              </w:rPr>
            </w:pPr>
            <w:r>
              <w:rPr>
                <w:rFonts w:hint="eastAsia"/>
                <w:sz w:val="24"/>
                <w:szCs w:val="24"/>
              </w:rPr>
              <w:t>项目售后服务方案包括但不限于</w:t>
            </w:r>
            <w:r>
              <w:rPr>
                <w:rFonts w:hint="eastAsia" w:asciiTheme="majorEastAsia" w:hAnsiTheme="majorEastAsia" w:eastAsiaTheme="majorEastAsia" w:cstheme="majorEastAsia"/>
                <w:sz w:val="24"/>
                <w:szCs w:val="24"/>
              </w:rPr>
              <w:t>售后</w:t>
            </w:r>
            <w:r>
              <w:rPr>
                <w:rFonts w:asciiTheme="majorEastAsia" w:hAnsiTheme="majorEastAsia" w:eastAsiaTheme="majorEastAsia" w:cstheme="majorEastAsia"/>
                <w:sz w:val="24"/>
                <w:szCs w:val="24"/>
              </w:rPr>
              <w:t>服务承诺</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服务响应方案</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备件（易耗品）供应方案</w:t>
            </w:r>
            <w:r>
              <w:rPr>
                <w:rFonts w:hint="eastAsia" w:asciiTheme="majorEastAsia" w:hAnsiTheme="majorEastAsia" w:eastAsiaTheme="majorEastAsia" w:cstheme="majorEastAsia"/>
                <w:sz w:val="24"/>
                <w:szCs w:val="24"/>
              </w:rPr>
              <w:t>（含备件价格）、</w:t>
            </w:r>
            <w:r>
              <w:rPr>
                <w:rFonts w:asciiTheme="majorEastAsia" w:hAnsiTheme="majorEastAsia" w:eastAsiaTheme="majorEastAsia" w:cstheme="majorEastAsia"/>
                <w:sz w:val="24"/>
                <w:szCs w:val="24"/>
              </w:rPr>
              <w:t>服务人员配备</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故障响应</w:t>
            </w:r>
            <w:r>
              <w:rPr>
                <w:rFonts w:hint="eastAsia" w:asciiTheme="majorEastAsia" w:hAnsiTheme="majorEastAsia" w:eastAsiaTheme="majorEastAsia" w:cstheme="majorEastAsia"/>
                <w:sz w:val="24"/>
                <w:szCs w:val="24"/>
              </w:rPr>
              <w:t>措施、</w:t>
            </w:r>
            <w:r>
              <w:rPr>
                <w:rFonts w:asciiTheme="majorEastAsia" w:hAnsiTheme="majorEastAsia" w:eastAsiaTheme="majorEastAsia" w:cstheme="majorEastAsia"/>
                <w:sz w:val="24"/>
                <w:szCs w:val="24"/>
              </w:rPr>
              <w:t>质保外服务措施</w:t>
            </w:r>
            <w:r>
              <w:rPr>
                <w:sz w:val="24"/>
                <w:szCs w:val="24"/>
              </w:rPr>
              <w:t>等</w:t>
            </w:r>
            <w:r>
              <w:rPr>
                <w:rFonts w:hint="eastAsia"/>
                <w:sz w:val="24"/>
                <w:szCs w:val="24"/>
              </w:rPr>
              <w:t>6项内容，方案内容完整齐全，符合项目实际的，得9分；每缺少一项方案内容，或一项内容存在缺陷的，每一项扣1.5分，扣完为止；未提供项目实施方案的，此项不得分。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hAnsi="宋体" w:cs="宋体"/>
                <w:sz w:val="24"/>
                <w:szCs w:val="24"/>
              </w:rPr>
              <w:t>投标样品评价</w:t>
            </w:r>
          </w:p>
        </w:tc>
        <w:tc>
          <w:tcPr>
            <w:tcW w:w="5872" w:type="dxa"/>
            <w:tcMar>
              <w:top w:w="15" w:type="dxa"/>
              <w:left w:w="15" w:type="dxa"/>
              <w:right w:w="15" w:type="dxa"/>
            </w:tcMar>
            <w:vAlign w:val="center"/>
          </w:tcPr>
          <w:p>
            <w:pPr>
              <w:spacing w:line="400" w:lineRule="exact"/>
              <w:ind w:firstLine="480" w:firstLineChars="200"/>
              <w:jc w:val="left"/>
              <w:rPr>
                <w:sz w:val="24"/>
                <w:szCs w:val="24"/>
              </w:rPr>
            </w:pPr>
            <w:r>
              <w:rPr>
                <w:rFonts w:hint="eastAsia"/>
                <w:sz w:val="24"/>
                <w:szCs w:val="24"/>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sz w:val="24"/>
                <w:szCs w:val="24"/>
              </w:rPr>
            </w:pPr>
            <w:r>
              <w:rPr>
                <w:rFonts w:hint="eastAsia"/>
                <w:sz w:val="24"/>
                <w:szCs w:val="24"/>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widowControl/>
              <w:spacing w:line="400" w:lineRule="exact"/>
              <w:ind w:firstLine="482" w:firstLineChars="200"/>
              <w:rPr>
                <w:sz w:val="24"/>
                <w:szCs w:val="24"/>
              </w:rPr>
            </w:pPr>
            <w:r>
              <w:rPr>
                <w:rFonts w:hint="eastAsia"/>
                <w:b/>
                <w:bCs/>
                <w:sz w:val="24"/>
                <w:szCs w:val="24"/>
              </w:rPr>
              <w:t>注：样品由采购代理机构提前编号并作登记，评标委员会采用盲评形式进行评审。</w:t>
            </w:r>
          </w:p>
        </w:tc>
        <w:tc>
          <w:tcPr>
            <w:tcW w:w="769"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hAnsi="宋体" w:cs="宋体"/>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合计：100分</w:t>
            </w:r>
          </w:p>
        </w:tc>
      </w:tr>
    </w:tbl>
    <w:p>
      <w:pPr>
        <w:pStyle w:val="4"/>
        <w:ind w:firstLine="0"/>
        <w:rPr>
          <w:rFonts w:asciiTheme="minorEastAsia" w:hAnsiTheme="minorEastAsia" w:eastAsiaTheme="minorEastAsia" w:cstheme="minorEastAsia"/>
          <w:b/>
          <w:bCs/>
          <w:sz w:val="24"/>
          <w:szCs w:val="24"/>
        </w:rPr>
      </w:pPr>
    </w:p>
    <w:p>
      <w:pPr>
        <w:pStyle w:val="4"/>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第5包评分标准：</w:t>
      </w:r>
    </w:p>
    <w:tbl>
      <w:tblPr>
        <w:tblStyle w:val="38"/>
        <w:tblW w:w="91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97"/>
        <w:gridCol w:w="1371"/>
        <w:gridCol w:w="5872"/>
        <w:gridCol w:w="76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7"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评分因素及权重</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评标因素</w:t>
            </w:r>
          </w:p>
        </w:tc>
        <w:tc>
          <w:tcPr>
            <w:tcW w:w="5872"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评分标准</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97"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价格部分（30分）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投标</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报价</w:t>
            </w:r>
          </w:p>
        </w:tc>
        <w:tc>
          <w:tcPr>
            <w:tcW w:w="5872" w:type="dxa"/>
            <w:tcMar>
              <w:top w:w="15" w:type="dxa"/>
              <w:left w:w="15" w:type="dxa"/>
              <w:right w:w="15" w:type="dxa"/>
            </w:tcMar>
            <w:vAlign w:val="center"/>
          </w:tcPr>
          <w:p>
            <w:pPr>
              <w:widowControl/>
              <w:spacing w:line="400" w:lineRule="exact"/>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综合评分法中的价格分统一采用低价优先法计算，即满足招标文件要求且投标价格最低的投标报价为评标基准价，其价格分为满分30分，其它投标报价得分=评标基准价/投标报价*30</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30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restart"/>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kern w:val="0"/>
                <w:sz w:val="24"/>
                <w:szCs w:val="24"/>
              </w:rPr>
            </w:pPr>
          </w:p>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技术和商务部分（ 70分）</w:t>
            </w: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技术要求</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响应评价</w:t>
            </w:r>
          </w:p>
        </w:tc>
        <w:tc>
          <w:tcPr>
            <w:tcW w:w="5872" w:type="dxa"/>
            <w:tcMar>
              <w:top w:w="15" w:type="dxa"/>
              <w:left w:w="15" w:type="dxa"/>
              <w:right w:w="15" w:type="dxa"/>
            </w:tcMar>
            <w:vAlign w:val="center"/>
          </w:tcPr>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对照第六章“项目需求”第</w:t>
            </w:r>
            <w:r>
              <w:rPr>
                <w:rFonts w:hint="eastAsia" w:asciiTheme="minorEastAsia" w:hAnsiTheme="minorEastAsia" w:eastAsiaTheme="minorEastAsia" w:cstheme="minorEastAsia"/>
                <w:kern w:val="0"/>
                <w:sz w:val="24"/>
                <w:szCs w:val="24"/>
                <w:lang w:val="en-US" w:eastAsia="zh-CN"/>
              </w:rPr>
              <w:t>5</w:t>
            </w:r>
            <w:bookmarkStart w:id="123" w:name="_GoBack"/>
            <w:bookmarkEnd w:id="123"/>
            <w:r>
              <w:rPr>
                <w:rFonts w:hint="eastAsia" w:asciiTheme="minorEastAsia" w:hAnsiTheme="minorEastAsia" w:eastAsiaTheme="minorEastAsia" w:cstheme="minorEastAsia"/>
                <w:kern w:val="0"/>
                <w:sz w:val="24"/>
                <w:szCs w:val="24"/>
              </w:rPr>
              <w:t>包的技术参数（每条技术参数前标注“★”的为核心技术参数，标注“▲”的为主要技术参数，未标注的为一般参数），根据投标人提供的产品配置及技术性能指标的响应情况进行评审。</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1.本标包7种产品，投标人每有一种所投产品技术参数完全响应招标文件要求的，得4分，最多得28分；</w:t>
            </w:r>
          </w:p>
          <w:p>
            <w:pPr>
              <w:widowControl/>
              <w:spacing w:line="400" w:lineRule="exact"/>
              <w:ind w:firstLine="480" w:firstLineChars="200"/>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2.核心技术参数存在负偏离的（10条），此项不得分；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3.每种产品主要技术参数存在负偏离的（20条），该产品技术参数分为0分；</w:t>
            </w:r>
          </w:p>
          <w:p>
            <w:pPr>
              <w:pStyle w:val="2"/>
              <w:ind w:firstLine="480" w:firstLineChars="200"/>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4.每种产品一般技术参数存在负偏离的，每一条扣1分，每种产品技术参数得分最多扣4分。</w:t>
            </w:r>
          </w:p>
          <w:p>
            <w:pPr>
              <w:widowControl/>
              <w:spacing w:line="400" w:lineRule="exact"/>
              <w:ind w:firstLine="482" w:firstLineChars="200"/>
              <w:textAlignment w:val="center"/>
              <w:rPr>
                <w:rFonts w:eastAsiaTheme="minorEastAsia"/>
              </w:rPr>
            </w:pPr>
            <w:r>
              <w:rPr>
                <w:b/>
                <w:bCs/>
                <w:sz w:val="24"/>
                <w:szCs w:val="24"/>
              </w:rPr>
              <w:t>注：负偏离评审依据：</w:t>
            </w:r>
            <w:r>
              <w:rPr>
                <w:rFonts w:hint="eastAsia"/>
                <w:b/>
                <w:bCs/>
                <w:sz w:val="24"/>
                <w:szCs w:val="24"/>
              </w:rPr>
              <w:t>①</w:t>
            </w:r>
            <w:r>
              <w:rPr>
                <w:b/>
                <w:bCs/>
                <w:sz w:val="24"/>
                <w:szCs w:val="24"/>
              </w:rPr>
              <w:t>所</w:t>
            </w:r>
            <w:r>
              <w:rPr>
                <w:rFonts w:hint="eastAsia"/>
                <w:b/>
                <w:bCs/>
                <w:sz w:val="24"/>
                <w:szCs w:val="24"/>
              </w:rPr>
              <w:t>提供</w:t>
            </w:r>
            <w:r>
              <w:rPr>
                <w:b/>
                <w:bCs/>
                <w:sz w:val="24"/>
                <w:szCs w:val="24"/>
              </w:rPr>
              <w:t>产品技术参数低于</w:t>
            </w:r>
            <w:r>
              <w:rPr>
                <w:rFonts w:hint="eastAsia"/>
                <w:b/>
                <w:bCs/>
                <w:sz w:val="24"/>
                <w:szCs w:val="24"/>
              </w:rPr>
              <w:t>招标</w:t>
            </w:r>
            <w:r>
              <w:rPr>
                <w:b/>
                <w:bCs/>
                <w:sz w:val="24"/>
                <w:szCs w:val="24"/>
              </w:rPr>
              <w:t>文件要求的，视为负偏离；</w:t>
            </w:r>
            <w:r>
              <w:rPr>
                <w:rFonts w:hint="eastAsia"/>
                <w:b/>
                <w:bCs/>
                <w:sz w:val="24"/>
                <w:szCs w:val="24"/>
              </w:rPr>
              <w:t>②</w:t>
            </w:r>
            <w:r>
              <w:rPr>
                <w:b/>
                <w:bCs/>
                <w:sz w:val="24"/>
                <w:szCs w:val="24"/>
              </w:rPr>
              <w:t>技术参数响应条款</w:t>
            </w:r>
            <w:r>
              <w:rPr>
                <w:rFonts w:hint="eastAsia"/>
                <w:b/>
                <w:bCs/>
                <w:sz w:val="24"/>
                <w:szCs w:val="24"/>
              </w:rPr>
              <w:t>（以投标文件内技术偏离表为准）</w:t>
            </w:r>
            <w:r>
              <w:rPr>
                <w:b/>
                <w:bCs/>
                <w:sz w:val="24"/>
                <w:szCs w:val="24"/>
              </w:rPr>
              <w:t>与</w:t>
            </w:r>
            <w:r>
              <w:rPr>
                <w:rFonts w:hint="eastAsia"/>
                <w:b/>
                <w:bCs/>
                <w:sz w:val="24"/>
                <w:szCs w:val="24"/>
              </w:rPr>
              <w:t>招标</w:t>
            </w:r>
            <w:r>
              <w:rPr>
                <w:b/>
                <w:bCs/>
                <w:sz w:val="24"/>
                <w:szCs w:val="24"/>
              </w:rPr>
              <w:t>文件对比有缺项、漏项的，视为负偏离；</w:t>
            </w:r>
            <w:r>
              <w:rPr>
                <w:rFonts w:hint="eastAsia"/>
                <w:b/>
                <w:bCs/>
                <w:sz w:val="24"/>
                <w:szCs w:val="24"/>
              </w:rPr>
              <w:t>③投标文件内技术偏离表完全复制招标文件技术参数的（不涉及具体参数指标的描述性技术要求除外），视为负偏离；④投标人</w:t>
            </w:r>
            <w:r>
              <w:rPr>
                <w:b/>
                <w:bCs/>
                <w:sz w:val="24"/>
                <w:szCs w:val="24"/>
              </w:rPr>
              <w:t>提供的</w:t>
            </w:r>
            <w:r>
              <w:rPr>
                <w:rFonts w:hint="eastAsia"/>
                <w:b/>
                <w:bCs/>
                <w:sz w:val="24"/>
                <w:szCs w:val="24"/>
              </w:rPr>
              <w:t>投标</w:t>
            </w:r>
            <w:r>
              <w:rPr>
                <w:b/>
                <w:bCs/>
                <w:sz w:val="24"/>
                <w:szCs w:val="24"/>
              </w:rPr>
              <w:t>文件中产品技术偏离表、产品技术规格书和产品检测报告内描述的同一产品技术参数响应值不一致的，视为负偏离</w:t>
            </w:r>
            <w:r>
              <w:rPr>
                <w:rFonts w:hint="eastAsia"/>
                <w:b/>
                <w:bCs/>
                <w:sz w:val="24"/>
                <w:szCs w:val="24"/>
              </w:rPr>
              <w:t>。</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28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sz w:val="24"/>
                <w:szCs w:val="24"/>
              </w:rPr>
              <w:t>业绩证明</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供应商近三年内（2021年03月01日起至今，以合同签订日期为准）完成类似项目的业绩，每个项目业绩得2.5分，最多得5分。</w:t>
            </w:r>
          </w:p>
          <w:p>
            <w:pPr>
              <w:widowControl/>
              <w:spacing w:line="400" w:lineRule="exact"/>
              <w:ind w:firstLine="482" w:firstLineChars="200"/>
              <w:textAlignment w:val="center"/>
              <w:rPr>
                <w:b/>
                <w:bCs/>
                <w:sz w:val="24"/>
                <w:szCs w:val="24"/>
              </w:rPr>
            </w:pPr>
            <w:r>
              <w:rPr>
                <w:rFonts w:hint="eastAsia"/>
                <w:b/>
                <w:bCs/>
                <w:sz w:val="24"/>
                <w:szCs w:val="24"/>
              </w:rPr>
              <w:t>注：①提供中标（成交）通知书和合同复印件，未按要求提供不得分；②同一单位近三年的类似合同不重复计算业绩，仅算一个业绩。</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4"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p>
        </w:tc>
        <w:tc>
          <w:tcPr>
            <w:tcW w:w="1371"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项目组织</w:t>
            </w:r>
          </w:p>
          <w:p>
            <w:pPr>
              <w:widowControl/>
              <w:spacing w:line="400" w:lineRule="exact"/>
              <w:jc w:val="center"/>
              <w:textAlignment w:val="center"/>
              <w:rPr>
                <w:sz w:val="24"/>
                <w:szCs w:val="24"/>
              </w:rPr>
            </w:pPr>
            <w:r>
              <w:rPr>
                <w:rFonts w:hint="eastAsia" w:asciiTheme="minorEastAsia" w:hAnsiTheme="minorEastAsia" w:eastAsiaTheme="minorEastAsia" w:cstheme="minorEastAsia"/>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根据供应商提供的项目实施方案进行评分：</w:t>
            </w:r>
          </w:p>
          <w:p>
            <w:pPr>
              <w:widowControl/>
              <w:spacing w:line="400" w:lineRule="exact"/>
              <w:ind w:firstLine="480" w:firstLineChars="200"/>
              <w:rPr>
                <w:sz w:val="24"/>
                <w:szCs w:val="24"/>
              </w:rPr>
            </w:pPr>
            <w:r>
              <w:rPr>
                <w:rFonts w:hint="eastAsia"/>
                <w:sz w:val="24"/>
                <w:szCs w:val="24"/>
              </w:rPr>
              <w:t>项目实施方案包括但不限于：①</w:t>
            </w:r>
            <w:r>
              <w:rPr>
                <w:rFonts w:hint="eastAsia" w:asciiTheme="majorEastAsia" w:hAnsiTheme="majorEastAsia" w:eastAsiaTheme="majorEastAsia" w:cstheme="majorEastAsia"/>
                <w:sz w:val="24"/>
                <w:szCs w:val="24"/>
              </w:rPr>
              <w:t>项目人员安排（包含但不限于主要人员名单及基本情况介绍、在本项目中承担的职责等）、②供货方案（包含但不限于产品来源、供货计划、供货时间、包装和运输方式等）、③质量管控方案（包括但不限于质量管控的标准、方法和程序等）、④测试（调试）方案（包含但不限于人员安排、测试步骤、测试标准等）</w:t>
            </w:r>
            <w:r>
              <w:rPr>
                <w:sz w:val="24"/>
                <w:szCs w:val="24"/>
              </w:rPr>
              <w:t>等</w:t>
            </w:r>
            <w:r>
              <w:rPr>
                <w:rFonts w:hint="eastAsia"/>
                <w:sz w:val="24"/>
                <w:szCs w:val="24"/>
              </w:rPr>
              <w:t>4项内容，方案内容完整齐全，符合项目实际（</w:t>
            </w:r>
            <w:r>
              <w:rPr>
                <w:rFonts w:hint="eastAsia" w:asciiTheme="majorEastAsia" w:hAnsiTheme="majorEastAsia" w:eastAsiaTheme="majorEastAsia" w:cstheme="majorEastAsia"/>
                <w:sz w:val="24"/>
                <w:szCs w:val="24"/>
              </w:rPr>
              <w:t>第六章“项目需求”</w:t>
            </w:r>
            <w:r>
              <w:rPr>
                <w:rFonts w:hint="eastAsia"/>
                <w:sz w:val="24"/>
                <w:szCs w:val="24"/>
              </w:rPr>
              <w:t>）的，得10分；每缺少一项方案内容，或一项内容存在缺陷的，每一项扣2.5分，扣完为止；未提供项目实施方案的，此项不得分。</w:t>
            </w:r>
          </w:p>
          <w:p>
            <w:pPr>
              <w:widowControl/>
              <w:spacing w:line="400" w:lineRule="exact"/>
              <w:ind w:firstLine="482" w:firstLineChars="200"/>
              <w:rPr>
                <w:b/>
                <w:bCs/>
                <w:sz w:val="24"/>
                <w:szCs w:val="24"/>
              </w:rPr>
            </w:pPr>
            <w:r>
              <w:rPr>
                <w:rFonts w:hint="eastAsia"/>
                <w:b/>
                <w:bCs/>
                <w:sz w:val="24"/>
                <w:szCs w:val="24"/>
              </w:rPr>
              <w:t>注：1.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6"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技术培训</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根据供应商提供的项目培训方案进行评分：</w:t>
            </w:r>
          </w:p>
          <w:p>
            <w:pPr>
              <w:widowControl/>
              <w:spacing w:line="400" w:lineRule="exact"/>
              <w:ind w:firstLine="480" w:firstLineChars="200"/>
              <w:rPr>
                <w:sz w:val="24"/>
                <w:szCs w:val="24"/>
              </w:rPr>
            </w:pPr>
            <w:r>
              <w:rPr>
                <w:rFonts w:hint="eastAsia"/>
                <w:sz w:val="24"/>
                <w:szCs w:val="24"/>
              </w:rPr>
              <w:t>项目培训方案包括但不限于</w:t>
            </w:r>
            <w:r>
              <w:rPr>
                <w:rFonts w:asciiTheme="majorEastAsia" w:hAnsiTheme="majorEastAsia" w:eastAsiaTheme="majorEastAsia" w:cstheme="majorEastAsia"/>
                <w:sz w:val="24"/>
                <w:szCs w:val="24"/>
              </w:rPr>
              <w:t>培训内容</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培训方式</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培训计划</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培训团队人员配置</w:t>
            </w:r>
            <w:r>
              <w:rPr>
                <w:sz w:val="24"/>
                <w:szCs w:val="24"/>
              </w:rPr>
              <w:t>等</w:t>
            </w:r>
            <w:r>
              <w:rPr>
                <w:rFonts w:hint="eastAsia"/>
                <w:sz w:val="24"/>
                <w:szCs w:val="24"/>
              </w:rPr>
              <w:t>4项内容，方案内容完整齐全，符合项目实际的，得10分；每缺少一项方案内容，或一项内容存在缺陷的，每一项扣2.5分，扣完为止；未提供项目实施方案的，此项不得分。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kern w:val="0"/>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7"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w:t>
            </w:r>
          </w:p>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方案评价</w:t>
            </w:r>
          </w:p>
        </w:tc>
        <w:tc>
          <w:tcPr>
            <w:tcW w:w="5872" w:type="dxa"/>
            <w:tcMar>
              <w:top w:w="15" w:type="dxa"/>
              <w:left w:w="15" w:type="dxa"/>
              <w:right w:w="15" w:type="dxa"/>
            </w:tcMar>
            <w:vAlign w:val="center"/>
          </w:tcPr>
          <w:p>
            <w:pPr>
              <w:widowControl/>
              <w:spacing w:line="400" w:lineRule="exact"/>
              <w:ind w:firstLine="480" w:firstLineChars="200"/>
              <w:rPr>
                <w:sz w:val="24"/>
                <w:szCs w:val="24"/>
              </w:rPr>
            </w:pPr>
            <w:r>
              <w:rPr>
                <w:rFonts w:hint="eastAsia"/>
                <w:sz w:val="24"/>
                <w:szCs w:val="24"/>
              </w:rPr>
              <w:t>根据供应商提供的售后服务方案进行评分：</w:t>
            </w:r>
          </w:p>
          <w:p>
            <w:pPr>
              <w:widowControl/>
              <w:spacing w:line="400" w:lineRule="exact"/>
              <w:ind w:firstLine="480" w:firstLineChars="200"/>
              <w:rPr>
                <w:sz w:val="24"/>
                <w:szCs w:val="24"/>
              </w:rPr>
            </w:pPr>
            <w:r>
              <w:rPr>
                <w:rFonts w:hint="eastAsia"/>
                <w:sz w:val="24"/>
                <w:szCs w:val="24"/>
              </w:rPr>
              <w:t>项目售后服务方案包括但不限于</w:t>
            </w:r>
            <w:r>
              <w:rPr>
                <w:rFonts w:hint="eastAsia" w:asciiTheme="majorEastAsia" w:hAnsiTheme="majorEastAsia" w:eastAsiaTheme="majorEastAsia" w:cstheme="majorEastAsia"/>
                <w:sz w:val="24"/>
                <w:szCs w:val="24"/>
              </w:rPr>
              <w:t>售后</w:t>
            </w:r>
            <w:r>
              <w:rPr>
                <w:rFonts w:asciiTheme="majorEastAsia" w:hAnsiTheme="majorEastAsia" w:eastAsiaTheme="majorEastAsia" w:cstheme="majorEastAsia"/>
                <w:sz w:val="24"/>
                <w:szCs w:val="24"/>
              </w:rPr>
              <w:t>服务承诺</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服务响应方案</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备件（易耗品）供应方案</w:t>
            </w:r>
            <w:r>
              <w:rPr>
                <w:rFonts w:hint="eastAsia" w:asciiTheme="majorEastAsia" w:hAnsiTheme="majorEastAsia" w:eastAsiaTheme="majorEastAsia" w:cstheme="majorEastAsia"/>
                <w:sz w:val="24"/>
                <w:szCs w:val="24"/>
              </w:rPr>
              <w:t>（含备件价格）、</w:t>
            </w:r>
            <w:r>
              <w:rPr>
                <w:rFonts w:asciiTheme="majorEastAsia" w:hAnsiTheme="majorEastAsia" w:eastAsiaTheme="majorEastAsia" w:cstheme="majorEastAsia"/>
                <w:sz w:val="24"/>
                <w:szCs w:val="24"/>
              </w:rPr>
              <w:t>服务人员配备</w:t>
            </w:r>
            <w:r>
              <w:rPr>
                <w:rFonts w:hint="eastAsia" w:asciiTheme="majorEastAsia" w:hAnsiTheme="majorEastAsia" w:eastAsiaTheme="majorEastAsia" w:cstheme="majorEastAsia"/>
                <w:sz w:val="24"/>
                <w:szCs w:val="24"/>
              </w:rPr>
              <w:t>、</w:t>
            </w:r>
            <w:r>
              <w:rPr>
                <w:rFonts w:asciiTheme="majorEastAsia" w:hAnsiTheme="majorEastAsia" w:eastAsiaTheme="majorEastAsia" w:cstheme="majorEastAsia"/>
                <w:sz w:val="24"/>
                <w:szCs w:val="24"/>
              </w:rPr>
              <w:t>故障响应</w:t>
            </w:r>
            <w:r>
              <w:rPr>
                <w:rFonts w:hint="eastAsia" w:asciiTheme="majorEastAsia" w:hAnsiTheme="majorEastAsia" w:eastAsiaTheme="majorEastAsia" w:cstheme="majorEastAsia"/>
                <w:sz w:val="24"/>
                <w:szCs w:val="24"/>
              </w:rPr>
              <w:t>措施、</w:t>
            </w:r>
            <w:r>
              <w:rPr>
                <w:rFonts w:asciiTheme="majorEastAsia" w:hAnsiTheme="majorEastAsia" w:eastAsiaTheme="majorEastAsia" w:cstheme="majorEastAsia"/>
                <w:sz w:val="24"/>
                <w:szCs w:val="24"/>
              </w:rPr>
              <w:t>质保外服务措施</w:t>
            </w:r>
            <w:r>
              <w:rPr>
                <w:sz w:val="24"/>
                <w:szCs w:val="24"/>
              </w:rPr>
              <w:t>等</w:t>
            </w:r>
            <w:r>
              <w:rPr>
                <w:rFonts w:hint="eastAsia"/>
                <w:sz w:val="24"/>
                <w:szCs w:val="24"/>
              </w:rPr>
              <w:t>6项内容，方案内容完整齐全，符合项目实际的，得9分；每缺少一项方案内容，或一项内容存在缺陷的，每一项扣1.5分，扣完为止；未提供项目实施方案的，此项不得分。</w:t>
            </w:r>
          </w:p>
          <w:p>
            <w:pPr>
              <w:snapToGrid w:val="0"/>
              <w:spacing w:line="400" w:lineRule="exact"/>
              <w:ind w:firstLine="482" w:firstLineChars="200"/>
              <w:rPr>
                <w:rFonts w:asciiTheme="minorEastAsia" w:hAnsiTheme="minorEastAsia" w:eastAsiaTheme="minorEastAsia" w:cstheme="minorEastAsia"/>
                <w:sz w:val="24"/>
                <w:szCs w:val="24"/>
              </w:rPr>
            </w:pPr>
            <w:r>
              <w:rPr>
                <w:rFonts w:hint="eastAsia"/>
                <w:b/>
                <w:bCs/>
                <w:sz w:val="24"/>
                <w:szCs w:val="24"/>
              </w:rPr>
              <w:t>注：内容存在缺陷是指：①该项内容描述前后不一致；②该项内容所阐述的项目信息与本项目实际信息不一致；③该项内容引用的规定、规范错误；④该项内容描述不符合国家相关法律法规、政策文件、规范标准要求；⑤该项内容阐述的方式方法明显不符合本项目实际情况；⑥该项内容描述与本项目实际情况不符；⑦该项内容套用其他项目内容。</w:t>
            </w:r>
          </w:p>
        </w:tc>
        <w:tc>
          <w:tcPr>
            <w:tcW w:w="769"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8" w:hRule="atLeast"/>
          <w:jc w:val="center"/>
        </w:trPr>
        <w:tc>
          <w:tcPr>
            <w:tcW w:w="1097" w:type="dxa"/>
            <w:vMerge w:val="continue"/>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p>
        </w:tc>
        <w:tc>
          <w:tcPr>
            <w:tcW w:w="1371" w:type="dxa"/>
            <w:tcBorders>
              <w:top w:val="single" w:color="auto" w:sz="4" w:space="0"/>
            </w:tcBorders>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kern w:val="0"/>
                <w:sz w:val="24"/>
                <w:szCs w:val="24"/>
              </w:rPr>
            </w:pPr>
            <w:r>
              <w:rPr>
                <w:rFonts w:hint="eastAsia" w:hAnsi="宋体" w:cs="宋体"/>
                <w:sz w:val="24"/>
                <w:szCs w:val="24"/>
              </w:rPr>
              <w:t>投标样品评价</w:t>
            </w:r>
          </w:p>
        </w:tc>
        <w:tc>
          <w:tcPr>
            <w:tcW w:w="5872" w:type="dxa"/>
            <w:tcMar>
              <w:top w:w="15" w:type="dxa"/>
              <w:left w:w="15" w:type="dxa"/>
              <w:right w:w="15" w:type="dxa"/>
            </w:tcMar>
            <w:vAlign w:val="center"/>
          </w:tcPr>
          <w:p>
            <w:pPr>
              <w:spacing w:line="400" w:lineRule="exact"/>
              <w:ind w:firstLine="480" w:firstLineChars="200"/>
              <w:jc w:val="left"/>
              <w:rPr>
                <w:sz w:val="24"/>
                <w:szCs w:val="24"/>
              </w:rPr>
            </w:pPr>
            <w:r>
              <w:rPr>
                <w:rFonts w:hint="eastAsia"/>
                <w:sz w:val="24"/>
                <w:szCs w:val="24"/>
              </w:rPr>
              <w:t>投标人须按照所投标包提供符合采购文件第六章“项目需求”的要求的样品。所递交样品上不得体现投标人或制造商名称或其他标识，相应位置须一律空白。未提供样品或所提供样品不符合招标文件要求的，本项不得分。</w:t>
            </w:r>
          </w:p>
          <w:p>
            <w:pPr>
              <w:spacing w:line="400" w:lineRule="exact"/>
              <w:ind w:firstLine="480" w:firstLineChars="200"/>
              <w:jc w:val="left"/>
              <w:rPr>
                <w:sz w:val="24"/>
                <w:szCs w:val="24"/>
              </w:rPr>
            </w:pPr>
            <w:r>
              <w:rPr>
                <w:rFonts w:hint="eastAsia"/>
                <w:sz w:val="24"/>
                <w:szCs w:val="24"/>
              </w:rPr>
              <w:t>根据投标人提供样品的整体性能进行评审：1.符合人体设计工学、结构合理、操作简单快捷、便于携带和背负；2.制作工艺水平高，外观整体较好；3.有无操作安全隐患或影响使用性能的安全隐患；4.功能实用性能强，贴合灭火救援实战需要。各项性能完备的得8分，每有一项存在瑕疵或不符合采购人使用需求的，扣2分，扣完为止。</w:t>
            </w:r>
          </w:p>
          <w:p>
            <w:pPr>
              <w:widowControl/>
              <w:spacing w:line="400" w:lineRule="exact"/>
              <w:ind w:firstLine="482" w:firstLineChars="200"/>
              <w:rPr>
                <w:sz w:val="24"/>
                <w:szCs w:val="24"/>
              </w:rPr>
            </w:pPr>
            <w:r>
              <w:rPr>
                <w:rFonts w:hint="eastAsia"/>
                <w:b/>
                <w:bCs/>
                <w:sz w:val="24"/>
                <w:szCs w:val="24"/>
              </w:rPr>
              <w:t>注：样品由采购代理机构提前编号并作登记，评标委员会采用盲评形式进行评审。</w:t>
            </w:r>
          </w:p>
        </w:tc>
        <w:tc>
          <w:tcPr>
            <w:tcW w:w="769" w:type="dxa"/>
            <w:tcMar>
              <w:top w:w="15" w:type="dxa"/>
              <w:left w:w="15" w:type="dxa"/>
              <w:right w:w="15" w:type="dxa"/>
            </w:tcMar>
            <w:vAlign w:val="center"/>
          </w:tcPr>
          <w:p>
            <w:pPr>
              <w:snapToGrid w:val="0"/>
              <w:spacing w:line="400" w:lineRule="exact"/>
              <w:jc w:val="center"/>
              <w:rPr>
                <w:rFonts w:asciiTheme="minorEastAsia" w:hAnsiTheme="minorEastAsia" w:eastAsiaTheme="minorEastAsia" w:cstheme="minorEastAsia"/>
                <w:sz w:val="24"/>
                <w:szCs w:val="24"/>
              </w:rPr>
            </w:pPr>
            <w:r>
              <w:rPr>
                <w:rFonts w:hint="eastAsia" w:hAnsi="宋体" w:cs="宋体"/>
                <w:sz w:val="24"/>
                <w:szCs w:val="24"/>
              </w:rPr>
              <w:t>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jc w:val="center"/>
        </w:trPr>
        <w:tc>
          <w:tcPr>
            <w:tcW w:w="9109" w:type="dxa"/>
            <w:gridSpan w:val="4"/>
            <w:tcMar>
              <w:top w:w="15" w:type="dxa"/>
              <w:left w:w="15" w:type="dxa"/>
              <w:right w:w="15" w:type="dxa"/>
            </w:tcMar>
            <w:vAlign w:val="center"/>
          </w:tcPr>
          <w:p>
            <w:pPr>
              <w:widowControl/>
              <w:spacing w:line="400" w:lineRule="exact"/>
              <w:jc w:val="center"/>
              <w:textAlignment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合计：100分</w:t>
            </w:r>
          </w:p>
        </w:tc>
      </w:tr>
    </w:tbl>
    <w:p>
      <w:pPr>
        <w:pStyle w:val="4"/>
        <w:ind w:firstLine="0"/>
        <w:rPr>
          <w:rFonts w:asciiTheme="minorEastAsia" w:hAnsiTheme="minorEastAsia" w:eastAsiaTheme="minorEastAsia" w:cstheme="minorEastAsia"/>
          <w:b/>
          <w:bCs/>
          <w:sz w:val="24"/>
          <w:szCs w:val="24"/>
        </w:rPr>
      </w:pPr>
    </w:p>
    <w:p>
      <w:pPr>
        <w:pStyle w:val="37"/>
      </w:pPr>
    </w:p>
    <w:p>
      <w:pPr>
        <w:pStyle w:val="4"/>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（三）政府采购政策功能落实</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1.小微型企业价格扣除</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宋体" w:hAnsi="宋体" w:cs="宋体"/>
          <w:sz w:val="24"/>
          <w:szCs w:val="24"/>
          <w:lang w:val="zh-CN"/>
        </w:rPr>
        <w:t>本项目专门面向中小企业采购，价格不再进行财政政策扣除。</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（2）供应商需按照采购文件的要求提供相应的《中小企业声明函》。</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（3）企业标准请参照关于印发《政府采购促进中小企业发展管理办法》的通知（财库[2020]46号）文件规定自行填写。</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2.残疾人福利单位价格扣除</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（1）本项目对残疾人福利性单位视同小型、微型企业。</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（2）残疾人福利单位需按照采购文件的要求提供《残疾人福利性单位声明函》。</w:t>
      </w:r>
    </w:p>
    <w:p>
      <w:pPr>
        <w:spacing w:line="400" w:lineRule="exact"/>
        <w:ind w:firstLine="480" w:firstLineChars="200"/>
        <w:rPr>
          <w:rFonts w:ascii="宋体" w:hAnsi="宋体" w:cs="宋体"/>
          <w:sz w:val="24"/>
          <w:szCs w:val="24"/>
        </w:rPr>
      </w:pPr>
      <w:r>
        <w:rPr>
          <w:rFonts w:hint="eastAsia" w:asciiTheme="minorEastAsia" w:hAnsiTheme="minorEastAsia" w:eastAsiaTheme="minorEastAsia" w:cstheme="minorEastAsia"/>
          <w:sz w:val="24"/>
          <w:szCs w:val="24"/>
        </w:rPr>
        <w:t>（3）残疾人福利单位标准请参照《</w:t>
      </w:r>
      <w:r>
        <w:rPr>
          <w:rFonts w:hint="eastAsia" w:ascii="宋体" w:hAnsi="宋体" w:cs="宋体"/>
          <w:sz w:val="24"/>
          <w:szCs w:val="24"/>
        </w:rPr>
        <w:t>关于促进残疾人就业政府采购政策的通知</w:t>
      </w:r>
      <w:r>
        <w:rPr>
          <w:rFonts w:hint="eastAsia" w:asciiTheme="minorEastAsia" w:hAnsiTheme="minorEastAsia" w:eastAsiaTheme="minorEastAsia" w:cstheme="minorEastAsia"/>
          <w:sz w:val="24"/>
          <w:szCs w:val="24"/>
        </w:rPr>
        <w:t>》（财库[2017]141号）。</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3.监狱和戒毒企业价格扣除</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（1）本项目对监狱和戒毒企业（简称监狱企业）视同小型、微型企业。</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（2）监狱企业参加政府采购活动时，需提供由省级以上监狱管理局、戒毒管理局(含新疆生产建设兵团)出具的属于监狱企业的证明文件。供应商如不提供上述证明文件，价格将不做相应扣除。</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（3）监狱企业标准请参照《财政部、司法部关于政府采购支持监狱企业发展有关问题的通知》（财库[2014]68号）。</w:t>
      </w:r>
    </w:p>
    <w:p>
      <w:pPr>
        <w:spacing w:line="400" w:lineRule="exact"/>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4.残疾人福利单位、监狱企业属于小型、微型企业的，不重复享受政策。</w:t>
      </w:r>
    </w:p>
    <w:bookmarkEnd w:id="16"/>
    <w:bookmarkEnd w:id="17"/>
    <w:bookmarkEnd w:id="18"/>
    <w:bookmarkEnd w:id="19"/>
    <w:bookmarkEnd w:id="20"/>
    <w:bookmarkEnd w:id="21"/>
    <w:bookmarkEnd w:id="31"/>
    <w:p>
      <w:pPr>
        <w:pStyle w:val="3"/>
      </w:pPr>
      <w:bookmarkStart w:id="100" w:name="_Toc15450"/>
      <w:bookmarkStart w:id="101" w:name="_Toc26728"/>
      <w:bookmarkStart w:id="102" w:name="_Toc12223"/>
      <w:bookmarkStart w:id="103" w:name="_Toc20823346"/>
      <w:bookmarkStart w:id="104" w:name="_Toc479757211"/>
      <w:bookmarkStart w:id="105" w:name="_Toc120614244"/>
      <w:bookmarkStart w:id="106" w:name="_Hlt16619350"/>
      <w:bookmarkStart w:id="107" w:name="_Toc462564139"/>
      <w:bookmarkStart w:id="108" w:name="_Toc16938590"/>
      <w:bookmarkStart w:id="109" w:name="_Toc17639"/>
      <w:bookmarkStart w:id="110" w:name="_Toc31151"/>
      <w:bookmarkStart w:id="111" w:name="_Toc9411"/>
    </w:p>
    <w:p>
      <w:pPr>
        <w:pStyle w:val="4"/>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
      <w:pPr>
        <w:pStyle w:val="3"/>
      </w:pPr>
      <w:r>
        <w:rPr>
          <w:rFonts w:hint="eastAsia"/>
        </w:rPr>
        <w:t>第四章拟订立的合同样本</w:t>
      </w:r>
      <w:bookmarkEnd w:id="100"/>
      <w:bookmarkEnd w:id="101"/>
      <w:bookmarkEnd w:id="102"/>
    </w:p>
    <w:p/>
    <w:p/>
    <w:p>
      <w:pPr>
        <w:pStyle w:val="3"/>
      </w:pPr>
      <w:r>
        <w:rPr>
          <w:rFonts w:hint="eastAsia"/>
        </w:rPr>
        <w:t>拟订立的合同样本（装备）</w:t>
      </w:r>
    </w:p>
    <w:p>
      <w:pPr>
        <w:pStyle w:val="4"/>
      </w:pPr>
    </w:p>
    <w:p/>
    <w:p>
      <w:pPr>
        <w:pStyle w:val="2"/>
      </w:pPr>
    </w:p>
    <w:p>
      <w:pPr>
        <w:pStyle w:val="2"/>
      </w:pPr>
    </w:p>
    <w:p>
      <w:pPr>
        <w:pStyle w:val="2"/>
      </w:pPr>
    </w:p>
    <w:p>
      <w:pPr>
        <w:pStyle w:val="2"/>
      </w:pPr>
    </w:p>
    <w:p>
      <w:pPr>
        <w:pStyle w:val="2"/>
      </w:pPr>
    </w:p>
    <w:p>
      <w:pPr>
        <w:pStyle w:val="2"/>
      </w:pPr>
    </w:p>
    <w:p>
      <w:pPr>
        <w:pStyle w:val="4"/>
        <w:ind w:firstLine="0"/>
      </w:pPr>
    </w:p>
    <w:p>
      <w:pPr>
        <w:adjustRightInd w:val="0"/>
        <w:snapToGrid w:val="0"/>
        <w:spacing w:line="360" w:lineRule="auto"/>
        <w:jc w:val="center"/>
        <w:rPr>
          <w:rFonts w:hAnsi="宋体"/>
          <w:b/>
          <w:bCs/>
          <w:sz w:val="44"/>
          <w:szCs w:val="44"/>
        </w:rPr>
      </w:pPr>
      <w:r>
        <w:rPr>
          <w:rFonts w:hint="eastAsia" w:hAnsi="宋体"/>
          <w:b/>
          <w:bCs/>
          <w:sz w:val="44"/>
          <w:szCs w:val="44"/>
        </w:rPr>
        <w:t>**项目合同</w:t>
      </w:r>
    </w:p>
    <w:p/>
    <w:p>
      <w:pPr>
        <w:pStyle w:val="15"/>
      </w:pPr>
    </w:p>
    <w:p>
      <w:pPr>
        <w:pStyle w:val="4"/>
        <w:ind w:firstLine="0"/>
        <w:jc w:val="center"/>
        <w:rPr>
          <w:rFonts w:ascii="宋体" w:hAnsi="宋体" w:cs="宋体"/>
          <w:sz w:val="24"/>
          <w:szCs w:val="24"/>
        </w:rPr>
      </w:pPr>
      <w:r>
        <w:rPr>
          <w:rFonts w:hint="eastAsia" w:ascii="宋体" w:hAnsi="宋体" w:cs="宋体"/>
          <w:sz w:val="24"/>
          <w:szCs w:val="24"/>
        </w:rPr>
        <w:t>本合同仅供参考，最终以与采购人实际签订合同为准</w:t>
      </w:r>
    </w:p>
    <w:p>
      <w:pPr>
        <w:pStyle w:val="15"/>
      </w:pPr>
    </w:p>
    <w:p>
      <w:pPr>
        <w:pStyle w:val="15"/>
      </w:pPr>
    </w:p>
    <w:p>
      <w:pPr>
        <w:pStyle w:val="15"/>
      </w:pPr>
    </w:p>
    <w:p>
      <w:pPr>
        <w:snapToGrid w:val="0"/>
        <w:spacing w:line="400" w:lineRule="exact"/>
        <w:rPr>
          <w:rFonts w:ascii="宋体" w:hAnsi="宋体"/>
          <w:sz w:val="24"/>
          <w:u w:val="single"/>
        </w:rPr>
      </w:pPr>
      <w:r>
        <w:rPr>
          <w:rFonts w:hint="eastAsia" w:ascii="宋体" w:hAnsi="宋体"/>
          <w:sz w:val="24"/>
        </w:rPr>
        <w:t>买方（甲方）：</w:t>
      </w:r>
    </w:p>
    <w:p>
      <w:pPr>
        <w:snapToGrid w:val="0"/>
        <w:spacing w:line="400" w:lineRule="exact"/>
        <w:rPr>
          <w:rFonts w:ascii="宋体" w:hAnsi="宋体"/>
          <w:sz w:val="24"/>
        </w:rPr>
      </w:pPr>
      <w:r>
        <w:rPr>
          <w:rFonts w:hint="eastAsia" w:ascii="宋体" w:hAnsi="宋体"/>
          <w:sz w:val="24"/>
        </w:rPr>
        <w:t>地址：</w:t>
      </w:r>
    </w:p>
    <w:p>
      <w:pPr>
        <w:snapToGrid w:val="0"/>
        <w:spacing w:line="400" w:lineRule="exact"/>
        <w:rPr>
          <w:rFonts w:ascii="宋体" w:hAnsi="宋体"/>
          <w:sz w:val="24"/>
        </w:rPr>
      </w:pPr>
      <w:r>
        <w:rPr>
          <w:rFonts w:hint="eastAsia" w:ascii="宋体" w:hAnsi="宋体"/>
          <w:sz w:val="24"/>
        </w:rPr>
        <w:t>指定联系人：              联系电话：                  联系邮箱：</w:t>
      </w:r>
    </w:p>
    <w:p>
      <w:pPr>
        <w:snapToGrid w:val="0"/>
        <w:spacing w:line="400" w:lineRule="exact"/>
        <w:rPr>
          <w:rFonts w:ascii="宋体" w:hAnsi="宋体"/>
          <w:sz w:val="24"/>
          <w:u w:val="single"/>
        </w:rPr>
      </w:pPr>
      <w:r>
        <w:rPr>
          <w:rFonts w:hint="eastAsia" w:ascii="宋体" w:hAnsi="宋体"/>
          <w:sz w:val="24"/>
        </w:rPr>
        <w:t>卖方（乙方）：</w:t>
      </w:r>
    </w:p>
    <w:p>
      <w:pPr>
        <w:snapToGrid w:val="0"/>
        <w:spacing w:line="400" w:lineRule="exact"/>
        <w:rPr>
          <w:rFonts w:ascii="宋体" w:hAnsi="宋体"/>
          <w:sz w:val="24"/>
        </w:rPr>
      </w:pPr>
      <w:r>
        <w:rPr>
          <w:rFonts w:hint="eastAsia" w:ascii="宋体" w:hAnsi="宋体"/>
          <w:sz w:val="24"/>
        </w:rPr>
        <w:t>法定代表人：</w:t>
      </w:r>
    </w:p>
    <w:p>
      <w:pPr>
        <w:snapToGrid w:val="0"/>
        <w:spacing w:line="400" w:lineRule="exact"/>
        <w:rPr>
          <w:rFonts w:ascii="宋体" w:hAnsi="宋体"/>
          <w:sz w:val="24"/>
        </w:rPr>
      </w:pPr>
      <w:r>
        <w:rPr>
          <w:rFonts w:hint="eastAsia" w:ascii="宋体" w:hAnsi="宋体"/>
          <w:sz w:val="24"/>
        </w:rPr>
        <w:t>地址：</w:t>
      </w:r>
    </w:p>
    <w:p>
      <w:pPr>
        <w:snapToGrid w:val="0"/>
        <w:spacing w:line="400" w:lineRule="exact"/>
        <w:rPr>
          <w:rFonts w:ascii="宋体" w:hAnsi="宋体"/>
          <w:sz w:val="24"/>
        </w:rPr>
      </w:pPr>
      <w:r>
        <w:rPr>
          <w:rFonts w:hint="eastAsia" w:ascii="宋体" w:hAnsi="宋体"/>
          <w:sz w:val="24"/>
        </w:rPr>
        <w:t>指定联系人：              联系电话：                  联系邮箱：</w:t>
      </w:r>
    </w:p>
    <w:p>
      <w:pPr>
        <w:pStyle w:val="15"/>
      </w:pPr>
    </w:p>
    <w:p>
      <w:pPr>
        <w:pStyle w:val="15"/>
      </w:pPr>
    </w:p>
    <w:p>
      <w:pPr>
        <w:pStyle w:val="34"/>
        <w:snapToGrid w:val="0"/>
        <w:spacing w:before="0" w:beforeAutospacing="0" w:after="0" w:afterAutospacing="0" w:line="400" w:lineRule="exact"/>
        <w:ind w:firstLine="420"/>
        <w:rPr>
          <w:b/>
          <w:bCs/>
          <w:u w:val="single"/>
        </w:rPr>
      </w:pPr>
      <w:r>
        <w:rPr>
          <w:rFonts w:hint="eastAsia"/>
        </w:rPr>
        <w:t>买、卖双方本着公平自愿、平等互利、协商一致的原则，就</w:t>
      </w:r>
      <w:r>
        <w:rPr>
          <w:rFonts w:hint="eastAsia"/>
          <w:b/>
          <w:bCs/>
          <w:u w:val="single"/>
        </w:rPr>
        <w:t>项目第  包</w:t>
      </w:r>
      <w:r>
        <w:rPr>
          <w:rFonts w:hint="eastAsia"/>
        </w:rPr>
        <w:t>签订本合同，双方信守执行。</w:t>
      </w:r>
    </w:p>
    <w:p>
      <w:pPr>
        <w:snapToGrid w:val="0"/>
        <w:spacing w:line="400" w:lineRule="exact"/>
        <w:ind w:firstLine="480" w:firstLineChars="200"/>
        <w:rPr>
          <w:rFonts w:ascii="宋体" w:hAnsi="宋体"/>
          <w:sz w:val="24"/>
        </w:rPr>
      </w:pPr>
      <w:r>
        <w:rPr>
          <w:rFonts w:hint="eastAsia" w:ascii="宋体" w:hAnsi="宋体"/>
          <w:sz w:val="24"/>
        </w:rPr>
        <w:t>合同文本组成及解释顺序：</w:t>
      </w:r>
    </w:p>
    <w:p>
      <w:pPr>
        <w:snapToGrid w:val="0"/>
        <w:spacing w:line="400" w:lineRule="exact"/>
        <w:ind w:firstLine="480" w:firstLineChars="200"/>
        <w:rPr>
          <w:rFonts w:ascii="宋体" w:hAnsi="宋体"/>
          <w:sz w:val="24"/>
        </w:rPr>
      </w:pPr>
      <w:r>
        <w:rPr>
          <w:rFonts w:hint="eastAsia" w:ascii="宋体" w:hAnsi="宋体"/>
          <w:sz w:val="24"/>
        </w:rPr>
        <w:t>第一章：合同协议书</w:t>
      </w:r>
    </w:p>
    <w:p>
      <w:pPr>
        <w:snapToGrid w:val="0"/>
        <w:spacing w:line="400" w:lineRule="exact"/>
        <w:ind w:firstLine="480" w:firstLineChars="200"/>
        <w:rPr>
          <w:rFonts w:ascii="宋体" w:hAnsi="宋体"/>
          <w:sz w:val="24"/>
        </w:rPr>
      </w:pPr>
      <w:r>
        <w:rPr>
          <w:rFonts w:hint="eastAsia" w:ascii="宋体" w:hAnsi="宋体"/>
          <w:sz w:val="24"/>
        </w:rPr>
        <w:t>第二章：合同基本条款</w:t>
      </w:r>
    </w:p>
    <w:p>
      <w:pPr>
        <w:widowControl/>
        <w:snapToGrid w:val="0"/>
        <w:spacing w:line="400" w:lineRule="exact"/>
        <w:rPr>
          <w:rFonts w:ascii="宋体" w:hAnsi="宋体"/>
          <w:sz w:val="24"/>
        </w:rPr>
      </w:pPr>
      <w:r>
        <w:rPr>
          <w:rFonts w:ascii="宋体" w:hAnsi="宋体"/>
          <w:b/>
          <w:bCs/>
          <w:sz w:val="36"/>
          <w:szCs w:val="36"/>
        </w:rPr>
        <w:br w:type="page"/>
      </w:r>
      <w:r>
        <w:rPr>
          <w:rFonts w:hint="eastAsia" w:ascii="宋体" w:hAnsi="宋体"/>
          <w:b/>
          <w:bCs/>
          <w:sz w:val="36"/>
          <w:szCs w:val="36"/>
        </w:rPr>
        <w:t>一、  合同协议书</w:t>
      </w:r>
    </w:p>
    <w:p>
      <w:pPr>
        <w:tabs>
          <w:tab w:val="left" w:pos="5940"/>
        </w:tabs>
        <w:snapToGrid w:val="0"/>
        <w:spacing w:line="400" w:lineRule="exact"/>
        <w:ind w:firstLine="480" w:firstLineChars="200"/>
        <w:rPr>
          <w:rFonts w:ascii="宋体" w:hAnsi="宋体"/>
          <w:sz w:val="24"/>
        </w:rPr>
      </w:pPr>
    </w:p>
    <w:p>
      <w:pPr>
        <w:tabs>
          <w:tab w:val="left" w:pos="5940"/>
        </w:tabs>
        <w:snapToGrid w:val="0"/>
        <w:spacing w:line="400" w:lineRule="exact"/>
        <w:ind w:firstLine="480" w:firstLineChars="200"/>
        <w:rPr>
          <w:rFonts w:ascii="宋体" w:hAnsi="宋体"/>
          <w:sz w:val="24"/>
        </w:rPr>
      </w:pPr>
      <w:r>
        <w:rPr>
          <w:rFonts w:hint="eastAsia" w:ascii="宋体" w:hAnsi="宋体"/>
          <w:sz w:val="24"/>
        </w:rPr>
        <w:t>1.  商品名称、规格、型号、单位、数量、单价、金额详见清单。</w:t>
      </w:r>
    </w:p>
    <w:p>
      <w:pPr>
        <w:snapToGrid w:val="0"/>
        <w:spacing w:line="400" w:lineRule="exact"/>
        <w:ind w:firstLine="480" w:firstLineChars="200"/>
        <w:rPr>
          <w:rFonts w:ascii="宋体" w:hAnsi="宋体"/>
          <w:sz w:val="24"/>
        </w:rPr>
      </w:pPr>
      <w:r>
        <w:rPr>
          <w:rFonts w:hint="eastAsia" w:ascii="宋体" w:hAnsi="宋体"/>
          <w:sz w:val="24"/>
        </w:rPr>
        <w:t>单位：人民币：元</w:t>
      </w:r>
    </w:p>
    <w:tbl>
      <w:tblPr>
        <w:tblStyle w:val="38"/>
        <w:tblpPr w:leftFromText="180" w:rightFromText="180" w:vertAnchor="text" w:horzAnchor="page" w:tblpX="1464" w:tblpY="456"/>
        <w:tblOverlap w:val="never"/>
        <w:tblW w:w="9357" w:type="dxa"/>
        <w:tblInd w:w="0" w:type="dxa"/>
        <w:tblLayout w:type="fixed"/>
        <w:tblCellMar>
          <w:top w:w="0" w:type="dxa"/>
          <w:left w:w="108" w:type="dxa"/>
          <w:bottom w:w="0" w:type="dxa"/>
          <w:right w:w="108" w:type="dxa"/>
        </w:tblCellMar>
      </w:tblPr>
      <w:tblGrid>
        <w:gridCol w:w="993"/>
        <w:gridCol w:w="992"/>
        <w:gridCol w:w="709"/>
        <w:gridCol w:w="709"/>
        <w:gridCol w:w="1004"/>
        <w:gridCol w:w="1116"/>
        <w:gridCol w:w="850"/>
        <w:gridCol w:w="992"/>
        <w:gridCol w:w="999"/>
        <w:gridCol w:w="993"/>
      </w:tblGrid>
      <w:tr>
        <w:tblPrEx>
          <w:tblCellMar>
            <w:top w:w="0" w:type="dxa"/>
            <w:left w:w="108" w:type="dxa"/>
            <w:bottom w:w="0" w:type="dxa"/>
            <w:right w:w="108" w:type="dxa"/>
          </w:tblCellMar>
        </w:tblPrEx>
        <w:trPr>
          <w:trHeight w:val="640"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rPr>
                <w:rFonts w:ascii="宋体" w:hAnsi="宋体" w:cs="宋体"/>
                <w:kern w:val="0"/>
                <w:sz w:val="22"/>
                <w:szCs w:val="22"/>
              </w:rPr>
            </w:pPr>
            <w:r>
              <w:rPr>
                <w:rFonts w:hint="eastAsia" w:ascii="宋体" w:hAnsi="宋体" w:cs="宋体"/>
                <w:kern w:val="0"/>
                <w:sz w:val="22"/>
                <w:szCs w:val="22"/>
              </w:rPr>
              <w:t>器材名称</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品名/型号</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产地</w:t>
            </w: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生产商</w:t>
            </w: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单价（元/台）</w:t>
            </w: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数量（台）</w:t>
            </w: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小计</w:t>
            </w: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总报价</w:t>
            </w: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中标总价</w:t>
            </w: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 xml:space="preserve">履约保证金 </w:t>
            </w:r>
          </w:p>
        </w:tc>
      </w:tr>
      <w:tr>
        <w:tblPrEx>
          <w:tblCellMar>
            <w:top w:w="0" w:type="dxa"/>
            <w:left w:w="108" w:type="dxa"/>
            <w:bottom w:w="0" w:type="dxa"/>
            <w:right w:w="108" w:type="dxa"/>
          </w:tblCellMar>
        </w:tblPrEx>
        <w:trPr>
          <w:trHeight w:val="376" w:hRule="atLeast"/>
        </w:trPr>
        <w:tc>
          <w:tcPr>
            <w:tcW w:w="993" w:type="dxa"/>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70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1004"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1116"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850"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992"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999"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c>
          <w:tcPr>
            <w:tcW w:w="993" w:type="dxa"/>
            <w:tcBorders>
              <w:top w:val="single" w:color="auto" w:sz="4" w:space="0"/>
              <w:left w:val="nil"/>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p>
        </w:tc>
      </w:tr>
      <w:tr>
        <w:tblPrEx>
          <w:tblCellMar>
            <w:top w:w="0" w:type="dxa"/>
            <w:left w:w="108" w:type="dxa"/>
            <w:bottom w:w="0" w:type="dxa"/>
            <w:right w:w="108" w:type="dxa"/>
          </w:tblCellMar>
        </w:tblPrEx>
        <w:trPr>
          <w:trHeight w:val="522"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widowControl/>
              <w:snapToGrid w:val="0"/>
              <w:spacing w:line="400" w:lineRule="exact"/>
              <w:jc w:val="center"/>
              <w:rPr>
                <w:rFonts w:ascii="宋体" w:hAnsi="宋体" w:cs="宋体"/>
                <w:kern w:val="0"/>
                <w:sz w:val="22"/>
                <w:szCs w:val="22"/>
              </w:rPr>
            </w:pPr>
            <w:r>
              <w:rPr>
                <w:rFonts w:hint="eastAsia" w:ascii="宋体" w:hAnsi="宋体" w:cs="宋体"/>
                <w:kern w:val="0"/>
                <w:sz w:val="22"/>
                <w:szCs w:val="22"/>
              </w:rPr>
              <w:t>技术参数</w:t>
            </w:r>
          </w:p>
        </w:tc>
      </w:tr>
      <w:tr>
        <w:tblPrEx>
          <w:tblCellMar>
            <w:top w:w="0" w:type="dxa"/>
            <w:left w:w="108" w:type="dxa"/>
            <w:bottom w:w="0" w:type="dxa"/>
            <w:right w:w="108" w:type="dxa"/>
          </w:tblCellMar>
        </w:tblPrEx>
        <w:trPr>
          <w:trHeight w:val="2409" w:hRule="atLeast"/>
        </w:trPr>
        <w:tc>
          <w:tcPr>
            <w:tcW w:w="9357" w:type="dxa"/>
            <w:gridSpan w:val="10"/>
            <w:tcBorders>
              <w:top w:val="single" w:color="auto" w:sz="4" w:space="0"/>
              <w:left w:val="single" w:color="auto" w:sz="4" w:space="0"/>
              <w:bottom w:val="single" w:color="auto" w:sz="4" w:space="0"/>
              <w:right w:val="single" w:color="auto" w:sz="4" w:space="0"/>
            </w:tcBorders>
            <w:noWrap/>
            <w:vAlign w:val="center"/>
          </w:tcPr>
          <w:p>
            <w:pPr>
              <w:snapToGrid w:val="0"/>
              <w:spacing w:line="400" w:lineRule="exact"/>
              <w:ind w:firstLine="220" w:firstLineChars="100"/>
              <w:rPr>
                <w:rFonts w:ascii="宋体" w:hAnsi="宋体"/>
                <w:bCs/>
                <w:sz w:val="22"/>
                <w:szCs w:val="22"/>
              </w:rPr>
            </w:pPr>
          </w:p>
        </w:tc>
      </w:tr>
    </w:tbl>
    <w:p>
      <w:pPr>
        <w:snapToGrid w:val="0"/>
        <w:spacing w:line="400" w:lineRule="exact"/>
        <w:ind w:firstLine="480" w:firstLineChars="200"/>
        <w:rPr>
          <w:rFonts w:ascii="宋体" w:hAnsi="宋体"/>
          <w:sz w:val="24"/>
        </w:rPr>
      </w:pPr>
    </w:p>
    <w:p>
      <w:pPr>
        <w:numPr>
          <w:ilvl w:val="0"/>
          <w:numId w:val="8"/>
        </w:numPr>
        <w:snapToGrid w:val="0"/>
        <w:spacing w:line="400" w:lineRule="exact"/>
        <w:ind w:firstLine="480" w:firstLineChars="200"/>
        <w:rPr>
          <w:rFonts w:ascii="宋体" w:hAnsi="宋体"/>
          <w:bCs/>
          <w:sz w:val="24"/>
        </w:rPr>
      </w:pPr>
      <w:r>
        <w:rPr>
          <w:rFonts w:hint="eastAsia" w:ascii="宋体" w:hAnsi="宋体"/>
          <w:bCs/>
          <w:sz w:val="24"/>
        </w:rPr>
        <w:t>合同价款及结算方式（大写）</w:t>
      </w:r>
      <w:r>
        <w:rPr>
          <w:rFonts w:hint="eastAsia" w:ascii="宋体" w:hAnsi="宋体"/>
          <w:sz w:val="24"/>
          <w:u w:val="single"/>
        </w:rPr>
        <w:t>元整</w:t>
      </w:r>
      <w:r>
        <w:rPr>
          <w:rFonts w:hint="eastAsia" w:ascii="宋体" w:hAnsi="宋体"/>
          <w:sz w:val="24"/>
        </w:rPr>
        <w:t>（小写）元。以上价格为合同总价，最终结算价格以审定价格为准，包括但不限于设备费、备品备件、专用工具、包装费、运保费、卸货费、安装指导费、调试费、税费等合同项下的义务；也包括买卖双方签订的技术附件中卖方承诺的其它系统配件</w:t>
      </w:r>
      <w:r>
        <w:rPr>
          <w:rFonts w:hint="eastAsia" w:ascii="宋体" w:hAnsi="宋体"/>
          <w:bCs/>
          <w:sz w:val="24"/>
        </w:rPr>
        <w:t>。</w:t>
      </w:r>
    </w:p>
    <w:p>
      <w:pPr>
        <w:snapToGrid w:val="0"/>
        <w:spacing w:line="400" w:lineRule="exact"/>
        <w:ind w:firstLine="480" w:firstLineChars="200"/>
        <w:rPr>
          <w:rFonts w:ascii="宋体" w:hAnsi="宋体"/>
          <w:bCs/>
          <w:sz w:val="24"/>
        </w:rPr>
      </w:pPr>
      <w:r>
        <w:rPr>
          <w:rFonts w:hint="eastAsia" w:ascii="宋体" w:hAnsi="宋体"/>
          <w:bCs/>
          <w:sz w:val="24"/>
        </w:rPr>
        <w:t>2.1 履约保证金缴纳：合同签订前，中标单位按照中标金额的5%缴纳履约保证金，中标单位按合同约定交付全部产品，安装调试完毕，书面验收合格一年后，采购单位无息退还全部履约保证金。</w:t>
      </w:r>
    </w:p>
    <w:p>
      <w:pPr>
        <w:snapToGrid w:val="0"/>
        <w:spacing w:line="400" w:lineRule="exact"/>
        <w:ind w:left="139" w:leftChars="66" w:firstLine="360" w:firstLineChars="150"/>
        <w:rPr>
          <w:rFonts w:ascii="宋体" w:hAnsi="宋体"/>
          <w:bCs/>
          <w:sz w:val="24"/>
        </w:rPr>
      </w:pPr>
      <w:r>
        <w:rPr>
          <w:rFonts w:hint="eastAsia" w:ascii="宋体" w:hAnsi="宋体"/>
          <w:bCs/>
          <w:sz w:val="24"/>
        </w:rPr>
        <w:t>2.2 付款方式：中标单位按合同约定交付全部产品、安装调试完毕，验收合格并经过结算审计后30日内，采购人按验收报告、结算审计、合同相关条款支付货款100%；如结算审计有审减，按照结算审计结果支付货款；如验收不合格、未完成安装调试，</w:t>
      </w:r>
      <w:r>
        <w:rPr>
          <w:rFonts w:hint="eastAsia" w:ascii="宋体" w:hAnsi="宋体" w:cs="宋体"/>
          <w:bCs/>
          <w:sz w:val="24"/>
          <w:szCs w:val="22"/>
        </w:rPr>
        <w:t>参照合同样本第二部分合同基本条款第14条违约责任执行</w:t>
      </w:r>
      <w:r>
        <w:rPr>
          <w:rFonts w:hint="eastAsia" w:ascii="宋体" w:hAnsi="宋体"/>
          <w:bCs/>
          <w:sz w:val="24"/>
        </w:rPr>
        <w:t>。(如采购人有付款需求，在签订合同后，中标单位向采购人提供同等合同金额的银行保函，收到保函，采购人可支付合同金额的100%，待验收合格、安装调试完毕后，根据结算审计结果解除银行质押，如验收不合格、未完成安装调试，</w:t>
      </w:r>
      <w:r>
        <w:rPr>
          <w:rFonts w:hint="eastAsia" w:ascii="宋体" w:hAnsi="宋体" w:cs="宋体"/>
          <w:bCs/>
          <w:sz w:val="24"/>
          <w:szCs w:val="22"/>
        </w:rPr>
        <w:t>参照合同样本第二部分合同基本条款第14条违约责任执行</w:t>
      </w:r>
      <w:r>
        <w:rPr>
          <w:rFonts w:hint="eastAsia" w:ascii="宋体" w:hAnsi="宋体"/>
          <w:bCs/>
          <w:sz w:val="24"/>
        </w:rPr>
        <w:t>。）</w:t>
      </w:r>
    </w:p>
    <w:p>
      <w:pPr>
        <w:snapToGrid w:val="0"/>
        <w:spacing w:line="400" w:lineRule="exact"/>
        <w:ind w:left="139" w:leftChars="66" w:firstLine="360" w:firstLineChars="150"/>
        <w:rPr>
          <w:rFonts w:ascii="宋体" w:hAnsi="宋体"/>
          <w:b/>
          <w:sz w:val="24"/>
          <w:u w:val="single"/>
        </w:rPr>
      </w:pPr>
      <w:r>
        <w:rPr>
          <w:rFonts w:hint="eastAsia" w:ascii="宋体" w:hAnsi="宋体"/>
          <w:bCs/>
          <w:sz w:val="24"/>
        </w:rPr>
        <w:t>3.运输及保险：</w:t>
      </w:r>
      <w:r>
        <w:rPr>
          <w:rFonts w:hint="eastAsia" w:ascii="宋体" w:hAnsi="宋体"/>
          <w:sz w:val="24"/>
          <w:u w:val="single"/>
        </w:rPr>
        <w:t xml:space="preserve">货物运输方式不限，运输、保险等运输过程中发生的所有费用均由卖方承担  </w:t>
      </w:r>
      <w:r>
        <w:rPr>
          <w:rFonts w:hint="eastAsia" w:ascii="宋体" w:hAnsi="宋体"/>
          <w:sz w:val="24"/>
        </w:rPr>
        <w:t>。</w:t>
      </w:r>
    </w:p>
    <w:p>
      <w:pPr>
        <w:snapToGrid w:val="0"/>
        <w:spacing w:line="400" w:lineRule="exact"/>
        <w:rPr>
          <w:rFonts w:ascii="宋体" w:hAnsi="宋体"/>
          <w:sz w:val="24"/>
        </w:rPr>
      </w:pPr>
      <w:r>
        <w:rPr>
          <w:rFonts w:hint="eastAsia" w:ascii="宋体" w:hAnsi="宋体"/>
          <w:sz w:val="24"/>
        </w:rPr>
        <w:t xml:space="preserve">    4.  包装</w:t>
      </w:r>
    </w:p>
    <w:p>
      <w:pPr>
        <w:snapToGrid w:val="0"/>
        <w:spacing w:line="400" w:lineRule="exact"/>
        <w:ind w:left="244" w:leftChars="116"/>
        <w:rPr>
          <w:rFonts w:ascii="宋体" w:hAnsi="宋体"/>
          <w:b/>
          <w:sz w:val="24"/>
        </w:rPr>
      </w:pPr>
      <w:r>
        <w:rPr>
          <w:rFonts w:hint="eastAsia" w:ascii="宋体" w:hAnsi="宋体"/>
          <w:sz w:val="24"/>
        </w:rPr>
        <w:t xml:space="preserve">  4.1  </w:t>
      </w:r>
      <w:r>
        <w:rPr>
          <w:rFonts w:hint="eastAsia" w:ascii="宋体" w:hAnsi="宋体"/>
          <w:b/>
          <w:sz w:val="24"/>
        </w:rPr>
        <w:t>包装方式：木箱包装，保证货物抵达交货地点时包装完整无损，包装箱的尺寸及重量应考虑货物最终目的地的偏远程度以及货物转运地可能缺乏重型装卸设备的情况，尽量包装牢固。对由于包装不善而引起的货物损坏或损失、耽误交货时限等损失，均由卖方承担责任。</w:t>
      </w:r>
    </w:p>
    <w:p>
      <w:pPr>
        <w:snapToGrid w:val="0"/>
        <w:spacing w:line="400" w:lineRule="exact"/>
        <w:ind w:firstLine="480"/>
        <w:rPr>
          <w:rFonts w:ascii="宋体" w:hAnsi="宋体"/>
          <w:sz w:val="24"/>
        </w:rPr>
      </w:pPr>
      <w:r>
        <w:rPr>
          <w:rFonts w:hint="eastAsia" w:ascii="宋体" w:hAnsi="宋体"/>
          <w:sz w:val="24"/>
        </w:rPr>
        <w:t>4.2  包装物处理：不回收。</w:t>
      </w:r>
    </w:p>
    <w:p>
      <w:pPr>
        <w:tabs>
          <w:tab w:val="left" w:pos="540"/>
        </w:tabs>
        <w:snapToGrid w:val="0"/>
        <w:spacing w:line="400" w:lineRule="exact"/>
        <w:ind w:firstLine="480" w:firstLineChars="200"/>
        <w:rPr>
          <w:rFonts w:ascii="宋体" w:hAnsi="宋体"/>
          <w:bCs/>
          <w:sz w:val="24"/>
        </w:rPr>
      </w:pPr>
      <w:r>
        <w:rPr>
          <w:rFonts w:hint="eastAsia" w:ascii="宋体" w:hAnsi="宋体"/>
          <w:bCs/>
          <w:sz w:val="24"/>
        </w:rPr>
        <w:t>5.中标产品样品交付：合同签订后15日内，乙方将中标产品的实物样品（每种产品1件、套）交付给甲方。</w:t>
      </w:r>
    </w:p>
    <w:p>
      <w:pPr>
        <w:snapToGrid w:val="0"/>
        <w:spacing w:line="400" w:lineRule="exact"/>
        <w:ind w:firstLine="480"/>
      </w:pPr>
      <w:r>
        <w:rPr>
          <w:rFonts w:hint="eastAsia" w:ascii="宋体" w:hAnsi="宋体"/>
          <w:sz w:val="24"/>
        </w:rPr>
        <w:t>6.根据《国家消防救援局办公室关于推广应用新版消防装备管理系统的通知》要求，中标投标人在交付装备时须附着由“消防装备物资信息采集系统”统一发行的装备物资二维码和 RFID。</w:t>
      </w:r>
    </w:p>
    <w:p>
      <w:pPr>
        <w:tabs>
          <w:tab w:val="left" w:pos="540"/>
        </w:tabs>
        <w:snapToGrid w:val="0"/>
        <w:spacing w:line="400" w:lineRule="exact"/>
        <w:ind w:firstLine="480" w:firstLineChars="200"/>
        <w:rPr>
          <w:rFonts w:ascii="宋体" w:hAnsi="宋体"/>
          <w:bCs/>
          <w:sz w:val="24"/>
        </w:rPr>
      </w:pPr>
      <w:r>
        <w:rPr>
          <w:rFonts w:hint="eastAsia" w:ascii="宋体" w:hAnsi="宋体"/>
          <w:bCs/>
          <w:sz w:val="24"/>
        </w:rPr>
        <w:t>7.交货</w:t>
      </w:r>
    </w:p>
    <w:p>
      <w:pPr>
        <w:snapToGrid w:val="0"/>
        <w:spacing w:line="400" w:lineRule="exact"/>
        <w:ind w:firstLine="480" w:firstLineChars="200"/>
        <w:rPr>
          <w:rFonts w:ascii="宋体" w:hAnsi="宋体"/>
          <w:b/>
          <w:bCs/>
          <w:sz w:val="24"/>
        </w:rPr>
      </w:pPr>
      <w:r>
        <w:rPr>
          <w:rFonts w:hint="eastAsia" w:ascii="宋体" w:hAnsi="宋体"/>
          <w:bCs/>
          <w:sz w:val="24"/>
        </w:rPr>
        <w:t>7.1交货时间:</w:t>
      </w:r>
      <w:r>
        <w:rPr>
          <w:rFonts w:hint="eastAsia" w:ascii="宋体" w:hAnsi="宋体"/>
          <w:sz w:val="24"/>
          <w:szCs w:val="24"/>
        </w:rPr>
        <w:t>合同签订后**日。</w:t>
      </w:r>
    </w:p>
    <w:p>
      <w:pPr>
        <w:snapToGrid w:val="0"/>
        <w:spacing w:line="400" w:lineRule="exact"/>
        <w:ind w:left="2205" w:leftChars="950" w:hanging="210" w:hangingChars="87"/>
        <w:jc w:val="left"/>
        <w:rPr>
          <w:rFonts w:ascii="宋体" w:hAnsi="宋体"/>
          <w:b/>
          <w:bCs/>
          <w:sz w:val="24"/>
        </w:rPr>
      </w:pPr>
      <w:r>
        <w:rPr>
          <w:rFonts w:hint="eastAsia" w:ascii="宋体" w:hAnsi="宋体"/>
          <w:b/>
          <w:bCs/>
          <w:sz w:val="24"/>
        </w:rPr>
        <w:t xml:space="preserve"> 卖方须在上述时限之前，一次完成供货并交付验收。</w:t>
      </w:r>
    </w:p>
    <w:p>
      <w:pPr>
        <w:snapToGrid w:val="0"/>
        <w:spacing w:line="400" w:lineRule="exact"/>
        <w:ind w:firstLine="480" w:firstLineChars="200"/>
        <w:rPr>
          <w:rFonts w:ascii="宋体" w:hAnsi="宋体"/>
          <w:b/>
          <w:bCs/>
          <w:sz w:val="24"/>
        </w:rPr>
      </w:pPr>
      <w:r>
        <w:rPr>
          <w:rFonts w:hint="eastAsia" w:ascii="宋体" w:hAnsi="宋体"/>
          <w:bCs/>
          <w:sz w:val="24"/>
        </w:rPr>
        <w:t>7.2交货地点：</w:t>
      </w:r>
      <w:r>
        <w:rPr>
          <w:rFonts w:hint="eastAsia" w:ascii="宋体" w:hAnsi="宋体"/>
          <w:b/>
          <w:bCs/>
          <w:sz w:val="24"/>
        </w:rPr>
        <w:t>卖方负则送货上门并卸货</w:t>
      </w:r>
    </w:p>
    <w:p>
      <w:pPr>
        <w:snapToGrid w:val="0"/>
        <w:spacing w:line="400" w:lineRule="exact"/>
        <w:ind w:firstLine="2168" w:firstLineChars="900"/>
        <w:rPr>
          <w:rFonts w:ascii="宋体" w:hAnsi="宋体"/>
          <w:b/>
          <w:bCs/>
          <w:sz w:val="24"/>
        </w:rPr>
      </w:pPr>
      <w:r>
        <w:rPr>
          <w:rFonts w:ascii="宋体" w:hAnsi="宋体"/>
          <w:b/>
          <w:bCs/>
          <w:sz w:val="24"/>
        </w:rPr>
        <w:t>收货联系人：</w:t>
      </w:r>
    </w:p>
    <w:p>
      <w:pPr>
        <w:snapToGrid w:val="0"/>
        <w:spacing w:line="400" w:lineRule="exact"/>
        <w:ind w:firstLine="480" w:firstLineChars="200"/>
        <w:rPr>
          <w:rFonts w:ascii="宋体" w:hAnsi="宋体"/>
          <w:b/>
          <w:bCs/>
          <w:sz w:val="24"/>
        </w:rPr>
      </w:pPr>
      <w:r>
        <w:rPr>
          <w:rFonts w:hint="eastAsia" w:ascii="宋体" w:hAnsi="宋体"/>
          <w:bCs/>
          <w:sz w:val="24"/>
        </w:rPr>
        <w:t>7.3联系方式：</w:t>
      </w:r>
      <w:r>
        <w:rPr>
          <w:rFonts w:hint="eastAsia" w:ascii="宋体" w:hAnsi="宋体"/>
          <w:b/>
          <w:bCs/>
          <w:sz w:val="24"/>
        </w:rPr>
        <w:t>XX消防救援支队</w:t>
      </w:r>
    </w:p>
    <w:p>
      <w:pPr>
        <w:snapToGrid w:val="0"/>
        <w:spacing w:line="400" w:lineRule="exact"/>
        <w:ind w:firstLine="2168" w:firstLineChars="900"/>
        <w:jc w:val="left"/>
        <w:rPr>
          <w:rFonts w:ascii="宋体" w:hAnsi="宋体"/>
          <w:b/>
          <w:bCs/>
          <w:sz w:val="24"/>
        </w:rPr>
      </w:pPr>
      <w:r>
        <w:rPr>
          <w:rFonts w:hint="eastAsia" w:ascii="宋体" w:hAnsi="宋体"/>
          <w:b/>
          <w:bCs/>
          <w:sz w:val="24"/>
        </w:rPr>
        <w:t>姓  名：</w:t>
      </w:r>
    </w:p>
    <w:p>
      <w:pPr>
        <w:snapToGrid w:val="0"/>
        <w:spacing w:line="400" w:lineRule="exact"/>
        <w:ind w:firstLine="2168" w:firstLineChars="900"/>
        <w:jc w:val="left"/>
        <w:rPr>
          <w:rFonts w:ascii="宋体" w:hAnsi="宋体"/>
          <w:b/>
          <w:bCs/>
          <w:sz w:val="24"/>
        </w:rPr>
      </w:pPr>
      <w:r>
        <w:rPr>
          <w:rFonts w:hint="eastAsia" w:ascii="宋体" w:hAnsi="宋体"/>
          <w:b/>
          <w:bCs/>
          <w:sz w:val="24"/>
        </w:rPr>
        <w:t>电  话：</w:t>
      </w:r>
    </w:p>
    <w:p>
      <w:pPr>
        <w:snapToGrid w:val="0"/>
        <w:spacing w:line="400" w:lineRule="exact"/>
        <w:ind w:firstLine="2168" w:firstLineChars="900"/>
        <w:jc w:val="left"/>
        <w:rPr>
          <w:rFonts w:ascii="宋体" w:hAnsi="宋体"/>
          <w:b/>
          <w:bCs/>
          <w:sz w:val="24"/>
        </w:rPr>
      </w:pPr>
      <w:r>
        <w:rPr>
          <w:rFonts w:hint="eastAsia" w:ascii="宋体" w:hAnsi="宋体"/>
          <w:b/>
          <w:bCs/>
          <w:sz w:val="24"/>
        </w:rPr>
        <w:t>传  真：</w:t>
      </w:r>
    </w:p>
    <w:p>
      <w:pPr>
        <w:snapToGrid w:val="0"/>
        <w:spacing w:line="400" w:lineRule="exact"/>
        <w:ind w:firstLine="600" w:firstLineChars="250"/>
        <w:rPr>
          <w:rFonts w:ascii="宋体" w:hAnsi="宋体"/>
          <w:bCs/>
          <w:sz w:val="24"/>
        </w:rPr>
      </w:pPr>
      <w:r>
        <w:rPr>
          <w:rFonts w:hint="eastAsia" w:ascii="宋体" w:hAnsi="宋体"/>
          <w:bCs/>
          <w:sz w:val="24"/>
        </w:rPr>
        <w:t>8.验收：售后服务内容及履行情况将作为退还余款的必要条件写入合同。</w:t>
      </w:r>
    </w:p>
    <w:p>
      <w:pPr>
        <w:snapToGrid w:val="0"/>
        <w:spacing w:line="400" w:lineRule="exact"/>
        <w:ind w:firstLine="600" w:firstLineChars="250"/>
        <w:rPr>
          <w:rFonts w:ascii="宋体" w:hAnsi="宋体"/>
          <w:bCs/>
          <w:sz w:val="24"/>
        </w:rPr>
      </w:pPr>
      <w:r>
        <w:rPr>
          <w:rFonts w:hint="eastAsia" w:ascii="宋体" w:hAnsi="宋体"/>
          <w:bCs/>
          <w:sz w:val="24"/>
        </w:rPr>
        <w:t>8.1验收标准：依照样品及本合同约定。</w:t>
      </w:r>
    </w:p>
    <w:p>
      <w:pPr>
        <w:snapToGrid w:val="0"/>
        <w:spacing w:line="400" w:lineRule="exact"/>
        <w:ind w:firstLine="600" w:firstLineChars="250"/>
        <w:rPr>
          <w:rFonts w:ascii="宋体" w:hAnsi="宋体"/>
          <w:bCs/>
          <w:sz w:val="24"/>
        </w:rPr>
      </w:pPr>
      <w:r>
        <w:rPr>
          <w:rFonts w:hint="eastAsia" w:ascii="宋体" w:hAnsi="宋体"/>
          <w:bCs/>
          <w:sz w:val="24"/>
        </w:rPr>
        <w:t>8.2验收时间及组织：全部产品送达分初验、终验两个阶段，</w:t>
      </w:r>
      <w:r>
        <w:rPr>
          <w:rFonts w:hint="eastAsia" w:ascii="宋体" w:hAnsi="宋体" w:cs="宋体"/>
          <w:bCs/>
          <w:sz w:val="24"/>
        </w:rPr>
        <w:t>初验阶段由支队进行验收，终验阶段由支队试用30天后</w:t>
      </w:r>
      <w:r>
        <w:rPr>
          <w:rFonts w:hint="eastAsia" w:ascii="宋体" w:hAnsi="宋体"/>
          <w:bCs/>
          <w:sz w:val="24"/>
        </w:rPr>
        <w:t>。</w:t>
      </w:r>
    </w:p>
    <w:p>
      <w:pPr>
        <w:snapToGrid w:val="0"/>
        <w:spacing w:line="400" w:lineRule="exact"/>
        <w:ind w:firstLine="602" w:firstLineChars="250"/>
        <w:rPr>
          <w:rFonts w:ascii="宋体" w:hAnsi="宋体"/>
          <w:b/>
          <w:bCs/>
          <w:sz w:val="24"/>
        </w:rPr>
      </w:pPr>
      <w:r>
        <w:rPr>
          <w:rFonts w:hint="eastAsia" w:ascii="宋体" w:hAnsi="宋体"/>
          <w:b/>
          <w:bCs/>
          <w:sz w:val="24"/>
        </w:rPr>
        <w:t>8.3验收前买方不负责货物的保管，由卖方负责。</w:t>
      </w:r>
    </w:p>
    <w:p>
      <w:pPr>
        <w:snapToGrid w:val="0"/>
        <w:spacing w:line="400" w:lineRule="exact"/>
        <w:ind w:firstLine="600" w:firstLineChars="250"/>
        <w:rPr>
          <w:rFonts w:ascii="宋体" w:hAnsi="宋体"/>
          <w:bCs/>
          <w:sz w:val="24"/>
        </w:rPr>
      </w:pPr>
      <w:r>
        <w:rPr>
          <w:rFonts w:hint="eastAsia" w:ascii="宋体" w:hAnsi="宋体"/>
          <w:bCs/>
          <w:sz w:val="24"/>
        </w:rPr>
        <w:t>9.合同效力</w:t>
      </w:r>
    </w:p>
    <w:p>
      <w:pPr>
        <w:snapToGrid w:val="0"/>
        <w:spacing w:line="400" w:lineRule="exact"/>
        <w:ind w:firstLine="600" w:firstLineChars="250"/>
        <w:rPr>
          <w:rFonts w:ascii="宋体" w:hAnsi="宋体"/>
          <w:bCs/>
          <w:sz w:val="24"/>
        </w:rPr>
      </w:pPr>
      <w:r>
        <w:rPr>
          <w:rFonts w:hint="eastAsia" w:ascii="宋体" w:hAnsi="宋体"/>
          <w:bCs/>
          <w:sz w:val="24"/>
        </w:rPr>
        <w:t>9.1  本合同经买卖双方授权代表签署，并经双方盖章后生效。</w:t>
      </w:r>
    </w:p>
    <w:p>
      <w:pPr>
        <w:snapToGrid w:val="0"/>
        <w:spacing w:line="400" w:lineRule="exact"/>
        <w:ind w:firstLine="600" w:firstLineChars="250"/>
        <w:rPr>
          <w:rFonts w:ascii="宋体" w:hAnsi="宋体"/>
          <w:bCs/>
          <w:sz w:val="24"/>
        </w:rPr>
      </w:pPr>
      <w:r>
        <w:rPr>
          <w:rFonts w:hint="eastAsia" w:ascii="宋体" w:hAnsi="宋体"/>
          <w:bCs/>
          <w:sz w:val="24"/>
        </w:rPr>
        <w:t>9.2  本合同一式肆份，买卖双方各持两份，具有相同的法律效力。</w:t>
      </w:r>
    </w:p>
    <w:p>
      <w:pPr>
        <w:snapToGrid w:val="0"/>
        <w:spacing w:line="400" w:lineRule="exact"/>
        <w:ind w:firstLine="904" w:firstLineChars="250"/>
        <w:jc w:val="center"/>
        <w:rPr>
          <w:rFonts w:ascii="宋体" w:hAnsi="宋体"/>
          <w:b/>
          <w:bCs/>
          <w:sz w:val="36"/>
          <w:szCs w:val="36"/>
        </w:rPr>
      </w:pPr>
    </w:p>
    <w:p>
      <w:pPr>
        <w:numPr>
          <w:ilvl w:val="0"/>
          <w:numId w:val="9"/>
        </w:numPr>
        <w:snapToGrid w:val="0"/>
        <w:spacing w:line="400" w:lineRule="exact"/>
        <w:ind w:firstLine="904" w:firstLineChars="250"/>
        <w:jc w:val="center"/>
        <w:rPr>
          <w:rFonts w:ascii="宋体" w:hAnsi="宋体"/>
          <w:b/>
          <w:bCs/>
          <w:sz w:val="36"/>
          <w:szCs w:val="36"/>
        </w:rPr>
      </w:pPr>
      <w:r>
        <w:rPr>
          <w:rFonts w:hint="eastAsia" w:ascii="宋体" w:hAnsi="宋体"/>
          <w:b/>
          <w:bCs/>
          <w:sz w:val="36"/>
          <w:szCs w:val="36"/>
        </w:rPr>
        <w:br w:type="page"/>
      </w:r>
      <w:r>
        <w:rPr>
          <w:rFonts w:hint="eastAsia" w:ascii="宋体" w:hAnsi="宋体"/>
          <w:b/>
          <w:bCs/>
          <w:sz w:val="36"/>
          <w:szCs w:val="36"/>
        </w:rPr>
        <w:t>合同基本条款</w:t>
      </w:r>
    </w:p>
    <w:p>
      <w:pPr>
        <w:snapToGrid w:val="0"/>
        <w:spacing w:line="400" w:lineRule="exact"/>
        <w:rPr>
          <w:rFonts w:ascii="宋体" w:hAnsi="宋体"/>
          <w:b/>
          <w:bCs/>
          <w:sz w:val="36"/>
          <w:szCs w:val="36"/>
        </w:rPr>
      </w:pPr>
    </w:p>
    <w:p>
      <w:pPr>
        <w:snapToGrid w:val="0"/>
        <w:spacing w:line="400" w:lineRule="exact"/>
        <w:ind w:firstLine="480" w:firstLineChars="200"/>
        <w:rPr>
          <w:rFonts w:ascii="宋体" w:hAnsi="宋体"/>
          <w:sz w:val="24"/>
        </w:rPr>
      </w:pPr>
      <w:r>
        <w:rPr>
          <w:rFonts w:hint="eastAsia" w:ascii="宋体" w:hAnsi="宋体"/>
          <w:sz w:val="24"/>
        </w:rPr>
        <w:t>1.  定义：</w:t>
      </w:r>
    </w:p>
    <w:p>
      <w:pPr>
        <w:snapToGrid w:val="0"/>
        <w:spacing w:line="400" w:lineRule="exact"/>
        <w:ind w:firstLine="480" w:firstLineChars="200"/>
        <w:rPr>
          <w:rFonts w:ascii="宋体" w:hAnsi="宋体"/>
          <w:sz w:val="24"/>
        </w:rPr>
      </w:pPr>
      <w:r>
        <w:rPr>
          <w:rFonts w:hint="eastAsia" w:ascii="宋体" w:hAnsi="宋体"/>
          <w:sz w:val="24"/>
        </w:rPr>
        <w:t>本合同有关术语解释：</w:t>
      </w:r>
    </w:p>
    <w:p>
      <w:pPr>
        <w:snapToGrid w:val="0"/>
        <w:spacing w:line="400" w:lineRule="exact"/>
        <w:ind w:firstLine="480" w:firstLineChars="200"/>
        <w:rPr>
          <w:rFonts w:ascii="宋体" w:hAnsi="宋体"/>
          <w:sz w:val="24"/>
        </w:rPr>
      </w:pPr>
      <w:r>
        <w:rPr>
          <w:rFonts w:hint="eastAsia" w:ascii="宋体" w:hAnsi="宋体"/>
          <w:sz w:val="24"/>
        </w:rPr>
        <w:t>1.1  “合同”是指买卖双方签署的用以约定买卖双方买卖事项而达成的协议，包括所有的附件和构成合同的其它文件。</w:t>
      </w:r>
    </w:p>
    <w:p>
      <w:pPr>
        <w:snapToGrid w:val="0"/>
        <w:spacing w:line="400" w:lineRule="exact"/>
        <w:ind w:firstLine="480" w:firstLineChars="200"/>
        <w:rPr>
          <w:rFonts w:ascii="宋体" w:hAnsi="宋体"/>
          <w:sz w:val="24"/>
        </w:rPr>
      </w:pPr>
      <w:r>
        <w:rPr>
          <w:rFonts w:hint="eastAsia" w:ascii="宋体" w:hAnsi="宋体"/>
          <w:sz w:val="24"/>
        </w:rPr>
        <w:t>1.2  “合同总价”是指根据本合同约定，卖方在正确地完全履行合同义务后买方应支付给卖方的全部价款。</w:t>
      </w:r>
    </w:p>
    <w:p>
      <w:pPr>
        <w:snapToGrid w:val="0"/>
        <w:spacing w:line="400" w:lineRule="exact"/>
        <w:ind w:firstLine="480" w:firstLineChars="200"/>
        <w:rPr>
          <w:rFonts w:ascii="宋体" w:hAnsi="宋体"/>
          <w:sz w:val="24"/>
        </w:rPr>
      </w:pPr>
      <w:r>
        <w:rPr>
          <w:rFonts w:hint="eastAsia" w:ascii="宋体" w:hAnsi="宋体"/>
          <w:sz w:val="24"/>
        </w:rPr>
        <w:t>1.3  “货物”是指根据合同约定卖方向买方提供的一切设备及相应的配套设施（含备件、工具、操作手册及其他有关技术资料和材料）。</w:t>
      </w:r>
    </w:p>
    <w:p>
      <w:pPr>
        <w:snapToGrid w:val="0"/>
        <w:spacing w:line="400" w:lineRule="exact"/>
        <w:ind w:firstLine="480" w:firstLineChars="200"/>
        <w:rPr>
          <w:rFonts w:ascii="宋体" w:hAnsi="宋体"/>
          <w:sz w:val="24"/>
        </w:rPr>
      </w:pPr>
      <w:r>
        <w:rPr>
          <w:rFonts w:hint="eastAsia" w:ascii="宋体" w:hAnsi="宋体"/>
          <w:sz w:val="24"/>
        </w:rPr>
        <w:t>1.4  “服务”是指根据合同约定卖方向买方承担的与供货有关的辅助服务，如运输、保险、安装、调试、技术支持、检验、维修、培训等与购销有关的义务。</w:t>
      </w:r>
    </w:p>
    <w:p>
      <w:pPr>
        <w:snapToGrid w:val="0"/>
        <w:spacing w:line="400" w:lineRule="exact"/>
        <w:ind w:firstLine="480" w:firstLineChars="200"/>
        <w:rPr>
          <w:rFonts w:ascii="宋体" w:hAnsi="宋体"/>
          <w:sz w:val="24"/>
        </w:rPr>
      </w:pPr>
      <w:r>
        <w:rPr>
          <w:rFonts w:hint="eastAsia" w:ascii="宋体" w:hAnsi="宋体"/>
          <w:sz w:val="24"/>
        </w:rPr>
        <w:t>1.5  “现场”是指合同项下货物实际所在地。</w:t>
      </w:r>
    </w:p>
    <w:p>
      <w:pPr>
        <w:snapToGrid w:val="0"/>
        <w:spacing w:line="400" w:lineRule="exact"/>
        <w:ind w:firstLine="480" w:firstLineChars="200"/>
        <w:rPr>
          <w:rFonts w:ascii="宋体" w:hAnsi="宋体"/>
          <w:sz w:val="24"/>
        </w:rPr>
      </w:pPr>
      <w:r>
        <w:rPr>
          <w:rFonts w:hint="eastAsia" w:ascii="宋体" w:hAnsi="宋体"/>
          <w:sz w:val="24"/>
        </w:rPr>
        <w:t>1.6  “验收”是指合同双方依据约定的程序和条件对合同标的物的数量、质量、性能等进行确认交接的行为。</w:t>
      </w:r>
    </w:p>
    <w:p>
      <w:pPr>
        <w:snapToGrid w:val="0"/>
        <w:spacing w:line="400" w:lineRule="exact"/>
        <w:ind w:firstLine="480" w:firstLineChars="200"/>
        <w:rPr>
          <w:rFonts w:ascii="宋体" w:hAnsi="宋体"/>
          <w:sz w:val="24"/>
        </w:rPr>
      </w:pPr>
      <w:r>
        <w:rPr>
          <w:rFonts w:hint="eastAsia" w:ascii="宋体" w:hAnsi="宋体"/>
          <w:sz w:val="24"/>
        </w:rPr>
        <w:t>1.7   交货时间是指卖方将本合同内全部产品提交给买方验收的最后时间。卖方分几次供货时，以最后一次提交买方验收时间为交货时间。</w:t>
      </w:r>
    </w:p>
    <w:p>
      <w:pPr>
        <w:snapToGrid w:val="0"/>
        <w:spacing w:line="400" w:lineRule="exact"/>
        <w:ind w:firstLine="480" w:firstLineChars="200"/>
        <w:rPr>
          <w:rFonts w:ascii="宋体" w:hAnsi="宋体"/>
          <w:sz w:val="24"/>
        </w:rPr>
      </w:pPr>
      <w:r>
        <w:rPr>
          <w:rFonts w:hint="eastAsia" w:ascii="宋体" w:hAnsi="宋体"/>
          <w:sz w:val="24"/>
        </w:rPr>
        <w:t>2. 标准</w:t>
      </w:r>
    </w:p>
    <w:p>
      <w:pPr>
        <w:snapToGrid w:val="0"/>
        <w:spacing w:line="400" w:lineRule="exact"/>
        <w:ind w:firstLine="480" w:firstLineChars="200"/>
        <w:rPr>
          <w:rFonts w:ascii="宋体" w:hAnsi="宋体"/>
          <w:sz w:val="24"/>
        </w:rPr>
      </w:pPr>
      <w:r>
        <w:rPr>
          <w:rFonts w:hint="eastAsia" w:ascii="宋体" w:hAnsi="宋体"/>
          <w:sz w:val="24"/>
        </w:rPr>
        <w:t>2.1  本合同下交付的货物应符合技术规格所述的标准。合同未作特别标注的国产货物，以我国颁布的最新标准为准；如无国家标准的，以行业标准为准；如无行业标准的，按企业标准执行。</w:t>
      </w:r>
    </w:p>
    <w:p>
      <w:pPr>
        <w:snapToGrid w:val="0"/>
        <w:spacing w:line="400" w:lineRule="exact"/>
        <w:ind w:firstLine="480" w:firstLineChars="200"/>
        <w:rPr>
          <w:rFonts w:ascii="宋体" w:hAnsi="宋体"/>
          <w:sz w:val="24"/>
        </w:rPr>
      </w:pPr>
      <w:r>
        <w:rPr>
          <w:rFonts w:hint="eastAsia" w:ascii="宋体" w:hAnsi="宋体"/>
          <w:sz w:val="24"/>
        </w:rPr>
        <w:t>2.2  本合同货物无特别标注的，计量单位均采用中华人民共和国法定计量单位。</w:t>
      </w:r>
    </w:p>
    <w:p>
      <w:pPr>
        <w:snapToGrid w:val="0"/>
        <w:spacing w:line="400" w:lineRule="exact"/>
        <w:ind w:firstLine="480" w:firstLineChars="200"/>
        <w:rPr>
          <w:rFonts w:ascii="宋体" w:hAnsi="宋体"/>
          <w:sz w:val="24"/>
        </w:rPr>
      </w:pPr>
      <w:r>
        <w:rPr>
          <w:rFonts w:hint="eastAsia" w:ascii="宋体" w:hAnsi="宋体"/>
          <w:sz w:val="24"/>
        </w:rPr>
        <w:t>3. 专利权</w:t>
      </w:r>
    </w:p>
    <w:p>
      <w:pPr>
        <w:snapToGrid w:val="0"/>
        <w:spacing w:line="400" w:lineRule="exact"/>
        <w:ind w:firstLine="480" w:firstLineChars="200"/>
        <w:rPr>
          <w:rFonts w:ascii="宋体" w:hAnsi="宋体"/>
          <w:sz w:val="24"/>
        </w:rPr>
      </w:pPr>
      <w:r>
        <w:rPr>
          <w:rFonts w:hint="eastAsia" w:ascii="宋体" w:hAnsi="宋体"/>
          <w:sz w:val="24"/>
        </w:rPr>
        <w:t>卖方保证，买方在使用合同货物或货物的任何一部分时，免受第三方提出的侵犯其专利权、商标权、著作权或其它知识产权的起诉。卖方应承担由此可能产生的一切法律责任和费用（包括但不限于买方支出的赔偿费、诉讼费、评估费、鉴定费、律师费等）。</w:t>
      </w:r>
    </w:p>
    <w:p>
      <w:pPr>
        <w:snapToGrid w:val="0"/>
        <w:spacing w:line="400" w:lineRule="exact"/>
        <w:ind w:firstLine="480" w:firstLineChars="200"/>
        <w:rPr>
          <w:rFonts w:ascii="宋体" w:hAnsi="宋体"/>
          <w:sz w:val="24"/>
        </w:rPr>
      </w:pPr>
      <w:r>
        <w:rPr>
          <w:rFonts w:hint="eastAsia" w:ascii="宋体" w:hAnsi="宋体"/>
          <w:sz w:val="24"/>
        </w:rPr>
        <w:t>4. 包装</w:t>
      </w:r>
    </w:p>
    <w:p>
      <w:pPr>
        <w:snapToGrid w:val="0"/>
        <w:spacing w:line="400" w:lineRule="exact"/>
        <w:ind w:firstLine="480" w:firstLineChars="200"/>
        <w:rPr>
          <w:rFonts w:ascii="宋体" w:hAnsi="宋体"/>
          <w:sz w:val="24"/>
        </w:rPr>
      </w:pPr>
      <w:r>
        <w:rPr>
          <w:rFonts w:hint="eastAsia" w:ascii="宋体" w:hAnsi="宋体"/>
          <w:sz w:val="24"/>
        </w:rPr>
        <w:t>4.1  除合同另有规定外，卖方提供的全部货物，均采用国家或专业标准保护措施（不低于木箱标准）进行包装，使包装适用于海运、空运或陆上的长途运输，并有良好的防潮、防震、防锈和防粗暴装卸等保护措施，确保货物安全无损运抵现场。这类包装还应足以承受但不限于承受转运过程中的装卸，暴露于恶劣气温，大风和降雨环境，以及露天存放。</w:t>
      </w:r>
      <w:r>
        <w:rPr>
          <w:rFonts w:hint="eastAsia" w:ascii="宋体" w:hAnsi="宋体"/>
          <w:bCs/>
          <w:sz w:val="24"/>
        </w:rPr>
        <w:t>包装箱的尺寸及重量应考虑货物最终目的地的偏远程度以及在所有转运地点缺乏重型装卸设施的情况。</w:t>
      </w:r>
      <w:r>
        <w:rPr>
          <w:rFonts w:hint="eastAsia" w:ascii="宋体" w:hAnsi="宋体"/>
          <w:sz w:val="24"/>
        </w:rPr>
        <w:t>对由于包装不善而引起的货物锈蚀、损坏或损失卖方应承担责任。</w:t>
      </w:r>
    </w:p>
    <w:p>
      <w:pPr>
        <w:snapToGrid w:val="0"/>
        <w:spacing w:line="400" w:lineRule="exact"/>
        <w:ind w:firstLine="480" w:firstLineChars="200"/>
        <w:rPr>
          <w:rFonts w:ascii="宋体" w:hAnsi="宋体"/>
          <w:b/>
          <w:sz w:val="24"/>
        </w:rPr>
      </w:pPr>
      <w:r>
        <w:rPr>
          <w:rFonts w:hint="eastAsia" w:ascii="宋体" w:hAnsi="宋体"/>
          <w:sz w:val="24"/>
        </w:rPr>
        <w:t xml:space="preserve">4.2  </w:t>
      </w:r>
      <w:r>
        <w:rPr>
          <w:rFonts w:hint="eastAsia" w:ascii="宋体" w:hAnsi="宋体"/>
          <w:bCs/>
          <w:sz w:val="24"/>
        </w:rPr>
        <w:t>卖方必须无偿提供合同内全部货物的中文使用说明书，说明书包括产品的功能、使用方法、技术参数、常见问题解决办法及产品序列号、型号、版本号以及配合使用的主要设备品牌、型号和版本等信息。</w:t>
      </w:r>
    </w:p>
    <w:p>
      <w:pPr>
        <w:snapToGrid w:val="0"/>
        <w:spacing w:line="400" w:lineRule="exact"/>
        <w:ind w:firstLine="480" w:firstLineChars="200"/>
        <w:rPr>
          <w:rFonts w:ascii="宋体" w:hAnsi="宋体"/>
          <w:sz w:val="24"/>
        </w:rPr>
      </w:pPr>
      <w:r>
        <w:rPr>
          <w:rFonts w:hint="eastAsia" w:ascii="宋体" w:hAnsi="宋体"/>
          <w:sz w:val="24"/>
        </w:rPr>
        <w:t>5.  质量</w:t>
      </w:r>
    </w:p>
    <w:p>
      <w:pPr>
        <w:snapToGrid w:val="0"/>
        <w:spacing w:line="400" w:lineRule="exact"/>
        <w:ind w:firstLine="480" w:firstLineChars="200"/>
        <w:rPr>
          <w:rFonts w:ascii="宋体" w:hAnsi="宋体"/>
          <w:bCs/>
          <w:sz w:val="24"/>
        </w:rPr>
      </w:pPr>
      <w:r>
        <w:rPr>
          <w:rFonts w:hint="eastAsia" w:ascii="宋体" w:hAnsi="宋体"/>
          <w:sz w:val="24"/>
        </w:rPr>
        <w:t xml:space="preserve">5.1  </w:t>
      </w:r>
      <w:r>
        <w:rPr>
          <w:rFonts w:hint="eastAsia" w:ascii="宋体" w:hAnsi="宋体"/>
          <w:bCs/>
          <w:sz w:val="24"/>
        </w:rPr>
        <w:t xml:space="preserve">卖方保证所提供的货物是新品。 </w:t>
      </w:r>
    </w:p>
    <w:p>
      <w:pPr>
        <w:snapToGrid w:val="0"/>
        <w:spacing w:line="400" w:lineRule="exact"/>
        <w:ind w:firstLine="480" w:firstLineChars="200"/>
        <w:rPr>
          <w:rFonts w:ascii="宋体" w:hAnsi="宋体"/>
          <w:bCs/>
          <w:sz w:val="24"/>
        </w:rPr>
      </w:pPr>
      <w:r>
        <w:rPr>
          <w:rFonts w:hint="eastAsia" w:ascii="宋体" w:hAnsi="宋体"/>
          <w:bCs/>
          <w:sz w:val="24"/>
        </w:rPr>
        <w:t>5.2  在货物质保期内，卖方应当对由于设计、工艺、材料和配件的缺陷所产生的不足或故障负责。</w:t>
      </w:r>
    </w:p>
    <w:p>
      <w:pPr>
        <w:snapToGrid w:val="0"/>
        <w:spacing w:line="400" w:lineRule="exact"/>
        <w:ind w:firstLine="480" w:firstLineChars="200"/>
        <w:rPr>
          <w:rFonts w:ascii="宋体" w:hAnsi="宋体"/>
          <w:sz w:val="24"/>
        </w:rPr>
      </w:pPr>
      <w:r>
        <w:rPr>
          <w:rFonts w:hint="eastAsia" w:ascii="宋体" w:hAnsi="宋体"/>
          <w:sz w:val="24"/>
        </w:rPr>
        <w:t>5.3  验收时，如发现卖方提供的货物或配件等不符合合同约定或有缺陷时，买方应以书面形式通知卖方，提出索赔，卖方应当在约定的时间内予以更换，并按违约的相关约定向买方给予赔偿，更换的新产品质保期相应顺延；质保期内，如货物或配件发生质量问题时，按售后服务的约定执行。</w:t>
      </w:r>
    </w:p>
    <w:p>
      <w:pPr>
        <w:snapToGrid w:val="0"/>
        <w:spacing w:line="400" w:lineRule="exact"/>
        <w:ind w:firstLine="480" w:firstLineChars="200"/>
        <w:rPr>
          <w:rFonts w:ascii="宋体" w:hAnsi="宋体"/>
          <w:sz w:val="24"/>
        </w:rPr>
      </w:pPr>
      <w:r>
        <w:rPr>
          <w:rFonts w:hint="eastAsia" w:ascii="宋体" w:hAnsi="宋体"/>
          <w:sz w:val="24"/>
        </w:rPr>
        <w:t>6．交货</w:t>
      </w:r>
    </w:p>
    <w:p>
      <w:pPr>
        <w:snapToGrid w:val="0"/>
        <w:spacing w:line="400" w:lineRule="exact"/>
        <w:ind w:firstLine="480" w:firstLineChars="200"/>
        <w:rPr>
          <w:rFonts w:ascii="宋体" w:hAnsi="宋体"/>
          <w:sz w:val="24"/>
        </w:rPr>
      </w:pPr>
      <w:r>
        <w:rPr>
          <w:rFonts w:hint="eastAsia" w:ascii="宋体" w:hAnsi="宋体"/>
          <w:sz w:val="24"/>
        </w:rPr>
        <w:t>6.1  交货的时间和地点执行本合同《协议书》。</w:t>
      </w:r>
    </w:p>
    <w:p>
      <w:pPr>
        <w:snapToGrid w:val="0"/>
        <w:spacing w:line="400" w:lineRule="exact"/>
        <w:ind w:firstLine="480" w:firstLineChars="200"/>
        <w:rPr>
          <w:rFonts w:ascii="宋体" w:hAnsi="宋体"/>
          <w:sz w:val="24"/>
        </w:rPr>
      </w:pPr>
      <w:r>
        <w:rPr>
          <w:rFonts w:hint="eastAsia" w:ascii="宋体" w:hAnsi="宋体"/>
          <w:sz w:val="24"/>
        </w:rPr>
        <w:t>6.2  延期交货</w:t>
      </w:r>
    </w:p>
    <w:p>
      <w:pPr>
        <w:snapToGrid w:val="0"/>
        <w:spacing w:line="400" w:lineRule="exact"/>
        <w:ind w:firstLine="480" w:firstLineChars="200"/>
        <w:rPr>
          <w:rFonts w:ascii="宋体" w:hAnsi="宋体"/>
          <w:sz w:val="24"/>
        </w:rPr>
      </w:pPr>
      <w:r>
        <w:rPr>
          <w:rFonts w:hint="eastAsia" w:ascii="宋体" w:hAnsi="宋体"/>
          <w:sz w:val="24"/>
        </w:rPr>
        <w:t>6.2.1  卖方应按合同规定的时间交货和提供服务。</w:t>
      </w:r>
    </w:p>
    <w:p>
      <w:pPr>
        <w:snapToGrid w:val="0"/>
        <w:spacing w:line="400" w:lineRule="exact"/>
        <w:ind w:firstLine="480" w:firstLineChars="200"/>
        <w:rPr>
          <w:rFonts w:ascii="宋体" w:hAnsi="宋体"/>
          <w:sz w:val="24"/>
        </w:rPr>
      </w:pPr>
      <w:r>
        <w:rPr>
          <w:rFonts w:hint="eastAsia" w:ascii="宋体" w:hAnsi="宋体"/>
          <w:sz w:val="24"/>
        </w:rPr>
        <w:t>6.2.2  在履行合同过程中，如果卖方遇到不能按期交货和提供服务情况，应及时以书面形式将不能按时交货的理由、可能延误的时间通知买方。买方在收到通知后，应进行分析，如果同意，以书面形式通知卖方,可酌情延长交货时间。</w:t>
      </w:r>
    </w:p>
    <w:p>
      <w:pPr>
        <w:snapToGrid w:val="0"/>
        <w:spacing w:line="400" w:lineRule="exact"/>
        <w:ind w:firstLine="480" w:firstLineChars="200"/>
        <w:rPr>
          <w:rFonts w:ascii="宋体" w:hAnsi="宋体"/>
          <w:sz w:val="24"/>
        </w:rPr>
      </w:pPr>
      <w:r>
        <w:rPr>
          <w:rFonts w:hint="eastAsia" w:ascii="宋体" w:hAnsi="宋体"/>
          <w:sz w:val="24"/>
        </w:rPr>
        <w:t>6.2.3   如果卖方毫无理由拖延交货，将受到扣除履约保证金的制裁或终止合同。</w:t>
      </w:r>
    </w:p>
    <w:p>
      <w:pPr>
        <w:snapToGrid w:val="0"/>
        <w:spacing w:line="400" w:lineRule="exact"/>
        <w:ind w:firstLine="480" w:firstLineChars="200"/>
        <w:rPr>
          <w:rFonts w:ascii="宋体" w:hAnsi="宋体"/>
          <w:sz w:val="24"/>
        </w:rPr>
      </w:pPr>
      <w:r>
        <w:rPr>
          <w:rFonts w:hint="eastAsia" w:ascii="宋体" w:hAnsi="宋体"/>
          <w:sz w:val="24"/>
        </w:rPr>
        <w:t>7. 技术文件和资料</w:t>
      </w:r>
    </w:p>
    <w:p>
      <w:pPr>
        <w:snapToGrid w:val="0"/>
        <w:spacing w:line="400" w:lineRule="exact"/>
        <w:ind w:firstLine="480" w:firstLineChars="200"/>
        <w:rPr>
          <w:rFonts w:ascii="宋体" w:hAnsi="宋体"/>
          <w:sz w:val="24"/>
        </w:rPr>
      </w:pPr>
      <w:r>
        <w:rPr>
          <w:rFonts w:hint="eastAsia" w:ascii="宋体" w:hAnsi="宋体"/>
          <w:sz w:val="24"/>
        </w:rPr>
        <w:t>7.1  提供技术文件和资料的种类和数量在本采购文件中已规定，买卖双方可根据需要订立具体的资料交付时间和数量。</w:t>
      </w:r>
    </w:p>
    <w:p>
      <w:pPr>
        <w:snapToGrid w:val="0"/>
        <w:spacing w:line="400" w:lineRule="exact"/>
        <w:ind w:firstLine="480" w:firstLineChars="200"/>
        <w:rPr>
          <w:rFonts w:ascii="宋体" w:hAnsi="宋体"/>
          <w:sz w:val="24"/>
        </w:rPr>
      </w:pPr>
      <w:r>
        <w:rPr>
          <w:rFonts w:hint="eastAsia" w:ascii="宋体" w:hAnsi="宋体"/>
          <w:sz w:val="24"/>
        </w:rPr>
        <w:t>7.2  如果买方确认卖方提供的技术文件和资料不完整，或在运输途中丢失，卖方应在收到买方通知后3天内将文件、资料补齐。</w:t>
      </w:r>
    </w:p>
    <w:p>
      <w:pPr>
        <w:snapToGrid w:val="0"/>
        <w:spacing w:line="400" w:lineRule="exact"/>
        <w:ind w:firstLine="480" w:firstLineChars="200"/>
        <w:rPr>
          <w:rFonts w:ascii="宋体" w:hAnsi="宋体"/>
          <w:sz w:val="24"/>
        </w:rPr>
      </w:pPr>
      <w:r>
        <w:rPr>
          <w:rFonts w:hint="eastAsia" w:ascii="宋体" w:hAnsi="宋体"/>
          <w:sz w:val="24"/>
        </w:rPr>
        <w:t>8. 税费</w:t>
      </w:r>
    </w:p>
    <w:p>
      <w:pPr>
        <w:snapToGrid w:val="0"/>
        <w:spacing w:line="400" w:lineRule="exact"/>
        <w:ind w:firstLine="480" w:firstLineChars="200"/>
        <w:rPr>
          <w:rFonts w:ascii="宋体" w:hAnsi="宋体"/>
          <w:sz w:val="24"/>
        </w:rPr>
      </w:pPr>
      <w:r>
        <w:rPr>
          <w:rFonts w:hint="eastAsia" w:ascii="宋体" w:hAnsi="宋体"/>
          <w:sz w:val="24"/>
        </w:rPr>
        <w:t>8.1  器材装备的投标报价为货到采购人指定地点价格。</w:t>
      </w:r>
    </w:p>
    <w:p>
      <w:pPr>
        <w:snapToGrid w:val="0"/>
        <w:spacing w:line="400" w:lineRule="exact"/>
        <w:ind w:firstLine="480" w:firstLineChars="200"/>
        <w:rPr>
          <w:rFonts w:ascii="宋体" w:hAnsi="宋体"/>
          <w:sz w:val="24"/>
        </w:rPr>
      </w:pPr>
      <w:r>
        <w:rPr>
          <w:rFonts w:hint="eastAsia" w:ascii="宋体" w:hAnsi="宋体"/>
          <w:sz w:val="24"/>
        </w:rPr>
        <w:t>8.2  根据国家现行税法征收的与本合同有关的一切税费均由卖方承担。</w:t>
      </w:r>
    </w:p>
    <w:p>
      <w:pPr>
        <w:snapToGrid w:val="0"/>
        <w:spacing w:line="400" w:lineRule="exact"/>
        <w:ind w:firstLine="480" w:firstLineChars="200"/>
        <w:rPr>
          <w:rFonts w:ascii="宋体" w:hAnsi="宋体"/>
          <w:sz w:val="24"/>
        </w:rPr>
      </w:pPr>
      <w:r>
        <w:rPr>
          <w:rFonts w:hint="eastAsia" w:ascii="宋体" w:hAnsi="宋体"/>
          <w:sz w:val="24"/>
        </w:rPr>
        <w:t>8.3  在中国境外发生的与本合同执行有关的一切税费由卖方承担。</w:t>
      </w:r>
    </w:p>
    <w:p>
      <w:pPr>
        <w:snapToGrid w:val="0"/>
        <w:spacing w:line="400" w:lineRule="exact"/>
        <w:ind w:firstLine="480" w:firstLineChars="200"/>
        <w:rPr>
          <w:rFonts w:ascii="宋体" w:hAnsi="宋体"/>
          <w:bCs/>
          <w:sz w:val="24"/>
        </w:rPr>
      </w:pPr>
      <w:r>
        <w:rPr>
          <w:rFonts w:hint="eastAsia" w:ascii="宋体" w:hAnsi="宋体"/>
          <w:bCs/>
          <w:sz w:val="24"/>
        </w:rPr>
        <w:t>9.  验收</w:t>
      </w:r>
    </w:p>
    <w:p>
      <w:pPr>
        <w:snapToGrid w:val="0"/>
        <w:spacing w:line="400" w:lineRule="exact"/>
        <w:ind w:firstLine="480" w:firstLineChars="200"/>
        <w:rPr>
          <w:rFonts w:ascii="宋体" w:hAnsi="宋体"/>
          <w:bCs/>
          <w:sz w:val="24"/>
        </w:rPr>
      </w:pPr>
      <w:r>
        <w:rPr>
          <w:rFonts w:hint="eastAsia" w:ascii="宋体" w:hAnsi="宋体"/>
          <w:bCs/>
          <w:sz w:val="24"/>
        </w:rPr>
        <w:t>本合同项下货物验收遵照以下流程和条件</w:t>
      </w:r>
    </w:p>
    <w:p>
      <w:pPr>
        <w:snapToGrid w:val="0"/>
        <w:spacing w:line="400" w:lineRule="exact"/>
        <w:ind w:firstLine="480" w:firstLineChars="200"/>
        <w:rPr>
          <w:rFonts w:ascii="宋体" w:hAnsi="宋体"/>
          <w:bCs/>
          <w:sz w:val="24"/>
        </w:rPr>
      </w:pPr>
      <w:r>
        <w:rPr>
          <w:rFonts w:hint="eastAsia" w:ascii="宋体" w:hAnsi="宋体"/>
          <w:bCs/>
          <w:sz w:val="24"/>
        </w:rPr>
        <w:t>9.1 卖方应在供货合同规定的时间内将装备发送收货地点并提交书面验收申请。</w:t>
      </w:r>
    </w:p>
    <w:p>
      <w:pPr>
        <w:snapToGrid w:val="0"/>
        <w:spacing w:line="400" w:lineRule="exact"/>
        <w:ind w:firstLine="480" w:firstLineChars="200"/>
        <w:rPr>
          <w:rFonts w:ascii="宋体" w:hAnsi="宋体"/>
          <w:bCs/>
          <w:sz w:val="24"/>
        </w:rPr>
      </w:pPr>
      <w:r>
        <w:rPr>
          <w:rFonts w:hint="eastAsia" w:ascii="宋体" w:hAnsi="宋体"/>
          <w:bCs/>
          <w:sz w:val="24"/>
        </w:rPr>
        <w:t>9.2 货物到达目的地后买卖双方要在现场共同开箱验收。买方将按照装箱清单清点货物数量，检查货物破损情况，卖方必须派出代表参加货物验收工作，否则买方不予验收，按照卖方货物未到处理。</w:t>
      </w:r>
    </w:p>
    <w:p>
      <w:pPr>
        <w:snapToGrid w:val="0"/>
        <w:spacing w:line="400" w:lineRule="exact"/>
        <w:ind w:firstLine="480" w:firstLineChars="200"/>
        <w:rPr>
          <w:rFonts w:ascii="宋体" w:hAnsi="宋体"/>
          <w:bCs/>
          <w:sz w:val="24"/>
        </w:rPr>
      </w:pPr>
      <w:r>
        <w:rPr>
          <w:rFonts w:hint="eastAsia" w:ascii="宋体" w:hAnsi="宋体"/>
          <w:bCs/>
          <w:sz w:val="24"/>
        </w:rPr>
        <w:t>9.3 买方组成集中采购装备验收小组，对采购的货物进行专门验收，不符合合同规定的，买方将不予验收。</w:t>
      </w:r>
    </w:p>
    <w:p>
      <w:pPr>
        <w:snapToGrid w:val="0"/>
        <w:spacing w:line="400" w:lineRule="exact"/>
        <w:ind w:firstLine="480" w:firstLineChars="200"/>
        <w:rPr>
          <w:rFonts w:ascii="宋体" w:hAnsi="宋体"/>
          <w:bCs/>
          <w:sz w:val="24"/>
        </w:rPr>
      </w:pPr>
      <w:r>
        <w:rPr>
          <w:rFonts w:hint="eastAsia" w:ascii="宋体" w:hAnsi="宋体"/>
          <w:bCs/>
          <w:sz w:val="24"/>
        </w:rPr>
        <w:t>9.4产品验收时，卖方必须要有一名以上厂家技术人员在场，验收完毕后，买方和卖方共同签字确认新疆维吾尔自治区消防救援总队灭火救援车辆装备验收单。买方根据采购验收单按合同支付货款。</w:t>
      </w:r>
    </w:p>
    <w:p>
      <w:pPr>
        <w:adjustRightInd w:val="0"/>
        <w:snapToGrid w:val="0"/>
        <w:spacing w:line="400" w:lineRule="exact"/>
        <w:ind w:firstLine="480" w:firstLineChars="200"/>
        <w:rPr>
          <w:rFonts w:ascii="宋体" w:hAnsi="宋体"/>
          <w:bCs/>
          <w:sz w:val="24"/>
        </w:rPr>
      </w:pPr>
      <w:r>
        <w:rPr>
          <w:rFonts w:hint="eastAsia" w:ascii="宋体" w:hAnsi="宋体"/>
          <w:bCs/>
          <w:sz w:val="24"/>
        </w:rPr>
        <w:t>9.5装备的验收，综合判定为“合格”、“不合格”，综合评判为“合格”的器材，清点入总队库房。综合评判为“不合格”的器材，限期整改并等比例扣除履约保证金，整改完毕后进行复验；限期内未整改完毕的或“复验”不合格的，按合同规定做退货处理，扣除全额履约保证金，并将供货商列入总队装备集中采购黑名单，3年内不得参加总队装备采购投标工作。</w:t>
      </w:r>
    </w:p>
    <w:p>
      <w:pPr>
        <w:adjustRightInd w:val="0"/>
        <w:snapToGrid w:val="0"/>
        <w:spacing w:line="400" w:lineRule="exact"/>
        <w:ind w:firstLine="480" w:firstLineChars="200"/>
        <w:rPr>
          <w:rFonts w:ascii="宋体" w:hAnsi="宋体"/>
          <w:sz w:val="24"/>
        </w:rPr>
      </w:pPr>
      <w:r>
        <w:rPr>
          <w:rFonts w:hint="eastAsia" w:ascii="宋体" w:hAnsi="宋体"/>
          <w:sz w:val="24"/>
        </w:rPr>
        <w:t>10.  付款：执行本合同《协议书》。</w:t>
      </w:r>
    </w:p>
    <w:p>
      <w:pPr>
        <w:adjustRightInd w:val="0"/>
        <w:snapToGrid w:val="0"/>
        <w:spacing w:line="400" w:lineRule="exact"/>
        <w:ind w:firstLine="480" w:firstLineChars="200"/>
        <w:rPr>
          <w:rFonts w:ascii="宋体" w:hAnsi="宋体"/>
          <w:sz w:val="24"/>
        </w:rPr>
      </w:pPr>
      <w:r>
        <w:rPr>
          <w:rFonts w:hint="eastAsia" w:ascii="宋体" w:hAnsi="宋体"/>
          <w:sz w:val="24"/>
        </w:rPr>
        <w:t>11.  培训</w:t>
      </w:r>
    </w:p>
    <w:p>
      <w:pPr>
        <w:adjustRightInd w:val="0"/>
        <w:snapToGrid w:val="0"/>
        <w:spacing w:line="400" w:lineRule="exact"/>
        <w:ind w:firstLine="480" w:firstLineChars="200"/>
        <w:rPr>
          <w:rFonts w:ascii="宋体" w:hAnsi="宋体"/>
          <w:sz w:val="24"/>
        </w:rPr>
      </w:pPr>
      <w:r>
        <w:rPr>
          <w:rFonts w:hint="eastAsia" w:ascii="宋体" w:hAnsi="宋体"/>
          <w:sz w:val="24"/>
        </w:rPr>
        <w:t>12.  售后服务</w:t>
      </w:r>
    </w:p>
    <w:p>
      <w:pPr>
        <w:pStyle w:val="34"/>
        <w:adjustRightInd w:val="0"/>
        <w:snapToGrid w:val="0"/>
        <w:spacing w:before="0" w:beforeAutospacing="0" w:after="0" w:afterAutospacing="0" w:line="400" w:lineRule="exact"/>
        <w:ind w:firstLine="480" w:firstLineChars="200"/>
        <w:rPr>
          <w:rFonts w:cs="Times New Roman"/>
          <w:kern w:val="2"/>
          <w:szCs w:val="20"/>
        </w:rPr>
      </w:pPr>
      <w:r>
        <w:rPr>
          <w:rFonts w:hint="eastAsia" w:cs="Times New Roman"/>
          <w:kern w:val="2"/>
          <w:szCs w:val="20"/>
        </w:rPr>
        <w:t xml:space="preserve">  （以中标方投标承诺为准） </w:t>
      </w:r>
    </w:p>
    <w:p>
      <w:pPr>
        <w:pStyle w:val="34"/>
        <w:adjustRightInd w:val="0"/>
        <w:snapToGrid w:val="0"/>
        <w:spacing w:before="0" w:beforeAutospacing="0" w:after="0" w:afterAutospacing="0" w:line="400" w:lineRule="exact"/>
        <w:ind w:firstLine="480" w:firstLineChars="200"/>
        <w:rPr>
          <w:rFonts w:cs="Times New Roman"/>
          <w:kern w:val="2"/>
          <w:szCs w:val="20"/>
        </w:rPr>
      </w:pPr>
      <w:r>
        <w:rPr>
          <w:rFonts w:hint="eastAsia" w:cs="Times New Roman"/>
          <w:kern w:val="2"/>
          <w:szCs w:val="20"/>
        </w:rPr>
        <w:t>13.  双方责任</w:t>
      </w:r>
    </w:p>
    <w:p>
      <w:pPr>
        <w:pStyle w:val="34"/>
        <w:adjustRightInd w:val="0"/>
        <w:snapToGrid w:val="0"/>
        <w:spacing w:before="0" w:beforeAutospacing="0" w:after="0" w:afterAutospacing="0" w:line="400" w:lineRule="exact"/>
        <w:ind w:firstLine="480" w:firstLineChars="200"/>
        <w:rPr>
          <w:rFonts w:cs="Times New Roman"/>
          <w:kern w:val="2"/>
          <w:szCs w:val="20"/>
        </w:rPr>
      </w:pPr>
      <w:r>
        <w:t>1</w:t>
      </w:r>
      <w:r>
        <w:rPr>
          <w:rFonts w:hint="eastAsia"/>
        </w:rPr>
        <w:t>3</w:t>
      </w:r>
      <w:r>
        <w:t xml:space="preserve">.1  </w:t>
      </w:r>
      <w:r>
        <w:rPr>
          <w:rFonts w:hint="eastAsia"/>
        </w:rPr>
        <w:t>买方责任</w:t>
      </w:r>
    </w:p>
    <w:p>
      <w:pPr>
        <w:adjustRightInd w:val="0"/>
        <w:snapToGrid w:val="0"/>
        <w:spacing w:line="400" w:lineRule="exact"/>
        <w:ind w:firstLine="480" w:firstLineChars="200"/>
        <w:rPr>
          <w:rFonts w:ascii="宋体" w:hAnsi="宋体"/>
          <w:sz w:val="24"/>
        </w:rPr>
      </w:pPr>
      <w:r>
        <w:rPr>
          <w:rFonts w:ascii="宋体" w:hAnsi="宋体"/>
          <w:sz w:val="24"/>
        </w:rPr>
        <w:t>1</w:t>
      </w:r>
      <w:r>
        <w:rPr>
          <w:rFonts w:hint="eastAsia" w:ascii="宋体" w:hAnsi="宋体"/>
          <w:sz w:val="24"/>
        </w:rPr>
        <w:t>3</w:t>
      </w:r>
      <w:r>
        <w:rPr>
          <w:rFonts w:ascii="宋体" w:hAnsi="宋体"/>
          <w:sz w:val="24"/>
        </w:rPr>
        <w:t xml:space="preserve">.1.1  </w:t>
      </w:r>
      <w:r>
        <w:rPr>
          <w:rFonts w:hint="eastAsia" w:ascii="宋体" w:hAnsi="宋体"/>
          <w:sz w:val="24"/>
        </w:rPr>
        <w:t>按合同规定向卖方支付货款。</w:t>
      </w:r>
    </w:p>
    <w:p>
      <w:pPr>
        <w:adjustRightInd w:val="0"/>
        <w:snapToGrid w:val="0"/>
        <w:spacing w:line="400" w:lineRule="exact"/>
        <w:ind w:firstLine="480" w:firstLineChars="200"/>
        <w:rPr>
          <w:rFonts w:ascii="宋体" w:hAnsi="宋体"/>
          <w:sz w:val="24"/>
        </w:rPr>
      </w:pPr>
      <w:r>
        <w:rPr>
          <w:rFonts w:ascii="宋体" w:hAnsi="宋体"/>
          <w:sz w:val="24"/>
        </w:rPr>
        <w:t>1</w:t>
      </w:r>
      <w:r>
        <w:rPr>
          <w:rFonts w:hint="eastAsia" w:ascii="宋体" w:hAnsi="宋体"/>
          <w:sz w:val="24"/>
        </w:rPr>
        <w:t>3</w:t>
      </w:r>
      <w:r>
        <w:rPr>
          <w:rFonts w:ascii="宋体" w:hAnsi="宋体"/>
          <w:sz w:val="24"/>
        </w:rPr>
        <w:t xml:space="preserve">.1.2  </w:t>
      </w:r>
      <w:r>
        <w:rPr>
          <w:rFonts w:hint="eastAsia" w:ascii="宋体" w:hAnsi="宋体"/>
          <w:sz w:val="24"/>
        </w:rPr>
        <w:t>组织对货物的验收。</w:t>
      </w:r>
    </w:p>
    <w:p>
      <w:pPr>
        <w:adjustRightInd w:val="0"/>
        <w:snapToGrid w:val="0"/>
        <w:spacing w:line="400" w:lineRule="exact"/>
        <w:ind w:firstLine="480" w:firstLineChars="200"/>
        <w:rPr>
          <w:rFonts w:ascii="宋体" w:hAnsi="宋体"/>
          <w:sz w:val="24"/>
        </w:rPr>
      </w:pPr>
      <w:r>
        <w:rPr>
          <w:rFonts w:ascii="宋体" w:hAnsi="宋体"/>
          <w:sz w:val="24"/>
        </w:rPr>
        <w:t>1</w:t>
      </w:r>
      <w:r>
        <w:rPr>
          <w:rFonts w:hint="eastAsia" w:ascii="宋体" w:hAnsi="宋体"/>
          <w:sz w:val="24"/>
        </w:rPr>
        <w:t>3</w:t>
      </w:r>
      <w:r>
        <w:rPr>
          <w:rFonts w:ascii="宋体" w:hAnsi="宋体"/>
          <w:sz w:val="24"/>
        </w:rPr>
        <w:t xml:space="preserve">.2  </w:t>
      </w:r>
      <w:r>
        <w:rPr>
          <w:rFonts w:hint="eastAsia" w:ascii="宋体" w:hAnsi="宋体"/>
          <w:sz w:val="24"/>
        </w:rPr>
        <w:t>卖方责任</w:t>
      </w:r>
    </w:p>
    <w:p>
      <w:pPr>
        <w:adjustRightInd w:val="0"/>
        <w:snapToGrid w:val="0"/>
        <w:spacing w:line="400" w:lineRule="exact"/>
        <w:ind w:firstLine="480" w:firstLineChars="200"/>
        <w:rPr>
          <w:rFonts w:ascii="宋体" w:hAnsi="宋体"/>
          <w:sz w:val="24"/>
        </w:rPr>
      </w:pPr>
      <w:r>
        <w:rPr>
          <w:rFonts w:ascii="宋体" w:hAnsi="宋体"/>
          <w:sz w:val="24"/>
        </w:rPr>
        <w:t>1</w:t>
      </w:r>
      <w:r>
        <w:rPr>
          <w:rFonts w:hint="eastAsia" w:ascii="宋体" w:hAnsi="宋体"/>
          <w:sz w:val="24"/>
        </w:rPr>
        <w:t>3</w:t>
      </w:r>
      <w:r>
        <w:rPr>
          <w:rFonts w:ascii="宋体" w:hAnsi="宋体"/>
          <w:sz w:val="24"/>
        </w:rPr>
        <w:t xml:space="preserve">.2.1  </w:t>
      </w:r>
      <w:r>
        <w:rPr>
          <w:rFonts w:hint="eastAsia" w:ascii="宋体" w:hAnsi="宋体"/>
          <w:sz w:val="24"/>
        </w:rPr>
        <w:t>按合同要求提供货物和服务。</w:t>
      </w:r>
    </w:p>
    <w:p>
      <w:pPr>
        <w:adjustRightInd w:val="0"/>
        <w:snapToGrid w:val="0"/>
        <w:spacing w:line="400" w:lineRule="exact"/>
        <w:ind w:firstLine="480" w:firstLineChars="200"/>
        <w:rPr>
          <w:rFonts w:ascii="宋体" w:hAnsi="宋体"/>
          <w:sz w:val="24"/>
        </w:rPr>
      </w:pPr>
      <w:r>
        <w:rPr>
          <w:rFonts w:ascii="宋体" w:hAnsi="宋体"/>
          <w:sz w:val="24"/>
        </w:rPr>
        <w:t>1</w:t>
      </w:r>
      <w:r>
        <w:rPr>
          <w:rFonts w:hint="eastAsia" w:ascii="宋体" w:hAnsi="宋体"/>
          <w:sz w:val="24"/>
        </w:rPr>
        <w:t>3</w:t>
      </w:r>
      <w:r>
        <w:rPr>
          <w:rFonts w:ascii="宋体" w:hAnsi="宋体"/>
          <w:sz w:val="24"/>
        </w:rPr>
        <w:t xml:space="preserve">.2.2  </w:t>
      </w:r>
      <w:r>
        <w:rPr>
          <w:rFonts w:hint="eastAsia" w:ascii="宋体" w:hAnsi="宋体"/>
          <w:sz w:val="24"/>
        </w:rPr>
        <w:t>对所提供的货物和服务质量问题无条件负责处理。</w:t>
      </w:r>
    </w:p>
    <w:p>
      <w:pPr>
        <w:adjustRightInd w:val="0"/>
        <w:snapToGrid w:val="0"/>
        <w:spacing w:line="400" w:lineRule="exact"/>
        <w:ind w:firstLine="480" w:firstLineChars="200"/>
        <w:rPr>
          <w:rFonts w:ascii="宋体" w:hAnsi="宋体"/>
          <w:sz w:val="24"/>
        </w:rPr>
      </w:pPr>
      <w:r>
        <w:rPr>
          <w:rFonts w:ascii="宋体" w:hAnsi="宋体"/>
          <w:sz w:val="24"/>
        </w:rPr>
        <w:t>1</w:t>
      </w:r>
      <w:r>
        <w:rPr>
          <w:rFonts w:hint="eastAsia" w:ascii="宋体" w:hAnsi="宋体"/>
          <w:sz w:val="24"/>
        </w:rPr>
        <w:t>3</w:t>
      </w:r>
      <w:r>
        <w:rPr>
          <w:rFonts w:ascii="宋体" w:hAnsi="宋体"/>
          <w:sz w:val="24"/>
        </w:rPr>
        <w:t>.2.3卖方对本合同签订及履行过程中获知的买方信息负有保密义务。</w:t>
      </w:r>
    </w:p>
    <w:p>
      <w:pPr>
        <w:snapToGrid w:val="0"/>
        <w:spacing w:line="400" w:lineRule="exact"/>
        <w:ind w:firstLine="480" w:firstLineChars="200"/>
        <w:rPr>
          <w:rFonts w:ascii="宋体" w:hAnsi="宋体"/>
          <w:sz w:val="24"/>
        </w:rPr>
      </w:pPr>
      <w:r>
        <w:rPr>
          <w:rFonts w:hint="eastAsia" w:ascii="宋体" w:hAnsi="宋体"/>
          <w:sz w:val="24"/>
        </w:rPr>
        <w:t>14.  违约责任</w:t>
      </w:r>
    </w:p>
    <w:p>
      <w:pPr>
        <w:snapToGrid w:val="0"/>
        <w:spacing w:line="400" w:lineRule="exact"/>
        <w:ind w:firstLine="480" w:firstLineChars="200"/>
        <w:rPr>
          <w:rFonts w:ascii="宋体" w:hAnsi="宋体"/>
          <w:sz w:val="24"/>
        </w:rPr>
      </w:pPr>
      <w:r>
        <w:rPr>
          <w:rFonts w:hint="eastAsia" w:ascii="宋体" w:hAnsi="宋体"/>
          <w:sz w:val="24"/>
        </w:rPr>
        <w:t>14.1  交货违约</w:t>
      </w:r>
    </w:p>
    <w:p>
      <w:pPr>
        <w:snapToGrid w:val="0"/>
        <w:spacing w:line="400" w:lineRule="exact"/>
        <w:ind w:firstLine="480" w:firstLineChars="200"/>
        <w:rPr>
          <w:rFonts w:ascii="宋体" w:hAnsi="宋体"/>
          <w:sz w:val="24"/>
        </w:rPr>
      </w:pPr>
      <w:r>
        <w:rPr>
          <w:rFonts w:hint="eastAsia" w:ascii="宋体" w:hAnsi="宋体"/>
          <w:sz w:val="24"/>
        </w:rPr>
        <w:t>14.1.1  卖方违反本合同约定，延迟交货未取得买方书面同意的，每延迟一天按合同总价的1 ‰扣除履约保证金；延迟超过15日，买方有权单方解除合同，扣除全部履约保证金，还应当承担合同总额30%的违约金，造成买方损失的，卖方还应当赔偿。</w:t>
      </w:r>
    </w:p>
    <w:p>
      <w:pPr>
        <w:snapToGrid w:val="0"/>
        <w:spacing w:line="400" w:lineRule="exact"/>
        <w:ind w:firstLine="480" w:firstLineChars="200"/>
        <w:rPr>
          <w:rFonts w:ascii="宋体" w:hAnsi="宋体"/>
          <w:sz w:val="24"/>
        </w:rPr>
      </w:pPr>
      <w:r>
        <w:rPr>
          <w:rFonts w:hint="eastAsia" w:ascii="宋体" w:hAnsi="宋体"/>
          <w:sz w:val="24"/>
        </w:rPr>
        <w:t>14.1.2卖方所发货品规格、型号、质量等不符合合同约定的，买方有权单方解除合同，拒绝收货和付款，扣除履约保证金，并由卖方承担合同总额30%的违约金，由此所发生的一切费用、损失（包括给双方造成的经济损失），均由卖方负责。</w:t>
      </w:r>
    </w:p>
    <w:p>
      <w:pPr>
        <w:snapToGrid w:val="0"/>
        <w:spacing w:line="400" w:lineRule="exact"/>
        <w:ind w:firstLine="480" w:firstLineChars="200"/>
        <w:rPr>
          <w:rFonts w:ascii="宋体" w:hAnsi="宋体"/>
          <w:sz w:val="24"/>
        </w:rPr>
      </w:pPr>
      <w:r>
        <w:rPr>
          <w:rFonts w:hint="eastAsia" w:ascii="宋体" w:hAnsi="宋体"/>
          <w:sz w:val="24"/>
        </w:rPr>
        <w:t>14.1.3合同生效后，卖方中途解除合同（不可抗力原因除外），应按给买方造成的损失向甲方支付赔偿金，买方有权扣除履约保证金，并由卖方向买方支付合同总金额30%的违约金。</w:t>
      </w:r>
    </w:p>
    <w:p>
      <w:pPr>
        <w:snapToGrid w:val="0"/>
        <w:spacing w:line="400" w:lineRule="exact"/>
        <w:ind w:firstLine="480" w:firstLineChars="200"/>
        <w:rPr>
          <w:rFonts w:ascii="宋体" w:hAnsi="宋体"/>
          <w:sz w:val="24"/>
        </w:rPr>
      </w:pPr>
      <w:r>
        <w:rPr>
          <w:rFonts w:hint="eastAsia" w:ascii="宋体" w:hAnsi="宋体"/>
          <w:sz w:val="24"/>
        </w:rPr>
        <w:t>14.1.4卖方违约，还应赔偿买方因此遭受的其他损失，包括为主张权益所支付的律师费、交通费、公证费、鉴定费、评估费、差旅费等全部费用。</w:t>
      </w:r>
    </w:p>
    <w:p>
      <w:pPr>
        <w:snapToGrid w:val="0"/>
        <w:spacing w:line="400" w:lineRule="exact"/>
        <w:ind w:firstLine="480" w:firstLineChars="200"/>
        <w:rPr>
          <w:rFonts w:ascii="宋体" w:hAnsi="宋体"/>
          <w:sz w:val="24"/>
        </w:rPr>
      </w:pPr>
      <w:r>
        <w:rPr>
          <w:rFonts w:hint="eastAsia" w:ascii="宋体" w:hAnsi="宋体"/>
          <w:sz w:val="24"/>
        </w:rPr>
        <w:t>14.1.5卖方违约的，买方有权将相应违约金、赔偿金从履约保证金及应给卖方支付的货款中直接予以扣除。</w:t>
      </w:r>
    </w:p>
    <w:p>
      <w:pPr>
        <w:snapToGrid w:val="0"/>
        <w:spacing w:line="400" w:lineRule="exact"/>
        <w:ind w:firstLine="480" w:firstLineChars="200"/>
        <w:rPr>
          <w:rFonts w:ascii="宋体" w:hAnsi="宋体"/>
          <w:sz w:val="24"/>
        </w:rPr>
      </w:pPr>
      <w:r>
        <w:rPr>
          <w:rFonts w:hint="eastAsia" w:ascii="宋体" w:hAnsi="宋体"/>
          <w:sz w:val="24"/>
        </w:rPr>
        <w:t>14.2  付款违约</w:t>
      </w:r>
    </w:p>
    <w:p>
      <w:pPr>
        <w:snapToGrid w:val="0"/>
        <w:spacing w:line="400" w:lineRule="exact"/>
        <w:ind w:firstLine="480" w:firstLineChars="200"/>
        <w:rPr>
          <w:rFonts w:ascii="宋体" w:hAnsi="宋体"/>
          <w:sz w:val="24"/>
        </w:rPr>
      </w:pPr>
      <w:r>
        <w:rPr>
          <w:rFonts w:hint="eastAsia" w:ascii="宋体" w:hAnsi="宋体"/>
          <w:sz w:val="24"/>
        </w:rPr>
        <w:t>买方接收经验收合格的货物后而未能按合同约定时间付款的，推迟付款时间超过</w:t>
      </w:r>
      <w:r>
        <w:rPr>
          <w:rFonts w:hint="eastAsia" w:ascii="宋体" w:hAnsi="宋体"/>
          <w:sz w:val="24"/>
          <w:u w:val="single"/>
        </w:rPr>
        <w:t>30</w:t>
      </w:r>
      <w:r>
        <w:rPr>
          <w:rFonts w:hint="eastAsia" w:ascii="宋体" w:hAnsi="宋体"/>
          <w:sz w:val="24"/>
        </w:rPr>
        <w:t>天时，每超过一天按合同总价的</w:t>
      </w:r>
      <w:r>
        <w:rPr>
          <w:rFonts w:hint="eastAsia" w:ascii="宋体" w:hAnsi="宋体"/>
          <w:sz w:val="24"/>
          <w:u w:val="single"/>
        </w:rPr>
        <w:t>1</w:t>
      </w:r>
      <w:r>
        <w:rPr>
          <w:rFonts w:hint="eastAsia" w:ascii="宋体" w:hAnsi="宋体"/>
          <w:sz w:val="24"/>
        </w:rPr>
        <w:t>‰向对方支付违约金。</w:t>
      </w:r>
    </w:p>
    <w:p>
      <w:pPr>
        <w:snapToGrid w:val="0"/>
        <w:spacing w:line="400" w:lineRule="exact"/>
        <w:ind w:firstLine="480" w:firstLineChars="200"/>
        <w:rPr>
          <w:rFonts w:ascii="宋体" w:hAnsi="宋体"/>
          <w:sz w:val="24"/>
        </w:rPr>
      </w:pPr>
      <w:r>
        <w:rPr>
          <w:rFonts w:hint="eastAsia" w:ascii="宋体" w:hAnsi="宋体"/>
          <w:sz w:val="24"/>
        </w:rPr>
        <w:t>14.3任意一方如提出增减合同数量，变动交货的，应提前通知对方，并征得对方同意，否则应承担与之相关的经济责任。</w:t>
      </w:r>
    </w:p>
    <w:p>
      <w:pPr>
        <w:snapToGrid w:val="0"/>
        <w:spacing w:line="400" w:lineRule="exact"/>
        <w:ind w:firstLine="480" w:firstLineChars="200"/>
        <w:rPr>
          <w:rFonts w:ascii="宋体" w:hAnsi="宋体"/>
          <w:sz w:val="24"/>
        </w:rPr>
      </w:pPr>
      <w:r>
        <w:rPr>
          <w:rFonts w:hint="eastAsia" w:ascii="宋体" w:hAnsi="宋体"/>
          <w:sz w:val="24"/>
        </w:rPr>
        <w:t>14.4卖方违反保密义务或违反禁止转让、分包合同义务或违反本合同其他约定的，除本合同另有约定外，应按照本合同总价款的5%向买方支付违约金。</w:t>
      </w:r>
    </w:p>
    <w:p>
      <w:pPr>
        <w:snapToGrid w:val="0"/>
        <w:spacing w:line="400" w:lineRule="exact"/>
        <w:ind w:firstLine="480" w:firstLineChars="200"/>
        <w:rPr>
          <w:rFonts w:ascii="宋体" w:hAnsi="宋体"/>
          <w:sz w:val="24"/>
        </w:rPr>
      </w:pPr>
      <w:r>
        <w:rPr>
          <w:rFonts w:hint="eastAsia" w:ascii="宋体" w:hAnsi="宋体"/>
          <w:sz w:val="24"/>
        </w:rPr>
        <w:t>14.5卖方提供货物不符合约定或违反本协议其他约定，给买方造成损失的，应赔偿买方的全部损失，包括但不限于直接损失、间接损失、买方为处理违约事件支出的律师费、诉讼费、评估费、鉴定费等。</w:t>
      </w:r>
    </w:p>
    <w:p>
      <w:pPr>
        <w:snapToGrid w:val="0"/>
        <w:spacing w:line="400" w:lineRule="exact"/>
        <w:ind w:firstLine="480" w:firstLineChars="200"/>
        <w:rPr>
          <w:rFonts w:ascii="宋体" w:hAnsi="宋体"/>
          <w:sz w:val="24"/>
        </w:rPr>
      </w:pPr>
      <w:r>
        <w:rPr>
          <w:rFonts w:hint="eastAsia" w:ascii="宋体" w:hAnsi="宋体"/>
          <w:sz w:val="24"/>
        </w:rPr>
        <w:t>14.6本合同所称违约金可以累积计算。</w:t>
      </w:r>
    </w:p>
    <w:p>
      <w:pPr>
        <w:snapToGrid w:val="0"/>
        <w:spacing w:line="400" w:lineRule="exact"/>
        <w:ind w:firstLine="480" w:firstLineChars="200"/>
        <w:rPr>
          <w:rFonts w:ascii="宋体" w:hAnsi="宋体"/>
          <w:bCs/>
          <w:sz w:val="24"/>
        </w:rPr>
      </w:pPr>
      <w:r>
        <w:rPr>
          <w:rFonts w:hint="eastAsia" w:ascii="宋体" w:hAnsi="宋体"/>
          <w:bCs/>
          <w:sz w:val="24"/>
        </w:rPr>
        <w:t>15.  履约保证金</w:t>
      </w:r>
    </w:p>
    <w:p>
      <w:pPr>
        <w:snapToGrid w:val="0"/>
        <w:spacing w:line="400" w:lineRule="exact"/>
        <w:ind w:firstLine="480" w:firstLineChars="200"/>
        <w:rPr>
          <w:rFonts w:ascii="宋体" w:hAnsi="宋体"/>
          <w:bCs/>
          <w:sz w:val="24"/>
          <w:szCs w:val="22"/>
        </w:rPr>
      </w:pPr>
      <w:r>
        <w:rPr>
          <w:rFonts w:hint="eastAsia" w:ascii="宋体" w:hAnsi="宋体"/>
          <w:bCs/>
          <w:sz w:val="24"/>
          <w:szCs w:val="22"/>
        </w:rPr>
        <w:t>合同签订前，中标单位按照中标金额的5%缴纳履约保证金，中标单位按合同约定交付全部产品，安装调试完毕，书面验收合格一年后，采购单位无息退还全部履约保证金。</w:t>
      </w:r>
    </w:p>
    <w:p>
      <w:pPr>
        <w:snapToGrid w:val="0"/>
        <w:spacing w:line="400" w:lineRule="exact"/>
        <w:ind w:firstLine="480" w:firstLineChars="200"/>
        <w:rPr>
          <w:rFonts w:ascii="宋体" w:hAnsi="宋体"/>
          <w:bCs/>
          <w:sz w:val="24"/>
          <w:szCs w:val="22"/>
        </w:rPr>
      </w:pPr>
      <w:r>
        <w:rPr>
          <w:rFonts w:hint="eastAsia" w:ascii="宋体" w:hAnsi="宋体"/>
          <w:bCs/>
          <w:sz w:val="24"/>
          <w:szCs w:val="22"/>
        </w:rPr>
        <w:t>帐户名称：</w:t>
      </w:r>
    </w:p>
    <w:p>
      <w:pPr>
        <w:snapToGrid w:val="0"/>
        <w:spacing w:line="400" w:lineRule="exact"/>
        <w:ind w:firstLine="480" w:firstLineChars="200"/>
        <w:rPr>
          <w:rFonts w:ascii="宋体" w:hAnsi="宋体"/>
          <w:bCs/>
          <w:sz w:val="24"/>
          <w:szCs w:val="22"/>
        </w:rPr>
      </w:pPr>
      <w:r>
        <w:rPr>
          <w:rFonts w:hint="eastAsia" w:ascii="宋体" w:hAnsi="宋体"/>
          <w:bCs/>
          <w:sz w:val="24"/>
          <w:szCs w:val="22"/>
        </w:rPr>
        <w:t>开 户 行：</w:t>
      </w:r>
    </w:p>
    <w:p>
      <w:pPr>
        <w:snapToGrid w:val="0"/>
        <w:spacing w:line="400" w:lineRule="exact"/>
        <w:ind w:firstLine="480" w:firstLineChars="200"/>
        <w:rPr>
          <w:rFonts w:ascii="宋体" w:hAnsi="宋体"/>
          <w:bCs/>
          <w:sz w:val="24"/>
          <w:szCs w:val="22"/>
        </w:rPr>
      </w:pPr>
      <w:r>
        <w:rPr>
          <w:rFonts w:hint="eastAsia" w:ascii="宋体" w:hAnsi="宋体"/>
          <w:bCs/>
          <w:sz w:val="24"/>
          <w:szCs w:val="22"/>
        </w:rPr>
        <w:t>帐    号：</w:t>
      </w:r>
    </w:p>
    <w:p>
      <w:pPr>
        <w:snapToGrid w:val="0"/>
        <w:spacing w:line="400" w:lineRule="exact"/>
        <w:ind w:firstLine="480" w:firstLineChars="200"/>
        <w:rPr>
          <w:rFonts w:ascii="宋体" w:hAnsi="宋体"/>
          <w:bCs/>
          <w:sz w:val="24"/>
        </w:rPr>
      </w:pPr>
      <w:r>
        <w:rPr>
          <w:rFonts w:hint="eastAsia" w:ascii="宋体" w:hAnsi="宋体"/>
          <w:bCs/>
          <w:sz w:val="24"/>
        </w:rPr>
        <w:t>16.  合同终止</w:t>
      </w:r>
    </w:p>
    <w:p>
      <w:pPr>
        <w:snapToGrid w:val="0"/>
        <w:spacing w:line="400" w:lineRule="exact"/>
        <w:ind w:firstLine="480" w:firstLineChars="200"/>
        <w:rPr>
          <w:rFonts w:ascii="宋体" w:hAnsi="宋体"/>
          <w:bCs/>
          <w:sz w:val="24"/>
        </w:rPr>
      </w:pPr>
      <w:r>
        <w:rPr>
          <w:rFonts w:hint="eastAsia" w:ascii="宋体" w:hAnsi="宋体"/>
          <w:bCs/>
          <w:sz w:val="24"/>
        </w:rPr>
        <w:t>发生下列情况时，买方有权单方终止合同：</w:t>
      </w:r>
    </w:p>
    <w:p>
      <w:pPr>
        <w:snapToGrid w:val="0"/>
        <w:spacing w:line="400" w:lineRule="exact"/>
        <w:ind w:firstLine="480" w:firstLineChars="200"/>
        <w:rPr>
          <w:rFonts w:ascii="宋体" w:hAnsi="宋体"/>
          <w:bCs/>
          <w:sz w:val="24"/>
        </w:rPr>
      </w:pPr>
      <w:r>
        <w:rPr>
          <w:rFonts w:hint="eastAsia" w:ascii="宋体" w:hAnsi="宋体"/>
          <w:bCs/>
          <w:sz w:val="24"/>
        </w:rPr>
        <w:t>1）卖方未能在合同规定的期限内或买方同意延长的期限内提供全部或部分货物；</w:t>
      </w:r>
    </w:p>
    <w:p>
      <w:pPr>
        <w:snapToGrid w:val="0"/>
        <w:spacing w:line="400" w:lineRule="exact"/>
        <w:ind w:firstLine="480" w:firstLineChars="200"/>
        <w:rPr>
          <w:rFonts w:ascii="宋体" w:hAnsi="宋体"/>
          <w:bCs/>
          <w:sz w:val="24"/>
        </w:rPr>
      </w:pPr>
      <w:r>
        <w:rPr>
          <w:rFonts w:hint="eastAsia" w:ascii="宋体" w:hAnsi="宋体"/>
          <w:bCs/>
          <w:sz w:val="24"/>
        </w:rPr>
        <w:t>2）卖方未能履行合同规定的其他义务，卖方在收到买方发出的违约通知后30天内，或经买方书面认可延长的时间内未能纠正其过失。买方可向卖方发出书面通知，终止部分或全部合同，在这种情况下，并不影响买方向卖方提出的索赔。</w:t>
      </w:r>
    </w:p>
    <w:p>
      <w:pPr>
        <w:snapToGrid w:val="0"/>
        <w:spacing w:line="400" w:lineRule="exact"/>
        <w:ind w:firstLine="480" w:firstLineChars="200"/>
        <w:rPr>
          <w:rFonts w:ascii="宋体" w:hAnsi="宋体"/>
          <w:sz w:val="24"/>
        </w:rPr>
      </w:pPr>
      <w:r>
        <w:rPr>
          <w:rFonts w:hint="eastAsia" w:ascii="宋体" w:hAnsi="宋体"/>
          <w:sz w:val="24"/>
        </w:rPr>
        <w:t>17.  纠纷解决方式</w:t>
      </w:r>
    </w:p>
    <w:p>
      <w:pPr>
        <w:snapToGrid w:val="0"/>
        <w:spacing w:line="400" w:lineRule="exact"/>
        <w:ind w:firstLine="420"/>
        <w:rPr>
          <w:rFonts w:ascii="宋体" w:hAnsi="宋体"/>
          <w:sz w:val="24"/>
        </w:rPr>
      </w:pPr>
      <w:r>
        <w:rPr>
          <w:rFonts w:hint="eastAsia" w:ascii="宋体" w:hAnsi="宋体"/>
          <w:sz w:val="24"/>
        </w:rPr>
        <w:t>本合同在执行中发生纠纷时，双方应友好协商予以解决。如协商解决不成时，双方约定采用第</w:t>
      </w:r>
      <w:r>
        <w:rPr>
          <w:rFonts w:hint="eastAsia" w:ascii="宋体" w:hAnsi="宋体"/>
          <w:sz w:val="24"/>
          <w:u w:val="single"/>
        </w:rPr>
        <w:t>17.1</w:t>
      </w:r>
      <w:r>
        <w:rPr>
          <w:rFonts w:hint="eastAsia" w:ascii="宋体" w:hAnsi="宋体"/>
          <w:sz w:val="24"/>
        </w:rPr>
        <w:t>种方式解决。</w:t>
      </w:r>
    </w:p>
    <w:p>
      <w:pPr>
        <w:snapToGrid w:val="0"/>
        <w:spacing w:line="400" w:lineRule="exact"/>
        <w:ind w:firstLine="480" w:firstLineChars="200"/>
        <w:rPr>
          <w:rFonts w:ascii="宋体" w:hAnsi="宋体"/>
          <w:sz w:val="24"/>
        </w:rPr>
      </w:pPr>
      <w:r>
        <w:rPr>
          <w:rFonts w:hint="eastAsia" w:ascii="宋体" w:hAnsi="宋体"/>
          <w:sz w:val="24"/>
        </w:rPr>
        <w:t>17.1  向</w:t>
      </w:r>
      <w:r>
        <w:rPr>
          <w:rFonts w:hint="eastAsia" w:ascii="宋体" w:hAnsi="宋体"/>
          <w:sz w:val="24"/>
          <w:u w:val="single"/>
        </w:rPr>
        <w:t>合同签订地</w:t>
      </w:r>
      <w:r>
        <w:rPr>
          <w:rFonts w:hint="eastAsia" w:ascii="宋体" w:hAnsi="宋体"/>
          <w:sz w:val="24"/>
        </w:rPr>
        <w:t>人民法院提出诉讼；</w:t>
      </w:r>
    </w:p>
    <w:p>
      <w:pPr>
        <w:snapToGrid w:val="0"/>
        <w:spacing w:line="400" w:lineRule="exact"/>
        <w:ind w:firstLine="480" w:firstLineChars="200"/>
        <w:rPr>
          <w:rFonts w:ascii="宋体" w:hAnsi="宋体"/>
          <w:sz w:val="24"/>
        </w:rPr>
      </w:pPr>
      <w:r>
        <w:rPr>
          <w:rFonts w:hint="eastAsia" w:ascii="宋体" w:hAnsi="宋体"/>
          <w:sz w:val="24"/>
        </w:rPr>
        <w:t>17.2  申请</w:t>
      </w:r>
      <w:r>
        <w:rPr>
          <w:rFonts w:hint="eastAsia" w:ascii="宋体" w:hAnsi="宋体"/>
          <w:sz w:val="24"/>
          <w:u w:val="single"/>
        </w:rPr>
        <w:t>合同签订地</w:t>
      </w:r>
      <w:r>
        <w:rPr>
          <w:rFonts w:hint="eastAsia" w:ascii="宋体" w:hAnsi="宋体"/>
          <w:sz w:val="24"/>
        </w:rPr>
        <w:t>（仲裁机构）进行仲裁。</w:t>
      </w:r>
    </w:p>
    <w:p>
      <w:pPr>
        <w:snapToGrid w:val="0"/>
        <w:spacing w:line="400" w:lineRule="exact"/>
        <w:ind w:firstLine="480" w:firstLineChars="200"/>
        <w:rPr>
          <w:rFonts w:ascii="宋体" w:hAnsi="宋体"/>
          <w:sz w:val="24"/>
        </w:rPr>
      </w:pPr>
      <w:r>
        <w:rPr>
          <w:rFonts w:hint="eastAsia" w:ascii="宋体" w:hAnsi="宋体"/>
          <w:sz w:val="24"/>
        </w:rPr>
        <w:t>18.  转让和分包</w:t>
      </w:r>
    </w:p>
    <w:p>
      <w:pPr>
        <w:snapToGrid w:val="0"/>
        <w:spacing w:line="400" w:lineRule="exact"/>
        <w:ind w:firstLine="480" w:firstLineChars="200"/>
        <w:rPr>
          <w:rFonts w:ascii="宋体" w:hAnsi="宋体"/>
          <w:sz w:val="24"/>
        </w:rPr>
      </w:pPr>
      <w:r>
        <w:rPr>
          <w:rFonts w:hint="eastAsia" w:ascii="宋体" w:hAnsi="宋体"/>
          <w:sz w:val="24"/>
        </w:rPr>
        <w:t>卖方不得转让或分包其履行合同的义务。</w:t>
      </w:r>
    </w:p>
    <w:p>
      <w:pPr>
        <w:snapToGrid w:val="0"/>
        <w:spacing w:line="400" w:lineRule="exact"/>
        <w:ind w:firstLine="480" w:firstLineChars="200"/>
        <w:rPr>
          <w:rFonts w:ascii="宋体" w:hAnsi="宋体"/>
          <w:sz w:val="24"/>
        </w:rPr>
      </w:pPr>
      <w:r>
        <w:rPr>
          <w:rFonts w:hint="eastAsia" w:ascii="宋体" w:hAnsi="宋体"/>
          <w:sz w:val="24"/>
        </w:rPr>
        <w:t>19.  适用法律</w:t>
      </w:r>
    </w:p>
    <w:p>
      <w:pPr>
        <w:snapToGrid w:val="0"/>
        <w:spacing w:line="400" w:lineRule="exact"/>
        <w:ind w:firstLine="480" w:firstLineChars="200"/>
        <w:rPr>
          <w:rFonts w:ascii="宋体" w:hAnsi="宋体"/>
          <w:sz w:val="24"/>
        </w:rPr>
      </w:pPr>
      <w:r>
        <w:rPr>
          <w:rFonts w:hint="eastAsia" w:ascii="宋体" w:hAnsi="宋体"/>
          <w:sz w:val="24"/>
        </w:rPr>
        <w:t>本合同按照中华人民共和国的法律进行解释。</w:t>
      </w:r>
    </w:p>
    <w:p>
      <w:pPr>
        <w:snapToGrid w:val="0"/>
        <w:spacing w:line="400" w:lineRule="exact"/>
        <w:ind w:firstLine="480" w:firstLineChars="200"/>
        <w:rPr>
          <w:rFonts w:ascii="宋体" w:hAnsi="宋体"/>
          <w:sz w:val="24"/>
        </w:rPr>
      </w:pPr>
      <w:r>
        <w:rPr>
          <w:rFonts w:hint="eastAsia" w:ascii="宋体" w:hAnsi="宋体"/>
          <w:sz w:val="24"/>
        </w:rPr>
        <w:t>20.合同生效及其他</w:t>
      </w:r>
    </w:p>
    <w:p>
      <w:pPr>
        <w:snapToGrid w:val="0"/>
        <w:spacing w:line="400" w:lineRule="exact"/>
        <w:ind w:firstLine="480" w:firstLineChars="200"/>
        <w:rPr>
          <w:rFonts w:ascii="宋体" w:hAnsi="宋体"/>
          <w:sz w:val="24"/>
        </w:rPr>
      </w:pPr>
      <w:r>
        <w:rPr>
          <w:rFonts w:hint="eastAsia" w:ascii="宋体" w:hAnsi="宋体"/>
          <w:sz w:val="24"/>
        </w:rPr>
        <w:t>20.1合同效力执行本合同《协议书》。</w:t>
      </w:r>
    </w:p>
    <w:p>
      <w:pPr>
        <w:snapToGrid w:val="0"/>
        <w:spacing w:line="400" w:lineRule="exact"/>
        <w:ind w:firstLine="480" w:firstLineChars="200"/>
        <w:rPr>
          <w:rFonts w:ascii="宋体" w:hAnsi="宋体"/>
          <w:sz w:val="24"/>
        </w:rPr>
      </w:pPr>
      <w:r>
        <w:rPr>
          <w:rFonts w:hint="eastAsia" w:ascii="宋体" w:hAnsi="宋体"/>
          <w:sz w:val="24"/>
        </w:rPr>
        <w:t>20.2  合同执行期间，如因故不能履行或需要修改时，必须经双方同意，并互相换文或另订合同。其它未尽事宜，双方应友好进行协商。协商结果以“补充件”的形式作为本合同的附件，与本合同有同等的法律效力。</w:t>
      </w:r>
    </w:p>
    <w:p>
      <w:pPr>
        <w:snapToGrid w:val="0"/>
        <w:spacing w:line="400" w:lineRule="exact"/>
        <w:ind w:firstLine="480" w:firstLineChars="200"/>
        <w:rPr>
          <w:rFonts w:ascii="宋体" w:hAnsi="宋体"/>
          <w:sz w:val="24"/>
          <w:u w:val="single"/>
        </w:rPr>
      </w:pPr>
      <w:r>
        <w:rPr>
          <w:rFonts w:hint="eastAsia" w:ascii="宋体" w:hAnsi="宋体"/>
          <w:sz w:val="24"/>
        </w:rPr>
        <w:t>20.3 其他约定事项：</w:t>
      </w:r>
      <w:r>
        <w:rPr>
          <w:rFonts w:hint="eastAsia" w:ascii="宋体" w:hAnsi="宋体"/>
          <w:sz w:val="24"/>
          <w:u w:val="single"/>
        </w:rPr>
        <w:t xml:space="preserve">①合同签订地：       </w:t>
      </w:r>
    </w:p>
    <w:p>
      <w:pPr>
        <w:snapToGrid w:val="0"/>
        <w:spacing w:line="400" w:lineRule="exact"/>
        <w:ind w:firstLine="480" w:firstLineChars="200"/>
        <w:rPr>
          <w:rFonts w:ascii="宋体" w:hAnsi="宋体"/>
          <w:sz w:val="24"/>
        </w:rPr>
      </w:pPr>
      <w:r>
        <w:rPr>
          <w:rFonts w:hint="eastAsia" w:ascii="宋体" w:hAnsi="宋体"/>
          <w:sz w:val="24"/>
        </w:rPr>
        <w:t>20.4 合同有效期：年月日至年月日。</w:t>
      </w:r>
    </w:p>
    <w:p>
      <w:pPr>
        <w:snapToGrid w:val="0"/>
        <w:spacing w:line="400" w:lineRule="exact"/>
        <w:ind w:firstLine="480" w:firstLineChars="200"/>
        <w:rPr>
          <w:rFonts w:ascii="宋体" w:hAnsi="宋体"/>
          <w:sz w:val="24"/>
        </w:rPr>
      </w:pPr>
      <w:r>
        <w:rPr>
          <w:rFonts w:hint="eastAsia" w:ascii="宋体" w:hAnsi="宋体"/>
          <w:sz w:val="24"/>
        </w:rPr>
        <w:t>20.5通知和送达买卖双方就本合同中涉及各类通知、协议等文件以及就合同发生纠纷时相关文件和法律文书送达时的送达地址及法律后果作如下约定：</w:t>
      </w:r>
    </w:p>
    <w:p>
      <w:pPr>
        <w:snapToGrid w:val="0"/>
        <w:spacing w:line="400" w:lineRule="exact"/>
        <w:ind w:firstLine="480" w:firstLineChars="200"/>
        <w:rPr>
          <w:rFonts w:ascii="宋体" w:hAnsi="宋体"/>
          <w:sz w:val="24"/>
        </w:rPr>
      </w:pPr>
      <w:r>
        <w:rPr>
          <w:rFonts w:hint="eastAsia" w:ascii="宋体" w:hAnsi="宋体"/>
          <w:sz w:val="24"/>
        </w:rPr>
        <w:t>20.5.1买卖双方确认有效的地址及联系方式以本合同首部列明的为准。</w:t>
      </w:r>
    </w:p>
    <w:p>
      <w:pPr>
        <w:snapToGrid w:val="0"/>
        <w:spacing w:line="400" w:lineRule="exact"/>
        <w:ind w:firstLine="480" w:firstLineChars="200"/>
        <w:rPr>
          <w:rFonts w:ascii="宋体" w:hAnsi="宋体"/>
          <w:sz w:val="24"/>
        </w:rPr>
      </w:pPr>
      <w:r>
        <w:rPr>
          <w:rFonts w:hint="eastAsia" w:ascii="宋体" w:hAnsi="宋体"/>
          <w:sz w:val="24"/>
        </w:rPr>
        <w:t>20.5.2双方该送达地址适用范围包括双方非诉时各类通知、协议等文件以及就合同发生纠纷时相关文件和法律文书的送达，同时包括在争议进入仲裁、民事诉讼程序后的一审、二审、再审和执行程序。</w:t>
      </w:r>
    </w:p>
    <w:p>
      <w:pPr>
        <w:snapToGrid w:val="0"/>
        <w:spacing w:line="400" w:lineRule="exact"/>
        <w:ind w:firstLine="480" w:firstLineChars="200"/>
        <w:rPr>
          <w:rFonts w:ascii="宋体" w:hAnsi="宋体"/>
          <w:sz w:val="24"/>
        </w:rPr>
      </w:pPr>
      <w:r>
        <w:rPr>
          <w:rFonts w:hint="eastAsia" w:ascii="宋体" w:hAnsi="宋体"/>
          <w:sz w:val="24"/>
        </w:rPr>
        <w:t>20.5.3双方上述送达地址需要变更时应当向对方履行书面通知义务。若未履行变更通知义务，双方所确认的送达地址仍视为有效送达地址，因双方提供或者确认的送达地址不准确、送达地址变更后未及时依程序告知对方和法院、其他当事人或指定的接收人拒绝接收等原因，导致法律文书未能被接收方实际接收的，邮寄送达的，以文书退回之日视为送达之日；直接送达的，送达人当场在送达回证上记明情况之日视为送达之日；履行送达地址变更通知义务的，以变更后的送达地址为有效送达地址。对于上述双方在合同中明确约定的送达地址，法院进行送达时可直接邮寄送达，即使接收方未能收到法院邮寄送达的文书，由于其在合同中的约定，也应当视为送达。</w:t>
      </w:r>
    </w:p>
    <w:p>
      <w:pPr>
        <w:snapToGrid w:val="0"/>
        <w:spacing w:line="400" w:lineRule="exact"/>
        <w:ind w:firstLine="208" w:firstLineChars="87"/>
        <w:rPr>
          <w:rFonts w:ascii="宋体" w:hAnsi="宋体"/>
          <w:bCs/>
          <w:sz w:val="24"/>
        </w:rPr>
      </w:pPr>
    </w:p>
    <w:p>
      <w:pPr>
        <w:snapToGrid w:val="0"/>
        <w:spacing w:line="400" w:lineRule="exact"/>
        <w:ind w:firstLine="208" w:firstLineChars="87"/>
        <w:rPr>
          <w:rFonts w:ascii="宋体" w:hAnsi="宋体"/>
          <w:bCs/>
          <w:sz w:val="24"/>
        </w:rPr>
      </w:pPr>
    </w:p>
    <w:p>
      <w:pPr>
        <w:snapToGrid w:val="0"/>
        <w:spacing w:line="400" w:lineRule="exact"/>
        <w:ind w:firstLine="208" w:firstLineChars="87"/>
        <w:rPr>
          <w:rFonts w:ascii="宋体" w:hAnsi="宋体"/>
          <w:bCs/>
          <w:sz w:val="24"/>
        </w:rPr>
      </w:pPr>
    </w:p>
    <w:p>
      <w:pPr>
        <w:snapToGrid w:val="0"/>
        <w:spacing w:line="400" w:lineRule="exact"/>
        <w:ind w:firstLine="208" w:firstLineChars="87"/>
        <w:rPr>
          <w:rFonts w:ascii="宋体" w:hAnsi="宋体"/>
          <w:bCs/>
          <w:sz w:val="24"/>
        </w:rPr>
      </w:pPr>
      <w:r>
        <w:rPr>
          <w:rFonts w:hint="eastAsia" w:ascii="宋体" w:hAnsi="宋体"/>
          <w:bCs/>
          <w:sz w:val="24"/>
        </w:rPr>
        <w:t xml:space="preserve">买方（印章）：                              卖方：（印章） </w:t>
      </w:r>
    </w:p>
    <w:p>
      <w:pPr>
        <w:snapToGrid w:val="0"/>
        <w:spacing w:line="400" w:lineRule="exact"/>
        <w:ind w:firstLine="208" w:firstLineChars="87"/>
        <w:rPr>
          <w:rFonts w:ascii="宋体" w:hAnsi="宋体"/>
          <w:bCs/>
          <w:sz w:val="24"/>
        </w:rPr>
      </w:pPr>
      <w:r>
        <w:rPr>
          <w:rFonts w:hint="eastAsia" w:ascii="宋体" w:hAnsi="宋体"/>
          <w:bCs/>
          <w:sz w:val="24"/>
        </w:rPr>
        <w:t>法定代表人或委托代理人:（签字）           法定代表人或委托代理人:（签字）</w:t>
      </w:r>
    </w:p>
    <w:p>
      <w:pPr>
        <w:snapToGrid w:val="0"/>
        <w:spacing w:line="400" w:lineRule="exact"/>
        <w:ind w:firstLine="208" w:firstLineChars="87"/>
        <w:rPr>
          <w:rFonts w:ascii="宋体" w:hAnsi="宋体"/>
          <w:bCs/>
          <w:sz w:val="24"/>
        </w:rPr>
      </w:pPr>
      <w:r>
        <w:rPr>
          <w:rFonts w:hint="eastAsia" w:ascii="宋体" w:hAnsi="宋体"/>
          <w:bCs/>
          <w:sz w:val="24"/>
        </w:rPr>
        <w:t xml:space="preserve">地址：                                      地址：    </w:t>
      </w:r>
    </w:p>
    <w:p>
      <w:pPr>
        <w:snapToGrid w:val="0"/>
        <w:spacing w:line="400" w:lineRule="exact"/>
        <w:ind w:firstLine="208" w:firstLineChars="87"/>
        <w:rPr>
          <w:rFonts w:ascii="宋体" w:hAnsi="宋体"/>
          <w:bCs/>
          <w:sz w:val="24"/>
        </w:rPr>
      </w:pPr>
      <w:r>
        <w:rPr>
          <w:rFonts w:hint="eastAsia" w:ascii="宋体" w:hAnsi="宋体"/>
          <w:bCs/>
          <w:sz w:val="24"/>
        </w:rPr>
        <w:t xml:space="preserve">邮政编码：                                  邮政编码： </w:t>
      </w:r>
    </w:p>
    <w:p>
      <w:pPr>
        <w:snapToGrid w:val="0"/>
        <w:spacing w:line="400" w:lineRule="exact"/>
        <w:ind w:firstLine="208" w:firstLineChars="87"/>
        <w:rPr>
          <w:rFonts w:ascii="宋体" w:hAnsi="宋体"/>
          <w:bCs/>
          <w:sz w:val="24"/>
        </w:rPr>
      </w:pPr>
      <w:r>
        <w:rPr>
          <w:rFonts w:hint="eastAsia" w:ascii="宋体" w:hAnsi="宋体"/>
          <w:bCs/>
          <w:sz w:val="24"/>
        </w:rPr>
        <w:t xml:space="preserve">电话：                                      电话： </w:t>
      </w:r>
    </w:p>
    <w:p>
      <w:pPr>
        <w:snapToGrid w:val="0"/>
        <w:spacing w:line="400" w:lineRule="exact"/>
        <w:ind w:firstLine="208" w:firstLineChars="87"/>
        <w:rPr>
          <w:rFonts w:ascii="宋体" w:hAnsi="宋体"/>
          <w:bCs/>
          <w:sz w:val="24"/>
        </w:rPr>
      </w:pPr>
      <w:r>
        <w:rPr>
          <w:rFonts w:hint="eastAsia" w:ascii="宋体" w:hAnsi="宋体"/>
          <w:bCs/>
          <w:sz w:val="24"/>
        </w:rPr>
        <w:t xml:space="preserve">传真：                                      传真： </w:t>
      </w:r>
    </w:p>
    <w:p>
      <w:pPr>
        <w:snapToGrid w:val="0"/>
        <w:spacing w:line="400" w:lineRule="exact"/>
        <w:ind w:firstLine="208" w:firstLineChars="87"/>
        <w:rPr>
          <w:rFonts w:ascii="宋体" w:hAnsi="宋体"/>
          <w:bCs/>
          <w:sz w:val="24"/>
        </w:rPr>
      </w:pPr>
      <w:r>
        <w:rPr>
          <w:rFonts w:hint="eastAsia" w:ascii="宋体" w:hAnsi="宋体"/>
          <w:bCs/>
          <w:sz w:val="24"/>
        </w:rPr>
        <w:t xml:space="preserve">                                            开户银行及账号：</w:t>
      </w:r>
    </w:p>
    <w:p>
      <w:pPr>
        <w:snapToGrid w:val="0"/>
        <w:spacing w:line="400" w:lineRule="exact"/>
        <w:ind w:firstLine="208" w:firstLineChars="87"/>
        <w:rPr>
          <w:rFonts w:ascii="宋体" w:hAnsi="宋体"/>
          <w:bCs/>
          <w:sz w:val="24"/>
        </w:rPr>
      </w:pPr>
      <w:r>
        <w:rPr>
          <w:rFonts w:hint="eastAsia" w:ascii="宋体" w:hAnsi="宋体"/>
          <w:bCs/>
          <w:sz w:val="24"/>
        </w:rPr>
        <w:t>日期：      年   月    日                   日 期：    年    月   日</w:t>
      </w:r>
    </w:p>
    <w:p>
      <w:pPr>
        <w:widowControl/>
        <w:rPr>
          <w:rFonts w:ascii="宋体" w:hAnsi="宋体" w:cs="宋体"/>
          <w:b/>
          <w:spacing w:val="-4"/>
          <w:sz w:val="30"/>
          <w:szCs w:val="30"/>
        </w:rPr>
      </w:pPr>
    </w:p>
    <w:p/>
    <w:bookmarkEnd w:id="103"/>
    <w:bookmarkEnd w:id="104"/>
    <w:bookmarkEnd w:id="105"/>
    <w:bookmarkEnd w:id="106"/>
    <w:bookmarkEnd w:id="107"/>
    <w:bookmarkEnd w:id="108"/>
    <w:p>
      <w:pPr>
        <w:widowControl/>
        <w:rPr>
          <w:rFonts w:ascii="宋体" w:hAnsi="宋体" w:cs="宋体"/>
          <w:b/>
          <w:spacing w:val="-4"/>
          <w:sz w:val="30"/>
          <w:szCs w:val="30"/>
        </w:rPr>
      </w:pPr>
      <w:bookmarkStart w:id="112" w:name="_Toc9510642"/>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p>
      <w:pPr>
        <w:widowControl/>
        <w:rPr>
          <w:rFonts w:ascii="宋体" w:hAnsi="宋体" w:cs="宋体"/>
          <w:b/>
          <w:spacing w:val="-4"/>
          <w:sz w:val="30"/>
          <w:szCs w:val="30"/>
        </w:rPr>
      </w:pPr>
    </w:p>
    <w:bookmarkEnd w:id="112"/>
    <w:p>
      <w:pPr>
        <w:pStyle w:val="15"/>
      </w:pPr>
    </w:p>
    <w:p>
      <w:pPr>
        <w:pStyle w:val="3"/>
      </w:pPr>
      <w:r>
        <w:rPr>
          <w:rFonts w:hint="eastAsia"/>
        </w:rPr>
        <w:t>第</w:t>
      </w:r>
      <w:bookmarkStart w:id="113" w:name="_Toc9510643"/>
      <w:r>
        <w:rPr>
          <w:rFonts w:hint="eastAsia"/>
        </w:rPr>
        <w:t>五章 投标文件格式</w:t>
      </w:r>
      <w:bookmarkEnd w:id="109"/>
      <w:bookmarkEnd w:id="110"/>
      <w:bookmarkEnd w:id="111"/>
    </w:p>
    <w:p>
      <w:pPr>
        <w:adjustRightInd w:val="0"/>
        <w:snapToGrid w:val="0"/>
        <w:spacing w:line="360" w:lineRule="auto"/>
        <w:rPr>
          <w:rFonts w:ascii="宋体" w:hAnsi="宋体" w:cs="宋体"/>
          <w:szCs w:val="24"/>
        </w:rPr>
      </w:pP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一、投</w:t>
      </w:r>
      <w:bookmarkEnd w:id="113"/>
      <w:r>
        <w:rPr>
          <w:rFonts w:hint="eastAsia" w:ascii="宋体" w:hAnsi="宋体" w:cs="宋体"/>
          <w:sz w:val="24"/>
          <w:szCs w:val="24"/>
        </w:rPr>
        <w:t>标人提交投标文件须知：</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1、投标人应严格按照以下顺序填写和提交下述规定的全部格式文件以及其他有关资料，混乱的编排导致投标文件被误读或评标小组查找不到有效文件是投标人的风险。</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2、所附表格中要求回答的全部问题和/或信息都必须正面回答。</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3、本声明书的签字人应保证全部声明和问题的回答是真实的和准确的。</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4、评标委员会将应用投标人提交的资料根据自己的判断和考虑决定投标人履行合同的合格性及能力。</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5、投标人提交的材料将在一定期限内被</w:t>
      </w:r>
      <w:r>
        <w:rPr>
          <w:rFonts w:hint="eastAsia" w:asciiTheme="majorEastAsia" w:hAnsiTheme="majorEastAsia" w:eastAsiaTheme="majorEastAsia" w:cstheme="majorEastAsia"/>
          <w:bCs/>
          <w:sz w:val="24"/>
          <w:szCs w:val="24"/>
        </w:rPr>
        <w:t>保密</w:t>
      </w:r>
      <w:r>
        <w:rPr>
          <w:rFonts w:hint="eastAsia" w:ascii="宋体" w:hAnsi="宋体" w:cs="宋体"/>
          <w:sz w:val="24"/>
          <w:szCs w:val="24"/>
        </w:rPr>
        <w:t>保存，但不退还。</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6、全部文件应按投标人须知中规定的语言和份数提交。投标文件组成漏项或未按规定的格式编制或投标文件正、副本份数不足，内容不全或内容字迹模糊辨认不清的情况，将有可能被评标小组认定为投标无效。</w:t>
      </w:r>
    </w:p>
    <w:p>
      <w:pPr>
        <w:snapToGrid w:val="0"/>
        <w:spacing w:line="500" w:lineRule="exact"/>
        <w:ind w:firstLine="480" w:firstLineChars="200"/>
        <w:rPr>
          <w:rFonts w:ascii="宋体" w:hAnsi="宋体" w:cs="宋体"/>
          <w:sz w:val="24"/>
          <w:szCs w:val="24"/>
        </w:rPr>
      </w:pPr>
      <w:r>
        <w:rPr>
          <w:rFonts w:hint="eastAsia" w:ascii="宋体" w:hAnsi="宋体" w:cs="宋体"/>
          <w:sz w:val="24"/>
          <w:szCs w:val="24"/>
        </w:rPr>
        <w:t>二、投标文件编制格式及规范要求：</w:t>
      </w:r>
    </w:p>
    <w:p>
      <w:pPr>
        <w:adjustRightInd w:val="0"/>
        <w:snapToGrid w:val="0"/>
        <w:spacing w:line="500" w:lineRule="exact"/>
        <w:ind w:firstLine="360" w:firstLineChars="150"/>
        <w:rPr>
          <w:rFonts w:ascii="宋体" w:hAnsi="宋体" w:cs="宋体"/>
          <w:sz w:val="24"/>
          <w:szCs w:val="24"/>
        </w:rPr>
      </w:pPr>
      <w:r>
        <w:rPr>
          <w:rFonts w:hint="eastAsia" w:ascii="宋体" w:hAnsi="宋体" w:cs="宋体"/>
          <w:sz w:val="24"/>
          <w:szCs w:val="24"/>
        </w:rPr>
        <w:t>报价文件、商务技术文件部分，投标人在编制投标文件时请按照以下格式进行，并装订成册。</w:t>
      </w:r>
    </w:p>
    <w:p>
      <w:pPr>
        <w:adjustRightInd w:val="0"/>
        <w:snapToGrid w:val="0"/>
        <w:spacing w:before="50" w:after="50" w:line="360" w:lineRule="auto"/>
        <w:rPr>
          <w:rFonts w:ascii="宋体" w:hAnsi="宋体" w:cs="宋体"/>
          <w:sz w:val="32"/>
        </w:rPr>
      </w:pPr>
    </w:p>
    <w:p>
      <w:pPr>
        <w:adjustRightInd w:val="0"/>
        <w:snapToGrid w:val="0"/>
        <w:spacing w:line="360" w:lineRule="auto"/>
        <w:rPr>
          <w:rFonts w:ascii="宋体" w:hAnsi="宋体" w:cs="宋体"/>
          <w:b/>
          <w:sz w:val="24"/>
          <w:szCs w:val="24"/>
        </w:rPr>
      </w:pPr>
      <w:r>
        <w:rPr>
          <w:rFonts w:hint="eastAsia" w:ascii="宋体" w:hAnsi="宋体" w:cs="宋体"/>
          <w:sz w:val="32"/>
        </w:rPr>
        <w:br w:type="page"/>
      </w:r>
      <w:r>
        <w:rPr>
          <w:rFonts w:hint="eastAsia" w:ascii="宋体" w:hAnsi="宋体" w:cs="宋体"/>
          <w:b/>
          <w:sz w:val="24"/>
          <w:szCs w:val="24"/>
        </w:rPr>
        <w:t>投标文件封面</w:t>
      </w:r>
    </w:p>
    <w:p>
      <w:pPr>
        <w:snapToGrid w:val="0"/>
        <w:spacing w:line="360" w:lineRule="auto"/>
        <w:rPr>
          <w:rFonts w:ascii="宋体" w:hAnsi="宋体" w:cs="宋体"/>
          <w:sz w:val="40"/>
          <w:szCs w:val="20"/>
        </w:rPr>
      </w:pPr>
      <w:r>
        <w:rPr>
          <w:rFonts w:hint="eastAsia" w:ascii="宋体" w:hAnsi="宋体" w:cs="宋体"/>
          <w:sz w:val="40"/>
          <w:szCs w:val="20"/>
        </w:rPr>
        <w:t>正（副）本</w:t>
      </w:r>
    </w:p>
    <w:p>
      <w:pPr>
        <w:snapToGrid w:val="0"/>
        <w:spacing w:line="360" w:lineRule="auto"/>
        <w:jc w:val="center"/>
        <w:rPr>
          <w:rFonts w:ascii="宋体" w:hAnsi="宋体" w:cs="宋体"/>
          <w:sz w:val="56"/>
          <w:szCs w:val="20"/>
        </w:rPr>
      </w:pPr>
    </w:p>
    <w:p>
      <w:pPr>
        <w:snapToGrid w:val="0"/>
        <w:spacing w:line="360" w:lineRule="auto"/>
        <w:jc w:val="center"/>
        <w:rPr>
          <w:rFonts w:ascii="宋体" w:hAnsi="宋体" w:cs="宋体"/>
          <w:sz w:val="44"/>
          <w:szCs w:val="44"/>
        </w:rPr>
      </w:pPr>
      <w:r>
        <w:rPr>
          <w:rFonts w:hint="eastAsia" w:ascii="宋体" w:hAnsi="宋体" w:cs="宋体"/>
          <w:sz w:val="44"/>
          <w:szCs w:val="44"/>
        </w:rPr>
        <w:t>(项目名称)项目</w:t>
      </w:r>
    </w:p>
    <w:p>
      <w:pPr>
        <w:snapToGrid w:val="0"/>
        <w:spacing w:line="360" w:lineRule="auto"/>
        <w:jc w:val="center"/>
        <w:rPr>
          <w:rFonts w:ascii="宋体" w:hAnsi="宋体" w:cs="宋体"/>
          <w:sz w:val="28"/>
          <w:szCs w:val="20"/>
        </w:rPr>
      </w:pPr>
      <w:r>
        <w:rPr>
          <w:rFonts w:hint="eastAsia" w:ascii="宋体" w:hAnsi="宋体" w:cs="宋体"/>
          <w:sz w:val="28"/>
          <w:szCs w:val="20"/>
        </w:rPr>
        <w:t>标包编号：</w:t>
      </w:r>
    </w:p>
    <w:p>
      <w:pPr>
        <w:snapToGrid w:val="0"/>
        <w:spacing w:line="360" w:lineRule="auto"/>
        <w:jc w:val="center"/>
        <w:rPr>
          <w:rFonts w:ascii="宋体" w:hAnsi="宋体" w:cs="宋体"/>
          <w:sz w:val="56"/>
          <w:szCs w:val="20"/>
        </w:rPr>
      </w:pPr>
      <w:r>
        <w:rPr>
          <w:rFonts w:hint="eastAsia" w:ascii="宋体" w:hAnsi="宋体" w:cs="宋体"/>
          <w:sz w:val="56"/>
          <w:szCs w:val="20"/>
        </w:rPr>
        <w:t>报</w:t>
      </w:r>
    </w:p>
    <w:p>
      <w:pPr>
        <w:snapToGrid w:val="0"/>
        <w:spacing w:line="360" w:lineRule="auto"/>
        <w:jc w:val="center"/>
        <w:rPr>
          <w:rFonts w:ascii="宋体" w:hAnsi="宋体" w:cs="宋体"/>
          <w:sz w:val="56"/>
          <w:szCs w:val="20"/>
        </w:rPr>
      </w:pPr>
      <w:r>
        <w:rPr>
          <w:rFonts w:hint="eastAsia" w:ascii="宋体" w:hAnsi="宋体" w:cs="宋体"/>
          <w:sz w:val="56"/>
          <w:szCs w:val="20"/>
        </w:rPr>
        <w:t>价</w:t>
      </w:r>
    </w:p>
    <w:p>
      <w:pPr>
        <w:snapToGrid w:val="0"/>
        <w:spacing w:line="360" w:lineRule="auto"/>
        <w:jc w:val="center"/>
        <w:rPr>
          <w:rFonts w:ascii="宋体" w:hAnsi="宋体" w:cs="宋体"/>
          <w:sz w:val="56"/>
          <w:szCs w:val="20"/>
        </w:rPr>
      </w:pPr>
      <w:r>
        <w:rPr>
          <w:rFonts w:hint="eastAsia" w:ascii="宋体" w:hAnsi="宋体" w:cs="宋体"/>
          <w:sz w:val="56"/>
          <w:szCs w:val="20"/>
        </w:rPr>
        <w:t>文</w:t>
      </w:r>
    </w:p>
    <w:p>
      <w:pPr>
        <w:snapToGrid w:val="0"/>
        <w:spacing w:line="360" w:lineRule="auto"/>
        <w:jc w:val="center"/>
        <w:rPr>
          <w:rFonts w:ascii="宋体" w:hAnsi="宋体" w:cs="宋体"/>
          <w:sz w:val="56"/>
          <w:szCs w:val="20"/>
        </w:rPr>
      </w:pPr>
      <w:r>
        <w:rPr>
          <w:rFonts w:hint="eastAsia" w:ascii="宋体" w:hAnsi="宋体" w:cs="宋体"/>
          <w:sz w:val="56"/>
          <w:szCs w:val="20"/>
        </w:rPr>
        <w:t>件</w:t>
      </w:r>
    </w:p>
    <w:p>
      <w:pPr>
        <w:snapToGrid w:val="0"/>
        <w:spacing w:line="360" w:lineRule="auto"/>
        <w:rPr>
          <w:rFonts w:ascii="宋体" w:hAnsi="宋体" w:cs="宋体"/>
          <w:sz w:val="28"/>
          <w:szCs w:val="20"/>
        </w:rPr>
      </w:pPr>
    </w:p>
    <w:p>
      <w:pPr>
        <w:snapToGrid w:val="0"/>
        <w:spacing w:line="360" w:lineRule="auto"/>
        <w:rPr>
          <w:rFonts w:ascii="宋体" w:hAnsi="宋体" w:cs="宋体"/>
          <w:sz w:val="28"/>
          <w:szCs w:val="20"/>
        </w:rPr>
      </w:pPr>
      <w:r>
        <w:rPr>
          <w:rFonts w:hint="eastAsia" w:ascii="宋体" w:hAnsi="宋体" w:cs="宋体"/>
          <w:sz w:val="28"/>
          <w:szCs w:val="20"/>
        </w:rPr>
        <w:t>投标单位名称：（加盖单位公章）</w:t>
      </w:r>
    </w:p>
    <w:p>
      <w:pPr>
        <w:snapToGrid w:val="0"/>
        <w:spacing w:line="360" w:lineRule="auto"/>
        <w:rPr>
          <w:rFonts w:ascii="宋体" w:hAnsi="宋体" w:cs="宋体"/>
          <w:sz w:val="28"/>
          <w:szCs w:val="20"/>
        </w:rPr>
      </w:pPr>
      <w:r>
        <w:rPr>
          <w:rFonts w:hint="eastAsia" w:ascii="宋体" w:hAnsi="宋体" w:cs="宋体"/>
          <w:sz w:val="28"/>
          <w:szCs w:val="20"/>
        </w:rPr>
        <w:t>投标单位地址：</w:t>
      </w:r>
    </w:p>
    <w:p>
      <w:pPr>
        <w:snapToGrid w:val="0"/>
        <w:spacing w:line="360" w:lineRule="auto"/>
        <w:rPr>
          <w:rFonts w:ascii="宋体" w:hAnsi="宋体" w:cs="宋体"/>
          <w:sz w:val="28"/>
          <w:szCs w:val="20"/>
        </w:rPr>
      </w:pPr>
      <w:r>
        <w:rPr>
          <w:rFonts w:hint="eastAsia" w:ascii="宋体" w:hAnsi="宋体" w:cs="宋体"/>
          <w:sz w:val="28"/>
          <w:szCs w:val="20"/>
        </w:rPr>
        <w:t>投标单位法定代表人（负责人、自然人）或授权代表姓名：（签字或盖章）</w:t>
      </w:r>
    </w:p>
    <w:p>
      <w:pPr>
        <w:snapToGrid w:val="0"/>
        <w:spacing w:line="360" w:lineRule="auto"/>
        <w:rPr>
          <w:rFonts w:ascii="宋体" w:hAnsi="宋体" w:cs="宋体"/>
          <w:sz w:val="28"/>
          <w:szCs w:val="20"/>
        </w:rPr>
      </w:pPr>
      <w:r>
        <w:rPr>
          <w:rFonts w:hint="eastAsia" w:ascii="宋体" w:hAnsi="宋体" w:cs="宋体"/>
          <w:sz w:val="28"/>
          <w:szCs w:val="20"/>
        </w:rPr>
        <w:t>投标单位法定代表人（负责人、自然人）或授权代表职务：</w:t>
      </w:r>
    </w:p>
    <w:p>
      <w:pPr>
        <w:snapToGrid w:val="0"/>
        <w:spacing w:line="360" w:lineRule="auto"/>
        <w:rPr>
          <w:rFonts w:ascii="宋体" w:hAnsi="宋体" w:cs="宋体"/>
          <w:sz w:val="28"/>
          <w:szCs w:val="20"/>
        </w:rPr>
      </w:pPr>
      <w:r>
        <w:rPr>
          <w:rFonts w:hint="eastAsia" w:ascii="宋体" w:hAnsi="宋体" w:cs="宋体"/>
          <w:sz w:val="28"/>
          <w:szCs w:val="20"/>
        </w:rPr>
        <w:t>投标单位联系方式：</w:t>
      </w:r>
    </w:p>
    <w:p>
      <w:pPr>
        <w:snapToGrid w:val="0"/>
        <w:spacing w:line="360" w:lineRule="auto"/>
        <w:rPr>
          <w:rFonts w:ascii="宋体" w:hAnsi="宋体" w:cs="宋体"/>
          <w:sz w:val="20"/>
          <w:szCs w:val="20"/>
        </w:rPr>
      </w:pPr>
    </w:p>
    <w:p>
      <w:pPr>
        <w:adjustRightInd w:val="0"/>
        <w:snapToGrid w:val="0"/>
        <w:spacing w:before="50" w:after="50" w:line="360" w:lineRule="auto"/>
        <w:jc w:val="center"/>
        <w:rPr>
          <w:rFonts w:ascii="宋体" w:hAnsi="宋体" w:cs="宋体"/>
          <w:sz w:val="28"/>
          <w:szCs w:val="28"/>
        </w:rPr>
      </w:pPr>
      <w:r>
        <w:rPr>
          <w:rFonts w:hint="eastAsia" w:ascii="宋体" w:hAnsi="宋体" w:cs="宋体"/>
          <w:sz w:val="28"/>
          <w:szCs w:val="28"/>
        </w:rPr>
        <w:t>年  月  日</w:t>
      </w:r>
    </w:p>
    <w:p>
      <w:pPr>
        <w:rPr>
          <w:rFonts w:ascii="宋体" w:hAnsi="宋体" w:cs="宋体"/>
          <w:b/>
          <w:sz w:val="44"/>
          <w:szCs w:val="44"/>
        </w:rPr>
      </w:pPr>
      <w:r>
        <w:rPr>
          <w:rFonts w:hint="eastAsia" w:ascii="宋体" w:hAnsi="宋体" w:cs="宋体"/>
          <w:b/>
          <w:sz w:val="44"/>
          <w:szCs w:val="44"/>
        </w:rPr>
        <w:br w:type="page"/>
      </w:r>
    </w:p>
    <w:p>
      <w:pPr>
        <w:widowControl/>
        <w:snapToGrid w:val="0"/>
        <w:spacing w:line="360" w:lineRule="auto"/>
        <w:jc w:val="center"/>
        <w:rPr>
          <w:rFonts w:ascii="宋体" w:hAnsi="宋体" w:cs="宋体"/>
          <w:b/>
          <w:sz w:val="44"/>
          <w:szCs w:val="44"/>
        </w:rPr>
      </w:pPr>
      <w:r>
        <w:rPr>
          <w:rFonts w:hint="eastAsia" w:ascii="宋体" w:hAnsi="宋体" w:cs="宋体"/>
          <w:b/>
          <w:sz w:val="44"/>
          <w:szCs w:val="44"/>
        </w:rPr>
        <w:t xml:space="preserve">目 </w:t>
      </w:r>
      <w:r>
        <w:rPr>
          <w:rFonts w:hint="eastAsia" w:ascii="宋体" w:hAnsi="宋体" w:cs="宋体"/>
          <w:b/>
          <w:sz w:val="44"/>
          <w:szCs w:val="44"/>
        </w:rPr>
        <w:tab/>
      </w:r>
      <w:r>
        <w:rPr>
          <w:rFonts w:hint="eastAsia" w:ascii="宋体" w:hAnsi="宋体" w:cs="宋体"/>
          <w:b/>
          <w:sz w:val="44"/>
          <w:szCs w:val="44"/>
        </w:rPr>
        <w:t>录</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1、投标函…………………………………………………………………（页码）</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2、开标一览表……………………………………………………………（页码）</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3、投标报价明细表………………………………………………………（页码）</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4、投标保证金缴纳凭证复印件…………………………………………（页码）</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5、投标人针对报价需要说明的其他文件和资料………………………（页码）</w:t>
      </w:r>
    </w:p>
    <w:p>
      <w:pPr>
        <w:adjustRightInd w:val="0"/>
        <w:snapToGrid w:val="0"/>
        <w:spacing w:line="400" w:lineRule="exact"/>
        <w:rPr>
          <w:rFonts w:ascii="宋体" w:hAnsi="宋体" w:cs="宋体"/>
          <w:sz w:val="24"/>
          <w:szCs w:val="24"/>
        </w:rPr>
      </w:pPr>
    </w:p>
    <w:p>
      <w:pPr>
        <w:widowControl/>
        <w:jc w:val="left"/>
        <w:rPr>
          <w:rFonts w:ascii="宋体" w:hAnsi="宋体"/>
          <w:b/>
          <w:bCs/>
          <w:sz w:val="32"/>
          <w:szCs w:val="32"/>
        </w:rPr>
      </w:pPr>
      <w:r>
        <w:br w:type="page"/>
      </w:r>
    </w:p>
    <w:p>
      <w:pPr>
        <w:adjustRightInd w:val="0"/>
        <w:snapToGrid w:val="0"/>
        <w:spacing w:before="50" w:after="50" w:line="400" w:lineRule="exact"/>
        <w:rPr>
          <w:rFonts w:ascii="宋体" w:hAnsi="宋体" w:cs="宋体"/>
          <w:b/>
          <w:sz w:val="24"/>
          <w:szCs w:val="24"/>
        </w:rPr>
      </w:pPr>
      <w:r>
        <w:rPr>
          <w:rFonts w:hint="eastAsia" w:ascii="宋体" w:hAnsi="宋体" w:cs="宋体"/>
          <w:b/>
          <w:sz w:val="24"/>
          <w:szCs w:val="24"/>
        </w:rPr>
        <w:t>1、投标函格式：</w:t>
      </w:r>
    </w:p>
    <w:p>
      <w:pPr>
        <w:adjustRightInd w:val="0"/>
        <w:snapToGrid w:val="0"/>
        <w:spacing w:line="400" w:lineRule="exact"/>
        <w:jc w:val="center"/>
        <w:rPr>
          <w:rFonts w:ascii="宋体" w:hAnsi="宋体" w:cs="宋体"/>
          <w:b/>
          <w:sz w:val="24"/>
          <w:szCs w:val="24"/>
        </w:rPr>
      </w:pPr>
      <w:r>
        <w:rPr>
          <w:rFonts w:hint="eastAsia" w:ascii="宋体" w:hAnsi="宋体" w:cs="宋体"/>
          <w:b/>
          <w:sz w:val="24"/>
          <w:szCs w:val="24"/>
        </w:rPr>
        <w:t>投 标 函</w:t>
      </w:r>
    </w:p>
    <w:p>
      <w:pPr>
        <w:adjustRightInd w:val="0"/>
        <w:snapToGrid w:val="0"/>
        <w:spacing w:line="400" w:lineRule="exact"/>
        <w:rPr>
          <w:rFonts w:ascii="宋体" w:hAnsi="宋体" w:cs="宋体"/>
          <w:sz w:val="24"/>
          <w:szCs w:val="24"/>
        </w:rPr>
      </w:pPr>
      <w:r>
        <w:rPr>
          <w:rFonts w:hint="eastAsia" w:ascii="宋体" w:hAnsi="宋体" w:cs="宋体"/>
          <w:sz w:val="24"/>
          <w:szCs w:val="24"/>
        </w:rPr>
        <w:t>（采购代理机构名称）：</w:t>
      </w:r>
    </w:p>
    <w:p>
      <w:pPr>
        <w:adjustRightInd w:val="0"/>
        <w:snapToGrid w:val="0"/>
        <w:spacing w:line="400" w:lineRule="exact"/>
        <w:ind w:firstLine="480"/>
        <w:rPr>
          <w:rFonts w:ascii="宋体" w:hAnsi="宋体" w:cs="宋体"/>
          <w:sz w:val="24"/>
          <w:szCs w:val="24"/>
        </w:rPr>
      </w:pPr>
      <w:r>
        <w:rPr>
          <w:rFonts w:hint="eastAsia" w:ascii="宋体" w:hAnsi="宋体" w:cs="宋体"/>
          <w:sz w:val="24"/>
          <w:szCs w:val="24"/>
        </w:rPr>
        <w:t>根据贵方项目（项目编号：）招标公告/投标邀请书，签字代表（全名）经正式授权并代表投标人（投标人名称）提交</w:t>
      </w:r>
      <w:r>
        <w:rPr>
          <w:rFonts w:hint="eastAsia" w:ascii="宋体" w:hAnsi="宋体" w:cs="宋体"/>
          <w:sz w:val="24"/>
          <w:szCs w:val="24"/>
          <w:u w:val="single"/>
        </w:rPr>
        <w:t>标包编号及内容</w:t>
      </w:r>
      <w:r>
        <w:rPr>
          <w:rFonts w:hint="eastAsia" w:ascii="宋体" w:hAnsi="宋体" w:cs="宋体"/>
          <w:sz w:val="24"/>
          <w:szCs w:val="24"/>
        </w:rPr>
        <w:t>投标文件正本一份、副本份、电子文件份。</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据此函，签字代表宣布同意如下：</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1、投标人已详细审查全部“招标文件”，包括补充文件（如有）以及全部参考资料和有关附件，已经了解我方对于招标文件、采购过程、采购结果有依法进行询问、质疑、投诉的权利及相关渠道和要求。</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2、投标人在投标之前已经与贵方进行了充分的沟通，完全理解并接受招标文件的各项规定和要求，对招标文件的合理性、合法性不再有异议。</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3、本投标有效期自递交投标文件截止之日起</w:t>
      </w:r>
      <w:r>
        <w:rPr>
          <w:rFonts w:hint="eastAsia" w:ascii="宋体" w:hAnsi="宋体" w:cs="宋体"/>
          <w:sz w:val="24"/>
          <w:szCs w:val="24"/>
          <w:u w:val="single"/>
        </w:rPr>
        <w:t>90</w:t>
      </w:r>
      <w:r>
        <w:rPr>
          <w:rFonts w:hint="eastAsia" w:ascii="宋体" w:hAnsi="宋体" w:cs="宋体"/>
          <w:sz w:val="24"/>
          <w:szCs w:val="24"/>
        </w:rPr>
        <w:t>日。</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4、如中标，本投标文件至本项目合同履行完毕止均保持有效，本投标人将按“招标文件”及政府采购法律、法规的规定履行合同责任和义务。</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5、投标人同意按照贵方要求提供与投标有关的一切数据或资料，完全理解采购人不一定接受最低价的投标或收到的任何投标。</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6、与本投标有关的一切正式往来信函请寄：</w:t>
      </w:r>
    </w:p>
    <w:p>
      <w:pPr>
        <w:adjustRightInd w:val="0"/>
        <w:snapToGrid w:val="0"/>
        <w:spacing w:line="400" w:lineRule="exact"/>
        <w:ind w:firstLine="480" w:firstLineChars="200"/>
        <w:rPr>
          <w:rFonts w:ascii="宋体" w:hAnsi="宋体" w:cs="宋体"/>
          <w:sz w:val="24"/>
          <w:szCs w:val="24"/>
        </w:rPr>
      </w:pPr>
    </w:p>
    <w:p>
      <w:pPr>
        <w:adjustRightInd w:val="0"/>
        <w:snapToGrid w:val="0"/>
        <w:spacing w:line="400" w:lineRule="exact"/>
        <w:rPr>
          <w:rFonts w:ascii="宋体" w:hAnsi="宋体" w:cs="宋体"/>
          <w:sz w:val="24"/>
          <w:szCs w:val="24"/>
        </w:rPr>
      </w:pPr>
      <w:r>
        <w:rPr>
          <w:rFonts w:hint="eastAsia" w:ascii="宋体" w:hAnsi="宋体" w:cs="宋体"/>
          <w:sz w:val="24"/>
          <w:szCs w:val="24"/>
        </w:rPr>
        <w:t>地址：  邮编：     电话：</w:t>
      </w:r>
    </w:p>
    <w:p>
      <w:pPr>
        <w:adjustRightInd w:val="0"/>
        <w:snapToGrid w:val="0"/>
        <w:spacing w:line="400" w:lineRule="exact"/>
        <w:rPr>
          <w:rFonts w:ascii="宋体" w:hAnsi="宋体" w:cs="宋体"/>
          <w:sz w:val="24"/>
          <w:szCs w:val="24"/>
        </w:rPr>
      </w:pPr>
      <w:r>
        <w:rPr>
          <w:rFonts w:hint="eastAsia" w:ascii="宋体" w:hAnsi="宋体" w:cs="宋体"/>
          <w:sz w:val="24"/>
          <w:szCs w:val="24"/>
        </w:rPr>
        <w:t>传真：   投标人代表姓名：  职务：</w:t>
      </w:r>
    </w:p>
    <w:p>
      <w:pPr>
        <w:adjustRightInd w:val="0"/>
        <w:snapToGrid w:val="0"/>
        <w:spacing w:line="400" w:lineRule="exact"/>
        <w:rPr>
          <w:rFonts w:ascii="宋体" w:hAnsi="宋体" w:cs="宋体"/>
          <w:sz w:val="24"/>
          <w:szCs w:val="24"/>
        </w:rPr>
      </w:pPr>
      <w:r>
        <w:rPr>
          <w:rFonts w:hint="eastAsia" w:ascii="宋体" w:hAnsi="宋体" w:cs="宋体"/>
          <w:sz w:val="24"/>
          <w:szCs w:val="24"/>
        </w:rPr>
        <w:t>投标人名称(公章):</w:t>
      </w:r>
    </w:p>
    <w:p>
      <w:pPr>
        <w:adjustRightInd w:val="0"/>
        <w:snapToGrid w:val="0"/>
        <w:spacing w:line="400" w:lineRule="exact"/>
        <w:rPr>
          <w:rFonts w:ascii="宋体" w:hAnsi="宋体" w:cs="宋体"/>
          <w:sz w:val="24"/>
          <w:szCs w:val="24"/>
        </w:rPr>
      </w:pPr>
      <w:r>
        <w:rPr>
          <w:rFonts w:hint="eastAsia" w:ascii="宋体" w:hAnsi="宋体" w:cs="宋体"/>
          <w:sz w:val="24"/>
          <w:szCs w:val="24"/>
        </w:rPr>
        <w:t>开户银行：    银行帐号：</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授权代表签字:</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 xml:space="preserve">                                             日期：年月日</w:t>
      </w:r>
    </w:p>
    <w:p>
      <w:pPr>
        <w:adjustRightInd w:val="0"/>
        <w:snapToGrid w:val="0"/>
        <w:spacing w:line="400" w:lineRule="exact"/>
        <w:rPr>
          <w:rFonts w:ascii="宋体" w:hAnsi="宋体" w:cs="宋体"/>
          <w:sz w:val="24"/>
          <w:szCs w:val="24"/>
        </w:rPr>
      </w:pPr>
    </w:p>
    <w:p>
      <w:pPr>
        <w:adjustRightInd w:val="0"/>
        <w:snapToGrid w:val="0"/>
        <w:spacing w:line="400" w:lineRule="exact"/>
      </w:pPr>
    </w:p>
    <w:p>
      <w:pPr>
        <w:adjustRightInd w:val="0"/>
        <w:snapToGrid w:val="0"/>
        <w:spacing w:line="400" w:lineRule="exact"/>
      </w:pPr>
    </w:p>
    <w:p>
      <w:pPr>
        <w:adjustRightInd w:val="0"/>
        <w:snapToGrid w:val="0"/>
        <w:spacing w:line="400" w:lineRule="exact"/>
      </w:pPr>
    </w:p>
    <w:p>
      <w:pPr>
        <w:adjustRightInd w:val="0"/>
        <w:snapToGrid w:val="0"/>
        <w:spacing w:line="400" w:lineRule="exact"/>
      </w:pPr>
    </w:p>
    <w:p>
      <w:pPr>
        <w:adjustRightInd w:val="0"/>
        <w:snapToGrid w:val="0"/>
        <w:spacing w:line="400" w:lineRule="exact"/>
      </w:pPr>
    </w:p>
    <w:p>
      <w:pPr>
        <w:adjustRightInd w:val="0"/>
        <w:snapToGrid w:val="0"/>
        <w:spacing w:line="400" w:lineRule="exact"/>
      </w:pPr>
    </w:p>
    <w:p>
      <w:pPr>
        <w:adjustRightInd w:val="0"/>
        <w:snapToGrid w:val="0"/>
        <w:spacing w:line="400" w:lineRule="exact"/>
      </w:pPr>
    </w:p>
    <w:p>
      <w:pPr>
        <w:adjustRightInd w:val="0"/>
        <w:snapToGrid w:val="0"/>
        <w:spacing w:line="400" w:lineRule="exact"/>
      </w:pPr>
    </w:p>
    <w:p>
      <w:pPr>
        <w:adjustRightInd w:val="0"/>
        <w:snapToGrid w:val="0"/>
        <w:spacing w:line="400" w:lineRule="exact"/>
        <w:rPr>
          <w:rFonts w:ascii="宋体" w:hAnsi="宋体" w:cs="宋体"/>
          <w:b/>
          <w:sz w:val="24"/>
          <w:szCs w:val="24"/>
        </w:rPr>
      </w:pPr>
      <w:r>
        <w:rPr>
          <w:rFonts w:hint="eastAsia" w:ascii="宋体" w:hAnsi="宋体" w:cs="宋体"/>
          <w:b/>
          <w:sz w:val="24"/>
          <w:szCs w:val="24"/>
        </w:rPr>
        <w:t>2、开标一览表</w:t>
      </w:r>
    </w:p>
    <w:p>
      <w:pPr>
        <w:adjustRightInd w:val="0"/>
        <w:snapToGrid w:val="0"/>
        <w:spacing w:line="400" w:lineRule="exact"/>
        <w:jc w:val="center"/>
        <w:rPr>
          <w:rFonts w:ascii="宋体" w:hAnsi="宋体" w:cs="宋体"/>
          <w:b/>
          <w:sz w:val="24"/>
          <w:szCs w:val="24"/>
        </w:rPr>
      </w:pPr>
      <w:r>
        <w:rPr>
          <w:rFonts w:hint="eastAsia" w:ascii="宋体" w:hAnsi="宋体" w:cs="宋体"/>
          <w:b/>
          <w:sz w:val="24"/>
          <w:szCs w:val="24"/>
        </w:rPr>
        <w:t>开标一览表</w:t>
      </w:r>
    </w:p>
    <w:p>
      <w:pPr>
        <w:adjustRightInd w:val="0"/>
        <w:snapToGrid w:val="0"/>
        <w:spacing w:line="400" w:lineRule="exact"/>
        <w:rPr>
          <w:rFonts w:ascii="宋体" w:hAnsi="宋体" w:cs="宋体"/>
          <w:sz w:val="24"/>
          <w:szCs w:val="24"/>
        </w:rPr>
      </w:pPr>
      <w:r>
        <w:rPr>
          <w:rFonts w:hint="eastAsia" w:ascii="宋体" w:hAnsi="宋体" w:cs="宋体"/>
          <w:sz w:val="24"/>
          <w:szCs w:val="24"/>
        </w:rPr>
        <w:t xml:space="preserve">项目名称：      </w:t>
      </w:r>
    </w:p>
    <w:p>
      <w:pPr>
        <w:adjustRightInd w:val="0"/>
        <w:snapToGrid w:val="0"/>
        <w:spacing w:line="400" w:lineRule="exact"/>
        <w:rPr>
          <w:rFonts w:ascii="宋体" w:hAnsi="宋体" w:cs="宋体"/>
          <w:sz w:val="24"/>
          <w:szCs w:val="24"/>
        </w:rPr>
      </w:pPr>
      <w:r>
        <w:rPr>
          <w:rFonts w:hint="eastAsia" w:ascii="宋体" w:hAnsi="宋体" w:cs="宋体"/>
          <w:sz w:val="24"/>
          <w:szCs w:val="24"/>
        </w:rPr>
        <w:t>标包编号及内容：                          单位：元/</w:t>
      </w:r>
      <w:r>
        <w:rPr>
          <w:rFonts w:hint="eastAsia" w:ascii="宋体" w:hAnsi="宋体"/>
          <w:sz w:val="24"/>
          <w:szCs w:val="24"/>
        </w:rPr>
        <w:t>辆</w:t>
      </w:r>
      <w:r>
        <w:rPr>
          <w:rFonts w:hint="eastAsia" w:ascii="宋体" w:hAnsi="宋体" w:cs="宋体"/>
          <w:sz w:val="24"/>
          <w:szCs w:val="24"/>
        </w:rPr>
        <w:t>等</w:t>
      </w:r>
    </w:p>
    <w:tbl>
      <w:tblPr>
        <w:tblStyle w:val="38"/>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6"/>
        <w:gridCol w:w="1250"/>
        <w:gridCol w:w="1065"/>
        <w:gridCol w:w="641"/>
        <w:gridCol w:w="1282"/>
        <w:gridCol w:w="898"/>
        <w:gridCol w:w="1153"/>
        <w:gridCol w:w="1154"/>
        <w:gridCol w:w="8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476"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序号</w:t>
            </w:r>
          </w:p>
        </w:tc>
        <w:tc>
          <w:tcPr>
            <w:tcW w:w="1250"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标的名称</w:t>
            </w:r>
          </w:p>
        </w:tc>
        <w:tc>
          <w:tcPr>
            <w:tcW w:w="1065"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品牌</w:t>
            </w:r>
          </w:p>
        </w:tc>
        <w:tc>
          <w:tcPr>
            <w:tcW w:w="641"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产地</w:t>
            </w:r>
          </w:p>
        </w:tc>
        <w:tc>
          <w:tcPr>
            <w:tcW w:w="1282"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规格型号</w:t>
            </w:r>
          </w:p>
        </w:tc>
        <w:tc>
          <w:tcPr>
            <w:tcW w:w="898"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数量</w:t>
            </w:r>
          </w:p>
        </w:tc>
        <w:tc>
          <w:tcPr>
            <w:tcW w:w="1153"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单价（元）</w:t>
            </w:r>
          </w:p>
        </w:tc>
        <w:tc>
          <w:tcPr>
            <w:tcW w:w="1154"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合计（元）</w:t>
            </w:r>
          </w:p>
        </w:tc>
        <w:tc>
          <w:tcPr>
            <w:tcW w:w="897" w:type="dxa"/>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jc w:val="center"/>
        </w:trPr>
        <w:tc>
          <w:tcPr>
            <w:tcW w:w="476" w:type="dxa"/>
            <w:vAlign w:val="center"/>
          </w:tcPr>
          <w:p>
            <w:pPr>
              <w:snapToGrid w:val="0"/>
              <w:spacing w:line="400" w:lineRule="exact"/>
              <w:jc w:val="center"/>
              <w:rPr>
                <w:rFonts w:ascii="宋体" w:hAnsi="宋体" w:cs="宋体"/>
                <w:sz w:val="24"/>
                <w:szCs w:val="24"/>
              </w:rPr>
            </w:pPr>
          </w:p>
        </w:tc>
        <w:tc>
          <w:tcPr>
            <w:tcW w:w="1250" w:type="dxa"/>
            <w:vAlign w:val="center"/>
          </w:tcPr>
          <w:p>
            <w:pPr>
              <w:snapToGrid w:val="0"/>
              <w:spacing w:line="400" w:lineRule="exact"/>
              <w:jc w:val="center"/>
              <w:rPr>
                <w:rFonts w:ascii="宋体" w:hAnsi="宋体" w:cs="宋体"/>
                <w:sz w:val="24"/>
                <w:szCs w:val="24"/>
              </w:rPr>
            </w:pPr>
          </w:p>
        </w:tc>
        <w:tc>
          <w:tcPr>
            <w:tcW w:w="1065" w:type="dxa"/>
            <w:vAlign w:val="center"/>
          </w:tcPr>
          <w:p>
            <w:pPr>
              <w:snapToGrid w:val="0"/>
              <w:spacing w:line="400" w:lineRule="exact"/>
              <w:jc w:val="center"/>
              <w:rPr>
                <w:rFonts w:ascii="宋体" w:hAnsi="宋体" w:cs="宋体"/>
                <w:sz w:val="24"/>
                <w:szCs w:val="24"/>
              </w:rPr>
            </w:pPr>
          </w:p>
        </w:tc>
        <w:tc>
          <w:tcPr>
            <w:tcW w:w="641" w:type="dxa"/>
            <w:vAlign w:val="center"/>
          </w:tcPr>
          <w:p>
            <w:pPr>
              <w:snapToGrid w:val="0"/>
              <w:spacing w:line="400" w:lineRule="exact"/>
              <w:jc w:val="center"/>
              <w:rPr>
                <w:rFonts w:ascii="宋体" w:hAnsi="宋体" w:cs="宋体"/>
                <w:sz w:val="24"/>
                <w:szCs w:val="24"/>
              </w:rPr>
            </w:pPr>
          </w:p>
        </w:tc>
        <w:tc>
          <w:tcPr>
            <w:tcW w:w="1282" w:type="dxa"/>
            <w:vAlign w:val="center"/>
          </w:tcPr>
          <w:p>
            <w:pPr>
              <w:snapToGrid w:val="0"/>
              <w:spacing w:line="400" w:lineRule="exact"/>
              <w:jc w:val="center"/>
              <w:rPr>
                <w:rFonts w:ascii="宋体" w:hAnsi="宋体" w:cs="宋体"/>
                <w:sz w:val="24"/>
                <w:szCs w:val="24"/>
              </w:rPr>
            </w:pPr>
          </w:p>
        </w:tc>
        <w:tc>
          <w:tcPr>
            <w:tcW w:w="898" w:type="dxa"/>
            <w:vAlign w:val="center"/>
          </w:tcPr>
          <w:p>
            <w:pPr>
              <w:snapToGrid w:val="0"/>
              <w:spacing w:line="400" w:lineRule="exact"/>
              <w:jc w:val="center"/>
              <w:rPr>
                <w:rFonts w:ascii="宋体" w:hAnsi="宋体" w:cs="宋体"/>
                <w:sz w:val="24"/>
                <w:szCs w:val="24"/>
              </w:rPr>
            </w:pPr>
          </w:p>
        </w:tc>
        <w:tc>
          <w:tcPr>
            <w:tcW w:w="1153" w:type="dxa"/>
            <w:vAlign w:val="center"/>
          </w:tcPr>
          <w:p>
            <w:pPr>
              <w:snapToGrid w:val="0"/>
              <w:spacing w:line="400" w:lineRule="exact"/>
              <w:jc w:val="left"/>
              <w:rPr>
                <w:rFonts w:ascii="宋体" w:hAnsi="宋体" w:cs="宋体"/>
                <w:sz w:val="24"/>
                <w:szCs w:val="24"/>
              </w:rPr>
            </w:pPr>
          </w:p>
        </w:tc>
        <w:tc>
          <w:tcPr>
            <w:tcW w:w="1154" w:type="dxa"/>
            <w:vAlign w:val="center"/>
          </w:tcPr>
          <w:p>
            <w:pPr>
              <w:snapToGrid w:val="0"/>
              <w:spacing w:line="400" w:lineRule="exact"/>
              <w:jc w:val="center"/>
              <w:rPr>
                <w:rFonts w:ascii="宋体" w:hAnsi="宋体" w:cs="宋体"/>
                <w:sz w:val="24"/>
                <w:szCs w:val="24"/>
              </w:rPr>
            </w:pPr>
          </w:p>
        </w:tc>
        <w:tc>
          <w:tcPr>
            <w:tcW w:w="897" w:type="dxa"/>
            <w:vAlign w:val="center"/>
          </w:tcPr>
          <w:p>
            <w:pPr>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476" w:type="dxa"/>
            <w:vAlign w:val="center"/>
          </w:tcPr>
          <w:p>
            <w:pPr>
              <w:snapToGrid w:val="0"/>
              <w:spacing w:line="400" w:lineRule="exact"/>
              <w:jc w:val="center"/>
              <w:rPr>
                <w:rFonts w:ascii="宋体" w:hAnsi="宋体" w:cs="宋体"/>
                <w:sz w:val="24"/>
                <w:szCs w:val="24"/>
              </w:rPr>
            </w:pPr>
          </w:p>
        </w:tc>
        <w:tc>
          <w:tcPr>
            <w:tcW w:w="1250" w:type="dxa"/>
            <w:vAlign w:val="center"/>
          </w:tcPr>
          <w:p>
            <w:pPr>
              <w:snapToGrid w:val="0"/>
              <w:spacing w:line="400" w:lineRule="exact"/>
              <w:jc w:val="center"/>
              <w:rPr>
                <w:rFonts w:ascii="宋体" w:hAnsi="宋体" w:cs="宋体"/>
                <w:sz w:val="24"/>
                <w:szCs w:val="24"/>
              </w:rPr>
            </w:pPr>
          </w:p>
        </w:tc>
        <w:tc>
          <w:tcPr>
            <w:tcW w:w="1065" w:type="dxa"/>
            <w:vAlign w:val="center"/>
          </w:tcPr>
          <w:p>
            <w:pPr>
              <w:snapToGrid w:val="0"/>
              <w:spacing w:line="400" w:lineRule="exact"/>
              <w:jc w:val="center"/>
              <w:rPr>
                <w:rFonts w:ascii="宋体" w:hAnsi="宋体" w:cs="宋体"/>
                <w:sz w:val="24"/>
                <w:szCs w:val="24"/>
              </w:rPr>
            </w:pPr>
          </w:p>
        </w:tc>
        <w:tc>
          <w:tcPr>
            <w:tcW w:w="641" w:type="dxa"/>
            <w:vAlign w:val="center"/>
          </w:tcPr>
          <w:p>
            <w:pPr>
              <w:snapToGrid w:val="0"/>
              <w:spacing w:line="400" w:lineRule="exact"/>
              <w:jc w:val="center"/>
              <w:rPr>
                <w:rFonts w:ascii="宋体" w:hAnsi="宋体" w:cs="宋体"/>
                <w:sz w:val="24"/>
                <w:szCs w:val="24"/>
              </w:rPr>
            </w:pPr>
          </w:p>
        </w:tc>
        <w:tc>
          <w:tcPr>
            <w:tcW w:w="1282" w:type="dxa"/>
            <w:vAlign w:val="center"/>
          </w:tcPr>
          <w:p>
            <w:pPr>
              <w:snapToGrid w:val="0"/>
              <w:spacing w:line="400" w:lineRule="exact"/>
              <w:jc w:val="center"/>
              <w:rPr>
                <w:rFonts w:ascii="宋体" w:hAnsi="宋体" w:cs="宋体"/>
                <w:sz w:val="24"/>
                <w:szCs w:val="24"/>
              </w:rPr>
            </w:pPr>
          </w:p>
        </w:tc>
        <w:tc>
          <w:tcPr>
            <w:tcW w:w="898" w:type="dxa"/>
            <w:vAlign w:val="center"/>
          </w:tcPr>
          <w:p>
            <w:pPr>
              <w:snapToGrid w:val="0"/>
              <w:spacing w:line="400" w:lineRule="exact"/>
              <w:jc w:val="center"/>
              <w:rPr>
                <w:rFonts w:ascii="宋体" w:hAnsi="宋体" w:cs="宋体"/>
                <w:sz w:val="24"/>
                <w:szCs w:val="24"/>
              </w:rPr>
            </w:pPr>
          </w:p>
        </w:tc>
        <w:tc>
          <w:tcPr>
            <w:tcW w:w="1153" w:type="dxa"/>
            <w:vAlign w:val="center"/>
          </w:tcPr>
          <w:p>
            <w:pPr>
              <w:snapToGrid w:val="0"/>
              <w:spacing w:line="400" w:lineRule="exact"/>
              <w:jc w:val="left"/>
              <w:rPr>
                <w:rFonts w:ascii="宋体" w:hAnsi="宋体" w:cs="宋体"/>
                <w:sz w:val="24"/>
                <w:szCs w:val="24"/>
              </w:rPr>
            </w:pPr>
          </w:p>
        </w:tc>
        <w:tc>
          <w:tcPr>
            <w:tcW w:w="1154" w:type="dxa"/>
            <w:vAlign w:val="center"/>
          </w:tcPr>
          <w:p>
            <w:pPr>
              <w:snapToGrid w:val="0"/>
              <w:spacing w:line="400" w:lineRule="exact"/>
              <w:jc w:val="center"/>
              <w:rPr>
                <w:rFonts w:ascii="宋体" w:hAnsi="宋体" w:cs="宋体"/>
                <w:sz w:val="24"/>
                <w:szCs w:val="24"/>
              </w:rPr>
            </w:pPr>
          </w:p>
        </w:tc>
        <w:tc>
          <w:tcPr>
            <w:tcW w:w="897" w:type="dxa"/>
            <w:vAlign w:val="center"/>
          </w:tcPr>
          <w:p>
            <w:pPr>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投标总价（元）</w:t>
            </w:r>
          </w:p>
        </w:tc>
        <w:tc>
          <w:tcPr>
            <w:tcW w:w="7090" w:type="dxa"/>
            <w:gridSpan w:val="7"/>
            <w:vAlign w:val="center"/>
          </w:tcPr>
          <w:p>
            <w:pPr>
              <w:snapToGrid w:val="0"/>
              <w:spacing w:line="400" w:lineRule="exact"/>
              <w:rPr>
                <w:rFonts w:ascii="宋体" w:hAnsi="宋体" w:cs="宋体"/>
                <w:sz w:val="24"/>
                <w:szCs w:val="24"/>
              </w:rPr>
            </w:pPr>
            <w:r>
              <w:rPr>
                <w:rFonts w:hint="eastAsia" w:ascii="宋体" w:hAnsi="宋体" w:cs="宋体"/>
                <w:sz w:val="24"/>
                <w:szCs w:val="24"/>
              </w:rPr>
              <w:t>合计金额大写：  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726" w:type="dxa"/>
            <w:gridSpan w:val="2"/>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交货时间</w:t>
            </w:r>
          </w:p>
        </w:tc>
        <w:tc>
          <w:tcPr>
            <w:tcW w:w="7090" w:type="dxa"/>
            <w:gridSpan w:val="7"/>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（可填写是\否满足招标文件要求）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1726" w:type="dxa"/>
            <w:gridSpan w:val="2"/>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质保期</w:t>
            </w:r>
          </w:p>
        </w:tc>
        <w:tc>
          <w:tcPr>
            <w:tcW w:w="7090" w:type="dxa"/>
            <w:gridSpan w:val="7"/>
            <w:vAlign w:val="center"/>
          </w:tcPr>
          <w:p>
            <w:pPr>
              <w:snapToGrid w:val="0"/>
              <w:spacing w:line="400" w:lineRule="exact"/>
              <w:jc w:val="center"/>
              <w:rPr>
                <w:rFonts w:ascii="宋体" w:hAnsi="宋体" w:cs="宋体"/>
                <w:sz w:val="24"/>
                <w:szCs w:val="24"/>
              </w:rPr>
            </w:pPr>
            <w:r>
              <w:rPr>
                <w:rFonts w:hint="eastAsia" w:ascii="宋体" w:hAnsi="宋体" w:cs="宋体"/>
                <w:sz w:val="24"/>
                <w:szCs w:val="24"/>
              </w:rPr>
              <w:t>（可填写是\否满足招标文件要求）</w:t>
            </w:r>
          </w:p>
        </w:tc>
      </w:tr>
    </w:tbl>
    <w:p>
      <w:pPr>
        <w:adjustRightInd w:val="0"/>
        <w:snapToGrid w:val="0"/>
        <w:spacing w:line="400" w:lineRule="exact"/>
        <w:rPr>
          <w:rFonts w:ascii="宋体" w:hAnsi="宋体" w:cs="宋体"/>
          <w:sz w:val="24"/>
          <w:szCs w:val="24"/>
        </w:rPr>
      </w:pPr>
    </w:p>
    <w:p>
      <w:pPr>
        <w:adjustRightInd w:val="0"/>
        <w:snapToGrid w:val="0"/>
        <w:spacing w:line="400" w:lineRule="exact"/>
        <w:jc w:val="left"/>
        <w:rPr>
          <w:rFonts w:ascii="宋体" w:hAnsi="宋体" w:cs="宋体"/>
          <w:sz w:val="24"/>
          <w:szCs w:val="24"/>
        </w:rPr>
      </w:pPr>
      <w:r>
        <w:rPr>
          <w:rFonts w:hint="eastAsia" w:ascii="宋体" w:hAnsi="宋体" w:cs="宋体"/>
          <w:sz w:val="24"/>
          <w:szCs w:val="24"/>
        </w:rPr>
        <w:t>注: 投标报价包括项目实施所需的货款、人工费、服务费、运输费、安装调试费、税金及其他一切费用。</w:t>
      </w:r>
    </w:p>
    <w:p>
      <w:pPr>
        <w:pStyle w:val="4"/>
      </w:pP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投标人名称（盖章）：</w:t>
      </w: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法定代表人或授权代表（签字）：</w:t>
      </w:r>
    </w:p>
    <w:p>
      <w:pPr>
        <w:adjustRightInd w:val="0"/>
        <w:snapToGrid w:val="0"/>
        <w:spacing w:line="400" w:lineRule="exact"/>
        <w:ind w:left="-2" w:leftChars="-1" w:right="-817" w:rightChars="-389" w:firstLine="2"/>
        <w:rPr>
          <w:rFonts w:ascii="宋体" w:hAnsi="宋体" w:cs="宋体"/>
          <w:sz w:val="24"/>
          <w:szCs w:val="24"/>
        </w:rPr>
      </w:pPr>
      <w:r>
        <w:rPr>
          <w:rFonts w:hint="eastAsia" w:ascii="宋体" w:hAnsi="宋体" w:cs="宋体"/>
          <w:sz w:val="24"/>
          <w:szCs w:val="24"/>
        </w:rPr>
        <w:t>日期：    年   月   日</w:t>
      </w:r>
    </w:p>
    <w:p>
      <w:pPr>
        <w:adjustRightInd w:val="0"/>
        <w:snapToGrid w:val="0"/>
        <w:spacing w:line="400" w:lineRule="exact"/>
      </w:pPr>
      <w:r>
        <w:rPr>
          <w:rFonts w:hint="eastAsia" w:ascii="宋体" w:hAnsi="宋体" w:cs="宋体"/>
          <w:b/>
          <w:sz w:val="24"/>
          <w:szCs w:val="24"/>
        </w:rPr>
        <w:br w:type="page"/>
      </w:r>
    </w:p>
    <w:p>
      <w:pPr>
        <w:adjustRightInd w:val="0"/>
        <w:snapToGrid w:val="0"/>
        <w:spacing w:line="400" w:lineRule="exact"/>
        <w:rPr>
          <w:rFonts w:ascii="宋体" w:hAnsi="宋体" w:cs="宋体"/>
          <w:sz w:val="24"/>
          <w:szCs w:val="24"/>
        </w:rPr>
      </w:pPr>
      <w:r>
        <w:rPr>
          <w:rFonts w:hint="eastAsia" w:ascii="宋体" w:hAnsi="宋体" w:cs="宋体"/>
          <w:b/>
          <w:sz w:val="24"/>
          <w:szCs w:val="24"/>
        </w:rPr>
        <w:t>3、投标报价明细表格式</w:t>
      </w:r>
      <w:r>
        <w:rPr>
          <w:rFonts w:hint="eastAsia" w:ascii="宋体" w:hAnsi="宋体" w:cs="宋体"/>
          <w:sz w:val="24"/>
          <w:szCs w:val="24"/>
        </w:rPr>
        <w:t xml:space="preserve">：       </w:t>
      </w:r>
    </w:p>
    <w:p>
      <w:pPr>
        <w:adjustRightInd w:val="0"/>
        <w:snapToGrid w:val="0"/>
        <w:spacing w:line="400" w:lineRule="exact"/>
        <w:jc w:val="center"/>
        <w:rPr>
          <w:rFonts w:ascii="宋体" w:hAnsi="宋体" w:cs="宋体"/>
          <w:b/>
          <w:sz w:val="24"/>
          <w:szCs w:val="24"/>
        </w:rPr>
      </w:pPr>
      <w:r>
        <w:rPr>
          <w:rFonts w:hint="eastAsia" w:ascii="宋体" w:hAnsi="宋体" w:cs="宋体"/>
          <w:b/>
          <w:sz w:val="24"/>
          <w:szCs w:val="24"/>
        </w:rPr>
        <w:t>投标报价明细表</w:t>
      </w:r>
    </w:p>
    <w:p>
      <w:pPr>
        <w:adjustRightInd w:val="0"/>
        <w:snapToGrid w:val="0"/>
        <w:spacing w:line="400" w:lineRule="exact"/>
        <w:rPr>
          <w:rFonts w:ascii="宋体" w:hAnsi="宋体" w:cs="宋体"/>
          <w:sz w:val="24"/>
          <w:szCs w:val="24"/>
        </w:rPr>
      </w:pPr>
      <w:r>
        <w:rPr>
          <w:rFonts w:hint="eastAsia" w:ascii="宋体" w:hAnsi="宋体" w:cs="宋体"/>
          <w:sz w:val="24"/>
          <w:szCs w:val="24"/>
        </w:rPr>
        <w:t>项目名称：</w:t>
      </w:r>
    </w:p>
    <w:p>
      <w:pPr>
        <w:adjustRightInd w:val="0"/>
        <w:snapToGrid w:val="0"/>
        <w:spacing w:line="400" w:lineRule="exact"/>
        <w:rPr>
          <w:rFonts w:ascii="宋体" w:hAnsi="宋体" w:cs="宋体"/>
          <w:sz w:val="24"/>
          <w:szCs w:val="24"/>
        </w:rPr>
      </w:pPr>
      <w:r>
        <w:rPr>
          <w:rFonts w:hint="eastAsia" w:ascii="宋体" w:hAnsi="宋体" w:cs="宋体"/>
          <w:sz w:val="24"/>
          <w:szCs w:val="24"/>
        </w:rPr>
        <w:t>标包编号及内容：                               金额单位：人民币（元）</w:t>
      </w:r>
    </w:p>
    <w:tbl>
      <w:tblPr>
        <w:tblStyle w:val="38"/>
        <w:tblW w:w="833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57"/>
        <w:gridCol w:w="1315"/>
        <w:gridCol w:w="986"/>
        <w:gridCol w:w="1315"/>
        <w:gridCol w:w="1479"/>
        <w:gridCol w:w="903"/>
        <w:gridCol w:w="903"/>
        <w:gridCol w:w="78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18"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z w:val="24"/>
                <w:szCs w:val="24"/>
              </w:rPr>
              <w:t>序号</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z w:val="24"/>
                <w:szCs w:val="24"/>
              </w:rPr>
              <w:t>报价组成</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kern w:val="0"/>
                <w:sz w:val="24"/>
                <w:szCs w:val="24"/>
              </w:rPr>
            </w:pPr>
            <w:r>
              <w:rPr>
                <w:rFonts w:hint="eastAsia" w:ascii="宋体" w:hAnsi="宋体" w:cs="宋体"/>
                <w:spacing w:val="-20"/>
                <w:kern w:val="0"/>
                <w:sz w:val="24"/>
                <w:szCs w:val="24"/>
              </w:rPr>
              <w:t>品牌</w:t>
            </w: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z w:val="24"/>
                <w:szCs w:val="24"/>
              </w:rPr>
              <w:t>规格型号</w:t>
            </w: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z w:val="24"/>
                <w:szCs w:val="24"/>
              </w:rPr>
              <w:t>单位及数量</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z w:val="24"/>
                <w:szCs w:val="24"/>
              </w:rPr>
              <w:t>单价</w:t>
            </w: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z w:val="24"/>
                <w:szCs w:val="24"/>
              </w:rPr>
              <w:t>金额</w:t>
            </w: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pacing w:val="20"/>
                <w:sz w:val="24"/>
                <w:szCs w:val="24"/>
              </w:rPr>
              <w:t>备注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1" w:hRule="atLeast"/>
          <w:jc w:val="center"/>
        </w:trPr>
        <w:tc>
          <w:tcPr>
            <w:tcW w:w="657"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r>
              <w:rPr>
                <w:rFonts w:hint="eastAsia" w:ascii="宋体" w:hAnsi="宋体" w:cs="宋体"/>
                <w:spacing w:val="20"/>
                <w:sz w:val="24"/>
                <w:szCs w:val="24"/>
              </w:rPr>
              <w:t>……</w:t>
            </w:r>
          </w:p>
        </w:tc>
        <w:tc>
          <w:tcPr>
            <w:tcW w:w="986"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315"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1479"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903"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c>
          <w:tcPr>
            <w:tcW w:w="780" w:type="dxa"/>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jc w:val="center"/>
              <w:rPr>
                <w:rFonts w:ascii="宋体" w:hAnsi="宋体" w:cs="宋体"/>
                <w:spacing w:val="20"/>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1" w:hRule="atLeast"/>
          <w:jc w:val="center"/>
        </w:trPr>
        <w:tc>
          <w:tcPr>
            <w:tcW w:w="8338" w:type="dxa"/>
            <w:gridSpan w:val="8"/>
            <w:tcBorders>
              <w:top w:val="single" w:color="auto" w:sz="4" w:space="0"/>
              <w:left w:val="single" w:color="auto" w:sz="4" w:space="0"/>
              <w:bottom w:val="single" w:color="auto" w:sz="4" w:space="0"/>
              <w:right w:val="single" w:color="auto" w:sz="4" w:space="0"/>
            </w:tcBorders>
            <w:vAlign w:val="center"/>
          </w:tcPr>
          <w:p>
            <w:pPr>
              <w:tabs>
                <w:tab w:val="left" w:pos="1418"/>
              </w:tabs>
              <w:adjustRightInd w:val="0"/>
              <w:snapToGrid w:val="0"/>
              <w:spacing w:line="400" w:lineRule="exact"/>
              <w:rPr>
                <w:rFonts w:ascii="宋体" w:hAnsi="宋体" w:cs="宋体"/>
                <w:spacing w:val="20"/>
                <w:sz w:val="24"/>
                <w:szCs w:val="24"/>
              </w:rPr>
            </w:pPr>
            <w:r>
              <w:rPr>
                <w:rFonts w:hint="eastAsia" w:ascii="宋体" w:hAnsi="宋体" w:cs="宋体"/>
                <w:spacing w:val="20"/>
                <w:sz w:val="24"/>
                <w:szCs w:val="24"/>
              </w:rPr>
              <w:t>合计金额：（人民币大写）</w:t>
            </w:r>
          </w:p>
        </w:tc>
      </w:tr>
    </w:tbl>
    <w:p>
      <w:pPr>
        <w:tabs>
          <w:tab w:val="left" w:pos="1418"/>
        </w:tabs>
        <w:snapToGrid w:val="0"/>
        <w:spacing w:line="400" w:lineRule="exact"/>
        <w:rPr>
          <w:rFonts w:ascii="宋体" w:hAnsi="宋体" w:cs="宋体"/>
          <w:spacing w:val="20"/>
          <w:sz w:val="24"/>
          <w:szCs w:val="24"/>
        </w:rPr>
      </w:pPr>
      <w:r>
        <w:rPr>
          <w:rFonts w:hint="eastAsia" w:ascii="宋体" w:hAnsi="宋体" w:cs="宋体"/>
          <w:sz w:val="24"/>
          <w:szCs w:val="24"/>
        </w:rPr>
        <w:t>说明：1、若获得中标资格并与采购人签署供货合同，由于报价遗漏而造成在供货、安装、调试、培训等工作中出现费用的增加，均由中标供应商自行承担，采购人将不再支付任何额外费用</w:t>
      </w:r>
      <w:r>
        <w:rPr>
          <w:rFonts w:hint="eastAsia" w:ascii="宋体" w:hAnsi="宋体" w:cs="宋体"/>
          <w:spacing w:val="20"/>
          <w:sz w:val="24"/>
          <w:szCs w:val="24"/>
        </w:rPr>
        <w:t>。</w:t>
      </w: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投标人名称（盖章）：</w:t>
      </w:r>
    </w:p>
    <w:p>
      <w:pPr>
        <w:adjustRightInd w:val="0"/>
        <w:snapToGrid w:val="0"/>
        <w:spacing w:line="400" w:lineRule="exact"/>
        <w:ind w:left="-3" w:leftChars="-72" w:right="-817" w:rightChars="-389" w:hanging="148" w:hangingChars="62"/>
        <w:rPr>
          <w:rFonts w:ascii="宋体" w:hAnsi="宋体" w:cs="宋体"/>
          <w:sz w:val="24"/>
          <w:szCs w:val="24"/>
        </w:rPr>
      </w:pP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法定代表人或授权代表（签字）：</w:t>
      </w:r>
    </w:p>
    <w:p>
      <w:pPr>
        <w:adjustRightInd w:val="0"/>
        <w:snapToGrid w:val="0"/>
        <w:spacing w:line="400" w:lineRule="exact"/>
        <w:rPr>
          <w:rFonts w:ascii="宋体" w:hAnsi="宋体" w:cs="宋体"/>
          <w:spacing w:val="20"/>
          <w:sz w:val="24"/>
          <w:szCs w:val="24"/>
        </w:rPr>
      </w:pPr>
    </w:p>
    <w:p>
      <w:pPr>
        <w:adjustRightInd w:val="0"/>
        <w:snapToGrid w:val="0"/>
        <w:spacing w:line="400" w:lineRule="exact"/>
        <w:ind w:left="-2" w:leftChars="-1" w:right="-817" w:rightChars="-389" w:firstLine="2"/>
        <w:jc w:val="left"/>
        <w:rPr>
          <w:rFonts w:ascii="宋体" w:hAnsi="宋体" w:cs="宋体"/>
          <w:sz w:val="24"/>
          <w:szCs w:val="24"/>
        </w:rPr>
      </w:pPr>
      <w:r>
        <w:rPr>
          <w:rFonts w:hint="eastAsia" w:ascii="宋体" w:hAnsi="宋体" w:cs="宋体"/>
          <w:sz w:val="24"/>
          <w:szCs w:val="24"/>
        </w:rPr>
        <w:t>日期：    年   月   日</w:t>
      </w:r>
    </w:p>
    <w:p>
      <w:pPr>
        <w:adjustRightInd w:val="0"/>
        <w:snapToGrid w:val="0"/>
        <w:spacing w:line="400" w:lineRule="exact"/>
        <w:rPr>
          <w:rFonts w:ascii="宋体" w:hAnsi="宋体" w:cs="宋体"/>
          <w:sz w:val="24"/>
          <w:szCs w:val="24"/>
        </w:rPr>
      </w:pPr>
    </w:p>
    <w:p>
      <w:pPr>
        <w:adjustRightInd w:val="0"/>
        <w:snapToGrid w:val="0"/>
        <w:spacing w:line="400" w:lineRule="exact"/>
        <w:rPr>
          <w:rFonts w:ascii="宋体" w:hAnsi="宋体" w:cs="宋体"/>
          <w:spacing w:val="20"/>
          <w:sz w:val="24"/>
          <w:szCs w:val="24"/>
          <w:u w:val="single"/>
        </w:rPr>
      </w:pPr>
    </w:p>
    <w:p>
      <w:pPr>
        <w:adjustRightInd w:val="0"/>
        <w:snapToGrid w:val="0"/>
        <w:spacing w:line="400" w:lineRule="exact"/>
        <w:rPr>
          <w:rFonts w:ascii="宋体" w:hAnsi="宋体" w:cs="宋体"/>
          <w:spacing w:val="20"/>
          <w:sz w:val="24"/>
          <w:szCs w:val="24"/>
          <w:u w:val="single"/>
        </w:rPr>
      </w:pPr>
    </w:p>
    <w:p>
      <w:pPr>
        <w:adjustRightInd w:val="0"/>
        <w:snapToGrid w:val="0"/>
        <w:spacing w:before="50" w:after="50" w:line="400" w:lineRule="exact"/>
        <w:rPr>
          <w:rFonts w:ascii="宋体" w:hAnsi="宋体" w:cs="宋体"/>
          <w:b/>
          <w:sz w:val="24"/>
          <w:szCs w:val="24"/>
        </w:rPr>
      </w:pPr>
      <w:r>
        <w:rPr>
          <w:rFonts w:hint="eastAsia" w:ascii="宋体" w:hAnsi="宋体" w:cs="宋体"/>
          <w:b/>
          <w:sz w:val="24"/>
          <w:szCs w:val="24"/>
        </w:rPr>
        <w:t>4、投标保证金缴纳凭证复印件</w:t>
      </w:r>
    </w:p>
    <w:p>
      <w:pPr>
        <w:adjustRightInd w:val="0"/>
        <w:snapToGrid w:val="0"/>
        <w:spacing w:before="50" w:after="50" w:line="400" w:lineRule="exact"/>
        <w:rPr>
          <w:rFonts w:ascii="宋体" w:hAnsi="宋体" w:cs="宋体"/>
          <w:b/>
          <w:sz w:val="24"/>
          <w:szCs w:val="24"/>
        </w:rPr>
      </w:pPr>
    </w:p>
    <w:p>
      <w:pPr>
        <w:adjustRightInd w:val="0"/>
        <w:snapToGrid w:val="0"/>
        <w:spacing w:before="50" w:after="50" w:line="400" w:lineRule="exact"/>
        <w:rPr>
          <w:rFonts w:ascii="宋体" w:hAnsi="宋体" w:cs="宋体"/>
          <w:b/>
          <w:sz w:val="24"/>
          <w:szCs w:val="24"/>
        </w:rPr>
      </w:pPr>
      <w:r>
        <w:rPr>
          <w:rFonts w:hint="eastAsia" w:ascii="宋体" w:hAnsi="宋体" w:cs="宋体"/>
          <w:b/>
          <w:sz w:val="24"/>
          <w:szCs w:val="24"/>
        </w:rPr>
        <w:t>5、投标人针对报价需要说明的其他文件和资料（如有）</w:t>
      </w:r>
    </w:p>
    <w:p>
      <w:pPr>
        <w:adjustRightInd w:val="0"/>
        <w:snapToGrid w:val="0"/>
        <w:spacing w:line="400" w:lineRule="exact"/>
        <w:rPr>
          <w:rFonts w:ascii="宋体" w:hAnsi="宋体" w:cs="宋体"/>
          <w:b/>
          <w:sz w:val="24"/>
          <w:szCs w:val="24"/>
        </w:rPr>
      </w:pPr>
      <w:r>
        <w:rPr>
          <w:rFonts w:hint="eastAsia" w:ascii="宋体" w:hAnsi="宋体" w:cs="宋体"/>
          <w:b/>
          <w:sz w:val="28"/>
          <w:szCs w:val="28"/>
        </w:rPr>
        <w:br w:type="page"/>
      </w:r>
      <w:r>
        <w:rPr>
          <w:rFonts w:hint="eastAsia" w:ascii="宋体" w:hAnsi="宋体" w:cs="宋体"/>
          <w:b/>
          <w:sz w:val="24"/>
          <w:szCs w:val="24"/>
        </w:rPr>
        <w:t>投标文件封面</w:t>
      </w:r>
    </w:p>
    <w:p>
      <w:pPr>
        <w:spacing w:line="360" w:lineRule="auto"/>
        <w:rPr>
          <w:rFonts w:ascii="宋体" w:hAnsi="宋体" w:cs="宋体"/>
          <w:sz w:val="40"/>
          <w:szCs w:val="20"/>
        </w:rPr>
      </w:pPr>
      <w:r>
        <w:rPr>
          <w:rFonts w:hint="eastAsia" w:ascii="宋体" w:hAnsi="宋体" w:cs="宋体"/>
          <w:sz w:val="40"/>
          <w:szCs w:val="20"/>
        </w:rPr>
        <w:t>正（副）本</w:t>
      </w:r>
    </w:p>
    <w:p>
      <w:pPr>
        <w:spacing w:line="360" w:lineRule="auto"/>
        <w:jc w:val="center"/>
        <w:rPr>
          <w:rFonts w:ascii="宋体" w:hAnsi="宋体" w:cs="宋体"/>
          <w:sz w:val="56"/>
          <w:szCs w:val="20"/>
        </w:rPr>
      </w:pPr>
    </w:p>
    <w:p>
      <w:pPr>
        <w:spacing w:line="360" w:lineRule="auto"/>
        <w:jc w:val="center"/>
        <w:rPr>
          <w:rFonts w:ascii="宋体" w:hAnsi="宋体" w:cs="宋体"/>
          <w:sz w:val="56"/>
          <w:szCs w:val="20"/>
        </w:rPr>
      </w:pPr>
      <w:r>
        <w:rPr>
          <w:rFonts w:hint="eastAsia" w:ascii="宋体" w:hAnsi="宋体" w:cs="宋体"/>
          <w:sz w:val="56"/>
          <w:szCs w:val="20"/>
        </w:rPr>
        <w:t>(项目名称)项目</w:t>
      </w:r>
    </w:p>
    <w:p>
      <w:pPr>
        <w:spacing w:line="360" w:lineRule="auto"/>
        <w:jc w:val="center"/>
        <w:rPr>
          <w:rFonts w:ascii="宋体" w:hAnsi="宋体" w:cs="宋体"/>
          <w:sz w:val="28"/>
          <w:szCs w:val="20"/>
        </w:rPr>
      </w:pPr>
    </w:p>
    <w:p>
      <w:pPr>
        <w:spacing w:line="360" w:lineRule="auto"/>
        <w:jc w:val="center"/>
        <w:rPr>
          <w:rFonts w:ascii="宋体" w:hAnsi="宋体" w:cs="宋体"/>
          <w:sz w:val="28"/>
          <w:szCs w:val="20"/>
        </w:rPr>
      </w:pPr>
      <w:r>
        <w:rPr>
          <w:rFonts w:hint="eastAsia" w:ascii="宋体" w:hAnsi="宋体" w:cs="宋体"/>
          <w:sz w:val="28"/>
          <w:szCs w:val="20"/>
        </w:rPr>
        <w:t>标包编号：</w:t>
      </w:r>
    </w:p>
    <w:p>
      <w:pPr>
        <w:spacing w:line="360" w:lineRule="auto"/>
        <w:jc w:val="center"/>
        <w:rPr>
          <w:rFonts w:ascii="宋体" w:hAnsi="宋体" w:cs="宋体"/>
          <w:sz w:val="28"/>
          <w:szCs w:val="20"/>
        </w:rPr>
      </w:pPr>
    </w:p>
    <w:p>
      <w:pPr>
        <w:spacing w:line="360" w:lineRule="auto"/>
        <w:jc w:val="center"/>
        <w:rPr>
          <w:rFonts w:ascii="宋体" w:hAnsi="宋体" w:cs="宋体"/>
          <w:sz w:val="56"/>
          <w:szCs w:val="20"/>
        </w:rPr>
      </w:pPr>
      <w:r>
        <w:rPr>
          <w:rFonts w:hint="eastAsia" w:ascii="宋体" w:hAnsi="宋体" w:cs="宋体"/>
          <w:sz w:val="56"/>
          <w:szCs w:val="20"/>
        </w:rPr>
        <w:t>商务技术文件</w:t>
      </w:r>
    </w:p>
    <w:p>
      <w:pPr>
        <w:spacing w:line="360" w:lineRule="auto"/>
        <w:jc w:val="center"/>
        <w:rPr>
          <w:rFonts w:ascii="宋体" w:hAnsi="宋体" w:cs="宋体"/>
          <w:sz w:val="56"/>
          <w:szCs w:val="20"/>
        </w:rPr>
      </w:pPr>
    </w:p>
    <w:p>
      <w:pPr>
        <w:spacing w:line="360" w:lineRule="auto"/>
        <w:jc w:val="center"/>
        <w:rPr>
          <w:rFonts w:ascii="宋体" w:hAnsi="宋体" w:cs="宋体"/>
          <w:sz w:val="56"/>
          <w:szCs w:val="20"/>
        </w:rPr>
      </w:pPr>
    </w:p>
    <w:p>
      <w:pPr>
        <w:spacing w:line="360" w:lineRule="auto"/>
        <w:jc w:val="center"/>
        <w:rPr>
          <w:rFonts w:ascii="宋体" w:hAnsi="宋体" w:cs="宋体"/>
          <w:sz w:val="56"/>
          <w:szCs w:val="20"/>
        </w:rPr>
      </w:pPr>
    </w:p>
    <w:p>
      <w:pPr>
        <w:spacing w:line="360" w:lineRule="auto"/>
        <w:rPr>
          <w:rFonts w:ascii="宋体" w:hAnsi="宋体" w:cs="宋体"/>
          <w:sz w:val="28"/>
          <w:szCs w:val="20"/>
        </w:rPr>
      </w:pPr>
      <w:r>
        <w:rPr>
          <w:rFonts w:hint="eastAsia" w:ascii="宋体" w:hAnsi="宋体" w:cs="宋体"/>
          <w:sz w:val="28"/>
          <w:szCs w:val="20"/>
        </w:rPr>
        <w:t>投标单位名称：（加盖单位公章）</w:t>
      </w:r>
    </w:p>
    <w:p>
      <w:pPr>
        <w:spacing w:line="360" w:lineRule="auto"/>
        <w:rPr>
          <w:rFonts w:ascii="宋体" w:hAnsi="宋体" w:cs="宋体"/>
          <w:sz w:val="28"/>
          <w:szCs w:val="20"/>
        </w:rPr>
      </w:pPr>
      <w:r>
        <w:rPr>
          <w:rFonts w:hint="eastAsia" w:ascii="宋体" w:hAnsi="宋体" w:cs="宋体"/>
          <w:sz w:val="28"/>
          <w:szCs w:val="20"/>
        </w:rPr>
        <w:t>投标单位地址：</w:t>
      </w:r>
    </w:p>
    <w:p>
      <w:pPr>
        <w:spacing w:line="360" w:lineRule="auto"/>
        <w:rPr>
          <w:rFonts w:ascii="宋体" w:hAnsi="宋体" w:cs="宋体"/>
          <w:sz w:val="28"/>
          <w:szCs w:val="20"/>
        </w:rPr>
      </w:pPr>
      <w:r>
        <w:rPr>
          <w:rFonts w:hint="eastAsia" w:ascii="宋体" w:hAnsi="宋体" w:cs="宋体"/>
          <w:sz w:val="28"/>
          <w:szCs w:val="20"/>
        </w:rPr>
        <w:t>投标单位法定代表人（负责人、自然人）或法人授权代表姓名：（签字或盖章）</w:t>
      </w:r>
    </w:p>
    <w:p>
      <w:pPr>
        <w:spacing w:line="360" w:lineRule="auto"/>
        <w:rPr>
          <w:rFonts w:ascii="宋体" w:hAnsi="宋体" w:cs="宋体"/>
          <w:sz w:val="28"/>
          <w:szCs w:val="20"/>
        </w:rPr>
      </w:pPr>
      <w:r>
        <w:rPr>
          <w:rFonts w:hint="eastAsia" w:ascii="宋体" w:hAnsi="宋体" w:cs="宋体"/>
          <w:sz w:val="28"/>
          <w:szCs w:val="20"/>
        </w:rPr>
        <w:t>投标单位法定代表人（负责人、自然人）或法人授权代表职务：</w:t>
      </w:r>
    </w:p>
    <w:p>
      <w:pPr>
        <w:spacing w:line="360" w:lineRule="auto"/>
        <w:rPr>
          <w:rFonts w:ascii="宋体" w:hAnsi="宋体" w:cs="宋体"/>
          <w:sz w:val="28"/>
          <w:szCs w:val="20"/>
        </w:rPr>
      </w:pPr>
      <w:r>
        <w:rPr>
          <w:rFonts w:hint="eastAsia" w:ascii="宋体" w:hAnsi="宋体" w:cs="宋体"/>
          <w:sz w:val="28"/>
          <w:szCs w:val="20"/>
        </w:rPr>
        <w:t>投标单位联系方式：</w:t>
      </w:r>
    </w:p>
    <w:p>
      <w:pPr>
        <w:spacing w:line="360" w:lineRule="auto"/>
        <w:rPr>
          <w:rFonts w:ascii="宋体" w:hAnsi="宋体" w:cs="宋体"/>
          <w:sz w:val="20"/>
          <w:szCs w:val="20"/>
        </w:rPr>
      </w:pPr>
    </w:p>
    <w:p>
      <w:pPr>
        <w:adjustRightInd w:val="0"/>
        <w:snapToGrid w:val="0"/>
        <w:jc w:val="center"/>
        <w:rPr>
          <w:rFonts w:ascii="宋体" w:hAnsi="宋体" w:cs="宋体"/>
          <w:b/>
          <w:sz w:val="24"/>
          <w:szCs w:val="24"/>
        </w:rPr>
      </w:pPr>
      <w:r>
        <w:rPr>
          <w:rFonts w:hint="eastAsia" w:ascii="宋体" w:hAnsi="宋体" w:cs="宋体"/>
          <w:sz w:val="28"/>
          <w:szCs w:val="28"/>
        </w:rPr>
        <w:t>年  月  日</w:t>
      </w:r>
    </w:p>
    <w:p>
      <w:pPr>
        <w:jc w:val="center"/>
        <w:rPr>
          <w:rFonts w:ascii="宋体" w:hAnsi="宋体" w:cs="宋体"/>
          <w:b/>
          <w:sz w:val="44"/>
          <w:szCs w:val="44"/>
        </w:rPr>
      </w:pPr>
      <w:r>
        <w:rPr>
          <w:rFonts w:hint="eastAsia" w:ascii="宋体" w:hAnsi="宋体" w:cs="宋体"/>
          <w:b/>
          <w:sz w:val="28"/>
          <w:szCs w:val="28"/>
        </w:rPr>
        <w:br w:type="page"/>
      </w:r>
      <w:r>
        <w:rPr>
          <w:rFonts w:hint="eastAsia" w:ascii="宋体" w:hAnsi="宋体" w:cs="宋体"/>
          <w:b/>
          <w:sz w:val="44"/>
          <w:szCs w:val="44"/>
        </w:rPr>
        <w:t xml:space="preserve">目 </w:t>
      </w:r>
      <w:r>
        <w:rPr>
          <w:rFonts w:hint="eastAsia" w:ascii="宋体" w:hAnsi="宋体" w:cs="宋体"/>
          <w:b/>
          <w:sz w:val="44"/>
          <w:szCs w:val="44"/>
        </w:rPr>
        <w:tab/>
      </w:r>
      <w:r>
        <w:rPr>
          <w:rFonts w:hint="eastAsia" w:ascii="宋体" w:hAnsi="宋体" w:cs="宋体"/>
          <w:b/>
          <w:sz w:val="44"/>
          <w:szCs w:val="44"/>
        </w:rPr>
        <w:t>录</w:t>
      </w:r>
    </w:p>
    <w:p>
      <w:pPr>
        <w:spacing w:line="360" w:lineRule="auto"/>
        <w:ind w:firstLine="480" w:firstLineChars="200"/>
        <w:rPr>
          <w:rFonts w:ascii="宋体" w:hAnsi="宋体" w:cs="宋体"/>
          <w:sz w:val="24"/>
          <w:szCs w:val="24"/>
        </w:rPr>
      </w:pPr>
      <w:r>
        <w:rPr>
          <w:rFonts w:hint="eastAsia" w:ascii="宋体" w:hAnsi="宋体" w:cs="宋体"/>
          <w:sz w:val="24"/>
          <w:szCs w:val="24"/>
        </w:rPr>
        <w:t>一、商务部分</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1.投标声明书 </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2.法定代表人（负责人、自然人）授权书</w:t>
      </w:r>
      <w:r>
        <w:rPr>
          <w:rFonts w:hint="eastAsia" w:ascii="宋体" w:hAnsi="宋体" w:cs="宋体"/>
          <w:sz w:val="24"/>
        </w:rPr>
        <w:t>……………………………（页码）</w:t>
      </w:r>
    </w:p>
    <w:p>
      <w:pPr>
        <w:spacing w:line="360" w:lineRule="auto"/>
        <w:ind w:firstLine="480" w:firstLineChars="200"/>
        <w:rPr>
          <w:rFonts w:ascii="宋体" w:hAnsi="宋体" w:cs="宋体"/>
          <w:sz w:val="24"/>
        </w:rPr>
      </w:pPr>
      <w:r>
        <w:rPr>
          <w:rFonts w:hint="eastAsia" w:ascii="宋体" w:hAnsi="宋体" w:cs="宋体"/>
          <w:sz w:val="24"/>
          <w:szCs w:val="24"/>
        </w:rPr>
        <w:t xml:space="preserve">3.企业法人营业执照（或登记证书、身份证） </w:t>
      </w:r>
      <w:r>
        <w:rPr>
          <w:rFonts w:hint="eastAsia" w:ascii="宋体" w:hAnsi="宋体" w:cs="宋体"/>
          <w:sz w:val="24"/>
        </w:rPr>
        <w:t>………………………（页码）</w:t>
      </w:r>
    </w:p>
    <w:p>
      <w:pPr>
        <w:spacing w:line="360" w:lineRule="auto"/>
        <w:ind w:firstLine="480" w:firstLineChars="200"/>
        <w:rPr>
          <w:rFonts w:ascii="宋体" w:hAnsi="宋体" w:cs="宋体"/>
          <w:sz w:val="24"/>
        </w:rPr>
      </w:pPr>
      <w:r>
        <w:rPr>
          <w:rFonts w:hint="eastAsia" w:ascii="宋体" w:hAnsi="宋体" w:cs="宋体"/>
          <w:sz w:val="24"/>
          <w:szCs w:val="24"/>
        </w:rPr>
        <w:t>4.投标人情况介绍</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5.近年财务状况 </w:t>
      </w:r>
      <w:r>
        <w:rPr>
          <w:rFonts w:hint="eastAsia" w:ascii="宋体" w:hAnsi="宋体" w:cs="宋体"/>
          <w:sz w:val="24"/>
        </w:rPr>
        <w:t>…………………………………………………………（页码）</w:t>
      </w:r>
    </w:p>
    <w:p>
      <w:pPr>
        <w:spacing w:line="360" w:lineRule="auto"/>
        <w:ind w:firstLine="480" w:firstLineChars="200"/>
        <w:rPr>
          <w:rFonts w:ascii="宋体" w:hAnsi="宋体" w:cs="宋体"/>
          <w:sz w:val="24"/>
        </w:rPr>
      </w:pPr>
      <w:r>
        <w:rPr>
          <w:rFonts w:hint="eastAsia" w:ascii="宋体" w:hAnsi="宋体" w:cs="宋体"/>
          <w:sz w:val="24"/>
          <w:szCs w:val="24"/>
        </w:rPr>
        <w:t>6.投标人须具有履行合同所必需的设备和专业技术能力证明资料</w:t>
      </w:r>
      <w:r>
        <w:rPr>
          <w:rFonts w:hint="eastAsia" w:ascii="宋体" w:hAnsi="宋体" w:cs="宋体"/>
          <w:sz w:val="24"/>
        </w:rPr>
        <w:t>…（页码）</w:t>
      </w:r>
    </w:p>
    <w:p>
      <w:pPr>
        <w:spacing w:line="360" w:lineRule="auto"/>
        <w:ind w:firstLine="480" w:firstLineChars="200"/>
        <w:rPr>
          <w:rFonts w:ascii="宋体" w:hAnsi="宋体" w:cs="宋体"/>
          <w:sz w:val="24"/>
        </w:rPr>
      </w:pPr>
      <w:r>
        <w:rPr>
          <w:rFonts w:hint="eastAsia" w:ascii="宋体" w:hAnsi="宋体" w:cs="宋体"/>
          <w:sz w:val="24"/>
        </w:rPr>
        <w:t>7.</w:t>
      </w:r>
      <w:r>
        <w:rPr>
          <w:rFonts w:hint="eastAsia" w:ascii="宋体" w:hAnsi="宋体" w:cs="宋体"/>
          <w:sz w:val="24"/>
          <w:szCs w:val="24"/>
        </w:rPr>
        <w:t>纳税证明社保证明</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8.前三年内在经营活动中没有重大违法记录的书面声明 </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9.信用记录 </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10.其他认证证书等</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11.类似成功业绩…………………………………………………………（页码）</w:t>
      </w:r>
    </w:p>
    <w:p>
      <w:pPr>
        <w:spacing w:line="360" w:lineRule="auto"/>
        <w:ind w:firstLine="480" w:firstLineChars="200"/>
        <w:rPr>
          <w:rFonts w:ascii="宋体" w:hAnsi="宋体" w:cs="宋体"/>
          <w:sz w:val="24"/>
          <w:szCs w:val="24"/>
        </w:rPr>
      </w:pPr>
      <w:r>
        <w:rPr>
          <w:rFonts w:hint="eastAsia" w:ascii="宋体" w:hAnsi="宋体" w:cs="宋体"/>
          <w:sz w:val="24"/>
          <w:szCs w:val="24"/>
        </w:rPr>
        <w:t>12.政府采购政策扶持证明材料…………………………………………（页码）</w:t>
      </w:r>
    </w:p>
    <w:p>
      <w:pPr>
        <w:spacing w:line="360" w:lineRule="auto"/>
        <w:ind w:firstLine="480" w:firstLineChars="200"/>
        <w:rPr>
          <w:rFonts w:ascii="宋体" w:hAnsi="宋体" w:cs="宋体"/>
          <w:sz w:val="24"/>
          <w:szCs w:val="24"/>
        </w:rPr>
      </w:pPr>
      <w:r>
        <w:rPr>
          <w:rFonts w:hint="eastAsia" w:ascii="宋体" w:hAnsi="宋体" w:cs="宋体"/>
          <w:sz w:val="24"/>
          <w:szCs w:val="24"/>
        </w:rPr>
        <w:t>13.其他证明文件或供应商认为应提交的商务文件……………………（页码）</w:t>
      </w:r>
    </w:p>
    <w:p>
      <w:pPr>
        <w:tabs>
          <w:tab w:val="center" w:pos="4912"/>
        </w:tabs>
        <w:spacing w:line="360" w:lineRule="auto"/>
        <w:ind w:firstLine="480" w:firstLineChars="200"/>
        <w:rPr>
          <w:rFonts w:ascii="宋体" w:hAnsi="宋体" w:cs="宋体"/>
          <w:sz w:val="24"/>
          <w:szCs w:val="24"/>
        </w:rPr>
      </w:pPr>
      <w:r>
        <w:rPr>
          <w:rFonts w:hint="eastAsia" w:ascii="宋体" w:hAnsi="宋体" w:cs="宋体"/>
          <w:sz w:val="24"/>
          <w:szCs w:val="24"/>
        </w:rPr>
        <w:t>二、技术部分</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14.技术响应偏离表</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15.产品详细技术规格书</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16.产品检测报告</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17.针对本项目的详细组织实施方案 </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18.针对本项目的详细技术培训方案 </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 xml:space="preserve">19.针对本项目的售后服务方案 </w:t>
      </w:r>
      <w:r>
        <w:rPr>
          <w:rFonts w:hint="eastAsia" w:ascii="宋体" w:hAnsi="宋体" w:cs="宋体"/>
          <w:sz w:val="24"/>
        </w:rPr>
        <w:t>…………………………………………（页码）</w:t>
      </w:r>
    </w:p>
    <w:p>
      <w:pPr>
        <w:spacing w:line="360" w:lineRule="auto"/>
        <w:ind w:firstLine="480" w:firstLineChars="200"/>
        <w:rPr>
          <w:rFonts w:ascii="宋体" w:hAnsi="宋体" w:cs="宋体"/>
          <w:sz w:val="24"/>
          <w:szCs w:val="24"/>
        </w:rPr>
      </w:pPr>
      <w:r>
        <w:rPr>
          <w:rFonts w:hint="eastAsia" w:ascii="宋体" w:hAnsi="宋体" w:cs="宋体"/>
          <w:sz w:val="24"/>
          <w:szCs w:val="24"/>
        </w:rPr>
        <w:t>20.其他优惠条件（如有）</w:t>
      </w:r>
      <w:r>
        <w:rPr>
          <w:rFonts w:hint="eastAsia" w:ascii="宋体" w:hAnsi="宋体" w:cs="宋体"/>
          <w:sz w:val="24"/>
        </w:rPr>
        <w:t>………………………………………………（页码）</w:t>
      </w:r>
    </w:p>
    <w:p>
      <w:pPr>
        <w:adjustRightInd w:val="0"/>
        <w:snapToGrid w:val="0"/>
        <w:ind w:firstLine="480" w:firstLineChars="200"/>
        <w:rPr>
          <w:rFonts w:ascii="宋体" w:hAnsi="宋体" w:cs="宋体"/>
          <w:sz w:val="24"/>
        </w:rPr>
      </w:pPr>
      <w:r>
        <w:rPr>
          <w:rFonts w:hint="eastAsia" w:ascii="宋体" w:hAnsi="宋体" w:cs="宋体"/>
          <w:sz w:val="24"/>
          <w:szCs w:val="24"/>
        </w:rPr>
        <w:t>21.供应商认为需要提供的其他技术文件或资料（如有）</w:t>
      </w:r>
      <w:r>
        <w:rPr>
          <w:rFonts w:hint="eastAsia" w:ascii="宋体" w:hAnsi="宋体" w:cs="宋体"/>
          <w:sz w:val="24"/>
        </w:rPr>
        <w:t>……………（页码）</w:t>
      </w:r>
    </w:p>
    <w:p>
      <w:pPr>
        <w:spacing w:line="360" w:lineRule="auto"/>
        <w:ind w:left="719" w:leftChars="228" w:hanging="240" w:hangingChars="100"/>
        <w:rPr>
          <w:rFonts w:ascii="宋体" w:hAnsi="宋体" w:cs="宋体"/>
          <w:sz w:val="24"/>
          <w:szCs w:val="24"/>
        </w:rPr>
      </w:pPr>
    </w:p>
    <w:p/>
    <w:p/>
    <w:p/>
    <w:p/>
    <w:p/>
    <w:p/>
    <w:p/>
    <w:p>
      <w:pPr>
        <w:adjustRightInd w:val="0"/>
        <w:snapToGrid w:val="0"/>
        <w:rPr>
          <w:rFonts w:ascii="宋体" w:hAnsi="宋体" w:cs="宋体"/>
          <w:b/>
          <w:sz w:val="28"/>
          <w:szCs w:val="28"/>
        </w:rPr>
      </w:pPr>
    </w:p>
    <w:tbl>
      <w:tblPr>
        <w:tblStyle w:val="38"/>
        <w:tblW w:w="87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7"/>
        <w:gridCol w:w="2000"/>
        <w:gridCol w:w="2783"/>
        <w:gridCol w:w="2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14" w:type="dxa"/>
            <w:gridSpan w:val="4"/>
          </w:tcPr>
          <w:p>
            <w:pPr>
              <w:adjustRightInd w:val="0"/>
              <w:snapToGrid w:val="0"/>
              <w:jc w:val="center"/>
              <w:rPr>
                <w:rFonts w:ascii="宋体" w:hAnsi="宋体" w:cs="宋体"/>
                <w:b/>
                <w:sz w:val="24"/>
                <w:szCs w:val="24"/>
              </w:rPr>
            </w:pPr>
            <w:r>
              <w:rPr>
                <w:rFonts w:hint="eastAsia" w:ascii="宋体" w:hAnsi="宋体" w:cs="宋体"/>
                <w:b/>
                <w:sz w:val="24"/>
                <w:szCs w:val="24"/>
              </w:rPr>
              <w:t>评标索引表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r>
              <w:rPr>
                <w:rFonts w:hint="eastAsia" w:ascii="宋体" w:hAnsi="宋体" w:cs="宋体"/>
                <w:b/>
                <w:sz w:val="24"/>
                <w:szCs w:val="24"/>
              </w:rPr>
              <w:t>序号</w:t>
            </w:r>
          </w:p>
        </w:tc>
        <w:tc>
          <w:tcPr>
            <w:tcW w:w="2000" w:type="dxa"/>
          </w:tcPr>
          <w:p>
            <w:pPr>
              <w:adjustRightInd w:val="0"/>
              <w:snapToGrid w:val="0"/>
              <w:rPr>
                <w:rFonts w:ascii="宋体" w:hAnsi="宋体" w:cs="宋体"/>
                <w:b/>
                <w:sz w:val="24"/>
                <w:szCs w:val="24"/>
              </w:rPr>
            </w:pPr>
            <w:r>
              <w:rPr>
                <w:rFonts w:hint="eastAsia" w:ascii="宋体" w:hAnsi="宋体" w:cs="宋体"/>
                <w:b/>
                <w:sz w:val="24"/>
                <w:szCs w:val="24"/>
              </w:rPr>
              <w:t>评审因素</w:t>
            </w:r>
          </w:p>
        </w:tc>
        <w:tc>
          <w:tcPr>
            <w:tcW w:w="2783" w:type="dxa"/>
          </w:tcPr>
          <w:p>
            <w:pPr>
              <w:adjustRightInd w:val="0"/>
              <w:snapToGrid w:val="0"/>
              <w:rPr>
                <w:rFonts w:ascii="宋体" w:hAnsi="宋体" w:cs="宋体"/>
                <w:b/>
                <w:sz w:val="24"/>
                <w:szCs w:val="24"/>
              </w:rPr>
            </w:pPr>
            <w:r>
              <w:rPr>
                <w:rFonts w:hint="eastAsia" w:ascii="宋体" w:hAnsi="宋体" w:cs="宋体"/>
                <w:b/>
                <w:sz w:val="24"/>
                <w:szCs w:val="24"/>
              </w:rPr>
              <w:t>索引页码</w:t>
            </w:r>
          </w:p>
        </w:tc>
        <w:tc>
          <w:tcPr>
            <w:tcW w:w="2584" w:type="dxa"/>
          </w:tcPr>
          <w:p>
            <w:pPr>
              <w:adjustRightInd w:val="0"/>
              <w:snapToGrid w:val="0"/>
              <w:rPr>
                <w:rFonts w:ascii="宋体" w:hAnsi="宋体" w:cs="宋体"/>
                <w:b/>
                <w:sz w:val="24"/>
                <w:szCs w:val="24"/>
              </w:rPr>
            </w:pPr>
            <w:r>
              <w:rPr>
                <w:rFonts w:hint="eastAsia" w:ascii="宋体" w:hAnsi="宋体" w:cs="宋体"/>
                <w:b/>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r>
              <w:rPr>
                <w:rFonts w:hint="eastAsia" w:ascii="宋体" w:hAnsi="宋体" w:cs="宋体"/>
                <w:b/>
                <w:sz w:val="24"/>
                <w:szCs w:val="24"/>
              </w:rPr>
              <w:t>……</w:t>
            </w:r>
          </w:p>
        </w:tc>
        <w:tc>
          <w:tcPr>
            <w:tcW w:w="2000" w:type="dxa"/>
          </w:tcPr>
          <w:p>
            <w:pPr>
              <w:adjustRightInd w:val="0"/>
              <w:snapToGrid w:val="0"/>
              <w:rPr>
                <w:rFonts w:ascii="宋体" w:hAnsi="宋体" w:cs="宋体"/>
                <w:b/>
                <w:sz w:val="24"/>
                <w:szCs w:val="24"/>
              </w:rPr>
            </w:pPr>
            <w:r>
              <w:rPr>
                <w:rFonts w:hint="eastAsia" w:ascii="宋体" w:hAnsi="宋体" w:cs="宋体"/>
                <w:b/>
                <w:sz w:val="24"/>
                <w:szCs w:val="24"/>
              </w:rPr>
              <w:t>……</w:t>
            </w:r>
          </w:p>
        </w:tc>
        <w:tc>
          <w:tcPr>
            <w:tcW w:w="2783" w:type="dxa"/>
          </w:tcPr>
          <w:p>
            <w:pPr>
              <w:adjustRightInd w:val="0"/>
              <w:snapToGrid w:val="0"/>
              <w:rPr>
                <w:rFonts w:ascii="宋体" w:hAnsi="宋体" w:cs="宋体"/>
                <w:b/>
                <w:sz w:val="24"/>
                <w:szCs w:val="24"/>
              </w:rPr>
            </w:pPr>
            <w:r>
              <w:rPr>
                <w:rFonts w:hint="eastAsia" w:ascii="宋体" w:hAnsi="宋体" w:cs="宋体"/>
                <w:b/>
                <w:sz w:val="24"/>
                <w:szCs w:val="24"/>
              </w:rPr>
              <w:t>……</w:t>
            </w:r>
          </w:p>
        </w:tc>
        <w:tc>
          <w:tcPr>
            <w:tcW w:w="2584" w:type="dxa"/>
          </w:tcPr>
          <w:p>
            <w:pPr>
              <w:adjustRightInd w:val="0"/>
              <w:snapToGrid w:val="0"/>
              <w:rPr>
                <w:rFonts w:ascii="宋体" w:hAnsi="宋体" w:cs="宋体"/>
                <w:b/>
                <w:sz w:val="24"/>
                <w:szCs w:val="24"/>
              </w:rPr>
            </w:pPr>
            <w:r>
              <w:rPr>
                <w:rFonts w:hint="eastAsia" w:ascii="宋体" w:hAnsi="宋体" w:cs="宋体"/>
                <w:b/>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47" w:type="dxa"/>
          </w:tcPr>
          <w:p>
            <w:pPr>
              <w:adjustRightInd w:val="0"/>
              <w:snapToGrid w:val="0"/>
              <w:rPr>
                <w:rFonts w:ascii="宋体" w:hAnsi="宋体" w:cs="宋体"/>
                <w:b/>
                <w:sz w:val="24"/>
                <w:szCs w:val="24"/>
              </w:rPr>
            </w:pPr>
          </w:p>
        </w:tc>
        <w:tc>
          <w:tcPr>
            <w:tcW w:w="2000" w:type="dxa"/>
          </w:tcPr>
          <w:p>
            <w:pPr>
              <w:adjustRightInd w:val="0"/>
              <w:snapToGrid w:val="0"/>
              <w:rPr>
                <w:rFonts w:ascii="宋体" w:hAnsi="宋体" w:cs="宋体"/>
                <w:b/>
                <w:sz w:val="24"/>
                <w:szCs w:val="24"/>
              </w:rPr>
            </w:pPr>
          </w:p>
        </w:tc>
        <w:tc>
          <w:tcPr>
            <w:tcW w:w="2783" w:type="dxa"/>
          </w:tcPr>
          <w:p>
            <w:pPr>
              <w:adjustRightInd w:val="0"/>
              <w:snapToGrid w:val="0"/>
              <w:rPr>
                <w:rFonts w:ascii="宋体" w:hAnsi="宋体" w:cs="宋体"/>
                <w:b/>
                <w:sz w:val="24"/>
                <w:szCs w:val="24"/>
              </w:rPr>
            </w:pPr>
          </w:p>
        </w:tc>
        <w:tc>
          <w:tcPr>
            <w:tcW w:w="2584" w:type="dxa"/>
          </w:tcPr>
          <w:p>
            <w:pPr>
              <w:adjustRightInd w:val="0"/>
              <w:snapToGrid w:val="0"/>
              <w:rPr>
                <w:rFonts w:ascii="宋体" w:hAnsi="宋体" w:cs="宋体"/>
                <w:b/>
                <w:sz w:val="24"/>
                <w:szCs w:val="24"/>
              </w:rPr>
            </w:pPr>
          </w:p>
        </w:tc>
      </w:tr>
    </w:tbl>
    <w:p>
      <w:pPr>
        <w:rPr>
          <w:rFonts w:ascii="宋体" w:hAnsi="宋体" w:cs="宋体"/>
          <w:b/>
          <w:sz w:val="28"/>
          <w:szCs w:val="28"/>
        </w:rPr>
      </w:pPr>
      <w:r>
        <w:rPr>
          <w:rFonts w:hint="eastAsia" w:ascii="宋体" w:hAnsi="宋体" w:cs="宋体"/>
          <w:b/>
          <w:sz w:val="28"/>
          <w:szCs w:val="28"/>
        </w:rPr>
        <w:br w:type="page"/>
      </w:r>
    </w:p>
    <w:p>
      <w:pPr>
        <w:adjustRightInd w:val="0"/>
        <w:snapToGrid w:val="0"/>
        <w:rPr>
          <w:rFonts w:ascii="宋体" w:hAnsi="宋体" w:cs="宋体"/>
          <w:b/>
          <w:sz w:val="24"/>
          <w:szCs w:val="24"/>
        </w:rPr>
      </w:pPr>
      <w:r>
        <w:rPr>
          <w:rFonts w:hint="eastAsia" w:ascii="宋体" w:hAnsi="宋体" w:cs="宋体"/>
          <w:b/>
          <w:sz w:val="24"/>
          <w:szCs w:val="24"/>
        </w:rPr>
        <w:t>1、投标声明书格式：</w:t>
      </w:r>
    </w:p>
    <w:p>
      <w:pPr>
        <w:adjustRightInd w:val="0"/>
        <w:snapToGrid w:val="0"/>
        <w:jc w:val="center"/>
        <w:rPr>
          <w:rFonts w:ascii="宋体" w:hAnsi="宋体" w:cs="宋体"/>
          <w:sz w:val="24"/>
          <w:szCs w:val="24"/>
        </w:rPr>
      </w:pPr>
      <w:r>
        <w:rPr>
          <w:rFonts w:hint="eastAsia" w:ascii="宋体" w:hAnsi="宋体" w:cs="宋体"/>
          <w:sz w:val="24"/>
          <w:szCs w:val="24"/>
        </w:rPr>
        <w:t>投标声明书</w:t>
      </w:r>
    </w:p>
    <w:p>
      <w:pPr>
        <w:adjustRightInd w:val="0"/>
        <w:snapToGrid w:val="0"/>
        <w:spacing w:line="400" w:lineRule="exact"/>
        <w:rPr>
          <w:rFonts w:ascii="宋体" w:hAnsi="宋体" w:cs="宋体"/>
          <w:sz w:val="24"/>
          <w:szCs w:val="24"/>
        </w:rPr>
      </w:pPr>
      <w:r>
        <w:rPr>
          <w:rFonts w:hint="eastAsia" w:ascii="宋体" w:hAnsi="宋体" w:cs="宋体"/>
          <w:sz w:val="24"/>
          <w:szCs w:val="24"/>
        </w:rPr>
        <w:t>（采购代理机构名称）：</w:t>
      </w:r>
    </w:p>
    <w:p>
      <w:pPr>
        <w:adjustRightInd w:val="0"/>
        <w:snapToGrid w:val="0"/>
        <w:spacing w:line="400" w:lineRule="exact"/>
        <w:ind w:firstLine="720" w:firstLineChars="300"/>
        <w:rPr>
          <w:rFonts w:ascii="宋体" w:hAnsi="宋体" w:cs="宋体"/>
          <w:sz w:val="24"/>
          <w:szCs w:val="24"/>
        </w:rPr>
      </w:pPr>
      <w:r>
        <w:rPr>
          <w:rFonts w:hint="eastAsia" w:ascii="宋体" w:hAnsi="宋体" w:cs="宋体"/>
          <w:sz w:val="24"/>
          <w:szCs w:val="24"/>
        </w:rPr>
        <w:t>（投标人名称）系中华人民共和国合法企业（其他组织），经营地址。</w:t>
      </w:r>
    </w:p>
    <w:p>
      <w:pPr>
        <w:adjustRightInd w:val="0"/>
        <w:snapToGrid w:val="0"/>
        <w:spacing w:line="400" w:lineRule="exact"/>
        <w:ind w:firstLine="645"/>
        <w:rPr>
          <w:rFonts w:ascii="宋体" w:hAnsi="宋体" w:cs="宋体"/>
          <w:sz w:val="24"/>
          <w:szCs w:val="24"/>
        </w:rPr>
      </w:pPr>
      <w:r>
        <w:rPr>
          <w:rFonts w:hint="eastAsia" w:ascii="宋体" w:hAnsi="宋体" w:cs="宋体"/>
          <w:sz w:val="24"/>
          <w:szCs w:val="24"/>
        </w:rPr>
        <w:t>我（姓名）系（投标人名称）的法定代表人（负责人），我方愿意参加贵方组织的项目（项目编号：）</w:t>
      </w:r>
      <w:r>
        <w:rPr>
          <w:rFonts w:hint="eastAsia" w:ascii="宋体" w:hAnsi="宋体" w:cs="宋体"/>
          <w:sz w:val="24"/>
          <w:szCs w:val="24"/>
          <w:u w:val="single"/>
        </w:rPr>
        <w:t>标包编号及内容</w:t>
      </w:r>
      <w:r>
        <w:rPr>
          <w:rFonts w:hint="eastAsia" w:ascii="宋体" w:hAnsi="宋体" w:cs="宋体"/>
          <w:sz w:val="24"/>
          <w:szCs w:val="24"/>
        </w:rPr>
        <w:t xml:space="preserve"> 的投标，为便于贵方公正、择优地确定中标人及其投标产品和服务，我方就本次投标有关事项郑重声明如下：</w:t>
      </w:r>
    </w:p>
    <w:p>
      <w:pPr>
        <w:numPr>
          <w:ilvl w:val="0"/>
          <w:numId w:val="10"/>
        </w:numPr>
        <w:adjustRightInd w:val="0"/>
        <w:snapToGrid w:val="0"/>
        <w:spacing w:line="400" w:lineRule="exact"/>
        <w:rPr>
          <w:rFonts w:ascii="宋体" w:hAnsi="宋体" w:cs="宋体"/>
          <w:sz w:val="24"/>
          <w:szCs w:val="24"/>
        </w:rPr>
      </w:pPr>
      <w:r>
        <w:rPr>
          <w:rFonts w:hint="eastAsia" w:ascii="宋体" w:hAnsi="宋体" w:cs="宋体"/>
          <w:sz w:val="24"/>
          <w:szCs w:val="24"/>
        </w:rPr>
        <w:t>投标方已详细审查全部招标文件，同意招标文件的各项要求。</w:t>
      </w:r>
    </w:p>
    <w:p>
      <w:pPr>
        <w:numPr>
          <w:ilvl w:val="0"/>
          <w:numId w:val="10"/>
        </w:numPr>
        <w:adjustRightInd w:val="0"/>
        <w:snapToGrid w:val="0"/>
        <w:spacing w:line="400" w:lineRule="exact"/>
        <w:rPr>
          <w:rFonts w:ascii="宋体" w:hAnsi="宋体" w:cs="宋体"/>
          <w:sz w:val="24"/>
          <w:szCs w:val="24"/>
        </w:rPr>
      </w:pPr>
      <w:r>
        <w:rPr>
          <w:rFonts w:hint="eastAsia" w:ascii="宋体" w:hAnsi="宋体" w:cs="宋体"/>
          <w:sz w:val="24"/>
          <w:szCs w:val="24"/>
        </w:rPr>
        <w:t>我方向贵方提交的所有投标文件、资料都是准确的和真实的。</w:t>
      </w:r>
    </w:p>
    <w:p>
      <w:pPr>
        <w:numPr>
          <w:ilvl w:val="0"/>
          <w:numId w:val="10"/>
        </w:numPr>
        <w:adjustRightInd w:val="0"/>
        <w:snapToGrid w:val="0"/>
        <w:spacing w:line="400" w:lineRule="exact"/>
        <w:rPr>
          <w:rFonts w:ascii="宋体" w:hAnsi="宋体" w:cs="宋体"/>
          <w:sz w:val="24"/>
          <w:szCs w:val="24"/>
        </w:rPr>
      </w:pPr>
      <w:r>
        <w:rPr>
          <w:rFonts w:hint="eastAsia" w:ascii="宋体" w:hAnsi="宋体" w:cs="宋体"/>
          <w:sz w:val="24"/>
          <w:szCs w:val="24"/>
        </w:rPr>
        <w:t>若中标，我方将按招标文件规定履行合同责任和义务。</w:t>
      </w:r>
    </w:p>
    <w:p>
      <w:pPr>
        <w:numPr>
          <w:ilvl w:val="0"/>
          <w:numId w:val="10"/>
        </w:numPr>
        <w:adjustRightInd w:val="0"/>
        <w:snapToGrid w:val="0"/>
        <w:spacing w:line="400" w:lineRule="exact"/>
        <w:rPr>
          <w:rFonts w:ascii="宋体" w:hAnsi="宋体" w:cs="宋体"/>
          <w:sz w:val="24"/>
          <w:szCs w:val="24"/>
        </w:rPr>
      </w:pPr>
      <w:r>
        <w:rPr>
          <w:rFonts w:hint="eastAsia" w:ascii="宋体" w:hAnsi="宋体" w:cs="宋体"/>
          <w:sz w:val="24"/>
          <w:szCs w:val="24"/>
        </w:rPr>
        <w:t>我方郑重承诺：我方所投产品及其任何一部分，免受第三方提出的侵犯其专利权、商标权、著作权或其它知识产权的起诉。我方承担由此可能产生的一切法律责任和费用。</w:t>
      </w:r>
    </w:p>
    <w:p>
      <w:pPr>
        <w:numPr>
          <w:ilvl w:val="0"/>
          <w:numId w:val="10"/>
        </w:numPr>
        <w:adjustRightInd w:val="0"/>
        <w:snapToGrid w:val="0"/>
        <w:spacing w:line="400" w:lineRule="exact"/>
        <w:rPr>
          <w:rFonts w:ascii="宋体" w:hAnsi="宋体" w:cs="宋体"/>
          <w:sz w:val="24"/>
          <w:szCs w:val="24"/>
        </w:rPr>
      </w:pPr>
      <w:r>
        <w:rPr>
          <w:rFonts w:hint="eastAsia" w:ascii="宋体" w:hAnsi="宋体" w:cs="宋体"/>
          <w:sz w:val="24"/>
          <w:szCs w:val="24"/>
        </w:rPr>
        <w:t>我方不是采购人的附属机构；在获知本项目采购信息后，与采购人聘请的为此项目提供咨询服务的公司及其附属机构没有任何联系。</w:t>
      </w:r>
    </w:p>
    <w:p>
      <w:pPr>
        <w:numPr>
          <w:ilvl w:val="0"/>
          <w:numId w:val="10"/>
        </w:numPr>
        <w:adjustRightInd w:val="0"/>
        <w:snapToGrid w:val="0"/>
        <w:spacing w:line="400" w:lineRule="exact"/>
        <w:rPr>
          <w:rFonts w:ascii="宋体" w:hAnsi="宋体" w:cs="宋体"/>
          <w:sz w:val="24"/>
          <w:szCs w:val="24"/>
        </w:rPr>
      </w:pPr>
      <w:r>
        <w:rPr>
          <w:rFonts w:hint="eastAsia" w:ascii="宋体" w:hAnsi="宋体" w:cs="宋体"/>
          <w:sz w:val="24"/>
          <w:szCs w:val="24"/>
        </w:rPr>
        <w:t>投标书自开标日起有效期为日。以上事项如有虚假或隐瞒，我方愿意承担一切后果，并不再寻求任何旨在减轻或免除法律责任的辩解。</w:t>
      </w:r>
    </w:p>
    <w:p>
      <w:pPr>
        <w:adjustRightInd w:val="0"/>
        <w:snapToGrid w:val="0"/>
        <w:spacing w:line="400" w:lineRule="exact"/>
        <w:ind w:left="-4" w:leftChars="-2" w:right="-817" w:rightChars="-389" w:firstLine="2"/>
        <w:rPr>
          <w:rFonts w:ascii="宋体" w:hAnsi="宋体" w:cs="宋体"/>
          <w:sz w:val="24"/>
          <w:szCs w:val="24"/>
        </w:rPr>
      </w:pPr>
    </w:p>
    <w:p>
      <w:pPr>
        <w:adjustRightInd w:val="0"/>
        <w:snapToGrid w:val="0"/>
        <w:spacing w:line="400" w:lineRule="exact"/>
        <w:ind w:left="-4" w:leftChars="-2" w:right="-817" w:rightChars="-389" w:firstLine="2"/>
        <w:rPr>
          <w:rFonts w:ascii="宋体" w:hAnsi="宋体" w:cs="宋体"/>
          <w:sz w:val="24"/>
          <w:szCs w:val="24"/>
        </w:rPr>
      </w:pPr>
    </w:p>
    <w:p>
      <w:pPr>
        <w:adjustRightInd w:val="0"/>
        <w:snapToGrid w:val="0"/>
        <w:spacing w:line="400" w:lineRule="exact"/>
        <w:ind w:left="-4" w:leftChars="-2" w:right="-817" w:rightChars="-389" w:firstLine="2"/>
        <w:rPr>
          <w:rFonts w:ascii="宋体" w:hAnsi="宋体" w:cs="宋体"/>
          <w:sz w:val="24"/>
          <w:szCs w:val="24"/>
        </w:rPr>
      </w:pP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投标人名称（盖章）：</w:t>
      </w: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法定代表人（负责人、自然人）或授权代表（签字）：</w:t>
      </w:r>
    </w:p>
    <w:p>
      <w:pPr>
        <w:adjustRightInd w:val="0"/>
        <w:snapToGrid w:val="0"/>
        <w:spacing w:line="400" w:lineRule="exact"/>
        <w:ind w:left="-2" w:leftChars="-1" w:right="-817" w:rightChars="-389" w:firstLine="2"/>
        <w:jc w:val="left"/>
        <w:rPr>
          <w:rFonts w:ascii="宋体" w:hAnsi="宋体" w:cs="宋体"/>
          <w:sz w:val="24"/>
          <w:szCs w:val="24"/>
        </w:rPr>
      </w:pPr>
      <w:r>
        <w:rPr>
          <w:rFonts w:hint="eastAsia" w:ascii="宋体" w:hAnsi="宋体" w:cs="宋体"/>
          <w:sz w:val="24"/>
          <w:szCs w:val="24"/>
        </w:rPr>
        <w:t>日期：    年   月   日</w:t>
      </w:r>
    </w:p>
    <w:p>
      <w:pPr>
        <w:adjustRightInd w:val="0"/>
        <w:snapToGrid w:val="0"/>
        <w:spacing w:line="360" w:lineRule="auto"/>
        <w:rPr>
          <w:rFonts w:ascii="宋体" w:hAnsi="宋体" w:cs="宋体"/>
          <w:sz w:val="24"/>
          <w:szCs w:val="24"/>
        </w:rPr>
      </w:pPr>
      <w:r>
        <w:rPr>
          <w:rFonts w:hint="eastAsia" w:ascii="宋体" w:hAnsi="宋体" w:cs="宋体"/>
          <w:sz w:val="24"/>
          <w:szCs w:val="24"/>
        </w:rPr>
        <w:br w:type="page"/>
      </w:r>
      <w:r>
        <w:rPr>
          <w:rFonts w:hint="eastAsia" w:ascii="宋体" w:hAnsi="宋体" w:cs="宋体"/>
          <w:b/>
          <w:sz w:val="24"/>
          <w:szCs w:val="24"/>
        </w:rPr>
        <w:t>2、授权委托书格式：</w:t>
      </w:r>
    </w:p>
    <w:p>
      <w:pPr>
        <w:adjustRightInd w:val="0"/>
        <w:snapToGrid w:val="0"/>
        <w:spacing w:line="360" w:lineRule="auto"/>
        <w:jc w:val="center"/>
        <w:rPr>
          <w:rFonts w:ascii="宋体" w:hAnsi="宋体" w:cs="宋体"/>
          <w:sz w:val="24"/>
          <w:szCs w:val="24"/>
        </w:rPr>
      </w:pPr>
    </w:p>
    <w:p>
      <w:pPr>
        <w:adjustRightInd w:val="0"/>
        <w:snapToGrid w:val="0"/>
        <w:spacing w:line="360" w:lineRule="auto"/>
        <w:jc w:val="center"/>
        <w:rPr>
          <w:rFonts w:ascii="宋体" w:hAnsi="宋体" w:cs="宋体"/>
          <w:b/>
          <w:sz w:val="24"/>
          <w:szCs w:val="24"/>
        </w:rPr>
      </w:pPr>
      <w:r>
        <w:rPr>
          <w:rFonts w:hint="eastAsia" w:ascii="宋体" w:hAnsi="宋体" w:cs="宋体"/>
          <w:b/>
          <w:sz w:val="24"/>
          <w:szCs w:val="24"/>
        </w:rPr>
        <w:t>授权委托书</w:t>
      </w:r>
    </w:p>
    <w:p>
      <w:pPr>
        <w:adjustRightInd w:val="0"/>
        <w:snapToGrid w:val="0"/>
        <w:spacing w:line="360" w:lineRule="auto"/>
        <w:rPr>
          <w:rFonts w:ascii="宋体" w:hAnsi="宋体" w:cs="宋体"/>
          <w:b/>
          <w:bCs/>
          <w:sz w:val="24"/>
          <w:szCs w:val="24"/>
        </w:rPr>
      </w:pPr>
      <w:r>
        <w:rPr>
          <w:rFonts w:hint="eastAsia" w:ascii="宋体" w:hAnsi="宋体" w:cs="宋体"/>
          <w:sz w:val="24"/>
          <w:szCs w:val="24"/>
        </w:rPr>
        <w:t>（采购代理机构名称）：</w:t>
      </w:r>
    </w:p>
    <w:p>
      <w:pPr>
        <w:adjustRightInd w:val="0"/>
        <w:snapToGrid w:val="0"/>
        <w:spacing w:line="360" w:lineRule="auto"/>
        <w:ind w:firstLine="720" w:firstLineChars="300"/>
        <w:rPr>
          <w:rFonts w:ascii="宋体" w:hAnsi="宋体" w:cs="宋体"/>
          <w:sz w:val="24"/>
          <w:szCs w:val="24"/>
        </w:rPr>
      </w:pPr>
      <w:r>
        <w:rPr>
          <w:rFonts w:hint="eastAsia" w:ascii="宋体" w:hAnsi="宋体" w:cs="宋体"/>
          <w:sz w:val="24"/>
          <w:szCs w:val="24"/>
        </w:rPr>
        <w:t>我（姓名）系（投标人名称）的法定代表人（负责人、自然人），现授权委托（姓名）以我方的名义参加</w:t>
      </w:r>
      <w:r>
        <w:rPr>
          <w:rFonts w:hint="eastAsia" w:ascii="宋体" w:hAnsi="宋体" w:cs="宋体"/>
          <w:sz w:val="24"/>
          <w:szCs w:val="24"/>
          <w:u w:val="single"/>
        </w:rPr>
        <w:t xml:space="preserve">     项目（项目编号：        ）标包编号及内容</w:t>
      </w:r>
      <w:r>
        <w:rPr>
          <w:rFonts w:hint="eastAsia" w:ascii="宋体" w:hAnsi="宋体" w:cs="宋体"/>
          <w:sz w:val="24"/>
          <w:szCs w:val="24"/>
        </w:rPr>
        <w:t>的投标活动，并代表我方全权办理针对上述项目的投标、开标、评标、签约等具体事务和签署相关文件。</w:t>
      </w:r>
    </w:p>
    <w:p>
      <w:pPr>
        <w:adjustRightInd w:val="0"/>
        <w:snapToGrid w:val="0"/>
        <w:spacing w:line="360" w:lineRule="auto"/>
        <w:rPr>
          <w:rFonts w:ascii="宋体" w:hAnsi="宋体" w:cs="宋体"/>
          <w:sz w:val="24"/>
          <w:szCs w:val="24"/>
        </w:rPr>
      </w:pPr>
      <w:r>
        <w:rPr>
          <w:rFonts w:hint="eastAsia" w:ascii="宋体" w:hAnsi="宋体" w:cs="宋体"/>
          <w:sz w:val="24"/>
          <w:szCs w:val="24"/>
        </w:rPr>
        <w:t xml:space="preserve">    我方对被授权人的签名事项负全部责任。</w:t>
      </w:r>
    </w:p>
    <w:p>
      <w:pPr>
        <w:adjustRightInd w:val="0"/>
        <w:snapToGrid w:val="0"/>
        <w:spacing w:line="360" w:lineRule="auto"/>
        <w:ind w:firstLine="480"/>
        <w:rPr>
          <w:rFonts w:ascii="宋体" w:hAnsi="宋体" w:cs="宋体"/>
          <w:sz w:val="24"/>
          <w:szCs w:val="24"/>
        </w:rPr>
      </w:pPr>
      <w:r>
        <w:rPr>
          <w:rFonts w:hint="eastAsia" w:ascii="宋体" w:hAnsi="宋体" w:cs="宋体"/>
          <w:sz w:val="24"/>
          <w:szCs w:val="24"/>
          <w:u w:val="single"/>
        </w:rPr>
        <w:t>在撤销授权的书面通知以前，本授权书一直有效。</w:t>
      </w:r>
      <w:r>
        <w:rPr>
          <w:rFonts w:hint="eastAsia" w:ascii="宋体" w:hAnsi="宋体" w:cs="宋体"/>
          <w:sz w:val="24"/>
          <w:szCs w:val="24"/>
        </w:rPr>
        <w:t>被授权人在授权书有效期内签署的所有文件不因授权的撤销而失效。</w:t>
      </w:r>
    </w:p>
    <w:p>
      <w:pPr>
        <w:adjustRightInd w:val="0"/>
        <w:snapToGrid w:val="0"/>
        <w:spacing w:line="360" w:lineRule="auto"/>
        <w:ind w:firstLine="480"/>
        <w:rPr>
          <w:rFonts w:ascii="宋体" w:hAnsi="宋体" w:cs="宋体"/>
          <w:sz w:val="24"/>
          <w:szCs w:val="24"/>
        </w:rPr>
      </w:pPr>
      <w:r>
        <w:rPr>
          <w:rFonts w:hint="eastAsia" w:ascii="宋体" w:hAnsi="宋体" w:cs="宋体"/>
          <w:sz w:val="24"/>
          <w:szCs w:val="24"/>
        </w:rPr>
        <w:t>被授权人无转委托权，特此委托。</w:t>
      </w:r>
    </w:p>
    <w:p>
      <w:pPr>
        <w:adjustRightInd w:val="0"/>
        <w:snapToGrid w:val="0"/>
        <w:spacing w:line="360" w:lineRule="auto"/>
        <w:rPr>
          <w:rFonts w:ascii="宋体" w:hAnsi="宋体" w:cs="宋体"/>
          <w:sz w:val="24"/>
          <w:szCs w:val="24"/>
          <w:u w:val="single"/>
        </w:rPr>
      </w:pPr>
      <w:r>
        <w:rPr>
          <w:rFonts w:hint="eastAsia" w:ascii="宋体" w:hAnsi="宋体" w:cs="宋体"/>
          <w:sz w:val="24"/>
          <w:szCs w:val="24"/>
        </w:rPr>
        <w:t>授权代表签名：                      授权人签名：</w:t>
      </w:r>
    </w:p>
    <w:p>
      <w:pPr>
        <w:adjustRightInd w:val="0"/>
        <w:snapToGrid w:val="0"/>
        <w:spacing w:line="360" w:lineRule="auto"/>
        <w:ind w:firstLine="960" w:firstLineChars="400"/>
        <w:rPr>
          <w:rFonts w:ascii="宋体" w:hAnsi="宋体" w:cs="宋体"/>
          <w:sz w:val="24"/>
          <w:szCs w:val="24"/>
        </w:rPr>
      </w:pPr>
      <w:r>
        <w:rPr>
          <w:rFonts w:hint="eastAsia" w:ascii="宋体" w:hAnsi="宋体" w:cs="宋体"/>
          <w:sz w:val="24"/>
          <w:szCs w:val="24"/>
        </w:rPr>
        <w:t>职务：                      职务：</w:t>
      </w:r>
    </w:p>
    <w:p>
      <w:pPr>
        <w:adjustRightInd w:val="0"/>
        <w:snapToGrid w:val="0"/>
        <w:spacing w:line="360" w:lineRule="auto"/>
        <w:rPr>
          <w:rFonts w:ascii="宋体" w:hAnsi="宋体" w:cs="宋体"/>
          <w:sz w:val="24"/>
          <w:szCs w:val="24"/>
        </w:rPr>
      </w:pPr>
      <w:r>
        <w:rPr>
          <w:rFonts w:hint="eastAsia" w:ascii="宋体" w:hAnsi="宋体" w:cs="宋体"/>
          <w:sz w:val="24"/>
          <w:szCs w:val="24"/>
        </w:rPr>
        <w:t>授权代表身份证号码：</w:t>
      </w:r>
    </w:p>
    <w:p>
      <w:pPr>
        <w:adjustRightInd w:val="0"/>
        <w:snapToGrid w:val="0"/>
        <w:spacing w:line="360" w:lineRule="auto"/>
        <w:rPr>
          <w:rFonts w:ascii="宋体" w:hAnsi="宋体" w:cs="宋体"/>
          <w:sz w:val="24"/>
          <w:szCs w:val="24"/>
        </w:rPr>
      </w:pPr>
    </w:p>
    <w:tbl>
      <w:tblPr>
        <w:tblStyle w:val="38"/>
        <w:tblW w:w="8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10"/>
        <w:gridCol w:w="43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1" w:hRule="atLeast"/>
        </w:trPr>
        <w:tc>
          <w:tcPr>
            <w:tcW w:w="4310" w:type="dxa"/>
            <w:vAlign w:val="center"/>
          </w:tcPr>
          <w:p>
            <w:pPr>
              <w:adjustRightInd w:val="0"/>
              <w:snapToGrid w:val="0"/>
              <w:spacing w:line="360" w:lineRule="auto"/>
              <w:ind w:right="480"/>
              <w:jc w:val="center"/>
              <w:rPr>
                <w:rFonts w:ascii="宋体" w:hAnsi="宋体" w:cs="宋体"/>
                <w:sz w:val="24"/>
                <w:szCs w:val="24"/>
              </w:rPr>
            </w:pPr>
            <w:r>
              <w:rPr>
                <w:rFonts w:hint="eastAsia" w:ascii="宋体" w:hAnsi="宋体" w:cs="宋体"/>
                <w:sz w:val="24"/>
                <w:szCs w:val="24"/>
              </w:rPr>
              <w:t>授权人身份证正面</w:t>
            </w:r>
          </w:p>
        </w:tc>
        <w:tc>
          <w:tcPr>
            <w:tcW w:w="4310" w:type="dxa"/>
            <w:vAlign w:val="center"/>
          </w:tcPr>
          <w:p>
            <w:pPr>
              <w:adjustRightInd w:val="0"/>
              <w:snapToGrid w:val="0"/>
              <w:spacing w:line="360" w:lineRule="auto"/>
              <w:ind w:right="480"/>
              <w:jc w:val="center"/>
              <w:rPr>
                <w:rFonts w:ascii="宋体" w:hAnsi="宋体" w:cs="宋体"/>
                <w:sz w:val="24"/>
                <w:szCs w:val="24"/>
              </w:rPr>
            </w:pPr>
            <w:r>
              <w:rPr>
                <w:rFonts w:hint="eastAsia" w:ascii="宋体" w:hAnsi="宋体" w:cs="宋体"/>
                <w:sz w:val="24"/>
                <w:szCs w:val="24"/>
              </w:rPr>
              <w:t>被授权人身份证正面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5" w:hRule="atLeast"/>
        </w:trPr>
        <w:tc>
          <w:tcPr>
            <w:tcW w:w="4310" w:type="dxa"/>
            <w:vAlign w:val="center"/>
          </w:tcPr>
          <w:p>
            <w:pPr>
              <w:adjustRightInd w:val="0"/>
              <w:snapToGrid w:val="0"/>
              <w:spacing w:line="360" w:lineRule="auto"/>
              <w:ind w:right="480"/>
              <w:jc w:val="center"/>
              <w:rPr>
                <w:rFonts w:ascii="宋体" w:hAnsi="宋体" w:cs="宋体"/>
                <w:sz w:val="24"/>
                <w:szCs w:val="24"/>
              </w:rPr>
            </w:pPr>
            <w:r>
              <w:rPr>
                <w:rFonts w:hint="eastAsia" w:ascii="宋体" w:hAnsi="宋体" w:cs="宋体"/>
                <w:sz w:val="24"/>
                <w:szCs w:val="24"/>
              </w:rPr>
              <w:t>授权人身份证反面</w:t>
            </w:r>
          </w:p>
        </w:tc>
        <w:tc>
          <w:tcPr>
            <w:tcW w:w="4310" w:type="dxa"/>
            <w:vAlign w:val="center"/>
          </w:tcPr>
          <w:p>
            <w:pPr>
              <w:adjustRightInd w:val="0"/>
              <w:snapToGrid w:val="0"/>
              <w:spacing w:line="360" w:lineRule="auto"/>
              <w:ind w:right="480"/>
              <w:jc w:val="center"/>
              <w:rPr>
                <w:rFonts w:ascii="宋体" w:hAnsi="宋体" w:cs="宋体"/>
                <w:sz w:val="24"/>
                <w:szCs w:val="24"/>
              </w:rPr>
            </w:pPr>
            <w:r>
              <w:rPr>
                <w:rFonts w:hint="eastAsia" w:ascii="宋体" w:hAnsi="宋体" w:cs="宋体"/>
                <w:sz w:val="24"/>
                <w:szCs w:val="24"/>
              </w:rPr>
              <w:t>被授权人身份证反面</w:t>
            </w:r>
          </w:p>
        </w:tc>
      </w:tr>
    </w:tbl>
    <w:p>
      <w:pPr>
        <w:adjustRightInd w:val="0"/>
        <w:snapToGrid w:val="0"/>
        <w:spacing w:line="360" w:lineRule="auto"/>
        <w:ind w:right="480"/>
        <w:jc w:val="center"/>
        <w:rPr>
          <w:rFonts w:ascii="宋体" w:hAnsi="宋体" w:cs="宋体"/>
          <w:sz w:val="24"/>
          <w:szCs w:val="24"/>
        </w:rPr>
      </w:pPr>
    </w:p>
    <w:p>
      <w:pPr>
        <w:adjustRightInd w:val="0"/>
        <w:snapToGrid w:val="0"/>
        <w:spacing w:line="360" w:lineRule="auto"/>
        <w:ind w:right="480"/>
        <w:jc w:val="center"/>
        <w:rPr>
          <w:rFonts w:ascii="宋体" w:hAnsi="宋体" w:cs="宋体"/>
          <w:sz w:val="24"/>
          <w:szCs w:val="24"/>
        </w:rPr>
      </w:pPr>
      <w:r>
        <w:rPr>
          <w:rFonts w:hint="eastAsia" w:ascii="宋体" w:hAnsi="宋体" w:cs="宋体"/>
          <w:sz w:val="24"/>
          <w:szCs w:val="24"/>
        </w:rPr>
        <w:t xml:space="preserve">                          投标人名称（盖章）：</w:t>
      </w:r>
    </w:p>
    <w:p>
      <w:pPr>
        <w:adjustRightInd w:val="0"/>
        <w:snapToGrid w:val="0"/>
        <w:spacing w:line="360" w:lineRule="auto"/>
        <w:ind w:right="360"/>
        <w:jc w:val="right"/>
        <w:rPr>
          <w:rFonts w:ascii="宋体" w:hAnsi="宋体" w:cs="宋体"/>
          <w:sz w:val="24"/>
          <w:szCs w:val="24"/>
        </w:rPr>
      </w:pPr>
      <w:r>
        <w:rPr>
          <w:rFonts w:hint="eastAsia" w:ascii="宋体" w:hAnsi="宋体" w:cs="宋体"/>
          <w:sz w:val="24"/>
          <w:szCs w:val="24"/>
        </w:rPr>
        <w:t>日期：    年    月    日</w:t>
      </w:r>
    </w:p>
    <w:p>
      <w:pPr>
        <w:adjustRightInd w:val="0"/>
        <w:snapToGrid w:val="0"/>
        <w:spacing w:line="360" w:lineRule="auto"/>
        <w:rPr>
          <w:rFonts w:ascii="宋体" w:hAnsi="宋体" w:cs="宋体"/>
          <w:b/>
          <w:sz w:val="24"/>
          <w:szCs w:val="24"/>
        </w:rPr>
      </w:pPr>
    </w:p>
    <w:p>
      <w:pPr>
        <w:adjustRightInd w:val="0"/>
        <w:snapToGrid w:val="0"/>
        <w:spacing w:line="400" w:lineRule="exact"/>
        <w:rPr>
          <w:rFonts w:ascii="宋体" w:hAnsi="宋体" w:cs="宋体"/>
          <w:b/>
          <w:sz w:val="24"/>
          <w:szCs w:val="24"/>
        </w:rPr>
      </w:pPr>
      <w:r>
        <w:rPr>
          <w:rFonts w:hint="eastAsia" w:ascii="宋体" w:hAnsi="宋体" w:cs="宋体"/>
          <w:b/>
          <w:sz w:val="24"/>
          <w:szCs w:val="24"/>
        </w:rPr>
        <w:t>3、有效的营业执照（事业单位法人证书、民办非企业单位登记证书、社会团体法人登记证书、基金会法人登记证书、自然人身份证）副本复印件、税务登记证副本（如有）复印件</w:t>
      </w:r>
    </w:p>
    <w:p>
      <w:pPr>
        <w:adjustRightInd w:val="0"/>
        <w:snapToGrid w:val="0"/>
        <w:spacing w:line="400" w:lineRule="exact"/>
        <w:jc w:val="left"/>
        <w:rPr>
          <w:rFonts w:ascii="宋体" w:hAnsi="宋体" w:cs="宋体"/>
          <w:b/>
          <w:sz w:val="24"/>
          <w:szCs w:val="24"/>
        </w:rPr>
      </w:pP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4、投标人情况介绍格式：</w:t>
      </w:r>
    </w:p>
    <w:p>
      <w:pPr>
        <w:adjustRightInd w:val="0"/>
        <w:snapToGrid w:val="0"/>
        <w:spacing w:line="400" w:lineRule="exact"/>
        <w:jc w:val="center"/>
        <w:rPr>
          <w:rFonts w:ascii="宋体" w:hAnsi="宋体" w:cs="宋体"/>
          <w:b/>
          <w:sz w:val="24"/>
          <w:szCs w:val="24"/>
        </w:rPr>
      </w:pPr>
      <w:r>
        <w:rPr>
          <w:rFonts w:hint="eastAsia" w:ascii="宋体" w:hAnsi="宋体" w:cs="宋体"/>
          <w:b/>
          <w:sz w:val="24"/>
          <w:szCs w:val="24"/>
        </w:rPr>
        <w:t>投标人情况</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 xml:space="preserve">投标人名称:                                                   </w:t>
      </w:r>
    </w:p>
    <w:tbl>
      <w:tblPr>
        <w:tblStyle w:val="38"/>
        <w:tblW w:w="8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53"/>
        <w:gridCol w:w="1469"/>
        <w:gridCol w:w="854"/>
        <w:gridCol w:w="1453"/>
        <w:gridCol w:w="765"/>
        <w:gridCol w:w="14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投标人名称</w:t>
            </w:r>
          </w:p>
        </w:tc>
        <w:tc>
          <w:tcPr>
            <w:tcW w:w="6994" w:type="dxa"/>
            <w:gridSpan w:val="6"/>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注册地址</w:t>
            </w:r>
          </w:p>
        </w:tc>
        <w:tc>
          <w:tcPr>
            <w:tcW w:w="3376" w:type="dxa"/>
            <w:gridSpan w:val="3"/>
            <w:vAlign w:val="center"/>
          </w:tcPr>
          <w:p>
            <w:pPr>
              <w:pStyle w:val="183"/>
              <w:numPr>
                <w:ilvl w:val="0"/>
                <w:numId w:val="11"/>
              </w:numPr>
              <w:spacing w:line="400" w:lineRule="exact"/>
              <w:ind w:firstLineChars="0"/>
              <w:rPr>
                <w:rFonts w:ascii="宋体" w:hAnsi="宋体" w:cs="宋体"/>
                <w:sz w:val="24"/>
                <w:szCs w:val="24"/>
              </w:rPr>
            </w:pPr>
          </w:p>
        </w:tc>
        <w:tc>
          <w:tcPr>
            <w:tcW w:w="1453"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邮政编码</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restart"/>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联系方式</w:t>
            </w:r>
          </w:p>
        </w:tc>
        <w:tc>
          <w:tcPr>
            <w:tcW w:w="1053"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联系人</w:t>
            </w:r>
          </w:p>
        </w:tc>
        <w:tc>
          <w:tcPr>
            <w:tcW w:w="2323" w:type="dxa"/>
            <w:gridSpan w:val="2"/>
            <w:vAlign w:val="center"/>
          </w:tcPr>
          <w:p>
            <w:pPr>
              <w:pStyle w:val="183"/>
              <w:numPr>
                <w:ilvl w:val="0"/>
                <w:numId w:val="11"/>
              </w:numPr>
              <w:spacing w:line="400" w:lineRule="exact"/>
              <w:ind w:firstLineChars="0"/>
              <w:rPr>
                <w:rFonts w:ascii="宋体" w:hAnsi="宋体" w:cs="宋体"/>
                <w:sz w:val="24"/>
                <w:szCs w:val="24"/>
              </w:rPr>
            </w:pPr>
          </w:p>
        </w:tc>
        <w:tc>
          <w:tcPr>
            <w:tcW w:w="1453" w:type="dxa"/>
            <w:vAlign w:val="center"/>
          </w:tcPr>
          <w:p>
            <w:pPr>
              <w:pStyle w:val="183"/>
              <w:numPr>
                <w:ilvl w:val="0"/>
                <w:numId w:val="11"/>
              </w:numPr>
              <w:spacing w:line="400" w:lineRule="exact"/>
              <w:ind w:firstLineChars="0"/>
              <w:rPr>
                <w:rFonts w:ascii="宋体" w:hAnsi="宋体" w:cs="宋体"/>
                <w:sz w:val="24"/>
                <w:szCs w:val="24"/>
              </w:rPr>
            </w:pPr>
            <w:r>
              <w:rPr>
                <w:rFonts w:hint="eastAsia" w:ascii="宋体" w:hAnsi="宋体" w:cs="宋体"/>
                <w:sz w:val="24"/>
                <w:szCs w:val="24"/>
              </w:rPr>
              <w:t>电话</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Merge w:val="continue"/>
            <w:vAlign w:val="center"/>
          </w:tcPr>
          <w:p>
            <w:pPr>
              <w:pStyle w:val="183"/>
              <w:numPr>
                <w:ilvl w:val="0"/>
                <w:numId w:val="11"/>
              </w:numPr>
              <w:spacing w:line="400" w:lineRule="exact"/>
              <w:ind w:firstLineChars="0"/>
              <w:rPr>
                <w:rFonts w:ascii="宋体" w:hAnsi="宋体" w:cs="宋体"/>
                <w:sz w:val="24"/>
                <w:szCs w:val="24"/>
              </w:rPr>
            </w:pPr>
          </w:p>
        </w:tc>
        <w:tc>
          <w:tcPr>
            <w:tcW w:w="1053"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传 真</w:t>
            </w:r>
          </w:p>
        </w:tc>
        <w:tc>
          <w:tcPr>
            <w:tcW w:w="2323" w:type="dxa"/>
            <w:gridSpan w:val="2"/>
            <w:vAlign w:val="center"/>
          </w:tcPr>
          <w:p>
            <w:pPr>
              <w:pStyle w:val="183"/>
              <w:numPr>
                <w:ilvl w:val="0"/>
                <w:numId w:val="11"/>
              </w:numPr>
              <w:spacing w:line="400" w:lineRule="exact"/>
              <w:ind w:firstLineChars="0"/>
              <w:rPr>
                <w:rFonts w:ascii="宋体" w:hAnsi="宋体" w:cs="宋体"/>
                <w:sz w:val="24"/>
                <w:szCs w:val="24"/>
              </w:rPr>
            </w:pPr>
          </w:p>
        </w:tc>
        <w:tc>
          <w:tcPr>
            <w:tcW w:w="1453" w:type="dxa"/>
            <w:vAlign w:val="center"/>
          </w:tcPr>
          <w:p>
            <w:pPr>
              <w:pStyle w:val="183"/>
              <w:numPr>
                <w:ilvl w:val="0"/>
                <w:numId w:val="11"/>
              </w:numPr>
              <w:spacing w:line="400" w:lineRule="exact"/>
              <w:ind w:firstLineChars="0"/>
              <w:rPr>
                <w:rFonts w:ascii="宋体" w:hAnsi="宋体" w:cs="宋体"/>
                <w:sz w:val="24"/>
                <w:szCs w:val="24"/>
              </w:rPr>
            </w:pPr>
            <w:r>
              <w:rPr>
                <w:rFonts w:hint="eastAsia" w:ascii="宋体" w:hAnsi="宋体" w:cs="宋体"/>
                <w:sz w:val="24"/>
                <w:szCs w:val="24"/>
              </w:rPr>
              <w:t>网址</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法定代表人</w:t>
            </w:r>
          </w:p>
        </w:tc>
        <w:tc>
          <w:tcPr>
            <w:tcW w:w="1053"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姓名</w:t>
            </w:r>
          </w:p>
        </w:tc>
        <w:tc>
          <w:tcPr>
            <w:tcW w:w="1469" w:type="dxa"/>
            <w:vAlign w:val="center"/>
          </w:tcPr>
          <w:p>
            <w:pPr>
              <w:pStyle w:val="183"/>
              <w:numPr>
                <w:ilvl w:val="0"/>
                <w:numId w:val="11"/>
              </w:numPr>
              <w:spacing w:line="400" w:lineRule="exact"/>
              <w:ind w:firstLineChars="0"/>
              <w:rPr>
                <w:rFonts w:ascii="宋体" w:hAnsi="宋体" w:cs="宋体"/>
                <w:sz w:val="24"/>
                <w:szCs w:val="24"/>
              </w:rPr>
            </w:pPr>
          </w:p>
        </w:tc>
        <w:tc>
          <w:tcPr>
            <w:tcW w:w="854"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职称</w:t>
            </w:r>
          </w:p>
        </w:tc>
        <w:tc>
          <w:tcPr>
            <w:tcW w:w="1453" w:type="dxa"/>
            <w:vAlign w:val="center"/>
          </w:tcPr>
          <w:p>
            <w:pPr>
              <w:pStyle w:val="183"/>
              <w:numPr>
                <w:ilvl w:val="0"/>
                <w:numId w:val="11"/>
              </w:numPr>
              <w:spacing w:line="400" w:lineRule="exact"/>
              <w:ind w:firstLineChars="0"/>
              <w:rPr>
                <w:rFonts w:ascii="宋体" w:hAnsi="宋体" w:cs="宋体"/>
                <w:sz w:val="24"/>
                <w:szCs w:val="24"/>
              </w:rPr>
            </w:pPr>
          </w:p>
        </w:tc>
        <w:tc>
          <w:tcPr>
            <w:tcW w:w="765"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电话</w:t>
            </w:r>
          </w:p>
        </w:tc>
        <w:tc>
          <w:tcPr>
            <w:tcW w:w="1400" w:type="dxa"/>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企业负责人</w:t>
            </w:r>
          </w:p>
        </w:tc>
        <w:tc>
          <w:tcPr>
            <w:tcW w:w="1053"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姓名</w:t>
            </w:r>
          </w:p>
        </w:tc>
        <w:tc>
          <w:tcPr>
            <w:tcW w:w="1469" w:type="dxa"/>
            <w:vAlign w:val="center"/>
          </w:tcPr>
          <w:p>
            <w:pPr>
              <w:pStyle w:val="183"/>
              <w:numPr>
                <w:ilvl w:val="0"/>
                <w:numId w:val="11"/>
              </w:numPr>
              <w:spacing w:line="400" w:lineRule="exact"/>
              <w:ind w:firstLineChars="0"/>
              <w:rPr>
                <w:rFonts w:ascii="宋体" w:hAnsi="宋体" w:cs="宋体"/>
                <w:sz w:val="24"/>
                <w:szCs w:val="24"/>
              </w:rPr>
            </w:pPr>
          </w:p>
        </w:tc>
        <w:tc>
          <w:tcPr>
            <w:tcW w:w="854"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职称</w:t>
            </w:r>
          </w:p>
        </w:tc>
        <w:tc>
          <w:tcPr>
            <w:tcW w:w="1453" w:type="dxa"/>
            <w:vAlign w:val="center"/>
          </w:tcPr>
          <w:p>
            <w:pPr>
              <w:pStyle w:val="183"/>
              <w:numPr>
                <w:ilvl w:val="0"/>
                <w:numId w:val="11"/>
              </w:numPr>
              <w:spacing w:line="400" w:lineRule="exact"/>
              <w:ind w:firstLineChars="0"/>
              <w:rPr>
                <w:rFonts w:ascii="宋体" w:hAnsi="宋体" w:cs="宋体"/>
                <w:sz w:val="24"/>
                <w:szCs w:val="24"/>
              </w:rPr>
            </w:pPr>
          </w:p>
        </w:tc>
        <w:tc>
          <w:tcPr>
            <w:tcW w:w="765"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电话</w:t>
            </w:r>
          </w:p>
        </w:tc>
        <w:tc>
          <w:tcPr>
            <w:tcW w:w="1400" w:type="dxa"/>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技术负责人</w:t>
            </w:r>
          </w:p>
        </w:tc>
        <w:tc>
          <w:tcPr>
            <w:tcW w:w="1053"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姓名</w:t>
            </w:r>
          </w:p>
        </w:tc>
        <w:tc>
          <w:tcPr>
            <w:tcW w:w="1469" w:type="dxa"/>
            <w:vAlign w:val="center"/>
          </w:tcPr>
          <w:p>
            <w:pPr>
              <w:pStyle w:val="183"/>
              <w:numPr>
                <w:ilvl w:val="0"/>
                <w:numId w:val="11"/>
              </w:numPr>
              <w:spacing w:line="400" w:lineRule="exact"/>
              <w:ind w:firstLineChars="0"/>
              <w:rPr>
                <w:rFonts w:ascii="宋体" w:hAnsi="宋体" w:cs="宋体"/>
                <w:sz w:val="24"/>
                <w:szCs w:val="24"/>
              </w:rPr>
            </w:pPr>
          </w:p>
        </w:tc>
        <w:tc>
          <w:tcPr>
            <w:tcW w:w="854"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职称</w:t>
            </w:r>
          </w:p>
        </w:tc>
        <w:tc>
          <w:tcPr>
            <w:tcW w:w="1453" w:type="dxa"/>
            <w:vAlign w:val="center"/>
          </w:tcPr>
          <w:p>
            <w:pPr>
              <w:pStyle w:val="183"/>
              <w:numPr>
                <w:ilvl w:val="0"/>
                <w:numId w:val="11"/>
              </w:numPr>
              <w:spacing w:line="400" w:lineRule="exact"/>
              <w:ind w:firstLineChars="0"/>
              <w:rPr>
                <w:rFonts w:ascii="宋体" w:hAnsi="宋体" w:cs="宋体"/>
                <w:sz w:val="24"/>
                <w:szCs w:val="24"/>
              </w:rPr>
            </w:pPr>
          </w:p>
        </w:tc>
        <w:tc>
          <w:tcPr>
            <w:tcW w:w="765"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电话</w:t>
            </w:r>
          </w:p>
        </w:tc>
        <w:tc>
          <w:tcPr>
            <w:tcW w:w="1400" w:type="dxa"/>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2"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企业资质</w:t>
            </w:r>
          </w:p>
        </w:tc>
        <w:tc>
          <w:tcPr>
            <w:tcW w:w="2522" w:type="dxa"/>
            <w:gridSpan w:val="2"/>
            <w:vAlign w:val="center"/>
          </w:tcPr>
          <w:p>
            <w:pPr>
              <w:pStyle w:val="183"/>
              <w:numPr>
                <w:ilvl w:val="0"/>
                <w:numId w:val="11"/>
              </w:numPr>
              <w:spacing w:line="400" w:lineRule="exact"/>
              <w:ind w:firstLineChars="0"/>
              <w:rPr>
                <w:rFonts w:ascii="宋体" w:hAnsi="宋体" w:cs="宋体"/>
                <w:sz w:val="24"/>
                <w:szCs w:val="24"/>
              </w:rPr>
            </w:pPr>
          </w:p>
        </w:tc>
        <w:tc>
          <w:tcPr>
            <w:tcW w:w="2307" w:type="dxa"/>
            <w:gridSpan w:val="2"/>
            <w:vAlign w:val="center"/>
          </w:tcPr>
          <w:p>
            <w:pPr>
              <w:pStyle w:val="183"/>
              <w:spacing w:line="400" w:lineRule="exact"/>
              <w:ind w:left="0" w:firstLine="0" w:firstLineChars="0"/>
              <w:rPr>
                <w:rFonts w:ascii="宋体" w:hAnsi="宋体" w:cs="宋体"/>
                <w:sz w:val="24"/>
                <w:szCs w:val="24"/>
              </w:rPr>
            </w:pPr>
            <w:r>
              <w:rPr>
                <w:rFonts w:hint="eastAsia" w:ascii="宋体" w:hAnsi="宋体" w:cs="宋体"/>
                <w:sz w:val="24"/>
                <w:szCs w:val="24"/>
              </w:rPr>
              <w:t>营业执照号</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7"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资信等级</w:t>
            </w:r>
          </w:p>
        </w:tc>
        <w:tc>
          <w:tcPr>
            <w:tcW w:w="6994" w:type="dxa"/>
            <w:gridSpan w:val="6"/>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环境管理体系认证</w:t>
            </w:r>
          </w:p>
        </w:tc>
        <w:tc>
          <w:tcPr>
            <w:tcW w:w="2522" w:type="dxa"/>
            <w:gridSpan w:val="2"/>
            <w:vAlign w:val="center"/>
          </w:tcPr>
          <w:p>
            <w:pPr>
              <w:pStyle w:val="183"/>
              <w:numPr>
                <w:ilvl w:val="0"/>
                <w:numId w:val="11"/>
              </w:numPr>
              <w:spacing w:line="400" w:lineRule="exact"/>
              <w:ind w:firstLineChars="0"/>
              <w:rPr>
                <w:rFonts w:ascii="宋体" w:hAnsi="宋体" w:cs="宋体"/>
                <w:sz w:val="24"/>
                <w:szCs w:val="24"/>
              </w:rPr>
            </w:pPr>
          </w:p>
        </w:tc>
        <w:tc>
          <w:tcPr>
            <w:tcW w:w="2307" w:type="dxa"/>
            <w:gridSpan w:val="2"/>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职业安全健康管理体系认证</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注册资金</w:t>
            </w:r>
          </w:p>
        </w:tc>
        <w:tc>
          <w:tcPr>
            <w:tcW w:w="2522" w:type="dxa"/>
            <w:gridSpan w:val="2"/>
            <w:vAlign w:val="center"/>
          </w:tcPr>
          <w:p>
            <w:pPr>
              <w:pStyle w:val="183"/>
              <w:numPr>
                <w:ilvl w:val="0"/>
                <w:numId w:val="11"/>
              </w:numPr>
              <w:spacing w:line="400" w:lineRule="exact"/>
              <w:ind w:firstLineChars="0"/>
              <w:rPr>
                <w:rFonts w:ascii="宋体" w:hAnsi="宋体" w:cs="宋体"/>
                <w:sz w:val="24"/>
                <w:szCs w:val="24"/>
              </w:rPr>
            </w:pPr>
            <w:r>
              <w:rPr>
                <w:rFonts w:hint="eastAsia" w:ascii="宋体" w:hAnsi="宋体" w:cs="宋体"/>
                <w:sz w:val="24"/>
                <w:szCs w:val="24"/>
              </w:rPr>
              <w:t>万元</w:t>
            </w:r>
          </w:p>
        </w:tc>
        <w:tc>
          <w:tcPr>
            <w:tcW w:w="2307" w:type="dxa"/>
            <w:gridSpan w:val="2"/>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固定资产净值</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r>
              <w:rPr>
                <w:rFonts w:hint="eastAsia" w:ascii="宋体" w:hAnsi="宋体" w:cs="宋体"/>
                <w:sz w:val="24"/>
                <w:szCs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流动资产</w:t>
            </w:r>
          </w:p>
        </w:tc>
        <w:tc>
          <w:tcPr>
            <w:tcW w:w="2522" w:type="dxa"/>
            <w:gridSpan w:val="2"/>
            <w:vAlign w:val="center"/>
          </w:tcPr>
          <w:p>
            <w:pPr>
              <w:pStyle w:val="183"/>
              <w:numPr>
                <w:ilvl w:val="0"/>
                <w:numId w:val="11"/>
              </w:numPr>
              <w:spacing w:line="400" w:lineRule="exact"/>
              <w:ind w:firstLineChars="0"/>
              <w:rPr>
                <w:rFonts w:ascii="宋体" w:hAnsi="宋体" w:cs="宋体"/>
                <w:sz w:val="24"/>
                <w:szCs w:val="24"/>
              </w:rPr>
            </w:pPr>
            <w:r>
              <w:rPr>
                <w:rFonts w:hint="eastAsia" w:ascii="宋体" w:hAnsi="宋体" w:cs="宋体"/>
                <w:sz w:val="24"/>
                <w:szCs w:val="24"/>
              </w:rPr>
              <w:t>万元</w:t>
            </w:r>
          </w:p>
        </w:tc>
        <w:tc>
          <w:tcPr>
            <w:tcW w:w="2307" w:type="dxa"/>
            <w:gridSpan w:val="2"/>
            <w:vAlign w:val="center"/>
          </w:tcPr>
          <w:p>
            <w:pPr>
              <w:pStyle w:val="183"/>
              <w:numPr>
                <w:ilvl w:val="0"/>
                <w:numId w:val="11"/>
              </w:numPr>
              <w:spacing w:line="400" w:lineRule="exact"/>
              <w:ind w:firstLineChars="0"/>
              <w:rPr>
                <w:rFonts w:ascii="宋体" w:hAnsi="宋体" w:cs="宋体"/>
                <w:sz w:val="24"/>
                <w:szCs w:val="24"/>
              </w:rPr>
            </w:pP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1" w:hRule="atLeast"/>
          <w:jc w:val="center"/>
        </w:trPr>
        <w:tc>
          <w:tcPr>
            <w:tcW w:w="1658" w:type="dxa"/>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开户银行</w:t>
            </w:r>
          </w:p>
        </w:tc>
        <w:tc>
          <w:tcPr>
            <w:tcW w:w="2522" w:type="dxa"/>
            <w:gridSpan w:val="2"/>
            <w:vAlign w:val="center"/>
          </w:tcPr>
          <w:p>
            <w:pPr>
              <w:pStyle w:val="183"/>
              <w:numPr>
                <w:ilvl w:val="0"/>
                <w:numId w:val="11"/>
              </w:numPr>
              <w:spacing w:line="400" w:lineRule="exact"/>
              <w:ind w:firstLineChars="0"/>
              <w:rPr>
                <w:rFonts w:ascii="宋体" w:hAnsi="宋体" w:cs="宋体"/>
                <w:sz w:val="24"/>
                <w:szCs w:val="24"/>
              </w:rPr>
            </w:pPr>
          </w:p>
        </w:tc>
        <w:tc>
          <w:tcPr>
            <w:tcW w:w="2307" w:type="dxa"/>
            <w:gridSpan w:val="2"/>
            <w:vAlign w:val="center"/>
          </w:tcPr>
          <w:p>
            <w:pPr>
              <w:pStyle w:val="183"/>
              <w:spacing w:line="400" w:lineRule="exact"/>
              <w:ind w:firstLineChars="0"/>
              <w:jc w:val="both"/>
              <w:rPr>
                <w:rFonts w:ascii="宋体" w:hAnsi="宋体" w:cs="宋体"/>
                <w:sz w:val="24"/>
                <w:szCs w:val="24"/>
              </w:rPr>
            </w:pPr>
            <w:r>
              <w:rPr>
                <w:rFonts w:hint="eastAsia" w:ascii="宋体" w:hAnsi="宋体" w:cs="宋体"/>
                <w:sz w:val="24"/>
                <w:szCs w:val="24"/>
              </w:rPr>
              <w:t>帐号</w:t>
            </w:r>
          </w:p>
        </w:tc>
        <w:tc>
          <w:tcPr>
            <w:tcW w:w="2165" w:type="dxa"/>
            <w:gridSpan w:val="2"/>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42" w:hRule="atLeast"/>
          <w:jc w:val="center"/>
        </w:trPr>
        <w:tc>
          <w:tcPr>
            <w:tcW w:w="8652" w:type="dxa"/>
            <w:gridSpan w:val="7"/>
            <w:vAlign w:val="center"/>
          </w:tcPr>
          <w:p>
            <w:pPr>
              <w:pStyle w:val="183"/>
              <w:spacing w:line="400" w:lineRule="exact"/>
              <w:ind w:firstLineChars="0"/>
              <w:rPr>
                <w:rFonts w:ascii="宋体" w:hAnsi="宋体" w:cs="宋体"/>
                <w:sz w:val="24"/>
                <w:szCs w:val="24"/>
              </w:rPr>
            </w:pPr>
            <w:r>
              <w:rPr>
                <w:rFonts w:hint="eastAsia" w:ascii="宋体" w:hAnsi="宋体" w:cs="宋体"/>
                <w:sz w:val="24"/>
                <w:szCs w:val="24"/>
              </w:rPr>
              <w:t>总人数人，其中：具有高级职称的人，中级职称的人。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1" w:hRule="atLeast"/>
          <w:jc w:val="center"/>
        </w:trPr>
        <w:tc>
          <w:tcPr>
            <w:tcW w:w="1658" w:type="dxa"/>
            <w:vAlign w:val="center"/>
          </w:tcPr>
          <w:p>
            <w:pPr>
              <w:pStyle w:val="183"/>
              <w:spacing w:line="400" w:lineRule="exact"/>
              <w:ind w:firstLineChars="0"/>
              <w:rPr>
                <w:rFonts w:ascii="宋体" w:hAnsi="宋体" w:cs="宋体"/>
                <w:sz w:val="24"/>
                <w:szCs w:val="24"/>
              </w:rPr>
            </w:pPr>
            <w:r>
              <w:rPr>
                <w:rFonts w:hint="eastAsia" w:ascii="宋体" w:hAnsi="宋体" w:cs="宋体"/>
                <w:sz w:val="24"/>
                <w:szCs w:val="24"/>
              </w:rPr>
              <w:t>经营范围</w:t>
            </w:r>
          </w:p>
        </w:tc>
        <w:tc>
          <w:tcPr>
            <w:tcW w:w="6994" w:type="dxa"/>
            <w:gridSpan w:val="6"/>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sz w:val="24"/>
                <w:szCs w:val="24"/>
              </w:rPr>
            </w:pPr>
            <w:r>
              <w:rPr>
                <w:rFonts w:hint="eastAsia" w:ascii="宋体" w:hAnsi="宋体" w:cs="宋体"/>
                <w:sz w:val="24"/>
                <w:szCs w:val="24"/>
              </w:rPr>
              <w:t>资质范围</w:t>
            </w:r>
          </w:p>
        </w:tc>
        <w:tc>
          <w:tcPr>
            <w:tcW w:w="6994" w:type="dxa"/>
            <w:gridSpan w:val="6"/>
            <w:vAlign w:val="center"/>
          </w:tcPr>
          <w:p>
            <w:pPr>
              <w:pStyle w:val="183"/>
              <w:numPr>
                <w:ilvl w:val="0"/>
                <w:numId w:val="11"/>
              </w:numPr>
              <w:spacing w:line="400" w:lineRule="exact"/>
              <w:ind w:firstLineChars="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0" w:hRule="atLeast"/>
          <w:jc w:val="center"/>
        </w:trPr>
        <w:tc>
          <w:tcPr>
            <w:tcW w:w="1658" w:type="dxa"/>
            <w:vAlign w:val="center"/>
          </w:tcPr>
          <w:p>
            <w:pPr>
              <w:pStyle w:val="183"/>
              <w:spacing w:line="400" w:lineRule="exact"/>
              <w:ind w:firstLineChars="0"/>
              <w:rPr>
                <w:rFonts w:ascii="宋体" w:hAnsi="宋体" w:cs="宋体"/>
                <w:sz w:val="24"/>
                <w:szCs w:val="24"/>
              </w:rPr>
            </w:pPr>
            <w:r>
              <w:rPr>
                <w:rFonts w:hint="eastAsia" w:ascii="宋体" w:hAnsi="宋体" w:cs="宋体"/>
                <w:sz w:val="24"/>
                <w:szCs w:val="24"/>
              </w:rPr>
              <w:t>备  注</w:t>
            </w:r>
          </w:p>
        </w:tc>
        <w:tc>
          <w:tcPr>
            <w:tcW w:w="6994" w:type="dxa"/>
            <w:gridSpan w:val="6"/>
            <w:vAlign w:val="center"/>
          </w:tcPr>
          <w:p>
            <w:pPr>
              <w:pStyle w:val="183"/>
              <w:numPr>
                <w:ilvl w:val="0"/>
                <w:numId w:val="11"/>
              </w:numPr>
              <w:spacing w:line="400" w:lineRule="exact"/>
              <w:ind w:firstLineChars="0"/>
              <w:rPr>
                <w:rFonts w:ascii="宋体" w:hAnsi="宋体" w:cs="宋体"/>
                <w:sz w:val="24"/>
                <w:szCs w:val="24"/>
              </w:rPr>
            </w:pPr>
          </w:p>
        </w:tc>
      </w:tr>
    </w:tbl>
    <w:p>
      <w:pPr>
        <w:autoSpaceDE w:val="0"/>
        <w:autoSpaceDN w:val="0"/>
        <w:adjustRightInd w:val="0"/>
        <w:snapToGrid w:val="0"/>
        <w:spacing w:line="400" w:lineRule="exact"/>
        <w:ind w:firstLine="472" w:firstLineChars="196"/>
        <w:rPr>
          <w:rFonts w:ascii="宋体" w:hAnsi="宋体" w:cs="宋体"/>
          <w:b/>
          <w:sz w:val="24"/>
          <w:szCs w:val="24"/>
        </w:rPr>
      </w:pP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投标人名称（盖章）：</w:t>
      </w: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法定代表人（负责人、自然人）或授权代表（签字）：</w:t>
      </w:r>
    </w:p>
    <w:p>
      <w:pPr>
        <w:adjustRightInd w:val="0"/>
        <w:snapToGrid w:val="0"/>
        <w:spacing w:line="400" w:lineRule="exact"/>
        <w:ind w:left="-2" w:leftChars="-1" w:right="-817" w:rightChars="-389" w:firstLine="2"/>
        <w:jc w:val="left"/>
        <w:rPr>
          <w:rFonts w:ascii="宋体" w:hAnsi="宋体" w:cs="宋体"/>
          <w:sz w:val="24"/>
          <w:szCs w:val="24"/>
        </w:rPr>
      </w:pPr>
      <w:r>
        <w:rPr>
          <w:rFonts w:hint="eastAsia" w:ascii="宋体" w:hAnsi="宋体" w:cs="宋体"/>
          <w:sz w:val="24"/>
          <w:szCs w:val="24"/>
        </w:rPr>
        <w:t>日期：    年   月   日</w:t>
      </w: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br w:type="page"/>
      </w: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5、财务状况报告</w:t>
      </w:r>
    </w:p>
    <w:p>
      <w:pPr>
        <w:adjustRightInd w:val="0"/>
        <w:snapToGrid w:val="0"/>
        <w:spacing w:line="400" w:lineRule="exact"/>
        <w:rPr>
          <w:rFonts w:ascii="宋体" w:hAnsi="宋体" w:cs="宋体"/>
          <w:sz w:val="24"/>
          <w:szCs w:val="24"/>
        </w:rPr>
      </w:pPr>
      <w:r>
        <w:rPr>
          <w:rFonts w:hint="eastAsia" w:ascii="宋体" w:hAnsi="宋体" w:cs="宋体"/>
          <w:sz w:val="24"/>
          <w:szCs w:val="24"/>
        </w:rPr>
        <w:t>应提供本单位2022、2023年度经会计师事务所出具的审计报告复印件（报告中须包括资产负债表、利润表、现金流量表及财务报表附注）。如供应商注册不满1年无需提供上述资料。</w:t>
      </w:r>
    </w:p>
    <w:p>
      <w:pPr>
        <w:adjustRightInd w:val="0"/>
        <w:snapToGrid w:val="0"/>
        <w:spacing w:line="400" w:lineRule="exact"/>
        <w:jc w:val="left"/>
        <w:rPr>
          <w:rFonts w:ascii="宋体" w:hAnsi="宋体" w:cs="宋体"/>
          <w:b/>
          <w:sz w:val="24"/>
          <w:szCs w:val="24"/>
        </w:rPr>
      </w:pPr>
    </w:p>
    <w:p>
      <w:pPr>
        <w:adjustRightInd w:val="0"/>
        <w:snapToGrid w:val="0"/>
        <w:spacing w:line="400" w:lineRule="exact"/>
        <w:jc w:val="left"/>
        <w:rPr>
          <w:rFonts w:ascii="宋体" w:hAnsi="宋体" w:cs="宋体"/>
          <w:b/>
          <w:sz w:val="24"/>
          <w:szCs w:val="24"/>
        </w:rPr>
      </w:pP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6、投标人须具有履行合同所必需的设备和专业技术能力，须附相关证明材料或声明：</w:t>
      </w:r>
    </w:p>
    <w:p>
      <w:pPr>
        <w:pStyle w:val="196"/>
        <w:autoSpaceDE w:val="0"/>
        <w:autoSpaceDN w:val="0"/>
        <w:adjustRightInd w:val="0"/>
        <w:snapToGrid w:val="0"/>
        <w:spacing w:line="400" w:lineRule="exact"/>
        <w:ind w:firstLine="115" w:firstLineChars="50"/>
        <w:jc w:val="left"/>
        <w:rPr>
          <w:rFonts w:ascii="宋体" w:hAnsi="宋体" w:cs="宋体"/>
          <w:kern w:val="0"/>
          <w:sz w:val="23"/>
          <w:szCs w:val="23"/>
        </w:rPr>
      </w:pPr>
      <w:r>
        <w:rPr>
          <w:rFonts w:hint="eastAsia" w:ascii="宋体" w:hAnsi="宋体" w:cs="宋体"/>
          <w:kern w:val="0"/>
          <w:sz w:val="23"/>
          <w:szCs w:val="23"/>
        </w:rPr>
        <w:t>格式：</w:t>
      </w:r>
    </w:p>
    <w:p>
      <w:pPr>
        <w:pStyle w:val="196"/>
        <w:autoSpaceDE w:val="0"/>
        <w:autoSpaceDN w:val="0"/>
        <w:adjustRightInd w:val="0"/>
        <w:snapToGrid w:val="0"/>
        <w:spacing w:line="400" w:lineRule="exact"/>
        <w:ind w:firstLine="115" w:firstLineChars="50"/>
        <w:jc w:val="center"/>
        <w:rPr>
          <w:rFonts w:ascii="宋体" w:hAnsi="宋体" w:cs="宋体"/>
          <w:kern w:val="0"/>
          <w:sz w:val="23"/>
          <w:szCs w:val="23"/>
        </w:rPr>
      </w:pPr>
      <w:r>
        <w:rPr>
          <w:rFonts w:hint="eastAsia" w:ascii="宋体" w:hAnsi="宋体" w:cs="宋体"/>
          <w:kern w:val="0"/>
          <w:sz w:val="23"/>
          <w:szCs w:val="23"/>
        </w:rPr>
        <w:t>本投标人郑重声明：</w:t>
      </w:r>
    </w:p>
    <w:p>
      <w:pPr>
        <w:pStyle w:val="196"/>
        <w:autoSpaceDE w:val="0"/>
        <w:autoSpaceDN w:val="0"/>
        <w:adjustRightInd w:val="0"/>
        <w:snapToGrid w:val="0"/>
        <w:spacing w:line="400" w:lineRule="exact"/>
        <w:ind w:firstLine="230" w:firstLineChars="100"/>
        <w:jc w:val="left"/>
        <w:rPr>
          <w:rFonts w:ascii="宋体" w:hAnsi="宋体" w:cs="宋体"/>
          <w:kern w:val="0"/>
          <w:sz w:val="23"/>
          <w:szCs w:val="23"/>
        </w:rPr>
      </w:pPr>
      <w:r>
        <w:rPr>
          <w:rFonts w:hint="eastAsia" w:ascii="宋体" w:hAnsi="宋体" w:cs="宋体"/>
          <w:kern w:val="0"/>
          <w:sz w:val="23"/>
          <w:szCs w:val="23"/>
        </w:rPr>
        <w:t xml:space="preserve">本公司（或单位）具备本项目履行合同所必需的设备和专业技术能力，特此承诺。 </w:t>
      </w:r>
    </w:p>
    <w:p>
      <w:pPr>
        <w:pStyle w:val="196"/>
        <w:autoSpaceDE w:val="0"/>
        <w:autoSpaceDN w:val="0"/>
        <w:adjustRightInd w:val="0"/>
        <w:snapToGrid w:val="0"/>
        <w:spacing w:line="400" w:lineRule="exact"/>
        <w:ind w:firstLine="115" w:firstLineChars="50"/>
        <w:jc w:val="left"/>
        <w:rPr>
          <w:rFonts w:ascii="宋体" w:hAnsi="宋体" w:cs="宋体"/>
          <w:kern w:val="0"/>
          <w:sz w:val="23"/>
          <w:szCs w:val="23"/>
        </w:rPr>
      </w:pPr>
      <w:r>
        <w:rPr>
          <w:rFonts w:hint="eastAsia" w:ascii="宋体" w:hAnsi="宋体" w:cs="宋体"/>
          <w:kern w:val="0"/>
          <w:sz w:val="23"/>
          <w:szCs w:val="23"/>
        </w:rPr>
        <w:t xml:space="preserve">被授权人签字： </w:t>
      </w:r>
    </w:p>
    <w:p>
      <w:pPr>
        <w:pStyle w:val="196"/>
        <w:autoSpaceDE w:val="0"/>
        <w:autoSpaceDN w:val="0"/>
        <w:adjustRightInd w:val="0"/>
        <w:snapToGrid w:val="0"/>
        <w:spacing w:line="400" w:lineRule="exact"/>
        <w:ind w:firstLine="115" w:firstLineChars="50"/>
        <w:jc w:val="left"/>
        <w:rPr>
          <w:rFonts w:ascii="宋体" w:hAnsi="宋体" w:cs="宋体"/>
          <w:kern w:val="0"/>
          <w:sz w:val="23"/>
          <w:szCs w:val="23"/>
        </w:rPr>
      </w:pPr>
      <w:r>
        <w:rPr>
          <w:rFonts w:hint="eastAsia" w:ascii="宋体" w:hAnsi="宋体" w:cs="宋体"/>
          <w:kern w:val="0"/>
          <w:sz w:val="23"/>
          <w:szCs w:val="23"/>
        </w:rPr>
        <w:t>投标人名称（加盖公章）：</w:t>
      </w:r>
    </w:p>
    <w:p>
      <w:pPr>
        <w:pStyle w:val="196"/>
        <w:autoSpaceDE w:val="0"/>
        <w:autoSpaceDN w:val="0"/>
        <w:adjustRightInd w:val="0"/>
        <w:snapToGrid w:val="0"/>
        <w:spacing w:line="400" w:lineRule="exact"/>
        <w:ind w:firstLine="115" w:firstLineChars="50"/>
        <w:rPr>
          <w:rFonts w:ascii="宋体" w:hAnsi="宋体" w:cs="宋体"/>
          <w:kern w:val="0"/>
          <w:sz w:val="23"/>
          <w:szCs w:val="23"/>
        </w:rPr>
      </w:pPr>
      <w:r>
        <w:rPr>
          <w:rFonts w:hint="eastAsia" w:ascii="宋体" w:hAnsi="宋体" w:cs="宋体"/>
          <w:kern w:val="0"/>
          <w:sz w:val="23"/>
          <w:szCs w:val="23"/>
        </w:rPr>
        <w:t xml:space="preserve">年 月 日 </w:t>
      </w:r>
    </w:p>
    <w:p>
      <w:pPr>
        <w:adjustRightInd w:val="0"/>
        <w:snapToGrid w:val="0"/>
        <w:spacing w:line="400" w:lineRule="exact"/>
        <w:jc w:val="left"/>
        <w:rPr>
          <w:rFonts w:ascii="宋体" w:hAnsi="宋体" w:cs="宋体"/>
          <w:b/>
          <w:sz w:val="24"/>
          <w:szCs w:val="24"/>
        </w:rPr>
      </w:pP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7、依法缴纳税收和社会保障资金的良好记录</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 xml:space="preserve">缴纳税收的证明材料，指投标人缴纳增值税和企业所得税两种缴纳凭据；本项目开标前6个月内（至少提供1个月）缴纳税收的凭据（完税证、缴款书、印花税票、银行代扣（代缴）转账凭证等均可）； </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 xml:space="preserve">投标人依法缴纳社会保障资金的证明材料：本项目开标前 6个月内（至少提供1个月）缴纳社会保险的凭据（专用收据或社会保险交纳清单）； </w:t>
      </w:r>
    </w:p>
    <w:p>
      <w:pPr>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投标人为其他组织或自然人的，也需要按此项规定提供缴纳税收的凭据和交纳社会保险的凭据。如投标人的社会保险为委托第三方代缴，还需同时提供投标人与第三方服务机构签署的服务合同（合同中应明确写明第三方为投标人代缴其社会保险）。</w:t>
      </w:r>
    </w:p>
    <w:p>
      <w:pPr>
        <w:pStyle w:val="2"/>
      </w:pPr>
    </w:p>
    <w:p>
      <w:pPr>
        <w:rPr>
          <w:rFonts w:ascii="宋体" w:hAnsi="宋体" w:cs="宋体"/>
          <w:b/>
          <w:sz w:val="24"/>
          <w:szCs w:val="24"/>
        </w:rPr>
      </w:pPr>
      <w:r>
        <w:rPr>
          <w:rFonts w:hint="eastAsia" w:ascii="宋体" w:hAnsi="宋体" w:cs="宋体"/>
          <w:b/>
          <w:sz w:val="24"/>
          <w:szCs w:val="24"/>
        </w:rPr>
        <w:br w:type="page"/>
      </w: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8、前三年内在经营活动中没有重大违法记录的书面声明：</w:t>
      </w:r>
    </w:p>
    <w:p>
      <w:pPr>
        <w:pStyle w:val="196"/>
        <w:adjustRightInd w:val="0"/>
        <w:snapToGrid w:val="0"/>
        <w:spacing w:line="400" w:lineRule="exact"/>
        <w:rPr>
          <w:rFonts w:ascii="宋体" w:hAnsi="宋体" w:cs="宋体"/>
          <w:sz w:val="24"/>
          <w:szCs w:val="24"/>
          <w:u w:val="single"/>
        </w:rPr>
      </w:pPr>
      <w:r>
        <w:rPr>
          <w:rFonts w:hint="eastAsia" w:ascii="宋体" w:hAnsi="宋体" w:cs="宋体"/>
          <w:sz w:val="24"/>
          <w:szCs w:val="24"/>
          <w:u w:val="single"/>
        </w:rPr>
        <w:t>格式：</w:t>
      </w:r>
    </w:p>
    <w:p>
      <w:pPr>
        <w:pStyle w:val="196"/>
        <w:adjustRightInd w:val="0"/>
        <w:snapToGrid w:val="0"/>
        <w:spacing w:line="400" w:lineRule="exact"/>
        <w:rPr>
          <w:rFonts w:ascii="宋体" w:hAnsi="宋体" w:cs="宋体"/>
          <w:sz w:val="24"/>
          <w:szCs w:val="24"/>
        </w:rPr>
      </w:pPr>
      <w:r>
        <w:rPr>
          <w:rFonts w:hint="eastAsia" w:ascii="宋体" w:hAnsi="宋体" w:cs="宋体"/>
          <w:sz w:val="24"/>
          <w:szCs w:val="24"/>
          <w:u w:val="single"/>
        </w:rPr>
        <w:t xml:space="preserve">（采购人）         </w:t>
      </w:r>
      <w:r>
        <w:rPr>
          <w:rFonts w:hint="eastAsia" w:ascii="宋体" w:hAnsi="宋体" w:cs="宋体"/>
          <w:sz w:val="24"/>
          <w:szCs w:val="24"/>
        </w:rPr>
        <w:t>：</w:t>
      </w:r>
    </w:p>
    <w:p>
      <w:pPr>
        <w:pStyle w:val="196"/>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我单位参与</w:t>
      </w:r>
      <w:r>
        <w:rPr>
          <w:rFonts w:hint="eastAsia" w:ascii="宋体" w:hAnsi="宋体" w:cs="宋体"/>
          <w:sz w:val="24"/>
          <w:szCs w:val="24"/>
          <w:u w:val="single"/>
        </w:rPr>
        <w:t xml:space="preserve">                          （</w:t>
      </w:r>
      <w:r>
        <w:rPr>
          <w:rFonts w:hint="eastAsia" w:ascii="宋体" w:hAnsi="宋体" w:cs="宋体"/>
          <w:sz w:val="24"/>
          <w:szCs w:val="24"/>
        </w:rPr>
        <w:t>项目名称、编号）投标，并郑重声明，我方参加本项目政府采购活动前三年内无重大违法记录，符合《中华人民共和国政府采购法》规定的投标人条件。若贵方在本项目采购过程中发现我方政府采购活动前三年内有重大违法记录，我方将无条件退出本项目的投标，并承担因此引起的一切后果。我方对此声明负全部法律责任。</w:t>
      </w:r>
    </w:p>
    <w:p>
      <w:pPr>
        <w:pStyle w:val="196"/>
        <w:adjustRightInd w:val="0"/>
        <w:snapToGrid w:val="0"/>
        <w:spacing w:line="400" w:lineRule="exact"/>
        <w:ind w:firstLine="480" w:firstLineChars="200"/>
        <w:rPr>
          <w:rFonts w:ascii="宋体" w:hAnsi="宋体" w:cs="宋体"/>
          <w:sz w:val="24"/>
          <w:szCs w:val="24"/>
        </w:rPr>
      </w:pPr>
      <w:r>
        <w:rPr>
          <w:rFonts w:hint="eastAsia" w:ascii="宋体" w:hAnsi="宋体" w:cs="宋体"/>
          <w:sz w:val="24"/>
          <w:szCs w:val="24"/>
        </w:rPr>
        <w:t xml:space="preserve">特此声明  </w:t>
      </w:r>
    </w:p>
    <w:p>
      <w:pPr>
        <w:pStyle w:val="196"/>
        <w:adjustRightInd w:val="0"/>
        <w:snapToGrid w:val="0"/>
        <w:spacing w:line="400" w:lineRule="exact"/>
        <w:rPr>
          <w:rFonts w:ascii="宋体" w:hAnsi="宋体" w:cs="宋体"/>
          <w:sz w:val="24"/>
          <w:szCs w:val="24"/>
        </w:rPr>
      </w:pPr>
      <w:r>
        <w:rPr>
          <w:rFonts w:hint="eastAsia" w:ascii="宋体" w:hAnsi="宋体" w:cs="宋体"/>
          <w:sz w:val="24"/>
          <w:szCs w:val="24"/>
        </w:rPr>
        <w:t>投标人（盖单位章）：</w:t>
      </w:r>
    </w:p>
    <w:p>
      <w:pPr>
        <w:pStyle w:val="196"/>
        <w:adjustRightInd w:val="0"/>
        <w:snapToGrid w:val="0"/>
        <w:spacing w:line="400" w:lineRule="exact"/>
        <w:rPr>
          <w:rFonts w:ascii="宋体" w:hAnsi="宋体" w:cs="宋体"/>
          <w:sz w:val="24"/>
          <w:szCs w:val="24"/>
        </w:rPr>
      </w:pPr>
      <w:r>
        <w:rPr>
          <w:rFonts w:hint="eastAsia" w:ascii="宋体" w:hAnsi="宋体" w:cs="宋体"/>
          <w:sz w:val="24"/>
          <w:szCs w:val="24"/>
        </w:rPr>
        <w:t>法定代表人（负责人、自然人）或其委托代理人签字：</w:t>
      </w:r>
    </w:p>
    <w:p>
      <w:pPr>
        <w:adjustRightInd w:val="0"/>
        <w:snapToGrid w:val="0"/>
        <w:spacing w:line="400" w:lineRule="exact"/>
        <w:jc w:val="left"/>
        <w:rPr>
          <w:rFonts w:ascii="宋体" w:hAnsi="宋体" w:cs="宋体"/>
          <w:b/>
          <w:sz w:val="24"/>
          <w:szCs w:val="24"/>
        </w:rPr>
      </w:pP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9、拒绝列入失信被执行人、重大税收违法案件当事人名单、政府采购严重违法失信行为记录名单及及其他不符合规定条件的投标人；投标人未被列入“信用中国”网站(www.creditchina.gov.cn)“记录失信被执行人或重大 税收违法案件当事人名单或政府采购严重违法失信行为”记录名单；未处于中国政府采购 网(www.ccgp.gov.cn)“政府采购严重违法失信行为信息记录”中的禁止参加政府采购活动 期间（以采购代理机构于开标当天在“信用中国”网站（www.creditchina.gov.cn） 及中国政府采购网(www.ccgp.gov.cn)查询结果为准，如相关失信记录已失效，投标人需提供相关证明资料）。</w:t>
      </w:r>
    </w:p>
    <w:p>
      <w:pPr>
        <w:adjustRightInd w:val="0"/>
        <w:snapToGrid w:val="0"/>
        <w:spacing w:line="400" w:lineRule="exact"/>
        <w:jc w:val="left"/>
        <w:rPr>
          <w:rFonts w:ascii="宋体" w:hAnsi="宋体" w:cs="宋体"/>
          <w:b/>
          <w:sz w:val="24"/>
          <w:szCs w:val="24"/>
        </w:rPr>
      </w:pP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10、投标人已取得的各种有效认证证书、政府部门（企业）或第三方权威鉴定机构出具的信用等级证书或证明复印件 (如有)。</w:t>
      </w:r>
    </w:p>
    <w:p>
      <w:pPr>
        <w:adjustRightInd w:val="0"/>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bCs/>
          <w:sz w:val="24"/>
          <w:szCs w:val="24"/>
        </w:rPr>
      </w:pP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11、2021年03月1日以来同类成功业绩</w:t>
      </w:r>
    </w:p>
    <w:p>
      <w:pPr>
        <w:adjustRightInd w:val="0"/>
        <w:snapToGrid w:val="0"/>
        <w:spacing w:line="400" w:lineRule="exact"/>
        <w:ind w:firstLine="470" w:firstLineChars="196"/>
        <w:jc w:val="left"/>
        <w:rPr>
          <w:rFonts w:ascii="宋体" w:hAnsi="宋体" w:cs="宋体"/>
          <w:sz w:val="24"/>
          <w:szCs w:val="24"/>
        </w:rPr>
      </w:pPr>
      <w:r>
        <w:rPr>
          <w:rFonts w:hint="eastAsia" w:ascii="宋体" w:hAnsi="宋体" w:cs="宋体"/>
          <w:sz w:val="24"/>
          <w:szCs w:val="24"/>
        </w:rPr>
        <w:t>以签订合同时间为准，需提供中标（成交）通知书、与最终用户合同复印件，复印件并加盖公章，如出现与事实不符等情况，将根据有关规定以“提供虚假材料谋取中标”予以处罚。</w:t>
      </w: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snapToGrid w:val="0"/>
        <w:spacing w:line="400" w:lineRule="exact"/>
        <w:rPr>
          <w:rFonts w:ascii="宋体" w:hAnsi="宋体" w:cs="宋体"/>
          <w:sz w:val="24"/>
          <w:szCs w:val="24"/>
        </w:rPr>
      </w:pPr>
      <w:r>
        <w:rPr>
          <w:rFonts w:hint="eastAsia" w:ascii="宋体" w:hAnsi="宋体" w:cs="宋体"/>
          <w:b/>
          <w:sz w:val="24"/>
          <w:szCs w:val="24"/>
        </w:rPr>
        <w:t>12、政府采购政策扶持证明材料</w:t>
      </w:r>
    </w:p>
    <w:p>
      <w:pPr>
        <w:widowControl/>
        <w:snapToGrid w:val="0"/>
        <w:spacing w:before="240" w:after="240" w:line="400" w:lineRule="exact"/>
        <w:jc w:val="center"/>
        <w:rPr>
          <w:rFonts w:ascii="宋体" w:hAnsi="宋体" w:cs="宋体"/>
          <w:b/>
          <w:kern w:val="0"/>
          <w:sz w:val="32"/>
          <w:szCs w:val="32"/>
        </w:rPr>
      </w:pPr>
      <w:r>
        <w:rPr>
          <w:rFonts w:hint="eastAsia" w:ascii="宋体" w:hAnsi="宋体" w:cs="宋体"/>
          <w:b/>
          <w:kern w:val="0"/>
          <w:sz w:val="32"/>
          <w:szCs w:val="32"/>
        </w:rPr>
        <w:t>中小企业声明函（货物）</w:t>
      </w:r>
    </w:p>
    <w:p>
      <w:pPr>
        <w:widowControl/>
        <w:snapToGrid w:val="0"/>
        <w:spacing w:before="75" w:after="75" w:line="400" w:lineRule="exact"/>
        <w:ind w:firstLine="480" w:firstLineChars="200"/>
        <w:rPr>
          <w:rFonts w:ascii="宋体" w:hAnsi="宋体" w:cs="宋体"/>
          <w:kern w:val="0"/>
          <w:sz w:val="24"/>
          <w:szCs w:val="24"/>
        </w:rPr>
      </w:pPr>
      <w:r>
        <w:rPr>
          <w:rFonts w:hint="eastAsia" w:ascii="宋体" w:hAnsi="宋体" w:cs="宋体"/>
          <w:kern w:val="0"/>
          <w:sz w:val="24"/>
          <w:szCs w:val="24"/>
        </w:rPr>
        <w:t>本公司（联合体）郑重声明，根据关于《政府采购促进中小企业发展管理办法》的通知（财库〔2020〕46号）的规定，本公司（联合体）参加</w:t>
      </w:r>
      <w:r>
        <w:rPr>
          <w:rFonts w:hint="eastAsia" w:ascii="宋体" w:hAnsi="宋体" w:cs="宋体"/>
          <w:kern w:val="0"/>
          <w:sz w:val="24"/>
          <w:szCs w:val="24"/>
          <w:u w:val="single"/>
        </w:rPr>
        <w:t>（单位名称）</w:t>
      </w:r>
      <w:r>
        <w:rPr>
          <w:rFonts w:hint="eastAsia" w:ascii="宋体" w:hAnsi="宋体" w:cs="宋体"/>
          <w:kern w:val="0"/>
          <w:sz w:val="24"/>
          <w:szCs w:val="24"/>
        </w:rPr>
        <w:t>的</w:t>
      </w:r>
      <w:r>
        <w:rPr>
          <w:rFonts w:hint="eastAsia" w:ascii="宋体" w:hAnsi="宋体" w:cs="宋体"/>
          <w:kern w:val="0"/>
          <w:sz w:val="24"/>
          <w:szCs w:val="24"/>
          <w:u w:val="single"/>
        </w:rPr>
        <w:t>（项目名称）</w:t>
      </w:r>
      <w:r>
        <w:rPr>
          <w:rFonts w:hint="eastAsia" w:ascii="宋体" w:hAnsi="宋体" w:cs="宋体"/>
          <w:kern w:val="0"/>
          <w:sz w:val="24"/>
          <w:szCs w:val="24"/>
        </w:rPr>
        <w:t>采购活动，提供的货物全部由符合政策要求的中小企业制造。相关企业（含联合体中的中小企业、签订分包意向协议的中小企业）的具体情况如下：</w:t>
      </w:r>
    </w:p>
    <w:p>
      <w:pPr>
        <w:widowControl/>
        <w:snapToGrid w:val="0"/>
        <w:spacing w:before="75" w:after="75" w:line="400" w:lineRule="exact"/>
        <w:ind w:firstLine="480" w:firstLineChars="200"/>
        <w:rPr>
          <w:rFonts w:ascii="宋体" w:hAnsi="宋体" w:cs="宋体"/>
          <w:kern w:val="0"/>
          <w:sz w:val="24"/>
          <w:szCs w:val="24"/>
        </w:rPr>
      </w:pPr>
      <w:r>
        <w:rPr>
          <w:rFonts w:hint="eastAsia" w:ascii="宋体" w:hAnsi="宋体" w:cs="宋体"/>
          <w:kern w:val="0"/>
          <w:sz w:val="24"/>
          <w:szCs w:val="24"/>
        </w:rPr>
        <w:t>1.</w:t>
      </w:r>
      <w:r>
        <w:rPr>
          <w:rFonts w:hint="eastAsia" w:ascii="宋体" w:hAnsi="宋体" w:cs="宋体"/>
          <w:kern w:val="0"/>
          <w:sz w:val="24"/>
          <w:szCs w:val="24"/>
          <w:u w:val="single"/>
        </w:rPr>
        <w:t>（标的名称）</w:t>
      </w:r>
      <w:r>
        <w:rPr>
          <w:rFonts w:hint="eastAsia" w:ascii="宋体" w:hAnsi="宋体" w:cs="宋体"/>
          <w:kern w:val="0"/>
          <w:sz w:val="24"/>
          <w:szCs w:val="24"/>
        </w:rPr>
        <w:t>，属于</w:t>
      </w:r>
      <w:r>
        <w:rPr>
          <w:rFonts w:hint="eastAsia" w:ascii="宋体" w:hAnsi="宋体" w:cs="宋体"/>
          <w:kern w:val="0"/>
          <w:sz w:val="24"/>
          <w:szCs w:val="24"/>
          <w:u w:val="single"/>
        </w:rPr>
        <w:t>（招标文件中明确的所属行业）</w:t>
      </w:r>
      <w:r>
        <w:rPr>
          <w:rFonts w:hint="eastAsia" w:ascii="宋体" w:hAnsi="宋体" w:cs="宋体"/>
          <w:kern w:val="0"/>
          <w:sz w:val="24"/>
          <w:szCs w:val="24"/>
        </w:rPr>
        <w:t>；制造商为</w:t>
      </w:r>
      <w:r>
        <w:rPr>
          <w:rFonts w:hint="eastAsia" w:ascii="宋体" w:hAnsi="宋体" w:cs="宋体"/>
          <w:kern w:val="0"/>
          <w:sz w:val="24"/>
          <w:szCs w:val="24"/>
          <w:u w:val="single"/>
        </w:rPr>
        <w:t>（企业名称）</w:t>
      </w:r>
      <w:r>
        <w:rPr>
          <w:rFonts w:hint="eastAsia" w:ascii="宋体" w:hAnsi="宋体" w:cs="宋体"/>
          <w:kern w:val="0"/>
          <w:sz w:val="24"/>
          <w:szCs w:val="24"/>
        </w:rPr>
        <w:t>，从业人员人，营业收入为万元，资产总额为万元，属于</w:t>
      </w:r>
      <w:r>
        <w:rPr>
          <w:rFonts w:hint="eastAsia" w:ascii="宋体" w:hAnsi="宋体" w:cs="宋体"/>
          <w:kern w:val="0"/>
          <w:sz w:val="24"/>
          <w:szCs w:val="24"/>
          <w:u w:val="single"/>
        </w:rPr>
        <w:t>（中型企业、小型企业、微型企业）</w:t>
      </w:r>
      <w:r>
        <w:rPr>
          <w:rFonts w:hint="eastAsia" w:ascii="宋体" w:hAnsi="宋体" w:cs="宋体"/>
          <w:kern w:val="0"/>
          <w:sz w:val="24"/>
          <w:szCs w:val="24"/>
        </w:rPr>
        <w:t>；</w:t>
      </w:r>
    </w:p>
    <w:p>
      <w:pPr>
        <w:widowControl/>
        <w:snapToGrid w:val="0"/>
        <w:spacing w:before="75" w:after="75" w:line="400" w:lineRule="exact"/>
        <w:ind w:firstLine="480" w:firstLineChars="200"/>
        <w:rPr>
          <w:rFonts w:ascii="宋体" w:hAnsi="宋体" w:cs="宋体"/>
          <w:kern w:val="0"/>
          <w:sz w:val="24"/>
          <w:szCs w:val="24"/>
        </w:rPr>
      </w:pPr>
      <w:r>
        <w:rPr>
          <w:rFonts w:hint="eastAsia" w:ascii="宋体" w:hAnsi="宋体" w:cs="宋体"/>
          <w:kern w:val="0"/>
          <w:sz w:val="24"/>
          <w:szCs w:val="24"/>
        </w:rPr>
        <w:t>2.</w:t>
      </w:r>
      <w:r>
        <w:rPr>
          <w:rFonts w:hint="eastAsia" w:ascii="宋体" w:hAnsi="宋体" w:cs="宋体"/>
          <w:kern w:val="0"/>
          <w:sz w:val="24"/>
          <w:szCs w:val="24"/>
          <w:u w:val="single"/>
        </w:rPr>
        <w:t>（标的名称）</w:t>
      </w:r>
      <w:r>
        <w:rPr>
          <w:rFonts w:hint="eastAsia" w:ascii="宋体" w:hAnsi="宋体" w:cs="宋体"/>
          <w:kern w:val="0"/>
          <w:sz w:val="24"/>
          <w:szCs w:val="24"/>
        </w:rPr>
        <w:t>，属于</w:t>
      </w:r>
      <w:r>
        <w:rPr>
          <w:rFonts w:hint="eastAsia" w:ascii="宋体" w:hAnsi="宋体" w:cs="宋体"/>
          <w:kern w:val="0"/>
          <w:sz w:val="24"/>
          <w:szCs w:val="24"/>
          <w:u w:val="single"/>
        </w:rPr>
        <w:t>（招标文件中明确的所属行业）</w:t>
      </w:r>
      <w:r>
        <w:rPr>
          <w:rFonts w:hint="eastAsia" w:ascii="宋体" w:hAnsi="宋体" w:cs="宋体"/>
          <w:kern w:val="0"/>
          <w:sz w:val="24"/>
          <w:szCs w:val="24"/>
        </w:rPr>
        <w:t>；制造商为</w:t>
      </w:r>
      <w:r>
        <w:rPr>
          <w:rFonts w:hint="eastAsia" w:ascii="宋体" w:hAnsi="宋体" w:cs="宋体"/>
          <w:kern w:val="0"/>
          <w:sz w:val="24"/>
          <w:szCs w:val="24"/>
          <w:u w:val="single"/>
        </w:rPr>
        <w:t>（企业名称）</w:t>
      </w:r>
      <w:r>
        <w:rPr>
          <w:rFonts w:hint="eastAsia" w:ascii="宋体" w:hAnsi="宋体" w:cs="宋体"/>
          <w:kern w:val="0"/>
          <w:sz w:val="24"/>
          <w:szCs w:val="24"/>
        </w:rPr>
        <w:t>，从业人员人，营业收入为万元，资产总额为万元，属于</w:t>
      </w:r>
      <w:r>
        <w:rPr>
          <w:rFonts w:hint="eastAsia" w:ascii="宋体" w:hAnsi="宋体" w:cs="宋体"/>
          <w:kern w:val="0"/>
          <w:sz w:val="24"/>
          <w:szCs w:val="24"/>
          <w:u w:val="single"/>
        </w:rPr>
        <w:t>（中型企业、小型企业、微型企业）</w:t>
      </w:r>
      <w:r>
        <w:rPr>
          <w:rFonts w:hint="eastAsia" w:ascii="宋体" w:hAnsi="宋体" w:cs="宋体"/>
          <w:kern w:val="0"/>
          <w:sz w:val="24"/>
          <w:szCs w:val="24"/>
        </w:rPr>
        <w:t>；</w:t>
      </w:r>
    </w:p>
    <w:p>
      <w:pPr>
        <w:widowControl/>
        <w:snapToGrid w:val="0"/>
        <w:spacing w:before="75" w:after="75" w:line="400" w:lineRule="exact"/>
        <w:ind w:firstLine="480" w:firstLineChars="200"/>
        <w:rPr>
          <w:rFonts w:ascii="宋体" w:hAnsi="宋体" w:cs="宋体"/>
          <w:kern w:val="0"/>
          <w:sz w:val="24"/>
          <w:szCs w:val="24"/>
        </w:rPr>
      </w:pPr>
      <w:r>
        <w:rPr>
          <w:rFonts w:hint="eastAsia" w:ascii="宋体" w:hAnsi="宋体" w:cs="宋体"/>
          <w:kern w:val="0"/>
          <w:sz w:val="24"/>
          <w:szCs w:val="24"/>
        </w:rPr>
        <w:t>……</w:t>
      </w:r>
    </w:p>
    <w:p>
      <w:pPr>
        <w:widowControl/>
        <w:snapToGrid w:val="0"/>
        <w:spacing w:before="75" w:after="75" w:line="400" w:lineRule="exact"/>
        <w:ind w:firstLine="480" w:firstLineChars="200"/>
        <w:rPr>
          <w:rFonts w:ascii="宋体" w:hAnsi="宋体" w:cs="宋体"/>
          <w:kern w:val="0"/>
          <w:sz w:val="24"/>
          <w:szCs w:val="24"/>
        </w:rPr>
      </w:pPr>
      <w:r>
        <w:rPr>
          <w:rFonts w:hint="eastAsia" w:ascii="宋体" w:hAnsi="宋体" w:cs="宋体"/>
          <w:kern w:val="0"/>
          <w:sz w:val="24"/>
          <w:szCs w:val="24"/>
        </w:rPr>
        <w:t>以上企业，不属于大企业的分支机构，不存在控股股东为大企业的情形，也不存在与大企业的负责人为同一人的情形。</w:t>
      </w:r>
    </w:p>
    <w:p>
      <w:pPr>
        <w:widowControl/>
        <w:snapToGrid w:val="0"/>
        <w:spacing w:before="75" w:after="75" w:line="400" w:lineRule="exact"/>
        <w:ind w:firstLine="480" w:firstLineChars="200"/>
        <w:rPr>
          <w:rFonts w:ascii="宋体" w:hAnsi="宋体" w:cs="宋体"/>
          <w:kern w:val="0"/>
          <w:sz w:val="24"/>
          <w:szCs w:val="24"/>
        </w:rPr>
      </w:pPr>
      <w:r>
        <w:rPr>
          <w:rFonts w:hint="eastAsia" w:ascii="宋体" w:hAnsi="宋体" w:cs="宋体"/>
          <w:kern w:val="0"/>
          <w:sz w:val="24"/>
          <w:szCs w:val="24"/>
        </w:rPr>
        <w:t>本企业对上述声明内容的真实性负责。如有虚假，将依法承担相应责任。</w:t>
      </w:r>
    </w:p>
    <w:p>
      <w:pPr>
        <w:widowControl/>
        <w:snapToGrid w:val="0"/>
        <w:spacing w:before="75" w:after="75" w:line="400" w:lineRule="exact"/>
        <w:ind w:firstLine="480" w:firstLineChars="200"/>
        <w:rPr>
          <w:rFonts w:ascii="宋体" w:hAnsi="宋体" w:cs="宋体"/>
          <w:kern w:val="0"/>
          <w:sz w:val="24"/>
          <w:szCs w:val="24"/>
        </w:rPr>
      </w:pPr>
    </w:p>
    <w:p>
      <w:pPr>
        <w:widowControl/>
        <w:snapToGrid w:val="0"/>
        <w:spacing w:before="75" w:after="75" w:line="400" w:lineRule="exact"/>
        <w:ind w:firstLine="480" w:firstLineChars="200"/>
        <w:rPr>
          <w:rFonts w:ascii="宋体" w:hAnsi="宋体" w:cs="宋体"/>
          <w:kern w:val="0"/>
          <w:sz w:val="24"/>
          <w:szCs w:val="24"/>
        </w:rPr>
      </w:pPr>
    </w:p>
    <w:p>
      <w:pPr>
        <w:widowControl/>
        <w:snapToGrid w:val="0"/>
        <w:spacing w:before="75" w:after="75" w:line="400" w:lineRule="exact"/>
        <w:ind w:firstLine="4677" w:firstLineChars="1949"/>
        <w:rPr>
          <w:rFonts w:ascii="宋体" w:hAnsi="宋体" w:cs="宋体"/>
          <w:kern w:val="0"/>
          <w:sz w:val="24"/>
          <w:szCs w:val="24"/>
        </w:rPr>
      </w:pPr>
      <w:r>
        <w:rPr>
          <w:rFonts w:hint="eastAsia" w:ascii="宋体" w:hAnsi="宋体" w:cs="宋体"/>
          <w:kern w:val="0"/>
          <w:sz w:val="24"/>
          <w:szCs w:val="24"/>
        </w:rPr>
        <w:t>企业名称（盖章）：</w:t>
      </w:r>
    </w:p>
    <w:p>
      <w:pPr>
        <w:pStyle w:val="23"/>
        <w:snapToGrid w:val="0"/>
        <w:spacing w:before="156" w:after="156"/>
        <w:ind w:firstLine="4305" w:firstLineChars="2050"/>
        <w:rPr>
          <w:rFonts w:hAnsi="宋体" w:cs="宋体"/>
        </w:rPr>
      </w:pPr>
      <w:r>
        <w:rPr>
          <w:rFonts w:hint="eastAsia" w:hAnsi="宋体" w:cs="宋体"/>
          <w:kern w:val="0"/>
        </w:rPr>
        <w:t>日期：</w:t>
      </w:r>
    </w:p>
    <w:p>
      <w:pPr>
        <w:snapToGrid w:val="0"/>
        <w:spacing w:line="400" w:lineRule="exact"/>
        <w:ind w:firstLine="480" w:firstLineChars="200"/>
        <w:rPr>
          <w:rFonts w:ascii="宋体" w:hAnsi="宋体" w:cs="宋体"/>
          <w:sz w:val="24"/>
        </w:rPr>
      </w:pPr>
    </w:p>
    <w:p>
      <w:pPr>
        <w:snapToGrid w:val="0"/>
        <w:spacing w:line="400" w:lineRule="exact"/>
        <w:ind w:firstLine="480" w:firstLineChars="200"/>
        <w:rPr>
          <w:rFonts w:ascii="宋体" w:hAnsi="宋体" w:cs="宋体"/>
          <w:sz w:val="24"/>
        </w:rPr>
      </w:pPr>
      <w:r>
        <w:rPr>
          <w:rFonts w:hint="eastAsia" w:ascii="宋体" w:hAnsi="宋体" w:cs="宋体"/>
          <w:sz w:val="24"/>
        </w:rPr>
        <w:t>中小企业参加政府采购活动，应当出具本办法规定的《中小企业声明函》，须提供制造商属于小微企业的声明函,否则不得享受相关中小企业扶持政策。任何单位和个人不得要求供应商提供《中小企业声明函》之外的中小企业身份证明文件。</w:t>
      </w:r>
    </w:p>
    <w:p>
      <w:pPr>
        <w:tabs>
          <w:tab w:val="left" w:pos="3777"/>
          <w:tab w:val="center" w:pos="4819"/>
        </w:tabs>
        <w:snapToGrid w:val="0"/>
        <w:spacing w:line="400" w:lineRule="exact"/>
        <w:ind w:firstLine="3337" w:firstLineChars="1385"/>
        <w:rPr>
          <w:rFonts w:ascii="宋体" w:hAnsi="宋体" w:cs="宋体"/>
          <w:b/>
          <w:sz w:val="24"/>
          <w:szCs w:val="24"/>
        </w:rPr>
      </w:pPr>
    </w:p>
    <w:p>
      <w:pPr>
        <w:tabs>
          <w:tab w:val="left" w:pos="3777"/>
          <w:tab w:val="center" w:pos="4819"/>
        </w:tabs>
        <w:snapToGrid w:val="0"/>
        <w:spacing w:line="400" w:lineRule="exact"/>
        <w:ind w:firstLine="3337" w:firstLineChars="1385"/>
        <w:rPr>
          <w:rFonts w:ascii="宋体" w:hAnsi="宋体" w:cs="宋体"/>
          <w:b/>
          <w:sz w:val="24"/>
          <w:szCs w:val="24"/>
        </w:rPr>
      </w:pPr>
    </w:p>
    <w:p>
      <w:pPr>
        <w:tabs>
          <w:tab w:val="left" w:pos="3777"/>
          <w:tab w:val="center" w:pos="4819"/>
        </w:tabs>
        <w:snapToGrid w:val="0"/>
        <w:spacing w:line="400" w:lineRule="exact"/>
        <w:ind w:firstLine="3337" w:firstLineChars="1385"/>
        <w:rPr>
          <w:rFonts w:ascii="宋体" w:hAnsi="宋体" w:cs="宋体"/>
          <w:b/>
          <w:sz w:val="24"/>
          <w:szCs w:val="24"/>
        </w:rPr>
      </w:pPr>
    </w:p>
    <w:p>
      <w:pPr>
        <w:tabs>
          <w:tab w:val="left" w:pos="3777"/>
          <w:tab w:val="center" w:pos="4819"/>
        </w:tabs>
        <w:snapToGrid w:val="0"/>
        <w:spacing w:line="400" w:lineRule="exact"/>
        <w:ind w:firstLine="3337" w:firstLineChars="1385"/>
        <w:rPr>
          <w:rFonts w:ascii="宋体" w:hAnsi="宋体" w:cs="宋体"/>
          <w:b/>
          <w:sz w:val="24"/>
          <w:szCs w:val="24"/>
        </w:rPr>
      </w:pPr>
    </w:p>
    <w:p>
      <w:pPr>
        <w:tabs>
          <w:tab w:val="left" w:pos="3777"/>
          <w:tab w:val="center" w:pos="4819"/>
        </w:tabs>
        <w:snapToGrid w:val="0"/>
        <w:spacing w:line="400" w:lineRule="exact"/>
        <w:ind w:firstLine="3337" w:firstLineChars="1385"/>
        <w:rPr>
          <w:rFonts w:ascii="宋体" w:hAnsi="宋体" w:cs="宋体"/>
          <w:b/>
          <w:sz w:val="24"/>
          <w:szCs w:val="24"/>
        </w:rPr>
      </w:pPr>
    </w:p>
    <w:p>
      <w:pPr>
        <w:rPr>
          <w:rFonts w:ascii="宋体" w:hAnsi="宋体" w:cs="宋体"/>
          <w:b/>
          <w:sz w:val="24"/>
          <w:szCs w:val="24"/>
        </w:rPr>
      </w:pPr>
    </w:p>
    <w:p>
      <w:pPr>
        <w:tabs>
          <w:tab w:val="left" w:pos="3777"/>
          <w:tab w:val="center" w:pos="4819"/>
        </w:tabs>
        <w:snapToGrid w:val="0"/>
        <w:spacing w:line="400" w:lineRule="exact"/>
        <w:jc w:val="center"/>
        <w:rPr>
          <w:rFonts w:ascii="宋体" w:hAnsi="宋体" w:cs="宋体"/>
          <w:b/>
          <w:sz w:val="24"/>
          <w:szCs w:val="24"/>
        </w:rPr>
      </w:pPr>
      <w:r>
        <w:rPr>
          <w:rFonts w:hint="eastAsia" w:ascii="宋体" w:hAnsi="宋体" w:cs="宋体"/>
          <w:b/>
          <w:sz w:val="24"/>
          <w:szCs w:val="24"/>
        </w:rPr>
        <w:t>监狱企业声明函</w:t>
      </w:r>
    </w:p>
    <w:p>
      <w:pPr>
        <w:snapToGrid w:val="0"/>
        <w:spacing w:line="400" w:lineRule="exact"/>
        <w:jc w:val="center"/>
        <w:rPr>
          <w:rFonts w:ascii="宋体" w:hAnsi="宋体" w:cs="宋体"/>
          <w:sz w:val="24"/>
        </w:rPr>
      </w:pPr>
      <w:r>
        <w:rPr>
          <w:rFonts w:hint="eastAsia" w:ascii="宋体" w:hAnsi="宋体" w:cs="宋体"/>
          <w:sz w:val="24"/>
        </w:rPr>
        <w:t>（监狱企业适用）</w:t>
      </w:r>
    </w:p>
    <w:p>
      <w:pPr>
        <w:snapToGrid w:val="0"/>
        <w:spacing w:line="400" w:lineRule="exact"/>
        <w:ind w:firstLine="540" w:firstLineChars="225"/>
        <w:rPr>
          <w:rFonts w:ascii="宋体" w:hAnsi="宋体" w:cs="宋体"/>
          <w:sz w:val="24"/>
        </w:rPr>
      </w:pPr>
      <w:r>
        <w:rPr>
          <w:rFonts w:hint="eastAsia" w:ascii="宋体" w:hAnsi="宋体" w:cs="宋体"/>
          <w:sz w:val="24"/>
        </w:rPr>
        <w:t>本公司郑重声明，根据《财政部、司法部关于政府采购支持监狱企业发展有关问题的通知》（财库[2014]68号）的规定，本公司为监狱企业。</w:t>
      </w:r>
    </w:p>
    <w:p>
      <w:pPr>
        <w:snapToGrid w:val="0"/>
        <w:spacing w:line="400" w:lineRule="exact"/>
        <w:ind w:firstLine="540" w:firstLineChars="225"/>
        <w:rPr>
          <w:rFonts w:ascii="宋体" w:hAnsi="宋体" w:cs="宋体"/>
          <w:sz w:val="24"/>
        </w:rPr>
      </w:pPr>
      <w:r>
        <w:rPr>
          <w:rFonts w:hint="eastAsia" w:ascii="宋体" w:hAnsi="宋体" w:cs="宋体"/>
          <w:sz w:val="24"/>
        </w:rPr>
        <w:t>本公司参加______单位的______项目采购活动，采购活动提供本企业（填写制造的货物，由本企业承担工程、提供服务）。</w:t>
      </w:r>
    </w:p>
    <w:p>
      <w:pPr>
        <w:snapToGrid w:val="0"/>
        <w:spacing w:line="400" w:lineRule="exact"/>
        <w:ind w:firstLine="540" w:firstLineChars="225"/>
        <w:rPr>
          <w:rFonts w:ascii="宋体" w:hAnsi="宋体" w:cs="宋体"/>
          <w:sz w:val="24"/>
        </w:rPr>
      </w:pPr>
      <w:r>
        <w:rPr>
          <w:rFonts w:hint="eastAsia" w:ascii="宋体" w:hAnsi="宋体" w:cs="宋体"/>
          <w:sz w:val="24"/>
        </w:rPr>
        <w:t>本条所称货物不包括使用大型企业注册商标的货物和服务。</w:t>
      </w:r>
    </w:p>
    <w:p>
      <w:pPr>
        <w:snapToGrid w:val="0"/>
        <w:spacing w:line="400" w:lineRule="exact"/>
        <w:ind w:firstLine="540" w:firstLineChars="225"/>
        <w:rPr>
          <w:rFonts w:ascii="宋体" w:hAnsi="宋体" w:cs="宋体"/>
          <w:sz w:val="24"/>
        </w:rPr>
      </w:pPr>
      <w:r>
        <w:rPr>
          <w:rFonts w:hint="eastAsia" w:ascii="宋体" w:hAnsi="宋体" w:cs="宋体"/>
          <w:sz w:val="24"/>
        </w:rPr>
        <w:t>本公司对上述声明的真实性负责。如有虚假，将依法承担相应责任。</w:t>
      </w:r>
    </w:p>
    <w:p>
      <w:pPr>
        <w:snapToGrid w:val="0"/>
        <w:spacing w:line="400" w:lineRule="exact"/>
        <w:ind w:firstLine="4860" w:firstLineChars="2025"/>
        <w:rPr>
          <w:rFonts w:ascii="宋体" w:hAnsi="宋体" w:cs="宋体"/>
          <w:sz w:val="24"/>
        </w:rPr>
      </w:pPr>
    </w:p>
    <w:p>
      <w:pPr>
        <w:pStyle w:val="23"/>
        <w:snapToGrid w:val="0"/>
        <w:spacing w:before="156" w:after="156"/>
        <w:ind w:firstLine="480" w:firstLineChars="200"/>
        <w:rPr>
          <w:rFonts w:hAnsi="宋体" w:cs="宋体"/>
          <w:sz w:val="24"/>
          <w:szCs w:val="24"/>
        </w:rPr>
      </w:pPr>
      <w:r>
        <w:rPr>
          <w:rFonts w:hint="eastAsia" w:hAnsi="宋体" w:cs="宋体"/>
          <w:sz w:val="24"/>
          <w:szCs w:val="24"/>
        </w:rPr>
        <w:t>供应商名称(公章)：____________</w:t>
      </w:r>
      <w:r>
        <w:rPr>
          <w:rFonts w:hint="eastAsia" w:hAnsi="宋体" w:cs="宋体"/>
          <w:sz w:val="24"/>
          <w:szCs w:val="24"/>
        </w:rPr>
        <w:tab/>
      </w:r>
      <w:r>
        <w:rPr>
          <w:rFonts w:hint="eastAsia" w:hAnsi="宋体" w:cs="宋体"/>
          <w:sz w:val="24"/>
          <w:szCs w:val="24"/>
        </w:rPr>
        <w:tab/>
      </w:r>
    </w:p>
    <w:p>
      <w:pPr>
        <w:pStyle w:val="23"/>
        <w:snapToGrid w:val="0"/>
        <w:spacing w:before="156" w:after="156"/>
        <w:ind w:firstLine="480" w:firstLineChars="200"/>
        <w:rPr>
          <w:rFonts w:hAnsi="宋体" w:cs="宋体"/>
          <w:b/>
          <w:sz w:val="24"/>
          <w:szCs w:val="24"/>
          <w:lang w:val="zh-CN"/>
        </w:rPr>
      </w:pPr>
      <w:r>
        <w:rPr>
          <w:rFonts w:hint="eastAsia" w:hAnsi="宋体" w:cs="宋体"/>
          <w:sz w:val="24"/>
          <w:szCs w:val="24"/>
        </w:rPr>
        <w:t>日期：________________________</w:t>
      </w:r>
    </w:p>
    <w:p>
      <w:pPr>
        <w:pStyle w:val="23"/>
        <w:snapToGrid w:val="0"/>
        <w:spacing w:before="156" w:after="156"/>
        <w:ind w:firstLine="562" w:firstLineChars="200"/>
        <w:jc w:val="left"/>
        <w:rPr>
          <w:rFonts w:hAnsi="宋体" w:cs="宋体"/>
          <w:b/>
          <w:sz w:val="28"/>
          <w:szCs w:val="28"/>
          <w:lang w:val="zh-CN"/>
        </w:rPr>
      </w:pPr>
    </w:p>
    <w:p>
      <w:pPr>
        <w:pStyle w:val="23"/>
        <w:snapToGrid w:val="0"/>
        <w:spacing w:before="156" w:after="156"/>
        <w:ind w:firstLine="422" w:firstLineChars="200"/>
        <w:jc w:val="left"/>
        <w:rPr>
          <w:rFonts w:hAnsi="宋体" w:cs="宋体"/>
          <w:b/>
          <w:lang w:val="zh-CN"/>
        </w:rPr>
      </w:pPr>
      <w:r>
        <w:rPr>
          <w:rFonts w:hint="eastAsia" w:hAnsi="宋体" w:cs="宋体"/>
          <w:b/>
          <w:lang w:val="zh-CN"/>
        </w:rPr>
        <w:t>注：应当提供由省级以上监狱管理局、戒毒管理局（含新疆生产建设兵团）出具的属于监狱企业的证明文件。</w:t>
      </w:r>
    </w:p>
    <w:p>
      <w:pPr>
        <w:pStyle w:val="23"/>
        <w:snapToGrid w:val="0"/>
        <w:spacing w:before="156" w:after="156"/>
        <w:ind w:firstLine="422" w:firstLineChars="200"/>
        <w:jc w:val="center"/>
        <w:rPr>
          <w:rFonts w:hAnsi="宋体" w:cs="宋体"/>
          <w:b/>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center"/>
        <w:rPr>
          <w:rFonts w:hAnsi="宋体" w:cs="宋体"/>
          <w:b/>
          <w:sz w:val="28"/>
          <w:szCs w:val="28"/>
          <w:lang w:val="zh-CN"/>
        </w:rPr>
      </w:pPr>
    </w:p>
    <w:p>
      <w:pPr>
        <w:pStyle w:val="23"/>
        <w:snapToGrid w:val="0"/>
        <w:spacing w:before="156" w:after="156"/>
        <w:ind w:firstLine="562" w:firstLineChars="200"/>
        <w:jc w:val="left"/>
        <w:rPr>
          <w:rFonts w:hAnsi="宋体" w:cs="宋体"/>
          <w:b/>
          <w:sz w:val="28"/>
          <w:szCs w:val="28"/>
          <w:lang w:val="zh-CN"/>
        </w:rPr>
      </w:pPr>
    </w:p>
    <w:p>
      <w:pPr>
        <w:widowControl/>
        <w:snapToGrid w:val="0"/>
        <w:spacing w:line="400" w:lineRule="exact"/>
        <w:jc w:val="center"/>
        <w:rPr>
          <w:rFonts w:ascii="宋体" w:hAnsi="宋体" w:cs="宋体"/>
          <w:b/>
          <w:spacing w:val="6"/>
          <w:sz w:val="32"/>
          <w:szCs w:val="32"/>
        </w:rPr>
      </w:pPr>
      <w:r>
        <w:rPr>
          <w:rFonts w:hint="eastAsia" w:ascii="宋体" w:hAnsi="宋体" w:cs="宋体"/>
          <w:b/>
          <w:sz w:val="24"/>
          <w:szCs w:val="24"/>
        </w:rPr>
        <w:br w:type="page"/>
      </w:r>
      <w:r>
        <w:rPr>
          <w:rFonts w:hint="eastAsia" w:ascii="宋体" w:hAnsi="宋体" w:cs="宋体"/>
          <w:b/>
          <w:sz w:val="24"/>
          <w:szCs w:val="24"/>
        </w:rPr>
        <w:t>残疾人</w:t>
      </w:r>
      <w:bookmarkStart w:id="114" w:name="OLE_LINK14"/>
      <w:bookmarkStart w:id="115" w:name="OLE_LINK13"/>
      <w:r>
        <w:rPr>
          <w:rFonts w:hint="eastAsia" w:ascii="宋体" w:hAnsi="宋体" w:cs="宋体"/>
          <w:b/>
          <w:sz w:val="24"/>
          <w:szCs w:val="24"/>
        </w:rPr>
        <w:t>福利性单位声明函</w:t>
      </w:r>
    </w:p>
    <w:p>
      <w:pPr>
        <w:snapToGrid w:val="0"/>
        <w:spacing w:line="400" w:lineRule="exact"/>
        <w:ind w:firstLine="504" w:firstLineChars="200"/>
        <w:jc w:val="center"/>
        <w:rPr>
          <w:rFonts w:ascii="宋体" w:hAnsi="宋体" w:cs="宋体"/>
          <w:spacing w:val="6"/>
          <w:sz w:val="24"/>
          <w:szCs w:val="24"/>
        </w:rPr>
      </w:pPr>
      <w:r>
        <w:rPr>
          <w:rFonts w:hint="eastAsia" w:ascii="宋体" w:hAnsi="宋体" w:cs="宋体"/>
          <w:spacing w:val="6"/>
          <w:sz w:val="24"/>
          <w:szCs w:val="24"/>
        </w:rPr>
        <w:t>（</w:t>
      </w:r>
      <w:r>
        <w:rPr>
          <w:rFonts w:hint="eastAsia" w:ascii="宋体" w:hAnsi="宋体" w:cs="宋体"/>
          <w:sz w:val="24"/>
        </w:rPr>
        <w:t>残疾人福</w:t>
      </w:r>
      <w:bookmarkEnd w:id="114"/>
      <w:bookmarkEnd w:id="115"/>
      <w:r>
        <w:rPr>
          <w:rFonts w:hint="eastAsia" w:ascii="宋体" w:hAnsi="宋体" w:cs="宋体"/>
          <w:sz w:val="24"/>
        </w:rPr>
        <w:t>利性单位适用</w:t>
      </w:r>
      <w:r>
        <w:rPr>
          <w:rFonts w:hint="eastAsia" w:ascii="宋体" w:hAnsi="宋体" w:cs="宋体"/>
          <w:spacing w:val="6"/>
          <w:sz w:val="24"/>
          <w:szCs w:val="24"/>
        </w:rPr>
        <w:t>）</w:t>
      </w:r>
    </w:p>
    <w:p>
      <w:pPr>
        <w:snapToGrid w:val="0"/>
        <w:spacing w:line="400" w:lineRule="exact"/>
        <w:ind w:firstLine="504" w:firstLineChars="200"/>
        <w:rPr>
          <w:rFonts w:ascii="宋体" w:hAnsi="宋体" w:cs="宋体"/>
          <w:spacing w:val="6"/>
          <w:sz w:val="24"/>
          <w:szCs w:val="24"/>
        </w:rPr>
      </w:pPr>
      <w:r>
        <w:rPr>
          <w:rFonts w:hint="eastAsia" w:ascii="宋体" w:hAnsi="宋体" w:cs="宋体"/>
          <w:spacing w:val="6"/>
          <w:sz w:val="24"/>
          <w:szCs w:val="24"/>
        </w:rPr>
        <w:t>本单位郑重声明，根据《关于促进残疾人就业政府采购政策的通知》（财库</w:t>
      </w:r>
      <w:r>
        <w:rPr>
          <w:rFonts w:hint="eastAsia" w:ascii="宋体" w:hAnsi="宋体" w:cs="宋体"/>
          <w:sz w:val="24"/>
          <w:szCs w:val="24"/>
        </w:rPr>
        <w:t>〔2017〕 141</w:t>
      </w:r>
      <w:r>
        <w:rPr>
          <w:rFonts w:hint="eastAsia" w:ascii="宋体" w:hAnsi="宋体" w:cs="宋体"/>
          <w:spacing w:val="6"/>
          <w:sz w:val="24"/>
          <w:szCs w:val="24"/>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23"/>
        <w:snapToGrid w:val="0"/>
        <w:spacing w:before="156" w:after="156"/>
        <w:ind w:firstLine="504" w:firstLineChars="200"/>
        <w:jc w:val="center"/>
        <w:rPr>
          <w:rFonts w:hAnsi="宋体" w:cs="宋体"/>
          <w:spacing w:val="6"/>
          <w:sz w:val="24"/>
          <w:szCs w:val="24"/>
        </w:rPr>
      </w:pPr>
      <w:r>
        <w:rPr>
          <w:rFonts w:hint="eastAsia" w:hAnsi="宋体" w:cs="宋体"/>
          <w:spacing w:val="6"/>
          <w:sz w:val="24"/>
          <w:szCs w:val="24"/>
        </w:rPr>
        <w:t>本单位对上述声明的真实性负责。如有虚假，将依法承担相应责任。</w:t>
      </w:r>
    </w:p>
    <w:p>
      <w:pPr>
        <w:pStyle w:val="23"/>
        <w:snapToGrid w:val="0"/>
        <w:spacing w:before="156" w:after="156"/>
        <w:ind w:firstLine="444" w:firstLineChars="200"/>
        <w:jc w:val="center"/>
        <w:rPr>
          <w:rFonts w:hAnsi="宋体" w:cs="宋体"/>
          <w:spacing w:val="6"/>
        </w:rPr>
      </w:pPr>
    </w:p>
    <w:p>
      <w:pPr>
        <w:pStyle w:val="23"/>
        <w:snapToGrid w:val="0"/>
        <w:spacing w:before="156" w:after="156"/>
        <w:ind w:firstLine="480" w:firstLineChars="200"/>
        <w:rPr>
          <w:rFonts w:hAnsi="宋体" w:cs="宋体"/>
          <w:sz w:val="24"/>
          <w:szCs w:val="24"/>
        </w:rPr>
      </w:pPr>
      <w:r>
        <w:rPr>
          <w:rFonts w:hint="eastAsia" w:hAnsi="宋体" w:cs="宋体"/>
          <w:sz w:val="24"/>
          <w:szCs w:val="24"/>
        </w:rPr>
        <w:t>供应商名称(公章)：____________</w:t>
      </w:r>
      <w:r>
        <w:rPr>
          <w:rFonts w:hint="eastAsia" w:hAnsi="宋体" w:cs="宋体"/>
          <w:sz w:val="24"/>
          <w:szCs w:val="24"/>
        </w:rPr>
        <w:tab/>
      </w:r>
      <w:r>
        <w:rPr>
          <w:rFonts w:hint="eastAsia" w:hAnsi="宋体" w:cs="宋体"/>
          <w:sz w:val="24"/>
          <w:szCs w:val="24"/>
        </w:rPr>
        <w:tab/>
      </w:r>
    </w:p>
    <w:p>
      <w:pPr>
        <w:pStyle w:val="23"/>
        <w:snapToGrid w:val="0"/>
        <w:spacing w:before="156" w:after="156"/>
        <w:ind w:firstLine="480" w:firstLineChars="200"/>
        <w:rPr>
          <w:rFonts w:hAnsi="宋体" w:cs="宋体"/>
          <w:sz w:val="24"/>
          <w:szCs w:val="24"/>
        </w:rPr>
      </w:pPr>
      <w:r>
        <w:rPr>
          <w:rFonts w:hint="eastAsia" w:hAnsi="宋体" w:cs="宋体"/>
          <w:sz w:val="24"/>
          <w:szCs w:val="24"/>
        </w:rPr>
        <w:t>日期：________________________</w:t>
      </w:r>
    </w:p>
    <w:p>
      <w:pPr>
        <w:pStyle w:val="198"/>
        <w:snapToGrid w:val="0"/>
        <w:spacing w:line="400" w:lineRule="exact"/>
        <w:ind w:right="17"/>
        <w:jc w:val="right"/>
        <w:rPr>
          <w:rFonts w:ascii="宋体" w:hAnsi="宋体" w:cs="宋体"/>
          <w:sz w:val="24"/>
        </w:rPr>
      </w:pPr>
      <w:r>
        <w:rPr>
          <w:rFonts w:hint="eastAsia" w:hAnsi="宋体" w:cs="宋体"/>
        </w:rPr>
        <w:br w:type="page"/>
      </w:r>
    </w:p>
    <w:p>
      <w:pPr>
        <w:adjustRightInd w:val="0"/>
        <w:snapToGrid w:val="0"/>
        <w:spacing w:line="400" w:lineRule="exact"/>
        <w:jc w:val="left"/>
        <w:rPr>
          <w:rFonts w:ascii="宋体" w:hAnsi="宋体" w:cs="宋体"/>
          <w:b/>
          <w:sz w:val="24"/>
          <w:szCs w:val="24"/>
        </w:rPr>
      </w:pPr>
      <w:r>
        <w:rPr>
          <w:rFonts w:hint="eastAsia" w:ascii="宋体" w:hAnsi="宋体" w:cs="宋体"/>
          <w:b/>
          <w:sz w:val="24"/>
          <w:szCs w:val="24"/>
        </w:rPr>
        <w:t>13、其他证明文件或供应商认为应提交的商务文件</w:t>
      </w:r>
    </w:p>
    <w:p>
      <w:pPr>
        <w:adjustRightInd w:val="0"/>
        <w:snapToGrid w:val="0"/>
        <w:spacing w:line="400" w:lineRule="exact"/>
        <w:rPr>
          <w:rFonts w:ascii="宋体" w:hAnsi="宋体" w:cs="宋体"/>
          <w:sz w:val="24"/>
          <w:szCs w:val="24"/>
        </w:rPr>
      </w:pPr>
      <w:r>
        <w:rPr>
          <w:rFonts w:hint="eastAsia" w:ascii="宋体" w:hAnsi="宋体" w:cs="宋体"/>
          <w:sz w:val="24"/>
          <w:szCs w:val="24"/>
        </w:rPr>
        <w:t>（1）其他生产经营该产品所必需的证明文件、制造商授权书等（如有）；</w:t>
      </w:r>
    </w:p>
    <w:p>
      <w:pPr>
        <w:adjustRightInd w:val="0"/>
        <w:snapToGrid w:val="0"/>
        <w:spacing w:line="400" w:lineRule="exact"/>
        <w:rPr>
          <w:rFonts w:ascii="宋体" w:hAnsi="宋体" w:cs="宋体"/>
          <w:sz w:val="24"/>
          <w:szCs w:val="24"/>
        </w:rPr>
      </w:pPr>
      <w:r>
        <w:rPr>
          <w:rFonts w:hint="eastAsia" w:ascii="宋体" w:hAnsi="宋体" w:cs="宋体"/>
          <w:sz w:val="24"/>
          <w:szCs w:val="24"/>
        </w:rPr>
        <w:t>（2）其他</w:t>
      </w:r>
    </w:p>
    <w:p>
      <w:pPr>
        <w:widowControl/>
        <w:snapToGrid w:val="0"/>
        <w:spacing w:line="400" w:lineRule="exact"/>
        <w:jc w:val="left"/>
        <w:rPr>
          <w:rFonts w:ascii="宋体" w:hAnsi="宋体" w:cs="宋体"/>
          <w:b/>
          <w:bCs/>
          <w:sz w:val="24"/>
          <w:szCs w:val="24"/>
        </w:rPr>
      </w:pPr>
    </w:p>
    <w:p>
      <w:pPr>
        <w:snapToGrid w:val="0"/>
        <w:spacing w:line="400" w:lineRule="exact"/>
        <w:rPr>
          <w:rFonts w:ascii="宋体" w:hAnsi="宋体" w:cs="宋体"/>
          <w:sz w:val="24"/>
          <w:szCs w:val="24"/>
        </w:rPr>
      </w:pPr>
      <w:r>
        <w:rPr>
          <w:rFonts w:hint="eastAsia" w:ascii="宋体" w:hAnsi="宋体" w:cs="宋体"/>
          <w:b/>
          <w:sz w:val="24"/>
          <w:szCs w:val="24"/>
        </w:rPr>
        <w:t>14、技术偏离表格式：</w:t>
      </w:r>
    </w:p>
    <w:p>
      <w:pPr>
        <w:adjustRightInd w:val="0"/>
        <w:snapToGrid w:val="0"/>
        <w:spacing w:line="400" w:lineRule="exact"/>
        <w:jc w:val="center"/>
        <w:rPr>
          <w:rFonts w:ascii="宋体" w:hAnsi="宋体" w:cs="宋体"/>
          <w:sz w:val="24"/>
          <w:szCs w:val="24"/>
        </w:rPr>
      </w:pPr>
      <w:r>
        <w:rPr>
          <w:rFonts w:hint="eastAsia" w:ascii="宋体" w:hAnsi="宋体" w:cs="宋体"/>
          <w:b/>
          <w:bCs/>
          <w:sz w:val="24"/>
          <w:szCs w:val="24"/>
        </w:rPr>
        <w:t>技术偏离表</w:t>
      </w:r>
    </w:p>
    <w:p>
      <w:pPr>
        <w:adjustRightInd w:val="0"/>
        <w:snapToGrid w:val="0"/>
        <w:spacing w:line="400" w:lineRule="exact"/>
        <w:jc w:val="left"/>
        <w:rPr>
          <w:rFonts w:ascii="宋体" w:hAnsi="宋体" w:cs="宋体"/>
          <w:b/>
          <w:sz w:val="24"/>
          <w:szCs w:val="24"/>
        </w:rPr>
      </w:pPr>
      <w:r>
        <w:rPr>
          <w:rFonts w:hint="eastAsia" w:ascii="宋体" w:hAnsi="宋体" w:cs="宋体"/>
          <w:sz w:val="24"/>
          <w:szCs w:val="24"/>
        </w:rPr>
        <w:t>项目名称：</w:t>
      </w:r>
    </w:p>
    <w:p>
      <w:pPr>
        <w:adjustRightInd w:val="0"/>
        <w:snapToGrid w:val="0"/>
        <w:spacing w:line="400" w:lineRule="exact"/>
        <w:jc w:val="left"/>
        <w:rPr>
          <w:rFonts w:ascii="宋体" w:hAnsi="宋体" w:cs="宋体"/>
          <w:sz w:val="24"/>
          <w:szCs w:val="24"/>
          <w:u w:val="single"/>
        </w:rPr>
      </w:pPr>
      <w:r>
        <w:rPr>
          <w:rFonts w:hint="eastAsia" w:ascii="宋体" w:hAnsi="宋体" w:cs="宋体"/>
          <w:sz w:val="24"/>
          <w:szCs w:val="24"/>
        </w:rPr>
        <w:t>项目编号：</w:t>
      </w:r>
    </w:p>
    <w:p>
      <w:pPr>
        <w:adjustRightInd w:val="0"/>
        <w:snapToGrid w:val="0"/>
        <w:spacing w:line="400" w:lineRule="exact"/>
        <w:jc w:val="left"/>
        <w:rPr>
          <w:rFonts w:ascii="宋体" w:hAnsi="宋体" w:cs="宋体"/>
          <w:sz w:val="24"/>
          <w:szCs w:val="24"/>
        </w:rPr>
      </w:pPr>
      <w:r>
        <w:rPr>
          <w:rFonts w:hint="eastAsia" w:ascii="宋体" w:hAnsi="宋体" w:cs="宋体"/>
          <w:sz w:val="24"/>
          <w:szCs w:val="24"/>
        </w:rPr>
        <w:t xml:space="preserve">标包编号及内容： </w:t>
      </w:r>
    </w:p>
    <w:tbl>
      <w:tblPr>
        <w:tblStyle w:val="38"/>
        <w:tblW w:w="861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492"/>
        <w:gridCol w:w="1836"/>
        <w:gridCol w:w="1994"/>
        <w:gridCol w:w="2030"/>
        <w:gridCol w:w="126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09" w:hRule="atLeast"/>
          <w:jc w:val="center"/>
        </w:trPr>
        <w:tc>
          <w:tcPr>
            <w:tcW w:w="3328"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招标文件要求</w:t>
            </w:r>
          </w:p>
        </w:tc>
        <w:tc>
          <w:tcPr>
            <w:tcW w:w="4024"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投标文件响应</w:t>
            </w:r>
          </w:p>
        </w:tc>
        <w:tc>
          <w:tcPr>
            <w:tcW w:w="1264" w:type="dxa"/>
            <w:vMerge w:val="restart"/>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偏离情况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96"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项目</w:t>
            </w: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要求</w:t>
            </w: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名称</w:t>
            </w: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r>
              <w:rPr>
                <w:rFonts w:hint="eastAsia" w:ascii="宋体" w:hAnsi="宋体" w:cs="宋体"/>
                <w:sz w:val="24"/>
                <w:szCs w:val="24"/>
              </w:rPr>
              <w:t>性能及指标</w:t>
            </w:r>
          </w:p>
        </w:tc>
        <w:tc>
          <w:tcPr>
            <w:tcW w:w="1264" w:type="dxa"/>
            <w:vMerge w:val="continue"/>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55" w:hRule="atLeast"/>
          <w:jc w:val="center"/>
        </w:trPr>
        <w:tc>
          <w:tcPr>
            <w:tcW w:w="149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836"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99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20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c>
          <w:tcPr>
            <w:tcW w:w="126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center"/>
              <w:rPr>
                <w:rFonts w:ascii="宋体" w:hAnsi="宋体" w:cs="宋体"/>
                <w:sz w:val="24"/>
                <w:szCs w:val="24"/>
              </w:rPr>
            </w:pPr>
          </w:p>
        </w:tc>
      </w:tr>
    </w:tbl>
    <w:p>
      <w:pPr>
        <w:adjustRightInd w:val="0"/>
        <w:snapToGrid w:val="0"/>
        <w:spacing w:line="400" w:lineRule="exact"/>
        <w:rPr>
          <w:rFonts w:ascii="宋体" w:hAnsi="宋体" w:cs="宋体"/>
          <w:b/>
          <w:bCs/>
          <w:sz w:val="24"/>
          <w:szCs w:val="24"/>
        </w:rPr>
      </w:pPr>
      <w:r>
        <w:rPr>
          <w:rFonts w:hint="eastAsia" w:ascii="宋体" w:hAnsi="宋体" w:cs="宋体"/>
          <w:b/>
          <w:bCs/>
          <w:sz w:val="24"/>
          <w:szCs w:val="24"/>
        </w:rPr>
        <w:t>注：1、投标人应根据投标设备的性能指标、对照招标文件要求在“偏离情况”栏注明“正偏离”、“负偏离”或“无偏离”。</w:t>
      </w:r>
    </w:p>
    <w:p>
      <w:pPr>
        <w:adjustRightInd w:val="0"/>
        <w:snapToGrid w:val="0"/>
        <w:spacing w:line="400" w:lineRule="exact"/>
        <w:rPr>
          <w:rFonts w:ascii="宋体" w:hAnsi="宋体" w:cs="宋体"/>
          <w:b/>
          <w:bCs/>
          <w:sz w:val="24"/>
          <w:szCs w:val="24"/>
        </w:rPr>
      </w:pPr>
      <w:r>
        <w:rPr>
          <w:rFonts w:hint="eastAsia" w:ascii="宋体" w:hAnsi="宋体" w:cs="宋体"/>
          <w:b/>
          <w:bCs/>
          <w:sz w:val="24"/>
          <w:szCs w:val="24"/>
        </w:rPr>
        <w:t>2、每项技术参数须针对项目需求提供相关佐证材料（包括但不限于检测报告、技术规格书等）。</w:t>
      </w:r>
    </w:p>
    <w:p>
      <w:pPr>
        <w:adjustRightInd w:val="0"/>
        <w:snapToGrid w:val="0"/>
        <w:spacing w:line="400" w:lineRule="exact"/>
        <w:rPr>
          <w:rFonts w:ascii="宋体" w:hAnsi="宋体" w:cs="宋体"/>
          <w:b/>
          <w:bCs/>
          <w:spacing w:val="20"/>
          <w:sz w:val="24"/>
          <w:szCs w:val="24"/>
        </w:rPr>
      </w:pPr>
      <w:r>
        <w:rPr>
          <w:rFonts w:hint="eastAsia" w:ascii="宋体" w:hAnsi="宋体" w:cs="宋体"/>
          <w:b/>
          <w:bCs/>
          <w:sz w:val="24"/>
          <w:szCs w:val="24"/>
        </w:rPr>
        <w:t>3、投标人提供投标设备的性能指标与实际不符的且产生偏离的，评标委员会有权认定该投标文件为无效响应。</w:t>
      </w:r>
    </w:p>
    <w:p>
      <w:pPr>
        <w:adjustRightInd w:val="0"/>
        <w:snapToGrid w:val="0"/>
        <w:spacing w:line="400" w:lineRule="exact"/>
        <w:ind w:right="-817" w:rightChars="-389"/>
        <w:rPr>
          <w:rFonts w:ascii="宋体" w:hAnsi="宋体" w:cs="宋体"/>
          <w:sz w:val="24"/>
          <w:szCs w:val="24"/>
        </w:rPr>
      </w:pP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投标人名称（盖章）：</w:t>
      </w:r>
    </w:p>
    <w:p>
      <w:pPr>
        <w:adjustRightInd w:val="0"/>
        <w:snapToGrid w:val="0"/>
        <w:spacing w:line="400" w:lineRule="exact"/>
        <w:ind w:left="-4" w:leftChars="-2" w:right="-817" w:rightChars="-389" w:firstLine="2"/>
        <w:rPr>
          <w:rFonts w:ascii="宋体" w:hAnsi="宋体" w:cs="宋体"/>
          <w:sz w:val="24"/>
          <w:szCs w:val="24"/>
        </w:rPr>
      </w:pPr>
      <w:r>
        <w:rPr>
          <w:rFonts w:hint="eastAsia" w:ascii="宋体" w:hAnsi="宋体" w:cs="宋体"/>
          <w:sz w:val="24"/>
          <w:szCs w:val="24"/>
        </w:rPr>
        <w:t>法定代表人（负责人、自然人）或授权代表（签字）：</w:t>
      </w:r>
    </w:p>
    <w:p>
      <w:pPr>
        <w:adjustRightInd w:val="0"/>
        <w:snapToGrid w:val="0"/>
        <w:spacing w:line="400" w:lineRule="exact"/>
        <w:ind w:left="-2" w:leftChars="-1" w:right="-817" w:rightChars="-389" w:firstLine="2"/>
        <w:jc w:val="left"/>
        <w:rPr>
          <w:rFonts w:ascii="宋体" w:hAnsi="宋体" w:cs="宋体"/>
          <w:sz w:val="24"/>
          <w:szCs w:val="24"/>
        </w:rPr>
      </w:pPr>
      <w:r>
        <w:rPr>
          <w:rFonts w:hint="eastAsia" w:ascii="宋体" w:hAnsi="宋体" w:cs="宋体"/>
          <w:sz w:val="24"/>
          <w:szCs w:val="24"/>
        </w:rPr>
        <w:t>日期：    年   月   日</w:t>
      </w:r>
    </w:p>
    <w:p>
      <w:pPr>
        <w:pStyle w:val="2"/>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bCs/>
          <w:sz w:val="24"/>
          <w:szCs w:val="24"/>
        </w:rPr>
        <w:t>15、</w:t>
      </w:r>
      <w:r>
        <w:rPr>
          <w:rFonts w:hint="eastAsia" w:ascii="宋体" w:hAnsi="宋体" w:cs="宋体"/>
          <w:b/>
          <w:sz w:val="24"/>
          <w:szCs w:val="24"/>
        </w:rPr>
        <w:t>产品详细技术规格书</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货物说明包括：</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(1)产品技术参数（指标）、功能等性能描述；（产品技术参数（指标）、功能等性能描述内容必须为可编辑Word版本）</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(2)产品的规范资料、外观彩图及尺寸等描述（要求提供复印件）；</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(3)配置先进合理，技术成熟，安全可靠；</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(4)货物优势介绍；</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(5)产品耐用性及使用功能安全性、采用新技术、新工艺或选用新材料情况；</w:t>
      </w:r>
    </w:p>
    <w:p>
      <w:pPr>
        <w:snapToGrid w:val="0"/>
        <w:spacing w:line="400" w:lineRule="exact"/>
        <w:jc w:val="left"/>
        <w:rPr>
          <w:rFonts w:ascii="宋体" w:hAnsi="宋体" w:cs="宋体"/>
          <w:kern w:val="0"/>
          <w:sz w:val="24"/>
          <w:szCs w:val="24"/>
        </w:rPr>
      </w:pPr>
      <w:r>
        <w:rPr>
          <w:rFonts w:hint="eastAsia" w:ascii="宋体" w:hAnsi="宋体" w:cs="宋体"/>
          <w:kern w:val="0"/>
          <w:sz w:val="24"/>
          <w:szCs w:val="24"/>
        </w:rPr>
        <w:t>(6)投标人认为有必要提供的其他说明材料。</w:t>
      </w:r>
    </w:p>
    <w:p>
      <w:pPr>
        <w:pStyle w:val="2"/>
        <w:rPr>
          <w:rFonts w:ascii="宋体" w:hAnsi="宋体" w:cs="宋体"/>
          <w:b/>
          <w:bCs/>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sz w:val="24"/>
          <w:szCs w:val="24"/>
        </w:rPr>
        <w:t>16、与产品相关的由国家认可的检测机构出具的检测报告（如有）。</w:t>
      </w:r>
    </w:p>
    <w:p>
      <w:pPr>
        <w:pStyle w:val="2"/>
        <w:rPr>
          <w:rFonts w:ascii="宋体" w:hAnsi="宋体" w:cs="宋体"/>
          <w:b/>
          <w:bCs/>
          <w:sz w:val="24"/>
          <w:szCs w:val="24"/>
        </w:rPr>
      </w:pPr>
    </w:p>
    <w:p>
      <w:pPr>
        <w:pStyle w:val="2"/>
        <w:rPr>
          <w:rFonts w:ascii="宋体" w:hAnsi="宋体" w:cs="宋体"/>
          <w:b/>
          <w:bCs/>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sz w:val="24"/>
          <w:szCs w:val="24"/>
        </w:rPr>
        <w:t>17、针对项目的详细组织实施方案：包括（但不限于）项目人员安排、项目供货方案、质量管控方案、测试（调试）方案等内容（格式自拟）；</w:t>
      </w:r>
    </w:p>
    <w:p>
      <w:pPr>
        <w:adjustRightInd w:val="0"/>
        <w:snapToGrid w:val="0"/>
        <w:spacing w:line="500" w:lineRule="exact"/>
        <w:ind w:firstLine="470" w:firstLineChars="196"/>
        <w:jc w:val="left"/>
        <w:rPr>
          <w:rFonts w:asciiTheme="majorEastAsia" w:hAnsiTheme="majorEastAsia" w:eastAsiaTheme="majorEastAsia" w:cstheme="majorEastAsia"/>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sz w:val="24"/>
          <w:szCs w:val="24"/>
        </w:rPr>
        <w:t>18、针对本项目的详细技术培训方案：包括（但不限于）</w:t>
      </w:r>
      <w:r>
        <w:rPr>
          <w:rFonts w:ascii="宋体" w:hAnsi="宋体" w:cs="宋体"/>
          <w:b/>
          <w:sz w:val="24"/>
          <w:szCs w:val="24"/>
        </w:rPr>
        <w:t>培训内容</w:t>
      </w:r>
      <w:r>
        <w:rPr>
          <w:rFonts w:hint="eastAsia" w:ascii="宋体" w:hAnsi="宋体" w:cs="宋体"/>
          <w:b/>
          <w:sz w:val="24"/>
          <w:szCs w:val="24"/>
        </w:rPr>
        <w:t>、</w:t>
      </w:r>
      <w:r>
        <w:rPr>
          <w:rFonts w:ascii="宋体" w:hAnsi="宋体" w:cs="宋体"/>
          <w:b/>
          <w:sz w:val="24"/>
          <w:szCs w:val="24"/>
        </w:rPr>
        <w:t>培训方式</w:t>
      </w:r>
      <w:r>
        <w:rPr>
          <w:rFonts w:hint="eastAsia" w:ascii="宋体" w:hAnsi="宋体" w:cs="宋体"/>
          <w:b/>
          <w:sz w:val="24"/>
          <w:szCs w:val="24"/>
        </w:rPr>
        <w:t>、</w:t>
      </w:r>
      <w:r>
        <w:rPr>
          <w:rFonts w:ascii="宋体" w:hAnsi="宋体" w:cs="宋体"/>
          <w:b/>
          <w:sz w:val="24"/>
          <w:szCs w:val="24"/>
        </w:rPr>
        <w:t>培训计划</w:t>
      </w:r>
      <w:r>
        <w:rPr>
          <w:rFonts w:hint="eastAsia" w:ascii="宋体" w:hAnsi="宋体" w:cs="宋体"/>
          <w:b/>
          <w:sz w:val="24"/>
          <w:szCs w:val="24"/>
        </w:rPr>
        <w:t>、</w:t>
      </w:r>
      <w:r>
        <w:rPr>
          <w:rFonts w:ascii="宋体" w:hAnsi="宋体" w:cs="宋体"/>
          <w:b/>
          <w:sz w:val="24"/>
          <w:szCs w:val="24"/>
        </w:rPr>
        <w:t>培训团队人员配置等</w:t>
      </w:r>
      <w:r>
        <w:rPr>
          <w:rFonts w:hint="eastAsia" w:ascii="宋体" w:hAnsi="宋体" w:cs="宋体"/>
          <w:b/>
          <w:sz w:val="24"/>
          <w:szCs w:val="24"/>
        </w:rPr>
        <w:t>内容。</w:t>
      </w: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sz w:val="24"/>
          <w:szCs w:val="24"/>
        </w:rPr>
        <w:t>19、针对本项目的售后服务方案：包括（但不限于）售后</w:t>
      </w:r>
      <w:r>
        <w:rPr>
          <w:rFonts w:ascii="宋体" w:hAnsi="宋体" w:cs="宋体"/>
          <w:b/>
          <w:sz w:val="24"/>
          <w:szCs w:val="24"/>
        </w:rPr>
        <w:t>服务承诺</w:t>
      </w:r>
      <w:r>
        <w:rPr>
          <w:rFonts w:hint="eastAsia" w:ascii="宋体" w:hAnsi="宋体" w:cs="宋体"/>
          <w:b/>
          <w:sz w:val="24"/>
          <w:szCs w:val="24"/>
        </w:rPr>
        <w:t>、</w:t>
      </w:r>
      <w:r>
        <w:rPr>
          <w:rFonts w:ascii="宋体" w:hAnsi="宋体" w:cs="宋体"/>
          <w:b/>
          <w:sz w:val="24"/>
          <w:szCs w:val="24"/>
        </w:rPr>
        <w:t>服务响应方案</w:t>
      </w:r>
      <w:r>
        <w:rPr>
          <w:rFonts w:hint="eastAsia" w:ascii="宋体" w:hAnsi="宋体" w:cs="宋体"/>
          <w:b/>
          <w:sz w:val="24"/>
          <w:szCs w:val="24"/>
        </w:rPr>
        <w:t>、</w:t>
      </w:r>
      <w:r>
        <w:rPr>
          <w:rFonts w:ascii="宋体" w:hAnsi="宋体" w:cs="宋体"/>
          <w:b/>
          <w:sz w:val="24"/>
          <w:szCs w:val="24"/>
        </w:rPr>
        <w:t>备件（易耗品）供应方案</w:t>
      </w:r>
      <w:r>
        <w:rPr>
          <w:rFonts w:hint="eastAsia" w:ascii="宋体" w:hAnsi="宋体" w:cs="宋体"/>
          <w:b/>
          <w:sz w:val="24"/>
          <w:szCs w:val="24"/>
        </w:rPr>
        <w:t>（含备件价格）、</w:t>
      </w:r>
      <w:r>
        <w:rPr>
          <w:rFonts w:ascii="宋体" w:hAnsi="宋体" w:cs="宋体"/>
          <w:b/>
          <w:sz w:val="24"/>
          <w:szCs w:val="24"/>
        </w:rPr>
        <w:t>服务人员配备</w:t>
      </w:r>
      <w:r>
        <w:rPr>
          <w:rFonts w:hint="eastAsia" w:ascii="宋体" w:hAnsi="宋体" w:cs="宋体"/>
          <w:b/>
          <w:sz w:val="24"/>
          <w:szCs w:val="24"/>
        </w:rPr>
        <w:t>、</w:t>
      </w:r>
      <w:r>
        <w:rPr>
          <w:rFonts w:ascii="宋体" w:hAnsi="宋体" w:cs="宋体"/>
          <w:b/>
          <w:sz w:val="24"/>
          <w:szCs w:val="24"/>
        </w:rPr>
        <w:t>故障响应</w:t>
      </w:r>
      <w:r>
        <w:rPr>
          <w:rFonts w:hint="eastAsia" w:ascii="宋体" w:hAnsi="宋体" w:cs="宋体"/>
          <w:b/>
          <w:sz w:val="24"/>
          <w:szCs w:val="24"/>
        </w:rPr>
        <w:t>措施、</w:t>
      </w:r>
      <w:r>
        <w:rPr>
          <w:rFonts w:ascii="宋体" w:hAnsi="宋体" w:cs="宋体"/>
          <w:b/>
          <w:sz w:val="24"/>
          <w:szCs w:val="24"/>
        </w:rPr>
        <w:t>质保外服务措施等</w:t>
      </w:r>
      <w:r>
        <w:rPr>
          <w:rFonts w:hint="eastAsia" w:ascii="宋体" w:hAnsi="宋体" w:cs="宋体"/>
          <w:b/>
          <w:sz w:val="24"/>
          <w:szCs w:val="24"/>
        </w:rPr>
        <w:t>内容。</w:t>
      </w:r>
    </w:p>
    <w:p>
      <w:pPr>
        <w:widowControl/>
        <w:snapToGrid w:val="0"/>
        <w:spacing w:line="400" w:lineRule="exact"/>
        <w:jc w:val="center"/>
        <w:rPr>
          <w:rFonts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售后服务附表</w:t>
      </w:r>
    </w:p>
    <w:p>
      <w:pPr>
        <w:snapToGrid w:val="0"/>
        <w:spacing w:line="400" w:lineRule="exact"/>
        <w:jc w:val="left"/>
        <w:rPr>
          <w:rFonts w:asciiTheme="minorEastAsia" w:hAnsiTheme="minorEastAsia" w:eastAsiaTheme="minorEastAsia" w:cstheme="minorEastAsia"/>
          <w:spacing w:val="1"/>
          <w:kern w:val="0"/>
          <w:sz w:val="24"/>
          <w:szCs w:val="24"/>
          <w:u w:val="single"/>
        </w:rPr>
      </w:pPr>
      <w:r>
        <w:rPr>
          <w:rFonts w:hint="eastAsia" w:asciiTheme="minorEastAsia" w:hAnsiTheme="minorEastAsia" w:eastAsiaTheme="minorEastAsia" w:cstheme="minorEastAsia"/>
          <w:spacing w:val="1"/>
          <w:kern w:val="0"/>
          <w:sz w:val="24"/>
          <w:szCs w:val="24"/>
        </w:rPr>
        <w:t>项目名称：</w:t>
      </w:r>
    </w:p>
    <w:p>
      <w:pPr>
        <w:snapToGrid w:val="0"/>
        <w:spacing w:line="400" w:lineRule="exact"/>
        <w:jc w:val="left"/>
        <w:rPr>
          <w:rFonts w:asciiTheme="minorEastAsia" w:hAnsiTheme="minorEastAsia" w:eastAsiaTheme="minorEastAsia" w:cstheme="minorEastAsia"/>
          <w:spacing w:val="1"/>
          <w:kern w:val="0"/>
          <w:sz w:val="24"/>
          <w:szCs w:val="24"/>
          <w:u w:val="single"/>
        </w:rPr>
      </w:pPr>
      <w:r>
        <w:rPr>
          <w:rFonts w:hint="eastAsia" w:asciiTheme="minorEastAsia" w:hAnsiTheme="minorEastAsia" w:eastAsiaTheme="minorEastAsia" w:cstheme="minorEastAsia"/>
          <w:spacing w:val="1"/>
          <w:kern w:val="0"/>
          <w:sz w:val="24"/>
          <w:szCs w:val="24"/>
        </w:rPr>
        <w:t>标包编号：</w:t>
      </w:r>
    </w:p>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 xml:space="preserve">标包编号及内容： </w:t>
      </w:r>
    </w:p>
    <w:tbl>
      <w:tblPr>
        <w:tblStyle w:val="38"/>
        <w:tblW w:w="8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8"/>
        <w:gridCol w:w="1046"/>
        <w:gridCol w:w="2151"/>
        <w:gridCol w:w="1253"/>
        <w:gridCol w:w="22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服务网点名称</w:t>
            </w:r>
          </w:p>
        </w:tc>
        <w:tc>
          <w:tcPr>
            <w:tcW w:w="4450" w:type="dxa"/>
            <w:gridSpan w:val="3"/>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地址</w:t>
            </w:r>
          </w:p>
        </w:tc>
        <w:tc>
          <w:tcPr>
            <w:tcW w:w="4450" w:type="dxa"/>
            <w:gridSpan w:val="3"/>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6"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注册资本金</w:t>
            </w:r>
          </w:p>
        </w:tc>
        <w:tc>
          <w:tcPr>
            <w:tcW w:w="1046"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151" w:type="dxa"/>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其中：投标人出资比例</w:t>
            </w:r>
          </w:p>
        </w:tc>
        <w:tc>
          <w:tcPr>
            <w:tcW w:w="1253"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提供相关证明材料（如：营业执照或租房合同等）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员工总人数</w:t>
            </w:r>
          </w:p>
        </w:tc>
        <w:tc>
          <w:tcPr>
            <w:tcW w:w="1046"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151" w:type="dxa"/>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其中：技术人员数</w:t>
            </w:r>
          </w:p>
        </w:tc>
        <w:tc>
          <w:tcPr>
            <w:tcW w:w="1253"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经营期限</w:t>
            </w:r>
          </w:p>
        </w:tc>
        <w:tc>
          <w:tcPr>
            <w:tcW w:w="4450" w:type="dxa"/>
            <w:gridSpan w:val="3"/>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售后服务协议</w:t>
            </w:r>
          </w:p>
        </w:tc>
        <w:tc>
          <w:tcPr>
            <w:tcW w:w="4450" w:type="dxa"/>
            <w:gridSpan w:val="3"/>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提供相关</w:t>
            </w:r>
          </w:p>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售后服务内容</w:t>
            </w:r>
          </w:p>
        </w:tc>
        <w:tc>
          <w:tcPr>
            <w:tcW w:w="4450" w:type="dxa"/>
            <w:gridSpan w:val="3"/>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此部分内容做附件进行详细说明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服务承诺</w:t>
            </w:r>
          </w:p>
        </w:tc>
        <w:tc>
          <w:tcPr>
            <w:tcW w:w="4450" w:type="dxa"/>
            <w:gridSpan w:val="3"/>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业务咨询电话</w:t>
            </w:r>
          </w:p>
        </w:tc>
        <w:tc>
          <w:tcPr>
            <w:tcW w:w="1046"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151" w:type="dxa"/>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传真</w:t>
            </w:r>
          </w:p>
        </w:tc>
        <w:tc>
          <w:tcPr>
            <w:tcW w:w="1253"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restart"/>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附人员身份证等相关证件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1658" w:type="dxa"/>
            <w:vAlign w:val="center"/>
          </w:tcPr>
          <w:p>
            <w:pPr>
              <w:snapToGrid w:val="0"/>
              <w:spacing w:line="400" w:lineRule="exact"/>
              <w:jc w:val="left"/>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负责人</w:t>
            </w:r>
          </w:p>
        </w:tc>
        <w:tc>
          <w:tcPr>
            <w:tcW w:w="1046"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151" w:type="dxa"/>
            <w:vAlign w:val="center"/>
          </w:tcPr>
          <w:p>
            <w:pPr>
              <w:snapToGrid w:val="0"/>
              <w:spacing w:line="400" w:lineRule="exact"/>
              <w:jc w:val="center"/>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联系电话</w:t>
            </w:r>
          </w:p>
        </w:tc>
        <w:tc>
          <w:tcPr>
            <w:tcW w:w="1253" w:type="dxa"/>
            <w:vAlign w:val="center"/>
          </w:tcPr>
          <w:p>
            <w:pPr>
              <w:snapToGrid w:val="0"/>
              <w:spacing w:line="400" w:lineRule="exact"/>
              <w:jc w:val="center"/>
              <w:rPr>
                <w:rFonts w:asciiTheme="minorEastAsia" w:hAnsiTheme="minorEastAsia" w:eastAsiaTheme="minorEastAsia" w:cstheme="minorEastAsia"/>
                <w:kern w:val="0"/>
                <w:sz w:val="24"/>
                <w:szCs w:val="24"/>
              </w:rPr>
            </w:pPr>
          </w:p>
        </w:tc>
        <w:tc>
          <w:tcPr>
            <w:tcW w:w="2242" w:type="dxa"/>
            <w:vMerge w:val="continue"/>
            <w:vAlign w:val="center"/>
          </w:tcPr>
          <w:p>
            <w:pPr>
              <w:snapToGrid w:val="0"/>
              <w:spacing w:line="400" w:lineRule="exact"/>
              <w:jc w:val="center"/>
              <w:rPr>
                <w:rFonts w:asciiTheme="minorEastAsia" w:hAnsiTheme="minorEastAsia" w:eastAsiaTheme="minorEastAsia" w:cstheme="minorEastAsia"/>
                <w:kern w:val="0"/>
                <w:sz w:val="24"/>
                <w:szCs w:val="24"/>
              </w:rPr>
            </w:pPr>
          </w:p>
        </w:tc>
      </w:tr>
    </w:tbl>
    <w:p>
      <w:pPr>
        <w:snapToGrid w:val="0"/>
        <w:spacing w:line="400" w:lineRule="exact"/>
        <w:jc w:val="left"/>
        <w:rPr>
          <w:rFonts w:asciiTheme="minorEastAsia" w:hAnsiTheme="minorEastAsia" w:eastAsiaTheme="minorEastAsia" w:cstheme="minorEastAsia"/>
          <w:kern w:val="0"/>
          <w:sz w:val="24"/>
          <w:szCs w:val="24"/>
        </w:rPr>
      </w:pPr>
    </w:p>
    <w:p>
      <w:pPr>
        <w:pStyle w:val="196"/>
        <w:adjustRightInd w:val="0"/>
        <w:snapToGrid w:val="0"/>
        <w:spacing w:line="400" w:lineRule="exact"/>
        <w:ind w:left="1747" w:firstLine="470"/>
        <w:rPr>
          <w:rFonts w:ascii="宋体" w:hAnsi="宋体" w:cs="宋体"/>
          <w:sz w:val="24"/>
          <w:szCs w:val="24"/>
        </w:rPr>
      </w:pPr>
      <w:r>
        <w:rPr>
          <w:rFonts w:hint="eastAsia" w:ascii="宋体" w:hAnsi="宋体" w:cs="宋体"/>
          <w:sz w:val="24"/>
          <w:szCs w:val="24"/>
        </w:rPr>
        <w:t>投标人（盖单位章）：</w:t>
      </w:r>
    </w:p>
    <w:p>
      <w:pPr>
        <w:snapToGrid w:val="0"/>
        <w:spacing w:line="400" w:lineRule="exact"/>
        <w:jc w:val="left"/>
        <w:rPr>
          <w:rFonts w:asciiTheme="minorEastAsia" w:hAnsiTheme="minorEastAsia" w:eastAsiaTheme="minorEastAsia" w:cstheme="minorEastAsia"/>
          <w:sz w:val="24"/>
          <w:szCs w:val="24"/>
        </w:rPr>
      </w:pPr>
      <w:r>
        <w:rPr>
          <w:rFonts w:hint="eastAsia" w:ascii="宋体" w:hAnsi="宋体" w:cs="宋体"/>
          <w:sz w:val="24"/>
          <w:szCs w:val="24"/>
        </w:rPr>
        <w:t>法定代表人或其委托代理人（签字或盖章）：</w:t>
      </w:r>
    </w:p>
    <w:p>
      <w:pPr>
        <w:snapToGrid w:val="0"/>
        <w:spacing w:line="400" w:lineRule="exact"/>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年    月    日</w:t>
      </w:r>
    </w:p>
    <w:p>
      <w:pPr>
        <w:widowControl/>
        <w:snapToGrid w:val="0"/>
        <w:spacing w:line="400" w:lineRule="exact"/>
        <w:jc w:val="left"/>
        <w:rPr>
          <w:rFonts w:ascii="宋体" w:hAnsi="宋体" w:cs="宋体"/>
          <w:b/>
          <w:sz w:val="24"/>
          <w:szCs w:val="24"/>
        </w:rPr>
      </w:pPr>
    </w:p>
    <w:p>
      <w:pPr>
        <w:pStyle w:val="2"/>
        <w:rPr>
          <w:rFonts w:ascii="宋体" w:hAnsi="宋体" w:cs="宋体"/>
          <w:b/>
          <w:sz w:val="24"/>
          <w:szCs w:val="24"/>
        </w:rPr>
      </w:pPr>
    </w:p>
    <w:p>
      <w:pPr>
        <w:pStyle w:val="2"/>
        <w:rPr>
          <w:rFonts w:ascii="宋体" w:hAnsi="宋体" w:cs="宋体"/>
          <w:b/>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sz w:val="24"/>
          <w:szCs w:val="24"/>
        </w:rPr>
        <w:t>20、其他优惠条件（如有）：投标人承诺给予采购人的各种优惠条件，包括备品备件、专用耗材等；</w:t>
      </w:r>
    </w:p>
    <w:p>
      <w:pPr>
        <w:widowControl/>
        <w:snapToGrid w:val="0"/>
        <w:spacing w:line="400" w:lineRule="exact"/>
        <w:jc w:val="left"/>
        <w:rPr>
          <w:rFonts w:ascii="宋体" w:hAnsi="宋体" w:cs="宋体"/>
          <w:b/>
          <w:sz w:val="24"/>
          <w:szCs w:val="24"/>
        </w:rPr>
      </w:pPr>
    </w:p>
    <w:p>
      <w:pPr>
        <w:widowControl/>
        <w:snapToGrid w:val="0"/>
        <w:spacing w:line="400" w:lineRule="exact"/>
        <w:jc w:val="left"/>
        <w:rPr>
          <w:rFonts w:ascii="宋体" w:hAnsi="宋体" w:cs="宋体"/>
          <w:b/>
          <w:sz w:val="24"/>
          <w:szCs w:val="24"/>
        </w:rPr>
      </w:pPr>
      <w:r>
        <w:rPr>
          <w:rFonts w:hint="eastAsia" w:ascii="宋体" w:hAnsi="宋体" w:cs="宋体"/>
          <w:b/>
          <w:sz w:val="24"/>
          <w:szCs w:val="24"/>
        </w:rPr>
        <w:t>21、投标人需要提供的其他文件或资料（如有）。</w:t>
      </w: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pStyle w:val="2"/>
        <w:rPr>
          <w:rFonts w:ascii="宋体" w:hAnsi="宋体" w:cs="宋体"/>
          <w:b/>
          <w:bCs/>
          <w:sz w:val="24"/>
          <w:szCs w:val="24"/>
        </w:rPr>
      </w:pPr>
    </w:p>
    <w:p>
      <w:pPr>
        <w:widowControl/>
        <w:snapToGrid w:val="0"/>
        <w:spacing w:line="400" w:lineRule="exact"/>
        <w:jc w:val="left"/>
        <w:rPr>
          <w:rFonts w:ascii="宋体" w:hAnsi="宋体" w:cs="宋体"/>
          <w:b/>
          <w:bCs/>
          <w:sz w:val="24"/>
          <w:szCs w:val="24"/>
        </w:rPr>
      </w:pPr>
    </w:p>
    <w:p>
      <w:pPr>
        <w:adjustRightInd w:val="0"/>
        <w:snapToGrid w:val="0"/>
        <w:spacing w:line="400" w:lineRule="exact"/>
        <w:jc w:val="left"/>
        <w:rPr>
          <w:rFonts w:ascii="宋体" w:hAnsi="宋体" w:cs="宋体"/>
          <w:b/>
          <w:sz w:val="24"/>
          <w:szCs w:val="24"/>
        </w:rPr>
      </w:pPr>
    </w:p>
    <w:p>
      <w:pPr>
        <w:pStyle w:val="18"/>
        <w:spacing w:line="480" w:lineRule="exact"/>
        <w:rPr>
          <w:rFonts w:ascii="仿宋" w:hAnsi="仿宋" w:eastAsia="仿宋" w:cs="仿宋"/>
          <w:b/>
          <w:bCs/>
          <w:kern w:val="0"/>
          <w:sz w:val="24"/>
          <w:szCs w:val="24"/>
        </w:rPr>
      </w:pPr>
    </w:p>
    <w:p>
      <w:pPr>
        <w:pStyle w:val="18"/>
        <w:spacing w:line="480" w:lineRule="exact"/>
        <w:jc w:val="center"/>
        <w:rPr>
          <w:rFonts w:ascii="仿宋" w:hAnsi="仿宋" w:eastAsia="仿宋" w:cs="仿宋"/>
          <w:b/>
          <w:bCs/>
          <w:kern w:val="0"/>
          <w:sz w:val="24"/>
          <w:szCs w:val="24"/>
        </w:rPr>
      </w:pPr>
    </w:p>
    <w:p>
      <w:pPr>
        <w:pStyle w:val="37"/>
        <w:ind w:firstLine="0" w:firstLineChars="0"/>
        <w:rPr>
          <w:sz w:val="24"/>
          <w:szCs w:val="22"/>
        </w:rPr>
      </w:pPr>
    </w:p>
    <w:p>
      <w:pPr>
        <w:pStyle w:val="37"/>
        <w:ind w:firstLine="0" w:firstLineChars="0"/>
        <w:rPr>
          <w:sz w:val="24"/>
          <w:szCs w:val="22"/>
        </w:rPr>
      </w:pPr>
    </w:p>
    <w:p>
      <w:pPr>
        <w:pStyle w:val="37"/>
        <w:ind w:firstLine="0" w:firstLineChars="0"/>
        <w:rPr>
          <w:sz w:val="24"/>
          <w:szCs w:val="22"/>
        </w:rPr>
      </w:pPr>
    </w:p>
    <w:p>
      <w:pPr>
        <w:pStyle w:val="37"/>
        <w:ind w:firstLine="0" w:firstLineChars="0"/>
        <w:rPr>
          <w:sz w:val="24"/>
          <w:szCs w:val="22"/>
        </w:rPr>
      </w:pPr>
    </w:p>
    <w:p>
      <w:pPr>
        <w:pStyle w:val="37"/>
        <w:ind w:firstLine="0" w:firstLineChars="0"/>
        <w:rPr>
          <w:sz w:val="24"/>
          <w:szCs w:val="22"/>
        </w:rPr>
      </w:pPr>
      <w:r>
        <w:rPr>
          <w:rFonts w:hint="eastAsia"/>
          <w:sz w:val="24"/>
          <w:szCs w:val="22"/>
        </w:rPr>
        <w:t>附：</w:t>
      </w:r>
    </w:p>
    <w:p>
      <w:pPr>
        <w:pStyle w:val="37"/>
        <w:ind w:firstLine="0" w:firstLineChars="0"/>
        <w:jc w:val="center"/>
        <w:rPr>
          <w:sz w:val="24"/>
          <w:szCs w:val="22"/>
        </w:rPr>
      </w:pPr>
      <w:r>
        <w:rPr>
          <w:rFonts w:hint="eastAsia"/>
          <w:sz w:val="24"/>
          <w:szCs w:val="22"/>
        </w:rPr>
        <w:t>质疑函范本</w:t>
      </w:r>
    </w:p>
    <w:p>
      <w:pPr>
        <w:pStyle w:val="37"/>
        <w:ind w:firstLine="480"/>
        <w:rPr>
          <w:sz w:val="24"/>
          <w:szCs w:val="22"/>
        </w:rPr>
      </w:pPr>
      <w:r>
        <w:rPr>
          <w:rFonts w:hint="eastAsia"/>
          <w:sz w:val="24"/>
          <w:szCs w:val="22"/>
        </w:rPr>
        <w:t>一、质疑供应商基本信息</w:t>
      </w:r>
    </w:p>
    <w:p>
      <w:pPr>
        <w:pStyle w:val="37"/>
        <w:ind w:firstLine="480"/>
        <w:rPr>
          <w:sz w:val="24"/>
          <w:szCs w:val="22"/>
          <w:u w:val="single"/>
        </w:rPr>
      </w:pPr>
      <w:r>
        <w:rPr>
          <w:rFonts w:hint="eastAsia"/>
          <w:sz w:val="24"/>
          <w:szCs w:val="22"/>
        </w:rPr>
        <w:t xml:space="preserve">质疑供应商：  </w:t>
      </w:r>
    </w:p>
    <w:p>
      <w:pPr>
        <w:pStyle w:val="37"/>
        <w:ind w:firstLine="480"/>
        <w:rPr>
          <w:sz w:val="24"/>
          <w:szCs w:val="22"/>
        </w:rPr>
      </w:pPr>
      <w:r>
        <w:rPr>
          <w:rFonts w:hint="eastAsia"/>
          <w:sz w:val="24"/>
          <w:szCs w:val="22"/>
        </w:rPr>
        <w:t xml:space="preserve">地址：                          邮编：                  </w:t>
      </w:r>
    </w:p>
    <w:p>
      <w:pPr>
        <w:pStyle w:val="37"/>
        <w:ind w:firstLine="480"/>
        <w:rPr>
          <w:sz w:val="24"/>
          <w:szCs w:val="22"/>
        </w:rPr>
      </w:pPr>
      <w:r>
        <w:rPr>
          <w:rFonts w:hint="eastAsia"/>
          <w:sz w:val="24"/>
          <w:szCs w:val="22"/>
        </w:rPr>
        <w:t xml:space="preserve">联系人：                      联系电话：                 </w:t>
      </w:r>
    </w:p>
    <w:p>
      <w:pPr>
        <w:pStyle w:val="37"/>
        <w:ind w:firstLine="480"/>
        <w:rPr>
          <w:sz w:val="24"/>
          <w:szCs w:val="22"/>
        </w:rPr>
      </w:pPr>
      <w:r>
        <w:rPr>
          <w:rFonts w:hint="eastAsia"/>
          <w:sz w:val="24"/>
          <w:szCs w:val="22"/>
        </w:rPr>
        <w:t xml:space="preserve">授权代表：                                          </w:t>
      </w:r>
    </w:p>
    <w:p>
      <w:pPr>
        <w:pStyle w:val="37"/>
        <w:ind w:firstLine="480"/>
        <w:rPr>
          <w:sz w:val="24"/>
          <w:szCs w:val="22"/>
        </w:rPr>
      </w:pPr>
      <w:r>
        <w:rPr>
          <w:rFonts w:hint="eastAsia"/>
          <w:sz w:val="24"/>
          <w:szCs w:val="22"/>
        </w:rPr>
        <w:t xml:space="preserve">联系电话：                                            </w:t>
      </w:r>
    </w:p>
    <w:p>
      <w:pPr>
        <w:pStyle w:val="37"/>
        <w:ind w:firstLine="480"/>
        <w:rPr>
          <w:sz w:val="24"/>
          <w:szCs w:val="22"/>
        </w:rPr>
      </w:pPr>
      <w:r>
        <w:rPr>
          <w:rFonts w:hint="eastAsia"/>
          <w:sz w:val="24"/>
          <w:szCs w:val="22"/>
        </w:rPr>
        <w:t xml:space="preserve">地址：                         邮编：                    </w:t>
      </w:r>
    </w:p>
    <w:p>
      <w:pPr>
        <w:pStyle w:val="37"/>
        <w:ind w:firstLine="480"/>
        <w:rPr>
          <w:sz w:val="24"/>
          <w:szCs w:val="22"/>
        </w:rPr>
      </w:pPr>
      <w:r>
        <w:rPr>
          <w:rFonts w:hint="eastAsia"/>
          <w:sz w:val="24"/>
          <w:szCs w:val="22"/>
        </w:rPr>
        <w:t>二、质疑项目基本情况</w:t>
      </w:r>
    </w:p>
    <w:p>
      <w:pPr>
        <w:pStyle w:val="37"/>
        <w:ind w:firstLine="480"/>
        <w:rPr>
          <w:sz w:val="24"/>
          <w:szCs w:val="22"/>
        </w:rPr>
      </w:pPr>
      <w:r>
        <w:rPr>
          <w:rFonts w:hint="eastAsia"/>
          <w:sz w:val="24"/>
          <w:szCs w:val="22"/>
        </w:rPr>
        <w:t xml:space="preserve">质疑项目的名称：                                      </w:t>
      </w:r>
    </w:p>
    <w:p>
      <w:pPr>
        <w:pStyle w:val="37"/>
        <w:ind w:firstLine="480"/>
        <w:rPr>
          <w:sz w:val="24"/>
          <w:szCs w:val="22"/>
        </w:rPr>
      </w:pPr>
      <w:r>
        <w:rPr>
          <w:rFonts w:hint="eastAsia"/>
          <w:sz w:val="24"/>
          <w:szCs w:val="22"/>
        </w:rPr>
        <w:t xml:space="preserve">质疑项目的编号：               包号：                 </w:t>
      </w:r>
    </w:p>
    <w:p>
      <w:pPr>
        <w:pStyle w:val="37"/>
        <w:ind w:firstLine="480"/>
        <w:rPr>
          <w:sz w:val="24"/>
          <w:szCs w:val="22"/>
        </w:rPr>
      </w:pPr>
      <w:r>
        <w:rPr>
          <w:rFonts w:hint="eastAsia"/>
          <w:sz w:val="24"/>
          <w:szCs w:val="22"/>
        </w:rPr>
        <w:t xml:space="preserve">采购人名称：                                         </w:t>
      </w:r>
    </w:p>
    <w:p>
      <w:pPr>
        <w:pStyle w:val="37"/>
        <w:ind w:firstLine="480"/>
        <w:rPr>
          <w:sz w:val="24"/>
          <w:szCs w:val="22"/>
        </w:rPr>
      </w:pPr>
      <w:r>
        <w:rPr>
          <w:rFonts w:hint="eastAsia"/>
          <w:sz w:val="24"/>
          <w:szCs w:val="22"/>
        </w:rPr>
        <w:t xml:space="preserve">招标文件获取日期：                                           </w:t>
      </w:r>
    </w:p>
    <w:p>
      <w:pPr>
        <w:pStyle w:val="37"/>
        <w:ind w:firstLine="480"/>
        <w:rPr>
          <w:sz w:val="24"/>
          <w:szCs w:val="22"/>
        </w:rPr>
      </w:pPr>
      <w:r>
        <w:rPr>
          <w:rFonts w:hint="eastAsia"/>
          <w:sz w:val="24"/>
          <w:szCs w:val="22"/>
        </w:rPr>
        <w:t>三、质疑事项具体内容</w:t>
      </w:r>
    </w:p>
    <w:p>
      <w:pPr>
        <w:pStyle w:val="37"/>
        <w:ind w:firstLine="480"/>
        <w:rPr>
          <w:sz w:val="24"/>
          <w:szCs w:val="22"/>
        </w:rPr>
      </w:pPr>
      <w:r>
        <w:rPr>
          <w:rFonts w:hint="eastAsia"/>
          <w:sz w:val="24"/>
          <w:szCs w:val="22"/>
        </w:rPr>
        <w:t xml:space="preserve">质疑事项1：                                         </w:t>
      </w:r>
    </w:p>
    <w:p>
      <w:pPr>
        <w:pStyle w:val="37"/>
        <w:ind w:firstLine="480"/>
        <w:rPr>
          <w:sz w:val="24"/>
          <w:szCs w:val="22"/>
        </w:rPr>
      </w:pPr>
      <w:r>
        <w:rPr>
          <w:rFonts w:hint="eastAsia"/>
          <w:sz w:val="24"/>
          <w:szCs w:val="22"/>
        </w:rPr>
        <w:t xml:space="preserve">事实依据：                                          </w:t>
      </w:r>
    </w:p>
    <w:p>
      <w:pPr>
        <w:pStyle w:val="37"/>
        <w:ind w:firstLine="480"/>
        <w:rPr>
          <w:sz w:val="24"/>
          <w:szCs w:val="22"/>
        </w:rPr>
      </w:pPr>
    </w:p>
    <w:p>
      <w:pPr>
        <w:pStyle w:val="37"/>
        <w:ind w:firstLine="480"/>
        <w:rPr>
          <w:sz w:val="24"/>
          <w:szCs w:val="22"/>
        </w:rPr>
      </w:pPr>
      <w:r>
        <w:rPr>
          <w:rFonts w:hint="eastAsia"/>
          <w:sz w:val="24"/>
          <w:szCs w:val="22"/>
        </w:rPr>
        <w:t xml:space="preserve">法律依据：                                          </w:t>
      </w:r>
    </w:p>
    <w:p>
      <w:pPr>
        <w:pStyle w:val="37"/>
        <w:ind w:firstLine="480"/>
        <w:rPr>
          <w:sz w:val="24"/>
          <w:szCs w:val="22"/>
        </w:rPr>
      </w:pPr>
    </w:p>
    <w:p>
      <w:pPr>
        <w:pStyle w:val="37"/>
        <w:ind w:firstLine="480"/>
        <w:rPr>
          <w:sz w:val="24"/>
          <w:szCs w:val="22"/>
        </w:rPr>
      </w:pPr>
      <w:r>
        <w:rPr>
          <w:rFonts w:hint="eastAsia"/>
          <w:sz w:val="24"/>
          <w:szCs w:val="22"/>
        </w:rPr>
        <w:t>质疑事项2</w:t>
      </w:r>
    </w:p>
    <w:p>
      <w:pPr>
        <w:pStyle w:val="37"/>
        <w:ind w:firstLine="480"/>
        <w:rPr>
          <w:sz w:val="24"/>
          <w:szCs w:val="22"/>
        </w:rPr>
      </w:pPr>
      <w:r>
        <w:rPr>
          <w:rFonts w:hint="eastAsia"/>
          <w:sz w:val="24"/>
          <w:szCs w:val="22"/>
        </w:rPr>
        <w:t>……</w:t>
      </w:r>
    </w:p>
    <w:p>
      <w:pPr>
        <w:pStyle w:val="37"/>
        <w:ind w:firstLine="480"/>
        <w:rPr>
          <w:sz w:val="24"/>
          <w:szCs w:val="22"/>
        </w:rPr>
      </w:pPr>
      <w:r>
        <w:rPr>
          <w:rFonts w:hint="eastAsia"/>
          <w:sz w:val="24"/>
          <w:szCs w:val="22"/>
        </w:rPr>
        <w:t>四、与质疑事项相关的质疑请求</w:t>
      </w:r>
    </w:p>
    <w:p>
      <w:pPr>
        <w:pStyle w:val="37"/>
        <w:ind w:firstLine="480"/>
        <w:rPr>
          <w:sz w:val="24"/>
          <w:szCs w:val="22"/>
        </w:rPr>
      </w:pPr>
      <w:r>
        <w:rPr>
          <w:rFonts w:hint="eastAsia"/>
          <w:sz w:val="24"/>
          <w:szCs w:val="22"/>
        </w:rPr>
        <w:t xml:space="preserve">请求：                                               </w:t>
      </w:r>
    </w:p>
    <w:p>
      <w:pPr>
        <w:pStyle w:val="37"/>
        <w:ind w:firstLine="480"/>
        <w:rPr>
          <w:sz w:val="24"/>
          <w:szCs w:val="22"/>
        </w:rPr>
      </w:pPr>
      <w:r>
        <w:rPr>
          <w:rFonts w:hint="eastAsia"/>
          <w:sz w:val="24"/>
          <w:szCs w:val="22"/>
        </w:rPr>
        <w:t xml:space="preserve">签字(签章)：                   公章：                      </w:t>
      </w:r>
    </w:p>
    <w:p>
      <w:pPr>
        <w:pStyle w:val="37"/>
        <w:ind w:firstLine="480"/>
        <w:rPr>
          <w:sz w:val="24"/>
          <w:szCs w:val="22"/>
        </w:rPr>
      </w:pPr>
      <w:r>
        <w:rPr>
          <w:rFonts w:hint="eastAsia"/>
          <w:sz w:val="24"/>
          <w:szCs w:val="22"/>
        </w:rPr>
        <w:t xml:space="preserve">日期：    </w:t>
      </w:r>
    </w:p>
    <w:p>
      <w:pPr>
        <w:rPr>
          <w:sz w:val="24"/>
          <w:szCs w:val="22"/>
        </w:rPr>
      </w:pPr>
      <w:r>
        <w:rPr>
          <w:rFonts w:hint="eastAsia"/>
          <w:sz w:val="24"/>
          <w:szCs w:val="22"/>
        </w:rPr>
        <w:br w:type="page"/>
      </w:r>
    </w:p>
    <w:p>
      <w:pPr>
        <w:pStyle w:val="37"/>
        <w:ind w:firstLine="480"/>
        <w:rPr>
          <w:sz w:val="24"/>
          <w:szCs w:val="22"/>
        </w:rPr>
      </w:pPr>
      <w:r>
        <w:rPr>
          <w:rFonts w:hint="eastAsia"/>
          <w:sz w:val="24"/>
          <w:szCs w:val="22"/>
        </w:rPr>
        <w:t>质疑函制作说明：</w:t>
      </w:r>
    </w:p>
    <w:p>
      <w:pPr>
        <w:pStyle w:val="37"/>
        <w:ind w:firstLine="480"/>
        <w:rPr>
          <w:sz w:val="24"/>
          <w:szCs w:val="22"/>
        </w:rPr>
      </w:pPr>
      <w:r>
        <w:rPr>
          <w:rFonts w:hint="eastAsia"/>
          <w:sz w:val="24"/>
          <w:szCs w:val="22"/>
        </w:rPr>
        <w:t>1.供应商提出质疑时，应提交质疑函和必要的证明材料。</w:t>
      </w:r>
    </w:p>
    <w:p>
      <w:pPr>
        <w:pStyle w:val="37"/>
        <w:ind w:firstLine="480"/>
        <w:rPr>
          <w:sz w:val="24"/>
          <w:szCs w:val="22"/>
        </w:rPr>
      </w:pPr>
      <w:r>
        <w:rPr>
          <w:rFonts w:hint="eastAsia"/>
          <w:sz w:val="24"/>
          <w:szCs w:val="22"/>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pStyle w:val="37"/>
        <w:ind w:firstLine="480"/>
        <w:rPr>
          <w:sz w:val="24"/>
          <w:szCs w:val="22"/>
        </w:rPr>
      </w:pPr>
      <w:r>
        <w:rPr>
          <w:rFonts w:hint="eastAsia"/>
          <w:sz w:val="24"/>
          <w:szCs w:val="22"/>
        </w:rPr>
        <w:t>3.质疑供应商若对项目的某一分包进行质疑，质疑函中应列明具体分包号。</w:t>
      </w:r>
    </w:p>
    <w:p>
      <w:pPr>
        <w:pStyle w:val="37"/>
        <w:ind w:firstLine="480"/>
        <w:rPr>
          <w:sz w:val="24"/>
          <w:szCs w:val="22"/>
        </w:rPr>
      </w:pPr>
      <w:r>
        <w:rPr>
          <w:rFonts w:hint="eastAsia"/>
          <w:sz w:val="24"/>
          <w:szCs w:val="22"/>
        </w:rPr>
        <w:t>4.质疑函的质疑事项应具体、明确，并有必要的事实依据和法律依据。</w:t>
      </w:r>
    </w:p>
    <w:p>
      <w:pPr>
        <w:pStyle w:val="37"/>
        <w:ind w:firstLine="480"/>
        <w:rPr>
          <w:sz w:val="24"/>
          <w:szCs w:val="22"/>
        </w:rPr>
      </w:pPr>
      <w:r>
        <w:rPr>
          <w:rFonts w:hint="eastAsia"/>
          <w:sz w:val="24"/>
          <w:szCs w:val="22"/>
        </w:rPr>
        <w:t>5.质疑函的质疑请求应与质疑事项相关。</w:t>
      </w:r>
    </w:p>
    <w:p>
      <w:pPr>
        <w:pStyle w:val="37"/>
        <w:ind w:firstLine="480"/>
        <w:rPr>
          <w:sz w:val="24"/>
          <w:szCs w:val="22"/>
        </w:rPr>
      </w:pPr>
      <w:r>
        <w:rPr>
          <w:rFonts w:hint="eastAsia"/>
          <w:sz w:val="24"/>
          <w:szCs w:val="22"/>
        </w:rPr>
        <w:t>6.质疑供应商为自然人的，质疑函应由本人签字；质疑供应商为法人或者其他组织的，质疑函应由法定代表人、主要负责人，或者其授权代表签字或者盖章，并加盖公章。</w:t>
      </w:r>
    </w:p>
    <w:p>
      <w:pPr>
        <w:sectPr>
          <w:headerReference r:id="rId11" w:type="default"/>
          <w:footerReference r:id="rId12" w:type="default"/>
          <w:pgSz w:w="11906" w:h="16838"/>
          <w:pgMar w:top="1440" w:right="1800" w:bottom="1440" w:left="1800" w:header="851" w:footer="992" w:gutter="0"/>
          <w:pgNumType w:start="1"/>
          <w:cols w:space="720" w:num="1"/>
          <w:docGrid w:type="lines" w:linePitch="312" w:charSpace="0"/>
        </w:sectPr>
      </w:pPr>
      <w:bookmarkStart w:id="116" w:name="_Toc99731325"/>
      <w:bookmarkStart w:id="117" w:name="_Toc30959"/>
      <w:bookmarkStart w:id="118" w:name="_Toc24870"/>
      <w:bookmarkStart w:id="119" w:name="_Toc6920"/>
      <w:bookmarkStart w:id="120" w:name="_Toc105522757"/>
      <w:bookmarkStart w:id="121" w:name="_Toc99731210"/>
      <w:bookmarkStart w:id="122" w:name="_Toc95234398"/>
      <w:r>
        <w:rPr>
          <w:rFonts w:hint="eastAsia"/>
        </w:rPr>
        <w:t>晁</w:t>
      </w:r>
    </w:p>
    <w:bookmarkEnd w:id="116"/>
    <w:bookmarkEnd w:id="117"/>
    <w:bookmarkEnd w:id="118"/>
    <w:bookmarkEnd w:id="119"/>
    <w:bookmarkEnd w:id="120"/>
    <w:bookmarkEnd w:id="121"/>
    <w:bookmarkEnd w:id="122"/>
    <w:p>
      <w:pPr>
        <w:pStyle w:val="3"/>
      </w:pPr>
      <w:r>
        <w:rPr>
          <w:rFonts w:hint="eastAsia"/>
        </w:rPr>
        <w:t>第六章 项目需求</w:t>
      </w:r>
    </w:p>
    <w:tbl>
      <w:tblPr>
        <w:tblStyle w:val="38"/>
        <w:tblW w:w="8446" w:type="dxa"/>
        <w:tblInd w:w="98" w:type="dxa"/>
        <w:tblLayout w:type="fixed"/>
        <w:tblCellMar>
          <w:top w:w="0" w:type="dxa"/>
          <w:left w:w="108" w:type="dxa"/>
          <w:bottom w:w="0" w:type="dxa"/>
          <w:right w:w="108" w:type="dxa"/>
        </w:tblCellMar>
      </w:tblPr>
      <w:tblGrid>
        <w:gridCol w:w="667"/>
        <w:gridCol w:w="1886"/>
        <w:gridCol w:w="685"/>
        <w:gridCol w:w="622"/>
        <w:gridCol w:w="1158"/>
        <w:gridCol w:w="1157"/>
        <w:gridCol w:w="1128"/>
        <w:gridCol w:w="1143"/>
      </w:tblGrid>
      <w:tr>
        <w:tblPrEx>
          <w:tblCellMar>
            <w:top w:w="0" w:type="dxa"/>
            <w:left w:w="108" w:type="dxa"/>
            <w:bottom w:w="0" w:type="dxa"/>
            <w:right w:w="108" w:type="dxa"/>
          </w:tblCellMar>
        </w:tblPrEx>
        <w:trPr>
          <w:trHeight w:val="380" w:hRule="atLeast"/>
        </w:trPr>
        <w:tc>
          <w:tcPr>
            <w:tcW w:w="6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包号</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装备名称</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单位</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数量</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预算单价（万元）</w:t>
            </w:r>
          </w:p>
        </w:tc>
        <w:tc>
          <w:tcPr>
            <w:tcW w:w="115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合计金额（万元）</w:t>
            </w:r>
          </w:p>
        </w:tc>
        <w:tc>
          <w:tcPr>
            <w:tcW w:w="112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是否提供样品</w:t>
            </w:r>
          </w:p>
        </w:tc>
      </w:tr>
      <w:tr>
        <w:tblPrEx>
          <w:tblCellMar>
            <w:top w:w="0" w:type="dxa"/>
            <w:left w:w="108" w:type="dxa"/>
            <w:bottom w:w="0" w:type="dxa"/>
            <w:right w:w="108" w:type="dxa"/>
          </w:tblCellMar>
        </w:tblPrEx>
        <w:trPr>
          <w:trHeight w:val="38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干式水域救援服</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0.8000 </w:t>
            </w:r>
          </w:p>
        </w:tc>
        <w:tc>
          <w:tcPr>
            <w:tcW w:w="11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181.2600 </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湿式水域救援服</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0.3500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充气救援艇（橡皮艇）</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5.5000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硬质救援艇（冲锋舟）</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4.8000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舷外机（含油箱防护罩）</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7</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3.0000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便携式流速仪</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1.8000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锚固装备套装</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1.4300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定位浮标</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0.1800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可漂浮救生担架</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16</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0.6000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滚钩</w:t>
            </w:r>
          </w:p>
        </w:tc>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0.3000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潜水全面罩</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1.6000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干式潜水衣</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13</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1.3200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提供样品</w:t>
            </w: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湿式潜水衣</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13</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0.4600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潜水浮力装置</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12</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0.4000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潜水气瓶</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12</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0.2400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潜水调节器（含附件）</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12</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0.5000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水下推进器</w:t>
            </w:r>
          </w:p>
        </w:tc>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12</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2.8000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highlight w:val="yellow"/>
              </w:rPr>
              <w:t>提供样品视频</w:t>
            </w: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水域救援套装</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26</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0.2000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水域救生套装</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36</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0.2000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潜水装备套装</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8</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0.5900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冰面救援服</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1.4000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全面罩</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1.6000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冰域呼吸器组件</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6</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1.5000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水面漂浮救生绳（200米）</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0.4600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冰面行动辅助套装</w:t>
            </w:r>
          </w:p>
        </w:tc>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8</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0.5350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电动液压剪扩组</w:t>
            </w:r>
          </w:p>
        </w:tc>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10.0000 </w:t>
            </w:r>
          </w:p>
        </w:tc>
        <w:tc>
          <w:tcPr>
            <w:tcW w:w="11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200.0000 </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电动破拆工具组</w:t>
            </w:r>
          </w:p>
        </w:tc>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0"/>
                <w:szCs w:val="20"/>
              </w:rPr>
            </w:pPr>
            <w:r>
              <w:rPr>
                <w:rFonts w:hint="eastAsia" w:ascii="宋体" w:hAnsi="宋体" w:cs="宋体"/>
                <w:kern w:val="0"/>
                <w:sz w:val="20"/>
                <w:szCs w:val="20"/>
              </w:rPr>
              <w:t xml:space="preserve">10.0000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highlight w:val="yellow"/>
              </w:rPr>
              <w:t>提供样品视频</w:t>
            </w:r>
          </w:p>
        </w:tc>
      </w:tr>
      <w:tr>
        <w:tblPrEx>
          <w:tblCellMar>
            <w:top w:w="0" w:type="dxa"/>
            <w:left w:w="108" w:type="dxa"/>
            <w:bottom w:w="0" w:type="dxa"/>
            <w:right w:w="108" w:type="dxa"/>
          </w:tblCellMar>
        </w:tblPrEx>
        <w:trPr>
          <w:trHeight w:val="38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手动破拆工具组</w:t>
            </w:r>
          </w:p>
        </w:tc>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0.3500 </w:t>
            </w:r>
          </w:p>
        </w:tc>
        <w:tc>
          <w:tcPr>
            <w:tcW w:w="11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176.1500 </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无齿锯</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1.7000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双轮异向切割锯</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11</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1.5000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电动钢筋速断器</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0.6000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玻璃破碎器</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液压万向剪切钳</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5.0000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提供样品</w:t>
            </w: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凿岩机</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2.0000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机动链锯</w:t>
            </w:r>
          </w:p>
        </w:tc>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8</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0.3500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门锁破拆工具组</w:t>
            </w:r>
          </w:p>
        </w:tc>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0.6000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气动切割刀</w:t>
            </w:r>
          </w:p>
        </w:tc>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0.2400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毁锁器</w:t>
            </w:r>
          </w:p>
        </w:tc>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组</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0.4800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电动链锯</w:t>
            </w:r>
          </w:p>
        </w:tc>
        <w:tc>
          <w:tcPr>
            <w:tcW w:w="6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18</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手动破拆工具组</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套</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2</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0.3500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开缝器</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2.2000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highlight w:val="yellow"/>
              </w:rPr>
              <w:t>提供样品视频</w:t>
            </w:r>
          </w:p>
        </w:tc>
      </w:tr>
      <w:tr>
        <w:tblPrEx>
          <w:tblCellMar>
            <w:top w:w="0" w:type="dxa"/>
            <w:left w:w="108" w:type="dxa"/>
            <w:bottom w:w="0" w:type="dxa"/>
            <w:right w:w="108" w:type="dxa"/>
          </w:tblCellMar>
        </w:tblPrEx>
        <w:trPr>
          <w:trHeight w:val="38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4</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空气呼吸器</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130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0.8000 </w:t>
            </w:r>
          </w:p>
        </w:tc>
        <w:tc>
          <w:tcPr>
            <w:tcW w:w="11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156.8000 </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提供样品</w:t>
            </w: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空呼气瓶</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60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0.1800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正压式消防氧气呼吸器</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30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1.1000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空气充填泵</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件</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9.0000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热成像仪</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7.0000 </w:t>
            </w:r>
          </w:p>
        </w:tc>
        <w:tc>
          <w:tcPr>
            <w:tcW w:w="115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230.9500 </w:t>
            </w: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提供样品</w:t>
            </w: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测温仪</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10</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0.2000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有毒气体探测仪</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可燃气体检测仪</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激光测距仪</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个</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0.3900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雷达生命探测仪</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25.0000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核心产品</w:t>
            </w: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提供样品</w:t>
            </w:r>
          </w:p>
        </w:tc>
      </w:tr>
      <w:tr>
        <w:tblPrEx>
          <w:tblCellMar>
            <w:top w:w="0" w:type="dxa"/>
            <w:left w:w="108" w:type="dxa"/>
            <w:bottom w:w="0" w:type="dxa"/>
            <w:right w:w="108" w:type="dxa"/>
          </w:tblCellMar>
        </w:tblPrEx>
        <w:trPr>
          <w:trHeight w:val="380" w:hRule="atLeast"/>
        </w:trPr>
        <w:tc>
          <w:tcPr>
            <w:tcW w:w="667"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88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视频生命探测仪</w:t>
            </w:r>
          </w:p>
        </w:tc>
        <w:tc>
          <w:tcPr>
            <w:tcW w:w="68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台</w:t>
            </w:r>
          </w:p>
        </w:tc>
        <w:tc>
          <w:tcPr>
            <w:tcW w:w="62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5</w:t>
            </w:r>
          </w:p>
        </w:tc>
        <w:tc>
          <w:tcPr>
            <w:tcW w:w="115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2"/>
                <w:szCs w:val="22"/>
              </w:rPr>
            </w:pPr>
            <w:r>
              <w:rPr>
                <w:rFonts w:hint="eastAsia" w:ascii="宋体" w:hAnsi="宋体" w:cs="宋体"/>
                <w:kern w:val="0"/>
                <w:sz w:val="22"/>
                <w:szCs w:val="22"/>
              </w:rPr>
              <w:t xml:space="preserve">5.8000 </w:t>
            </w:r>
          </w:p>
        </w:tc>
        <w:tc>
          <w:tcPr>
            <w:tcW w:w="115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2"/>
                <w:szCs w:val="22"/>
              </w:rPr>
            </w:pPr>
          </w:p>
        </w:tc>
        <w:tc>
          <w:tcPr>
            <w:tcW w:w="11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c>
          <w:tcPr>
            <w:tcW w:w="11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宋体" w:hAnsi="宋体" w:cs="宋体"/>
                <w:sz w:val="22"/>
                <w:szCs w:val="22"/>
              </w:rPr>
            </w:pPr>
          </w:p>
        </w:tc>
      </w:tr>
    </w:tbl>
    <w:p>
      <w:pPr>
        <w:pStyle w:val="23"/>
        <w:jc w:val="center"/>
        <w:sectPr>
          <w:headerReference r:id="rId13" w:type="default"/>
          <w:footerReference r:id="rId14" w:type="default"/>
          <w:pgSz w:w="11906" w:h="16838"/>
          <w:pgMar w:top="1440" w:right="1803" w:bottom="1440" w:left="1803" w:header="851" w:footer="992" w:gutter="0"/>
          <w:cols w:space="0" w:num="1"/>
          <w:docGrid w:type="linesAndChars" w:linePitch="319" w:charSpace="0"/>
        </w:sectPr>
      </w:pPr>
    </w:p>
    <w:p>
      <w:pPr>
        <w:pStyle w:val="23"/>
        <w:jc w:val="center"/>
        <w:rPr>
          <w:rFonts w:hAnsi="宋体" w:cs="宋体"/>
          <w:b/>
          <w:kern w:val="0"/>
          <w:sz w:val="32"/>
          <w:szCs w:val="32"/>
        </w:rPr>
      </w:pPr>
      <w:r>
        <w:rPr>
          <w:rFonts w:hint="eastAsia" w:hAnsi="宋体" w:cs="宋体"/>
          <w:b/>
          <w:kern w:val="0"/>
          <w:sz w:val="32"/>
          <w:szCs w:val="32"/>
        </w:rPr>
        <w:t>第一包</w:t>
      </w:r>
    </w:p>
    <w:tbl>
      <w:tblPr>
        <w:tblStyle w:val="38"/>
        <w:tblpPr w:leftFromText="180" w:rightFromText="180" w:vertAnchor="text" w:horzAnchor="page" w:tblpX="1515" w:tblpY="633"/>
        <w:tblOverlap w:val="never"/>
        <w:tblW w:w="14033" w:type="dxa"/>
        <w:tblInd w:w="0" w:type="dxa"/>
        <w:tblLayout w:type="autofit"/>
        <w:tblCellMar>
          <w:top w:w="0" w:type="dxa"/>
          <w:left w:w="108" w:type="dxa"/>
          <w:bottom w:w="0" w:type="dxa"/>
          <w:right w:w="108" w:type="dxa"/>
        </w:tblCellMar>
      </w:tblPr>
      <w:tblGrid>
        <w:gridCol w:w="746"/>
        <w:gridCol w:w="1725"/>
        <w:gridCol w:w="9487"/>
        <w:gridCol w:w="888"/>
        <w:gridCol w:w="1187"/>
      </w:tblGrid>
      <w:tr>
        <w:tblPrEx>
          <w:tblCellMar>
            <w:top w:w="0" w:type="dxa"/>
            <w:left w:w="108" w:type="dxa"/>
            <w:bottom w:w="0" w:type="dxa"/>
            <w:right w:w="108" w:type="dxa"/>
          </w:tblCellMar>
        </w:tblPrEx>
        <w:trPr>
          <w:trHeight w:val="30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序号</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装备名称</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技术参数</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数量</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备注</w:t>
            </w: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干式水域救援服</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1.1 款式：连体干式救援服整体为高防水设计。</w:t>
            </w:r>
            <w:r>
              <w:rPr>
                <w:rFonts w:hint="eastAsia" w:ascii="宋体" w:hAnsi="宋体" w:cs="宋体"/>
                <w:kern w:val="0"/>
                <w:sz w:val="24"/>
                <w:szCs w:val="24"/>
              </w:rPr>
              <w:br w:type="textWrapping"/>
            </w:r>
            <w:r>
              <w:rPr>
                <w:rFonts w:hint="eastAsia" w:ascii="宋体" w:hAnsi="宋体" w:cs="宋体"/>
                <w:kern w:val="0"/>
                <w:sz w:val="24"/>
                <w:szCs w:val="24"/>
              </w:rPr>
              <w:t>1.2 衣领处有反光嵌线及透水网,身体正前方或者背后为横向或斜向防水拉链，袖口、领口魔术贴束紧带设计，（用于调节至舒适度）。领口、袖口均使用全防水密封圈；腰部有弹性松紧带设计，（用于调节至舒适度）小腿部和手臂处设有环状反光条，（提高夜间救援360°可视度）。内置背带可调节；</w:t>
            </w:r>
            <w:r>
              <w:rPr>
                <w:rFonts w:hint="eastAsia" w:ascii="宋体" w:hAnsi="宋体" w:cs="宋体"/>
                <w:kern w:val="0"/>
                <w:sz w:val="24"/>
                <w:szCs w:val="24"/>
              </w:rPr>
              <w:br w:type="textWrapping"/>
            </w:r>
            <w:r>
              <w:rPr>
                <w:rFonts w:hint="eastAsia" w:ascii="宋体" w:hAnsi="宋体" w:cs="宋体"/>
                <w:kern w:val="0"/>
                <w:sz w:val="24"/>
                <w:szCs w:val="24"/>
              </w:rPr>
              <w:t>1.3 肘部、膝盖和臀部有补强，增加耐磨性能；裆部设计高强度防水拉链，（如厕时不用脱下整件服装）腿部两侧配有带盖板的排水孔工具袋，可以储存物品；附带一体的乳胶袜套可以防水，且确保脚部更为保暖。</w:t>
            </w:r>
            <w:r>
              <w:rPr>
                <w:rFonts w:hint="eastAsia" w:ascii="宋体" w:hAnsi="宋体" w:cs="宋体"/>
                <w:kern w:val="0"/>
                <w:sz w:val="24"/>
                <w:szCs w:val="24"/>
              </w:rPr>
              <w:br w:type="textWrapping"/>
            </w:r>
            <w:r>
              <w:rPr>
                <w:rFonts w:hint="eastAsia" w:ascii="宋体" w:hAnsi="宋体" w:cs="宋体"/>
                <w:kern w:val="0"/>
                <w:sz w:val="24"/>
                <w:szCs w:val="24"/>
              </w:rPr>
              <w:t>1.4 内里缝合处采用先缝制再压胶技术，热熔贴合处理，加固接缝，增强防水性能，每件干衣都进行单独测试；</w:t>
            </w:r>
            <w:r>
              <w:rPr>
                <w:rFonts w:hint="eastAsia" w:ascii="宋体" w:hAnsi="宋体" w:cs="宋体"/>
                <w:kern w:val="0"/>
                <w:sz w:val="24"/>
                <w:szCs w:val="24"/>
              </w:rPr>
              <w:br w:type="textWrapping"/>
            </w:r>
            <w:r>
              <w:rPr>
                <w:rFonts w:hint="eastAsia" w:ascii="宋体" w:hAnsi="宋体" w:cs="宋体"/>
                <w:kern w:val="0"/>
                <w:sz w:val="24"/>
                <w:szCs w:val="24"/>
              </w:rPr>
              <w:t>▲2 、技术参数：</w:t>
            </w:r>
            <w:r>
              <w:rPr>
                <w:rFonts w:hint="eastAsia" w:ascii="宋体" w:hAnsi="宋体" w:cs="宋体"/>
                <w:kern w:val="0"/>
                <w:sz w:val="24"/>
                <w:szCs w:val="24"/>
              </w:rPr>
              <w:br w:type="textWrapping"/>
            </w:r>
            <w:r>
              <w:rPr>
                <w:rFonts w:hint="eastAsia" w:ascii="宋体" w:hAnsi="宋体" w:cs="宋体"/>
                <w:kern w:val="0"/>
                <w:sz w:val="24"/>
                <w:szCs w:val="24"/>
              </w:rPr>
              <w:t>符合《消防水域救援个人防护装备试验大纲》的依据。</w:t>
            </w:r>
            <w:r>
              <w:rPr>
                <w:rFonts w:hint="eastAsia" w:ascii="宋体" w:hAnsi="宋体" w:cs="宋体"/>
                <w:kern w:val="0"/>
                <w:sz w:val="24"/>
                <w:szCs w:val="24"/>
              </w:rPr>
              <w:br w:type="textWrapping"/>
            </w:r>
            <w:r>
              <w:rPr>
                <w:rFonts w:hint="eastAsia" w:ascii="宋体" w:hAnsi="宋体" w:cs="宋体"/>
                <w:kern w:val="0"/>
                <w:sz w:val="24"/>
                <w:szCs w:val="24"/>
              </w:rPr>
              <w:t>2.1 保温性能：经保温性能试验后，受试者的体表（手、脚和腰部皮肤表面）温度均未降低≤10℃，体温下降≤0.4℃，且受试者能捡一支直径8mm的铅笔并书写。</w:t>
            </w:r>
            <w:r>
              <w:rPr>
                <w:rFonts w:hint="eastAsia" w:ascii="宋体" w:hAnsi="宋体" w:cs="宋体"/>
                <w:kern w:val="0"/>
                <w:sz w:val="24"/>
                <w:szCs w:val="24"/>
              </w:rPr>
              <w:br w:type="textWrapping"/>
            </w:r>
            <w:r>
              <w:rPr>
                <w:rFonts w:hint="eastAsia" w:ascii="宋体" w:hAnsi="宋体" w:cs="宋体"/>
                <w:kern w:val="0"/>
                <w:sz w:val="24"/>
                <w:szCs w:val="24"/>
              </w:rPr>
              <w:t>2.2 防渗漏性能：经静水中持续 1h 的渗透性能试验，消防员水域救援防护服的进水量≤ 0.25 kg。</w:t>
            </w:r>
            <w:r>
              <w:rPr>
                <w:rFonts w:hint="eastAsia" w:ascii="宋体" w:hAnsi="宋体" w:cs="宋体"/>
                <w:kern w:val="0"/>
                <w:sz w:val="24"/>
                <w:szCs w:val="24"/>
              </w:rPr>
              <w:br w:type="textWrapping"/>
            </w:r>
            <w:r>
              <w:rPr>
                <w:rFonts w:hint="eastAsia" w:ascii="宋体" w:hAnsi="宋体" w:cs="宋体"/>
                <w:kern w:val="0"/>
                <w:sz w:val="24"/>
                <w:szCs w:val="24"/>
              </w:rPr>
              <w:t>2.3保温性能：经保温性能试验后，受试者的体表（手、脚和腰部皮肤表面）温度均未降至10℃以下，体温下降了≤0.4℃。</w:t>
            </w:r>
            <w:r>
              <w:rPr>
                <w:rFonts w:hint="eastAsia" w:ascii="宋体" w:hAnsi="宋体" w:cs="宋体"/>
                <w:kern w:val="0"/>
                <w:sz w:val="24"/>
                <w:szCs w:val="24"/>
              </w:rPr>
              <w:br w:type="textWrapping"/>
            </w:r>
            <w:r>
              <w:rPr>
                <w:rFonts w:hint="eastAsia" w:ascii="宋体" w:hAnsi="宋体" w:cs="宋体"/>
                <w:kern w:val="0"/>
                <w:sz w:val="24"/>
                <w:szCs w:val="24"/>
              </w:rPr>
              <w:t xml:space="preserve">2.4 穿着时间：≤25s。 </w:t>
            </w:r>
            <w:r>
              <w:rPr>
                <w:rFonts w:hint="eastAsia" w:ascii="宋体" w:hAnsi="宋体" w:cs="宋体"/>
                <w:kern w:val="0"/>
                <w:sz w:val="24"/>
                <w:szCs w:val="24"/>
              </w:rPr>
              <w:br w:type="textWrapping"/>
            </w:r>
            <w:r>
              <w:rPr>
                <w:rFonts w:hint="eastAsia" w:ascii="宋体" w:hAnsi="宋体" w:cs="宋体"/>
                <w:kern w:val="0"/>
                <w:sz w:val="24"/>
                <w:szCs w:val="24"/>
              </w:rPr>
              <w:t>2.5 服装质量：≤1667g。</w:t>
            </w:r>
            <w:r>
              <w:rPr>
                <w:rFonts w:hint="eastAsia" w:ascii="宋体" w:hAnsi="宋体" w:cs="宋体"/>
                <w:kern w:val="0"/>
                <w:sz w:val="24"/>
                <w:szCs w:val="24"/>
              </w:rPr>
              <w:br w:type="textWrapping"/>
            </w:r>
            <w:r>
              <w:rPr>
                <w:rFonts w:hint="eastAsia" w:ascii="宋体" w:hAnsi="宋体" w:cs="宋体"/>
                <w:kern w:val="0"/>
                <w:sz w:val="24"/>
                <w:szCs w:val="24"/>
              </w:rPr>
              <w:t>2.6 携行质量（含消防员水域救援服、保温内衣和携行袋）：≤2790g。</w:t>
            </w:r>
            <w:r>
              <w:rPr>
                <w:rFonts w:hint="eastAsia" w:ascii="宋体" w:hAnsi="宋体" w:cs="宋体"/>
                <w:kern w:val="0"/>
                <w:sz w:val="24"/>
                <w:szCs w:val="24"/>
              </w:rPr>
              <w:br w:type="textWrapping"/>
            </w:r>
            <w:r>
              <w:rPr>
                <w:rFonts w:hint="eastAsia" w:ascii="宋体" w:hAnsi="宋体" w:cs="宋体"/>
                <w:kern w:val="0"/>
                <w:sz w:val="24"/>
                <w:szCs w:val="24"/>
              </w:rPr>
              <w:t>3. 总体性能符合市场准入标准的要求,提供检测报告：按照须知前附表第29条执行；</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湿式水域救援服</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1、总体要求</w:t>
            </w:r>
            <w:r>
              <w:rPr>
                <w:rFonts w:hint="eastAsia" w:ascii="宋体" w:hAnsi="宋体" w:cs="宋体"/>
                <w:kern w:val="0"/>
                <w:sz w:val="24"/>
                <w:szCs w:val="24"/>
              </w:rPr>
              <w:br w:type="textWrapping"/>
            </w:r>
            <w:r>
              <w:rPr>
                <w:rFonts w:hint="eastAsia" w:ascii="宋体" w:hAnsi="宋体" w:cs="宋体"/>
                <w:kern w:val="0"/>
                <w:sz w:val="24"/>
                <w:szCs w:val="24"/>
              </w:rPr>
              <w:t>▲（1）水上或冰上救援作业时的专用防护，技术性能符合《消防水域救援个人防护装备》试验大纲的规定，并提供相应检测报告按照须知前附表第29条执行；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（2）含防护服、水域救援靴、水域救援手套、水域救援头盔及防水灯；</w:t>
            </w:r>
            <w:r>
              <w:rPr>
                <w:rFonts w:hint="eastAsia" w:ascii="宋体" w:hAnsi="宋体" w:cs="宋体"/>
                <w:kern w:val="0"/>
                <w:sz w:val="24"/>
                <w:szCs w:val="24"/>
              </w:rPr>
              <w:br w:type="textWrapping"/>
            </w:r>
            <w:r>
              <w:rPr>
                <w:rFonts w:hint="eastAsia" w:ascii="宋体" w:hAnsi="宋体" w:cs="宋体"/>
                <w:kern w:val="0"/>
                <w:sz w:val="24"/>
                <w:szCs w:val="24"/>
              </w:rPr>
              <w:t>2、外观要求</w:t>
            </w:r>
            <w:r>
              <w:rPr>
                <w:rFonts w:hint="eastAsia" w:ascii="宋体" w:hAnsi="宋体" w:cs="宋体"/>
                <w:kern w:val="0"/>
                <w:sz w:val="24"/>
                <w:szCs w:val="24"/>
              </w:rPr>
              <w:br w:type="textWrapping"/>
            </w:r>
            <w:r>
              <w:rPr>
                <w:rFonts w:hint="eastAsia" w:ascii="宋体" w:hAnsi="宋体" w:cs="宋体"/>
                <w:kern w:val="0"/>
                <w:sz w:val="24"/>
                <w:szCs w:val="24"/>
              </w:rPr>
              <w:t>（1）黑、橙色立体拼接剪裁，连体式或分体式结构，裤脚和袖口设有可调节开口大小的拉链；</w:t>
            </w:r>
            <w:r>
              <w:rPr>
                <w:rFonts w:hint="eastAsia" w:ascii="宋体" w:hAnsi="宋体" w:cs="宋体"/>
                <w:kern w:val="0"/>
                <w:sz w:val="24"/>
                <w:szCs w:val="24"/>
              </w:rPr>
              <w:br w:type="textWrapping"/>
            </w:r>
            <w:r>
              <w:rPr>
                <w:rFonts w:hint="eastAsia" w:ascii="宋体" w:hAnsi="宋体" w:cs="宋体"/>
                <w:kern w:val="0"/>
                <w:sz w:val="24"/>
                <w:szCs w:val="24"/>
              </w:rPr>
              <w:t>（2）在臀部、膝部、肘部敷有用于增强耐磨性的补强材料；</w:t>
            </w:r>
            <w:r>
              <w:rPr>
                <w:rFonts w:hint="eastAsia" w:ascii="宋体" w:hAnsi="宋体" w:cs="宋体"/>
                <w:kern w:val="0"/>
                <w:sz w:val="24"/>
                <w:szCs w:val="24"/>
              </w:rPr>
              <w:br w:type="textWrapping"/>
            </w:r>
            <w:r>
              <w:rPr>
                <w:rFonts w:hint="eastAsia" w:ascii="宋体" w:hAnsi="宋体" w:cs="宋体"/>
                <w:kern w:val="0"/>
                <w:sz w:val="24"/>
                <w:szCs w:val="24"/>
              </w:rPr>
              <w:t>★（3）主体采用≥3mm氯丁橡胶材质，具有舒适保暖防寒的性能；</w:t>
            </w:r>
            <w:r>
              <w:rPr>
                <w:rFonts w:hint="eastAsia" w:ascii="宋体" w:hAnsi="宋体" w:cs="宋体"/>
                <w:kern w:val="0"/>
                <w:sz w:val="24"/>
                <w:szCs w:val="24"/>
              </w:rPr>
              <w:br w:type="textWrapping"/>
            </w:r>
            <w:r>
              <w:rPr>
                <w:rFonts w:hint="eastAsia" w:ascii="宋体" w:hAnsi="宋体" w:cs="宋体"/>
                <w:kern w:val="0"/>
                <w:sz w:val="24"/>
                <w:szCs w:val="24"/>
              </w:rPr>
              <w:t>（4）合理位置设有盛放工具的口袋，口袋底部有排水孔；</w:t>
            </w:r>
            <w:r>
              <w:rPr>
                <w:rFonts w:hint="eastAsia" w:ascii="宋体" w:hAnsi="宋体" w:cs="宋体"/>
                <w:kern w:val="0"/>
                <w:sz w:val="24"/>
                <w:szCs w:val="24"/>
              </w:rPr>
              <w:br w:type="textWrapping"/>
            </w:r>
            <w:r>
              <w:rPr>
                <w:rFonts w:hint="eastAsia" w:ascii="宋体" w:hAnsi="宋体" w:cs="宋体"/>
                <w:kern w:val="0"/>
                <w:sz w:val="24"/>
                <w:szCs w:val="24"/>
              </w:rPr>
              <w:t>（5）多处合理设有反光标志带，根据采购人需求适当位置印制反光统型标识；</w:t>
            </w:r>
            <w:r>
              <w:rPr>
                <w:rFonts w:hint="eastAsia" w:ascii="宋体" w:hAnsi="宋体" w:cs="宋体"/>
                <w:kern w:val="0"/>
                <w:sz w:val="24"/>
                <w:szCs w:val="24"/>
              </w:rPr>
              <w:br w:type="textWrapping"/>
            </w:r>
            <w:r>
              <w:rPr>
                <w:rFonts w:hint="eastAsia" w:ascii="宋体" w:hAnsi="宋体" w:cs="宋体"/>
                <w:kern w:val="0"/>
                <w:sz w:val="24"/>
                <w:szCs w:val="24"/>
              </w:rPr>
              <w:t>3、材料要求：</w:t>
            </w:r>
            <w:r>
              <w:rPr>
                <w:rFonts w:hint="eastAsia" w:ascii="宋体" w:hAnsi="宋体" w:cs="宋体"/>
                <w:kern w:val="0"/>
                <w:sz w:val="24"/>
                <w:szCs w:val="24"/>
              </w:rPr>
              <w:br w:type="textWrapping"/>
            </w:r>
            <w:r>
              <w:rPr>
                <w:rFonts w:hint="eastAsia" w:ascii="宋体" w:hAnsi="宋体" w:cs="宋体"/>
                <w:kern w:val="0"/>
                <w:sz w:val="24"/>
                <w:szCs w:val="24"/>
              </w:rPr>
              <w:t>（1）耐磨性：面料经1000次摩擦后试样未被磨穿，补强材料经3000次循环摩擦后试样未被磨穿；</w:t>
            </w:r>
            <w:r>
              <w:rPr>
                <w:rFonts w:hint="eastAsia" w:ascii="宋体" w:hAnsi="宋体" w:cs="宋体"/>
                <w:kern w:val="0"/>
                <w:sz w:val="24"/>
                <w:szCs w:val="24"/>
              </w:rPr>
              <w:br w:type="textWrapping"/>
            </w:r>
            <w:r>
              <w:rPr>
                <w:rFonts w:hint="eastAsia" w:ascii="宋体" w:hAnsi="宋体" w:cs="宋体"/>
                <w:kern w:val="0"/>
                <w:sz w:val="24"/>
                <w:szCs w:val="24"/>
              </w:rPr>
              <w:t>（2）耐静水压性能≥17kPa；</w:t>
            </w:r>
            <w:r>
              <w:rPr>
                <w:rFonts w:hint="eastAsia" w:ascii="宋体" w:hAnsi="宋体" w:cs="宋体"/>
                <w:kern w:val="0"/>
                <w:sz w:val="24"/>
                <w:szCs w:val="24"/>
              </w:rPr>
              <w:br w:type="textWrapping"/>
            </w:r>
            <w:r>
              <w:rPr>
                <w:rFonts w:hint="eastAsia" w:ascii="宋体" w:hAnsi="宋体" w:cs="宋体"/>
                <w:kern w:val="0"/>
                <w:sz w:val="24"/>
                <w:szCs w:val="24"/>
              </w:rPr>
              <w:t>4、适用性能：</w:t>
            </w:r>
            <w:r>
              <w:rPr>
                <w:rFonts w:hint="eastAsia" w:ascii="宋体" w:hAnsi="宋体" w:cs="宋体"/>
                <w:kern w:val="0"/>
                <w:sz w:val="24"/>
                <w:szCs w:val="24"/>
              </w:rPr>
              <w:br w:type="textWrapping"/>
            </w:r>
            <w:r>
              <w:rPr>
                <w:rFonts w:hint="eastAsia" w:ascii="宋体" w:hAnsi="宋体" w:cs="宋体"/>
                <w:kern w:val="0"/>
                <w:sz w:val="24"/>
                <w:szCs w:val="24"/>
              </w:rPr>
              <w:t>（1）穿着消防救生衣限制性：无限制；</w:t>
            </w:r>
            <w:r>
              <w:rPr>
                <w:rFonts w:hint="eastAsia" w:ascii="宋体" w:hAnsi="宋体" w:cs="宋体"/>
                <w:kern w:val="0"/>
                <w:sz w:val="24"/>
                <w:szCs w:val="24"/>
              </w:rPr>
              <w:br w:type="textWrapping"/>
            </w:r>
            <w:r>
              <w:rPr>
                <w:rFonts w:hint="eastAsia" w:ascii="宋体" w:hAnsi="宋体" w:cs="宋体"/>
                <w:kern w:val="0"/>
                <w:sz w:val="24"/>
                <w:szCs w:val="24"/>
              </w:rPr>
              <w:t>（2）水域救援防护服穿着时间≤30S；</w:t>
            </w:r>
            <w:r>
              <w:rPr>
                <w:rFonts w:hint="eastAsia" w:ascii="宋体" w:hAnsi="宋体" w:cs="宋体"/>
                <w:kern w:val="0"/>
                <w:sz w:val="24"/>
                <w:szCs w:val="24"/>
              </w:rPr>
              <w:br w:type="textWrapping"/>
            </w:r>
            <w:r>
              <w:rPr>
                <w:rFonts w:hint="eastAsia" w:ascii="宋体" w:hAnsi="宋体" w:cs="宋体"/>
                <w:kern w:val="0"/>
                <w:sz w:val="24"/>
                <w:szCs w:val="24"/>
              </w:rPr>
              <w:t>（3）穿着者可活动性：穿着防护服的人员能行走、爬行、游泳并登上平台；</w:t>
            </w:r>
            <w:r>
              <w:rPr>
                <w:rFonts w:hint="eastAsia" w:ascii="宋体" w:hAnsi="宋体" w:cs="宋体"/>
                <w:kern w:val="0"/>
                <w:sz w:val="24"/>
                <w:szCs w:val="24"/>
              </w:rPr>
              <w:br w:type="textWrapping"/>
            </w:r>
            <w:r>
              <w:rPr>
                <w:rFonts w:hint="eastAsia" w:ascii="宋体" w:hAnsi="宋体" w:cs="宋体"/>
                <w:kern w:val="0"/>
                <w:sz w:val="24"/>
                <w:szCs w:val="24"/>
              </w:rPr>
              <w:t>★（4）质量≤2kg；</w:t>
            </w:r>
            <w:r>
              <w:rPr>
                <w:rFonts w:hint="eastAsia" w:ascii="宋体" w:hAnsi="宋体" w:cs="宋体"/>
                <w:kern w:val="0"/>
                <w:sz w:val="24"/>
                <w:szCs w:val="24"/>
              </w:rPr>
              <w:br w:type="textWrapping"/>
            </w:r>
            <w:r>
              <w:rPr>
                <w:rFonts w:hint="eastAsia" w:ascii="宋体" w:hAnsi="宋体" w:cs="宋体"/>
                <w:kern w:val="0"/>
                <w:sz w:val="24"/>
                <w:szCs w:val="24"/>
              </w:rPr>
              <w:t>（5）面料甲醛含量：≤0mg/kg；</w:t>
            </w:r>
            <w:r>
              <w:rPr>
                <w:rFonts w:hint="eastAsia" w:ascii="宋体" w:hAnsi="宋体" w:cs="宋体"/>
                <w:kern w:val="0"/>
                <w:sz w:val="24"/>
                <w:szCs w:val="24"/>
              </w:rPr>
              <w:br w:type="textWrapping"/>
            </w:r>
            <w:r>
              <w:rPr>
                <w:rFonts w:hint="eastAsia" w:ascii="宋体" w:hAnsi="宋体" w:cs="宋体"/>
                <w:kern w:val="0"/>
                <w:sz w:val="24"/>
                <w:szCs w:val="24"/>
              </w:rPr>
              <w:t>（6）异味：无；</w:t>
            </w:r>
            <w:r>
              <w:rPr>
                <w:rFonts w:hint="eastAsia" w:ascii="宋体" w:hAnsi="宋体" w:cs="宋体"/>
                <w:kern w:val="0"/>
                <w:sz w:val="24"/>
                <w:szCs w:val="24"/>
              </w:rPr>
              <w:br w:type="textWrapping"/>
            </w:r>
            <w:r>
              <w:rPr>
                <w:rFonts w:hint="eastAsia" w:ascii="宋体" w:hAnsi="宋体" w:cs="宋体"/>
                <w:kern w:val="0"/>
                <w:sz w:val="24"/>
                <w:szCs w:val="24"/>
              </w:rPr>
              <w:t>（7）耐磨性：试样经过100圈磨损后，无破洞；</w:t>
            </w:r>
            <w:r>
              <w:rPr>
                <w:rFonts w:hint="eastAsia" w:ascii="宋体" w:hAnsi="宋体" w:cs="宋体"/>
                <w:kern w:val="0"/>
                <w:sz w:val="24"/>
                <w:szCs w:val="24"/>
              </w:rPr>
              <w:br w:type="textWrapping"/>
            </w:r>
            <w:r>
              <w:rPr>
                <w:rFonts w:hint="eastAsia" w:ascii="宋体" w:hAnsi="宋体" w:cs="宋体"/>
                <w:kern w:val="0"/>
                <w:sz w:val="24"/>
                <w:szCs w:val="24"/>
              </w:rPr>
              <w:t>5、水域救援靴</w:t>
            </w:r>
            <w:r>
              <w:rPr>
                <w:rFonts w:hint="eastAsia" w:ascii="宋体" w:hAnsi="宋体" w:cs="宋体"/>
                <w:kern w:val="0"/>
                <w:sz w:val="24"/>
                <w:szCs w:val="24"/>
              </w:rPr>
              <w:br w:type="textWrapping"/>
            </w:r>
            <w:r>
              <w:rPr>
                <w:rFonts w:hint="eastAsia" w:ascii="宋体" w:hAnsi="宋体" w:cs="宋体"/>
                <w:kern w:val="0"/>
                <w:sz w:val="24"/>
                <w:szCs w:val="24"/>
              </w:rPr>
              <w:t>（1）款式：中帮款式，靴鼻处能限制杂物进入靴内；</w:t>
            </w:r>
            <w:r>
              <w:rPr>
                <w:rFonts w:hint="eastAsia" w:ascii="宋体" w:hAnsi="宋体" w:cs="宋体"/>
                <w:kern w:val="0"/>
                <w:sz w:val="24"/>
                <w:szCs w:val="24"/>
              </w:rPr>
              <w:br w:type="textWrapping"/>
            </w:r>
            <w:r>
              <w:rPr>
                <w:rFonts w:hint="eastAsia" w:ascii="宋体" w:hAnsi="宋体" w:cs="宋体"/>
                <w:kern w:val="0"/>
                <w:sz w:val="24"/>
                <w:szCs w:val="24"/>
              </w:rPr>
              <w:t>（2）具有耐穿刺、耐切割、防滑等保护性能；</w:t>
            </w:r>
            <w:r>
              <w:rPr>
                <w:rFonts w:hint="eastAsia" w:ascii="宋体" w:hAnsi="宋体" w:cs="宋体"/>
                <w:kern w:val="0"/>
                <w:sz w:val="24"/>
                <w:szCs w:val="24"/>
              </w:rPr>
              <w:br w:type="textWrapping"/>
            </w:r>
            <w:r>
              <w:rPr>
                <w:rFonts w:hint="eastAsia" w:ascii="宋体" w:hAnsi="宋体" w:cs="宋体"/>
                <w:kern w:val="0"/>
                <w:sz w:val="24"/>
                <w:szCs w:val="24"/>
              </w:rPr>
              <w:t>（3）技术性能符合《消防水域救援个人防护装备》试验大纲的规定；</w:t>
            </w:r>
            <w:r>
              <w:rPr>
                <w:rFonts w:hint="eastAsia" w:ascii="宋体" w:hAnsi="宋体" w:cs="宋体"/>
                <w:kern w:val="0"/>
                <w:sz w:val="24"/>
                <w:szCs w:val="24"/>
              </w:rPr>
              <w:br w:type="textWrapping"/>
            </w:r>
            <w:r>
              <w:rPr>
                <w:rFonts w:hint="eastAsia" w:ascii="宋体" w:hAnsi="宋体" w:cs="宋体"/>
                <w:kern w:val="0"/>
                <w:sz w:val="24"/>
                <w:szCs w:val="24"/>
              </w:rPr>
              <w:t>6、五指式水域救援手套；</w:t>
            </w:r>
            <w:r>
              <w:rPr>
                <w:rFonts w:hint="eastAsia" w:ascii="宋体" w:hAnsi="宋体" w:cs="宋体"/>
                <w:kern w:val="0"/>
                <w:sz w:val="24"/>
                <w:szCs w:val="24"/>
              </w:rPr>
              <w:br w:type="textWrapping"/>
            </w:r>
            <w:r>
              <w:rPr>
                <w:rFonts w:hint="eastAsia" w:ascii="宋体" w:hAnsi="宋体" w:cs="宋体"/>
                <w:kern w:val="0"/>
                <w:sz w:val="24"/>
                <w:szCs w:val="24"/>
              </w:rPr>
              <w:t>★7、水域救援头盔：3/4或半盔设计，头盔设有排水透气孔，配有防水灯；</w:t>
            </w:r>
            <w:r>
              <w:rPr>
                <w:rFonts w:hint="eastAsia" w:ascii="宋体" w:hAnsi="宋体" w:cs="宋体"/>
                <w:kern w:val="0"/>
                <w:sz w:val="24"/>
                <w:szCs w:val="24"/>
              </w:rPr>
              <w:br w:type="textWrapping"/>
            </w:r>
            <w:r>
              <w:rPr>
                <w:rFonts w:hint="eastAsia" w:ascii="宋体" w:hAnsi="宋体" w:cs="宋体"/>
                <w:kern w:val="0"/>
                <w:sz w:val="24"/>
                <w:szCs w:val="24"/>
              </w:rPr>
              <w:t>8、投标时需提供样品；</w:t>
            </w:r>
            <w:r>
              <w:rPr>
                <w:rFonts w:hint="eastAsia" w:ascii="宋体" w:hAnsi="宋体" w:cs="宋体"/>
                <w:kern w:val="0"/>
                <w:sz w:val="24"/>
                <w:szCs w:val="24"/>
              </w:rPr>
              <w:br w:type="textWrapping"/>
            </w:r>
            <w:r>
              <w:rPr>
                <w:rFonts w:hint="eastAsia" w:ascii="宋体" w:hAnsi="宋体" w:cs="宋体"/>
                <w:kern w:val="0"/>
                <w:sz w:val="24"/>
                <w:szCs w:val="24"/>
              </w:rPr>
              <w:t>9、投标文件中须提供检测报告：按照须知前附表第29条执行；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10、在救援服的显著位置有永久性的标志，其内容为：产品型号、用途、商标（或者生产厂名）、批号以及生产日期等；</w:t>
            </w:r>
            <w:r>
              <w:rPr>
                <w:rFonts w:hint="eastAsia" w:ascii="宋体" w:hAnsi="宋体" w:cs="宋体"/>
                <w:kern w:val="0"/>
                <w:sz w:val="24"/>
                <w:szCs w:val="24"/>
              </w:rPr>
              <w:br w:type="textWrapping"/>
            </w:r>
            <w:r>
              <w:rPr>
                <w:rFonts w:hint="eastAsia" w:ascii="宋体" w:hAnsi="宋体" w:cs="宋体"/>
                <w:kern w:val="0"/>
                <w:sz w:val="24"/>
                <w:szCs w:val="24"/>
              </w:rPr>
              <w:t>11、每套救援服配有独立的保存运输包装袋；</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充气救援艇（橡皮艇）</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★1、橡皮艇符合GJB11A-2013，艇长度符合标准中的Ⅱ类艇；舷外机符合CB/4505-2020；舷外机的标定功率及转速按照GB、T1147.2-2017规定进行测试，提供检测报告：按照须知前附表第29条执行；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▲2、气囊数≥8个，结构:船底“V”型充气拉丝底板，M 型艇底；</w:t>
            </w:r>
            <w:r>
              <w:rPr>
                <w:rFonts w:hint="eastAsia" w:ascii="宋体" w:hAnsi="宋体" w:cs="宋体"/>
                <w:kern w:val="0"/>
                <w:sz w:val="24"/>
                <w:szCs w:val="24"/>
              </w:rPr>
              <w:br w:type="textWrapping"/>
            </w:r>
            <w:r>
              <w:rPr>
                <w:rFonts w:hint="eastAsia" w:ascii="宋体" w:hAnsi="宋体" w:cs="宋体"/>
                <w:kern w:val="0"/>
                <w:sz w:val="24"/>
                <w:szCs w:val="24"/>
              </w:rPr>
              <w:t>3、橡皮艇按要求配备舷外机挂机板、防水多层胶合板或铝合金板舱底板，橡皮艇主颜色为橙色或红色；</w:t>
            </w:r>
            <w:r>
              <w:rPr>
                <w:rFonts w:hint="eastAsia" w:ascii="宋体" w:hAnsi="宋体" w:cs="宋体"/>
                <w:kern w:val="0"/>
                <w:sz w:val="24"/>
                <w:szCs w:val="24"/>
              </w:rPr>
              <w:br w:type="textWrapping"/>
            </w:r>
            <w:r>
              <w:rPr>
                <w:rFonts w:hint="eastAsia" w:ascii="宋体" w:hAnsi="宋体" w:cs="宋体"/>
                <w:kern w:val="0"/>
                <w:sz w:val="24"/>
                <w:szCs w:val="24"/>
              </w:rPr>
              <w:t>4、艇边设有船边绳和软体把手，把手数量每侧不少于3个；</w:t>
            </w:r>
            <w:r>
              <w:rPr>
                <w:rFonts w:hint="eastAsia" w:ascii="宋体" w:hAnsi="宋体" w:cs="宋体"/>
                <w:kern w:val="0"/>
                <w:sz w:val="24"/>
                <w:szCs w:val="24"/>
              </w:rPr>
              <w:br w:type="textWrapping"/>
            </w:r>
            <w:r>
              <w:rPr>
                <w:rFonts w:hint="eastAsia" w:ascii="宋体" w:hAnsi="宋体" w:cs="宋体"/>
                <w:kern w:val="0"/>
                <w:sz w:val="24"/>
                <w:szCs w:val="24"/>
              </w:rPr>
              <w:t>5、橡皮艇在应配备铭牌，用于标明型号、规格、重量、生产日期等信息；</w:t>
            </w:r>
            <w:r>
              <w:rPr>
                <w:rFonts w:hint="eastAsia" w:ascii="宋体" w:hAnsi="宋体" w:cs="宋体"/>
                <w:kern w:val="0"/>
                <w:sz w:val="24"/>
                <w:szCs w:val="24"/>
              </w:rPr>
              <w:br w:type="textWrapping"/>
            </w:r>
            <w:r>
              <w:rPr>
                <w:rFonts w:hint="eastAsia" w:ascii="宋体" w:hAnsi="宋体" w:cs="宋体"/>
                <w:kern w:val="0"/>
                <w:sz w:val="24"/>
                <w:szCs w:val="24"/>
              </w:rPr>
              <w:t>6、随艇配备电动充气泵、补艇胶、补艇备用皮；</w:t>
            </w:r>
            <w:r>
              <w:rPr>
                <w:rFonts w:hint="eastAsia" w:ascii="宋体" w:hAnsi="宋体" w:cs="宋体"/>
                <w:kern w:val="0"/>
                <w:sz w:val="24"/>
                <w:szCs w:val="24"/>
              </w:rPr>
              <w:br w:type="textWrapping"/>
            </w:r>
            <w:r>
              <w:rPr>
                <w:rFonts w:hint="eastAsia" w:ascii="宋体" w:hAnsi="宋体" w:cs="宋体"/>
                <w:kern w:val="0"/>
                <w:sz w:val="24"/>
                <w:szCs w:val="24"/>
              </w:rPr>
              <w:t>▲7、舷外机为，为汽油舷外机，后操作式，四冲程，功率≥29Kw，排放标准按照GB 15097执行，燃油系统符合GB/T18571的规定，防火性能按照GB/T 4556，舷外机应有铭牌，铭牌固定在外壳表面明显处，并用防腐蚀材料制作。</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4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硬质救援艇（冲锋舟）</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★1、冲锋舟符合SL 297-2004 防汛储备物资验收标准；舷外机符合CB/4505-2020.并提供提供国家级船级社（CCS）认证；</w:t>
            </w:r>
            <w:r>
              <w:rPr>
                <w:rFonts w:hint="eastAsia" w:ascii="宋体" w:hAnsi="宋体" w:cs="宋体"/>
                <w:kern w:val="0"/>
                <w:sz w:val="24"/>
                <w:szCs w:val="24"/>
              </w:rPr>
              <w:br w:type="textWrapping"/>
            </w:r>
            <w:r>
              <w:rPr>
                <w:rFonts w:hint="eastAsia" w:ascii="宋体" w:hAnsi="宋体" w:cs="宋体"/>
                <w:kern w:val="0"/>
                <w:sz w:val="24"/>
                <w:szCs w:val="24"/>
              </w:rPr>
              <w:t>2 、技术参数：</w:t>
            </w:r>
            <w:r>
              <w:rPr>
                <w:rFonts w:hint="eastAsia" w:ascii="宋体" w:hAnsi="宋体" w:cs="宋体"/>
                <w:kern w:val="0"/>
                <w:sz w:val="24"/>
                <w:szCs w:val="24"/>
              </w:rPr>
              <w:br w:type="textWrapping"/>
            </w:r>
            <w:r>
              <w:rPr>
                <w:rFonts w:hint="eastAsia" w:ascii="宋体" w:hAnsi="宋体" w:cs="宋体"/>
                <w:kern w:val="0"/>
                <w:sz w:val="24"/>
                <w:szCs w:val="24"/>
              </w:rPr>
              <w:t>（1）冲锋舟用途：适用于江河、水库、湖泊等内河淡水水域的防汛抢险、水域救援；</w:t>
            </w:r>
            <w:r>
              <w:rPr>
                <w:rFonts w:hint="eastAsia" w:ascii="宋体" w:hAnsi="宋体" w:cs="宋体"/>
                <w:kern w:val="0"/>
                <w:sz w:val="24"/>
                <w:szCs w:val="24"/>
              </w:rPr>
              <w:br w:type="textWrapping"/>
            </w:r>
            <w:r>
              <w:rPr>
                <w:rFonts w:hint="eastAsia" w:ascii="宋体" w:hAnsi="宋体" w:cs="宋体"/>
                <w:kern w:val="0"/>
                <w:sz w:val="24"/>
                <w:szCs w:val="24"/>
              </w:rPr>
              <w:t>（2）舟体外观：舟体内壳为乳白色，外壳为橙色；表面有防滑纹；牵引环吊装环为金属制作，螺丝画有防松线；</w:t>
            </w:r>
            <w:r>
              <w:rPr>
                <w:rFonts w:hint="eastAsia" w:ascii="宋体" w:hAnsi="宋体" w:cs="宋体"/>
                <w:kern w:val="0"/>
                <w:sz w:val="24"/>
                <w:szCs w:val="24"/>
              </w:rPr>
              <w:br w:type="textWrapping"/>
            </w:r>
            <w:r>
              <w:rPr>
                <w:rFonts w:hint="eastAsia" w:ascii="宋体" w:hAnsi="宋体" w:cs="宋体"/>
                <w:kern w:val="0"/>
                <w:sz w:val="24"/>
                <w:szCs w:val="24"/>
              </w:rPr>
              <w:t>（3）挂机垫板为铝制表面有防滑纹与舟体连接无缺陷；</w:t>
            </w:r>
            <w:r>
              <w:rPr>
                <w:rFonts w:hint="eastAsia" w:ascii="宋体" w:hAnsi="宋体" w:cs="宋体"/>
                <w:kern w:val="0"/>
                <w:sz w:val="24"/>
                <w:szCs w:val="24"/>
              </w:rPr>
              <w:br w:type="textWrapping"/>
            </w:r>
            <w:r>
              <w:rPr>
                <w:rFonts w:hint="eastAsia" w:ascii="宋体" w:hAnsi="宋体" w:cs="宋体"/>
                <w:kern w:val="0"/>
                <w:sz w:val="24"/>
                <w:szCs w:val="24"/>
              </w:rPr>
              <w:t>▲（4）舟体材质：玻璃钢，舟体尺寸：全长≥500cm，设计最大乘员：≥10人，满载吃水深≤30cm，设计最大载重：≥1200kg，设计最大航速：≥60km/h；</w:t>
            </w:r>
            <w:r>
              <w:rPr>
                <w:rFonts w:hint="eastAsia" w:ascii="宋体" w:hAnsi="宋体" w:cs="宋体"/>
                <w:kern w:val="0"/>
                <w:sz w:val="24"/>
                <w:szCs w:val="24"/>
              </w:rPr>
              <w:br w:type="textWrapping"/>
            </w:r>
            <w:r>
              <w:rPr>
                <w:rFonts w:hint="eastAsia" w:ascii="宋体" w:hAnsi="宋体" w:cs="宋体"/>
                <w:kern w:val="0"/>
                <w:sz w:val="24"/>
                <w:szCs w:val="24"/>
              </w:rPr>
              <w:t>▲（5）配备舷外机：功率≥29Kw。</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舷外机（含油箱防护罩）</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★1、舷外机符合CB/4505-2020，舷外机外壳防护等级不低于GB/T 4208-2017的规定的IP 65；燃油系统应符合GB/T 18571的规定，防火应符合GB/ 4556的标准，舷外机安全应符合GB/T 20651.1、GB/T 20651.2d的规定，静推力应符合GB/T 18572,提供检测报告：按照须知前附表第29条执行；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 、技术参数：</w:t>
            </w:r>
            <w:r>
              <w:rPr>
                <w:rFonts w:hint="eastAsia" w:ascii="宋体" w:hAnsi="宋体" w:cs="宋体"/>
                <w:kern w:val="0"/>
                <w:sz w:val="24"/>
                <w:szCs w:val="24"/>
              </w:rPr>
              <w:br w:type="textWrapping"/>
            </w:r>
            <w:r>
              <w:rPr>
                <w:rFonts w:hint="eastAsia" w:ascii="宋体" w:hAnsi="宋体" w:cs="宋体"/>
                <w:kern w:val="0"/>
                <w:sz w:val="24"/>
                <w:szCs w:val="24"/>
              </w:rPr>
              <w:t>（1）功率≥29Kw，并配备专用钥匙，启动形式为手启动+电启动；</w:t>
            </w:r>
            <w:r>
              <w:rPr>
                <w:rFonts w:hint="eastAsia" w:ascii="宋体" w:hAnsi="宋体" w:cs="宋体"/>
                <w:kern w:val="0"/>
                <w:sz w:val="24"/>
                <w:szCs w:val="24"/>
              </w:rPr>
              <w:br w:type="textWrapping"/>
            </w:r>
            <w:r>
              <w:rPr>
                <w:rFonts w:hint="eastAsia" w:ascii="宋体" w:hAnsi="宋体" w:cs="宋体"/>
                <w:kern w:val="0"/>
                <w:sz w:val="24"/>
                <w:szCs w:val="24"/>
              </w:rPr>
              <w:t>（2）配备≥24L的油箱、油管、启动绳、螺旋桨防护罩、简易维修包。</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7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6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便携式流速仪</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★1、符合国家或行业标准：《转子式流速仪》（GB/T 11826-2019），提供检测报告：按照须知前附表第29条执行；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2、主要功能：用于测量水等液体流速的一种便携式测量仪表；</w:t>
            </w:r>
            <w:r>
              <w:rPr>
                <w:rFonts w:hint="eastAsia" w:ascii="宋体" w:hAnsi="宋体" w:cs="宋体"/>
                <w:kern w:val="0"/>
                <w:sz w:val="24"/>
                <w:szCs w:val="24"/>
              </w:rPr>
              <w:br w:type="textWrapping"/>
            </w:r>
            <w:r>
              <w:rPr>
                <w:rFonts w:hint="eastAsia" w:ascii="宋体" w:hAnsi="宋体" w:cs="宋体"/>
                <w:kern w:val="0"/>
                <w:sz w:val="24"/>
                <w:szCs w:val="24"/>
              </w:rPr>
              <w:t>▲3、测速范围:0.01-8 m/s 或优于；测流误差:≤1.5%或优于；采样时间 1~999s 任意设定或优于；测量方式:测杆定位测量或优于；温度范围:-20℃-50℃ 或优于。</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7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锚固装备套装</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★1、技术性能符合XF494-2004《消防用防坠落装备》的相关行业要求，提供检测报告：按照须知前附表第29条执行；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★2、由下降器、分力板、机械抓结、扁带环、临时岩石锚点制作套件、钢缆锚点和钢钎等组成；</w:t>
            </w:r>
            <w:r>
              <w:rPr>
                <w:rFonts w:hint="eastAsia" w:ascii="宋体" w:hAnsi="宋体" w:cs="宋体"/>
                <w:kern w:val="0"/>
                <w:sz w:val="24"/>
                <w:szCs w:val="24"/>
              </w:rPr>
              <w:br w:type="textWrapping"/>
            </w:r>
            <w:r>
              <w:rPr>
                <w:rFonts w:hint="eastAsia" w:ascii="宋体" w:hAnsi="宋体" w:cs="宋体"/>
                <w:kern w:val="0"/>
                <w:sz w:val="24"/>
                <w:szCs w:val="24"/>
              </w:rPr>
              <w:t>★3、分力板：铝合金锚固点,孔径：19±1mm，适合用于救援时设置锚点；孔洞数量≥8；断裂负荷≥45kN；重量≤300g；具有永久性标志及产品数据标识；</w:t>
            </w:r>
            <w:r>
              <w:rPr>
                <w:rFonts w:hint="eastAsia" w:ascii="宋体" w:hAnsi="宋体" w:cs="宋体"/>
                <w:kern w:val="0"/>
                <w:sz w:val="24"/>
                <w:szCs w:val="24"/>
              </w:rPr>
              <w:br w:type="textWrapping"/>
            </w:r>
            <w:r>
              <w:rPr>
                <w:rFonts w:hint="eastAsia" w:ascii="宋体" w:hAnsi="宋体" w:cs="宋体"/>
                <w:kern w:val="0"/>
                <w:sz w:val="24"/>
                <w:szCs w:val="24"/>
              </w:rPr>
              <w:t>▲4、机械抓结：超轻滑轮/抓绳器，设计用于绳索上升、救援和自救等情况下作用；移动侧板用于安装绳索或扁带； 弹簧凸轮可用于上升；滑动锁可以使其成为滑轮；适合洞穴救援； 可以提拉轻物体；可以在潮湿或泥泞的绳索上工作；可以在扁带或绳上调节位置；重量：≤400g，断裂负荷：≥22kN，适用绳索直径：8-13mm，适用扁带宽度：10-16mm；提供使用说明书（中文）、产品合格证及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▲5、扁带环：聚酰胺或同等材质；长度：60、80、120、150、180、240cm；宽度：≥10mm；厚度：≥2mm；断裂极限≥22kN；重量≤30g；具有永久性标志及产品数据标识；</w:t>
            </w:r>
            <w:r>
              <w:rPr>
                <w:rFonts w:hint="eastAsia" w:ascii="宋体" w:hAnsi="宋体" w:cs="宋体"/>
                <w:kern w:val="0"/>
                <w:sz w:val="24"/>
                <w:szCs w:val="24"/>
              </w:rPr>
              <w:br w:type="textWrapping"/>
            </w:r>
            <w:r>
              <w:rPr>
                <w:rFonts w:hint="eastAsia" w:ascii="宋体" w:hAnsi="宋体" w:cs="宋体"/>
                <w:kern w:val="0"/>
                <w:sz w:val="24"/>
                <w:szCs w:val="24"/>
              </w:rPr>
              <w:t>6、临时岩石锚点制作套件：便携电锤，最大击破效能：400CM/分钟；充电锂电池电锤，电压：≥20V，电池容量：≥5.2Ah；钻头直径与所配备的挂片、膨胀钉相匹配；锂电驱动，除了钻孔外，还有锤击功能；挂片（含膨胀钉）：一套含 30 个挂片和 30 个膨胀钉；挂片为可多方向受力挂片，316不锈钢材质；直径 10mm，最小断裂强度 15kN；膨胀钉为不锈钢材质，尺寸规格 10×90mm，用于所有类型的和硬度的岩石，钻孔直径 10mm，钻孔深度 95mm；符合认证：EN 795 A1, EN959；</w:t>
            </w:r>
            <w:r>
              <w:rPr>
                <w:rFonts w:hint="eastAsia" w:ascii="宋体" w:hAnsi="宋体" w:cs="宋体"/>
                <w:kern w:val="0"/>
                <w:sz w:val="24"/>
                <w:szCs w:val="24"/>
              </w:rPr>
              <w:br w:type="textWrapping"/>
            </w:r>
            <w:r>
              <w:rPr>
                <w:rFonts w:hint="eastAsia" w:ascii="宋体" w:hAnsi="宋体" w:cs="宋体"/>
                <w:kern w:val="0"/>
                <w:sz w:val="24"/>
                <w:szCs w:val="24"/>
              </w:rPr>
              <w:t>7、钢缆锚点：材质为不锈钢、铝、聚氯⼄烯，产品结构为：不锈钢钢缆绳、铝制套环、透明防磨套管；⻓度：≥80mm；纲缆直径：7mm；最⼩断裂强度（MBS）：≥25kN；重量：≤350g；</w:t>
            </w:r>
            <w:r>
              <w:rPr>
                <w:rFonts w:hint="eastAsia" w:ascii="宋体" w:hAnsi="宋体" w:cs="宋体"/>
                <w:kern w:val="0"/>
                <w:sz w:val="24"/>
                <w:szCs w:val="24"/>
              </w:rPr>
              <w:br w:type="textWrapping"/>
            </w:r>
            <w:r>
              <w:rPr>
                <w:rFonts w:hint="eastAsia" w:ascii="宋体" w:hAnsi="宋体" w:cs="宋体"/>
                <w:kern w:val="0"/>
                <w:sz w:val="24"/>
                <w:szCs w:val="24"/>
              </w:rPr>
              <w:t>8、钢钎：采用高强度钢材制成；长度：≥0.75m，重量：≤3kg；具有永久性标志及产品数据标识；</w:t>
            </w:r>
            <w:r>
              <w:rPr>
                <w:rFonts w:hint="eastAsia" w:ascii="宋体" w:hAnsi="宋体" w:cs="宋体"/>
                <w:kern w:val="0"/>
                <w:sz w:val="24"/>
                <w:szCs w:val="24"/>
              </w:rPr>
              <w:br w:type="textWrapping"/>
            </w:r>
            <w:r>
              <w:rPr>
                <w:rFonts w:hint="eastAsia" w:ascii="宋体" w:hAnsi="宋体" w:cs="宋体"/>
                <w:kern w:val="0"/>
                <w:sz w:val="24"/>
                <w:szCs w:val="24"/>
              </w:rPr>
              <w:t>9、下降器：从下降状态可以立即切换到上升状态，无须转移负荷；内置单向滑轮，採用大直径的密封滚珠轴承；用于10.5-11.5毫米直径绳索；可以在不用手柄时自动锁住绳索；一旦锁住，不需触动手柄即可收绳；工作负荷≥250kg；重量≤1.5kg。</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8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定位浮标</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1、能快速容易地在水面或水底抛掷，可用作失物的标记，或在某位置做记号；</w:t>
            </w:r>
            <w:r>
              <w:rPr>
                <w:rFonts w:hint="eastAsia" w:ascii="宋体" w:hAnsi="宋体" w:cs="宋体"/>
                <w:kern w:val="0"/>
                <w:sz w:val="24"/>
                <w:szCs w:val="24"/>
              </w:rPr>
              <w:br w:type="textWrapping"/>
            </w:r>
            <w:r>
              <w:rPr>
                <w:rFonts w:hint="eastAsia" w:ascii="宋体" w:hAnsi="宋体" w:cs="宋体"/>
                <w:kern w:val="0"/>
                <w:sz w:val="24"/>
                <w:szCs w:val="24"/>
              </w:rPr>
              <w:t>2、定位浮标具备耐冲击抗风浪，结构紧凑合理；</w:t>
            </w:r>
            <w:r>
              <w:rPr>
                <w:rFonts w:hint="eastAsia" w:ascii="宋体" w:hAnsi="宋体" w:cs="宋体"/>
                <w:kern w:val="0"/>
                <w:sz w:val="24"/>
                <w:szCs w:val="24"/>
              </w:rPr>
              <w:br w:type="textWrapping"/>
            </w:r>
            <w:r>
              <w:rPr>
                <w:rFonts w:hint="eastAsia" w:ascii="宋体" w:hAnsi="宋体" w:cs="宋体"/>
                <w:kern w:val="0"/>
                <w:sz w:val="24"/>
                <w:szCs w:val="24"/>
              </w:rPr>
              <w:t>3、浮标装有高能见度频闪灯：持续照亮时间3天以上；</w:t>
            </w:r>
            <w:r>
              <w:rPr>
                <w:rFonts w:hint="eastAsia" w:ascii="宋体" w:hAnsi="宋体" w:cs="宋体"/>
                <w:kern w:val="0"/>
                <w:sz w:val="24"/>
                <w:szCs w:val="24"/>
              </w:rPr>
              <w:br w:type="textWrapping"/>
            </w:r>
            <w:r>
              <w:rPr>
                <w:rFonts w:hint="eastAsia" w:ascii="宋体" w:hAnsi="宋体" w:cs="宋体"/>
                <w:kern w:val="0"/>
                <w:sz w:val="24"/>
                <w:szCs w:val="24"/>
              </w:rPr>
              <w:t>4、配有配重铅块和≥40米聚丙稀纤维绳子，浮标印有“消防救援”字样标识，底部有挂孔，可系绳连接潜水员，每套至少6个定位浮标；</w:t>
            </w:r>
            <w:r>
              <w:rPr>
                <w:rFonts w:hint="eastAsia" w:ascii="宋体" w:hAnsi="宋体" w:cs="宋体"/>
                <w:kern w:val="0"/>
                <w:sz w:val="24"/>
                <w:szCs w:val="24"/>
              </w:rPr>
              <w:br w:type="textWrapping"/>
            </w:r>
            <w:r>
              <w:rPr>
                <w:rFonts w:hint="eastAsia" w:ascii="宋体" w:hAnsi="宋体" w:cs="宋体"/>
                <w:kern w:val="0"/>
                <w:sz w:val="24"/>
                <w:szCs w:val="24"/>
              </w:rPr>
              <w:t>5、供货时提供产品合格证。</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15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9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可漂浮救生担架</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2、小巧轻便：折叠后体积很小，便于保管和携带；</w:t>
            </w:r>
            <w:r>
              <w:rPr>
                <w:rFonts w:hint="eastAsia" w:ascii="宋体" w:hAnsi="宋体" w:cs="宋体"/>
                <w:kern w:val="0"/>
                <w:sz w:val="24"/>
                <w:szCs w:val="24"/>
              </w:rPr>
              <w:br w:type="textWrapping"/>
            </w:r>
            <w:r>
              <w:rPr>
                <w:rFonts w:hint="eastAsia" w:ascii="宋体" w:hAnsi="宋体" w:cs="宋体"/>
                <w:kern w:val="0"/>
                <w:sz w:val="24"/>
                <w:szCs w:val="24"/>
              </w:rPr>
              <w:t>3、操作简单：只要用脚踏泵充气即可使用；</w:t>
            </w:r>
            <w:r>
              <w:rPr>
                <w:rFonts w:hint="eastAsia" w:ascii="宋体" w:hAnsi="宋体" w:cs="宋体"/>
                <w:kern w:val="0"/>
                <w:sz w:val="24"/>
                <w:szCs w:val="24"/>
              </w:rPr>
              <w:br w:type="textWrapping"/>
            </w:r>
            <w:r>
              <w:rPr>
                <w:rFonts w:hint="eastAsia" w:ascii="宋体" w:hAnsi="宋体" w:cs="宋体"/>
                <w:kern w:val="0"/>
                <w:sz w:val="24"/>
                <w:szCs w:val="24"/>
              </w:rPr>
              <w:t>4、技术参数：</w:t>
            </w:r>
            <w:r>
              <w:rPr>
                <w:rFonts w:hint="eastAsia" w:ascii="宋体" w:hAnsi="宋体" w:cs="宋体"/>
                <w:kern w:val="0"/>
                <w:sz w:val="24"/>
                <w:szCs w:val="24"/>
              </w:rPr>
              <w:br w:type="textWrapping"/>
            </w:r>
            <w:r>
              <w:rPr>
                <w:rFonts w:hint="eastAsia" w:ascii="宋体" w:hAnsi="宋体" w:cs="宋体"/>
                <w:kern w:val="0"/>
                <w:sz w:val="24"/>
                <w:szCs w:val="24"/>
              </w:rPr>
              <w:t>（1）特殊救护：水上紧急救护时，可充当救生浮力担架；</w:t>
            </w:r>
            <w:r>
              <w:rPr>
                <w:rFonts w:hint="eastAsia" w:ascii="宋体" w:hAnsi="宋体" w:cs="宋体"/>
                <w:kern w:val="0"/>
                <w:sz w:val="24"/>
                <w:szCs w:val="24"/>
              </w:rPr>
              <w:br w:type="textWrapping"/>
            </w:r>
            <w:r>
              <w:rPr>
                <w:rFonts w:hint="eastAsia" w:ascii="宋体" w:hAnsi="宋体" w:cs="宋体"/>
                <w:kern w:val="0"/>
                <w:sz w:val="24"/>
                <w:szCs w:val="24"/>
              </w:rPr>
              <w:t>★（2）充气后外形尺寸：≥190cm*71cm*18.5cm， 充气后浮力≥980N；</w:t>
            </w:r>
            <w:r>
              <w:rPr>
                <w:rFonts w:hint="eastAsia" w:ascii="宋体" w:hAnsi="宋体" w:cs="宋体"/>
                <w:kern w:val="0"/>
                <w:sz w:val="24"/>
                <w:szCs w:val="24"/>
              </w:rPr>
              <w:br w:type="textWrapping"/>
            </w:r>
            <w:r>
              <w:rPr>
                <w:rFonts w:hint="eastAsia" w:ascii="宋体" w:hAnsi="宋体" w:cs="宋体"/>
                <w:kern w:val="0"/>
                <w:sz w:val="24"/>
                <w:szCs w:val="24"/>
              </w:rPr>
              <w:t>★（3）质量小于3.5kg，担架充气后，放在平整的地面上，应能承受≥100kg的负载，经过30min的试验，担架应无明显扭曲变形现象；</w:t>
            </w:r>
            <w:r>
              <w:rPr>
                <w:rFonts w:hint="eastAsia" w:ascii="宋体" w:hAnsi="宋体" w:cs="宋体"/>
                <w:kern w:val="0"/>
                <w:sz w:val="24"/>
                <w:szCs w:val="24"/>
              </w:rPr>
              <w:br w:type="textWrapping"/>
            </w:r>
            <w:r>
              <w:rPr>
                <w:rFonts w:hint="eastAsia" w:ascii="宋体" w:hAnsi="宋体" w:cs="宋体"/>
                <w:kern w:val="0"/>
                <w:sz w:val="24"/>
                <w:szCs w:val="24"/>
              </w:rPr>
              <w:t>5、具有永久性标志及产品数据标识。</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16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滚钩</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★1、救生滚钩应采用优质304不锈钢材质制作，由三角拉杆，不锈钢锁链，三爪锚钩，搭扣连接器，≥10mm双层尼龙编织绳组成；</w:t>
            </w:r>
            <w:r>
              <w:rPr>
                <w:rFonts w:hint="eastAsia" w:ascii="宋体" w:hAnsi="宋体" w:cs="宋体"/>
                <w:kern w:val="0"/>
                <w:sz w:val="24"/>
                <w:szCs w:val="24"/>
              </w:rPr>
              <w:br w:type="textWrapping"/>
            </w:r>
            <w:r>
              <w:rPr>
                <w:rFonts w:hint="eastAsia" w:ascii="宋体" w:hAnsi="宋体" w:cs="宋体"/>
                <w:kern w:val="0"/>
                <w:sz w:val="24"/>
                <w:szCs w:val="24"/>
              </w:rPr>
              <w:t>▲2、整体三角可拆卸式设计，在底端配置6套可拆卸不锈钢锚钩，不锈钢三爪锚钩强度≥8.4kN；</w:t>
            </w:r>
            <w:r>
              <w:rPr>
                <w:rFonts w:hint="eastAsia" w:ascii="宋体" w:hAnsi="宋体" w:cs="宋体"/>
                <w:kern w:val="0"/>
                <w:sz w:val="24"/>
                <w:szCs w:val="24"/>
              </w:rPr>
              <w:br w:type="textWrapping"/>
            </w:r>
            <w:r>
              <w:rPr>
                <w:rFonts w:hint="eastAsia" w:ascii="宋体" w:hAnsi="宋体" w:cs="宋体"/>
                <w:kern w:val="0"/>
                <w:sz w:val="24"/>
                <w:szCs w:val="24"/>
              </w:rPr>
              <w:t>▲3、三角架需经过静载荷性能测试：承重≥200kg重物，并保持5min，卸载后，外观检查未发生变形现象；</w:t>
            </w:r>
            <w:r>
              <w:rPr>
                <w:rFonts w:hint="eastAsia" w:ascii="宋体" w:hAnsi="宋体" w:cs="宋体"/>
                <w:kern w:val="0"/>
                <w:sz w:val="24"/>
                <w:szCs w:val="24"/>
              </w:rPr>
              <w:br w:type="textWrapping"/>
            </w:r>
            <w:r>
              <w:rPr>
                <w:rFonts w:hint="eastAsia" w:ascii="宋体" w:hAnsi="宋体" w:cs="宋体"/>
                <w:kern w:val="0"/>
                <w:sz w:val="24"/>
                <w:szCs w:val="24"/>
              </w:rPr>
              <w:t>4、头部配置20米的高强度拖拽螺旋牵引绳，不少于3股，每股直径≥8mm，承重强度≥28kN；</w:t>
            </w:r>
            <w:r>
              <w:rPr>
                <w:rFonts w:hint="eastAsia" w:ascii="宋体" w:hAnsi="宋体" w:cs="宋体"/>
                <w:kern w:val="0"/>
                <w:sz w:val="24"/>
                <w:szCs w:val="24"/>
              </w:rPr>
              <w:br w:type="textWrapping"/>
            </w:r>
            <w:r>
              <w:rPr>
                <w:rFonts w:hint="eastAsia" w:ascii="宋体" w:hAnsi="宋体" w:cs="宋体"/>
                <w:kern w:val="0"/>
                <w:sz w:val="24"/>
                <w:szCs w:val="24"/>
              </w:rPr>
              <w:t>5、配专用包装袋；</w:t>
            </w:r>
            <w:r>
              <w:rPr>
                <w:rFonts w:hint="eastAsia" w:ascii="宋体" w:hAnsi="宋体" w:cs="宋体"/>
                <w:kern w:val="0"/>
                <w:sz w:val="24"/>
                <w:szCs w:val="24"/>
              </w:rPr>
              <w:br w:type="textWrapping"/>
            </w:r>
            <w:r>
              <w:rPr>
                <w:rFonts w:hint="eastAsia" w:ascii="宋体" w:hAnsi="宋体" w:cs="宋体"/>
                <w:kern w:val="0"/>
                <w:sz w:val="24"/>
                <w:szCs w:val="24"/>
              </w:rPr>
              <w:t>6、提供产品合格证书。</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11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潜水全面罩</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★2、潜水全面罩：由全面罩，水下耳机，水面基站组成；</w:t>
            </w:r>
            <w:r>
              <w:rPr>
                <w:rFonts w:hint="eastAsia" w:ascii="宋体" w:hAnsi="宋体" w:cs="宋体"/>
                <w:kern w:val="0"/>
                <w:sz w:val="24"/>
                <w:szCs w:val="24"/>
              </w:rPr>
              <w:br w:type="textWrapping"/>
            </w:r>
            <w:r>
              <w:rPr>
                <w:rFonts w:hint="eastAsia" w:ascii="宋体" w:hAnsi="宋体" w:cs="宋体"/>
                <w:kern w:val="0"/>
                <w:sz w:val="24"/>
                <w:szCs w:val="24"/>
              </w:rPr>
              <w:t>3、适用于潜水员在污染、低温和复杂水下环境中进行作业时的面部保护；</w:t>
            </w:r>
            <w:r>
              <w:rPr>
                <w:rFonts w:hint="eastAsia" w:ascii="宋体" w:hAnsi="宋体" w:cs="宋体"/>
                <w:kern w:val="0"/>
                <w:sz w:val="24"/>
                <w:szCs w:val="24"/>
              </w:rPr>
              <w:br w:type="textWrapping"/>
            </w:r>
            <w:r>
              <w:rPr>
                <w:rFonts w:hint="eastAsia" w:ascii="宋体" w:hAnsi="宋体" w:cs="宋体"/>
                <w:kern w:val="0"/>
                <w:sz w:val="24"/>
                <w:szCs w:val="24"/>
              </w:rPr>
              <w:t>4、面罩和调节器框架结构采用高强度 ABS 塑料；一体化硅胶材质的双密封裙边；</w:t>
            </w:r>
            <w:r>
              <w:rPr>
                <w:rFonts w:hint="eastAsia" w:ascii="宋体" w:hAnsi="宋体" w:cs="宋体"/>
                <w:kern w:val="0"/>
                <w:sz w:val="24"/>
                <w:szCs w:val="24"/>
              </w:rPr>
              <w:br w:type="textWrapping"/>
            </w:r>
            <w:r>
              <w:rPr>
                <w:rFonts w:hint="eastAsia" w:ascii="宋体" w:hAnsi="宋体" w:cs="宋体"/>
                <w:kern w:val="0"/>
                <w:sz w:val="24"/>
                <w:szCs w:val="24"/>
              </w:rPr>
              <w:t>5、配备专用水下通讯单元和耳机／麦克风；</w:t>
            </w:r>
            <w:r>
              <w:rPr>
                <w:rFonts w:hint="eastAsia" w:ascii="宋体" w:hAnsi="宋体" w:cs="宋体"/>
                <w:kern w:val="0"/>
                <w:sz w:val="24"/>
                <w:szCs w:val="24"/>
              </w:rPr>
              <w:br w:type="textWrapping"/>
            </w:r>
            <w:r>
              <w:rPr>
                <w:rFonts w:hint="eastAsia" w:ascii="宋体" w:hAnsi="宋体" w:cs="宋体"/>
                <w:kern w:val="0"/>
                <w:sz w:val="24"/>
                <w:szCs w:val="24"/>
              </w:rPr>
              <w:t>6、独有的导流除雾设计提高水下使用的便捷和安全性；</w:t>
            </w:r>
            <w:r>
              <w:rPr>
                <w:rFonts w:hint="eastAsia" w:ascii="宋体" w:hAnsi="宋体" w:cs="宋体"/>
                <w:kern w:val="0"/>
                <w:sz w:val="24"/>
                <w:szCs w:val="24"/>
              </w:rPr>
              <w:br w:type="textWrapping"/>
            </w:r>
            <w:r>
              <w:rPr>
                <w:rFonts w:hint="eastAsia" w:ascii="宋体" w:hAnsi="宋体" w:cs="宋体"/>
                <w:kern w:val="0"/>
                <w:sz w:val="24"/>
                <w:szCs w:val="24"/>
              </w:rPr>
              <w:t>7、单向阀门排气设计有效消除二氧化碳堆积；</w:t>
            </w:r>
            <w:r>
              <w:rPr>
                <w:rFonts w:hint="eastAsia" w:ascii="宋体" w:hAnsi="宋体" w:cs="宋体"/>
                <w:kern w:val="0"/>
                <w:sz w:val="24"/>
                <w:szCs w:val="24"/>
              </w:rPr>
              <w:br w:type="textWrapping"/>
            </w:r>
            <w:r>
              <w:rPr>
                <w:rFonts w:hint="eastAsia" w:ascii="宋体" w:hAnsi="宋体" w:cs="宋体"/>
                <w:kern w:val="0"/>
                <w:sz w:val="24"/>
                <w:szCs w:val="24"/>
              </w:rPr>
              <w:t>8、面罩右侧装有水面呼吸阀门，降低入水前气体消耗量；</w:t>
            </w:r>
            <w:r>
              <w:rPr>
                <w:rFonts w:hint="eastAsia" w:ascii="宋体" w:hAnsi="宋体" w:cs="宋体"/>
                <w:kern w:val="0"/>
                <w:sz w:val="24"/>
                <w:szCs w:val="24"/>
              </w:rPr>
              <w:br w:type="textWrapping"/>
            </w:r>
            <w:r>
              <w:rPr>
                <w:rFonts w:hint="eastAsia" w:ascii="宋体" w:hAnsi="宋体" w:cs="宋体"/>
                <w:kern w:val="0"/>
                <w:sz w:val="24"/>
                <w:szCs w:val="24"/>
              </w:rPr>
              <w:t>9、使用专用可调整的鼻托垫进行耳压平衡；</w:t>
            </w:r>
            <w:r>
              <w:rPr>
                <w:rFonts w:hint="eastAsia" w:ascii="宋体" w:hAnsi="宋体" w:cs="宋体"/>
                <w:kern w:val="0"/>
                <w:sz w:val="24"/>
                <w:szCs w:val="24"/>
              </w:rPr>
              <w:br w:type="textWrapping"/>
            </w:r>
            <w:r>
              <w:rPr>
                <w:rFonts w:hint="eastAsia" w:ascii="宋体" w:hAnsi="宋体" w:cs="宋体"/>
                <w:kern w:val="0"/>
                <w:sz w:val="24"/>
                <w:szCs w:val="24"/>
              </w:rPr>
              <w:t>★10、水面基站：四频道通讯，标准范围200-3000m，输出功率约5w；</w:t>
            </w:r>
            <w:r>
              <w:rPr>
                <w:rFonts w:hint="eastAsia" w:ascii="宋体" w:hAnsi="宋体" w:cs="宋体"/>
                <w:kern w:val="0"/>
                <w:sz w:val="24"/>
                <w:szCs w:val="24"/>
              </w:rPr>
              <w:br w:type="textWrapping"/>
            </w:r>
            <w:r>
              <w:rPr>
                <w:rFonts w:hint="eastAsia" w:ascii="宋体" w:hAnsi="宋体" w:cs="宋体"/>
                <w:kern w:val="0"/>
                <w:sz w:val="24"/>
                <w:szCs w:val="24"/>
              </w:rPr>
              <w:t>11、水下耳机：配合全面罩使用，双频道水下通讯耳机。标准范围50-500m，输出功≥0.5w，水下耳机最大使用深度≥40m。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12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干式潜水衣</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2、面料拉伸强力、经向≥ 1800N, 纬向≥ 950N；</w:t>
            </w:r>
            <w:r>
              <w:rPr>
                <w:rFonts w:hint="eastAsia" w:ascii="宋体" w:hAnsi="宋体" w:cs="宋体"/>
                <w:kern w:val="0"/>
                <w:sz w:val="24"/>
                <w:szCs w:val="24"/>
              </w:rPr>
              <w:br w:type="textWrapping"/>
            </w:r>
            <w:r>
              <w:rPr>
                <w:rFonts w:hint="eastAsia" w:ascii="宋体" w:hAnsi="宋体" w:cs="宋体"/>
                <w:kern w:val="0"/>
                <w:sz w:val="24"/>
                <w:szCs w:val="24"/>
              </w:rPr>
              <w:t>3、每套包括干式潜水衣、干式潜水手套、潜水靴和潜水拉杆箱；</w:t>
            </w:r>
            <w:r>
              <w:rPr>
                <w:rFonts w:hint="eastAsia" w:ascii="宋体" w:hAnsi="宋体" w:cs="宋体"/>
                <w:kern w:val="0"/>
                <w:sz w:val="24"/>
                <w:szCs w:val="24"/>
              </w:rPr>
              <w:br w:type="textWrapping"/>
            </w:r>
            <w:r>
              <w:rPr>
                <w:rFonts w:hint="eastAsia" w:ascii="宋体" w:hAnsi="宋体" w:cs="宋体"/>
                <w:kern w:val="0"/>
                <w:sz w:val="24"/>
                <w:szCs w:val="24"/>
              </w:rPr>
              <w:t>4、整体采用三层超轻质纤维材料叠加制造。水密封金属拉链，护膝和臀部为高强度高韧性芳纶涂层—凯夫拉补强设计，加厚硬质鞋底，鞋背配魔术贴。有进排气阀门。前胸倾斜拉链，方便潜水员穿脱，有可调节系绳，穿着可任意调节，在体侧分别有 2 个口袋，配有 D 型环。干衣内部带有弹性背带，适合不同人体体型，全身多处反光条设计，救援时醒目警示，识别性强，配有潜水服手提包，与充气阀连接的低压管，袖子和领子可以自行拆卸。</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13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13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湿式潜水衣</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★2、3mm带有钛涂层的氯丁橡胶材质可以在寒冷的温度中提供非常好的热反射性能；</w:t>
            </w:r>
            <w:r>
              <w:rPr>
                <w:rFonts w:hint="eastAsia" w:ascii="宋体" w:hAnsi="宋体" w:cs="宋体"/>
                <w:kern w:val="0"/>
                <w:sz w:val="24"/>
                <w:szCs w:val="24"/>
              </w:rPr>
              <w:br w:type="textWrapping"/>
            </w:r>
            <w:r>
              <w:rPr>
                <w:rFonts w:hint="eastAsia" w:ascii="宋体" w:hAnsi="宋体" w:cs="宋体"/>
                <w:kern w:val="0"/>
                <w:sz w:val="24"/>
                <w:szCs w:val="24"/>
              </w:rPr>
              <w:t>▲3、在肩部、背部和手臂处都采用特殊的PowerSpanT材质提高灵活性，降低束缚性；</w:t>
            </w:r>
            <w:r>
              <w:rPr>
                <w:rFonts w:hint="eastAsia" w:ascii="宋体" w:hAnsi="宋体" w:cs="宋体"/>
                <w:kern w:val="0"/>
                <w:sz w:val="24"/>
                <w:szCs w:val="24"/>
              </w:rPr>
              <w:br w:type="textWrapping"/>
            </w:r>
            <w:r>
              <w:rPr>
                <w:rFonts w:hint="eastAsia" w:ascii="宋体" w:hAnsi="宋体" w:cs="宋体"/>
                <w:kern w:val="0"/>
                <w:sz w:val="24"/>
                <w:szCs w:val="24"/>
              </w:rPr>
              <w:t>4、所有的缝线处都是用暗针缝制，并且都做了加固压胶处理，最大程度的确保保暖和舒适感；</w:t>
            </w:r>
            <w:r>
              <w:rPr>
                <w:rFonts w:hint="eastAsia" w:ascii="宋体" w:hAnsi="宋体" w:cs="宋体"/>
                <w:kern w:val="0"/>
                <w:sz w:val="24"/>
                <w:szCs w:val="24"/>
              </w:rPr>
              <w:br w:type="textWrapping"/>
            </w:r>
            <w:r>
              <w:rPr>
                <w:rFonts w:hint="eastAsia" w:ascii="宋体" w:hAnsi="宋体" w:cs="宋体"/>
                <w:kern w:val="0"/>
                <w:sz w:val="24"/>
                <w:szCs w:val="24"/>
              </w:rPr>
              <w:t>5、双向的YKK前置拉链和腰部、踝部拉链可以使救援者穿、脱装备都非常的迅速和便捷；</w:t>
            </w:r>
            <w:r>
              <w:rPr>
                <w:rFonts w:hint="eastAsia" w:ascii="宋体" w:hAnsi="宋体" w:cs="宋体"/>
                <w:kern w:val="0"/>
                <w:sz w:val="24"/>
                <w:szCs w:val="24"/>
              </w:rPr>
              <w:br w:type="textWrapping"/>
            </w:r>
            <w:r>
              <w:rPr>
                <w:rFonts w:hint="eastAsia" w:ascii="宋体" w:hAnsi="宋体" w:cs="宋体"/>
                <w:kern w:val="0"/>
                <w:sz w:val="24"/>
                <w:szCs w:val="24"/>
              </w:rPr>
              <w:t>6、在躯干的两侧部位有大摩擦力区域用于搭配PFD固定使用；</w:t>
            </w:r>
            <w:r>
              <w:rPr>
                <w:rFonts w:hint="eastAsia" w:ascii="宋体" w:hAnsi="宋体" w:cs="宋体"/>
                <w:kern w:val="0"/>
                <w:sz w:val="24"/>
                <w:szCs w:val="24"/>
              </w:rPr>
              <w:br w:type="textWrapping"/>
            </w:r>
            <w:r>
              <w:rPr>
                <w:rFonts w:hint="eastAsia" w:ascii="宋体" w:hAnsi="宋体" w:cs="宋体"/>
                <w:kern w:val="0"/>
                <w:sz w:val="24"/>
                <w:szCs w:val="24"/>
              </w:rPr>
              <w:t>7、在膝盖和小腿处都有聚氨酯涂层垫，可以提供额外的保护，手臂和腿部有荧光反射区，并且有RESCUE救援字样，提高了救援者的警示性；</w:t>
            </w:r>
            <w:r>
              <w:rPr>
                <w:rFonts w:hint="eastAsia" w:ascii="宋体" w:hAnsi="宋体" w:cs="宋体"/>
                <w:kern w:val="0"/>
                <w:sz w:val="24"/>
                <w:szCs w:val="24"/>
              </w:rPr>
              <w:br w:type="textWrapping"/>
            </w:r>
            <w:r>
              <w:rPr>
                <w:rFonts w:hint="eastAsia" w:ascii="宋体" w:hAnsi="宋体" w:cs="宋体"/>
                <w:kern w:val="0"/>
                <w:sz w:val="24"/>
                <w:szCs w:val="24"/>
              </w:rPr>
              <w:t>▲8、质量：≤1.8kg。</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13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14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潜水浮力装置</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2、双侧口袋有魔术贴，防止内容物脱落，也避免使用拉链，操着不便；</w:t>
            </w:r>
            <w:r>
              <w:rPr>
                <w:rFonts w:hint="eastAsia" w:ascii="宋体" w:hAnsi="宋体" w:cs="宋体"/>
                <w:kern w:val="0"/>
                <w:sz w:val="24"/>
                <w:szCs w:val="24"/>
              </w:rPr>
              <w:br w:type="textWrapping"/>
            </w:r>
            <w:r>
              <w:rPr>
                <w:rFonts w:hint="eastAsia" w:ascii="宋体" w:hAnsi="宋体" w:cs="宋体"/>
                <w:kern w:val="0"/>
                <w:sz w:val="24"/>
                <w:szCs w:val="24"/>
              </w:rPr>
              <w:t>3、右侧口袋内侧有备用调节器口，左边口袋内侧有潜水仪表口，方便收纳和保护备用调节器和潜水仪表；</w:t>
            </w:r>
            <w:r>
              <w:rPr>
                <w:rFonts w:hint="eastAsia" w:ascii="宋体" w:hAnsi="宋体" w:cs="宋体"/>
                <w:kern w:val="0"/>
                <w:sz w:val="24"/>
                <w:szCs w:val="24"/>
              </w:rPr>
              <w:br w:type="textWrapping"/>
            </w:r>
            <w:r>
              <w:rPr>
                <w:rFonts w:hint="eastAsia" w:ascii="宋体" w:hAnsi="宋体" w:cs="宋体"/>
                <w:kern w:val="0"/>
                <w:sz w:val="24"/>
                <w:szCs w:val="24"/>
              </w:rPr>
              <w:t>▲4、外层采用 1000D CORDURA 面料，防外线 UV 面料，方便快速辨认；</w:t>
            </w:r>
            <w:r>
              <w:rPr>
                <w:rFonts w:hint="eastAsia" w:ascii="宋体" w:hAnsi="宋体" w:cs="宋体"/>
                <w:kern w:val="0"/>
                <w:sz w:val="24"/>
                <w:szCs w:val="24"/>
              </w:rPr>
              <w:br w:type="textWrapping"/>
            </w:r>
            <w:r>
              <w:rPr>
                <w:rFonts w:hint="eastAsia" w:ascii="宋体" w:hAnsi="宋体" w:cs="宋体"/>
                <w:kern w:val="0"/>
                <w:sz w:val="24"/>
                <w:szCs w:val="24"/>
              </w:rPr>
              <w:t>5、水中最小可承重≥140N，最大可承重≥230kg体重；</w:t>
            </w:r>
            <w:r>
              <w:rPr>
                <w:rFonts w:hint="eastAsia" w:ascii="宋体" w:hAnsi="宋体" w:cs="宋体"/>
                <w:kern w:val="0"/>
                <w:sz w:val="24"/>
                <w:szCs w:val="24"/>
              </w:rPr>
              <w:br w:type="textWrapping"/>
            </w:r>
            <w:r>
              <w:rPr>
                <w:rFonts w:hint="eastAsia" w:ascii="宋体" w:hAnsi="宋体" w:cs="宋体"/>
                <w:kern w:val="0"/>
                <w:sz w:val="24"/>
                <w:szCs w:val="24"/>
              </w:rPr>
              <w:t>6、后背气瓶绑带设计有配重袋，方便调整身体的配重系统分布；</w:t>
            </w:r>
            <w:r>
              <w:rPr>
                <w:rFonts w:hint="eastAsia" w:ascii="宋体" w:hAnsi="宋体" w:cs="宋体"/>
                <w:kern w:val="0"/>
                <w:sz w:val="24"/>
                <w:szCs w:val="24"/>
              </w:rPr>
              <w:br w:type="textWrapping"/>
            </w:r>
            <w:r>
              <w:rPr>
                <w:rFonts w:hint="eastAsia" w:ascii="宋体" w:hAnsi="宋体" w:cs="宋体"/>
                <w:kern w:val="0"/>
                <w:sz w:val="24"/>
                <w:szCs w:val="24"/>
              </w:rPr>
              <w:t>7、全部金属配件经过72小时测试盐雾测试，耐海水锈蚀。</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12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15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潜水气瓶</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★2、12L 潜水专用气瓶，含瓶头阀；</w:t>
            </w:r>
            <w:r>
              <w:rPr>
                <w:rFonts w:hint="eastAsia" w:ascii="宋体" w:hAnsi="宋体" w:cs="宋体"/>
                <w:kern w:val="0"/>
                <w:sz w:val="24"/>
                <w:szCs w:val="24"/>
              </w:rPr>
              <w:br w:type="textWrapping"/>
            </w:r>
            <w:r>
              <w:rPr>
                <w:rFonts w:hint="eastAsia" w:ascii="宋体" w:hAnsi="宋体" w:cs="宋体"/>
                <w:kern w:val="0"/>
                <w:sz w:val="24"/>
                <w:szCs w:val="24"/>
              </w:rPr>
              <w:t>3、瓶体材料：同等或优于6061铝制气瓶；</w:t>
            </w:r>
            <w:r>
              <w:rPr>
                <w:rFonts w:hint="eastAsia" w:ascii="宋体" w:hAnsi="宋体" w:cs="宋体"/>
                <w:kern w:val="0"/>
                <w:sz w:val="24"/>
                <w:szCs w:val="24"/>
              </w:rPr>
              <w:br w:type="textWrapping"/>
            </w:r>
            <w:r>
              <w:rPr>
                <w:rFonts w:hint="eastAsia" w:ascii="宋体" w:hAnsi="宋体" w:cs="宋体"/>
                <w:kern w:val="0"/>
                <w:sz w:val="24"/>
                <w:szCs w:val="24"/>
              </w:rPr>
              <w:t>4、壁厚：12.2mm；</w:t>
            </w:r>
            <w:r>
              <w:rPr>
                <w:rFonts w:hint="eastAsia" w:ascii="宋体" w:hAnsi="宋体" w:cs="宋体"/>
                <w:kern w:val="0"/>
                <w:sz w:val="24"/>
                <w:szCs w:val="24"/>
              </w:rPr>
              <w:br w:type="textWrapping"/>
            </w:r>
            <w:r>
              <w:rPr>
                <w:rFonts w:hint="eastAsia" w:ascii="宋体" w:hAnsi="宋体" w:cs="宋体"/>
                <w:kern w:val="0"/>
                <w:sz w:val="24"/>
                <w:szCs w:val="24"/>
              </w:rPr>
              <w:t>5、公称容积：容积为12±0.5L；</w:t>
            </w:r>
            <w:r>
              <w:rPr>
                <w:rFonts w:hint="eastAsia" w:ascii="宋体" w:hAnsi="宋体" w:cs="宋体"/>
                <w:kern w:val="0"/>
                <w:sz w:val="24"/>
                <w:szCs w:val="24"/>
              </w:rPr>
              <w:br w:type="textWrapping"/>
            </w:r>
            <w:r>
              <w:rPr>
                <w:rFonts w:hint="eastAsia" w:ascii="宋体" w:hAnsi="宋体" w:cs="宋体"/>
                <w:kern w:val="0"/>
                <w:sz w:val="24"/>
                <w:szCs w:val="24"/>
              </w:rPr>
              <w:t>6、公称工作压力：≥200bar，水压试验压力：≥300bar，气密性试验压力：≥200bar；</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12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16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潜水调节器（含附件）</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▲2、呼吸反应更便捷快速；低压管接口位置，具有旁通管设计，呼吸气体降压位置完全干燥，避免二级调节器结冰；</w:t>
            </w:r>
            <w:r>
              <w:rPr>
                <w:rFonts w:hint="eastAsia" w:ascii="宋体" w:hAnsi="宋体" w:cs="宋体"/>
                <w:kern w:val="0"/>
                <w:sz w:val="24"/>
                <w:szCs w:val="24"/>
              </w:rPr>
              <w:br w:type="textWrapping"/>
            </w:r>
            <w:r>
              <w:rPr>
                <w:rFonts w:hint="eastAsia" w:ascii="宋体" w:hAnsi="宋体" w:cs="宋体"/>
                <w:kern w:val="0"/>
                <w:sz w:val="24"/>
                <w:szCs w:val="24"/>
              </w:rPr>
              <w:t>3、一级调节器以夹头方式与气瓶连接，通过隔膜设计降低气瓶压力到 9.8 至 10.5bar的水平，适合各个深度的潜水。一级头 DFC 控制流量系统的设计，可最大限度的降低在吸气时所产生的瞬间压力下降。保持足够的通气量，使呼吸更加顺畅。</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12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17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水下推进器</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★2、长宽高主体直径≤790mm*407mm*338mm*200mm，不含电池重量≤11.5kg；</w:t>
            </w:r>
            <w:r>
              <w:rPr>
                <w:rFonts w:hint="eastAsia" w:ascii="宋体" w:hAnsi="宋体" w:cs="宋体"/>
                <w:kern w:val="0"/>
                <w:sz w:val="24"/>
                <w:szCs w:val="24"/>
              </w:rPr>
              <w:br w:type="textWrapping"/>
            </w:r>
            <w:r>
              <w:rPr>
                <w:rFonts w:hint="eastAsia" w:ascii="宋体" w:hAnsi="宋体" w:cs="宋体"/>
                <w:kern w:val="0"/>
                <w:sz w:val="24"/>
                <w:szCs w:val="24"/>
              </w:rPr>
              <w:t>▲3、最大静推力≥ 170N，最大深度 80M，最大速度≥ 50米/分钟，连续通电使用时间＞ 60 分钟。</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12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18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水域救援套装</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2、包含水域救援头盔1顶、防水头灯1个、水域救援手套1双、水域救援鞋1双、水域救援刀1把；</w:t>
            </w:r>
            <w:r>
              <w:rPr>
                <w:rFonts w:hint="eastAsia" w:ascii="宋体" w:hAnsi="宋体" w:cs="宋体"/>
                <w:kern w:val="0"/>
                <w:sz w:val="24"/>
                <w:szCs w:val="24"/>
              </w:rPr>
              <w:br w:type="textWrapping"/>
            </w:r>
            <w:r>
              <w:rPr>
                <w:rFonts w:hint="eastAsia" w:ascii="宋体" w:hAnsi="宋体" w:cs="宋体"/>
                <w:kern w:val="0"/>
                <w:sz w:val="24"/>
                <w:szCs w:val="24"/>
              </w:rPr>
              <w:t>3、水域救援头盔1顶：</w:t>
            </w:r>
            <w:r>
              <w:rPr>
                <w:rFonts w:hint="eastAsia" w:ascii="宋体" w:hAnsi="宋体" w:cs="宋体"/>
                <w:kern w:val="0"/>
                <w:sz w:val="24"/>
                <w:szCs w:val="24"/>
              </w:rPr>
              <w:br w:type="textWrapping"/>
            </w:r>
            <w:r>
              <w:rPr>
                <w:rFonts w:hint="eastAsia" w:ascii="宋体" w:hAnsi="宋体" w:cs="宋体"/>
                <w:kern w:val="0"/>
                <w:sz w:val="24"/>
                <w:szCs w:val="24"/>
              </w:rPr>
              <w:t>▲（1）可调节下颏带，抗拉强度高，延伸长度≥ 20mm,低重心无帽沿设计，由ABS工程塑料注塑成型盔壳，高冲击强度稳定性好,水域救援头盔色泽鲜艳醒目，保护头及耳部，并在头盔上部留有≥6个排水孔,内层采用EVA发泡棉，能提供良好的缓冲性能,护耳组件外层采用 ABS 制成，固定在头盔两侧，防止遇到冲击对耳部成伤害；</w:t>
            </w:r>
            <w:r>
              <w:rPr>
                <w:rFonts w:hint="eastAsia" w:ascii="宋体" w:hAnsi="宋体" w:cs="宋体"/>
                <w:kern w:val="0"/>
                <w:sz w:val="24"/>
                <w:szCs w:val="24"/>
              </w:rPr>
              <w:br w:type="textWrapping"/>
            </w:r>
            <w:r>
              <w:rPr>
                <w:rFonts w:hint="eastAsia" w:ascii="宋体" w:hAnsi="宋体" w:cs="宋体"/>
                <w:kern w:val="0"/>
                <w:sz w:val="24"/>
                <w:szCs w:val="24"/>
              </w:rPr>
              <w:t>（2）整体设置要求，头盔顶部和侧部护耳处，应按照宽体脸型设计，头盔对救援人员头顶及太阳穴部位无紧迫感，头盔应设多级调节，最大调节按照头围≥62CM设计，头盔设有头盔灯卡槽和记录仪卡槽；</w:t>
            </w:r>
            <w:r>
              <w:rPr>
                <w:rFonts w:hint="eastAsia" w:ascii="宋体" w:hAnsi="宋体" w:cs="宋体"/>
                <w:kern w:val="0"/>
                <w:sz w:val="24"/>
                <w:szCs w:val="24"/>
              </w:rPr>
              <w:br w:type="textWrapping"/>
            </w:r>
            <w:r>
              <w:rPr>
                <w:rFonts w:hint="eastAsia" w:ascii="宋体" w:hAnsi="宋体" w:cs="宋体"/>
                <w:kern w:val="0"/>
                <w:sz w:val="24"/>
                <w:szCs w:val="24"/>
              </w:rPr>
              <w:t>4、防水头灯1个：</w:t>
            </w:r>
            <w:r>
              <w:rPr>
                <w:rFonts w:hint="eastAsia" w:ascii="宋体" w:hAnsi="宋体" w:cs="宋体"/>
                <w:kern w:val="0"/>
                <w:sz w:val="24"/>
                <w:szCs w:val="24"/>
              </w:rPr>
              <w:br w:type="textWrapping"/>
            </w:r>
            <w:r>
              <w:rPr>
                <w:rFonts w:hint="eastAsia" w:ascii="宋体" w:hAnsi="宋体" w:cs="宋体"/>
                <w:kern w:val="0"/>
                <w:sz w:val="24"/>
                <w:szCs w:val="24"/>
              </w:rPr>
              <w:t>（1）能与救援头盔预留卡槽适用，多档亮度可调，具有强光、弱光、爆闪功能，防水等级≥IP7，USB一体充电，适用于Type-c充电。，最大功率≥10W，亮度≥240流明，射程≥100米；</w:t>
            </w:r>
            <w:r>
              <w:rPr>
                <w:rFonts w:hint="eastAsia" w:ascii="宋体" w:hAnsi="宋体" w:cs="宋体"/>
                <w:kern w:val="0"/>
                <w:sz w:val="24"/>
                <w:szCs w:val="24"/>
              </w:rPr>
              <w:br w:type="textWrapping"/>
            </w:r>
            <w:r>
              <w:rPr>
                <w:rFonts w:hint="eastAsia" w:ascii="宋体" w:hAnsi="宋体" w:cs="宋体"/>
                <w:kern w:val="0"/>
                <w:sz w:val="24"/>
                <w:szCs w:val="24"/>
              </w:rPr>
              <w:t>（2）水域救援手套1双：</w:t>
            </w:r>
            <w:r>
              <w:rPr>
                <w:rFonts w:hint="eastAsia" w:ascii="宋体" w:hAnsi="宋体" w:cs="宋体"/>
                <w:kern w:val="0"/>
                <w:sz w:val="24"/>
                <w:szCs w:val="24"/>
              </w:rPr>
              <w:br w:type="textWrapping"/>
            </w:r>
            <w:r>
              <w:rPr>
                <w:rFonts w:hint="eastAsia" w:ascii="宋体" w:hAnsi="宋体" w:cs="宋体"/>
                <w:kern w:val="0"/>
                <w:sz w:val="24"/>
                <w:szCs w:val="24"/>
              </w:rPr>
              <w:t>（3）手套采用高档聚合物和热反射衬里，热合压缝，保证密封性，手套背面有≥2mm 氯丁橡胶层和≥2mm的缓冲垫层，提供良好的保暖性和抗冲击性，手心：芳香尼龙纤维的合成皮革，掌心与手指部位采用耐磨合成皮革贴片，手背有醒目的反光区域及3D 立体花纹，在手腕处设有魔术贴，可以快速调节和固定，并确保手套不会滑落，增加保暖性；</w:t>
            </w:r>
            <w:r>
              <w:rPr>
                <w:rFonts w:hint="eastAsia" w:ascii="宋体" w:hAnsi="宋体" w:cs="宋体"/>
                <w:kern w:val="0"/>
                <w:sz w:val="24"/>
                <w:szCs w:val="24"/>
              </w:rPr>
              <w:br w:type="textWrapping"/>
            </w:r>
            <w:r>
              <w:rPr>
                <w:rFonts w:hint="eastAsia" w:ascii="宋体" w:hAnsi="宋体" w:cs="宋体"/>
                <w:kern w:val="0"/>
                <w:sz w:val="24"/>
                <w:szCs w:val="24"/>
              </w:rPr>
              <w:t>5、水域救援鞋1双：</w:t>
            </w:r>
            <w:r>
              <w:rPr>
                <w:rFonts w:hint="eastAsia" w:ascii="宋体" w:hAnsi="宋体" w:cs="宋体"/>
                <w:kern w:val="0"/>
                <w:sz w:val="24"/>
                <w:szCs w:val="24"/>
              </w:rPr>
              <w:br w:type="textWrapping"/>
            </w:r>
            <w:r>
              <w:rPr>
                <w:rFonts w:hint="eastAsia" w:ascii="宋体" w:hAnsi="宋体" w:cs="宋体"/>
                <w:kern w:val="0"/>
                <w:sz w:val="24"/>
                <w:szCs w:val="24"/>
              </w:rPr>
              <w:t>（1）系带式高腰鞋 ，且带有可调粘扣,鞋面由进口合成超轻材料,内里是弹性十足≥5mm 厚的氯丁橡胶加固材料制成，内里弹性材料，内胆为足部提供很好的保暖性和踝部支撑和保护；</w:t>
            </w:r>
            <w:r>
              <w:rPr>
                <w:rFonts w:hint="eastAsia" w:ascii="宋体" w:hAnsi="宋体" w:cs="宋体"/>
                <w:kern w:val="0"/>
                <w:sz w:val="24"/>
                <w:szCs w:val="24"/>
              </w:rPr>
              <w:br w:type="textWrapping"/>
            </w:r>
            <w:r>
              <w:rPr>
                <w:rFonts w:hint="eastAsia" w:ascii="宋体" w:hAnsi="宋体" w:cs="宋体"/>
                <w:kern w:val="0"/>
                <w:sz w:val="24"/>
                <w:szCs w:val="24"/>
              </w:rPr>
              <w:t>（2）靴子内侧设有排水孔，鞋内底厚7mm, 鞋底有防滑设计，坚固结实，安全舒适，可适应各种地形，后帮跟部带有止滑凸块，可与蛙鞋稳固结合；</w:t>
            </w:r>
            <w:r>
              <w:rPr>
                <w:rFonts w:hint="eastAsia" w:ascii="宋体" w:hAnsi="宋体" w:cs="宋体"/>
                <w:kern w:val="0"/>
                <w:sz w:val="24"/>
                <w:szCs w:val="24"/>
              </w:rPr>
              <w:br w:type="textWrapping"/>
            </w:r>
            <w:r>
              <w:rPr>
                <w:rFonts w:hint="eastAsia" w:ascii="宋体" w:hAnsi="宋体" w:cs="宋体"/>
                <w:kern w:val="0"/>
                <w:sz w:val="24"/>
                <w:szCs w:val="24"/>
              </w:rPr>
              <w:t>6、水域救援刀1把：</w:t>
            </w:r>
            <w:r>
              <w:rPr>
                <w:rFonts w:hint="eastAsia" w:ascii="宋体" w:hAnsi="宋体" w:cs="宋体"/>
                <w:kern w:val="0"/>
                <w:sz w:val="24"/>
                <w:szCs w:val="24"/>
              </w:rPr>
              <w:br w:type="textWrapping"/>
            </w:r>
            <w:r>
              <w:rPr>
                <w:rFonts w:hint="eastAsia" w:ascii="宋体" w:hAnsi="宋体" w:cs="宋体"/>
                <w:kern w:val="0"/>
                <w:sz w:val="24"/>
                <w:szCs w:val="24"/>
              </w:rPr>
              <w:t>（1）符合GB/T2330.1-2018《金属材料洛氏硬度试验 第1部分：试验方法》；</w:t>
            </w:r>
            <w:r>
              <w:rPr>
                <w:rFonts w:hint="eastAsia" w:ascii="宋体" w:hAnsi="宋体" w:cs="宋体"/>
                <w:kern w:val="0"/>
                <w:sz w:val="24"/>
                <w:szCs w:val="24"/>
              </w:rPr>
              <w:br w:type="textWrapping"/>
            </w:r>
            <w:r>
              <w:rPr>
                <w:rFonts w:hint="eastAsia" w:ascii="宋体" w:hAnsi="宋体" w:cs="宋体"/>
                <w:kern w:val="0"/>
                <w:sz w:val="24"/>
                <w:szCs w:val="24"/>
              </w:rPr>
              <w:t>（2）钛合金潜水救援刀是极轻、超强韧和高耐腐蚀的结合体；</w:t>
            </w:r>
            <w:r>
              <w:rPr>
                <w:rFonts w:hint="eastAsia" w:ascii="宋体" w:hAnsi="宋体" w:cs="宋体"/>
                <w:kern w:val="0"/>
                <w:sz w:val="24"/>
                <w:szCs w:val="24"/>
              </w:rPr>
              <w:br w:type="textWrapping"/>
            </w:r>
            <w:r>
              <w:rPr>
                <w:rFonts w:hint="eastAsia" w:ascii="宋体" w:hAnsi="宋体" w:cs="宋体"/>
                <w:kern w:val="0"/>
                <w:sz w:val="24"/>
                <w:szCs w:val="24"/>
              </w:rPr>
              <w:t xml:space="preserve">（3）整刀尺寸总长≤10，硬度：≥HRC51。                 </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26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包含水域救援头盔1顶、防水头灯1个、水域救援手套1双、水域救援鞋1双、水域救援刀1把</w:t>
            </w: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19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水域救生套装</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★1、总体性能符合市场准入标准的要求，提供检测报告：按照须知前附表第29条执行；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★2、整套装备包括激流救援专用救生衣1套、救援牛尾绳1根、15m水域抛绳包1个、高频口哨1个和配套携行包1个；</w:t>
            </w:r>
            <w:r>
              <w:rPr>
                <w:rFonts w:hint="eastAsia" w:ascii="宋体" w:hAnsi="宋体" w:cs="宋体"/>
                <w:kern w:val="0"/>
                <w:sz w:val="24"/>
                <w:szCs w:val="24"/>
              </w:rPr>
              <w:br w:type="textWrapping"/>
            </w:r>
            <w:r>
              <w:rPr>
                <w:rFonts w:hint="eastAsia" w:ascii="宋体" w:hAnsi="宋体" w:cs="宋体"/>
                <w:kern w:val="0"/>
                <w:sz w:val="24"/>
                <w:szCs w:val="24"/>
              </w:rPr>
              <w:t>3、激流救援专用救生衣采用背心式设计，浮力≥150N，配备1根多功能腰带（宽度≥5cm，材质为尼龙织带）环绕在胸部，腰带前部设置自救脱困快解装置，腰带后部设置牵引绳连接拉环，正面设置可拆卸式置物袋（数量≥2个），后背设置可拆卸式置物袋（数量≥1个），设计多个与水域割绳刀、定位示位灯、口哨等配套的挂点；</w:t>
            </w:r>
            <w:r>
              <w:rPr>
                <w:rFonts w:hint="eastAsia" w:ascii="宋体" w:hAnsi="宋体" w:cs="宋体"/>
                <w:kern w:val="0"/>
                <w:sz w:val="24"/>
                <w:szCs w:val="24"/>
              </w:rPr>
              <w:br w:type="textWrapping"/>
            </w:r>
            <w:r>
              <w:rPr>
                <w:rFonts w:hint="eastAsia" w:ascii="宋体" w:hAnsi="宋体" w:cs="宋体"/>
                <w:kern w:val="0"/>
                <w:sz w:val="24"/>
                <w:szCs w:val="24"/>
              </w:rPr>
              <w:t>4、救援牛尾绳与救生衣配套使用，用于救生衣PFD上面的牵引绳，带有0型环和三角形连接锁，牵引绳应具有良好的延展效果，紧急情况下PFD救生衣可与该牵引绳快速分离，绳长≥80cm，延展长度≥150cm；</w:t>
            </w:r>
            <w:r>
              <w:rPr>
                <w:rFonts w:hint="eastAsia" w:ascii="宋体" w:hAnsi="宋体" w:cs="宋体"/>
                <w:kern w:val="0"/>
                <w:sz w:val="24"/>
                <w:szCs w:val="24"/>
              </w:rPr>
              <w:br w:type="textWrapping"/>
            </w:r>
            <w:r>
              <w:rPr>
                <w:rFonts w:hint="eastAsia" w:ascii="宋体" w:hAnsi="宋体" w:cs="宋体"/>
                <w:kern w:val="0"/>
                <w:sz w:val="24"/>
                <w:szCs w:val="24"/>
              </w:rPr>
              <w:t>5、15m水域抛绳包面料采用优质尼龙布料，颜色为红色或橙色，中部设置网布，顶端设有收紧拉绳，侧面设置魔术贴挂点，可挂闪光棒或荧光棒，配备专用水面荧光漂浮绳，直径≥8mm，长度≥15m；</w:t>
            </w:r>
            <w:r>
              <w:rPr>
                <w:rFonts w:hint="eastAsia" w:ascii="宋体" w:hAnsi="宋体" w:cs="宋体"/>
                <w:kern w:val="0"/>
                <w:sz w:val="24"/>
                <w:szCs w:val="24"/>
              </w:rPr>
              <w:br w:type="textWrapping"/>
            </w:r>
            <w:r>
              <w:rPr>
                <w:rFonts w:hint="eastAsia" w:ascii="宋体" w:hAnsi="宋体" w:cs="宋体"/>
                <w:kern w:val="0"/>
                <w:sz w:val="24"/>
                <w:szCs w:val="24"/>
              </w:rPr>
              <w:t>6、高频口哨采用ABS工程塑料材质，音量≥100dB，质量≤15g；</w:t>
            </w:r>
            <w:r>
              <w:rPr>
                <w:rFonts w:hint="eastAsia" w:ascii="宋体" w:hAnsi="宋体" w:cs="宋体"/>
                <w:kern w:val="0"/>
                <w:sz w:val="24"/>
                <w:szCs w:val="24"/>
              </w:rPr>
              <w:br w:type="textWrapping"/>
            </w:r>
            <w:r>
              <w:rPr>
                <w:rFonts w:hint="eastAsia" w:ascii="宋体" w:hAnsi="宋体" w:cs="宋体"/>
                <w:kern w:val="0"/>
                <w:sz w:val="24"/>
                <w:szCs w:val="24"/>
              </w:rPr>
              <w:t>7、携行包颜色为橘黄色或红色，具有一定的防水性能，容积≥50L。</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36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包含激流救生衣1套、救生圈1个、救生短绳1套</w:t>
            </w: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20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潜水装备套装</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★2、符合救援人员水上或水下作业要求；</w:t>
            </w:r>
            <w:r>
              <w:rPr>
                <w:rFonts w:hint="eastAsia" w:ascii="宋体" w:hAnsi="宋体" w:cs="宋体"/>
                <w:kern w:val="0"/>
                <w:sz w:val="24"/>
                <w:szCs w:val="24"/>
              </w:rPr>
              <w:br w:type="textWrapping"/>
            </w:r>
            <w:r>
              <w:rPr>
                <w:rFonts w:hint="eastAsia" w:ascii="宋体" w:hAnsi="宋体" w:cs="宋体"/>
                <w:kern w:val="0"/>
                <w:sz w:val="24"/>
                <w:szCs w:val="24"/>
              </w:rPr>
              <w:t>3、技术参数：</w:t>
            </w:r>
            <w:r>
              <w:rPr>
                <w:rFonts w:hint="eastAsia" w:ascii="宋体" w:hAnsi="宋体" w:cs="宋体"/>
                <w:kern w:val="0"/>
                <w:sz w:val="24"/>
                <w:szCs w:val="24"/>
              </w:rPr>
              <w:br w:type="textWrapping"/>
            </w:r>
            <w:r>
              <w:rPr>
                <w:rFonts w:hint="eastAsia" w:ascii="宋体" w:hAnsi="宋体" w:cs="宋体"/>
                <w:kern w:val="0"/>
                <w:sz w:val="24"/>
                <w:szCs w:val="24"/>
              </w:rPr>
              <w:t>（1）潜水头套用于水域救援保暖头套使用，通过包裹头部和耳朵减少在水里身体的热量流失，高弹性氯丁橡胶制成，内层贴合皮肤的内衬，穿着舒适，耐久度高；</w:t>
            </w:r>
            <w:r>
              <w:rPr>
                <w:rFonts w:hint="eastAsia" w:ascii="宋体" w:hAnsi="宋体" w:cs="宋体"/>
                <w:kern w:val="0"/>
                <w:sz w:val="24"/>
                <w:szCs w:val="24"/>
              </w:rPr>
              <w:br w:type="textWrapping"/>
            </w:r>
            <w:r>
              <w:rPr>
                <w:rFonts w:hint="eastAsia" w:ascii="宋体" w:hAnsi="宋体" w:cs="宋体"/>
                <w:kern w:val="0"/>
                <w:sz w:val="24"/>
                <w:szCs w:val="24"/>
              </w:rPr>
              <w:t>（2）面镜：重量轻、紧凑、牢固、硅胶裙边无泄漏的密封效果、可安装光学镜片；</w:t>
            </w:r>
            <w:r>
              <w:rPr>
                <w:rFonts w:hint="eastAsia" w:ascii="宋体" w:hAnsi="宋体" w:cs="宋体"/>
                <w:kern w:val="0"/>
                <w:sz w:val="24"/>
                <w:szCs w:val="24"/>
              </w:rPr>
              <w:br w:type="textWrapping"/>
            </w:r>
            <w:r>
              <w:rPr>
                <w:rFonts w:hint="eastAsia" w:ascii="宋体" w:hAnsi="宋体" w:cs="宋体"/>
                <w:kern w:val="0"/>
                <w:sz w:val="24"/>
                <w:szCs w:val="24"/>
              </w:rPr>
              <w:t>（3）干衣底衣双层防水保暖内衣，搭配干式潜水服使用。轻盈透气具有良好的保暖效果。前拉链设计，两头均可拉合。脚底配蹬带。口袋使用拉链；</w:t>
            </w:r>
            <w:r>
              <w:rPr>
                <w:rFonts w:hint="eastAsia" w:ascii="宋体" w:hAnsi="宋体" w:cs="宋体"/>
                <w:kern w:val="0"/>
                <w:sz w:val="24"/>
                <w:szCs w:val="24"/>
              </w:rPr>
              <w:br w:type="textWrapping"/>
            </w:r>
            <w:r>
              <w:rPr>
                <w:rFonts w:hint="eastAsia" w:ascii="宋体" w:hAnsi="宋体" w:cs="宋体"/>
                <w:kern w:val="0"/>
                <w:sz w:val="24"/>
                <w:szCs w:val="24"/>
              </w:rPr>
              <w:t>（4）脚蹼：蛙鞋，蹼片采用聚丙烯材质，鞋垫采用柔软的弹性纤维；</w:t>
            </w:r>
            <w:r>
              <w:rPr>
                <w:rFonts w:hint="eastAsia" w:ascii="宋体" w:hAnsi="宋体" w:cs="宋体"/>
                <w:kern w:val="0"/>
                <w:sz w:val="24"/>
                <w:szCs w:val="24"/>
              </w:rPr>
              <w:br w:type="textWrapping"/>
            </w:r>
            <w:r>
              <w:rPr>
                <w:rFonts w:hint="eastAsia" w:ascii="宋体" w:hAnsi="宋体" w:cs="宋体"/>
                <w:kern w:val="0"/>
                <w:sz w:val="24"/>
                <w:szCs w:val="24"/>
              </w:rPr>
              <w:t>✭（5）潜水气瓶：防锈及防爆全铝合金瓶身,铜制瓶头,配防爆安全阀,容积：≥11L，符合GB/T11640-2021标准，配备充气转换接口（与空呼充气泵匹配）。</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8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潜水头套1顶、潜水主灯1个、潜水脚蹼1双、潜水手电1具、潜水刀1把、潜水配重及配重带1套</w:t>
            </w: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21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冰面救援服</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★2、整体设计成密封连体服装，手套、靴子和头罩都与服装为一整体，具有防水、防寒功能，可快速穿脱；</w:t>
            </w:r>
            <w:r>
              <w:rPr>
                <w:rFonts w:hint="eastAsia" w:ascii="宋体" w:hAnsi="宋体" w:cs="宋体"/>
                <w:kern w:val="0"/>
                <w:sz w:val="24"/>
                <w:szCs w:val="24"/>
              </w:rPr>
              <w:br w:type="textWrapping"/>
            </w:r>
            <w:r>
              <w:rPr>
                <w:rFonts w:hint="eastAsia" w:ascii="宋体" w:hAnsi="宋体" w:cs="宋体"/>
                <w:kern w:val="0"/>
                <w:sz w:val="24"/>
                <w:szCs w:val="24"/>
              </w:rPr>
              <w:t>3、手套为五指，里面有保暖内衬。靴底防滑，里面有厚靴垫。服装里有可拆式透气保暖内衬，做到防水保暖兼具，穿脱便捷；</w:t>
            </w:r>
            <w:r>
              <w:rPr>
                <w:rFonts w:hint="eastAsia" w:ascii="宋体" w:hAnsi="宋体" w:cs="宋体"/>
                <w:kern w:val="0"/>
                <w:sz w:val="24"/>
                <w:szCs w:val="24"/>
              </w:rPr>
              <w:br w:type="textWrapping"/>
            </w:r>
            <w:r>
              <w:rPr>
                <w:rFonts w:hint="eastAsia" w:ascii="宋体" w:hAnsi="宋体" w:cs="宋体"/>
                <w:kern w:val="0"/>
                <w:sz w:val="24"/>
                <w:szCs w:val="24"/>
              </w:rPr>
              <w:t>4、技术参数：</w:t>
            </w:r>
            <w:r>
              <w:rPr>
                <w:rFonts w:hint="eastAsia" w:ascii="宋体" w:hAnsi="宋体" w:cs="宋体"/>
                <w:kern w:val="0"/>
                <w:sz w:val="24"/>
                <w:szCs w:val="24"/>
              </w:rPr>
              <w:br w:type="textWrapping"/>
            </w:r>
            <w:r>
              <w:rPr>
                <w:rFonts w:hint="eastAsia" w:ascii="宋体" w:hAnsi="宋体" w:cs="宋体"/>
                <w:kern w:val="0"/>
                <w:sz w:val="24"/>
                <w:szCs w:val="24"/>
              </w:rPr>
              <w:t>▲（1）适合于-30-0℃温度作业，内部可配置多功能口袋和拉链口袋，口袋拉链防水压胶设计，方便携带救援工具适合于。内背带设计，可将救援服调节至感觉最舒适的位置。配有舒适可拆卸的头罩；</w:t>
            </w:r>
            <w:r>
              <w:rPr>
                <w:rFonts w:hint="eastAsia" w:ascii="宋体" w:hAnsi="宋体" w:cs="宋体"/>
                <w:kern w:val="0"/>
                <w:sz w:val="24"/>
                <w:szCs w:val="24"/>
              </w:rPr>
              <w:br w:type="textWrapping"/>
            </w:r>
            <w:r>
              <w:rPr>
                <w:rFonts w:hint="eastAsia" w:ascii="宋体" w:hAnsi="宋体" w:cs="宋体"/>
                <w:kern w:val="0"/>
                <w:sz w:val="24"/>
                <w:szCs w:val="24"/>
              </w:rPr>
              <w:t>▲（2）肩部有反光带，膝盖处加配2块护垫保护，厚度：2mm，厚实耐磨，具有更好的护膝作用。全身配有5处反光条和魔术贴，胸部配有全调式安全吊带，可与绳索连接，设置携带冰面 爬行辅助器口袋。大腿部有特殊调整带，腿部宽松设计方便穿脱；</w:t>
            </w:r>
            <w:r>
              <w:rPr>
                <w:rFonts w:hint="eastAsia" w:ascii="宋体" w:hAnsi="宋体" w:cs="宋体"/>
                <w:kern w:val="0"/>
                <w:sz w:val="24"/>
                <w:szCs w:val="24"/>
              </w:rPr>
              <w:br w:type="textWrapping"/>
            </w:r>
            <w:r>
              <w:rPr>
                <w:rFonts w:hint="eastAsia" w:ascii="宋体" w:hAnsi="宋体" w:cs="宋体"/>
                <w:kern w:val="0"/>
                <w:sz w:val="24"/>
                <w:szCs w:val="24"/>
              </w:rPr>
              <w:t>（3）尺寸：均码 适合身高1.5-1.9m；</w:t>
            </w:r>
            <w:r>
              <w:rPr>
                <w:rFonts w:hint="eastAsia" w:ascii="宋体" w:hAnsi="宋体" w:cs="宋体"/>
                <w:kern w:val="0"/>
                <w:sz w:val="24"/>
                <w:szCs w:val="24"/>
              </w:rPr>
              <w:br w:type="textWrapping"/>
            </w:r>
            <w:r>
              <w:rPr>
                <w:rFonts w:hint="eastAsia" w:ascii="宋体" w:hAnsi="宋体" w:cs="宋体"/>
                <w:kern w:val="0"/>
                <w:sz w:val="24"/>
                <w:szCs w:val="24"/>
              </w:rPr>
              <w:t>（4）前胸后背都印有夜光反光标识。整套衣服都为高频热压而成，无车缝拼接，且防水拉链为OEB纯铜水密拉链；</w:t>
            </w:r>
            <w:r>
              <w:rPr>
                <w:rFonts w:hint="eastAsia" w:ascii="宋体" w:hAnsi="宋体" w:cs="宋体"/>
                <w:kern w:val="0"/>
                <w:sz w:val="24"/>
                <w:szCs w:val="24"/>
              </w:rPr>
              <w:br w:type="textWrapping"/>
            </w:r>
            <w:r>
              <w:rPr>
                <w:rFonts w:hint="eastAsia" w:ascii="宋体" w:hAnsi="宋体" w:cs="宋体"/>
                <w:kern w:val="0"/>
                <w:sz w:val="24"/>
                <w:szCs w:val="24"/>
              </w:rPr>
              <w:t>（5）在150N拉伸强度下持续10S，未出现断裂；</w:t>
            </w:r>
            <w:r>
              <w:rPr>
                <w:rFonts w:hint="eastAsia" w:ascii="宋体" w:hAnsi="宋体" w:cs="宋体"/>
                <w:kern w:val="0"/>
                <w:sz w:val="24"/>
                <w:szCs w:val="24"/>
              </w:rPr>
              <w:br w:type="textWrapping"/>
            </w:r>
            <w:r>
              <w:rPr>
                <w:rFonts w:hint="eastAsia" w:ascii="宋体" w:hAnsi="宋体" w:cs="宋体"/>
                <w:kern w:val="0"/>
                <w:sz w:val="24"/>
                <w:szCs w:val="24"/>
              </w:rPr>
              <w:t>（6）耐水色牢度4，pH值5，耐干摩擦色牢度4；</w:t>
            </w:r>
            <w:r>
              <w:rPr>
                <w:rFonts w:hint="eastAsia" w:ascii="宋体" w:hAnsi="宋体" w:cs="宋体"/>
                <w:kern w:val="0"/>
                <w:sz w:val="24"/>
                <w:szCs w:val="24"/>
              </w:rPr>
              <w:br w:type="textWrapping"/>
            </w:r>
            <w:r>
              <w:rPr>
                <w:rFonts w:hint="eastAsia" w:ascii="宋体" w:hAnsi="宋体" w:cs="宋体"/>
                <w:kern w:val="0"/>
                <w:sz w:val="24"/>
                <w:szCs w:val="24"/>
              </w:rPr>
              <w:t>（7）穿着救生衣经受1h浸水后，体温下降≤0.6℃，且能捡起直径9mm的铅笔进行书写；</w:t>
            </w:r>
            <w:r>
              <w:rPr>
                <w:rFonts w:hint="eastAsia" w:ascii="宋体" w:hAnsi="宋体" w:cs="宋体"/>
                <w:kern w:val="0"/>
                <w:sz w:val="24"/>
                <w:szCs w:val="24"/>
              </w:rPr>
              <w:br w:type="textWrapping"/>
            </w:r>
            <w:r>
              <w:rPr>
                <w:rFonts w:hint="eastAsia" w:ascii="宋体" w:hAnsi="宋体" w:cs="宋体"/>
                <w:kern w:val="0"/>
                <w:sz w:val="24"/>
                <w:szCs w:val="24"/>
              </w:rPr>
              <w:t>（8）穿着救援服在静水中1h后，救援服的进水量≤20g，靴底抗刺穿性能≥1300N。</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22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全面罩</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★2、潜水全面罩：由全面罩，水下耳机，水面基站组成；</w:t>
            </w:r>
            <w:r>
              <w:rPr>
                <w:rFonts w:hint="eastAsia" w:ascii="宋体" w:hAnsi="宋体" w:cs="宋体"/>
                <w:kern w:val="0"/>
                <w:sz w:val="24"/>
                <w:szCs w:val="24"/>
              </w:rPr>
              <w:br w:type="textWrapping"/>
            </w:r>
            <w:r>
              <w:rPr>
                <w:rFonts w:hint="eastAsia" w:ascii="宋体" w:hAnsi="宋体" w:cs="宋体"/>
                <w:kern w:val="0"/>
                <w:sz w:val="24"/>
                <w:szCs w:val="24"/>
              </w:rPr>
              <w:t>3、适用于潜水员在污染、低温和复杂水下环境中进行作业时的面部保护；</w:t>
            </w:r>
            <w:r>
              <w:rPr>
                <w:rFonts w:hint="eastAsia" w:ascii="宋体" w:hAnsi="宋体" w:cs="宋体"/>
                <w:kern w:val="0"/>
                <w:sz w:val="24"/>
                <w:szCs w:val="24"/>
              </w:rPr>
              <w:br w:type="textWrapping"/>
            </w:r>
            <w:r>
              <w:rPr>
                <w:rFonts w:hint="eastAsia" w:ascii="宋体" w:hAnsi="宋体" w:cs="宋体"/>
                <w:kern w:val="0"/>
                <w:sz w:val="24"/>
                <w:szCs w:val="24"/>
              </w:rPr>
              <w:t>4、面罩和调节器框架结构采用高强度 ABS 塑料；一体化硅胶材质的双密封裙边；</w:t>
            </w:r>
            <w:r>
              <w:rPr>
                <w:rFonts w:hint="eastAsia" w:ascii="宋体" w:hAnsi="宋体" w:cs="宋体"/>
                <w:kern w:val="0"/>
                <w:sz w:val="24"/>
                <w:szCs w:val="24"/>
              </w:rPr>
              <w:br w:type="textWrapping"/>
            </w:r>
            <w:r>
              <w:rPr>
                <w:rFonts w:hint="eastAsia" w:ascii="宋体" w:hAnsi="宋体" w:cs="宋体"/>
                <w:kern w:val="0"/>
                <w:sz w:val="24"/>
                <w:szCs w:val="24"/>
              </w:rPr>
              <w:t>5、、技术参数：</w:t>
            </w:r>
            <w:r>
              <w:rPr>
                <w:rFonts w:hint="eastAsia" w:ascii="宋体" w:hAnsi="宋体" w:cs="宋体"/>
                <w:kern w:val="0"/>
                <w:sz w:val="24"/>
                <w:szCs w:val="24"/>
              </w:rPr>
              <w:br w:type="textWrapping"/>
            </w:r>
            <w:r>
              <w:rPr>
                <w:rFonts w:hint="eastAsia" w:ascii="宋体" w:hAnsi="宋体" w:cs="宋体"/>
                <w:kern w:val="0"/>
                <w:sz w:val="24"/>
                <w:szCs w:val="24"/>
              </w:rPr>
              <w:t>（1）配备专用水下通讯单元和耳机／麦克风；</w:t>
            </w:r>
            <w:r>
              <w:rPr>
                <w:rFonts w:hint="eastAsia" w:ascii="宋体" w:hAnsi="宋体" w:cs="宋体"/>
                <w:kern w:val="0"/>
                <w:sz w:val="24"/>
                <w:szCs w:val="24"/>
              </w:rPr>
              <w:br w:type="textWrapping"/>
            </w:r>
            <w:r>
              <w:rPr>
                <w:rFonts w:hint="eastAsia" w:ascii="宋体" w:hAnsi="宋体" w:cs="宋体"/>
                <w:kern w:val="0"/>
                <w:sz w:val="24"/>
                <w:szCs w:val="24"/>
              </w:rPr>
              <w:t>（2）独有的导流除雾设计提高水下使用的便捷和安全性；</w:t>
            </w:r>
            <w:r>
              <w:rPr>
                <w:rFonts w:hint="eastAsia" w:ascii="宋体" w:hAnsi="宋体" w:cs="宋体"/>
                <w:kern w:val="0"/>
                <w:sz w:val="24"/>
                <w:szCs w:val="24"/>
              </w:rPr>
              <w:br w:type="textWrapping"/>
            </w:r>
            <w:r>
              <w:rPr>
                <w:rFonts w:hint="eastAsia" w:ascii="宋体" w:hAnsi="宋体" w:cs="宋体"/>
                <w:kern w:val="0"/>
                <w:sz w:val="24"/>
                <w:szCs w:val="24"/>
              </w:rPr>
              <w:t>（3）单向阀门排气设计有效消除二氧化碳堆积；</w:t>
            </w:r>
            <w:r>
              <w:rPr>
                <w:rFonts w:hint="eastAsia" w:ascii="宋体" w:hAnsi="宋体" w:cs="宋体"/>
                <w:kern w:val="0"/>
                <w:sz w:val="24"/>
                <w:szCs w:val="24"/>
              </w:rPr>
              <w:br w:type="textWrapping"/>
            </w:r>
            <w:r>
              <w:rPr>
                <w:rFonts w:hint="eastAsia" w:ascii="宋体" w:hAnsi="宋体" w:cs="宋体"/>
                <w:kern w:val="0"/>
                <w:sz w:val="24"/>
                <w:szCs w:val="24"/>
              </w:rPr>
              <w:t>（4）面罩右侧装有水面呼吸阀门，降低入水前气体消耗量；</w:t>
            </w:r>
            <w:r>
              <w:rPr>
                <w:rFonts w:hint="eastAsia" w:ascii="宋体" w:hAnsi="宋体" w:cs="宋体"/>
                <w:kern w:val="0"/>
                <w:sz w:val="24"/>
                <w:szCs w:val="24"/>
              </w:rPr>
              <w:br w:type="textWrapping"/>
            </w:r>
            <w:r>
              <w:rPr>
                <w:rFonts w:hint="eastAsia" w:ascii="宋体" w:hAnsi="宋体" w:cs="宋体"/>
                <w:kern w:val="0"/>
                <w:sz w:val="24"/>
                <w:szCs w:val="24"/>
              </w:rPr>
              <w:t>（5）使用专用可调整的鼻托垫进行耳压平衡；</w:t>
            </w:r>
            <w:r>
              <w:rPr>
                <w:rFonts w:hint="eastAsia" w:ascii="宋体" w:hAnsi="宋体" w:cs="宋体"/>
                <w:kern w:val="0"/>
                <w:sz w:val="24"/>
                <w:szCs w:val="24"/>
              </w:rPr>
              <w:br w:type="textWrapping"/>
            </w:r>
            <w:r>
              <w:rPr>
                <w:rFonts w:hint="eastAsia" w:ascii="宋体" w:hAnsi="宋体" w:cs="宋体"/>
                <w:kern w:val="0"/>
                <w:sz w:val="24"/>
                <w:szCs w:val="24"/>
              </w:rPr>
              <w:t>★（6）水面基站：四频道通讯，标准范围200-3000m，输出功率约5w；</w:t>
            </w:r>
            <w:r>
              <w:rPr>
                <w:rFonts w:hint="eastAsia" w:ascii="宋体" w:hAnsi="宋体" w:cs="宋体"/>
                <w:kern w:val="0"/>
                <w:sz w:val="24"/>
                <w:szCs w:val="24"/>
              </w:rPr>
              <w:br w:type="textWrapping"/>
            </w:r>
            <w:r>
              <w:rPr>
                <w:rFonts w:hint="eastAsia" w:ascii="宋体" w:hAnsi="宋体" w:cs="宋体"/>
                <w:kern w:val="0"/>
                <w:sz w:val="24"/>
                <w:szCs w:val="24"/>
              </w:rPr>
              <w:t>（7）水下耳机：配合全面罩使用，双频道水下通讯耳机。标准范围50-500m，输出功≥0.5w，水下耳机最大使用深度≥40m。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23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冰域呼吸器组件</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★2、适合消防救援人员开展冰潜作业时的保护，由全面罩，水下耳机，水面基站组成；</w:t>
            </w:r>
            <w:r>
              <w:rPr>
                <w:rFonts w:hint="eastAsia" w:ascii="宋体" w:hAnsi="宋体" w:cs="宋体"/>
                <w:kern w:val="0"/>
                <w:sz w:val="24"/>
                <w:szCs w:val="24"/>
              </w:rPr>
              <w:br w:type="textWrapping"/>
            </w:r>
            <w:r>
              <w:rPr>
                <w:rFonts w:hint="eastAsia" w:ascii="宋体" w:hAnsi="宋体" w:cs="宋体"/>
                <w:kern w:val="0"/>
                <w:sz w:val="24"/>
                <w:szCs w:val="24"/>
              </w:rPr>
              <w:t>3、技术参数：</w:t>
            </w:r>
            <w:r>
              <w:rPr>
                <w:rFonts w:hint="eastAsia" w:ascii="宋体" w:hAnsi="宋体" w:cs="宋体"/>
                <w:kern w:val="0"/>
                <w:sz w:val="24"/>
                <w:szCs w:val="24"/>
              </w:rPr>
              <w:br w:type="textWrapping"/>
            </w:r>
            <w:r>
              <w:rPr>
                <w:rFonts w:hint="eastAsia" w:ascii="宋体" w:hAnsi="宋体" w:cs="宋体"/>
                <w:kern w:val="0"/>
                <w:sz w:val="24"/>
                <w:szCs w:val="24"/>
              </w:rPr>
              <w:t>▲（1）面罩和调节器框架结构采用高强度 ABS 塑料；一体化硅胶材质的双密封裙边；</w:t>
            </w:r>
            <w:r>
              <w:rPr>
                <w:rFonts w:hint="eastAsia" w:ascii="宋体" w:hAnsi="宋体" w:cs="宋体"/>
                <w:kern w:val="0"/>
                <w:sz w:val="24"/>
                <w:szCs w:val="24"/>
              </w:rPr>
              <w:br w:type="textWrapping"/>
            </w:r>
            <w:r>
              <w:rPr>
                <w:rFonts w:hint="eastAsia" w:ascii="宋体" w:hAnsi="宋体" w:cs="宋体"/>
                <w:kern w:val="0"/>
                <w:sz w:val="24"/>
                <w:szCs w:val="24"/>
              </w:rPr>
              <w:t>（2）配备专用水下通讯单元和耳机／麦克风；</w:t>
            </w:r>
            <w:r>
              <w:rPr>
                <w:rFonts w:hint="eastAsia" w:ascii="宋体" w:hAnsi="宋体" w:cs="宋体"/>
                <w:kern w:val="0"/>
                <w:sz w:val="24"/>
                <w:szCs w:val="24"/>
              </w:rPr>
              <w:br w:type="textWrapping"/>
            </w:r>
            <w:r>
              <w:rPr>
                <w:rFonts w:hint="eastAsia" w:ascii="宋体" w:hAnsi="宋体" w:cs="宋体"/>
                <w:kern w:val="0"/>
                <w:sz w:val="24"/>
                <w:szCs w:val="24"/>
              </w:rPr>
              <w:t>（3）独有的导流除雾设计提高水下使用的便捷和安全性；</w:t>
            </w:r>
            <w:r>
              <w:rPr>
                <w:rFonts w:hint="eastAsia" w:ascii="宋体" w:hAnsi="宋体" w:cs="宋体"/>
                <w:kern w:val="0"/>
                <w:sz w:val="24"/>
                <w:szCs w:val="24"/>
              </w:rPr>
              <w:br w:type="textWrapping"/>
            </w:r>
            <w:r>
              <w:rPr>
                <w:rFonts w:hint="eastAsia" w:ascii="宋体" w:hAnsi="宋体" w:cs="宋体"/>
                <w:kern w:val="0"/>
                <w:sz w:val="24"/>
                <w:szCs w:val="24"/>
              </w:rPr>
              <w:t>（4）单向阀门排气设计有效消除二氧化碳堆积；</w:t>
            </w:r>
            <w:r>
              <w:rPr>
                <w:rFonts w:hint="eastAsia" w:ascii="宋体" w:hAnsi="宋体" w:cs="宋体"/>
                <w:kern w:val="0"/>
                <w:sz w:val="24"/>
                <w:szCs w:val="24"/>
              </w:rPr>
              <w:br w:type="textWrapping"/>
            </w:r>
            <w:r>
              <w:rPr>
                <w:rFonts w:hint="eastAsia" w:ascii="宋体" w:hAnsi="宋体" w:cs="宋体"/>
                <w:kern w:val="0"/>
                <w:sz w:val="24"/>
                <w:szCs w:val="24"/>
              </w:rPr>
              <w:t>（5）面罩右侧装有水面呼吸阀门，降低入水前气体消耗量；</w:t>
            </w:r>
            <w:r>
              <w:rPr>
                <w:rFonts w:hint="eastAsia" w:ascii="宋体" w:hAnsi="宋体" w:cs="宋体"/>
                <w:kern w:val="0"/>
                <w:sz w:val="24"/>
                <w:szCs w:val="24"/>
              </w:rPr>
              <w:br w:type="textWrapping"/>
            </w:r>
            <w:r>
              <w:rPr>
                <w:rFonts w:hint="eastAsia" w:ascii="宋体" w:hAnsi="宋体" w:cs="宋体"/>
                <w:kern w:val="0"/>
                <w:sz w:val="24"/>
                <w:szCs w:val="24"/>
              </w:rPr>
              <w:t>（6）使用专用可调整的鼻托垫进行耳压平衡；</w:t>
            </w:r>
            <w:r>
              <w:rPr>
                <w:rFonts w:hint="eastAsia" w:ascii="宋体" w:hAnsi="宋体" w:cs="宋体"/>
                <w:kern w:val="0"/>
                <w:sz w:val="24"/>
                <w:szCs w:val="24"/>
              </w:rPr>
              <w:br w:type="textWrapping"/>
            </w:r>
            <w:r>
              <w:rPr>
                <w:rFonts w:hint="eastAsia" w:ascii="宋体" w:hAnsi="宋体" w:cs="宋体"/>
                <w:kern w:val="0"/>
                <w:sz w:val="24"/>
                <w:szCs w:val="24"/>
              </w:rPr>
              <w:t>（7）水面基站：四频道通讯，标准范围200-3000m，输出功率≥5w；</w:t>
            </w:r>
            <w:r>
              <w:rPr>
                <w:rFonts w:hint="eastAsia" w:ascii="宋体" w:hAnsi="宋体" w:cs="宋体"/>
                <w:kern w:val="0"/>
                <w:sz w:val="24"/>
                <w:szCs w:val="24"/>
              </w:rPr>
              <w:br w:type="textWrapping"/>
            </w:r>
            <w:r>
              <w:rPr>
                <w:rFonts w:hint="eastAsia" w:ascii="宋体" w:hAnsi="宋体" w:cs="宋体"/>
                <w:kern w:val="0"/>
                <w:sz w:val="24"/>
                <w:szCs w:val="24"/>
              </w:rPr>
              <w:t>（8）手持式，≥200 欧姆／重型前面板扬声器，带开／关控制，尺寸约：36cm*16.5cm*27cm。声音控制、噪音抑制和波段选择可以调节，标配手持式麦克风和无线通讯传感器电缆；</w:t>
            </w:r>
            <w:r>
              <w:rPr>
                <w:rFonts w:hint="eastAsia" w:ascii="宋体" w:hAnsi="宋体" w:cs="宋体"/>
                <w:kern w:val="0"/>
                <w:sz w:val="24"/>
                <w:szCs w:val="24"/>
              </w:rPr>
              <w:br w:type="textWrapping"/>
            </w:r>
            <w:r>
              <w:rPr>
                <w:rFonts w:hint="eastAsia" w:ascii="宋体" w:hAnsi="宋体" w:cs="宋体"/>
                <w:kern w:val="0"/>
                <w:sz w:val="24"/>
                <w:szCs w:val="24"/>
              </w:rPr>
              <w:t>（9）水下耳机：配合全面罩使用，双频道水下通讯耳机。标准范围50-500m，输出功率约0.5w，水下耳机最大使用深度≥40m。参考频率约32.768 kHz。载波频率：300 Hz-3,000 Hz。</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6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24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水面漂浮救生绳（200米）</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★1、符合GB/T8834--2016绳索有关物理和机械性能的测定,救生绳线密度测试按GB/T8834-2016规定的方法进行测量，救生绳包装箱体对应GB/T191规定提供相关标志,提供检测报告：按照须知前附表第29条执行；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2、水面漂浮绳索材料：高强聚乙烯+抗老化剂，水面漂浮绳具有自动发光、反光的功能；</w:t>
            </w:r>
            <w:r>
              <w:rPr>
                <w:rFonts w:hint="eastAsia" w:ascii="宋体" w:hAnsi="宋体" w:cs="宋体"/>
                <w:kern w:val="0"/>
                <w:sz w:val="24"/>
                <w:szCs w:val="24"/>
              </w:rPr>
              <w:br w:type="textWrapping"/>
            </w:r>
            <w:r>
              <w:rPr>
                <w:rFonts w:hint="eastAsia" w:ascii="宋体" w:hAnsi="宋体" w:cs="宋体"/>
                <w:kern w:val="0"/>
                <w:sz w:val="24"/>
                <w:szCs w:val="24"/>
              </w:rPr>
              <w:t>▲3、直径≥8mm;长度200m，破断强力≥18kN，漂浮时间≥48h；</w:t>
            </w:r>
            <w:r>
              <w:rPr>
                <w:rFonts w:hint="eastAsia" w:ascii="宋体" w:hAnsi="宋体" w:cs="宋体"/>
                <w:kern w:val="0"/>
                <w:sz w:val="24"/>
                <w:szCs w:val="24"/>
              </w:rPr>
              <w:br w:type="textWrapping"/>
            </w:r>
            <w:r>
              <w:rPr>
                <w:rFonts w:hint="eastAsia" w:ascii="宋体" w:hAnsi="宋体" w:cs="宋体"/>
                <w:kern w:val="0"/>
                <w:sz w:val="24"/>
                <w:szCs w:val="24"/>
              </w:rPr>
              <w:t>4、配防水绳包、手环、金属挂钩；</w:t>
            </w:r>
            <w:r>
              <w:rPr>
                <w:rFonts w:hint="eastAsia" w:ascii="宋体" w:hAnsi="宋体" w:cs="宋体"/>
                <w:kern w:val="0"/>
                <w:sz w:val="24"/>
                <w:szCs w:val="24"/>
              </w:rPr>
              <w:br w:type="textWrapping"/>
            </w:r>
            <w:r>
              <w:rPr>
                <w:rFonts w:hint="eastAsia" w:ascii="宋体" w:hAnsi="宋体" w:cs="宋体"/>
                <w:kern w:val="0"/>
                <w:sz w:val="24"/>
                <w:szCs w:val="24"/>
              </w:rPr>
              <w:t>5、绳头设有检验标识、生产日期等信息；</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sz w:val="24"/>
                <w:szCs w:val="24"/>
              </w:rPr>
            </w:pPr>
          </w:p>
        </w:tc>
      </w:tr>
      <w:tr>
        <w:tblPrEx>
          <w:tblCellMar>
            <w:top w:w="0" w:type="dxa"/>
            <w:left w:w="108" w:type="dxa"/>
            <w:bottom w:w="0" w:type="dxa"/>
            <w:right w:w="108" w:type="dxa"/>
          </w:tblCellMar>
        </w:tblPrEx>
        <w:trPr>
          <w:trHeight w:val="580" w:hRule="atLeast"/>
        </w:trPr>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25 </w:t>
            </w:r>
          </w:p>
        </w:tc>
        <w:tc>
          <w:tcPr>
            <w:tcW w:w="17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冰面行动辅助套装</w:t>
            </w:r>
          </w:p>
        </w:tc>
        <w:tc>
          <w:tcPr>
            <w:tcW w:w="94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2、适合救援人员开展冰面救援或者训练，并能与冰域防护服配套使用；</w:t>
            </w:r>
            <w:r>
              <w:rPr>
                <w:rFonts w:hint="eastAsia" w:ascii="宋体" w:hAnsi="宋体" w:cs="宋体"/>
                <w:kern w:val="0"/>
                <w:sz w:val="24"/>
                <w:szCs w:val="24"/>
              </w:rPr>
              <w:br w:type="textWrapping"/>
            </w:r>
            <w:r>
              <w:rPr>
                <w:rFonts w:hint="eastAsia" w:ascii="宋体" w:hAnsi="宋体" w:cs="宋体"/>
                <w:kern w:val="0"/>
                <w:sz w:val="24"/>
                <w:szCs w:val="24"/>
              </w:rPr>
              <w:t>3、技术参数：</w:t>
            </w:r>
            <w:r>
              <w:rPr>
                <w:rFonts w:hint="eastAsia" w:ascii="宋体" w:hAnsi="宋体" w:cs="宋体"/>
                <w:kern w:val="0"/>
                <w:sz w:val="24"/>
                <w:szCs w:val="24"/>
              </w:rPr>
              <w:br w:type="textWrapping"/>
            </w:r>
            <w:r>
              <w:rPr>
                <w:rFonts w:hint="eastAsia" w:ascii="宋体" w:hAnsi="宋体" w:cs="宋体"/>
                <w:kern w:val="0"/>
                <w:sz w:val="24"/>
                <w:szCs w:val="24"/>
              </w:rPr>
              <w:t>（1）冰爪：加强型12齿碎冰冰爪，材质：TPU橡胶+锰钢爪，适合鞋码：35-45码，规格：伸缩长度范围区间（19-28cm），收纳袋1个；</w:t>
            </w:r>
            <w:r>
              <w:rPr>
                <w:rFonts w:hint="eastAsia" w:ascii="宋体" w:hAnsi="宋体" w:cs="宋体"/>
                <w:kern w:val="0"/>
                <w:sz w:val="24"/>
                <w:szCs w:val="24"/>
              </w:rPr>
              <w:br w:type="textWrapping"/>
            </w:r>
            <w:r>
              <w:rPr>
                <w:rFonts w:hint="eastAsia" w:ascii="宋体" w:hAnsi="宋体" w:cs="宋体"/>
                <w:kern w:val="0"/>
                <w:sz w:val="24"/>
                <w:szCs w:val="24"/>
              </w:rPr>
              <w:t>（2）爬行辅助器：冰面救援爬行辅助器可以用于自救，也可以使施救人员更安全的靠近遇险人员，使用它可以在冰面上爬行的时候增大摩擦力。另外冰面救援爬行辅助器有附带的挂绳能与冰面救援服配套使用，施救人员可以用这个绳子将工具抛给已经跌入冰水里的遇险人员，10cm长的塑料把手中包含一个带有可伸缩保护鞘的2.5cm长的尖头，在两个把手之间有1.6m长的挂绳，里面有反光丝，在黑暗的环境下易于辨识；</w:t>
            </w:r>
            <w:r>
              <w:rPr>
                <w:rFonts w:hint="eastAsia" w:ascii="宋体" w:hAnsi="宋体" w:cs="宋体"/>
                <w:kern w:val="0"/>
                <w:sz w:val="24"/>
                <w:szCs w:val="24"/>
              </w:rPr>
              <w:br w:type="textWrapping"/>
            </w:r>
            <w:r>
              <w:rPr>
                <w:rFonts w:hint="eastAsia" w:ascii="宋体" w:hAnsi="宋体" w:cs="宋体"/>
                <w:kern w:val="0"/>
                <w:sz w:val="24"/>
                <w:szCs w:val="24"/>
              </w:rPr>
              <w:t>（3）冰镐：适用于大多数冰雪环境下攀冰、攀岩、登山时使用，冰镐手柄采用性能不低于热锻铝镁合金材质制作，冰镐镐尖用于雪山或者冰山的攀登，采用铝钼合金钢的材质制作，铲头用来在登山时清理道路上淤泥石头等东西，挂孔用于排泥，挂孔数量不低于两个，冰镐尾部有尖刺，锋利容易插入雪地和冰面；</w:t>
            </w:r>
            <w:r>
              <w:rPr>
                <w:rFonts w:hint="eastAsia" w:ascii="宋体" w:hAnsi="宋体" w:cs="宋体"/>
                <w:kern w:val="0"/>
                <w:sz w:val="24"/>
                <w:szCs w:val="24"/>
              </w:rPr>
              <w:br w:type="textWrapping"/>
            </w:r>
            <w:r>
              <w:rPr>
                <w:rFonts w:hint="eastAsia" w:ascii="宋体" w:hAnsi="宋体" w:cs="宋体"/>
                <w:kern w:val="0"/>
                <w:sz w:val="24"/>
                <w:szCs w:val="24"/>
              </w:rPr>
              <w:t>（4）冰锚：坚韧结实，采用超轻航空铝材质框架。质量：≤350g，带有孔洞，可以连接钢缆使用，长度：≥190mm。</w:t>
            </w:r>
          </w:p>
        </w:tc>
        <w:tc>
          <w:tcPr>
            <w:tcW w:w="8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8 </w:t>
            </w:r>
          </w:p>
        </w:tc>
        <w:tc>
          <w:tcPr>
            <w:tcW w:w="11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冰爪1副、爬行辅助器（冰锥）1对、冰镐1把、冰锚1副</w:t>
            </w:r>
          </w:p>
        </w:tc>
      </w:tr>
    </w:tbl>
    <w:p>
      <w:pPr>
        <w:pStyle w:val="23"/>
        <w:rPr>
          <w:rFonts w:hAnsi="宋体" w:cs="宋体"/>
          <w:sz w:val="24"/>
          <w:szCs w:val="24"/>
        </w:rPr>
      </w:pPr>
    </w:p>
    <w:p>
      <w:pPr>
        <w:pStyle w:val="23"/>
      </w:pPr>
    </w:p>
    <w:p>
      <w:pPr>
        <w:pStyle w:val="23"/>
        <w:jc w:val="center"/>
        <w:rPr>
          <w:b/>
          <w:bCs/>
          <w:sz w:val="32"/>
          <w:szCs w:val="32"/>
        </w:rPr>
      </w:pPr>
      <w:r>
        <w:rPr>
          <w:rFonts w:hint="eastAsia"/>
          <w:b/>
          <w:bCs/>
          <w:sz w:val="32"/>
          <w:szCs w:val="32"/>
        </w:rPr>
        <w:t>第二包</w:t>
      </w:r>
    </w:p>
    <w:tbl>
      <w:tblPr>
        <w:tblStyle w:val="38"/>
        <w:tblW w:w="13996" w:type="dxa"/>
        <w:tblInd w:w="98" w:type="dxa"/>
        <w:tblLayout w:type="fixed"/>
        <w:tblCellMar>
          <w:top w:w="0" w:type="dxa"/>
          <w:left w:w="108" w:type="dxa"/>
          <w:bottom w:w="0" w:type="dxa"/>
          <w:right w:w="108" w:type="dxa"/>
        </w:tblCellMar>
      </w:tblPr>
      <w:tblGrid>
        <w:gridCol w:w="733"/>
        <w:gridCol w:w="1713"/>
        <w:gridCol w:w="9475"/>
        <w:gridCol w:w="900"/>
        <w:gridCol w:w="1175"/>
      </w:tblGrid>
      <w:tr>
        <w:trPr>
          <w:trHeight w:val="30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序号</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装备名称</w:t>
            </w:r>
          </w:p>
        </w:tc>
        <w:tc>
          <w:tcPr>
            <w:tcW w:w="94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技术参数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数量</w:t>
            </w:r>
          </w:p>
        </w:tc>
        <w:tc>
          <w:tcPr>
            <w:tcW w:w="11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备注</w:t>
            </w:r>
          </w:p>
        </w:tc>
      </w:tr>
      <w:tr>
        <w:tblPrEx>
          <w:tblCellMar>
            <w:top w:w="0" w:type="dxa"/>
            <w:left w:w="108" w:type="dxa"/>
            <w:bottom w:w="0" w:type="dxa"/>
            <w:right w:w="108" w:type="dxa"/>
          </w:tblCellMar>
        </w:tblPrEx>
        <w:trPr>
          <w:trHeight w:val="62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电动液压剪扩组</w:t>
            </w:r>
          </w:p>
        </w:tc>
        <w:tc>
          <w:tcPr>
            <w:tcW w:w="94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2、主要功能：消防员在灭火或救人时强行开启门窗，开辟救生通道装备；</w:t>
            </w:r>
            <w:r>
              <w:rPr>
                <w:rFonts w:hint="eastAsia" w:ascii="宋体" w:hAnsi="宋体" w:cs="宋体"/>
                <w:kern w:val="0"/>
                <w:sz w:val="24"/>
                <w:szCs w:val="24"/>
              </w:rPr>
              <w:br w:type="textWrapping"/>
            </w:r>
            <w:r>
              <w:rPr>
                <w:rFonts w:hint="eastAsia" w:ascii="宋体" w:hAnsi="宋体" w:cs="宋体"/>
                <w:kern w:val="0"/>
                <w:sz w:val="24"/>
                <w:szCs w:val="24"/>
              </w:rPr>
              <w:t>▲3、技术要求：端部最大开口距离不小于300mm。剪断能力：≥Φ34mm（圆钢）、厚度≥ 25mm 板材；</w:t>
            </w:r>
            <w:r>
              <w:rPr>
                <w:rFonts w:hint="eastAsia" w:ascii="宋体" w:hAnsi="宋体" w:cs="宋体"/>
                <w:kern w:val="0"/>
                <w:sz w:val="24"/>
                <w:szCs w:val="24"/>
              </w:rPr>
              <w:br w:type="textWrapping"/>
            </w:r>
            <w:r>
              <w:rPr>
                <w:rFonts w:hint="eastAsia" w:ascii="宋体" w:hAnsi="宋体" w:cs="宋体"/>
                <w:kern w:val="0"/>
                <w:sz w:val="24"/>
                <w:szCs w:val="24"/>
              </w:rPr>
              <w:t>▲4、扩张距离≥360mm，最小扩张力≥33kN；最大剪切开口≥270mm，最大剪切力≥268kN，剪切圆钢直径≥24mm；最大收紧力≥34kN；防护等级≥IP57；</w:t>
            </w:r>
            <w:r>
              <w:rPr>
                <w:rFonts w:hint="eastAsia" w:ascii="宋体" w:hAnsi="宋体" w:cs="宋体"/>
                <w:kern w:val="0"/>
                <w:sz w:val="24"/>
                <w:szCs w:val="24"/>
              </w:rPr>
              <w:br w:type="textWrapping"/>
            </w:r>
            <w:r>
              <w:rPr>
                <w:rFonts w:hint="eastAsia" w:ascii="宋体" w:hAnsi="宋体" w:cs="宋体"/>
                <w:kern w:val="0"/>
                <w:sz w:val="24"/>
                <w:szCs w:val="24"/>
              </w:rPr>
              <w:t>5、有电量显示功能，重量≤20kg（含电池）；配备充电器1个、背带1根，电池2块。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20" w:hRule="atLeast"/>
        </w:trPr>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电动破拆工具组</w:t>
            </w:r>
          </w:p>
        </w:tc>
        <w:tc>
          <w:tcPr>
            <w:tcW w:w="947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★2、主要适用于事故现场的重物移动及交通事故中变形车体的分离；一套4件（电动液压剪扩器、电动液压剪切器、电动液压扩张器、电动液压撑顶器）；</w:t>
            </w:r>
            <w:r>
              <w:rPr>
                <w:rFonts w:hint="eastAsia" w:ascii="宋体" w:hAnsi="宋体" w:cs="宋体"/>
                <w:kern w:val="0"/>
                <w:sz w:val="24"/>
                <w:szCs w:val="24"/>
              </w:rPr>
              <w:br w:type="textWrapping"/>
            </w:r>
            <w:r>
              <w:rPr>
                <w:rFonts w:hint="eastAsia" w:ascii="宋体" w:hAnsi="宋体" w:cs="宋体"/>
                <w:kern w:val="0"/>
                <w:sz w:val="24"/>
                <w:szCs w:val="24"/>
              </w:rPr>
              <w:t>3、电动扩张器：</w:t>
            </w:r>
            <w:r>
              <w:rPr>
                <w:rFonts w:hint="eastAsia" w:ascii="宋体" w:hAnsi="宋体" w:cs="宋体"/>
                <w:kern w:val="0"/>
                <w:sz w:val="24"/>
                <w:szCs w:val="24"/>
              </w:rPr>
              <w:br w:type="textWrapping"/>
            </w:r>
            <w:r>
              <w:rPr>
                <w:rFonts w:hint="eastAsia" w:ascii="宋体" w:hAnsi="宋体" w:cs="宋体"/>
                <w:kern w:val="0"/>
                <w:sz w:val="24"/>
                <w:szCs w:val="24"/>
              </w:rPr>
              <w:t>（1）锂电池动力，配有电量显示功能，电量低于20%时显示报警；</w:t>
            </w:r>
            <w:r>
              <w:rPr>
                <w:rFonts w:hint="eastAsia" w:ascii="宋体" w:hAnsi="宋体" w:cs="宋体"/>
                <w:kern w:val="0"/>
                <w:sz w:val="24"/>
                <w:szCs w:val="24"/>
              </w:rPr>
              <w:br w:type="textWrapping"/>
            </w:r>
            <w:r>
              <w:rPr>
                <w:rFonts w:hint="eastAsia" w:ascii="宋体" w:hAnsi="宋体" w:cs="宋体"/>
                <w:kern w:val="0"/>
                <w:sz w:val="24"/>
                <w:szCs w:val="24"/>
              </w:rPr>
              <w:t>（2）带LED夜间照明系统；</w:t>
            </w:r>
            <w:r>
              <w:rPr>
                <w:rFonts w:hint="eastAsia" w:ascii="宋体" w:hAnsi="宋体" w:cs="宋体"/>
                <w:kern w:val="0"/>
                <w:sz w:val="24"/>
                <w:szCs w:val="24"/>
              </w:rPr>
              <w:br w:type="textWrapping"/>
            </w:r>
            <w:r>
              <w:rPr>
                <w:rFonts w:hint="eastAsia" w:ascii="宋体" w:hAnsi="宋体" w:cs="宋体"/>
                <w:kern w:val="0"/>
                <w:sz w:val="24"/>
                <w:szCs w:val="24"/>
              </w:rPr>
              <w:t>（3）单块电池可以满足工具操作时间≥30分钟，充电时间≤3小时；</w:t>
            </w:r>
            <w:r>
              <w:rPr>
                <w:rFonts w:hint="eastAsia" w:ascii="宋体" w:hAnsi="宋体" w:cs="宋体"/>
                <w:kern w:val="0"/>
                <w:sz w:val="24"/>
                <w:szCs w:val="24"/>
              </w:rPr>
              <w:br w:type="textWrapping"/>
            </w:r>
            <w:r>
              <w:rPr>
                <w:rFonts w:hint="eastAsia" w:ascii="宋体" w:hAnsi="宋体" w:cs="宋体"/>
                <w:kern w:val="0"/>
                <w:sz w:val="24"/>
                <w:szCs w:val="24"/>
              </w:rPr>
              <w:t>（4）工作压力：≥70MPa；</w:t>
            </w:r>
            <w:r>
              <w:rPr>
                <w:rFonts w:hint="eastAsia" w:ascii="宋体" w:hAnsi="宋体" w:cs="宋体"/>
                <w:kern w:val="0"/>
                <w:sz w:val="24"/>
                <w:szCs w:val="24"/>
              </w:rPr>
              <w:br w:type="textWrapping"/>
            </w:r>
            <w:r>
              <w:rPr>
                <w:rFonts w:hint="eastAsia" w:ascii="宋体" w:hAnsi="宋体" w:cs="宋体"/>
                <w:kern w:val="0"/>
                <w:sz w:val="24"/>
                <w:szCs w:val="24"/>
              </w:rPr>
              <w:t>（5）手柄具备旋转功能，能360°旋转；</w:t>
            </w:r>
            <w:r>
              <w:rPr>
                <w:rFonts w:hint="eastAsia" w:ascii="宋体" w:hAnsi="宋体" w:cs="宋体"/>
                <w:kern w:val="0"/>
                <w:sz w:val="24"/>
                <w:szCs w:val="24"/>
              </w:rPr>
              <w:br w:type="textWrapping"/>
            </w:r>
            <w:r>
              <w:rPr>
                <w:rFonts w:hint="eastAsia" w:ascii="宋体" w:hAnsi="宋体" w:cs="宋体"/>
                <w:kern w:val="0"/>
                <w:sz w:val="24"/>
                <w:szCs w:val="24"/>
              </w:rPr>
              <w:t>▲（6）开口距离≥700mm；最小扩张力≥30kN；</w:t>
            </w:r>
            <w:r>
              <w:rPr>
                <w:rFonts w:hint="eastAsia" w:ascii="宋体" w:hAnsi="宋体" w:cs="宋体"/>
                <w:kern w:val="0"/>
                <w:sz w:val="24"/>
                <w:szCs w:val="24"/>
              </w:rPr>
              <w:br w:type="textWrapping"/>
            </w:r>
            <w:r>
              <w:rPr>
                <w:rFonts w:hint="eastAsia" w:ascii="宋体" w:hAnsi="宋体" w:cs="宋体"/>
                <w:kern w:val="0"/>
                <w:sz w:val="24"/>
                <w:szCs w:val="24"/>
              </w:rPr>
              <w:t>（7）质量：≤25kg（含电池及液压油）；</w:t>
            </w:r>
            <w:r>
              <w:rPr>
                <w:rFonts w:hint="eastAsia" w:ascii="宋体" w:hAnsi="宋体" w:cs="宋体"/>
                <w:kern w:val="0"/>
                <w:sz w:val="24"/>
                <w:szCs w:val="24"/>
              </w:rPr>
              <w:br w:type="textWrapping"/>
            </w:r>
            <w:r>
              <w:rPr>
                <w:rFonts w:hint="eastAsia" w:ascii="宋体" w:hAnsi="宋体" w:cs="宋体"/>
                <w:kern w:val="0"/>
                <w:sz w:val="24"/>
                <w:szCs w:val="24"/>
              </w:rPr>
              <w:t>（8）配置：电动扩张器*1把、充电器*1个、背带*1根，电池*2块；</w:t>
            </w:r>
            <w:r>
              <w:rPr>
                <w:rFonts w:hint="eastAsia" w:ascii="宋体" w:hAnsi="宋体" w:cs="宋体"/>
                <w:kern w:val="0"/>
                <w:sz w:val="24"/>
                <w:szCs w:val="24"/>
              </w:rPr>
              <w:br w:type="textWrapping"/>
            </w:r>
            <w:r>
              <w:rPr>
                <w:rFonts w:hint="eastAsia" w:ascii="宋体" w:hAnsi="宋体" w:cs="宋体"/>
                <w:kern w:val="0"/>
                <w:sz w:val="24"/>
                <w:szCs w:val="24"/>
              </w:rPr>
              <w:t>4、电动剪扩器：</w:t>
            </w:r>
            <w:r>
              <w:rPr>
                <w:rFonts w:hint="eastAsia" w:ascii="宋体" w:hAnsi="宋体" w:cs="宋体"/>
                <w:kern w:val="0"/>
                <w:sz w:val="24"/>
                <w:szCs w:val="24"/>
              </w:rPr>
              <w:br w:type="textWrapping"/>
            </w:r>
            <w:r>
              <w:rPr>
                <w:rFonts w:hint="eastAsia" w:ascii="宋体" w:hAnsi="宋体" w:cs="宋体"/>
                <w:kern w:val="0"/>
                <w:sz w:val="24"/>
                <w:szCs w:val="24"/>
              </w:rPr>
              <w:t>（1）锂电池动力，配有电量显示功能，电量低于20%时显示报警；</w:t>
            </w:r>
            <w:r>
              <w:rPr>
                <w:rFonts w:hint="eastAsia" w:ascii="宋体" w:hAnsi="宋体" w:cs="宋体"/>
                <w:kern w:val="0"/>
                <w:sz w:val="24"/>
                <w:szCs w:val="24"/>
              </w:rPr>
              <w:br w:type="textWrapping"/>
            </w:r>
            <w:r>
              <w:rPr>
                <w:rFonts w:hint="eastAsia" w:ascii="宋体" w:hAnsi="宋体" w:cs="宋体"/>
                <w:kern w:val="0"/>
                <w:sz w:val="24"/>
                <w:szCs w:val="24"/>
              </w:rPr>
              <w:t>（2）带LED夜间照明系统；</w:t>
            </w:r>
            <w:r>
              <w:rPr>
                <w:rFonts w:hint="eastAsia" w:ascii="宋体" w:hAnsi="宋体" w:cs="宋体"/>
                <w:kern w:val="0"/>
                <w:sz w:val="24"/>
                <w:szCs w:val="24"/>
              </w:rPr>
              <w:br w:type="textWrapping"/>
            </w:r>
            <w:r>
              <w:rPr>
                <w:rFonts w:hint="eastAsia" w:ascii="宋体" w:hAnsi="宋体" w:cs="宋体"/>
                <w:kern w:val="0"/>
                <w:sz w:val="24"/>
                <w:szCs w:val="24"/>
              </w:rPr>
              <w:t>（3）单块电池可以满足工具操作时间≥30分钟，充电时间≤3小时；</w:t>
            </w:r>
            <w:r>
              <w:rPr>
                <w:rFonts w:hint="eastAsia" w:ascii="宋体" w:hAnsi="宋体" w:cs="宋体"/>
                <w:kern w:val="0"/>
                <w:sz w:val="24"/>
                <w:szCs w:val="24"/>
              </w:rPr>
              <w:br w:type="textWrapping"/>
            </w:r>
            <w:r>
              <w:rPr>
                <w:rFonts w:hint="eastAsia" w:ascii="宋体" w:hAnsi="宋体" w:cs="宋体"/>
                <w:kern w:val="0"/>
                <w:sz w:val="24"/>
                <w:szCs w:val="24"/>
              </w:rPr>
              <w:t>（4）手柄具备旋转功能，能360°旋转；</w:t>
            </w:r>
            <w:r>
              <w:rPr>
                <w:rFonts w:hint="eastAsia" w:ascii="宋体" w:hAnsi="宋体" w:cs="宋体"/>
                <w:kern w:val="0"/>
                <w:sz w:val="24"/>
                <w:szCs w:val="24"/>
              </w:rPr>
              <w:br w:type="textWrapping"/>
            </w:r>
            <w:r>
              <w:rPr>
                <w:rFonts w:hint="eastAsia" w:ascii="宋体" w:hAnsi="宋体" w:cs="宋体"/>
                <w:kern w:val="0"/>
                <w:sz w:val="24"/>
                <w:szCs w:val="24"/>
              </w:rPr>
              <w:t>（5）工作压力：≥70MPa；</w:t>
            </w:r>
            <w:r>
              <w:rPr>
                <w:rFonts w:hint="eastAsia" w:ascii="宋体" w:hAnsi="宋体" w:cs="宋体"/>
                <w:kern w:val="0"/>
                <w:sz w:val="24"/>
                <w:szCs w:val="24"/>
              </w:rPr>
              <w:br w:type="textWrapping"/>
            </w:r>
            <w:r>
              <w:rPr>
                <w:rFonts w:hint="eastAsia" w:ascii="宋体" w:hAnsi="宋体" w:cs="宋体"/>
                <w:kern w:val="0"/>
                <w:sz w:val="24"/>
                <w:szCs w:val="24"/>
              </w:rPr>
              <w:t>▲（6）开口距离≥470mm；最小扩张力≥30kN；</w:t>
            </w:r>
            <w:r>
              <w:rPr>
                <w:rFonts w:hint="eastAsia" w:ascii="宋体" w:hAnsi="宋体" w:cs="宋体"/>
                <w:kern w:val="0"/>
                <w:sz w:val="24"/>
                <w:szCs w:val="24"/>
              </w:rPr>
              <w:br w:type="textWrapping"/>
            </w:r>
            <w:r>
              <w:rPr>
                <w:rFonts w:hint="eastAsia" w:ascii="宋体" w:hAnsi="宋体" w:cs="宋体"/>
                <w:kern w:val="0"/>
                <w:sz w:val="24"/>
                <w:szCs w:val="24"/>
              </w:rPr>
              <w:t>▲（7）剪断能力：≥Φ38mm（圆钢）、厚度≥25mm板材（Q235A材质）；剪切力≥600kN；</w:t>
            </w:r>
            <w:r>
              <w:rPr>
                <w:rFonts w:hint="eastAsia" w:ascii="宋体" w:hAnsi="宋体" w:cs="宋体"/>
                <w:kern w:val="0"/>
                <w:sz w:val="24"/>
                <w:szCs w:val="24"/>
              </w:rPr>
              <w:br w:type="textWrapping"/>
            </w:r>
            <w:r>
              <w:rPr>
                <w:rFonts w:hint="eastAsia" w:ascii="宋体" w:hAnsi="宋体" w:cs="宋体"/>
                <w:kern w:val="0"/>
                <w:sz w:val="24"/>
                <w:szCs w:val="24"/>
              </w:rPr>
              <w:t>（8）质量：≤25kg（含电池及液压油）；</w:t>
            </w:r>
            <w:r>
              <w:rPr>
                <w:rFonts w:hint="eastAsia" w:ascii="宋体" w:hAnsi="宋体" w:cs="宋体"/>
                <w:kern w:val="0"/>
                <w:sz w:val="24"/>
                <w:szCs w:val="24"/>
              </w:rPr>
              <w:br w:type="textWrapping"/>
            </w:r>
            <w:r>
              <w:rPr>
                <w:rFonts w:hint="eastAsia" w:ascii="宋体" w:hAnsi="宋体" w:cs="宋体"/>
                <w:kern w:val="0"/>
                <w:sz w:val="24"/>
                <w:szCs w:val="24"/>
              </w:rPr>
              <w:t xml:space="preserve">（9）配置：电动剪扩器*1把、充电器*1个、背带*1根，电池*2块；  </w:t>
            </w:r>
            <w:r>
              <w:rPr>
                <w:rFonts w:hint="eastAsia" w:ascii="宋体" w:hAnsi="宋体" w:cs="宋体"/>
                <w:kern w:val="0"/>
                <w:sz w:val="24"/>
                <w:szCs w:val="24"/>
              </w:rPr>
              <w:br w:type="textWrapping"/>
            </w:r>
            <w:r>
              <w:rPr>
                <w:rFonts w:hint="eastAsia" w:ascii="宋体" w:hAnsi="宋体" w:cs="宋体"/>
                <w:kern w:val="0"/>
                <w:sz w:val="24"/>
                <w:szCs w:val="24"/>
              </w:rPr>
              <w:t>5、电动剪切钳：</w:t>
            </w:r>
            <w:r>
              <w:rPr>
                <w:rFonts w:hint="eastAsia" w:ascii="宋体" w:hAnsi="宋体" w:cs="宋体"/>
                <w:kern w:val="0"/>
                <w:sz w:val="24"/>
                <w:szCs w:val="24"/>
              </w:rPr>
              <w:br w:type="textWrapping"/>
            </w:r>
            <w:r>
              <w:rPr>
                <w:rFonts w:hint="eastAsia" w:ascii="宋体" w:hAnsi="宋体" w:cs="宋体"/>
                <w:kern w:val="0"/>
                <w:sz w:val="24"/>
                <w:szCs w:val="24"/>
              </w:rPr>
              <w:t>（1）锂电池动力，配有电量显示功能，电量低于20%时显示报警；</w:t>
            </w:r>
            <w:r>
              <w:rPr>
                <w:rFonts w:hint="eastAsia" w:ascii="宋体" w:hAnsi="宋体" w:cs="宋体"/>
                <w:kern w:val="0"/>
                <w:sz w:val="24"/>
                <w:szCs w:val="24"/>
              </w:rPr>
              <w:br w:type="textWrapping"/>
            </w:r>
            <w:r>
              <w:rPr>
                <w:rFonts w:hint="eastAsia" w:ascii="宋体" w:hAnsi="宋体" w:cs="宋体"/>
                <w:kern w:val="0"/>
                <w:sz w:val="24"/>
                <w:szCs w:val="24"/>
              </w:rPr>
              <w:t>（2）带LED夜间照明系统；</w:t>
            </w:r>
            <w:r>
              <w:rPr>
                <w:rFonts w:hint="eastAsia" w:ascii="宋体" w:hAnsi="宋体" w:cs="宋体"/>
                <w:kern w:val="0"/>
                <w:sz w:val="24"/>
                <w:szCs w:val="24"/>
              </w:rPr>
              <w:br w:type="textWrapping"/>
            </w:r>
            <w:r>
              <w:rPr>
                <w:rFonts w:hint="eastAsia" w:ascii="宋体" w:hAnsi="宋体" w:cs="宋体"/>
                <w:kern w:val="0"/>
                <w:sz w:val="24"/>
                <w:szCs w:val="24"/>
              </w:rPr>
              <w:t>（3）单块电池可以满足工具操作时间≥30分钟，充电时间≤3小时；</w:t>
            </w:r>
            <w:r>
              <w:rPr>
                <w:rFonts w:hint="eastAsia" w:ascii="宋体" w:hAnsi="宋体" w:cs="宋体"/>
                <w:kern w:val="0"/>
                <w:sz w:val="24"/>
                <w:szCs w:val="24"/>
              </w:rPr>
              <w:br w:type="textWrapping"/>
            </w:r>
            <w:r>
              <w:rPr>
                <w:rFonts w:hint="eastAsia" w:ascii="宋体" w:hAnsi="宋体" w:cs="宋体"/>
                <w:kern w:val="0"/>
                <w:sz w:val="24"/>
                <w:szCs w:val="24"/>
              </w:rPr>
              <w:t>（4）手柄具备旋转功能，能360°旋转；</w:t>
            </w:r>
            <w:r>
              <w:rPr>
                <w:rFonts w:hint="eastAsia" w:ascii="宋体" w:hAnsi="宋体" w:cs="宋体"/>
                <w:kern w:val="0"/>
                <w:sz w:val="24"/>
                <w:szCs w:val="24"/>
              </w:rPr>
              <w:br w:type="textWrapping"/>
            </w:r>
            <w:r>
              <w:rPr>
                <w:rFonts w:hint="eastAsia" w:ascii="宋体" w:hAnsi="宋体" w:cs="宋体"/>
                <w:kern w:val="0"/>
                <w:sz w:val="24"/>
                <w:szCs w:val="24"/>
              </w:rPr>
              <w:t>（5）工作压力：≥70MPa；</w:t>
            </w:r>
            <w:r>
              <w:rPr>
                <w:rFonts w:hint="eastAsia" w:ascii="宋体" w:hAnsi="宋体" w:cs="宋体"/>
                <w:kern w:val="0"/>
                <w:sz w:val="24"/>
                <w:szCs w:val="24"/>
              </w:rPr>
              <w:br w:type="textWrapping"/>
            </w:r>
            <w:r>
              <w:rPr>
                <w:rFonts w:hint="eastAsia" w:ascii="宋体" w:hAnsi="宋体" w:cs="宋体"/>
                <w:kern w:val="0"/>
                <w:sz w:val="24"/>
                <w:szCs w:val="24"/>
              </w:rPr>
              <w:t>▲（6）开口距离≥170mm；</w:t>
            </w:r>
            <w:r>
              <w:rPr>
                <w:rFonts w:hint="eastAsia" w:ascii="宋体" w:hAnsi="宋体" w:cs="宋体"/>
                <w:kern w:val="0"/>
                <w:sz w:val="24"/>
                <w:szCs w:val="24"/>
              </w:rPr>
              <w:br w:type="textWrapping"/>
            </w:r>
            <w:r>
              <w:rPr>
                <w:rFonts w:hint="eastAsia" w:ascii="宋体" w:hAnsi="宋体" w:cs="宋体"/>
                <w:kern w:val="0"/>
                <w:sz w:val="24"/>
                <w:szCs w:val="24"/>
              </w:rPr>
              <w:t>▲（7）剪断能力：≥Φ35mm（圆钢）、厚度16mm板材（Q235A材质）；剪切力≥700kN；</w:t>
            </w:r>
            <w:r>
              <w:rPr>
                <w:rFonts w:hint="eastAsia" w:ascii="宋体" w:hAnsi="宋体" w:cs="宋体"/>
                <w:kern w:val="0"/>
                <w:sz w:val="24"/>
                <w:szCs w:val="24"/>
              </w:rPr>
              <w:br w:type="textWrapping"/>
            </w:r>
            <w:r>
              <w:rPr>
                <w:rFonts w:hint="eastAsia" w:ascii="宋体" w:hAnsi="宋体" w:cs="宋体"/>
                <w:kern w:val="0"/>
                <w:sz w:val="24"/>
                <w:szCs w:val="24"/>
              </w:rPr>
              <w:t>（8）质量：≤20kg（含电池及液压油）；</w:t>
            </w:r>
            <w:r>
              <w:rPr>
                <w:rFonts w:hint="eastAsia" w:ascii="宋体" w:hAnsi="宋体" w:cs="宋体"/>
                <w:kern w:val="0"/>
                <w:sz w:val="24"/>
                <w:szCs w:val="24"/>
              </w:rPr>
              <w:br w:type="textWrapping"/>
            </w:r>
            <w:r>
              <w:rPr>
                <w:rFonts w:hint="eastAsia" w:ascii="宋体" w:hAnsi="宋体" w:cs="宋体"/>
                <w:kern w:val="0"/>
                <w:sz w:val="24"/>
                <w:szCs w:val="24"/>
              </w:rPr>
              <w:t>（9）配置：电动剪切器*1把、充电器*1个、背带*1根，电池*2块；</w:t>
            </w:r>
            <w:r>
              <w:rPr>
                <w:rFonts w:hint="eastAsia" w:ascii="宋体" w:hAnsi="宋体" w:cs="宋体"/>
                <w:kern w:val="0"/>
                <w:sz w:val="24"/>
                <w:szCs w:val="24"/>
              </w:rPr>
              <w:br w:type="textWrapping"/>
            </w:r>
            <w:r>
              <w:rPr>
                <w:rFonts w:hint="eastAsia" w:ascii="宋体" w:hAnsi="宋体" w:cs="宋体"/>
                <w:kern w:val="0"/>
                <w:sz w:val="24"/>
                <w:szCs w:val="24"/>
              </w:rPr>
              <w:t>6、电动顶撑器：</w:t>
            </w:r>
            <w:r>
              <w:rPr>
                <w:rFonts w:hint="eastAsia" w:ascii="宋体" w:hAnsi="宋体" w:cs="宋体"/>
                <w:kern w:val="0"/>
                <w:sz w:val="24"/>
                <w:szCs w:val="24"/>
              </w:rPr>
              <w:br w:type="textWrapping"/>
            </w:r>
            <w:r>
              <w:rPr>
                <w:rFonts w:hint="eastAsia" w:ascii="宋体" w:hAnsi="宋体" w:cs="宋体"/>
                <w:kern w:val="0"/>
                <w:sz w:val="24"/>
                <w:szCs w:val="24"/>
              </w:rPr>
              <w:t>（1）锂电池动力，配有电量显示功能，电量低于20%时显示报警；</w:t>
            </w:r>
            <w:r>
              <w:rPr>
                <w:rFonts w:hint="eastAsia" w:ascii="宋体" w:hAnsi="宋体" w:cs="宋体"/>
                <w:kern w:val="0"/>
                <w:sz w:val="24"/>
                <w:szCs w:val="24"/>
              </w:rPr>
              <w:br w:type="textWrapping"/>
            </w:r>
            <w:r>
              <w:rPr>
                <w:rFonts w:hint="eastAsia" w:ascii="宋体" w:hAnsi="宋体" w:cs="宋体"/>
                <w:kern w:val="0"/>
                <w:sz w:val="24"/>
                <w:szCs w:val="24"/>
              </w:rPr>
              <w:t>（2）带LED夜间照明系统；</w:t>
            </w:r>
            <w:r>
              <w:rPr>
                <w:rFonts w:hint="eastAsia" w:ascii="宋体" w:hAnsi="宋体" w:cs="宋体"/>
                <w:kern w:val="0"/>
                <w:sz w:val="24"/>
                <w:szCs w:val="24"/>
              </w:rPr>
              <w:br w:type="textWrapping"/>
            </w:r>
            <w:r>
              <w:rPr>
                <w:rFonts w:hint="eastAsia" w:ascii="宋体" w:hAnsi="宋体" w:cs="宋体"/>
                <w:kern w:val="0"/>
                <w:sz w:val="24"/>
                <w:szCs w:val="24"/>
              </w:rPr>
              <w:t>（3）单块电池可以满足工具操作时间≥30分钟，充电时间≤3小时；</w:t>
            </w:r>
            <w:r>
              <w:rPr>
                <w:rFonts w:hint="eastAsia" w:ascii="宋体" w:hAnsi="宋体" w:cs="宋体"/>
                <w:kern w:val="0"/>
                <w:sz w:val="24"/>
                <w:szCs w:val="24"/>
              </w:rPr>
              <w:br w:type="textWrapping"/>
            </w:r>
            <w:r>
              <w:rPr>
                <w:rFonts w:hint="eastAsia" w:ascii="宋体" w:hAnsi="宋体" w:cs="宋体"/>
                <w:kern w:val="0"/>
                <w:sz w:val="24"/>
                <w:szCs w:val="24"/>
              </w:rPr>
              <w:t>（4）手柄具备旋转功能，能360°旋转；</w:t>
            </w:r>
            <w:r>
              <w:rPr>
                <w:rFonts w:hint="eastAsia" w:ascii="宋体" w:hAnsi="宋体" w:cs="宋体"/>
                <w:kern w:val="0"/>
                <w:sz w:val="24"/>
                <w:szCs w:val="24"/>
              </w:rPr>
              <w:br w:type="textWrapping"/>
            </w:r>
            <w:r>
              <w:rPr>
                <w:rFonts w:hint="eastAsia" w:ascii="宋体" w:hAnsi="宋体" w:cs="宋体"/>
                <w:kern w:val="0"/>
                <w:sz w:val="24"/>
                <w:szCs w:val="24"/>
              </w:rPr>
              <w:t>（5）工作压力：≥70MPa；</w:t>
            </w:r>
            <w:r>
              <w:rPr>
                <w:rFonts w:hint="eastAsia" w:ascii="宋体" w:hAnsi="宋体" w:cs="宋体"/>
                <w:kern w:val="0"/>
                <w:sz w:val="24"/>
                <w:szCs w:val="24"/>
              </w:rPr>
              <w:br w:type="textWrapping"/>
            </w:r>
            <w:r>
              <w:rPr>
                <w:rFonts w:hint="eastAsia" w:ascii="宋体" w:hAnsi="宋体" w:cs="宋体"/>
                <w:kern w:val="0"/>
                <w:sz w:val="24"/>
                <w:szCs w:val="24"/>
              </w:rPr>
              <w:t>▲（6）闭合长度：≤600mm；最大撑顶长度≥1000mm（含延长杆）；</w:t>
            </w:r>
            <w:r>
              <w:rPr>
                <w:rFonts w:hint="eastAsia" w:ascii="宋体" w:hAnsi="宋体" w:cs="宋体"/>
                <w:kern w:val="0"/>
                <w:sz w:val="24"/>
                <w:szCs w:val="24"/>
              </w:rPr>
              <w:br w:type="textWrapping"/>
            </w:r>
            <w:r>
              <w:rPr>
                <w:rFonts w:hint="eastAsia" w:ascii="宋体" w:hAnsi="宋体" w:cs="宋体"/>
                <w:kern w:val="0"/>
                <w:sz w:val="24"/>
                <w:szCs w:val="24"/>
              </w:rPr>
              <w:t>▲（7）撑顶力：一级撑顶力≥120kN；二级撑顶力≥60kN；</w:t>
            </w:r>
            <w:r>
              <w:rPr>
                <w:rFonts w:hint="eastAsia" w:ascii="宋体" w:hAnsi="宋体" w:cs="宋体"/>
                <w:kern w:val="0"/>
                <w:sz w:val="24"/>
                <w:szCs w:val="24"/>
              </w:rPr>
              <w:br w:type="textWrapping"/>
            </w:r>
            <w:r>
              <w:rPr>
                <w:rFonts w:hint="eastAsia" w:ascii="宋体" w:hAnsi="宋体" w:cs="宋体"/>
                <w:kern w:val="0"/>
                <w:sz w:val="24"/>
                <w:szCs w:val="24"/>
              </w:rPr>
              <w:t>（8）质量：≤20kg（含电池及液压油）；</w:t>
            </w:r>
            <w:r>
              <w:rPr>
                <w:rFonts w:hint="eastAsia" w:ascii="宋体" w:hAnsi="宋体" w:cs="宋体"/>
                <w:kern w:val="0"/>
                <w:sz w:val="24"/>
                <w:szCs w:val="24"/>
              </w:rPr>
              <w:br w:type="textWrapping"/>
            </w:r>
            <w:r>
              <w:rPr>
                <w:rFonts w:hint="eastAsia" w:ascii="宋体" w:hAnsi="宋体" w:cs="宋体"/>
                <w:kern w:val="0"/>
                <w:sz w:val="24"/>
                <w:szCs w:val="24"/>
              </w:rPr>
              <w:t>（9）配置：电动撑顶器*1把、充电器*1个、背带*1根，电池*2块。</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1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bl>
    <w:p>
      <w:pPr>
        <w:pStyle w:val="23"/>
        <w:jc w:val="center"/>
        <w:rPr>
          <w:b/>
          <w:bCs/>
          <w:sz w:val="32"/>
          <w:szCs w:val="32"/>
        </w:rPr>
      </w:pPr>
    </w:p>
    <w:p>
      <w:pPr>
        <w:pStyle w:val="23"/>
        <w:jc w:val="center"/>
        <w:rPr>
          <w:rFonts w:hAnsi="宋体" w:cs="宋体"/>
          <w:b/>
          <w:kern w:val="0"/>
          <w:sz w:val="32"/>
          <w:szCs w:val="32"/>
        </w:rPr>
      </w:pPr>
      <w:r>
        <w:rPr>
          <w:rFonts w:hint="eastAsia" w:hAnsi="宋体" w:cs="宋体"/>
          <w:b/>
          <w:kern w:val="0"/>
          <w:sz w:val="32"/>
          <w:szCs w:val="32"/>
        </w:rPr>
        <w:t>第三包</w:t>
      </w:r>
    </w:p>
    <w:tbl>
      <w:tblPr>
        <w:tblStyle w:val="38"/>
        <w:tblW w:w="13946" w:type="dxa"/>
        <w:tblInd w:w="98" w:type="dxa"/>
        <w:tblLayout w:type="fixed"/>
        <w:tblCellMar>
          <w:top w:w="0" w:type="dxa"/>
          <w:left w:w="108" w:type="dxa"/>
          <w:bottom w:w="0" w:type="dxa"/>
          <w:right w:w="108" w:type="dxa"/>
        </w:tblCellMar>
      </w:tblPr>
      <w:tblGrid>
        <w:gridCol w:w="721"/>
        <w:gridCol w:w="1712"/>
        <w:gridCol w:w="9488"/>
        <w:gridCol w:w="900"/>
        <w:gridCol w:w="1125"/>
      </w:tblGrid>
      <w:tr>
        <w:tblPrEx>
          <w:tblCellMar>
            <w:top w:w="0" w:type="dxa"/>
            <w:left w:w="108" w:type="dxa"/>
            <w:bottom w:w="0" w:type="dxa"/>
            <w:right w:w="108" w:type="dxa"/>
          </w:tblCellMar>
        </w:tblPrEx>
        <w:trPr>
          <w:trHeight w:val="30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序号</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装备名称</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技术参数</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数量</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备注</w:t>
            </w: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手动破拆工具组</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★1、满足《消防应急救援装备手动破拆工具通用技术条件》GB32459-2015标准，提供检测报告：按照须知前附表第29条执行；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▲2、由冲击杆、拆锁器、金属切断器、凿子、钎子及各类撬斧工具等部件组成，由耐磨、防锈、便携等性能；</w:t>
            </w:r>
            <w:r>
              <w:rPr>
                <w:rFonts w:hint="eastAsia" w:ascii="宋体" w:hAnsi="宋体" w:cs="宋体"/>
                <w:kern w:val="0"/>
                <w:sz w:val="24"/>
                <w:szCs w:val="24"/>
              </w:rPr>
              <w:br w:type="textWrapping"/>
            </w:r>
            <w:r>
              <w:rPr>
                <w:rFonts w:hint="eastAsia" w:ascii="宋体" w:hAnsi="宋体" w:cs="宋体"/>
                <w:kern w:val="0"/>
                <w:sz w:val="24"/>
                <w:szCs w:val="24"/>
              </w:rPr>
              <w:t>▲3、冲击行程≥300mm；</w:t>
            </w:r>
            <w:r>
              <w:rPr>
                <w:rFonts w:hint="eastAsia" w:ascii="宋体" w:hAnsi="宋体" w:cs="宋体"/>
                <w:kern w:val="0"/>
                <w:sz w:val="24"/>
                <w:szCs w:val="24"/>
              </w:rPr>
              <w:br w:type="textWrapping"/>
            </w:r>
            <w:r>
              <w:rPr>
                <w:rFonts w:hint="eastAsia" w:ascii="宋体" w:hAnsi="宋体" w:cs="宋体"/>
                <w:kern w:val="0"/>
                <w:sz w:val="24"/>
                <w:szCs w:val="24"/>
              </w:rPr>
              <w:t>4、整备质量≤25kg；</w:t>
            </w:r>
            <w:r>
              <w:rPr>
                <w:rFonts w:hint="eastAsia" w:ascii="宋体" w:hAnsi="宋体" w:cs="宋体"/>
                <w:kern w:val="0"/>
                <w:sz w:val="24"/>
                <w:szCs w:val="24"/>
              </w:rPr>
              <w:br w:type="textWrapping"/>
            </w:r>
            <w:r>
              <w:rPr>
                <w:rFonts w:hint="eastAsia" w:ascii="宋体" w:hAnsi="宋体" w:cs="宋体"/>
                <w:kern w:val="0"/>
                <w:sz w:val="24"/>
                <w:szCs w:val="24"/>
              </w:rPr>
              <w:t>▲5、凿击性能应能Q235型钢板厚度≥1.5mm，且刃口应无明显崩刃和开裂；</w:t>
            </w:r>
            <w:r>
              <w:rPr>
                <w:rFonts w:hint="eastAsia" w:ascii="宋体" w:hAnsi="宋体" w:cs="宋体"/>
                <w:kern w:val="0"/>
                <w:sz w:val="24"/>
                <w:szCs w:val="24"/>
              </w:rPr>
              <w:br w:type="textWrapping"/>
            </w:r>
            <w:r>
              <w:rPr>
                <w:rFonts w:hint="eastAsia" w:ascii="宋体" w:hAnsi="宋体" w:cs="宋体"/>
                <w:kern w:val="0"/>
                <w:sz w:val="24"/>
                <w:szCs w:val="24"/>
              </w:rPr>
              <w:t>▲6、撬斧起撬部位应能承受载荷≥7840N。</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无齿锯</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★1、满足《消防应急救援装备破拆机具通用技术条件》GB32460-2015标准，提供检测报告：按照须知前附表第29条执行；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2、主要用于切割金属、混凝土等材料，汽油机动力，功率≥5.8kW；</w:t>
            </w:r>
            <w:r>
              <w:rPr>
                <w:rFonts w:hint="eastAsia" w:ascii="宋体" w:hAnsi="宋体" w:cs="宋体"/>
                <w:kern w:val="0"/>
                <w:sz w:val="24"/>
                <w:szCs w:val="24"/>
              </w:rPr>
              <w:br w:type="textWrapping"/>
            </w:r>
            <w:r>
              <w:rPr>
                <w:rFonts w:hint="eastAsia" w:ascii="宋体" w:hAnsi="宋体" w:cs="宋体"/>
                <w:kern w:val="0"/>
                <w:sz w:val="24"/>
                <w:szCs w:val="24"/>
              </w:rPr>
              <w:t>3、锯片直径≥350mm，最大切割深度≥125/145mm；</w:t>
            </w:r>
            <w:r>
              <w:rPr>
                <w:rFonts w:hint="eastAsia" w:ascii="宋体" w:hAnsi="宋体" w:cs="宋体"/>
                <w:kern w:val="0"/>
                <w:sz w:val="24"/>
                <w:szCs w:val="24"/>
              </w:rPr>
              <w:br w:type="textWrapping"/>
            </w:r>
            <w:r>
              <w:rPr>
                <w:rFonts w:hint="eastAsia" w:ascii="宋体" w:hAnsi="宋体" w:cs="宋体"/>
                <w:kern w:val="0"/>
                <w:sz w:val="24"/>
                <w:szCs w:val="24"/>
              </w:rPr>
              <w:t>4、质量（不含锯片和燃油）≤14kg；</w:t>
            </w:r>
            <w:r>
              <w:rPr>
                <w:rFonts w:hint="eastAsia" w:ascii="宋体" w:hAnsi="宋体" w:cs="宋体"/>
                <w:kern w:val="0"/>
                <w:sz w:val="24"/>
                <w:szCs w:val="24"/>
              </w:rPr>
              <w:br w:type="textWrapping"/>
            </w:r>
            <w:r>
              <w:rPr>
                <w:rFonts w:hint="eastAsia" w:ascii="宋体" w:hAnsi="宋体" w:cs="宋体"/>
                <w:kern w:val="0"/>
                <w:sz w:val="24"/>
                <w:szCs w:val="24"/>
              </w:rPr>
              <w:t>5、镁合金锯片保护罩具备有无极调节；</w:t>
            </w:r>
            <w:r>
              <w:rPr>
                <w:rFonts w:hint="eastAsia" w:ascii="宋体" w:hAnsi="宋体" w:cs="宋体"/>
                <w:kern w:val="0"/>
                <w:sz w:val="24"/>
                <w:szCs w:val="24"/>
              </w:rPr>
              <w:br w:type="textWrapping"/>
            </w:r>
            <w:r>
              <w:rPr>
                <w:rFonts w:hint="eastAsia" w:ascii="宋体" w:hAnsi="宋体" w:cs="宋体"/>
                <w:kern w:val="0"/>
                <w:sz w:val="24"/>
                <w:szCs w:val="24"/>
              </w:rPr>
              <w:t>▲6、每套无齿锯配备维修工具1套、冷却水壶、润滑油比例壶、配备备用锯片6片，不少于2种；</w:t>
            </w:r>
            <w:r>
              <w:rPr>
                <w:rFonts w:hint="eastAsia" w:ascii="宋体" w:hAnsi="宋体" w:cs="宋体"/>
                <w:kern w:val="0"/>
                <w:sz w:val="24"/>
                <w:szCs w:val="24"/>
              </w:rPr>
              <w:br w:type="textWrapping"/>
            </w:r>
            <w:r>
              <w:rPr>
                <w:rFonts w:hint="eastAsia" w:ascii="宋体" w:hAnsi="宋体" w:cs="宋体"/>
                <w:kern w:val="0"/>
                <w:sz w:val="24"/>
                <w:szCs w:val="24"/>
              </w:rPr>
              <w:t>▲7、在-25 ℃〜-20 ℃的环境中其低温启动时间应≤ 25 s；</w:t>
            </w:r>
            <w:r>
              <w:rPr>
                <w:rFonts w:hint="eastAsia" w:ascii="宋体" w:hAnsi="宋体" w:cs="宋体"/>
                <w:kern w:val="0"/>
                <w:sz w:val="24"/>
                <w:szCs w:val="24"/>
              </w:rPr>
              <w:br w:type="textWrapping"/>
            </w:r>
            <w:r>
              <w:rPr>
                <w:rFonts w:hint="eastAsia" w:ascii="宋体" w:hAnsi="宋体" w:cs="宋体"/>
                <w:kern w:val="0"/>
                <w:sz w:val="24"/>
                <w:szCs w:val="24"/>
              </w:rPr>
              <w:t>8、供货时，须提供使用说明书及产品具有永久性标志及产品数据标识。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15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双轮异向切割锯</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★1、满足《消防应急救援装备破拆机具通用技术条件》GB32460-2015标准，提供检测报告：按照须知前附表第29条执行；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 xml:space="preserve">2、主要用于救援中切割钢材、木材、塑料、车窗玻璃等；                                                           </w:t>
            </w:r>
            <w:r>
              <w:rPr>
                <w:rFonts w:hint="eastAsia" w:ascii="宋体" w:hAnsi="宋体" w:cs="宋体"/>
                <w:kern w:val="0"/>
                <w:sz w:val="24"/>
                <w:szCs w:val="24"/>
              </w:rPr>
              <w:br w:type="textWrapping"/>
            </w:r>
            <w:r>
              <w:rPr>
                <w:rFonts w:hint="eastAsia" w:ascii="宋体" w:hAnsi="宋体" w:cs="宋体"/>
                <w:kern w:val="0"/>
                <w:sz w:val="24"/>
                <w:szCs w:val="24"/>
              </w:rPr>
              <w:t>▲3、汽油发动机，功率≥4kW；锯片直径≥315mm，切割深度≥110mm；质量(不含燃油、润滑油、锯片)：≤15(kg) ；</w:t>
            </w:r>
            <w:r>
              <w:rPr>
                <w:rFonts w:hint="eastAsia" w:ascii="宋体" w:hAnsi="宋体" w:cs="宋体"/>
                <w:kern w:val="0"/>
                <w:sz w:val="24"/>
                <w:szCs w:val="24"/>
              </w:rPr>
              <w:br w:type="textWrapping"/>
            </w:r>
            <w:r>
              <w:rPr>
                <w:rFonts w:hint="eastAsia" w:ascii="宋体" w:hAnsi="宋体" w:cs="宋体"/>
                <w:kern w:val="0"/>
                <w:sz w:val="24"/>
                <w:szCs w:val="24"/>
              </w:rPr>
              <w:t>4、工具箱、护目镜、防护手套、锯片固定螺丝1套、螺丝胶1套、包含切割锯和锯片，配备锯片两副/4片，配备专用携行箱；</w:t>
            </w:r>
            <w:r>
              <w:rPr>
                <w:rFonts w:hint="eastAsia" w:ascii="宋体" w:hAnsi="宋体" w:cs="宋体"/>
                <w:kern w:val="0"/>
                <w:sz w:val="24"/>
                <w:szCs w:val="24"/>
              </w:rPr>
              <w:br w:type="textWrapping"/>
            </w:r>
            <w:r>
              <w:rPr>
                <w:rFonts w:hint="eastAsia" w:ascii="宋体" w:hAnsi="宋体" w:cs="宋体"/>
                <w:kern w:val="0"/>
                <w:sz w:val="24"/>
                <w:szCs w:val="24"/>
              </w:rPr>
              <w:t>5、提供使用说明书及永久性标志及产品数据标识。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11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4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电动钢筋速断器</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★1、整机提供检测报告：按照须知前附表第29条执行；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2、主要功能：用于救援现场快速剪断钢筋的装备；</w:t>
            </w:r>
            <w:r>
              <w:rPr>
                <w:rFonts w:hint="eastAsia" w:ascii="宋体" w:hAnsi="宋体" w:cs="宋体"/>
                <w:kern w:val="0"/>
                <w:sz w:val="24"/>
                <w:szCs w:val="24"/>
              </w:rPr>
              <w:br w:type="textWrapping"/>
            </w:r>
            <w:r>
              <w:rPr>
                <w:rFonts w:hint="eastAsia" w:ascii="宋体" w:hAnsi="宋体" w:cs="宋体"/>
                <w:kern w:val="0"/>
                <w:sz w:val="24"/>
                <w:szCs w:val="24"/>
              </w:rPr>
              <w:t>★3、技术要求：最大切割钢筋直径≥19mm；最大切割力≥160kN，液压输出力≥15t；满电状态可连续切断直径19mm钢筋≥100次，剪断时间≤6s；最大行程≥20mm，重量≤8kg；</w:t>
            </w:r>
            <w:r>
              <w:rPr>
                <w:rFonts w:hint="eastAsia" w:ascii="宋体" w:hAnsi="宋体" w:cs="宋体"/>
                <w:kern w:val="0"/>
                <w:sz w:val="24"/>
                <w:szCs w:val="24"/>
              </w:rPr>
              <w:br w:type="textWrapping"/>
            </w:r>
            <w:r>
              <w:rPr>
                <w:rFonts w:hint="eastAsia" w:ascii="宋体" w:hAnsi="宋体" w:cs="宋体"/>
                <w:kern w:val="0"/>
                <w:sz w:val="24"/>
                <w:szCs w:val="24"/>
              </w:rPr>
              <w:t>4、配置≥2块锂电池，夜间照明LED灯；</w:t>
            </w:r>
            <w:r>
              <w:rPr>
                <w:rFonts w:hint="eastAsia" w:ascii="宋体" w:hAnsi="宋体" w:cs="宋体"/>
                <w:kern w:val="0"/>
                <w:sz w:val="24"/>
                <w:szCs w:val="24"/>
              </w:rPr>
              <w:br w:type="textWrapping"/>
            </w:r>
            <w:r>
              <w:rPr>
                <w:rFonts w:hint="eastAsia" w:ascii="宋体" w:hAnsi="宋体" w:cs="宋体"/>
                <w:kern w:val="0"/>
                <w:sz w:val="24"/>
                <w:szCs w:val="24"/>
              </w:rPr>
              <w:t>▲5、具有永久性标志及产品数据标识。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玻璃破碎器</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★1、符合国家相关标准；整机提供检测报告：按照须知前附表第29条执行；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▲2、配置要求：玻璃切割机：1台；玻璃切割片：5片；充电式电钻：1台；大理石玻璃钻头：Ф100mm1个、Ф50mm3个、Ф25mm3个；玻璃强力钳：1把；</w:t>
            </w:r>
            <w:r>
              <w:rPr>
                <w:rFonts w:hint="eastAsia" w:ascii="宋体" w:hAnsi="宋体" w:cs="宋体"/>
                <w:kern w:val="0"/>
                <w:sz w:val="24"/>
                <w:szCs w:val="24"/>
              </w:rPr>
              <w:br w:type="textWrapping"/>
            </w:r>
            <w:r>
              <w:rPr>
                <w:rFonts w:hint="eastAsia" w:ascii="宋体" w:hAnsi="宋体" w:cs="宋体"/>
                <w:kern w:val="0"/>
                <w:sz w:val="24"/>
                <w:szCs w:val="24"/>
              </w:rPr>
              <w:t>单爪玻璃吸盘：1个；自控注油玻璃刀：1个；金刚石玻璃圆锉：1把；金刚石玻璃平锉：1把；玻璃破碎锤： 1把；充电电池：2块；充电器：1个；</w:t>
            </w:r>
            <w:r>
              <w:rPr>
                <w:rFonts w:hint="eastAsia" w:ascii="宋体" w:hAnsi="宋体" w:cs="宋体"/>
                <w:kern w:val="0"/>
                <w:sz w:val="24"/>
                <w:szCs w:val="24"/>
              </w:rPr>
              <w:br w:type="textWrapping"/>
            </w:r>
            <w:r>
              <w:rPr>
                <w:rFonts w:hint="eastAsia" w:ascii="宋体" w:hAnsi="宋体" w:cs="宋体"/>
                <w:kern w:val="0"/>
                <w:sz w:val="24"/>
                <w:szCs w:val="24"/>
              </w:rPr>
              <w:t>▲3、玻璃切割机功率≥1.3 kW；</w:t>
            </w:r>
            <w:r>
              <w:rPr>
                <w:rFonts w:hint="eastAsia" w:ascii="宋体" w:hAnsi="宋体" w:cs="宋体"/>
                <w:kern w:val="0"/>
                <w:sz w:val="24"/>
                <w:szCs w:val="24"/>
              </w:rPr>
              <w:br w:type="textWrapping"/>
            </w:r>
            <w:r>
              <w:rPr>
                <w:rFonts w:hint="eastAsia" w:ascii="宋体" w:hAnsi="宋体" w:cs="宋体"/>
                <w:kern w:val="0"/>
                <w:sz w:val="24"/>
                <w:szCs w:val="24"/>
              </w:rPr>
              <w:t>4、电池充满可连续使用时间≥30min；</w:t>
            </w:r>
            <w:r>
              <w:rPr>
                <w:rFonts w:hint="eastAsia" w:ascii="宋体" w:hAnsi="宋体" w:cs="宋体"/>
                <w:kern w:val="0"/>
                <w:sz w:val="24"/>
                <w:szCs w:val="24"/>
              </w:rPr>
              <w:br w:type="textWrapping"/>
            </w:r>
            <w:r>
              <w:rPr>
                <w:rFonts w:hint="eastAsia" w:ascii="宋体" w:hAnsi="宋体" w:cs="宋体"/>
                <w:kern w:val="0"/>
                <w:sz w:val="24"/>
                <w:szCs w:val="24"/>
              </w:rPr>
              <w:t>5、具有永久性标志及产品数据标识。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6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液压万向剪切钳</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▲2、无需外接动力源，具有剪切、扩张、夹持功能，刀头可360°旋转操作；</w:t>
            </w:r>
            <w:r>
              <w:rPr>
                <w:rFonts w:hint="eastAsia" w:ascii="宋体" w:hAnsi="宋体" w:cs="宋体"/>
                <w:kern w:val="0"/>
                <w:sz w:val="24"/>
                <w:szCs w:val="24"/>
              </w:rPr>
              <w:br w:type="textWrapping"/>
            </w:r>
            <w:r>
              <w:rPr>
                <w:rFonts w:hint="eastAsia" w:ascii="宋体" w:hAnsi="宋体" w:cs="宋体"/>
                <w:kern w:val="0"/>
                <w:sz w:val="24"/>
                <w:szCs w:val="24"/>
              </w:rPr>
              <w:t>3、工作压力≥70MPa；</w:t>
            </w:r>
            <w:r>
              <w:rPr>
                <w:rFonts w:hint="eastAsia" w:ascii="宋体" w:hAnsi="宋体" w:cs="宋体"/>
                <w:kern w:val="0"/>
                <w:sz w:val="24"/>
                <w:szCs w:val="24"/>
              </w:rPr>
              <w:br w:type="textWrapping"/>
            </w:r>
            <w:r>
              <w:rPr>
                <w:rFonts w:hint="eastAsia" w:ascii="宋体" w:hAnsi="宋体" w:cs="宋体"/>
                <w:kern w:val="0"/>
                <w:sz w:val="24"/>
                <w:szCs w:val="24"/>
              </w:rPr>
              <w:t>4、距离扩张臂顶端25mm处扩张力≥28kN；</w:t>
            </w:r>
            <w:r>
              <w:rPr>
                <w:rFonts w:hint="eastAsia" w:ascii="宋体" w:hAnsi="宋体" w:cs="宋体"/>
                <w:kern w:val="0"/>
                <w:sz w:val="24"/>
                <w:szCs w:val="24"/>
              </w:rPr>
              <w:br w:type="textWrapping"/>
            </w:r>
            <w:r>
              <w:rPr>
                <w:rFonts w:hint="eastAsia" w:ascii="宋体" w:hAnsi="宋体" w:cs="宋体"/>
                <w:kern w:val="0"/>
                <w:sz w:val="24"/>
                <w:szCs w:val="24"/>
              </w:rPr>
              <w:t>5、剪切圆钢直径（Q235材料）≥Φ25mm，剪切钢板厚度（Q235材料）≥10mm；</w:t>
            </w:r>
            <w:r>
              <w:rPr>
                <w:rFonts w:hint="eastAsia" w:ascii="宋体" w:hAnsi="宋体" w:cs="宋体"/>
                <w:kern w:val="0"/>
                <w:sz w:val="24"/>
                <w:szCs w:val="24"/>
              </w:rPr>
              <w:br w:type="textWrapping"/>
            </w:r>
            <w:r>
              <w:rPr>
                <w:rFonts w:hint="eastAsia" w:ascii="宋体" w:hAnsi="宋体" w:cs="宋体"/>
                <w:kern w:val="0"/>
                <w:sz w:val="24"/>
                <w:szCs w:val="24"/>
              </w:rPr>
              <w:t>6、开口距离≥160mm；</w:t>
            </w:r>
            <w:r>
              <w:rPr>
                <w:rFonts w:hint="eastAsia" w:ascii="宋体" w:hAnsi="宋体" w:cs="宋体"/>
                <w:kern w:val="0"/>
                <w:sz w:val="24"/>
                <w:szCs w:val="24"/>
              </w:rPr>
              <w:br w:type="textWrapping"/>
            </w:r>
            <w:r>
              <w:rPr>
                <w:rFonts w:hint="eastAsia" w:ascii="宋体" w:hAnsi="宋体" w:cs="宋体"/>
                <w:kern w:val="0"/>
                <w:sz w:val="24"/>
                <w:szCs w:val="24"/>
              </w:rPr>
              <w:t>▲7、质量≤11kg。</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15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7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凿岩机</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★1、整机提供检测报告：按照须知前附表第29条执行；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 xml:space="preserve">2、可用于路面、墙体等处混凝土、砖石、石材、沥青等破拆；                                     </w:t>
            </w:r>
            <w:r>
              <w:rPr>
                <w:rFonts w:hint="eastAsia" w:ascii="宋体" w:hAnsi="宋体" w:cs="宋体"/>
                <w:kern w:val="0"/>
                <w:sz w:val="24"/>
                <w:szCs w:val="24"/>
              </w:rPr>
              <w:br w:type="textWrapping"/>
            </w:r>
            <w:r>
              <w:rPr>
                <w:rFonts w:hint="eastAsia" w:ascii="宋体" w:hAnsi="宋体" w:cs="宋体"/>
                <w:kern w:val="0"/>
                <w:sz w:val="24"/>
                <w:szCs w:val="24"/>
              </w:rPr>
              <w:t xml:space="preserve">3、电动驱动，额定输入功率≥1.5kW；                                                                         </w:t>
            </w:r>
            <w:r>
              <w:rPr>
                <w:rFonts w:hint="eastAsia" w:ascii="宋体" w:hAnsi="宋体" w:cs="宋体"/>
                <w:kern w:val="0"/>
                <w:sz w:val="24"/>
                <w:szCs w:val="24"/>
              </w:rPr>
              <w:br w:type="textWrapping"/>
            </w:r>
            <w:r>
              <w:rPr>
                <w:rFonts w:hint="eastAsia" w:ascii="宋体" w:hAnsi="宋体" w:cs="宋体"/>
                <w:kern w:val="0"/>
                <w:sz w:val="24"/>
                <w:szCs w:val="24"/>
              </w:rPr>
              <w:t xml:space="preserve">4、冲击次数≥1300次/min；                                                                               </w:t>
            </w:r>
            <w:r>
              <w:rPr>
                <w:rFonts w:hint="eastAsia" w:ascii="宋体" w:hAnsi="宋体" w:cs="宋体"/>
                <w:kern w:val="0"/>
                <w:sz w:val="24"/>
                <w:szCs w:val="24"/>
              </w:rPr>
              <w:br w:type="textWrapping"/>
            </w:r>
            <w:r>
              <w:rPr>
                <w:rFonts w:hint="eastAsia" w:ascii="宋体" w:hAnsi="宋体" w:cs="宋体"/>
                <w:kern w:val="0"/>
                <w:sz w:val="24"/>
                <w:szCs w:val="24"/>
              </w:rPr>
              <w:t xml:space="preserve">5、净重≤18kg；                                                      </w:t>
            </w:r>
            <w:r>
              <w:rPr>
                <w:rFonts w:hint="eastAsia" w:ascii="宋体" w:hAnsi="宋体" w:cs="宋体"/>
                <w:kern w:val="0"/>
                <w:sz w:val="24"/>
                <w:szCs w:val="24"/>
              </w:rPr>
              <w:br w:type="textWrapping"/>
            </w:r>
            <w:r>
              <w:rPr>
                <w:rFonts w:hint="eastAsia" w:ascii="宋体" w:hAnsi="宋体" w:cs="宋体"/>
                <w:kern w:val="0"/>
                <w:sz w:val="24"/>
                <w:szCs w:val="24"/>
              </w:rPr>
              <w:t>6、配备静音数码发电机1台，额定电压220V，发电机功率≥5kW，启动方式：手/电启动；</w:t>
            </w:r>
            <w:r>
              <w:rPr>
                <w:rFonts w:hint="eastAsia" w:ascii="宋体" w:hAnsi="宋体" w:cs="宋体"/>
                <w:kern w:val="0"/>
                <w:sz w:val="24"/>
                <w:szCs w:val="24"/>
              </w:rPr>
              <w:br w:type="textWrapping"/>
            </w:r>
            <w:r>
              <w:rPr>
                <w:rFonts w:hint="eastAsia" w:ascii="宋体" w:hAnsi="宋体" w:cs="宋体"/>
                <w:kern w:val="0"/>
                <w:sz w:val="24"/>
                <w:szCs w:val="24"/>
              </w:rPr>
              <w:t>7、发电机工作时间：满油状态≥5h，发电机重量≤40kg；</w:t>
            </w:r>
            <w:r>
              <w:rPr>
                <w:rFonts w:hint="eastAsia" w:ascii="宋体" w:hAnsi="宋体" w:cs="宋体"/>
                <w:kern w:val="0"/>
                <w:sz w:val="24"/>
                <w:szCs w:val="24"/>
              </w:rPr>
              <w:br w:type="textWrapping"/>
            </w:r>
            <w:r>
              <w:rPr>
                <w:rFonts w:hint="eastAsia" w:ascii="宋体" w:hAnsi="宋体" w:cs="宋体"/>
                <w:kern w:val="0"/>
                <w:sz w:val="24"/>
                <w:szCs w:val="24"/>
              </w:rPr>
              <w:t>8、其他要求：配有尖凿、扁凿等各类破拆头；</w:t>
            </w:r>
            <w:r>
              <w:rPr>
                <w:rFonts w:hint="eastAsia" w:ascii="宋体" w:hAnsi="宋体" w:cs="宋体"/>
                <w:kern w:val="0"/>
                <w:sz w:val="24"/>
                <w:szCs w:val="24"/>
              </w:rPr>
              <w:br w:type="textWrapping"/>
            </w:r>
            <w:r>
              <w:rPr>
                <w:rFonts w:hint="eastAsia" w:ascii="宋体" w:hAnsi="宋体" w:cs="宋体"/>
                <w:kern w:val="0"/>
                <w:sz w:val="24"/>
                <w:szCs w:val="24"/>
              </w:rPr>
              <w:t>9、提供中文使用说明书。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8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机动链锯</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★1、满足《消防应急救援装备破拆机具通用技术条件》GB32460-2015标准，提供检测报告：按照须知前附表第29条执行；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▲2、用于切割各类木质结构障碍物，转速≥2500rpm，导板长度≥40cm；汽油机动力，功率≥4kW；</w:t>
            </w:r>
            <w:r>
              <w:rPr>
                <w:rFonts w:hint="eastAsia" w:ascii="宋体" w:hAnsi="宋体" w:cs="宋体"/>
                <w:kern w:val="0"/>
                <w:sz w:val="24"/>
                <w:szCs w:val="24"/>
              </w:rPr>
              <w:br w:type="textWrapping"/>
            </w:r>
            <w:r>
              <w:rPr>
                <w:rFonts w:hint="eastAsia" w:ascii="宋体" w:hAnsi="宋体" w:cs="宋体"/>
                <w:kern w:val="0"/>
                <w:sz w:val="24"/>
                <w:szCs w:val="24"/>
              </w:rPr>
              <w:t>3、质量（不含链条）≤7kg；</w:t>
            </w:r>
            <w:r>
              <w:rPr>
                <w:rFonts w:hint="eastAsia" w:ascii="宋体" w:hAnsi="宋体" w:cs="宋体"/>
                <w:kern w:val="0"/>
                <w:sz w:val="24"/>
                <w:szCs w:val="24"/>
              </w:rPr>
              <w:br w:type="textWrapping"/>
            </w:r>
            <w:r>
              <w:rPr>
                <w:rFonts w:hint="eastAsia" w:ascii="宋体" w:hAnsi="宋体" w:cs="宋体"/>
                <w:kern w:val="0"/>
                <w:sz w:val="24"/>
                <w:szCs w:val="24"/>
              </w:rPr>
              <w:t>4、配维修工具1套，链条油1瓶，链条5条，比例壶1个；</w:t>
            </w:r>
            <w:r>
              <w:rPr>
                <w:rFonts w:hint="eastAsia" w:ascii="宋体" w:hAnsi="宋体" w:cs="宋体"/>
                <w:kern w:val="0"/>
                <w:sz w:val="24"/>
                <w:szCs w:val="24"/>
              </w:rPr>
              <w:br w:type="textWrapping"/>
            </w:r>
            <w:r>
              <w:rPr>
                <w:rFonts w:hint="eastAsia" w:ascii="宋体" w:hAnsi="宋体" w:cs="宋体"/>
                <w:kern w:val="0"/>
                <w:sz w:val="24"/>
                <w:szCs w:val="24"/>
              </w:rPr>
              <w:t>5、其他要求：二冲程发动机、前手防护挡；</w:t>
            </w:r>
            <w:r>
              <w:rPr>
                <w:rFonts w:hint="eastAsia" w:ascii="宋体" w:hAnsi="宋体" w:cs="宋体"/>
                <w:kern w:val="0"/>
                <w:sz w:val="24"/>
                <w:szCs w:val="24"/>
              </w:rPr>
              <w:br w:type="textWrapping"/>
            </w:r>
            <w:r>
              <w:rPr>
                <w:rFonts w:hint="eastAsia" w:ascii="宋体" w:hAnsi="宋体" w:cs="宋体"/>
                <w:kern w:val="0"/>
                <w:sz w:val="24"/>
                <w:szCs w:val="24"/>
              </w:rPr>
              <w:t>6、提供使用说明书。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8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9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门锁破拆工具组</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2、配置：专用特种钻头螺丝，锁芯拔除器、锁芯切断器、换向扳手、专用电钻、电池、充电器、锁舌转动器、除锈润滑剂、定位器、辅助工具、可锁防水防尘工程塑料箱；</w:t>
            </w:r>
            <w:r>
              <w:rPr>
                <w:rFonts w:hint="eastAsia" w:ascii="宋体" w:hAnsi="宋体" w:cs="宋体"/>
                <w:kern w:val="0"/>
                <w:sz w:val="24"/>
                <w:szCs w:val="24"/>
              </w:rPr>
              <w:br w:type="textWrapping"/>
            </w:r>
            <w:r>
              <w:rPr>
                <w:rFonts w:hint="eastAsia" w:ascii="宋体" w:hAnsi="宋体" w:cs="宋体"/>
                <w:kern w:val="0"/>
                <w:sz w:val="24"/>
                <w:szCs w:val="24"/>
              </w:rPr>
              <w:t>3、充电式电钻：</w:t>
            </w:r>
            <w:r>
              <w:rPr>
                <w:rFonts w:hint="eastAsia" w:ascii="宋体" w:hAnsi="宋体" w:cs="宋体"/>
                <w:kern w:val="0"/>
                <w:sz w:val="24"/>
                <w:szCs w:val="24"/>
              </w:rPr>
              <w:br w:type="textWrapping"/>
            </w:r>
            <w:r>
              <w:rPr>
                <w:rFonts w:hint="eastAsia" w:ascii="宋体" w:hAnsi="宋体" w:cs="宋体"/>
                <w:kern w:val="0"/>
                <w:sz w:val="24"/>
                <w:szCs w:val="24"/>
              </w:rPr>
              <w:t>（1）速度：三级可调；</w:t>
            </w:r>
            <w:r>
              <w:rPr>
                <w:rFonts w:hint="eastAsia" w:ascii="宋体" w:hAnsi="宋体" w:cs="宋体"/>
                <w:kern w:val="0"/>
                <w:sz w:val="24"/>
                <w:szCs w:val="24"/>
              </w:rPr>
              <w:br w:type="textWrapping"/>
            </w:r>
            <w:r>
              <w:rPr>
                <w:rFonts w:hint="eastAsia" w:ascii="宋体" w:hAnsi="宋体" w:cs="宋体"/>
                <w:kern w:val="0"/>
                <w:sz w:val="24"/>
                <w:szCs w:val="24"/>
              </w:rPr>
              <w:t>▲（2）最大钻距≥45N/m；</w:t>
            </w:r>
            <w:r>
              <w:rPr>
                <w:rFonts w:hint="eastAsia" w:ascii="宋体" w:hAnsi="宋体" w:cs="宋体"/>
                <w:kern w:val="0"/>
                <w:sz w:val="24"/>
                <w:szCs w:val="24"/>
              </w:rPr>
              <w:br w:type="textWrapping"/>
            </w:r>
            <w:r>
              <w:rPr>
                <w:rFonts w:hint="eastAsia" w:ascii="宋体" w:hAnsi="宋体" w:cs="宋体"/>
                <w:kern w:val="0"/>
                <w:sz w:val="24"/>
                <w:szCs w:val="24"/>
              </w:rPr>
              <w:t>★（3）钢材最大钻孔能力≥13mm；</w:t>
            </w:r>
            <w:r>
              <w:rPr>
                <w:rFonts w:hint="eastAsia" w:ascii="宋体" w:hAnsi="宋体" w:cs="宋体"/>
                <w:kern w:val="0"/>
                <w:sz w:val="24"/>
                <w:szCs w:val="24"/>
              </w:rPr>
              <w:br w:type="textWrapping"/>
            </w:r>
            <w:r>
              <w:rPr>
                <w:rFonts w:hint="eastAsia" w:ascii="宋体" w:hAnsi="宋体" w:cs="宋体"/>
                <w:kern w:val="0"/>
                <w:sz w:val="24"/>
                <w:szCs w:val="24"/>
              </w:rPr>
              <w:t>★（4）木材最大钻孔能力≥45mm；</w:t>
            </w:r>
            <w:r>
              <w:rPr>
                <w:rFonts w:hint="eastAsia" w:ascii="宋体" w:hAnsi="宋体" w:cs="宋体"/>
                <w:kern w:val="0"/>
                <w:sz w:val="24"/>
                <w:szCs w:val="24"/>
              </w:rPr>
              <w:br w:type="textWrapping"/>
            </w:r>
            <w:r>
              <w:rPr>
                <w:rFonts w:hint="eastAsia" w:ascii="宋体" w:hAnsi="宋体" w:cs="宋体"/>
                <w:kern w:val="0"/>
                <w:sz w:val="24"/>
                <w:szCs w:val="24"/>
              </w:rPr>
              <w:t>★（5）混凝土最大钻孔能力≥14mm；</w:t>
            </w:r>
            <w:r>
              <w:rPr>
                <w:rFonts w:hint="eastAsia" w:ascii="宋体" w:hAnsi="宋体" w:cs="宋体"/>
                <w:kern w:val="0"/>
                <w:sz w:val="24"/>
                <w:szCs w:val="24"/>
              </w:rPr>
              <w:br w:type="textWrapping"/>
            </w:r>
            <w:r>
              <w:rPr>
                <w:rFonts w:hint="eastAsia" w:ascii="宋体" w:hAnsi="宋体" w:cs="宋体"/>
                <w:kern w:val="0"/>
                <w:sz w:val="24"/>
                <w:szCs w:val="24"/>
              </w:rPr>
              <w:t xml:space="preserve">（6）电池类型：锂电池，容量≥2Ah；  </w:t>
            </w:r>
            <w:r>
              <w:rPr>
                <w:rFonts w:hint="eastAsia" w:ascii="宋体" w:hAnsi="宋体" w:cs="宋体"/>
                <w:kern w:val="0"/>
                <w:sz w:val="24"/>
                <w:szCs w:val="24"/>
              </w:rPr>
              <w:br w:type="textWrapping"/>
            </w:r>
            <w:r>
              <w:rPr>
                <w:rFonts w:hint="eastAsia" w:ascii="宋体" w:hAnsi="宋体" w:cs="宋体"/>
                <w:kern w:val="0"/>
                <w:sz w:val="24"/>
                <w:szCs w:val="24"/>
              </w:rPr>
              <w:t>（7）充电时间≤60分钟；</w:t>
            </w:r>
            <w:r>
              <w:rPr>
                <w:rFonts w:hint="eastAsia" w:ascii="宋体" w:hAnsi="宋体" w:cs="宋体"/>
                <w:kern w:val="0"/>
                <w:sz w:val="24"/>
                <w:szCs w:val="24"/>
              </w:rPr>
              <w:br w:type="textWrapping"/>
            </w:r>
            <w:r>
              <w:rPr>
                <w:rFonts w:hint="eastAsia" w:ascii="宋体" w:hAnsi="宋体" w:cs="宋体"/>
                <w:kern w:val="0"/>
                <w:sz w:val="24"/>
                <w:szCs w:val="24"/>
              </w:rPr>
              <w:t xml:space="preserve">4、重量≤10kg；      </w:t>
            </w:r>
            <w:r>
              <w:rPr>
                <w:rFonts w:hint="eastAsia" w:ascii="宋体" w:hAnsi="宋体" w:cs="宋体"/>
                <w:kern w:val="0"/>
                <w:sz w:val="24"/>
                <w:szCs w:val="24"/>
              </w:rPr>
              <w:br w:type="textWrapping"/>
            </w:r>
            <w:r>
              <w:rPr>
                <w:rFonts w:hint="eastAsia" w:ascii="宋体" w:hAnsi="宋体" w:cs="宋体"/>
                <w:kern w:val="0"/>
                <w:sz w:val="24"/>
                <w:szCs w:val="24"/>
              </w:rPr>
              <w:t>5、具有永久性标志及产品数据标识。</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15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气动切割刀</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2、用于切割薄壁、车辆金属和玻璃等，配有金属、非金属切割刀片、气动切割工具，能切割金属及其它复合材料，击碎砖墙和混凝土楼板；</w:t>
            </w:r>
            <w:r>
              <w:rPr>
                <w:rFonts w:hint="eastAsia" w:ascii="宋体" w:hAnsi="宋体" w:cs="宋体"/>
                <w:kern w:val="0"/>
                <w:sz w:val="24"/>
                <w:szCs w:val="24"/>
              </w:rPr>
              <w:br w:type="textWrapping"/>
            </w:r>
            <w:r>
              <w:rPr>
                <w:rFonts w:hint="eastAsia" w:ascii="宋体" w:hAnsi="宋体" w:cs="宋体"/>
                <w:kern w:val="0"/>
                <w:sz w:val="24"/>
                <w:szCs w:val="24"/>
              </w:rPr>
              <w:t>3、配备有破拆刀头数量≥3个，长度≥5m气管1根，减压阀1个，破拆枪1个；</w:t>
            </w:r>
            <w:r>
              <w:rPr>
                <w:rFonts w:hint="eastAsia" w:ascii="宋体" w:hAnsi="宋体" w:cs="宋体"/>
                <w:kern w:val="0"/>
                <w:sz w:val="24"/>
                <w:szCs w:val="24"/>
              </w:rPr>
              <w:br w:type="textWrapping"/>
            </w:r>
            <w:r>
              <w:rPr>
                <w:rFonts w:hint="eastAsia" w:ascii="宋体" w:hAnsi="宋体" w:cs="宋体"/>
                <w:kern w:val="0"/>
                <w:sz w:val="24"/>
                <w:szCs w:val="24"/>
              </w:rPr>
              <w:t>4、冲击距离：≥5cm。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11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毁锁器</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2、配置：专用特种钻头螺丝、锁芯拔除器、锁芯切断器、换向扳手、专用电钻、电池x2、充电器、锁舌转动器、除锈润滑剂、定位器、辅助工具、可锁防水防尘工程塑料箱等；</w:t>
            </w:r>
            <w:r>
              <w:rPr>
                <w:rFonts w:hint="eastAsia" w:ascii="宋体" w:hAnsi="宋体" w:cs="宋体"/>
                <w:kern w:val="0"/>
                <w:sz w:val="24"/>
                <w:szCs w:val="24"/>
              </w:rPr>
              <w:br w:type="textWrapping"/>
            </w:r>
            <w:r>
              <w:rPr>
                <w:rFonts w:hint="eastAsia" w:ascii="宋体" w:hAnsi="宋体" w:cs="宋体"/>
                <w:kern w:val="0"/>
                <w:sz w:val="24"/>
                <w:szCs w:val="24"/>
              </w:rPr>
              <w:t>3、充电式电钻：最大钻距≥45N/m，钻夹头尺寸约13（±0.5）mm，钢材/木材/混凝土最大钻孔能力分别为：13/45/14（±0.5）mm，重量（不含电池组）≤1.8kg；</w:t>
            </w:r>
            <w:r>
              <w:rPr>
                <w:rFonts w:hint="eastAsia" w:ascii="宋体" w:hAnsi="宋体" w:cs="宋体"/>
                <w:kern w:val="0"/>
                <w:sz w:val="24"/>
                <w:szCs w:val="24"/>
              </w:rPr>
              <w:br w:type="textWrapping"/>
            </w:r>
            <w:r>
              <w:rPr>
                <w:rFonts w:hint="eastAsia" w:ascii="宋体" w:hAnsi="宋体" w:cs="宋体"/>
                <w:kern w:val="0"/>
                <w:sz w:val="24"/>
                <w:szCs w:val="24"/>
              </w:rPr>
              <w:t>4、电池组：电压≥14V，容量≥2.0AH，重量≤0.8kg；</w:t>
            </w:r>
            <w:r>
              <w:rPr>
                <w:rFonts w:hint="eastAsia" w:ascii="宋体" w:hAnsi="宋体" w:cs="宋体"/>
                <w:kern w:val="0"/>
                <w:sz w:val="24"/>
                <w:szCs w:val="24"/>
              </w:rPr>
              <w:br w:type="textWrapping"/>
            </w:r>
            <w:r>
              <w:rPr>
                <w:rFonts w:hint="eastAsia" w:ascii="宋体" w:hAnsi="宋体" w:cs="宋体"/>
                <w:kern w:val="0"/>
                <w:sz w:val="24"/>
                <w:szCs w:val="24"/>
              </w:rPr>
              <w:t>5、充电器：充电电池≥14V DC，电压≥230VAC/50Hz，充电时间大约60min，重量≤0.5kg。</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12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电动链锯</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★1.整机提供检测报告：按照须知前附表第29条执行；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2.用于救援过程中切割混凝土、砖石、管道、木材等材质；由无刷电机、导板、链条、锂电池、导板护套、护目镜、专用工具箱、充电器等部件组成；</w:t>
            </w:r>
            <w:r>
              <w:rPr>
                <w:rFonts w:hint="eastAsia" w:ascii="宋体" w:hAnsi="宋体" w:cs="宋体"/>
                <w:kern w:val="0"/>
                <w:sz w:val="24"/>
                <w:szCs w:val="24"/>
              </w:rPr>
              <w:br w:type="textWrapping"/>
            </w:r>
            <w:r>
              <w:rPr>
                <w:rFonts w:hint="eastAsia" w:ascii="宋体" w:hAnsi="宋体" w:cs="宋体"/>
                <w:kern w:val="0"/>
                <w:sz w:val="24"/>
                <w:szCs w:val="24"/>
              </w:rPr>
              <w:t>▲3、功率≥1.8kW；双锂电池供电；无刷电机转速≥4200r/min；</w:t>
            </w:r>
            <w:r>
              <w:rPr>
                <w:rFonts w:hint="eastAsia" w:ascii="宋体" w:hAnsi="宋体" w:cs="宋体"/>
                <w:kern w:val="0"/>
                <w:sz w:val="24"/>
                <w:szCs w:val="24"/>
              </w:rPr>
              <w:br w:type="textWrapping"/>
            </w:r>
            <w:r>
              <w:rPr>
                <w:rFonts w:hint="eastAsia" w:ascii="宋体" w:hAnsi="宋体" w:cs="宋体"/>
                <w:kern w:val="0"/>
                <w:sz w:val="24"/>
                <w:szCs w:val="24"/>
              </w:rPr>
              <w:t>▲4、单电池容量：≥7Ah，电压≥37V；单块电池充电时间≥2小时；</w:t>
            </w:r>
            <w:r>
              <w:rPr>
                <w:rFonts w:hint="eastAsia" w:ascii="宋体" w:hAnsi="宋体" w:cs="宋体"/>
                <w:kern w:val="0"/>
                <w:sz w:val="24"/>
                <w:szCs w:val="24"/>
              </w:rPr>
              <w:br w:type="textWrapping"/>
            </w:r>
            <w:r>
              <w:rPr>
                <w:rFonts w:hint="eastAsia" w:ascii="宋体" w:hAnsi="宋体" w:cs="宋体"/>
                <w:kern w:val="0"/>
                <w:sz w:val="24"/>
                <w:szCs w:val="24"/>
              </w:rPr>
              <w:t>5、重量(不含链条和电池)：≤6kg；</w:t>
            </w:r>
            <w:r>
              <w:rPr>
                <w:rFonts w:hint="eastAsia" w:ascii="宋体" w:hAnsi="宋体" w:cs="宋体"/>
                <w:kern w:val="0"/>
                <w:sz w:val="24"/>
                <w:szCs w:val="24"/>
              </w:rPr>
              <w:br w:type="textWrapping"/>
            </w:r>
            <w:r>
              <w:rPr>
                <w:rFonts w:hint="eastAsia" w:ascii="宋体" w:hAnsi="宋体" w:cs="宋体"/>
                <w:kern w:val="0"/>
                <w:sz w:val="24"/>
                <w:szCs w:val="24"/>
              </w:rPr>
              <w:t>6、链条最大转速：≥9m/s；</w:t>
            </w:r>
            <w:r>
              <w:rPr>
                <w:rFonts w:hint="eastAsia" w:ascii="宋体" w:hAnsi="宋体" w:cs="宋体"/>
                <w:kern w:val="0"/>
                <w:sz w:val="24"/>
                <w:szCs w:val="24"/>
              </w:rPr>
              <w:br w:type="textWrapping"/>
            </w:r>
            <w:r>
              <w:rPr>
                <w:rFonts w:hint="eastAsia" w:ascii="宋体" w:hAnsi="宋体" w:cs="宋体"/>
                <w:kern w:val="0"/>
                <w:sz w:val="24"/>
                <w:szCs w:val="24"/>
              </w:rPr>
              <w:t>7、导板长度：≥400(mm)；</w:t>
            </w:r>
            <w:r>
              <w:rPr>
                <w:rFonts w:hint="eastAsia" w:ascii="宋体" w:hAnsi="宋体" w:cs="宋体"/>
                <w:kern w:val="0"/>
                <w:sz w:val="24"/>
                <w:szCs w:val="24"/>
              </w:rPr>
              <w:br w:type="textWrapping"/>
            </w:r>
            <w:r>
              <w:rPr>
                <w:rFonts w:hint="eastAsia" w:ascii="宋体" w:hAnsi="宋体" w:cs="宋体"/>
                <w:kern w:val="0"/>
                <w:sz w:val="24"/>
                <w:szCs w:val="24"/>
              </w:rPr>
              <w:t>8、润滑具有自动喷油功能；</w:t>
            </w:r>
            <w:r>
              <w:rPr>
                <w:rFonts w:hint="eastAsia" w:ascii="宋体" w:hAnsi="宋体" w:cs="宋体"/>
                <w:kern w:val="0"/>
                <w:sz w:val="24"/>
                <w:szCs w:val="24"/>
              </w:rPr>
              <w:br w:type="textWrapping"/>
            </w:r>
            <w:r>
              <w:rPr>
                <w:rFonts w:hint="eastAsia" w:ascii="宋体" w:hAnsi="宋体" w:cs="宋体"/>
                <w:kern w:val="0"/>
                <w:sz w:val="24"/>
                <w:szCs w:val="24"/>
              </w:rPr>
              <w:t>▲9、切割长度≥350mm；</w:t>
            </w:r>
            <w:r>
              <w:rPr>
                <w:rFonts w:hint="eastAsia" w:ascii="宋体" w:hAnsi="宋体" w:cs="宋体"/>
                <w:kern w:val="0"/>
                <w:sz w:val="24"/>
                <w:szCs w:val="24"/>
              </w:rPr>
              <w:br w:type="textWrapping"/>
            </w:r>
            <w:r>
              <w:rPr>
                <w:rFonts w:hint="eastAsia" w:ascii="宋体" w:hAnsi="宋体" w:cs="宋体"/>
                <w:kern w:val="0"/>
                <w:sz w:val="24"/>
                <w:szCs w:val="24"/>
              </w:rPr>
              <w:t>10、蓄电池≥4块；导板≥2块，链条≥4条；</w:t>
            </w:r>
            <w:r>
              <w:rPr>
                <w:rFonts w:hint="eastAsia" w:ascii="宋体" w:hAnsi="宋体" w:cs="宋体"/>
                <w:kern w:val="0"/>
                <w:sz w:val="24"/>
                <w:szCs w:val="24"/>
              </w:rPr>
              <w:br w:type="textWrapping"/>
            </w:r>
            <w:r>
              <w:rPr>
                <w:rFonts w:hint="eastAsia" w:ascii="宋体" w:hAnsi="宋体" w:cs="宋体"/>
                <w:kern w:val="0"/>
                <w:sz w:val="24"/>
                <w:szCs w:val="24"/>
              </w:rPr>
              <w:t>11、具有永久性标志及产品数据标识；</w:t>
            </w:r>
            <w:r>
              <w:rPr>
                <w:rFonts w:hint="eastAsia" w:ascii="宋体" w:hAnsi="宋体" w:cs="宋体"/>
                <w:kern w:val="0"/>
                <w:sz w:val="24"/>
                <w:szCs w:val="24"/>
              </w:rPr>
              <w:br w:type="textWrapping"/>
            </w:r>
            <w:r>
              <w:rPr>
                <w:rFonts w:hint="eastAsia" w:ascii="宋体" w:hAnsi="宋体" w:cs="宋体"/>
                <w:kern w:val="0"/>
                <w:sz w:val="24"/>
                <w:szCs w:val="24"/>
              </w:rPr>
              <w:t>12、导板为钨钢合金材质或优于钨钢合金材质；</w:t>
            </w:r>
            <w:r>
              <w:rPr>
                <w:rFonts w:hint="eastAsia" w:ascii="宋体" w:hAnsi="宋体" w:cs="宋体"/>
                <w:kern w:val="0"/>
                <w:sz w:val="24"/>
                <w:szCs w:val="24"/>
              </w:rPr>
              <w:br w:type="textWrapping"/>
            </w:r>
            <w:r>
              <w:rPr>
                <w:rFonts w:hint="eastAsia" w:ascii="宋体" w:hAnsi="宋体" w:cs="宋体"/>
                <w:kern w:val="0"/>
                <w:sz w:val="24"/>
                <w:szCs w:val="24"/>
              </w:rPr>
              <w:t>13、提供使用说明书。</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18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13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手动破拆工具组</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★1、满足《消防应急救援装备手动破拆工具通用技术条件》GB32459-2015标准，提供检测报告：按照须知前附表第29条执行；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▲2、由冲击杆、拆锁器、金属切断器、凿子、钎子及各类撬斧工具等部件组成，由耐磨、防锈、便携等性能；</w:t>
            </w:r>
            <w:r>
              <w:rPr>
                <w:rFonts w:hint="eastAsia" w:ascii="宋体" w:hAnsi="宋体" w:cs="宋体"/>
                <w:kern w:val="0"/>
                <w:sz w:val="24"/>
                <w:szCs w:val="24"/>
              </w:rPr>
              <w:br w:type="textWrapping"/>
            </w:r>
            <w:r>
              <w:rPr>
                <w:rFonts w:hint="eastAsia" w:ascii="宋体" w:hAnsi="宋体" w:cs="宋体"/>
                <w:kern w:val="0"/>
                <w:sz w:val="24"/>
                <w:szCs w:val="24"/>
              </w:rPr>
              <w:t>▲3、冲击行程≥300mm；</w:t>
            </w:r>
            <w:r>
              <w:rPr>
                <w:rFonts w:hint="eastAsia" w:ascii="宋体" w:hAnsi="宋体" w:cs="宋体"/>
                <w:kern w:val="0"/>
                <w:sz w:val="24"/>
                <w:szCs w:val="24"/>
              </w:rPr>
              <w:br w:type="textWrapping"/>
            </w:r>
            <w:r>
              <w:rPr>
                <w:rFonts w:hint="eastAsia" w:ascii="宋体" w:hAnsi="宋体" w:cs="宋体"/>
                <w:kern w:val="0"/>
                <w:sz w:val="24"/>
                <w:szCs w:val="24"/>
              </w:rPr>
              <w:t>4、整备质量≤25kg；</w:t>
            </w:r>
            <w:r>
              <w:rPr>
                <w:rFonts w:hint="eastAsia" w:ascii="宋体" w:hAnsi="宋体" w:cs="宋体"/>
                <w:kern w:val="0"/>
                <w:sz w:val="24"/>
                <w:szCs w:val="24"/>
              </w:rPr>
              <w:br w:type="textWrapping"/>
            </w:r>
            <w:r>
              <w:rPr>
                <w:rFonts w:hint="eastAsia" w:ascii="宋体" w:hAnsi="宋体" w:cs="宋体"/>
                <w:kern w:val="0"/>
                <w:sz w:val="24"/>
                <w:szCs w:val="24"/>
              </w:rPr>
              <w:t>▲5、凿击性能应能Q235型钢板厚度≥1.5mm，且刃口应无明显崩刃和开裂；</w:t>
            </w:r>
            <w:r>
              <w:rPr>
                <w:rFonts w:hint="eastAsia" w:ascii="宋体" w:hAnsi="宋体" w:cs="宋体"/>
                <w:kern w:val="0"/>
                <w:sz w:val="24"/>
                <w:szCs w:val="24"/>
              </w:rPr>
              <w:br w:type="textWrapping"/>
            </w:r>
            <w:r>
              <w:rPr>
                <w:rFonts w:hint="eastAsia" w:ascii="宋体" w:hAnsi="宋体" w:cs="宋体"/>
                <w:kern w:val="0"/>
                <w:sz w:val="24"/>
                <w:szCs w:val="24"/>
              </w:rPr>
              <w:t>▲6、撬斧起撬部位应能承受载荷≥7840N。</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8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14 </w:t>
            </w:r>
          </w:p>
        </w:tc>
        <w:tc>
          <w:tcPr>
            <w:tcW w:w="17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开缝器</w:t>
            </w:r>
          </w:p>
        </w:tc>
        <w:tc>
          <w:tcPr>
            <w:tcW w:w="948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★1、整机提供检测报告：按照须知前附表第29条执行；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2、主要功能：开缝器用于救援过程中在遇有狭小的缝隙时创造空间，配合如扩张钳、起重气垫、安全垫块等设备同时使用，解救被困人员或抬起重物实施营救；</w:t>
            </w:r>
            <w:r>
              <w:rPr>
                <w:rFonts w:hint="eastAsia" w:ascii="宋体" w:hAnsi="宋体" w:cs="宋体"/>
                <w:kern w:val="0"/>
                <w:sz w:val="24"/>
                <w:szCs w:val="24"/>
              </w:rPr>
              <w:br w:type="textWrapping"/>
            </w:r>
            <w:r>
              <w:rPr>
                <w:rFonts w:hint="eastAsia" w:ascii="宋体" w:hAnsi="宋体" w:cs="宋体"/>
                <w:kern w:val="0"/>
                <w:sz w:val="24"/>
                <w:szCs w:val="24"/>
              </w:rPr>
              <w:t>▲3、配备：手动液压泵、开缝器；</w:t>
            </w:r>
            <w:r>
              <w:rPr>
                <w:rFonts w:hint="eastAsia" w:ascii="宋体" w:hAnsi="宋体" w:cs="宋体"/>
                <w:kern w:val="0"/>
                <w:sz w:val="24"/>
                <w:szCs w:val="24"/>
              </w:rPr>
              <w:br w:type="textWrapping"/>
            </w:r>
            <w:r>
              <w:rPr>
                <w:rFonts w:hint="eastAsia" w:ascii="宋体" w:hAnsi="宋体" w:cs="宋体"/>
                <w:kern w:val="0"/>
                <w:sz w:val="24"/>
                <w:szCs w:val="24"/>
              </w:rPr>
              <w:t>★4、技术要求：最小楔入缝隙≤6mm；最大开启距离≥50mm；最大开启力≥210kN；额定工作压力≥63MPa；</w:t>
            </w:r>
            <w:r>
              <w:rPr>
                <w:rFonts w:hint="eastAsia" w:ascii="宋体" w:hAnsi="宋体" w:cs="宋体"/>
                <w:kern w:val="0"/>
                <w:sz w:val="24"/>
                <w:szCs w:val="24"/>
              </w:rPr>
              <w:br w:type="textWrapping"/>
            </w:r>
            <w:r>
              <w:rPr>
                <w:rFonts w:hint="eastAsia" w:ascii="宋体" w:hAnsi="宋体" w:cs="宋体"/>
                <w:kern w:val="0"/>
                <w:sz w:val="24"/>
                <w:szCs w:val="24"/>
              </w:rPr>
              <w:t>5、液压软管长度≥3m。</w:t>
            </w:r>
          </w:p>
        </w:tc>
        <w:tc>
          <w:tcPr>
            <w:tcW w:w="9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bl>
    <w:p>
      <w:pPr>
        <w:pStyle w:val="23"/>
        <w:rPr>
          <w:rFonts w:hAnsi="宋体" w:cs="宋体"/>
          <w:b/>
          <w:kern w:val="0"/>
          <w:sz w:val="32"/>
          <w:szCs w:val="32"/>
        </w:rPr>
      </w:pPr>
    </w:p>
    <w:p>
      <w:pPr>
        <w:pStyle w:val="23"/>
        <w:jc w:val="center"/>
        <w:rPr>
          <w:rFonts w:hAnsi="宋体" w:cs="宋体"/>
          <w:b/>
          <w:kern w:val="0"/>
          <w:sz w:val="32"/>
          <w:szCs w:val="32"/>
        </w:rPr>
      </w:pPr>
      <w:r>
        <w:rPr>
          <w:rFonts w:hint="eastAsia" w:hAnsi="宋体" w:cs="宋体"/>
          <w:b/>
          <w:kern w:val="0"/>
          <w:sz w:val="32"/>
          <w:szCs w:val="32"/>
        </w:rPr>
        <w:t>第四包</w:t>
      </w:r>
    </w:p>
    <w:tbl>
      <w:tblPr>
        <w:tblStyle w:val="38"/>
        <w:tblW w:w="13971" w:type="dxa"/>
        <w:tblInd w:w="98" w:type="dxa"/>
        <w:tblLayout w:type="fixed"/>
        <w:tblCellMar>
          <w:top w:w="0" w:type="dxa"/>
          <w:left w:w="108" w:type="dxa"/>
          <w:bottom w:w="0" w:type="dxa"/>
          <w:right w:w="108" w:type="dxa"/>
        </w:tblCellMar>
      </w:tblPr>
      <w:tblGrid>
        <w:gridCol w:w="721"/>
        <w:gridCol w:w="1700"/>
        <w:gridCol w:w="9525"/>
        <w:gridCol w:w="887"/>
        <w:gridCol w:w="1138"/>
      </w:tblGrid>
      <w:tr>
        <w:tblPrEx>
          <w:tblCellMar>
            <w:top w:w="0" w:type="dxa"/>
            <w:left w:w="108" w:type="dxa"/>
            <w:bottom w:w="0" w:type="dxa"/>
            <w:right w:w="108" w:type="dxa"/>
          </w:tblCellMar>
        </w:tblPrEx>
        <w:trPr>
          <w:trHeight w:val="30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序号</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装备名称</w:t>
            </w:r>
          </w:p>
        </w:tc>
        <w:tc>
          <w:tcPr>
            <w:tcW w:w="9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技术参数</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数量</w:t>
            </w:r>
          </w:p>
        </w:tc>
        <w:tc>
          <w:tcPr>
            <w:tcW w:w="11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备注</w:t>
            </w:r>
          </w:p>
        </w:tc>
      </w:tr>
      <w:tr>
        <w:tblPrEx>
          <w:tblCellMar>
            <w:top w:w="0" w:type="dxa"/>
            <w:left w:w="108" w:type="dxa"/>
            <w:bottom w:w="0" w:type="dxa"/>
            <w:right w:w="108" w:type="dxa"/>
          </w:tblCellMar>
        </w:tblPrEx>
        <w:trPr>
          <w:trHeight w:val="54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空气呼吸器</w:t>
            </w:r>
          </w:p>
        </w:tc>
        <w:tc>
          <w:tcPr>
            <w:tcW w:w="9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★1、符合国家《正压式消防空气呼吸器》XF124-2013标准，提供检测报告：按照须知前附表第29条执行；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全套空气呼吸器由全面罩、抬头显示、供气阀、减压阀、救援快速插口（三通）、报警哨和压力表、背板、拉杆箱、托垫及6.8L碳纤维复合气瓶，佩戴质量≤12kg，每具空气呼吸器配备1个他救面罩，每20具空气呼吸器配置1套快速充气装置；</w:t>
            </w:r>
            <w:r>
              <w:rPr>
                <w:rFonts w:hint="eastAsia" w:ascii="宋体" w:hAnsi="宋体" w:cs="宋体"/>
                <w:kern w:val="0"/>
                <w:sz w:val="24"/>
                <w:szCs w:val="24"/>
              </w:rPr>
              <w:br w:type="textWrapping"/>
            </w:r>
            <w:r>
              <w:rPr>
                <w:rFonts w:hint="eastAsia" w:ascii="宋体" w:hAnsi="宋体" w:cs="宋体"/>
                <w:kern w:val="0"/>
                <w:sz w:val="24"/>
                <w:szCs w:val="24"/>
              </w:rPr>
              <w:t>3、背架总成：背板采用复合材质制作，背带采用高性能本质阻燃材料制作，肩带设有弹性衬垫；腰带和肩带均为耐磨、防滑、防火、防滑材料，且肩带上具有荧光带及面罩放置挂钩等；</w:t>
            </w:r>
            <w:r>
              <w:rPr>
                <w:rFonts w:hint="eastAsia" w:ascii="宋体" w:hAnsi="宋体" w:cs="宋体"/>
                <w:kern w:val="0"/>
                <w:sz w:val="24"/>
                <w:szCs w:val="24"/>
              </w:rPr>
              <w:br w:type="textWrapping"/>
            </w:r>
            <w:r>
              <w:rPr>
                <w:rFonts w:hint="eastAsia" w:ascii="宋体" w:hAnsi="宋体" w:cs="宋体"/>
                <w:kern w:val="0"/>
                <w:sz w:val="24"/>
                <w:szCs w:val="24"/>
              </w:rPr>
              <w:t xml:space="preserve">★4、气瓶总成：符合TSG23-2021《气瓶安全技术规程》，提供检测报告：按照须知前附表第29条执行，工作压力30MPa,气瓶容积6.8L；气瓶阀配置压力表，能在任何时候显示气瓶内部压力；气瓶阀带自锁功能，避免气瓶阀意外关闭；全缠绕式碳纤维复合材料，瓶体内层缠绕环形反光标识；内胆采用高强度、经防腐处理、重量轻的铝合金材料；配套具有防火性能，印有“新疆消防”字样的气瓶保护套；                                                                                                          </w:t>
            </w:r>
            <w:r>
              <w:rPr>
                <w:rFonts w:hint="eastAsia" w:ascii="宋体" w:hAnsi="宋体" w:cs="宋体"/>
                <w:kern w:val="0"/>
                <w:sz w:val="24"/>
                <w:szCs w:val="24"/>
              </w:rPr>
              <w:br w:type="textWrapping"/>
            </w:r>
            <w:r>
              <w:rPr>
                <w:rFonts w:hint="eastAsia" w:ascii="宋体" w:hAnsi="宋体" w:cs="宋体"/>
                <w:kern w:val="0"/>
                <w:sz w:val="24"/>
                <w:szCs w:val="24"/>
              </w:rPr>
              <w:t xml:space="preserve">5、面罩总成：球形大视野面屏全面罩，总视野率≥78%，双目视野率≥65%，下方视野≥35°，镜片透光率≥90%，具有防雾功能，头网采用阻燃材质具有多点收紧结构，口鼻罩采用硅橡胶材料，头罩采用网状高性能阻燃材料制成，配备具有阻燃性能的保护套，如面罩和供气阀为一体的必须设置环境空气旁通装置；                                                                     </w:t>
            </w:r>
            <w:r>
              <w:rPr>
                <w:rFonts w:hint="eastAsia" w:ascii="宋体" w:hAnsi="宋体" w:cs="宋体"/>
                <w:kern w:val="0"/>
                <w:sz w:val="24"/>
                <w:szCs w:val="24"/>
              </w:rPr>
              <w:br w:type="textWrapping"/>
            </w:r>
            <w:r>
              <w:rPr>
                <w:rFonts w:hint="eastAsia" w:ascii="宋体" w:hAnsi="宋体" w:cs="宋体"/>
                <w:kern w:val="0"/>
                <w:sz w:val="24"/>
                <w:szCs w:val="24"/>
              </w:rPr>
              <w:t>★6、供气阀总成：供气阀具有紧急供气、面罩强制去雾，配备永久除雾、排放余气等功能；中压管与供气阀为活动式（360 °旋转）连接；支持快速插拔功能；具有自动开启装置，首次呼吸自动激活，具有自动正压机构；供气流量≥500L/min；</w:t>
            </w:r>
            <w:r>
              <w:rPr>
                <w:rFonts w:hint="eastAsia" w:ascii="宋体" w:hAnsi="宋体" w:cs="宋体"/>
                <w:kern w:val="0"/>
                <w:sz w:val="24"/>
                <w:szCs w:val="24"/>
              </w:rPr>
              <w:br w:type="textWrapping"/>
            </w:r>
            <w:r>
              <w:rPr>
                <w:rFonts w:hint="eastAsia" w:ascii="宋体" w:hAnsi="宋体" w:cs="宋体"/>
                <w:kern w:val="0"/>
                <w:sz w:val="24"/>
                <w:szCs w:val="24"/>
              </w:rPr>
              <w:t>★7、减压阀总成：恒压式结构设计，当减压器输出压力超过设定安全压力时，中压安全阀会自动泄压；</w:t>
            </w:r>
            <w:r>
              <w:rPr>
                <w:rFonts w:hint="eastAsia" w:ascii="宋体" w:hAnsi="宋体" w:cs="宋体"/>
                <w:kern w:val="0"/>
                <w:sz w:val="24"/>
                <w:szCs w:val="24"/>
              </w:rPr>
              <w:br w:type="textWrapping"/>
            </w:r>
            <w:r>
              <w:rPr>
                <w:rFonts w:hint="eastAsia" w:ascii="宋体" w:hAnsi="宋体" w:cs="宋体"/>
                <w:kern w:val="0"/>
                <w:sz w:val="24"/>
                <w:szCs w:val="24"/>
              </w:rPr>
              <w:t>★8、报警哨及压力表：为一体化设计，置于使用者前胸部，报警压力5.5±0.5MPa，具有高分贝声音报警功能，报警发声≥90dB，报警哨平均耗气量≤3.5L/min；</w:t>
            </w:r>
            <w:r>
              <w:rPr>
                <w:rFonts w:hint="eastAsia" w:ascii="宋体" w:hAnsi="宋体" w:cs="宋体"/>
                <w:kern w:val="0"/>
                <w:sz w:val="24"/>
                <w:szCs w:val="24"/>
              </w:rPr>
              <w:br w:type="textWrapping"/>
            </w:r>
            <w:r>
              <w:rPr>
                <w:rFonts w:hint="eastAsia" w:ascii="宋体" w:hAnsi="宋体" w:cs="宋体"/>
                <w:kern w:val="0"/>
                <w:sz w:val="24"/>
                <w:szCs w:val="24"/>
              </w:rPr>
              <w:t>9、抬头显示HUD:配有HUD压力平视显示装置，固定在供气阀上，不影响头部摆动；采用无线或有线传输方式，信号具有唯一性，当压力值≤6MPa，报警哨报警。</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130 </w:t>
            </w:r>
          </w:p>
        </w:tc>
        <w:tc>
          <w:tcPr>
            <w:tcW w:w="11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4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空呼气瓶</w:t>
            </w:r>
          </w:p>
        </w:tc>
        <w:tc>
          <w:tcPr>
            <w:tcW w:w="9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★1、符合国家或行业标准：《呼吸器用复合气瓶》（ GB28053-2011）、《呼吸器用复合气瓶定期检验与评定》（GB24161-2009），提供检测报告：按照须知前附表第29条执行；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 xml:space="preserve">★2、符合TSG23-2021《气瓶安全技术规程》； </w:t>
            </w:r>
            <w:r>
              <w:rPr>
                <w:rFonts w:hint="eastAsia" w:ascii="宋体" w:hAnsi="宋体" w:cs="宋体"/>
                <w:kern w:val="0"/>
                <w:sz w:val="24"/>
                <w:szCs w:val="24"/>
              </w:rPr>
              <w:br w:type="textWrapping"/>
            </w:r>
            <w:r>
              <w:rPr>
                <w:rFonts w:hint="eastAsia" w:ascii="宋体" w:hAnsi="宋体" w:cs="宋体"/>
                <w:kern w:val="0"/>
                <w:sz w:val="24"/>
                <w:szCs w:val="24"/>
              </w:rPr>
              <w:t>3、主要功能：用于存储压缩空气；</w:t>
            </w:r>
            <w:r>
              <w:rPr>
                <w:rFonts w:hint="eastAsia" w:ascii="宋体" w:hAnsi="宋体" w:cs="宋体"/>
                <w:kern w:val="0"/>
                <w:sz w:val="24"/>
                <w:szCs w:val="24"/>
              </w:rPr>
              <w:br w:type="textWrapping"/>
            </w:r>
            <w:r>
              <w:rPr>
                <w:rFonts w:hint="eastAsia" w:ascii="宋体" w:hAnsi="宋体" w:cs="宋体"/>
                <w:kern w:val="0"/>
                <w:sz w:val="24"/>
                <w:szCs w:val="24"/>
              </w:rPr>
              <w:t>4、技术要求：内胆、气瓶缠绕层材料应复合要求；</w:t>
            </w:r>
            <w:r>
              <w:rPr>
                <w:rFonts w:hint="eastAsia" w:ascii="宋体" w:hAnsi="宋体" w:cs="宋体"/>
                <w:kern w:val="0"/>
                <w:sz w:val="24"/>
                <w:szCs w:val="24"/>
              </w:rPr>
              <w:br w:type="textWrapping"/>
            </w:r>
            <w:r>
              <w:rPr>
                <w:rFonts w:hint="eastAsia" w:ascii="宋体" w:hAnsi="宋体" w:cs="宋体"/>
                <w:kern w:val="0"/>
                <w:sz w:val="24"/>
                <w:szCs w:val="24"/>
              </w:rPr>
              <w:t xml:space="preserve">5、其他要求：以无缝铝合金为内胆，在其外表全缠绕浸渍树脂基体的炭纤维加强层，并经加温固化 ；                                                                      </w:t>
            </w:r>
            <w:r>
              <w:rPr>
                <w:rFonts w:hint="eastAsia" w:ascii="宋体" w:hAnsi="宋体" w:cs="宋体"/>
                <w:kern w:val="0"/>
                <w:sz w:val="24"/>
                <w:szCs w:val="24"/>
              </w:rPr>
              <w:br w:type="textWrapping"/>
            </w:r>
            <w:r>
              <w:rPr>
                <w:rFonts w:hint="eastAsia" w:ascii="宋体" w:hAnsi="宋体" w:cs="宋体"/>
                <w:kern w:val="0"/>
                <w:sz w:val="24"/>
                <w:szCs w:val="24"/>
              </w:rPr>
              <w:t xml:space="preserve">6、工作压力30MPa,气瓶容积6.8L；                                                                                    </w:t>
            </w:r>
            <w:r>
              <w:rPr>
                <w:rFonts w:hint="eastAsia" w:ascii="宋体" w:hAnsi="宋体" w:cs="宋体"/>
                <w:kern w:val="0"/>
                <w:sz w:val="24"/>
                <w:szCs w:val="24"/>
              </w:rPr>
              <w:br w:type="textWrapping"/>
            </w:r>
            <w:r>
              <w:rPr>
                <w:rFonts w:hint="eastAsia" w:ascii="宋体" w:hAnsi="宋体" w:cs="宋体"/>
                <w:kern w:val="0"/>
                <w:sz w:val="24"/>
                <w:szCs w:val="24"/>
              </w:rPr>
              <w:t xml:space="preserve">7、气瓶阀配置压力表，能在任何时候显示气瓶内部压力；                                                                </w:t>
            </w:r>
            <w:r>
              <w:rPr>
                <w:rFonts w:hint="eastAsia" w:ascii="宋体" w:hAnsi="宋体" w:cs="宋体"/>
                <w:kern w:val="0"/>
                <w:sz w:val="24"/>
                <w:szCs w:val="24"/>
              </w:rPr>
              <w:br w:type="textWrapping"/>
            </w:r>
            <w:r>
              <w:rPr>
                <w:rFonts w:hint="eastAsia" w:ascii="宋体" w:hAnsi="宋体" w:cs="宋体"/>
                <w:kern w:val="0"/>
                <w:sz w:val="24"/>
                <w:szCs w:val="24"/>
              </w:rPr>
              <w:t xml:space="preserve">8、气瓶阀带自锁功能，避免气瓶阀意外关闭；                                                                          </w:t>
            </w:r>
            <w:r>
              <w:rPr>
                <w:rFonts w:hint="eastAsia" w:ascii="宋体" w:hAnsi="宋体" w:cs="宋体"/>
                <w:kern w:val="0"/>
                <w:sz w:val="24"/>
                <w:szCs w:val="24"/>
              </w:rPr>
              <w:br w:type="textWrapping"/>
            </w:r>
            <w:r>
              <w:rPr>
                <w:rFonts w:hint="eastAsia" w:ascii="宋体" w:hAnsi="宋体" w:cs="宋体"/>
                <w:kern w:val="0"/>
                <w:sz w:val="24"/>
                <w:szCs w:val="24"/>
              </w:rPr>
              <w:t xml:space="preserve">9、全缠绕式碳纤维复合材料，瓶体内层缠绕环形反光标识；                                                                   </w:t>
            </w:r>
            <w:r>
              <w:rPr>
                <w:rFonts w:hint="eastAsia" w:ascii="宋体" w:hAnsi="宋体" w:cs="宋体"/>
                <w:kern w:val="0"/>
                <w:sz w:val="24"/>
                <w:szCs w:val="24"/>
              </w:rPr>
              <w:br w:type="textWrapping"/>
            </w:r>
            <w:r>
              <w:rPr>
                <w:rFonts w:hint="eastAsia" w:ascii="宋体" w:hAnsi="宋体" w:cs="宋体"/>
                <w:kern w:val="0"/>
                <w:sz w:val="24"/>
                <w:szCs w:val="24"/>
              </w:rPr>
              <w:t xml:space="preserve">10、内胆采用高强度、经防腐处理、重量轻的铝合金材料；                                                                  </w:t>
            </w:r>
            <w:r>
              <w:rPr>
                <w:rFonts w:hint="eastAsia" w:ascii="宋体" w:hAnsi="宋体" w:cs="宋体"/>
                <w:kern w:val="0"/>
                <w:sz w:val="24"/>
                <w:szCs w:val="24"/>
              </w:rPr>
              <w:br w:type="textWrapping"/>
            </w:r>
            <w:r>
              <w:rPr>
                <w:rFonts w:hint="eastAsia" w:ascii="宋体" w:hAnsi="宋体" w:cs="宋体"/>
                <w:kern w:val="0"/>
                <w:sz w:val="24"/>
                <w:szCs w:val="24"/>
              </w:rPr>
              <w:t xml:space="preserve">11、配套具有防火性能，印有“新疆消防”字样的气瓶保护套；   </w:t>
            </w:r>
            <w:r>
              <w:rPr>
                <w:rFonts w:hint="eastAsia" w:ascii="宋体" w:hAnsi="宋体" w:cs="宋体"/>
                <w:kern w:val="0"/>
                <w:sz w:val="24"/>
                <w:szCs w:val="24"/>
              </w:rPr>
              <w:br w:type="textWrapping"/>
            </w:r>
            <w:r>
              <w:rPr>
                <w:rFonts w:hint="eastAsia" w:ascii="宋体" w:hAnsi="宋体" w:cs="宋体"/>
                <w:kern w:val="0"/>
                <w:sz w:val="24"/>
                <w:szCs w:val="24"/>
              </w:rPr>
              <w:t>12、气瓶内胆带有反光条；提供底座护垫1个、气瓶护圈1个、气瓶接口O型圈3个、气瓶阀手轮1个。</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60 </w:t>
            </w:r>
          </w:p>
        </w:tc>
        <w:tc>
          <w:tcPr>
            <w:tcW w:w="11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4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正压式消防氧气呼吸器</w:t>
            </w:r>
          </w:p>
        </w:tc>
        <w:tc>
          <w:tcPr>
            <w:tcW w:w="9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numPr>
                <w:ilvl w:val="0"/>
                <w:numId w:val="12"/>
              </w:numPr>
              <w:jc w:val="left"/>
              <w:textAlignment w:val="center"/>
              <w:rPr>
                <w:rFonts w:ascii="宋体" w:hAnsi="宋体" w:cs="宋体"/>
                <w:kern w:val="0"/>
                <w:sz w:val="24"/>
                <w:szCs w:val="24"/>
              </w:rPr>
            </w:pPr>
            <w:r>
              <w:rPr>
                <w:rFonts w:hint="eastAsia" w:ascii="宋体" w:hAnsi="宋体" w:cs="宋体"/>
                <w:kern w:val="0"/>
                <w:sz w:val="24"/>
                <w:szCs w:val="24"/>
              </w:rPr>
              <w:t>满足《正压式消防氧气呼吸器》（XF632-2006）标准，提供检测报告：按照须知前附表第29条执行；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2、重量：≤14kg；</w:t>
            </w:r>
            <w:r>
              <w:rPr>
                <w:rFonts w:hint="eastAsia" w:ascii="宋体" w:hAnsi="宋体" w:cs="宋体"/>
                <w:kern w:val="0"/>
                <w:sz w:val="24"/>
                <w:szCs w:val="24"/>
              </w:rPr>
              <w:br w:type="textWrapping"/>
            </w:r>
            <w:r>
              <w:rPr>
                <w:rFonts w:hint="eastAsia" w:ascii="宋体" w:hAnsi="宋体" w:cs="宋体"/>
                <w:kern w:val="0"/>
                <w:sz w:val="24"/>
                <w:szCs w:val="24"/>
              </w:rPr>
              <w:t>3、高压系统气密性：在 20~18MPa气密性试验不漏气；低压系统气密性≤ 10pa。清净罐、冷却罐经气密性试验应不漏气；</w:t>
            </w:r>
            <w:r>
              <w:rPr>
                <w:rFonts w:hint="eastAsia" w:ascii="宋体" w:hAnsi="宋体" w:cs="宋体"/>
                <w:kern w:val="0"/>
                <w:sz w:val="24"/>
                <w:szCs w:val="24"/>
              </w:rPr>
              <w:br w:type="textWrapping"/>
            </w:r>
            <w:r>
              <w:rPr>
                <w:rFonts w:hint="eastAsia" w:ascii="宋体" w:hAnsi="宋体" w:cs="宋体"/>
                <w:kern w:val="0"/>
                <w:sz w:val="24"/>
                <w:szCs w:val="24"/>
              </w:rPr>
              <w:t>4、在呼吸量为 30L/min 时，吸气中二氧化碳的浓度≤0.95%，呼气阻力≤520Pa，吸气阻力≤430Pa；在呼吸量为50L/min 时，吸气中二氧化碳的浓度≤1.1%，呼气阻力≤540Pa；</w:t>
            </w:r>
            <w:r>
              <w:rPr>
                <w:rFonts w:hint="eastAsia" w:ascii="宋体" w:hAnsi="宋体" w:cs="宋体"/>
                <w:kern w:val="0"/>
                <w:sz w:val="24"/>
                <w:szCs w:val="24"/>
              </w:rPr>
              <w:br w:type="textWrapping"/>
            </w:r>
            <w:r>
              <w:rPr>
                <w:rFonts w:hint="eastAsia" w:ascii="宋体" w:hAnsi="宋体" w:cs="宋体"/>
                <w:kern w:val="0"/>
                <w:sz w:val="24"/>
                <w:szCs w:val="24"/>
              </w:rPr>
              <w:t>5、吸气中氧气浓度应≥50%；减压器输出流量≥100L/min；</w:t>
            </w:r>
            <w:r>
              <w:rPr>
                <w:rFonts w:hint="eastAsia" w:ascii="宋体" w:hAnsi="宋体" w:cs="宋体"/>
                <w:kern w:val="0"/>
                <w:sz w:val="24"/>
                <w:szCs w:val="24"/>
              </w:rPr>
              <w:br w:type="textWrapping"/>
            </w:r>
            <w:r>
              <w:rPr>
                <w:rFonts w:hint="eastAsia" w:ascii="宋体" w:hAnsi="宋体" w:cs="宋体"/>
                <w:kern w:val="0"/>
                <w:sz w:val="24"/>
                <w:szCs w:val="24"/>
              </w:rPr>
              <w:t>6、额定防护时间:呼吸量为 30L/min 时，防护时间≥240min；呼吸量为 50L/min 时，防护时间≥60min；</w:t>
            </w:r>
            <w:r>
              <w:rPr>
                <w:rFonts w:hint="eastAsia" w:ascii="宋体" w:hAnsi="宋体" w:cs="宋体"/>
                <w:kern w:val="0"/>
                <w:sz w:val="24"/>
                <w:szCs w:val="24"/>
              </w:rPr>
              <w:br w:type="textWrapping"/>
            </w:r>
            <w:r>
              <w:rPr>
                <w:rFonts w:hint="eastAsia" w:ascii="宋体" w:hAnsi="宋体" w:cs="宋体"/>
                <w:kern w:val="0"/>
                <w:sz w:val="24"/>
                <w:szCs w:val="24"/>
              </w:rPr>
              <w:t>7、环境温度为(26±2)℃时，吸气温度≤35℃。环境温度为(40±2)℃时，吸气温度≤40℃；</w:t>
            </w:r>
            <w:r>
              <w:rPr>
                <w:rFonts w:hint="eastAsia" w:ascii="宋体" w:hAnsi="宋体" w:cs="宋体"/>
                <w:kern w:val="0"/>
                <w:sz w:val="24"/>
                <w:szCs w:val="24"/>
              </w:rPr>
              <w:br w:type="textWrapping"/>
            </w:r>
            <w:r>
              <w:rPr>
                <w:rFonts w:hint="eastAsia" w:ascii="宋体" w:hAnsi="宋体" w:cs="宋体"/>
                <w:kern w:val="0"/>
                <w:sz w:val="24"/>
                <w:szCs w:val="24"/>
              </w:rPr>
              <w:t>8、在气瓶压力 20~2MPa 时，定量供氧量应≥1.5L/min；自动补给供氧量应≥90L/min；手动补给供氧量应≥90L/min；</w:t>
            </w:r>
            <w:r>
              <w:rPr>
                <w:rFonts w:hint="eastAsia" w:ascii="宋体" w:hAnsi="宋体" w:cs="宋体"/>
                <w:kern w:val="0"/>
                <w:sz w:val="24"/>
                <w:szCs w:val="24"/>
              </w:rPr>
              <w:br w:type="textWrapping"/>
            </w:r>
            <w:r>
              <w:rPr>
                <w:rFonts w:hint="eastAsia" w:ascii="宋体" w:hAnsi="宋体" w:cs="宋体"/>
                <w:kern w:val="0"/>
                <w:sz w:val="24"/>
                <w:szCs w:val="24"/>
              </w:rPr>
              <w:t>9、气囊或呼吸舱内压力在应在 10~245pa 范围内，气囊或呼吸舱经热水浸泡试验后应不开裂且有效容积应≥5L；</w:t>
            </w:r>
            <w:r>
              <w:rPr>
                <w:rFonts w:hint="eastAsia" w:ascii="宋体" w:hAnsi="宋体" w:cs="宋体"/>
                <w:kern w:val="0"/>
                <w:sz w:val="24"/>
                <w:szCs w:val="24"/>
              </w:rPr>
              <w:br w:type="textWrapping"/>
            </w:r>
            <w:r>
              <w:rPr>
                <w:rFonts w:hint="eastAsia" w:ascii="宋体" w:hAnsi="宋体" w:cs="宋体"/>
                <w:kern w:val="0"/>
                <w:sz w:val="24"/>
                <w:szCs w:val="24"/>
              </w:rPr>
              <w:t>10、排气阀开启压力应在 400~700pa 范围内；</w:t>
            </w:r>
            <w:r>
              <w:rPr>
                <w:rFonts w:hint="eastAsia" w:ascii="宋体" w:hAnsi="宋体" w:cs="宋体"/>
                <w:kern w:val="0"/>
                <w:sz w:val="24"/>
                <w:szCs w:val="24"/>
              </w:rPr>
              <w:br w:type="textWrapping"/>
            </w:r>
            <w:r>
              <w:rPr>
                <w:rFonts w:hint="eastAsia" w:ascii="宋体" w:hAnsi="宋体" w:cs="宋体"/>
                <w:kern w:val="0"/>
                <w:sz w:val="24"/>
                <w:szCs w:val="24"/>
              </w:rPr>
              <w:t>111、呼气、吸气阀的通气阻力应≤10pa，逆向漏气量应≤0.1L/min。</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30 </w:t>
            </w:r>
          </w:p>
        </w:tc>
        <w:tc>
          <w:tcPr>
            <w:tcW w:w="11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540" w:hRule="atLeast"/>
        </w:trPr>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4 </w:t>
            </w:r>
          </w:p>
        </w:tc>
        <w:tc>
          <w:tcPr>
            <w:tcW w:w="17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空气充填泵</w:t>
            </w:r>
          </w:p>
        </w:tc>
        <w:tc>
          <w:tcPr>
            <w:tcW w:w="952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2、主要功能：主要用于消防及工业系统等行业空气呼吸器的快速充气；</w:t>
            </w:r>
            <w:r>
              <w:rPr>
                <w:rFonts w:hint="eastAsia" w:ascii="宋体" w:hAnsi="宋体" w:cs="宋体"/>
                <w:kern w:val="0"/>
                <w:sz w:val="24"/>
                <w:szCs w:val="24"/>
              </w:rPr>
              <w:br w:type="textWrapping"/>
            </w:r>
            <w:r>
              <w:rPr>
                <w:rFonts w:hint="eastAsia" w:ascii="宋体" w:hAnsi="宋体" w:cs="宋体"/>
                <w:kern w:val="0"/>
                <w:sz w:val="24"/>
                <w:szCs w:val="24"/>
              </w:rPr>
              <w:t>3、技术要求：</w:t>
            </w:r>
            <w:r>
              <w:rPr>
                <w:rFonts w:hint="eastAsia" w:ascii="宋体" w:hAnsi="宋体" w:cs="宋体"/>
                <w:kern w:val="0"/>
                <w:sz w:val="24"/>
                <w:szCs w:val="24"/>
              </w:rPr>
              <w:br w:type="textWrapping"/>
            </w:r>
            <w:r>
              <w:rPr>
                <w:rFonts w:hint="eastAsia" w:ascii="宋体" w:hAnsi="宋体" w:cs="宋体"/>
                <w:kern w:val="0"/>
                <w:sz w:val="24"/>
                <w:szCs w:val="24"/>
              </w:rPr>
              <w:t>★（1）额定工作压力：≥35MPa；</w:t>
            </w:r>
            <w:r>
              <w:rPr>
                <w:rFonts w:hint="eastAsia" w:ascii="宋体" w:hAnsi="宋体" w:cs="宋体"/>
                <w:kern w:val="0"/>
                <w:sz w:val="24"/>
                <w:szCs w:val="24"/>
              </w:rPr>
              <w:br w:type="textWrapping"/>
            </w:r>
            <w:r>
              <w:rPr>
                <w:rFonts w:hint="eastAsia" w:ascii="宋体" w:hAnsi="宋体" w:cs="宋体"/>
                <w:kern w:val="0"/>
                <w:sz w:val="24"/>
                <w:szCs w:val="24"/>
              </w:rPr>
              <w:t>▲（2）可同时充填2个气瓶，单瓶充气时间≤10min；</w:t>
            </w:r>
            <w:r>
              <w:rPr>
                <w:rFonts w:hint="eastAsia" w:ascii="宋体" w:hAnsi="宋体" w:cs="宋体"/>
                <w:kern w:val="0"/>
                <w:sz w:val="24"/>
                <w:szCs w:val="24"/>
              </w:rPr>
              <w:br w:type="textWrapping"/>
            </w:r>
            <w:r>
              <w:rPr>
                <w:rFonts w:hint="eastAsia" w:ascii="宋体" w:hAnsi="宋体" w:cs="宋体"/>
                <w:kern w:val="0"/>
                <w:sz w:val="24"/>
                <w:szCs w:val="24"/>
              </w:rPr>
              <w:t>★（3）储气容量：≥150L；排量≥1000L/min；</w:t>
            </w:r>
            <w:r>
              <w:rPr>
                <w:rFonts w:hint="eastAsia" w:ascii="宋体" w:hAnsi="宋体" w:cs="宋体"/>
                <w:kern w:val="0"/>
                <w:sz w:val="24"/>
                <w:szCs w:val="24"/>
              </w:rPr>
              <w:br w:type="textWrapping"/>
            </w:r>
            <w:r>
              <w:rPr>
                <w:rFonts w:hint="eastAsia" w:ascii="宋体" w:hAnsi="宋体" w:cs="宋体"/>
                <w:kern w:val="0"/>
                <w:sz w:val="24"/>
                <w:szCs w:val="24"/>
              </w:rPr>
              <w:t>（4）安全阀：≥2个级间安全阀，≥1个末级安全阀；</w:t>
            </w:r>
            <w:r>
              <w:rPr>
                <w:rFonts w:hint="eastAsia" w:ascii="宋体" w:hAnsi="宋体" w:cs="宋体"/>
                <w:kern w:val="0"/>
                <w:sz w:val="24"/>
                <w:szCs w:val="24"/>
              </w:rPr>
              <w:br w:type="textWrapping"/>
            </w:r>
            <w:r>
              <w:rPr>
                <w:rFonts w:hint="eastAsia" w:ascii="宋体" w:hAnsi="宋体" w:cs="宋体"/>
                <w:kern w:val="0"/>
                <w:sz w:val="24"/>
                <w:szCs w:val="24"/>
              </w:rPr>
              <w:t>（5）配备充气接头、充气管、维修工具、空气滤芯、活性碳滤芯、压缩机体原装润滑油≥5L,气瓶口转换头等附件；</w:t>
            </w:r>
            <w:r>
              <w:rPr>
                <w:rFonts w:hint="eastAsia" w:ascii="宋体" w:hAnsi="宋体" w:cs="宋体"/>
                <w:kern w:val="0"/>
                <w:sz w:val="24"/>
                <w:szCs w:val="24"/>
              </w:rPr>
              <w:br w:type="textWrapping"/>
            </w:r>
            <w:r>
              <w:rPr>
                <w:rFonts w:hint="eastAsia" w:ascii="宋体" w:hAnsi="宋体" w:cs="宋体"/>
                <w:kern w:val="0"/>
                <w:sz w:val="24"/>
                <w:szCs w:val="24"/>
              </w:rPr>
              <w:t xml:space="preserve">（6）含充气防爆箱（同时容纳≥2个气瓶）1台； </w:t>
            </w:r>
            <w:r>
              <w:rPr>
                <w:rFonts w:hint="eastAsia" w:ascii="宋体" w:hAnsi="宋体" w:cs="宋体"/>
                <w:kern w:val="0"/>
                <w:sz w:val="24"/>
                <w:szCs w:val="24"/>
              </w:rPr>
              <w:br w:type="textWrapping"/>
            </w:r>
            <w:r>
              <w:rPr>
                <w:rFonts w:hint="eastAsia" w:ascii="宋体" w:hAnsi="宋体" w:cs="宋体"/>
                <w:kern w:val="0"/>
                <w:sz w:val="24"/>
                <w:szCs w:val="24"/>
              </w:rPr>
              <w:t>4、其他要求：主要由压缩机组、防爆充气箱、储气系统、PLC控制及模块化管理软件等组成，可安全快速地对气瓶进行充气或补气。</w:t>
            </w:r>
          </w:p>
        </w:tc>
        <w:tc>
          <w:tcPr>
            <w:tcW w:w="88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1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bl>
    <w:p>
      <w:pPr>
        <w:pStyle w:val="23"/>
        <w:rPr>
          <w:rFonts w:hAnsi="宋体" w:cs="宋体"/>
          <w:b/>
          <w:kern w:val="0"/>
          <w:sz w:val="32"/>
          <w:szCs w:val="32"/>
        </w:rPr>
      </w:pPr>
    </w:p>
    <w:p>
      <w:pPr>
        <w:pStyle w:val="23"/>
        <w:jc w:val="center"/>
        <w:rPr>
          <w:rFonts w:hAnsi="宋体" w:cs="宋体"/>
          <w:b/>
          <w:kern w:val="0"/>
          <w:sz w:val="32"/>
          <w:szCs w:val="32"/>
        </w:rPr>
      </w:pPr>
      <w:r>
        <w:rPr>
          <w:rFonts w:hint="eastAsia" w:hAnsi="宋体" w:cs="宋体"/>
          <w:b/>
          <w:kern w:val="0"/>
          <w:sz w:val="32"/>
          <w:szCs w:val="32"/>
        </w:rPr>
        <w:t>第五包</w:t>
      </w:r>
    </w:p>
    <w:tbl>
      <w:tblPr>
        <w:tblStyle w:val="38"/>
        <w:tblW w:w="13978" w:type="dxa"/>
        <w:tblInd w:w="98" w:type="dxa"/>
        <w:tblLayout w:type="autofit"/>
        <w:tblCellMar>
          <w:top w:w="0" w:type="dxa"/>
          <w:left w:w="108" w:type="dxa"/>
          <w:bottom w:w="0" w:type="dxa"/>
          <w:right w:w="108" w:type="dxa"/>
        </w:tblCellMar>
      </w:tblPr>
      <w:tblGrid>
        <w:gridCol w:w="708"/>
        <w:gridCol w:w="1713"/>
        <w:gridCol w:w="9512"/>
        <w:gridCol w:w="938"/>
        <w:gridCol w:w="1107"/>
      </w:tblGrid>
      <w:tr>
        <w:tblPrEx>
          <w:tblCellMar>
            <w:top w:w="0" w:type="dxa"/>
            <w:left w:w="108" w:type="dxa"/>
            <w:bottom w:w="0" w:type="dxa"/>
            <w:right w:w="108" w:type="dxa"/>
          </w:tblCellMar>
        </w:tblPrEx>
        <w:trPr>
          <w:trHeight w:val="300"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序号</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装备名称</w:t>
            </w:r>
          </w:p>
        </w:tc>
        <w:tc>
          <w:tcPr>
            <w:tcW w:w="95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技术参数</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数量</w:t>
            </w:r>
          </w:p>
        </w:tc>
        <w:tc>
          <w:tcPr>
            <w:tcW w:w="110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备注</w:t>
            </w:r>
          </w:p>
        </w:tc>
      </w:tr>
      <w:tr>
        <w:tblPrEx>
          <w:tblCellMar>
            <w:top w:w="0" w:type="dxa"/>
            <w:left w:w="108" w:type="dxa"/>
            <w:bottom w:w="0" w:type="dxa"/>
            <w:right w:w="108" w:type="dxa"/>
          </w:tblCellMar>
        </w:tblPrEx>
        <w:trPr>
          <w:trHeight w:val="620"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 </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热成像仪</w:t>
            </w:r>
          </w:p>
        </w:tc>
        <w:tc>
          <w:tcPr>
            <w:tcW w:w="95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★1、总体性能符合《消防用红外热像仪》（XF/T635-2023），提供检测报告：按照须知前附表第29条执行；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 xml:space="preserve">2、热像仪尺寸：≤300mm*150mm*100mm； </w:t>
            </w:r>
            <w:r>
              <w:rPr>
                <w:rFonts w:hint="eastAsia" w:ascii="宋体" w:hAnsi="宋体" w:cs="宋体"/>
                <w:kern w:val="0"/>
                <w:sz w:val="24"/>
                <w:szCs w:val="24"/>
              </w:rPr>
              <w:br w:type="textWrapping"/>
            </w:r>
            <w:r>
              <w:rPr>
                <w:rFonts w:hint="eastAsia" w:ascii="宋体" w:hAnsi="宋体" w:cs="宋体"/>
                <w:kern w:val="0"/>
                <w:sz w:val="24"/>
                <w:szCs w:val="24"/>
              </w:rPr>
              <w:t xml:space="preserve">3、重量≤800g（含充电电池），电池：需标配不少于两块专业消防用磷酸铁锂充电电池，充电次数≥2000次，每块电池使用时间≥3h，电池电量需在屏幕中显示； </w:t>
            </w:r>
            <w:r>
              <w:rPr>
                <w:rFonts w:hint="eastAsia" w:ascii="宋体" w:hAnsi="宋体" w:cs="宋体"/>
                <w:kern w:val="0"/>
                <w:sz w:val="24"/>
                <w:szCs w:val="24"/>
              </w:rPr>
              <w:br w:type="textWrapping"/>
            </w:r>
            <w:r>
              <w:rPr>
                <w:rFonts w:hint="eastAsia" w:ascii="宋体" w:hAnsi="宋体" w:cs="宋体"/>
                <w:kern w:val="0"/>
                <w:sz w:val="24"/>
                <w:szCs w:val="24"/>
              </w:rPr>
              <w:t xml:space="preserve">4、屏幕：LCD屏幕≥3.5英寸，分辨率≥384x288阵列，探测器刷新率≥60Hz，屏幕刷新率≥30Hz，2倍和4倍数字变焦； </w:t>
            </w:r>
            <w:r>
              <w:rPr>
                <w:rFonts w:hint="eastAsia" w:ascii="宋体" w:hAnsi="宋体" w:cs="宋体"/>
                <w:kern w:val="0"/>
                <w:sz w:val="24"/>
                <w:szCs w:val="24"/>
              </w:rPr>
              <w:br w:type="textWrapping"/>
            </w:r>
            <w:r>
              <w:rPr>
                <w:rFonts w:hint="eastAsia" w:ascii="宋体" w:hAnsi="宋体" w:cs="宋体"/>
                <w:kern w:val="0"/>
                <w:sz w:val="24"/>
                <w:szCs w:val="24"/>
              </w:rPr>
              <w:t xml:space="preserve">5、传感器：需采用非晶硅材料，传感器敏感度：NETD&lt;50mK(0.05℃)； </w:t>
            </w:r>
            <w:r>
              <w:rPr>
                <w:rFonts w:hint="eastAsia" w:ascii="宋体" w:hAnsi="宋体" w:cs="宋体"/>
                <w:kern w:val="0"/>
                <w:sz w:val="24"/>
                <w:szCs w:val="24"/>
              </w:rPr>
              <w:br w:type="textWrapping"/>
            </w:r>
            <w:r>
              <w:rPr>
                <w:rFonts w:hint="eastAsia" w:ascii="宋体" w:hAnsi="宋体" w:cs="宋体"/>
                <w:kern w:val="0"/>
                <w:sz w:val="24"/>
                <w:szCs w:val="24"/>
              </w:rPr>
              <w:t>▲6、屏幕色彩模式≥6种，分别提供火场、人员搜救、预估、检测、失踪人员、火情模式便于各种情况下使用；</w:t>
            </w:r>
            <w:r>
              <w:rPr>
                <w:rFonts w:hint="eastAsia" w:ascii="宋体" w:hAnsi="宋体" w:cs="宋体"/>
                <w:kern w:val="0"/>
                <w:sz w:val="24"/>
                <w:szCs w:val="24"/>
              </w:rPr>
              <w:br w:type="textWrapping"/>
            </w:r>
            <w:r>
              <w:rPr>
                <w:rFonts w:hint="eastAsia" w:ascii="宋体" w:hAnsi="宋体" w:cs="宋体"/>
                <w:kern w:val="0"/>
                <w:sz w:val="24"/>
                <w:szCs w:val="24"/>
              </w:rPr>
              <w:t xml:space="preserve">7、热像仪防护等级需≥IP67； </w:t>
            </w:r>
            <w:r>
              <w:rPr>
                <w:rFonts w:hint="eastAsia" w:ascii="宋体" w:hAnsi="宋体" w:cs="宋体"/>
                <w:kern w:val="0"/>
                <w:sz w:val="24"/>
                <w:szCs w:val="24"/>
              </w:rPr>
              <w:br w:type="textWrapping"/>
            </w:r>
            <w:r>
              <w:rPr>
                <w:rFonts w:hint="eastAsia" w:ascii="宋体" w:hAnsi="宋体" w:cs="宋体"/>
                <w:kern w:val="0"/>
                <w:sz w:val="24"/>
                <w:szCs w:val="24"/>
              </w:rPr>
              <w:t xml:space="preserve">8、在≥-20℃至85℃之间可持续工作，在150℃环境下工作≥15min，在260℃环境下工作≥7min； </w:t>
            </w:r>
            <w:r>
              <w:rPr>
                <w:rFonts w:hint="eastAsia" w:ascii="宋体" w:hAnsi="宋体" w:cs="宋体"/>
                <w:kern w:val="0"/>
                <w:sz w:val="24"/>
                <w:szCs w:val="24"/>
              </w:rPr>
              <w:br w:type="textWrapping"/>
            </w:r>
            <w:r>
              <w:rPr>
                <w:rFonts w:hint="eastAsia" w:ascii="宋体" w:hAnsi="宋体" w:cs="宋体"/>
                <w:kern w:val="0"/>
                <w:sz w:val="24"/>
                <w:szCs w:val="24"/>
              </w:rPr>
              <w:t xml:space="preserve">9、直接温度测量范围≥-25℃～1050℃，并具有温度变化指针显示功能,符合XF/T635-2006消防用红外热像仪标准测温范围-20℃～150℃(低温档),0℃～410℃(中温档),300℃～2000℃(高温档)；  </w:t>
            </w:r>
            <w:r>
              <w:rPr>
                <w:rFonts w:hint="eastAsia" w:ascii="宋体" w:hAnsi="宋体" w:cs="宋体"/>
                <w:kern w:val="0"/>
                <w:sz w:val="24"/>
                <w:szCs w:val="24"/>
              </w:rPr>
              <w:br w:type="textWrapping"/>
            </w:r>
            <w:r>
              <w:rPr>
                <w:rFonts w:hint="eastAsia" w:ascii="宋体" w:hAnsi="宋体" w:cs="宋体"/>
                <w:kern w:val="0"/>
                <w:sz w:val="24"/>
                <w:szCs w:val="24"/>
              </w:rPr>
              <w:t xml:space="preserve">10、配火场中最高温及最低温指针搜寻功能，并同时显示最高及最低温度，便于火场中快速定位及冷热追踪； </w:t>
            </w:r>
            <w:r>
              <w:rPr>
                <w:rFonts w:hint="eastAsia" w:ascii="宋体" w:hAnsi="宋体" w:cs="宋体"/>
                <w:kern w:val="0"/>
                <w:sz w:val="24"/>
                <w:szCs w:val="24"/>
              </w:rPr>
              <w:br w:type="textWrapping"/>
            </w:r>
            <w:r>
              <w:rPr>
                <w:rFonts w:hint="eastAsia" w:ascii="宋体" w:hAnsi="宋体" w:cs="宋体"/>
                <w:kern w:val="0"/>
                <w:sz w:val="24"/>
                <w:szCs w:val="24"/>
              </w:rPr>
              <w:t>★11、需提供拍照及视频纪录功能，能拍摄≥2000张照片和录制≥15h视频，读卡器SD*1（内存≥32G）；</w:t>
            </w:r>
            <w:r>
              <w:rPr>
                <w:rFonts w:hint="eastAsia" w:ascii="宋体" w:hAnsi="宋体" w:cs="宋体"/>
                <w:kern w:val="0"/>
                <w:sz w:val="24"/>
                <w:szCs w:val="24"/>
              </w:rPr>
              <w:br w:type="textWrapping"/>
            </w:r>
            <w:r>
              <w:rPr>
                <w:rFonts w:hint="eastAsia" w:ascii="宋体" w:hAnsi="宋体" w:cs="宋体"/>
                <w:kern w:val="0"/>
                <w:sz w:val="24"/>
                <w:szCs w:val="24"/>
              </w:rPr>
              <w:t>12、全套装备应包括：热像仪主机、充电座、快速入门指南、两块充电电池、USB连接线、可伸缩挂绳、车充固定台支架、电源套件、口袋夹；</w:t>
            </w:r>
            <w:r>
              <w:rPr>
                <w:rFonts w:hint="eastAsia" w:ascii="宋体" w:hAnsi="宋体" w:cs="宋体"/>
                <w:kern w:val="0"/>
                <w:sz w:val="24"/>
                <w:szCs w:val="24"/>
              </w:rPr>
              <w:br w:type="textWrapping"/>
            </w:r>
            <w:r>
              <w:rPr>
                <w:rFonts w:hint="eastAsia" w:ascii="宋体" w:hAnsi="宋体" w:cs="宋体"/>
                <w:kern w:val="0"/>
                <w:sz w:val="24"/>
                <w:szCs w:val="24"/>
              </w:rPr>
              <w:t>▲13、提供中文使用说明书，含装备简介、使用注意事项及维护保养等内容。</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20"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2 </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测温仪</w:t>
            </w:r>
          </w:p>
        </w:tc>
        <w:tc>
          <w:tcPr>
            <w:tcW w:w="95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▲2、可预设高、低温危险报警，带背光显示选择功能用于测量事故现场温度；</w:t>
            </w:r>
            <w:r>
              <w:rPr>
                <w:rFonts w:hint="eastAsia" w:ascii="宋体" w:hAnsi="宋体" w:cs="宋体"/>
                <w:kern w:val="0"/>
                <w:sz w:val="24"/>
                <w:szCs w:val="24"/>
              </w:rPr>
              <w:br w:type="textWrapping"/>
            </w:r>
            <w:r>
              <w:rPr>
                <w:rFonts w:hint="eastAsia" w:ascii="宋体" w:hAnsi="宋体" w:cs="宋体"/>
                <w:kern w:val="0"/>
                <w:sz w:val="24"/>
                <w:szCs w:val="24"/>
              </w:rPr>
              <w:t>▲3、镭射目标测量位置，自动读值锁定及自动关机功能，具备拍照和视频功能，具有数据储存功能；</w:t>
            </w:r>
            <w:r>
              <w:rPr>
                <w:rFonts w:hint="eastAsia" w:ascii="宋体" w:hAnsi="宋体" w:cs="宋体"/>
                <w:kern w:val="0"/>
                <w:sz w:val="24"/>
                <w:szCs w:val="24"/>
              </w:rPr>
              <w:br w:type="textWrapping"/>
            </w:r>
            <w:r>
              <w:rPr>
                <w:rFonts w:hint="eastAsia" w:ascii="宋体" w:hAnsi="宋体" w:cs="宋体"/>
                <w:kern w:val="0"/>
                <w:sz w:val="24"/>
                <w:szCs w:val="24"/>
              </w:rPr>
              <w:t>4、能够摄氏/华氏温度单位转换；</w:t>
            </w:r>
            <w:r>
              <w:rPr>
                <w:rFonts w:hint="eastAsia" w:ascii="宋体" w:hAnsi="宋体" w:cs="宋体"/>
                <w:kern w:val="0"/>
                <w:sz w:val="24"/>
                <w:szCs w:val="24"/>
              </w:rPr>
              <w:br w:type="textWrapping"/>
            </w:r>
            <w:r>
              <w:rPr>
                <w:rFonts w:hint="eastAsia" w:ascii="宋体" w:hAnsi="宋体" w:cs="宋体"/>
                <w:kern w:val="0"/>
                <w:sz w:val="24"/>
                <w:szCs w:val="24"/>
              </w:rPr>
              <w:t>5、测温范围:-50℃～950℃；</w:t>
            </w:r>
            <w:r>
              <w:rPr>
                <w:rFonts w:hint="eastAsia" w:ascii="宋体" w:hAnsi="宋体" w:cs="宋体"/>
                <w:kern w:val="0"/>
                <w:sz w:val="24"/>
                <w:szCs w:val="24"/>
              </w:rPr>
              <w:br w:type="textWrapping"/>
            </w:r>
            <w:r>
              <w:rPr>
                <w:rFonts w:hint="eastAsia" w:ascii="宋体" w:hAnsi="宋体" w:cs="宋体"/>
                <w:kern w:val="0"/>
                <w:sz w:val="24"/>
                <w:szCs w:val="24"/>
              </w:rPr>
              <w:t>6、测量距离≥100m；</w:t>
            </w:r>
            <w:r>
              <w:rPr>
                <w:rFonts w:hint="eastAsia" w:ascii="宋体" w:hAnsi="宋体" w:cs="宋体"/>
                <w:kern w:val="0"/>
                <w:sz w:val="24"/>
                <w:szCs w:val="24"/>
              </w:rPr>
              <w:br w:type="textWrapping"/>
            </w:r>
            <w:r>
              <w:rPr>
                <w:rFonts w:hint="eastAsia" w:ascii="宋体" w:hAnsi="宋体" w:cs="宋体"/>
                <w:kern w:val="0"/>
                <w:sz w:val="24"/>
                <w:szCs w:val="24"/>
              </w:rPr>
              <w:t>7、电池使用时间≥12h，可设置声音报警；</w:t>
            </w:r>
            <w:r>
              <w:rPr>
                <w:rFonts w:hint="eastAsia" w:ascii="宋体" w:hAnsi="宋体" w:cs="宋体"/>
                <w:kern w:val="0"/>
                <w:sz w:val="24"/>
                <w:szCs w:val="24"/>
              </w:rPr>
              <w:br w:type="textWrapping"/>
            </w:r>
            <w:r>
              <w:rPr>
                <w:rFonts w:hint="eastAsia" w:ascii="宋体" w:hAnsi="宋体" w:cs="宋体"/>
                <w:kern w:val="0"/>
                <w:sz w:val="24"/>
                <w:szCs w:val="24"/>
              </w:rPr>
              <w:t>8、误差精度≤1%或者±1℃。</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10 </w:t>
            </w: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20"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3 </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有毒气体探测仪</w:t>
            </w:r>
          </w:p>
        </w:tc>
        <w:tc>
          <w:tcPr>
            <w:tcW w:w="95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 xml:space="preserve">★1、符合GB3836.4-2010标准，提供检测报告：按照须知前附表第29条执行； </w:t>
            </w:r>
            <w:r>
              <w:rPr>
                <w:rFonts w:hint="eastAsia" w:ascii="宋体" w:hAnsi="宋体" w:cs="宋体"/>
                <w:kern w:val="0"/>
                <w:sz w:val="24"/>
                <w:szCs w:val="24"/>
              </w:rPr>
              <w:br w:type="textWrapping"/>
            </w:r>
            <w:r>
              <w:rPr>
                <w:rFonts w:hint="eastAsia" w:ascii="宋体" w:hAnsi="宋体" w:cs="宋体"/>
                <w:kern w:val="0"/>
                <w:sz w:val="24"/>
                <w:szCs w:val="24"/>
              </w:rPr>
              <w:t>★2、可同时检测（可燃气，一氧化碳，氧气，硫化氢）等气体，液晶显示屏显示；</w:t>
            </w:r>
            <w:r>
              <w:rPr>
                <w:rFonts w:hint="eastAsia" w:ascii="宋体" w:hAnsi="宋体" w:cs="宋体"/>
                <w:kern w:val="0"/>
                <w:sz w:val="24"/>
                <w:szCs w:val="24"/>
              </w:rPr>
              <w:br w:type="textWrapping"/>
            </w:r>
            <w:r>
              <w:rPr>
                <w:rFonts w:hint="eastAsia" w:ascii="宋体" w:hAnsi="宋体" w:cs="宋体"/>
                <w:kern w:val="0"/>
                <w:sz w:val="24"/>
                <w:szCs w:val="24"/>
              </w:rPr>
              <w:t>▲3、具备自检、警报震动功能；警报音量≥90dB；</w:t>
            </w:r>
            <w:r>
              <w:rPr>
                <w:rFonts w:hint="eastAsia" w:ascii="宋体" w:hAnsi="宋体" w:cs="宋体"/>
                <w:kern w:val="0"/>
                <w:sz w:val="24"/>
                <w:szCs w:val="24"/>
              </w:rPr>
              <w:br w:type="textWrapping"/>
            </w:r>
            <w:r>
              <w:rPr>
                <w:rFonts w:hint="eastAsia" w:ascii="宋体" w:hAnsi="宋体" w:cs="宋体"/>
                <w:kern w:val="0"/>
                <w:sz w:val="24"/>
                <w:szCs w:val="24"/>
              </w:rPr>
              <w:t>4、防护等级≥IP67；</w:t>
            </w:r>
            <w:r>
              <w:rPr>
                <w:rFonts w:hint="eastAsia" w:ascii="宋体" w:hAnsi="宋体" w:cs="宋体"/>
                <w:kern w:val="0"/>
                <w:sz w:val="24"/>
                <w:szCs w:val="24"/>
              </w:rPr>
              <w:br w:type="textWrapping"/>
            </w:r>
            <w:r>
              <w:rPr>
                <w:rFonts w:hint="eastAsia" w:ascii="宋体" w:hAnsi="宋体" w:cs="宋体"/>
                <w:kern w:val="0"/>
                <w:sz w:val="24"/>
                <w:szCs w:val="24"/>
              </w:rPr>
              <w:t>▲5、可燃性气体：</w:t>
            </w:r>
            <w:r>
              <w:rPr>
                <w:rFonts w:hint="eastAsia" w:ascii="宋体" w:hAnsi="宋体" w:cs="宋体"/>
                <w:kern w:val="0"/>
                <w:sz w:val="24"/>
                <w:szCs w:val="24"/>
              </w:rPr>
              <w:br w:type="textWrapping"/>
            </w:r>
            <w:r>
              <w:rPr>
                <w:rFonts w:hint="eastAsia" w:ascii="宋体" w:hAnsi="宋体" w:cs="宋体"/>
                <w:kern w:val="0"/>
                <w:sz w:val="24"/>
                <w:szCs w:val="24"/>
              </w:rPr>
              <w:t>（1）测量范围：0~100% LEL，</w:t>
            </w:r>
            <w:r>
              <w:rPr>
                <w:rFonts w:hint="eastAsia" w:ascii="宋体" w:hAnsi="宋体" w:cs="宋体"/>
                <w:kern w:val="0"/>
                <w:sz w:val="24"/>
                <w:szCs w:val="24"/>
              </w:rPr>
              <w:br w:type="textWrapping"/>
            </w:r>
            <w:r>
              <w:rPr>
                <w:rFonts w:hint="eastAsia" w:ascii="宋体" w:hAnsi="宋体" w:cs="宋体"/>
                <w:kern w:val="0"/>
                <w:sz w:val="24"/>
                <w:szCs w:val="24"/>
              </w:rPr>
              <w:t xml:space="preserve">（2）分辨率≤1% LEL ；  </w:t>
            </w:r>
            <w:r>
              <w:rPr>
                <w:rFonts w:hint="eastAsia" w:ascii="宋体" w:hAnsi="宋体" w:cs="宋体"/>
                <w:kern w:val="0"/>
                <w:sz w:val="24"/>
                <w:szCs w:val="24"/>
              </w:rPr>
              <w:br w:type="textWrapping"/>
            </w:r>
            <w:r>
              <w:rPr>
                <w:rFonts w:hint="eastAsia" w:ascii="宋体" w:hAnsi="宋体" w:cs="宋体"/>
                <w:kern w:val="0"/>
                <w:sz w:val="24"/>
                <w:szCs w:val="24"/>
              </w:rPr>
              <w:t>▲6、氧气：</w:t>
            </w:r>
            <w:r>
              <w:rPr>
                <w:rFonts w:hint="eastAsia" w:ascii="宋体" w:hAnsi="宋体" w:cs="宋体"/>
                <w:kern w:val="0"/>
                <w:sz w:val="24"/>
                <w:szCs w:val="24"/>
              </w:rPr>
              <w:br w:type="textWrapping"/>
            </w:r>
            <w:r>
              <w:rPr>
                <w:rFonts w:hint="eastAsia" w:ascii="宋体" w:hAnsi="宋体" w:cs="宋体"/>
                <w:kern w:val="0"/>
                <w:sz w:val="24"/>
                <w:szCs w:val="24"/>
              </w:rPr>
              <w:t>（1）测量范围：0%~25%；</w:t>
            </w:r>
            <w:r>
              <w:rPr>
                <w:rFonts w:hint="eastAsia" w:ascii="宋体" w:hAnsi="宋体" w:cs="宋体"/>
                <w:kern w:val="0"/>
                <w:sz w:val="24"/>
                <w:szCs w:val="24"/>
              </w:rPr>
              <w:br w:type="textWrapping"/>
            </w:r>
            <w:r>
              <w:rPr>
                <w:rFonts w:hint="eastAsia" w:ascii="宋体" w:hAnsi="宋体" w:cs="宋体"/>
                <w:kern w:val="0"/>
                <w:sz w:val="24"/>
                <w:szCs w:val="24"/>
              </w:rPr>
              <w:t xml:space="preserve">（2）分辨率≤0.1%；    </w:t>
            </w:r>
            <w:r>
              <w:rPr>
                <w:rFonts w:hint="eastAsia" w:ascii="宋体" w:hAnsi="宋体" w:cs="宋体"/>
                <w:kern w:val="0"/>
                <w:sz w:val="24"/>
                <w:szCs w:val="24"/>
              </w:rPr>
              <w:br w:type="textWrapping"/>
            </w:r>
            <w:r>
              <w:rPr>
                <w:rFonts w:hint="eastAsia" w:ascii="宋体" w:hAnsi="宋体" w:cs="宋体"/>
                <w:kern w:val="0"/>
                <w:sz w:val="24"/>
                <w:szCs w:val="24"/>
              </w:rPr>
              <w:t>▲7、一氧化碳：</w:t>
            </w:r>
            <w:r>
              <w:rPr>
                <w:rFonts w:hint="eastAsia" w:ascii="宋体" w:hAnsi="宋体" w:cs="宋体"/>
                <w:kern w:val="0"/>
                <w:sz w:val="24"/>
                <w:szCs w:val="24"/>
              </w:rPr>
              <w:br w:type="textWrapping"/>
            </w:r>
            <w:r>
              <w:rPr>
                <w:rFonts w:hint="eastAsia" w:ascii="宋体" w:hAnsi="宋体" w:cs="宋体"/>
                <w:kern w:val="0"/>
                <w:sz w:val="24"/>
                <w:szCs w:val="24"/>
              </w:rPr>
              <w:t>（1）测量范围0ppm~1000ppm；</w:t>
            </w:r>
            <w:r>
              <w:rPr>
                <w:rFonts w:hint="eastAsia" w:ascii="宋体" w:hAnsi="宋体" w:cs="宋体"/>
                <w:kern w:val="0"/>
                <w:sz w:val="24"/>
                <w:szCs w:val="24"/>
              </w:rPr>
              <w:br w:type="textWrapping"/>
            </w:r>
            <w:r>
              <w:rPr>
                <w:rFonts w:hint="eastAsia" w:ascii="宋体" w:hAnsi="宋体" w:cs="宋体"/>
                <w:kern w:val="0"/>
                <w:sz w:val="24"/>
                <w:szCs w:val="24"/>
              </w:rPr>
              <w:t xml:space="preserve">（2）分辨率≤1ppm；  </w:t>
            </w:r>
            <w:r>
              <w:rPr>
                <w:rFonts w:hint="eastAsia" w:ascii="宋体" w:hAnsi="宋体" w:cs="宋体"/>
                <w:kern w:val="0"/>
                <w:sz w:val="24"/>
                <w:szCs w:val="24"/>
              </w:rPr>
              <w:br w:type="textWrapping"/>
            </w:r>
            <w:r>
              <w:rPr>
                <w:rFonts w:hint="eastAsia" w:ascii="宋体" w:hAnsi="宋体" w:cs="宋体"/>
                <w:kern w:val="0"/>
                <w:sz w:val="24"/>
                <w:szCs w:val="24"/>
              </w:rPr>
              <w:t>▲8、硫化氢：</w:t>
            </w:r>
            <w:r>
              <w:rPr>
                <w:rFonts w:hint="eastAsia" w:ascii="宋体" w:hAnsi="宋体" w:cs="宋体"/>
                <w:kern w:val="0"/>
                <w:sz w:val="24"/>
                <w:szCs w:val="24"/>
              </w:rPr>
              <w:br w:type="textWrapping"/>
            </w:r>
            <w:r>
              <w:rPr>
                <w:rFonts w:hint="eastAsia" w:ascii="宋体" w:hAnsi="宋体" w:cs="宋体"/>
                <w:kern w:val="0"/>
                <w:sz w:val="24"/>
                <w:szCs w:val="24"/>
              </w:rPr>
              <w:t>（1）测量范围0ppm~100ppm，</w:t>
            </w:r>
            <w:r>
              <w:rPr>
                <w:rFonts w:hint="eastAsia" w:ascii="宋体" w:hAnsi="宋体" w:cs="宋体"/>
                <w:kern w:val="0"/>
                <w:sz w:val="24"/>
                <w:szCs w:val="24"/>
              </w:rPr>
              <w:br w:type="textWrapping"/>
            </w:r>
            <w:r>
              <w:rPr>
                <w:rFonts w:hint="eastAsia" w:ascii="宋体" w:hAnsi="宋体" w:cs="宋体"/>
                <w:kern w:val="0"/>
                <w:sz w:val="24"/>
                <w:szCs w:val="24"/>
              </w:rPr>
              <w:t>（2）分辨率≤1ppm；</w:t>
            </w:r>
            <w:r>
              <w:rPr>
                <w:rFonts w:hint="eastAsia" w:ascii="宋体" w:hAnsi="宋体" w:cs="宋体"/>
                <w:kern w:val="0"/>
                <w:sz w:val="24"/>
                <w:szCs w:val="24"/>
              </w:rPr>
              <w:br w:type="textWrapping"/>
            </w:r>
            <w:r>
              <w:rPr>
                <w:rFonts w:hint="eastAsia" w:ascii="宋体" w:hAnsi="宋体" w:cs="宋体"/>
                <w:kern w:val="0"/>
                <w:sz w:val="24"/>
                <w:szCs w:val="24"/>
              </w:rPr>
              <w:t>▲9、连续工作时间≥4h；</w:t>
            </w:r>
            <w:r>
              <w:rPr>
                <w:rFonts w:hint="eastAsia" w:ascii="宋体" w:hAnsi="宋体" w:cs="宋体"/>
                <w:kern w:val="0"/>
                <w:sz w:val="24"/>
                <w:szCs w:val="24"/>
              </w:rPr>
              <w:br w:type="textWrapping"/>
            </w:r>
            <w:r>
              <w:rPr>
                <w:rFonts w:hint="eastAsia" w:ascii="宋体" w:hAnsi="宋体" w:cs="宋体"/>
                <w:kern w:val="0"/>
                <w:sz w:val="24"/>
                <w:szCs w:val="24"/>
              </w:rPr>
              <w:t>10、具有中文说明书和校准证书；</w:t>
            </w:r>
            <w:r>
              <w:rPr>
                <w:rFonts w:hint="eastAsia" w:ascii="宋体" w:hAnsi="宋体" w:cs="宋体"/>
                <w:kern w:val="0"/>
                <w:sz w:val="24"/>
                <w:szCs w:val="24"/>
              </w:rPr>
              <w:br w:type="textWrapping"/>
            </w:r>
            <w:r>
              <w:rPr>
                <w:rFonts w:hint="eastAsia" w:ascii="宋体" w:hAnsi="宋体" w:cs="宋体"/>
                <w:kern w:val="0"/>
                <w:sz w:val="24"/>
                <w:szCs w:val="24"/>
              </w:rPr>
              <w:t>11、具有永久性标志及产品数据标识；</w:t>
            </w:r>
            <w:r>
              <w:rPr>
                <w:rFonts w:hint="eastAsia" w:ascii="宋体" w:hAnsi="宋体" w:cs="宋体"/>
                <w:kern w:val="0"/>
                <w:sz w:val="24"/>
                <w:szCs w:val="24"/>
              </w:rPr>
              <w:br w:type="textWrapping"/>
            </w:r>
            <w:r>
              <w:rPr>
                <w:rFonts w:hint="eastAsia" w:ascii="宋体" w:hAnsi="宋体" w:cs="宋体"/>
                <w:kern w:val="0"/>
                <w:sz w:val="24"/>
                <w:szCs w:val="24"/>
              </w:rPr>
              <w:t>▲12、整机具有第三方出具的防爆合格证，防爆等级≥Ex ib IICT4。</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20"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4 </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可燃气体检测仪</w:t>
            </w:r>
          </w:p>
        </w:tc>
        <w:tc>
          <w:tcPr>
            <w:tcW w:w="95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▲1、具有国家认证的防爆 Ex ib IIB T3 GB标志，提供检测报告：按照须知前附表第29条执行；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2、可探测气体：天然气、液化石油气、人工煤气；</w:t>
            </w:r>
            <w:r>
              <w:rPr>
                <w:rFonts w:hint="eastAsia" w:ascii="宋体" w:hAnsi="宋体" w:cs="宋体"/>
                <w:kern w:val="0"/>
                <w:sz w:val="24"/>
                <w:szCs w:val="24"/>
              </w:rPr>
              <w:br w:type="textWrapping"/>
            </w:r>
            <w:r>
              <w:rPr>
                <w:rFonts w:hint="eastAsia" w:ascii="宋体" w:hAnsi="宋体" w:cs="宋体"/>
                <w:kern w:val="0"/>
                <w:sz w:val="24"/>
                <w:szCs w:val="24"/>
              </w:rPr>
              <w:t>3、可燃物气体 (LEL)：0 - 100%（LEL 增量为 1%）；</w:t>
            </w:r>
            <w:r>
              <w:rPr>
                <w:rFonts w:hint="eastAsia" w:ascii="宋体" w:hAnsi="宋体" w:cs="宋体"/>
                <w:kern w:val="0"/>
                <w:sz w:val="24"/>
                <w:szCs w:val="24"/>
              </w:rPr>
              <w:br w:type="textWrapping"/>
            </w:r>
            <w:r>
              <w:rPr>
                <w:rFonts w:hint="eastAsia" w:ascii="宋体" w:hAnsi="宋体" w:cs="宋体"/>
                <w:kern w:val="0"/>
                <w:sz w:val="24"/>
                <w:szCs w:val="24"/>
              </w:rPr>
              <w:t>4、基本误差：±5%LEL；</w:t>
            </w:r>
            <w:r>
              <w:rPr>
                <w:rFonts w:hint="eastAsia" w:ascii="宋体" w:hAnsi="宋体" w:cs="宋体"/>
                <w:kern w:val="0"/>
                <w:sz w:val="24"/>
                <w:szCs w:val="24"/>
              </w:rPr>
              <w:br w:type="textWrapping"/>
            </w:r>
            <w:r>
              <w:rPr>
                <w:rFonts w:hint="eastAsia" w:ascii="宋体" w:hAnsi="宋体" w:cs="宋体"/>
                <w:kern w:val="0"/>
                <w:sz w:val="24"/>
                <w:szCs w:val="24"/>
              </w:rPr>
              <w:t>5、预热时间：≤30s；</w:t>
            </w:r>
            <w:r>
              <w:rPr>
                <w:rFonts w:hint="eastAsia" w:ascii="宋体" w:hAnsi="宋体" w:cs="宋体"/>
                <w:kern w:val="0"/>
                <w:sz w:val="24"/>
                <w:szCs w:val="24"/>
              </w:rPr>
              <w:br w:type="textWrapping"/>
            </w:r>
            <w:r>
              <w:rPr>
                <w:rFonts w:hint="eastAsia" w:ascii="宋体" w:hAnsi="宋体" w:cs="宋体"/>
                <w:kern w:val="0"/>
                <w:sz w:val="24"/>
                <w:szCs w:val="24"/>
              </w:rPr>
              <w:t>6、响应时间：≤30s；</w:t>
            </w:r>
            <w:r>
              <w:rPr>
                <w:rFonts w:hint="eastAsia" w:ascii="宋体" w:hAnsi="宋体" w:cs="宋体"/>
                <w:kern w:val="0"/>
                <w:sz w:val="24"/>
                <w:szCs w:val="24"/>
              </w:rPr>
              <w:br w:type="textWrapping"/>
            </w:r>
            <w:r>
              <w:rPr>
                <w:rFonts w:hint="eastAsia" w:ascii="宋体" w:hAnsi="宋体" w:cs="宋体"/>
                <w:kern w:val="0"/>
                <w:sz w:val="24"/>
                <w:szCs w:val="24"/>
              </w:rPr>
              <w:t>7、采样方式：扩散式；</w:t>
            </w:r>
            <w:r>
              <w:rPr>
                <w:rFonts w:hint="eastAsia" w:ascii="宋体" w:hAnsi="宋体" w:cs="宋体"/>
                <w:kern w:val="0"/>
                <w:sz w:val="24"/>
                <w:szCs w:val="24"/>
              </w:rPr>
              <w:br w:type="textWrapping"/>
            </w:r>
            <w:r>
              <w:rPr>
                <w:rFonts w:hint="eastAsia" w:ascii="宋体" w:hAnsi="宋体" w:cs="宋体"/>
                <w:kern w:val="0"/>
                <w:sz w:val="24"/>
                <w:szCs w:val="24"/>
              </w:rPr>
              <w:t>8、适用温度范围 -10℃〜50℃ ；</w:t>
            </w:r>
            <w:r>
              <w:rPr>
                <w:rFonts w:hint="eastAsia" w:ascii="宋体" w:hAnsi="宋体" w:cs="宋体"/>
                <w:kern w:val="0"/>
                <w:sz w:val="24"/>
                <w:szCs w:val="24"/>
              </w:rPr>
              <w:br w:type="textWrapping"/>
            </w:r>
            <w:r>
              <w:rPr>
                <w:rFonts w:hint="eastAsia" w:ascii="宋体" w:hAnsi="宋体" w:cs="宋体"/>
                <w:kern w:val="0"/>
                <w:sz w:val="24"/>
                <w:szCs w:val="24"/>
              </w:rPr>
              <w:t>9、连续运行时间≥6h；</w:t>
            </w:r>
            <w:r>
              <w:rPr>
                <w:rFonts w:hint="eastAsia" w:ascii="宋体" w:hAnsi="宋体" w:cs="宋体"/>
                <w:kern w:val="0"/>
                <w:sz w:val="24"/>
                <w:szCs w:val="24"/>
              </w:rPr>
              <w:br w:type="textWrapping"/>
            </w:r>
            <w:r>
              <w:rPr>
                <w:rFonts w:hint="eastAsia" w:ascii="宋体" w:hAnsi="宋体" w:cs="宋体"/>
                <w:kern w:val="0"/>
                <w:sz w:val="24"/>
                <w:szCs w:val="24"/>
              </w:rPr>
              <w:t>10、LCD液晶显示器，带自动背光照明；</w:t>
            </w:r>
            <w:r>
              <w:rPr>
                <w:rFonts w:hint="eastAsia" w:ascii="宋体" w:hAnsi="宋体" w:cs="宋体"/>
                <w:kern w:val="0"/>
                <w:sz w:val="24"/>
                <w:szCs w:val="24"/>
              </w:rPr>
              <w:br w:type="textWrapping"/>
            </w:r>
            <w:r>
              <w:rPr>
                <w:rFonts w:hint="eastAsia" w:ascii="宋体" w:hAnsi="宋体" w:cs="宋体"/>
                <w:kern w:val="0"/>
                <w:sz w:val="24"/>
                <w:szCs w:val="24"/>
              </w:rPr>
              <w:t>11、直接读数：传感器实时浓度、电池电量、实时温度；</w:t>
            </w:r>
            <w:r>
              <w:rPr>
                <w:rFonts w:hint="eastAsia" w:ascii="宋体" w:hAnsi="宋体" w:cs="宋体"/>
                <w:kern w:val="0"/>
                <w:sz w:val="24"/>
                <w:szCs w:val="24"/>
              </w:rPr>
              <w:br w:type="textWrapping"/>
            </w:r>
            <w:r>
              <w:rPr>
                <w:rFonts w:hint="eastAsia" w:ascii="宋体" w:hAnsi="宋体" w:cs="宋体"/>
                <w:kern w:val="0"/>
                <w:sz w:val="24"/>
                <w:szCs w:val="24"/>
              </w:rPr>
              <w:t>12、报警设定：低报功能、高报功能设置，声音、发光二极管、振动指示报警，欠压指示；</w:t>
            </w:r>
            <w:r>
              <w:rPr>
                <w:rFonts w:hint="eastAsia" w:ascii="宋体" w:hAnsi="宋体" w:cs="宋体"/>
                <w:kern w:val="0"/>
                <w:sz w:val="24"/>
                <w:szCs w:val="24"/>
              </w:rPr>
              <w:br w:type="textWrapping"/>
            </w:r>
            <w:r>
              <w:rPr>
                <w:rFonts w:hint="eastAsia" w:ascii="宋体" w:hAnsi="宋体" w:cs="宋体"/>
                <w:kern w:val="0"/>
                <w:sz w:val="24"/>
                <w:szCs w:val="24"/>
              </w:rPr>
              <w:t>13、适用湿度范围 ≤95%RH (无冷凝)；</w:t>
            </w:r>
            <w:r>
              <w:rPr>
                <w:rFonts w:hint="eastAsia" w:ascii="宋体" w:hAnsi="宋体" w:cs="宋体"/>
                <w:kern w:val="0"/>
                <w:sz w:val="24"/>
                <w:szCs w:val="24"/>
              </w:rPr>
              <w:br w:type="textWrapping"/>
            </w:r>
            <w:r>
              <w:rPr>
                <w:rFonts w:hint="eastAsia" w:ascii="宋体" w:hAnsi="宋体" w:cs="宋体"/>
                <w:kern w:val="0"/>
                <w:sz w:val="24"/>
                <w:szCs w:val="24"/>
              </w:rPr>
              <w:t>14、重量≤200g。</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20"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激光测距仪</w:t>
            </w:r>
          </w:p>
        </w:tc>
        <w:tc>
          <w:tcPr>
            <w:tcW w:w="95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sz w:val="24"/>
                <w:szCs w:val="24"/>
              </w:rPr>
            </w:pPr>
            <w:r>
              <w:rPr>
                <w:rFonts w:hint="eastAsia" w:ascii="宋体" w:hAnsi="宋体" w:cs="宋体"/>
                <w:kern w:val="0"/>
                <w:sz w:val="24"/>
                <w:szCs w:val="24"/>
              </w:rPr>
              <w:t>★1、满足《手持式激光测距仪检定规程》(JJG 966 2010)要求，提供检测报告：按照须知前附表第29条执行；</w:t>
            </w:r>
            <w:r>
              <w:rPr>
                <w:rFonts w:hint="eastAsia" w:ascii="宋体" w:hAnsi="宋体" w:cs="宋体"/>
                <w:kern w:val="0"/>
                <w:sz w:val="24"/>
                <w:szCs w:val="24"/>
              </w:rPr>
              <w:br w:type="textWrapping"/>
            </w:r>
            <w:r>
              <w:rPr>
                <w:rFonts w:hint="eastAsia" w:ascii="宋体" w:hAnsi="宋体" w:cs="宋体"/>
                <w:kern w:val="0"/>
                <w:sz w:val="24"/>
                <w:szCs w:val="24"/>
              </w:rPr>
              <w:t>2、技术要求：</w:t>
            </w:r>
            <w:r>
              <w:rPr>
                <w:rFonts w:hint="eastAsia" w:ascii="宋体" w:hAnsi="宋体" w:cs="宋体"/>
                <w:kern w:val="0"/>
                <w:sz w:val="24"/>
                <w:szCs w:val="24"/>
              </w:rPr>
              <w:br w:type="textWrapping"/>
            </w:r>
            <w:r>
              <w:rPr>
                <w:rFonts w:hint="eastAsia" w:ascii="宋体" w:hAnsi="宋体" w:cs="宋体"/>
                <w:kern w:val="0"/>
                <w:sz w:val="24"/>
                <w:szCs w:val="24"/>
              </w:rPr>
              <w:t>（1）具备测距、测高、测角、测速等功能，整机净重≤300g；</w:t>
            </w:r>
            <w:r>
              <w:rPr>
                <w:rFonts w:hint="eastAsia" w:ascii="宋体" w:hAnsi="宋体" w:cs="宋体"/>
                <w:kern w:val="0"/>
                <w:sz w:val="24"/>
                <w:szCs w:val="24"/>
              </w:rPr>
              <w:br w:type="textWrapping"/>
            </w:r>
            <w:r>
              <w:rPr>
                <w:rFonts w:hint="eastAsia" w:ascii="宋体" w:hAnsi="宋体" w:cs="宋体"/>
                <w:kern w:val="0"/>
                <w:sz w:val="24"/>
                <w:szCs w:val="24"/>
              </w:rPr>
              <w:t>（2）测距范围:3～1500m；</w:t>
            </w:r>
            <w:r>
              <w:rPr>
                <w:rFonts w:hint="eastAsia" w:ascii="宋体" w:hAnsi="宋体" w:cs="宋体"/>
                <w:kern w:val="0"/>
                <w:sz w:val="24"/>
                <w:szCs w:val="24"/>
              </w:rPr>
              <w:br w:type="textWrapping"/>
            </w:r>
            <w:r>
              <w:rPr>
                <w:rFonts w:hint="eastAsia" w:ascii="宋体" w:hAnsi="宋体" w:cs="宋体"/>
                <w:kern w:val="0"/>
                <w:sz w:val="24"/>
                <w:szCs w:val="24"/>
              </w:rPr>
              <w:t>（3）测量精度：测距精度：（300m以内）≤±0.2、（300m以上）≤±1m；</w:t>
            </w:r>
            <w:r>
              <w:rPr>
                <w:rFonts w:hint="eastAsia" w:ascii="宋体" w:hAnsi="宋体" w:cs="宋体"/>
                <w:kern w:val="0"/>
                <w:sz w:val="24"/>
                <w:szCs w:val="24"/>
              </w:rPr>
              <w:br w:type="textWrapping"/>
            </w:r>
            <w:r>
              <w:rPr>
                <w:rFonts w:hint="eastAsia" w:ascii="宋体" w:hAnsi="宋体" w:cs="宋体"/>
                <w:kern w:val="0"/>
                <w:sz w:val="24"/>
                <w:szCs w:val="24"/>
              </w:rPr>
              <w:t>（4）测角范围:-90°～+90°，倾角精度:≤±1°；</w:t>
            </w:r>
            <w:r>
              <w:rPr>
                <w:rFonts w:hint="eastAsia" w:ascii="宋体" w:hAnsi="宋体" w:cs="宋体"/>
                <w:kern w:val="0"/>
                <w:sz w:val="24"/>
                <w:szCs w:val="24"/>
              </w:rPr>
              <w:br w:type="textWrapping"/>
            </w:r>
            <w:r>
              <w:rPr>
                <w:rFonts w:hint="eastAsia" w:ascii="宋体" w:hAnsi="宋体" w:cs="宋体"/>
                <w:kern w:val="0"/>
                <w:sz w:val="24"/>
                <w:szCs w:val="24"/>
              </w:rPr>
              <w:t>（5）视野范围:7°，放大倍数≥7倍；</w:t>
            </w:r>
            <w:r>
              <w:rPr>
                <w:rFonts w:hint="eastAsia" w:ascii="宋体" w:hAnsi="宋体" w:cs="宋体"/>
                <w:kern w:val="0"/>
                <w:sz w:val="24"/>
                <w:szCs w:val="24"/>
              </w:rPr>
              <w:br w:type="textWrapping"/>
            </w:r>
            <w:r>
              <w:rPr>
                <w:rFonts w:hint="eastAsia" w:ascii="宋体" w:hAnsi="宋体" w:cs="宋体"/>
                <w:kern w:val="0"/>
                <w:sz w:val="24"/>
                <w:szCs w:val="24"/>
              </w:rPr>
              <w:t>（6）有自动关机功能；</w:t>
            </w:r>
            <w:r>
              <w:rPr>
                <w:rFonts w:hint="eastAsia" w:ascii="宋体" w:hAnsi="宋体" w:cs="宋体"/>
                <w:kern w:val="0"/>
                <w:sz w:val="24"/>
                <w:szCs w:val="24"/>
              </w:rPr>
              <w:br w:type="textWrapping"/>
            </w:r>
            <w:r>
              <w:rPr>
                <w:rFonts w:hint="eastAsia" w:ascii="宋体" w:hAnsi="宋体" w:cs="宋体"/>
                <w:kern w:val="0"/>
                <w:sz w:val="24"/>
                <w:szCs w:val="24"/>
              </w:rPr>
              <w:t>3、提供专用仪器储运箱、中文使用说明书。</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20"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6 </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雷达生命探测仪</w:t>
            </w:r>
          </w:p>
        </w:tc>
        <w:tc>
          <w:tcPr>
            <w:tcW w:w="95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★1、总体性能符合XF3010-2020《消防用雷达生命探测仪》标准的要求,提供检测报告：按照须知前附表第29条执行；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 xml:space="preserve">▲2、适用于在自由空间和穿透非金属介质进行生命探测，主要用来对被掩埋在倒塌建筑物、废墟、土壤等里的人类幸存者或对于烟、雾等环境中的人类生命进行探测搜寻； </w:t>
            </w:r>
            <w:r>
              <w:rPr>
                <w:rFonts w:hint="eastAsia" w:ascii="宋体" w:hAnsi="宋体" w:cs="宋体"/>
                <w:kern w:val="0"/>
                <w:sz w:val="24"/>
                <w:szCs w:val="24"/>
              </w:rPr>
              <w:br w:type="textWrapping"/>
            </w:r>
            <w:r>
              <w:rPr>
                <w:rFonts w:hint="eastAsia" w:ascii="宋体" w:hAnsi="宋体" w:cs="宋体"/>
                <w:kern w:val="0"/>
                <w:sz w:val="24"/>
                <w:szCs w:val="24"/>
              </w:rPr>
              <w:t xml:space="preserve">▲3、电池续航能力时间：≥12h，电池上自带显示剩余量，配备电池2块； </w:t>
            </w:r>
            <w:r>
              <w:rPr>
                <w:rFonts w:hint="eastAsia" w:ascii="宋体" w:hAnsi="宋体" w:cs="宋体"/>
                <w:kern w:val="0"/>
                <w:sz w:val="24"/>
                <w:szCs w:val="24"/>
              </w:rPr>
              <w:br w:type="textWrapping"/>
            </w:r>
            <w:r>
              <w:rPr>
                <w:rFonts w:hint="eastAsia" w:ascii="宋体" w:hAnsi="宋体" w:cs="宋体"/>
                <w:kern w:val="0"/>
                <w:sz w:val="24"/>
                <w:szCs w:val="24"/>
              </w:rPr>
              <w:t xml:space="preserve">▲4、外壳防护等级≥IP67； </w:t>
            </w:r>
            <w:r>
              <w:rPr>
                <w:rFonts w:hint="eastAsia" w:ascii="宋体" w:hAnsi="宋体" w:cs="宋体"/>
                <w:kern w:val="0"/>
                <w:sz w:val="24"/>
                <w:szCs w:val="24"/>
              </w:rPr>
              <w:br w:type="textWrapping"/>
            </w:r>
            <w:r>
              <w:rPr>
                <w:rFonts w:hint="eastAsia" w:ascii="宋体" w:hAnsi="宋体" w:cs="宋体"/>
                <w:kern w:val="0"/>
                <w:sz w:val="24"/>
                <w:szCs w:val="24"/>
              </w:rPr>
              <w:t xml:space="preserve">5、具有非接触探测功能、无线控制功能、扫描及显示功能、自动判断功能、无线数据传输等； </w:t>
            </w:r>
            <w:r>
              <w:rPr>
                <w:rFonts w:hint="eastAsia" w:ascii="宋体" w:hAnsi="宋体" w:cs="宋体"/>
                <w:kern w:val="0"/>
                <w:sz w:val="24"/>
                <w:szCs w:val="24"/>
              </w:rPr>
              <w:br w:type="textWrapping"/>
            </w:r>
            <w:r>
              <w:rPr>
                <w:rFonts w:hint="eastAsia" w:ascii="宋体" w:hAnsi="宋体" w:cs="宋体"/>
                <w:kern w:val="0"/>
                <w:sz w:val="24"/>
                <w:szCs w:val="24"/>
              </w:rPr>
              <w:t xml:space="preserve">▲6、强穿透性：能探测到≥50cm混凝土墙墙体，静止生命体呼吸探测距离≥15m，运动生命体呼吸探测距离≥20m； </w:t>
            </w:r>
            <w:r>
              <w:rPr>
                <w:rFonts w:hint="eastAsia" w:ascii="宋体" w:hAnsi="宋体" w:cs="宋体"/>
                <w:kern w:val="0"/>
                <w:sz w:val="24"/>
                <w:szCs w:val="24"/>
              </w:rPr>
              <w:br w:type="textWrapping"/>
            </w:r>
            <w:r>
              <w:rPr>
                <w:rFonts w:hint="eastAsia" w:ascii="宋体" w:hAnsi="宋体" w:cs="宋体"/>
                <w:kern w:val="0"/>
                <w:sz w:val="24"/>
                <w:szCs w:val="24"/>
              </w:rPr>
              <w:t>7、隔墙探测精度：平均误差≤10cm；</w:t>
            </w:r>
            <w:r>
              <w:rPr>
                <w:rFonts w:hint="eastAsia" w:ascii="宋体" w:hAnsi="宋体" w:cs="宋体"/>
                <w:kern w:val="0"/>
                <w:sz w:val="24"/>
                <w:szCs w:val="24"/>
              </w:rPr>
              <w:br w:type="textWrapping"/>
            </w:r>
            <w:r>
              <w:rPr>
                <w:rFonts w:hint="eastAsia" w:ascii="宋体" w:hAnsi="宋体" w:cs="宋体"/>
                <w:kern w:val="0"/>
                <w:sz w:val="24"/>
                <w:szCs w:val="24"/>
              </w:rPr>
              <w:t xml:space="preserve">8、工作温度：-20℃～50℃； </w:t>
            </w:r>
            <w:r>
              <w:rPr>
                <w:rFonts w:hint="eastAsia" w:ascii="宋体" w:hAnsi="宋体" w:cs="宋体"/>
                <w:kern w:val="0"/>
                <w:sz w:val="24"/>
                <w:szCs w:val="24"/>
              </w:rPr>
              <w:br w:type="textWrapping"/>
            </w:r>
            <w:r>
              <w:rPr>
                <w:rFonts w:hint="eastAsia" w:ascii="宋体" w:hAnsi="宋体" w:cs="宋体"/>
                <w:kern w:val="0"/>
                <w:sz w:val="24"/>
                <w:szCs w:val="24"/>
              </w:rPr>
              <w:t xml:space="preserve">▲9、雷达探测准确率必须符合国家消防行业标准要求，虚报率、漏报率≤20％； </w:t>
            </w:r>
            <w:r>
              <w:rPr>
                <w:rFonts w:hint="eastAsia" w:ascii="宋体" w:hAnsi="宋体" w:cs="宋体"/>
                <w:kern w:val="0"/>
                <w:sz w:val="24"/>
                <w:szCs w:val="24"/>
              </w:rPr>
              <w:br w:type="textWrapping"/>
            </w:r>
            <w:r>
              <w:rPr>
                <w:rFonts w:hint="eastAsia" w:ascii="宋体" w:hAnsi="宋体" w:cs="宋体"/>
                <w:kern w:val="0"/>
                <w:sz w:val="24"/>
                <w:szCs w:val="24"/>
              </w:rPr>
              <w:t xml:space="preserve">10、探测张角及范围：探测张角≥120º，探测水平面积≥8400㎡，探测锥体体积≥84000m³； </w:t>
            </w:r>
            <w:r>
              <w:rPr>
                <w:rFonts w:hint="eastAsia" w:ascii="宋体" w:hAnsi="宋体" w:cs="宋体"/>
                <w:kern w:val="0"/>
                <w:sz w:val="24"/>
                <w:szCs w:val="24"/>
              </w:rPr>
              <w:br w:type="textWrapping"/>
            </w:r>
            <w:r>
              <w:rPr>
                <w:rFonts w:hint="eastAsia" w:ascii="宋体" w:hAnsi="宋体" w:cs="宋体"/>
                <w:kern w:val="0"/>
                <w:sz w:val="24"/>
                <w:szCs w:val="24"/>
              </w:rPr>
              <w:t>11、扫描及显示功能：具备两种扫描功能，在整个探测距离范围内，全区域精确扫描，按米级步进设定扫描范围，对探测区域分层精确扫描；</w:t>
            </w:r>
            <w:r>
              <w:rPr>
                <w:rFonts w:hint="eastAsia" w:ascii="宋体" w:hAnsi="宋体" w:cs="宋体"/>
                <w:kern w:val="0"/>
                <w:sz w:val="24"/>
                <w:szCs w:val="24"/>
              </w:rPr>
              <w:br w:type="textWrapping"/>
            </w:r>
            <w:r>
              <w:rPr>
                <w:rFonts w:hint="eastAsia" w:ascii="宋体" w:hAnsi="宋体" w:cs="宋体"/>
                <w:kern w:val="0"/>
                <w:sz w:val="24"/>
                <w:szCs w:val="24"/>
              </w:rPr>
              <w:t xml:space="preserve">12、多目标检测与显示：同时显示5个以上生命体；                                                                    </w:t>
            </w:r>
            <w:r>
              <w:rPr>
                <w:rFonts w:hint="eastAsia" w:ascii="宋体" w:hAnsi="宋体" w:cs="宋体"/>
                <w:kern w:val="0"/>
                <w:sz w:val="24"/>
                <w:szCs w:val="24"/>
              </w:rPr>
              <w:br w:type="textWrapping"/>
            </w:r>
            <w:r>
              <w:rPr>
                <w:rFonts w:hint="eastAsia" w:ascii="宋体" w:hAnsi="宋体" w:cs="宋体"/>
                <w:kern w:val="0"/>
                <w:sz w:val="24"/>
                <w:szCs w:val="24"/>
              </w:rPr>
              <w:t>13、满足振动试验：频率范围10Hz～150Hz，加速度≤2g，扫频速率1倍频程/min，方向X、Y、Z轴线方向,次数≥10次；</w:t>
            </w:r>
            <w:r>
              <w:rPr>
                <w:rFonts w:hint="eastAsia" w:ascii="宋体" w:hAnsi="宋体" w:cs="宋体"/>
                <w:kern w:val="0"/>
                <w:sz w:val="24"/>
                <w:szCs w:val="24"/>
              </w:rPr>
              <w:br w:type="textWrapping"/>
            </w:r>
            <w:r>
              <w:rPr>
                <w:rFonts w:hint="eastAsia" w:ascii="宋体" w:hAnsi="宋体" w:cs="宋体"/>
                <w:kern w:val="0"/>
                <w:sz w:val="24"/>
                <w:szCs w:val="24"/>
              </w:rPr>
              <w:t>14、重量：≤8.5kg；</w:t>
            </w:r>
            <w:r>
              <w:rPr>
                <w:rFonts w:hint="eastAsia" w:ascii="宋体" w:hAnsi="宋体" w:cs="宋体"/>
                <w:kern w:val="0"/>
                <w:sz w:val="24"/>
                <w:szCs w:val="24"/>
              </w:rPr>
              <w:br w:type="textWrapping"/>
            </w:r>
            <w:r>
              <w:rPr>
                <w:rFonts w:hint="eastAsia" w:ascii="宋体" w:hAnsi="宋体" w:cs="宋体"/>
                <w:kern w:val="0"/>
                <w:sz w:val="24"/>
                <w:szCs w:val="24"/>
              </w:rPr>
              <w:t>15、遥控距离：空旷环境下雷达主机和显示终端无线遥控距离≥100m；</w:t>
            </w:r>
            <w:r>
              <w:rPr>
                <w:rFonts w:hint="eastAsia" w:ascii="宋体" w:hAnsi="宋体" w:cs="宋体"/>
                <w:kern w:val="0"/>
                <w:sz w:val="24"/>
                <w:szCs w:val="24"/>
              </w:rPr>
              <w:br w:type="textWrapping"/>
            </w:r>
            <w:r>
              <w:rPr>
                <w:rFonts w:hint="eastAsia" w:ascii="宋体" w:hAnsi="宋体" w:cs="宋体"/>
                <w:kern w:val="0"/>
                <w:sz w:val="24"/>
                <w:szCs w:val="24"/>
              </w:rPr>
              <w:t>16、产品具有防爆认证，防爆等级不低于Ex ib IIB T4 Gb。</w:t>
            </w:r>
            <w:r>
              <w:rPr>
                <w:rFonts w:hint="eastAsia" w:ascii="宋体" w:hAnsi="宋体" w:cs="宋体"/>
                <w:kern w:val="0"/>
                <w:sz w:val="24"/>
                <w:szCs w:val="24"/>
              </w:rPr>
              <w:br w:type="textWrapping"/>
            </w:r>
            <w:r>
              <w:rPr>
                <w:rFonts w:hint="eastAsia" w:ascii="宋体" w:hAnsi="宋体" w:cs="宋体"/>
                <w:kern w:val="0"/>
                <w:sz w:val="24"/>
                <w:szCs w:val="24"/>
              </w:rPr>
              <w:t>★17、具备二维定位功能，可获取生命体的二维坐标并在手持控制终端上显示。</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r>
        <w:tblPrEx>
          <w:tblCellMar>
            <w:top w:w="0" w:type="dxa"/>
            <w:left w:w="108" w:type="dxa"/>
            <w:bottom w:w="0" w:type="dxa"/>
            <w:right w:w="108" w:type="dxa"/>
          </w:tblCellMar>
        </w:tblPrEx>
        <w:trPr>
          <w:trHeight w:val="620"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7 </w:t>
            </w:r>
          </w:p>
        </w:tc>
        <w:tc>
          <w:tcPr>
            <w:tcW w:w="171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视频生命探测仪</w:t>
            </w:r>
          </w:p>
        </w:tc>
        <w:tc>
          <w:tcPr>
            <w:tcW w:w="951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kern w:val="0"/>
                <w:sz w:val="24"/>
                <w:szCs w:val="24"/>
              </w:rPr>
            </w:pPr>
            <w:r>
              <w:rPr>
                <w:rFonts w:hint="eastAsia" w:ascii="宋体" w:hAnsi="宋体" w:cs="宋体"/>
                <w:kern w:val="0"/>
                <w:sz w:val="24"/>
                <w:szCs w:val="24"/>
              </w:rPr>
              <w:t>★1、提供检测报告：按照须知前附表第29条执行；</w:t>
            </w:r>
          </w:p>
          <w:p>
            <w:pPr>
              <w:widowControl/>
              <w:jc w:val="left"/>
              <w:textAlignment w:val="center"/>
              <w:rPr>
                <w:rFonts w:ascii="宋体" w:hAnsi="宋体" w:cs="宋体"/>
                <w:sz w:val="24"/>
                <w:szCs w:val="24"/>
              </w:rPr>
            </w:pPr>
            <w:r>
              <w:rPr>
                <w:rFonts w:hint="eastAsia" w:ascii="宋体" w:hAnsi="宋体" w:cs="宋体"/>
                <w:kern w:val="0"/>
                <w:sz w:val="24"/>
                <w:szCs w:val="24"/>
              </w:rPr>
              <w:t xml:space="preserve">★2、整套装备由红外摄像、高灵敏音视频采集探头，数据传输缆线、配防水软管，LED 灯、彩色屏幕、长、短伸缩套杆、耳麦组、锂电池等组成；   </w:t>
            </w:r>
            <w:r>
              <w:rPr>
                <w:rFonts w:hint="eastAsia" w:ascii="宋体" w:hAnsi="宋体" w:cs="宋体"/>
                <w:kern w:val="0"/>
                <w:sz w:val="24"/>
                <w:szCs w:val="24"/>
              </w:rPr>
              <w:br w:type="textWrapping"/>
            </w:r>
            <w:r>
              <w:rPr>
                <w:rFonts w:hint="eastAsia" w:ascii="宋体" w:hAnsi="宋体" w:cs="宋体"/>
                <w:kern w:val="0"/>
                <w:sz w:val="24"/>
                <w:szCs w:val="24"/>
              </w:rPr>
              <w:t>3、可用于被埋掩体的孔隙中的勘探；</w:t>
            </w:r>
            <w:r>
              <w:rPr>
                <w:rFonts w:hint="eastAsia" w:ascii="宋体" w:hAnsi="宋体" w:cs="宋体"/>
                <w:kern w:val="0"/>
                <w:sz w:val="24"/>
                <w:szCs w:val="24"/>
              </w:rPr>
              <w:br w:type="textWrapping"/>
            </w:r>
            <w:r>
              <w:rPr>
                <w:rFonts w:hint="eastAsia" w:ascii="宋体" w:hAnsi="宋体" w:cs="宋体"/>
                <w:kern w:val="0"/>
                <w:sz w:val="24"/>
                <w:szCs w:val="24"/>
              </w:rPr>
              <w:t>4、配备长、短探杆和数据传输缆线，满足狭窄空间救援的需要；</w:t>
            </w:r>
            <w:r>
              <w:rPr>
                <w:rFonts w:hint="eastAsia" w:ascii="宋体" w:hAnsi="宋体" w:cs="宋体"/>
                <w:kern w:val="0"/>
                <w:sz w:val="24"/>
                <w:szCs w:val="24"/>
              </w:rPr>
              <w:br w:type="textWrapping"/>
            </w:r>
            <w:r>
              <w:rPr>
                <w:rFonts w:hint="eastAsia" w:ascii="宋体" w:hAnsi="宋体" w:cs="宋体"/>
                <w:kern w:val="0"/>
                <w:sz w:val="24"/>
                <w:szCs w:val="24"/>
              </w:rPr>
              <w:t>▲5、配有潜水功能、高清视频探头，配有防撞保护装置，显示方向可180°调节，具备补光功能；</w:t>
            </w:r>
            <w:r>
              <w:rPr>
                <w:rFonts w:hint="eastAsia" w:ascii="宋体" w:hAnsi="宋体" w:cs="宋体"/>
                <w:kern w:val="0"/>
                <w:sz w:val="24"/>
                <w:szCs w:val="24"/>
              </w:rPr>
              <w:br w:type="textWrapping"/>
            </w:r>
            <w:r>
              <w:rPr>
                <w:rFonts w:hint="eastAsia" w:ascii="宋体" w:hAnsi="宋体" w:cs="宋体"/>
                <w:kern w:val="0"/>
                <w:sz w:val="24"/>
                <w:szCs w:val="24"/>
              </w:rPr>
              <w:t>6、伸缩杆伸展长度≥3m；防水软管和缆线长度≥20m；可加装延长防水软管，缆线长度≥20m，延长线设接口处置有缓冲装置，防止牵拉损坏；</w:t>
            </w:r>
            <w:r>
              <w:rPr>
                <w:rFonts w:hint="eastAsia" w:ascii="宋体" w:hAnsi="宋体" w:cs="宋体"/>
                <w:kern w:val="0"/>
                <w:sz w:val="24"/>
                <w:szCs w:val="24"/>
              </w:rPr>
              <w:br w:type="textWrapping"/>
            </w:r>
            <w:r>
              <w:rPr>
                <w:rFonts w:hint="eastAsia" w:ascii="宋体" w:hAnsi="宋体" w:cs="宋体"/>
                <w:kern w:val="0"/>
                <w:sz w:val="24"/>
                <w:szCs w:val="24"/>
              </w:rPr>
              <w:t>7、音视频探头可实现救援通话，具备录音录像功能，整体全天候防水设计，可在雨中使用；</w:t>
            </w:r>
            <w:r>
              <w:rPr>
                <w:rFonts w:hint="eastAsia" w:ascii="宋体" w:hAnsi="宋体" w:cs="宋体"/>
                <w:kern w:val="0"/>
                <w:sz w:val="24"/>
                <w:szCs w:val="24"/>
              </w:rPr>
              <w:br w:type="textWrapping"/>
            </w:r>
            <w:r>
              <w:rPr>
                <w:rFonts w:hint="eastAsia" w:ascii="宋体" w:hAnsi="宋体" w:cs="宋体"/>
                <w:kern w:val="0"/>
                <w:sz w:val="24"/>
                <w:szCs w:val="24"/>
              </w:rPr>
              <w:t>8、配白光/普通两种微型摄像头，可适用于不同环境；探头具备红外探测功能和声音收集功能，拾音范围≥200㎡；探测仪具备双向语音通话功能；</w:t>
            </w:r>
            <w:r>
              <w:rPr>
                <w:rFonts w:hint="eastAsia" w:ascii="宋体" w:hAnsi="宋体" w:cs="宋体"/>
                <w:kern w:val="0"/>
                <w:sz w:val="24"/>
                <w:szCs w:val="24"/>
              </w:rPr>
              <w:br w:type="textWrapping"/>
            </w:r>
            <w:r>
              <w:rPr>
                <w:rFonts w:hint="eastAsia" w:ascii="宋体" w:hAnsi="宋体" w:cs="宋体"/>
                <w:kern w:val="0"/>
                <w:sz w:val="24"/>
                <w:szCs w:val="24"/>
              </w:rPr>
              <w:t>▲9、音频传感器可探测≥10m范围声音信号，红外探头低照度环境下自动开启，探测距离≥5m；</w:t>
            </w:r>
            <w:r>
              <w:rPr>
                <w:rFonts w:hint="eastAsia" w:ascii="宋体" w:hAnsi="宋体" w:cs="宋体"/>
                <w:kern w:val="0"/>
                <w:sz w:val="24"/>
                <w:szCs w:val="24"/>
              </w:rPr>
              <w:br w:type="textWrapping"/>
            </w:r>
            <w:r>
              <w:rPr>
                <w:rFonts w:hint="eastAsia" w:ascii="宋体" w:hAnsi="宋体" w:cs="宋体"/>
                <w:kern w:val="0"/>
                <w:sz w:val="24"/>
                <w:szCs w:val="24"/>
              </w:rPr>
              <w:t>10、整机防护等级≥IP67；</w:t>
            </w:r>
            <w:r>
              <w:rPr>
                <w:rFonts w:hint="eastAsia" w:ascii="宋体" w:hAnsi="宋体" w:cs="宋体"/>
                <w:kern w:val="0"/>
                <w:sz w:val="24"/>
                <w:szCs w:val="24"/>
              </w:rPr>
              <w:br w:type="textWrapping"/>
            </w:r>
            <w:r>
              <w:rPr>
                <w:rFonts w:hint="eastAsia" w:ascii="宋体" w:hAnsi="宋体" w:cs="宋体"/>
                <w:kern w:val="0"/>
                <w:sz w:val="24"/>
                <w:szCs w:val="24"/>
              </w:rPr>
              <w:t>11、摄像头应满足360°旋转的功能；</w:t>
            </w:r>
            <w:r>
              <w:rPr>
                <w:rFonts w:hint="eastAsia" w:ascii="宋体" w:hAnsi="宋体" w:cs="宋体"/>
                <w:kern w:val="0"/>
                <w:sz w:val="24"/>
                <w:szCs w:val="24"/>
              </w:rPr>
              <w:br w:type="textWrapping"/>
            </w:r>
            <w:r>
              <w:rPr>
                <w:rFonts w:hint="eastAsia" w:ascii="宋体" w:hAnsi="宋体" w:cs="宋体"/>
                <w:kern w:val="0"/>
                <w:sz w:val="24"/>
                <w:szCs w:val="24"/>
              </w:rPr>
              <w:t>12、充电电池 2 组，单组电池连续工作时间≥3h；</w:t>
            </w:r>
            <w:r>
              <w:rPr>
                <w:rFonts w:hint="eastAsia" w:ascii="宋体" w:hAnsi="宋体" w:cs="宋体"/>
                <w:kern w:val="0"/>
                <w:sz w:val="24"/>
                <w:szCs w:val="24"/>
              </w:rPr>
              <w:br w:type="textWrapping"/>
            </w:r>
            <w:r>
              <w:rPr>
                <w:rFonts w:hint="eastAsia" w:ascii="宋体" w:hAnsi="宋体" w:cs="宋体"/>
                <w:kern w:val="0"/>
                <w:sz w:val="24"/>
                <w:szCs w:val="24"/>
              </w:rPr>
              <w:t>▲13、配备纸质版和电子版中文使用维护保养说明书，配备专用装备储运箱，防水、防尘、防撞击。</w:t>
            </w:r>
          </w:p>
        </w:tc>
        <w:tc>
          <w:tcPr>
            <w:tcW w:w="93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sz w:val="24"/>
                <w:szCs w:val="24"/>
              </w:rPr>
            </w:pPr>
            <w:r>
              <w:rPr>
                <w:rFonts w:hint="eastAsia" w:ascii="宋体" w:hAnsi="宋体" w:cs="宋体"/>
                <w:kern w:val="0"/>
                <w:sz w:val="24"/>
                <w:szCs w:val="24"/>
              </w:rPr>
              <w:t xml:space="preserve">5 </w:t>
            </w:r>
          </w:p>
        </w:tc>
        <w:tc>
          <w:tcPr>
            <w:tcW w:w="11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ascii="宋体" w:hAnsi="宋体" w:cs="宋体"/>
                <w:sz w:val="24"/>
                <w:szCs w:val="24"/>
              </w:rPr>
            </w:pPr>
          </w:p>
        </w:tc>
      </w:tr>
    </w:tbl>
    <w:p>
      <w:pPr>
        <w:pStyle w:val="23"/>
        <w:rPr>
          <w:rFonts w:hAnsi="宋体" w:cs="宋体"/>
          <w:b/>
          <w:kern w:val="0"/>
          <w:sz w:val="32"/>
          <w:szCs w:val="32"/>
        </w:rPr>
      </w:pPr>
    </w:p>
    <w:p>
      <w:pPr>
        <w:pStyle w:val="23"/>
        <w:jc w:val="center"/>
        <w:rPr>
          <w:rFonts w:hAnsi="宋体" w:cs="宋体"/>
          <w:b/>
          <w:kern w:val="0"/>
          <w:sz w:val="32"/>
          <w:szCs w:val="32"/>
        </w:rPr>
      </w:pPr>
    </w:p>
    <w:p>
      <w:pPr>
        <w:widowControl/>
        <w:jc w:val="left"/>
        <w:textAlignment w:val="center"/>
        <w:rPr>
          <w:rFonts w:ascii="宋体" w:hAnsi="宋体" w:cs="宋体"/>
          <w:kern w:val="0"/>
          <w:sz w:val="24"/>
          <w:szCs w:val="24"/>
        </w:rPr>
      </w:pPr>
    </w:p>
    <w:sectPr>
      <w:pgSz w:w="16838" w:h="11906" w:orient="landscape"/>
      <w:pgMar w:top="1803" w:right="1440" w:bottom="1803" w:left="1440" w:header="851" w:footer="992" w:gutter="0"/>
      <w:cols w:space="0" w:num="1"/>
      <w:docGrid w:type="linesAndChars" w:linePitch="319" w:charSpace="5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0000000000000000000"/>
    <w:charset w:val="86"/>
    <w:family w:val="modern"/>
    <w:pitch w:val="default"/>
    <w:sig w:usb0="00000000" w:usb1="00000000" w:usb2="00000000" w:usb3="00000000" w:csb0="00040000" w:csb1="00000000"/>
  </w:font>
  <w:font w:name="monospace">
    <w:altName w:val="Courier New"/>
    <w:panose1 w:val="00000000000000000000"/>
    <w:charset w:val="00"/>
    <w:family w:val="auto"/>
    <w:pitch w:val="default"/>
    <w:sig w:usb0="00000000" w:usb1="00000000" w:usb2="00000000" w:usb3="00000000" w:csb0="00000001" w:csb1="00000000"/>
  </w:font>
  <w:font w:name="Helvetica Neue">
    <w:altName w:val="Corbel"/>
    <w:panose1 w:val="00000000000000000000"/>
    <w:charset w:val="00"/>
    <w:family w:val="auto"/>
    <w:pitch w:val="default"/>
    <w:sig w:usb0="00000000" w:usb1="00000000" w:usb2="00000000" w:usb3="00000000" w:csb0="00040001" w:csb1="00000000"/>
  </w:font>
  <w:font w:name="方正黑体_GBK">
    <w:altName w:val="微软雅黑"/>
    <w:panose1 w:val="00000000000000000000"/>
    <w:charset w:val="86"/>
    <w:family w:val="auto"/>
    <w:pitch w:val="default"/>
    <w:sig w:usb0="00000000" w:usb1="00000000" w:usb2="00000000" w:usb3="00000000" w:csb0="00040000" w:csb1="00000000"/>
  </w:font>
  <w:font w:name="Arial Unicode MS">
    <w:altName w:val="Arial"/>
    <w:panose1 w:val="020B0604020202020204"/>
    <w:charset w:val="00"/>
    <w:family w:val="roman"/>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方正仿宋简体">
    <w:altName w:val="微软雅黑"/>
    <w:panose1 w:val="00000000000000000000"/>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仿宋_GBK">
    <w:altName w:val="微软雅黑"/>
    <w:panose1 w:val="00000000000000000000"/>
    <w:charset w:val="86"/>
    <w:family w:val="auto"/>
    <w:pitch w:val="default"/>
    <w:sig w:usb0="00000000" w:usb1="00000000" w:usb2="00000000" w:usb3="00000000" w:csb0="00040000" w:csb1="00000000"/>
  </w:font>
  <w:font w:name="MS Mincho">
    <w:panose1 w:val="02020609040205080304"/>
    <w:charset w:val="80"/>
    <w:family w:val="modern"/>
    <w:pitch w:val="default"/>
    <w:sig w:usb0="E00002FF" w:usb1="6AC7FDFB" w:usb2="00000012" w:usb3="00000000" w:csb0="4002009F" w:csb1="DFD7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rPr>
        <w:rFonts w:hint="eastAsia"/>
      </w:rPr>
      <w:tab/>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left" w:pos="3305"/>
      </w:tabs>
      <w:ind w:right="360"/>
    </w:pPr>
    <w:r>
      <w:pict>
        <v:shape id="_x0000_s2050" o:spid="_x0000_s2050"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pMyU4AgAAbw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e6kzJTgCAABvBAAADgAAAAAAAAABACAAAAAfAQAAZHJzL2Uyb0RvYy54&#10;bWxQSwUGAAAAAAYABgBZAQAAyQUAAAAA&#10;">
          <v:path/>
          <v:fill on="f" focussize="0,0"/>
          <v:stroke on="f" weight="0.5pt" joinstyle="miter"/>
          <v:imagedata o:title=""/>
          <o:lock v:ext="edit"/>
          <v:textbox inset="0mm,0mm,0mm,0mm" style="mso-fit-shape-to-text:t;">
            <w:txbxContent>
              <w:p>
                <w:pPr>
                  <w:pStyle w:val="27"/>
                </w:pPr>
                <w:r>
                  <w:fldChar w:fldCharType="begin"/>
                </w:r>
                <w:r>
                  <w:instrText xml:space="preserve"> PAGE  \* MERGEFORMAT </w:instrText>
                </w:r>
                <w:r>
                  <w:fldChar w:fldCharType="separate"/>
                </w:r>
                <w:r>
                  <w:t>78</w:t>
                </w:r>
                <w:r>
                  <w:fldChar w:fldCharType="end"/>
                </w:r>
              </w:p>
            </w:txbxContent>
          </v:textbox>
        </v:shape>
      </w:pict>
    </w:r>
    <w:r>
      <w:rPr>
        <w:rFonts w:hint="eastAsia"/>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r>
      <w:pict>
        <v:shape id="_x0000_s2049" o:spid="_x0000_s2049"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path/>
          <v:fill on="f" focussize="0,0"/>
          <v:stroke on="f" weight="0.5pt" joinstyle="miter"/>
          <v:imagedata o:title=""/>
          <o:lock v:ext="edit"/>
          <v:textbox inset="0mm,0mm,0mm,0mm" style="mso-fit-shape-to-text:t;">
            <w:txbxContent>
              <w:p>
                <w:pPr>
                  <w:pStyle w:val="27"/>
                </w:pPr>
                <w:r>
                  <w:fldChar w:fldCharType="begin"/>
                </w:r>
                <w:r>
                  <w:instrText xml:space="preserve"> PAGE  \* MERGEFORMAT </w:instrText>
                </w:r>
                <w:r>
                  <w:fldChar w:fldCharType="separate"/>
                </w:r>
                <w:r>
                  <w:t>80</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CAF878"/>
    <w:multiLevelType w:val="singleLevel"/>
    <w:tmpl w:val="85CAF878"/>
    <w:lvl w:ilvl="0" w:tentative="0">
      <w:start w:val="2"/>
      <w:numFmt w:val="chineseCounting"/>
      <w:suff w:val="nothing"/>
      <w:lvlText w:val="%1、"/>
      <w:lvlJc w:val="left"/>
      <w:rPr>
        <w:rFonts w:hint="eastAsia"/>
      </w:rPr>
    </w:lvl>
  </w:abstractNum>
  <w:abstractNum w:abstractNumId="1">
    <w:nsid w:val="FDFC8C35"/>
    <w:multiLevelType w:val="singleLevel"/>
    <w:tmpl w:val="FDFC8C35"/>
    <w:lvl w:ilvl="0" w:tentative="0">
      <w:start w:val="1"/>
      <w:numFmt w:val="decimal"/>
      <w:suff w:val="nothing"/>
      <w:lvlText w:val="%1、"/>
      <w:lvlJc w:val="left"/>
    </w:lvl>
  </w:abstractNum>
  <w:abstractNum w:abstractNumId="2">
    <w:nsid w:val="FEC1CC46"/>
    <w:multiLevelType w:val="singleLevel"/>
    <w:tmpl w:val="FEC1CC46"/>
    <w:lvl w:ilvl="0" w:tentative="0">
      <w:start w:val="7"/>
      <w:numFmt w:val="chineseCounting"/>
      <w:suff w:val="nothing"/>
      <w:lvlText w:val="%1、"/>
      <w:lvlJc w:val="left"/>
      <w:rPr>
        <w:rFonts w:hint="eastAsia"/>
      </w:rPr>
    </w:lvl>
  </w:abstractNum>
  <w:abstractNum w:abstractNumId="3">
    <w:nsid w:val="06784D56"/>
    <w:multiLevelType w:val="singleLevel"/>
    <w:tmpl w:val="06784D56"/>
    <w:lvl w:ilvl="0" w:tentative="0">
      <w:start w:val="1"/>
      <w:numFmt w:val="upperLetter"/>
      <w:pStyle w:val="117"/>
      <w:lvlText w:val="附录%1."/>
      <w:lvlJc w:val="left"/>
      <w:pPr>
        <w:tabs>
          <w:tab w:val="left" w:pos="907"/>
        </w:tabs>
        <w:ind w:left="907" w:hanging="907"/>
      </w:pPr>
      <w:rPr>
        <w:rFonts w:hint="eastAsia"/>
      </w:rPr>
    </w:lvl>
  </w:abstractNum>
  <w:abstractNum w:abstractNumId="4">
    <w:nsid w:val="253E05EF"/>
    <w:multiLevelType w:val="multilevel"/>
    <w:tmpl w:val="253E05EF"/>
    <w:lvl w:ilvl="0" w:tentative="0">
      <w:start w:val="1"/>
      <w:numFmt w:val="decimal"/>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2BC170F9"/>
    <w:multiLevelType w:val="singleLevel"/>
    <w:tmpl w:val="2BC170F9"/>
    <w:lvl w:ilvl="0" w:tentative="0">
      <w:start w:val="2"/>
      <w:numFmt w:val="decimal"/>
      <w:suff w:val="space"/>
      <w:lvlText w:val="%1."/>
      <w:lvlJc w:val="left"/>
    </w:lvl>
  </w:abstractNum>
  <w:abstractNum w:abstractNumId="6">
    <w:nsid w:val="3A15682F"/>
    <w:multiLevelType w:val="singleLevel"/>
    <w:tmpl w:val="3A15682F"/>
    <w:lvl w:ilvl="0" w:tentative="0">
      <w:start w:val="0"/>
      <w:numFmt w:val="none"/>
      <w:lvlText w:val=""/>
      <w:lvlJc w:val="left"/>
      <w:pPr>
        <w:tabs>
          <w:tab w:val="left" w:pos="360"/>
        </w:tabs>
      </w:p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58"/>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420C153B"/>
    <w:multiLevelType w:val="multilevel"/>
    <w:tmpl w:val="420C153B"/>
    <w:lvl w:ilvl="0" w:tentative="0">
      <w:start w:val="1"/>
      <w:numFmt w:val="decimal"/>
      <w:pStyle w:val="9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46137EDD"/>
    <w:multiLevelType w:val="multilevel"/>
    <w:tmpl w:val="46137EDD"/>
    <w:lvl w:ilvl="0" w:tentative="0">
      <w:start w:val="1"/>
      <w:numFmt w:val="decimal"/>
      <w:lvlText w:val="%1"/>
      <w:lvlJc w:val="left"/>
      <w:pPr>
        <w:tabs>
          <w:tab w:val="left" w:pos="432"/>
        </w:tabs>
        <w:ind w:left="432" w:hanging="432"/>
        <w:textAlignment w:val="baseline"/>
      </w:pPr>
    </w:lvl>
    <w:lvl w:ilvl="1" w:tentative="0">
      <w:start w:val="1"/>
      <w:numFmt w:val="decimal"/>
      <w:pStyle w:val="55"/>
      <w:lvlText w:val="%1.%2"/>
      <w:lvlJc w:val="left"/>
      <w:pPr>
        <w:tabs>
          <w:tab w:val="left" w:pos="718"/>
        </w:tabs>
        <w:ind w:left="718" w:hanging="576"/>
        <w:textAlignment w:val="baseline"/>
      </w:pPr>
    </w:lvl>
    <w:lvl w:ilvl="2" w:tentative="0">
      <w:start w:val="1"/>
      <w:numFmt w:val="decimal"/>
      <w:lvlText w:val="%1.%2.%3"/>
      <w:lvlJc w:val="left"/>
      <w:pPr>
        <w:tabs>
          <w:tab w:val="left" w:pos="720"/>
        </w:tabs>
        <w:ind w:left="720" w:hanging="720"/>
        <w:textAlignment w:val="baseline"/>
      </w:pPr>
    </w:lvl>
    <w:lvl w:ilvl="3" w:tentative="0">
      <w:start w:val="1"/>
      <w:numFmt w:val="decimal"/>
      <w:lvlText w:val="%1.%2.%3.%4"/>
      <w:lvlJc w:val="left"/>
      <w:pPr>
        <w:tabs>
          <w:tab w:val="left" w:pos="864"/>
        </w:tabs>
        <w:ind w:left="864" w:hanging="864"/>
        <w:textAlignment w:val="baseline"/>
      </w:pPr>
    </w:lvl>
    <w:lvl w:ilvl="4" w:tentative="0">
      <w:start w:val="1"/>
      <w:numFmt w:val="decimal"/>
      <w:lvlText w:val="%1.%2.%3.%4.%5"/>
      <w:lvlJc w:val="left"/>
      <w:pPr>
        <w:tabs>
          <w:tab w:val="left" w:pos="1008"/>
        </w:tabs>
        <w:ind w:left="1008" w:hanging="1008"/>
        <w:textAlignment w:val="baseline"/>
      </w:pPr>
    </w:lvl>
    <w:lvl w:ilvl="5" w:tentative="0">
      <w:start w:val="1"/>
      <w:numFmt w:val="decimal"/>
      <w:lvlText w:val="%1.%2.%3.%4.%5.%6"/>
      <w:lvlJc w:val="left"/>
      <w:pPr>
        <w:tabs>
          <w:tab w:val="left" w:pos="1152"/>
        </w:tabs>
        <w:ind w:left="1152" w:hanging="1152"/>
        <w:textAlignment w:val="baseline"/>
      </w:pPr>
    </w:lvl>
    <w:lvl w:ilvl="6" w:tentative="0">
      <w:start w:val="1"/>
      <w:numFmt w:val="decimal"/>
      <w:lvlText w:val="%1.%2.%3.%4.%5.%6.%7"/>
      <w:lvlJc w:val="left"/>
      <w:pPr>
        <w:tabs>
          <w:tab w:val="left" w:pos="1296"/>
        </w:tabs>
        <w:ind w:left="1296" w:hanging="1296"/>
        <w:textAlignment w:val="baseline"/>
      </w:pPr>
    </w:lvl>
    <w:lvl w:ilvl="7" w:tentative="0">
      <w:start w:val="1"/>
      <w:numFmt w:val="decimal"/>
      <w:lvlText w:val="%1.%2.%3.%4.%5.%6.%7.%8"/>
      <w:lvlJc w:val="left"/>
      <w:pPr>
        <w:tabs>
          <w:tab w:val="left" w:pos="1440"/>
        </w:tabs>
        <w:ind w:left="1440" w:hanging="1440"/>
        <w:textAlignment w:val="baseline"/>
      </w:pPr>
    </w:lvl>
    <w:lvl w:ilvl="8" w:tentative="0">
      <w:start w:val="1"/>
      <w:numFmt w:val="decimal"/>
      <w:lvlText w:val="%1.%2.%3.%4.%5.%6.%7.%8.%9"/>
      <w:lvlJc w:val="left"/>
      <w:pPr>
        <w:tabs>
          <w:tab w:val="left" w:pos="1584"/>
        </w:tabs>
        <w:ind w:left="1584" w:hanging="1584"/>
        <w:textAlignment w:val="baseline"/>
      </w:pPr>
    </w:lvl>
  </w:abstractNum>
  <w:abstractNum w:abstractNumId="10">
    <w:nsid w:val="4C0C1BFB"/>
    <w:multiLevelType w:val="singleLevel"/>
    <w:tmpl w:val="4C0C1BFB"/>
    <w:lvl w:ilvl="0" w:tentative="0">
      <w:start w:val="1"/>
      <w:numFmt w:val="decimal"/>
      <w:pStyle w:val="122"/>
      <w:lvlText w:val="（%1）"/>
      <w:lvlJc w:val="left"/>
      <w:pPr>
        <w:tabs>
          <w:tab w:val="left" w:pos="810"/>
        </w:tabs>
        <w:ind w:left="810" w:hanging="810"/>
      </w:pPr>
      <w:rPr>
        <w:rFonts w:hint="eastAsia"/>
      </w:rPr>
    </w:lvl>
  </w:abstractNum>
  <w:abstractNum w:abstractNumId="11">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9"/>
      <w:suff w:val="nothing"/>
      <w:lvlText w:val=""/>
      <w:lvlJc w:val="left"/>
      <w:pPr>
        <w:ind w:left="0" w:firstLine="0"/>
      </w:pPr>
      <w:rPr>
        <w:rFonts w:hint="eastAsia"/>
      </w:rPr>
    </w:lvl>
    <w:lvl w:ilvl="6" w:tentative="0">
      <w:start w:val="1"/>
      <w:numFmt w:val="none"/>
      <w:pStyle w:val="10"/>
      <w:suff w:val="nothing"/>
      <w:lvlText w:val=""/>
      <w:lvlJc w:val="left"/>
      <w:pPr>
        <w:ind w:left="0" w:firstLine="0"/>
      </w:pPr>
      <w:rPr>
        <w:rFonts w:hint="eastAsia"/>
      </w:rPr>
    </w:lvl>
    <w:lvl w:ilvl="7" w:tentative="0">
      <w:start w:val="1"/>
      <w:numFmt w:val="none"/>
      <w:pStyle w:val="11"/>
      <w:suff w:val="nothing"/>
      <w:lvlText w:val=""/>
      <w:lvlJc w:val="left"/>
      <w:pPr>
        <w:ind w:left="0" w:firstLine="0"/>
      </w:pPr>
      <w:rPr>
        <w:rFonts w:hint="eastAsia"/>
      </w:rPr>
    </w:lvl>
    <w:lvl w:ilvl="8" w:tentative="0">
      <w:start w:val="1"/>
      <w:numFmt w:val="none"/>
      <w:pStyle w:val="12"/>
      <w:suff w:val="nothing"/>
      <w:lvlText w:val=""/>
      <w:lvlJc w:val="left"/>
      <w:pPr>
        <w:ind w:left="0" w:firstLine="0"/>
      </w:pPr>
      <w:rPr>
        <w:rFonts w:hint="eastAsia"/>
      </w:rPr>
    </w:lvl>
  </w:abstractNum>
  <w:num w:numId="1">
    <w:abstractNumId w:val="11"/>
  </w:num>
  <w:num w:numId="2">
    <w:abstractNumId w:val="9"/>
  </w:num>
  <w:num w:numId="3">
    <w:abstractNumId w:val="7"/>
  </w:num>
  <w:num w:numId="4">
    <w:abstractNumId w:val="8"/>
  </w:num>
  <w:num w:numId="5">
    <w:abstractNumId w:val="3"/>
  </w:num>
  <w:num w:numId="6">
    <w:abstractNumId w:val="10"/>
  </w:num>
  <w:num w:numId="7">
    <w:abstractNumId w:val="2"/>
  </w:num>
  <w:num w:numId="8">
    <w:abstractNumId w:val="5"/>
  </w:num>
  <w:num w:numId="9">
    <w:abstractNumId w:val="0"/>
  </w:num>
  <w:num w:numId="10">
    <w:abstractNumId w:val="4"/>
  </w:num>
  <w:num w:numId="11">
    <w:abstractNumId w:val="6"/>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hideSpellingErrors/>
  <w:documentProtection w:enforcement="0"/>
  <w:defaultTabStop w:val="420"/>
  <w:drawingGridHorizontalSpacing w:val="106"/>
  <w:drawingGridVerticalSpacing w:val="159"/>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ZjFiOTI2NjNkZWFiNmVlMGMzN2RlNDQ0YmRkNTRkNzgifQ=="/>
  </w:docVars>
  <w:rsids>
    <w:rsidRoot w:val="00172A27"/>
    <w:rsid w:val="00000B50"/>
    <w:rsid w:val="000012AD"/>
    <w:rsid w:val="00002023"/>
    <w:rsid w:val="00002A41"/>
    <w:rsid w:val="00003038"/>
    <w:rsid w:val="000036FB"/>
    <w:rsid w:val="00003E3B"/>
    <w:rsid w:val="000040E6"/>
    <w:rsid w:val="000044C5"/>
    <w:rsid w:val="00004833"/>
    <w:rsid w:val="00004C7F"/>
    <w:rsid w:val="00005A61"/>
    <w:rsid w:val="00005C0D"/>
    <w:rsid w:val="00006327"/>
    <w:rsid w:val="00006AA3"/>
    <w:rsid w:val="00006E32"/>
    <w:rsid w:val="00010521"/>
    <w:rsid w:val="00010E39"/>
    <w:rsid w:val="00010EC6"/>
    <w:rsid w:val="00011619"/>
    <w:rsid w:val="00011FF2"/>
    <w:rsid w:val="000126A3"/>
    <w:rsid w:val="00012BC2"/>
    <w:rsid w:val="0001340E"/>
    <w:rsid w:val="00013C36"/>
    <w:rsid w:val="000144A3"/>
    <w:rsid w:val="00015CBB"/>
    <w:rsid w:val="000178E0"/>
    <w:rsid w:val="00017D33"/>
    <w:rsid w:val="000209DD"/>
    <w:rsid w:val="000214BA"/>
    <w:rsid w:val="000217F4"/>
    <w:rsid w:val="00023805"/>
    <w:rsid w:val="0002607A"/>
    <w:rsid w:val="00026720"/>
    <w:rsid w:val="000269AE"/>
    <w:rsid w:val="00026D40"/>
    <w:rsid w:val="0002771F"/>
    <w:rsid w:val="000300C7"/>
    <w:rsid w:val="00031135"/>
    <w:rsid w:val="000313D5"/>
    <w:rsid w:val="00031400"/>
    <w:rsid w:val="0003239D"/>
    <w:rsid w:val="00033D51"/>
    <w:rsid w:val="00034EE1"/>
    <w:rsid w:val="000355B7"/>
    <w:rsid w:val="00035B84"/>
    <w:rsid w:val="00035DB5"/>
    <w:rsid w:val="00035FD3"/>
    <w:rsid w:val="0003628F"/>
    <w:rsid w:val="00036464"/>
    <w:rsid w:val="000368D5"/>
    <w:rsid w:val="000404B4"/>
    <w:rsid w:val="00041C0C"/>
    <w:rsid w:val="000426B0"/>
    <w:rsid w:val="000448ED"/>
    <w:rsid w:val="00045FCC"/>
    <w:rsid w:val="0004682D"/>
    <w:rsid w:val="00047D80"/>
    <w:rsid w:val="00050598"/>
    <w:rsid w:val="00050F3A"/>
    <w:rsid w:val="000523C9"/>
    <w:rsid w:val="000527CA"/>
    <w:rsid w:val="00052F6E"/>
    <w:rsid w:val="000533AB"/>
    <w:rsid w:val="00054001"/>
    <w:rsid w:val="00055613"/>
    <w:rsid w:val="00055942"/>
    <w:rsid w:val="00055E74"/>
    <w:rsid w:val="000574F5"/>
    <w:rsid w:val="0006136C"/>
    <w:rsid w:val="00063CEE"/>
    <w:rsid w:val="00063F19"/>
    <w:rsid w:val="00063F82"/>
    <w:rsid w:val="00064391"/>
    <w:rsid w:val="0006639D"/>
    <w:rsid w:val="000664B9"/>
    <w:rsid w:val="0006714F"/>
    <w:rsid w:val="00071811"/>
    <w:rsid w:val="00071CEE"/>
    <w:rsid w:val="00071E07"/>
    <w:rsid w:val="0007307E"/>
    <w:rsid w:val="00073596"/>
    <w:rsid w:val="00075DBF"/>
    <w:rsid w:val="000760C9"/>
    <w:rsid w:val="00076450"/>
    <w:rsid w:val="00076D7B"/>
    <w:rsid w:val="00076DB5"/>
    <w:rsid w:val="0007732F"/>
    <w:rsid w:val="00077725"/>
    <w:rsid w:val="00082FDE"/>
    <w:rsid w:val="0008349C"/>
    <w:rsid w:val="00083A9A"/>
    <w:rsid w:val="00083E1C"/>
    <w:rsid w:val="00083F9C"/>
    <w:rsid w:val="00084F92"/>
    <w:rsid w:val="000874A6"/>
    <w:rsid w:val="00087583"/>
    <w:rsid w:val="00087AC3"/>
    <w:rsid w:val="00087F97"/>
    <w:rsid w:val="00090237"/>
    <w:rsid w:val="00091368"/>
    <w:rsid w:val="00091374"/>
    <w:rsid w:val="0009190E"/>
    <w:rsid w:val="000920C7"/>
    <w:rsid w:val="00094CF9"/>
    <w:rsid w:val="0009585A"/>
    <w:rsid w:val="00095E05"/>
    <w:rsid w:val="000965F2"/>
    <w:rsid w:val="00097697"/>
    <w:rsid w:val="000A1DC0"/>
    <w:rsid w:val="000A437C"/>
    <w:rsid w:val="000B09F2"/>
    <w:rsid w:val="000B0F3D"/>
    <w:rsid w:val="000B1318"/>
    <w:rsid w:val="000B2104"/>
    <w:rsid w:val="000B2ADE"/>
    <w:rsid w:val="000B51A5"/>
    <w:rsid w:val="000B6C52"/>
    <w:rsid w:val="000C095E"/>
    <w:rsid w:val="000C0CB7"/>
    <w:rsid w:val="000C26EA"/>
    <w:rsid w:val="000C4195"/>
    <w:rsid w:val="000C42B7"/>
    <w:rsid w:val="000C42F3"/>
    <w:rsid w:val="000C5411"/>
    <w:rsid w:val="000C54F2"/>
    <w:rsid w:val="000C676C"/>
    <w:rsid w:val="000C77A1"/>
    <w:rsid w:val="000D0BBA"/>
    <w:rsid w:val="000D1844"/>
    <w:rsid w:val="000D1950"/>
    <w:rsid w:val="000D2237"/>
    <w:rsid w:val="000D2400"/>
    <w:rsid w:val="000D26C1"/>
    <w:rsid w:val="000D26D8"/>
    <w:rsid w:val="000D3A32"/>
    <w:rsid w:val="000D3CF7"/>
    <w:rsid w:val="000D3EE4"/>
    <w:rsid w:val="000D4D2B"/>
    <w:rsid w:val="000D6565"/>
    <w:rsid w:val="000D7692"/>
    <w:rsid w:val="000E0173"/>
    <w:rsid w:val="000E0F51"/>
    <w:rsid w:val="000E157E"/>
    <w:rsid w:val="000E1A22"/>
    <w:rsid w:val="000E5078"/>
    <w:rsid w:val="000E6A6F"/>
    <w:rsid w:val="000F0EB5"/>
    <w:rsid w:val="000F3923"/>
    <w:rsid w:val="000F3EF9"/>
    <w:rsid w:val="000F4D9E"/>
    <w:rsid w:val="000F5242"/>
    <w:rsid w:val="000F5CDE"/>
    <w:rsid w:val="000F6E74"/>
    <w:rsid w:val="000F7537"/>
    <w:rsid w:val="00100053"/>
    <w:rsid w:val="00100A5E"/>
    <w:rsid w:val="00101DB7"/>
    <w:rsid w:val="00102619"/>
    <w:rsid w:val="00102D5E"/>
    <w:rsid w:val="00103454"/>
    <w:rsid w:val="00103E0B"/>
    <w:rsid w:val="00105903"/>
    <w:rsid w:val="00107536"/>
    <w:rsid w:val="001077C0"/>
    <w:rsid w:val="001101E9"/>
    <w:rsid w:val="00111226"/>
    <w:rsid w:val="00111F3D"/>
    <w:rsid w:val="00114CA6"/>
    <w:rsid w:val="001160D7"/>
    <w:rsid w:val="001170D2"/>
    <w:rsid w:val="00120A69"/>
    <w:rsid w:val="00121CC9"/>
    <w:rsid w:val="00124CD5"/>
    <w:rsid w:val="00124F52"/>
    <w:rsid w:val="001252B0"/>
    <w:rsid w:val="00126FD7"/>
    <w:rsid w:val="00127A72"/>
    <w:rsid w:val="00127C63"/>
    <w:rsid w:val="00131277"/>
    <w:rsid w:val="00131881"/>
    <w:rsid w:val="001319ED"/>
    <w:rsid w:val="00131A58"/>
    <w:rsid w:val="001326D2"/>
    <w:rsid w:val="001333E9"/>
    <w:rsid w:val="0013433C"/>
    <w:rsid w:val="00134831"/>
    <w:rsid w:val="001372D8"/>
    <w:rsid w:val="00140DFA"/>
    <w:rsid w:val="00141F88"/>
    <w:rsid w:val="0014204A"/>
    <w:rsid w:val="00143575"/>
    <w:rsid w:val="0014483C"/>
    <w:rsid w:val="00146F7C"/>
    <w:rsid w:val="001477F6"/>
    <w:rsid w:val="001477FB"/>
    <w:rsid w:val="001507FA"/>
    <w:rsid w:val="001510B7"/>
    <w:rsid w:val="0015158B"/>
    <w:rsid w:val="00151C50"/>
    <w:rsid w:val="001525DE"/>
    <w:rsid w:val="00152F20"/>
    <w:rsid w:val="00152FA5"/>
    <w:rsid w:val="001541B9"/>
    <w:rsid w:val="001544A4"/>
    <w:rsid w:val="0015497E"/>
    <w:rsid w:val="00154CA1"/>
    <w:rsid w:val="001551BF"/>
    <w:rsid w:val="0015531C"/>
    <w:rsid w:val="00155D52"/>
    <w:rsid w:val="00157E5B"/>
    <w:rsid w:val="00160AE5"/>
    <w:rsid w:val="001637D2"/>
    <w:rsid w:val="0016437E"/>
    <w:rsid w:val="00164C69"/>
    <w:rsid w:val="00165AF0"/>
    <w:rsid w:val="001667D0"/>
    <w:rsid w:val="00166EFF"/>
    <w:rsid w:val="00170749"/>
    <w:rsid w:val="00170A2D"/>
    <w:rsid w:val="00171360"/>
    <w:rsid w:val="00171D87"/>
    <w:rsid w:val="00172A27"/>
    <w:rsid w:val="00172FF1"/>
    <w:rsid w:val="00173033"/>
    <w:rsid w:val="001749B6"/>
    <w:rsid w:val="0017505E"/>
    <w:rsid w:val="00176950"/>
    <w:rsid w:val="00181110"/>
    <w:rsid w:val="0018156A"/>
    <w:rsid w:val="00182E37"/>
    <w:rsid w:val="00183EB5"/>
    <w:rsid w:val="001864A5"/>
    <w:rsid w:val="00186705"/>
    <w:rsid w:val="00187B49"/>
    <w:rsid w:val="00187C1F"/>
    <w:rsid w:val="00187DC4"/>
    <w:rsid w:val="0019076F"/>
    <w:rsid w:val="00193274"/>
    <w:rsid w:val="00193DAC"/>
    <w:rsid w:val="00194202"/>
    <w:rsid w:val="001946FF"/>
    <w:rsid w:val="001947C5"/>
    <w:rsid w:val="001953B0"/>
    <w:rsid w:val="00195808"/>
    <w:rsid w:val="00195A83"/>
    <w:rsid w:val="001A1033"/>
    <w:rsid w:val="001A187D"/>
    <w:rsid w:val="001A18C0"/>
    <w:rsid w:val="001A1D99"/>
    <w:rsid w:val="001A26B5"/>
    <w:rsid w:val="001A57FF"/>
    <w:rsid w:val="001A6C7F"/>
    <w:rsid w:val="001A7BA0"/>
    <w:rsid w:val="001A7F3C"/>
    <w:rsid w:val="001B1D18"/>
    <w:rsid w:val="001B2822"/>
    <w:rsid w:val="001B34C4"/>
    <w:rsid w:val="001B37C7"/>
    <w:rsid w:val="001B4172"/>
    <w:rsid w:val="001B452D"/>
    <w:rsid w:val="001B4A8B"/>
    <w:rsid w:val="001B52A8"/>
    <w:rsid w:val="001B5378"/>
    <w:rsid w:val="001B6B93"/>
    <w:rsid w:val="001B79B5"/>
    <w:rsid w:val="001B7A07"/>
    <w:rsid w:val="001B7A15"/>
    <w:rsid w:val="001C02D6"/>
    <w:rsid w:val="001C077B"/>
    <w:rsid w:val="001C21EF"/>
    <w:rsid w:val="001C2404"/>
    <w:rsid w:val="001C2429"/>
    <w:rsid w:val="001C2454"/>
    <w:rsid w:val="001C2A18"/>
    <w:rsid w:val="001C3136"/>
    <w:rsid w:val="001C37D3"/>
    <w:rsid w:val="001C3F88"/>
    <w:rsid w:val="001C573D"/>
    <w:rsid w:val="001C6670"/>
    <w:rsid w:val="001C7269"/>
    <w:rsid w:val="001D03CD"/>
    <w:rsid w:val="001D0B04"/>
    <w:rsid w:val="001D1063"/>
    <w:rsid w:val="001D1087"/>
    <w:rsid w:val="001D1E13"/>
    <w:rsid w:val="001D3DF4"/>
    <w:rsid w:val="001D4B6D"/>
    <w:rsid w:val="001D5588"/>
    <w:rsid w:val="001D690B"/>
    <w:rsid w:val="001D6F14"/>
    <w:rsid w:val="001E1785"/>
    <w:rsid w:val="001E19C0"/>
    <w:rsid w:val="001E218A"/>
    <w:rsid w:val="001E2A27"/>
    <w:rsid w:val="001E2AB5"/>
    <w:rsid w:val="001E3117"/>
    <w:rsid w:val="001E3212"/>
    <w:rsid w:val="001E48AF"/>
    <w:rsid w:val="001E4C69"/>
    <w:rsid w:val="001E6CFD"/>
    <w:rsid w:val="001F35A1"/>
    <w:rsid w:val="001F4946"/>
    <w:rsid w:val="001F4B41"/>
    <w:rsid w:val="001F58DB"/>
    <w:rsid w:val="001F5F91"/>
    <w:rsid w:val="001F64B1"/>
    <w:rsid w:val="001F6652"/>
    <w:rsid w:val="00200726"/>
    <w:rsid w:val="00201570"/>
    <w:rsid w:val="00201AAD"/>
    <w:rsid w:val="00201B5C"/>
    <w:rsid w:val="002026FD"/>
    <w:rsid w:val="002029A0"/>
    <w:rsid w:val="00203FDB"/>
    <w:rsid w:val="00204503"/>
    <w:rsid w:val="00204B0E"/>
    <w:rsid w:val="00207852"/>
    <w:rsid w:val="00207854"/>
    <w:rsid w:val="00207BEC"/>
    <w:rsid w:val="002114C5"/>
    <w:rsid w:val="0021150E"/>
    <w:rsid w:val="00211D84"/>
    <w:rsid w:val="002120BC"/>
    <w:rsid w:val="002129B4"/>
    <w:rsid w:val="00213554"/>
    <w:rsid w:val="002135F1"/>
    <w:rsid w:val="00213952"/>
    <w:rsid w:val="0021413E"/>
    <w:rsid w:val="002150AA"/>
    <w:rsid w:val="00215159"/>
    <w:rsid w:val="00215D7A"/>
    <w:rsid w:val="0021681C"/>
    <w:rsid w:val="00216D78"/>
    <w:rsid w:val="0022068B"/>
    <w:rsid w:val="0022183A"/>
    <w:rsid w:val="00224BF6"/>
    <w:rsid w:val="00224D56"/>
    <w:rsid w:val="002250E1"/>
    <w:rsid w:val="0022514B"/>
    <w:rsid w:val="002251B2"/>
    <w:rsid w:val="00225592"/>
    <w:rsid w:val="00225C8B"/>
    <w:rsid w:val="00225CD5"/>
    <w:rsid w:val="00227982"/>
    <w:rsid w:val="00227C43"/>
    <w:rsid w:val="00231AE4"/>
    <w:rsid w:val="0023202D"/>
    <w:rsid w:val="00232077"/>
    <w:rsid w:val="0023283A"/>
    <w:rsid w:val="00232BF5"/>
    <w:rsid w:val="002331F2"/>
    <w:rsid w:val="00235603"/>
    <w:rsid w:val="002369AF"/>
    <w:rsid w:val="00236A1C"/>
    <w:rsid w:val="00237C74"/>
    <w:rsid w:val="00241187"/>
    <w:rsid w:val="00241203"/>
    <w:rsid w:val="002412FF"/>
    <w:rsid w:val="002414E0"/>
    <w:rsid w:val="00241671"/>
    <w:rsid w:val="00243079"/>
    <w:rsid w:val="00243975"/>
    <w:rsid w:val="002447BD"/>
    <w:rsid w:val="00246C19"/>
    <w:rsid w:val="00250E77"/>
    <w:rsid w:val="002514DA"/>
    <w:rsid w:val="00252722"/>
    <w:rsid w:val="00252AA4"/>
    <w:rsid w:val="002537B2"/>
    <w:rsid w:val="00254207"/>
    <w:rsid w:val="00254B9B"/>
    <w:rsid w:val="00255C8D"/>
    <w:rsid w:val="00255FEB"/>
    <w:rsid w:val="00257A01"/>
    <w:rsid w:val="00261A7E"/>
    <w:rsid w:val="002623E9"/>
    <w:rsid w:val="0026387F"/>
    <w:rsid w:val="002640B2"/>
    <w:rsid w:val="0026470C"/>
    <w:rsid w:val="00264902"/>
    <w:rsid w:val="00264B13"/>
    <w:rsid w:val="00264D4D"/>
    <w:rsid w:val="00264FAC"/>
    <w:rsid w:val="002657FF"/>
    <w:rsid w:val="00266329"/>
    <w:rsid w:val="002665DA"/>
    <w:rsid w:val="00266BA2"/>
    <w:rsid w:val="00267D06"/>
    <w:rsid w:val="00267D13"/>
    <w:rsid w:val="002702B6"/>
    <w:rsid w:val="00270609"/>
    <w:rsid w:val="002706C2"/>
    <w:rsid w:val="002707A9"/>
    <w:rsid w:val="00270858"/>
    <w:rsid w:val="00270E78"/>
    <w:rsid w:val="00270EEE"/>
    <w:rsid w:val="00270F7A"/>
    <w:rsid w:val="00271354"/>
    <w:rsid w:val="0027159B"/>
    <w:rsid w:val="002750C2"/>
    <w:rsid w:val="00275F24"/>
    <w:rsid w:val="0027611E"/>
    <w:rsid w:val="00276467"/>
    <w:rsid w:val="002767AF"/>
    <w:rsid w:val="002769A6"/>
    <w:rsid w:val="00276C85"/>
    <w:rsid w:val="002773BE"/>
    <w:rsid w:val="00280CC5"/>
    <w:rsid w:val="00280F9F"/>
    <w:rsid w:val="00281C6E"/>
    <w:rsid w:val="00282FDE"/>
    <w:rsid w:val="0028368D"/>
    <w:rsid w:val="00284A73"/>
    <w:rsid w:val="00284F56"/>
    <w:rsid w:val="0028524A"/>
    <w:rsid w:val="00285266"/>
    <w:rsid w:val="0028532D"/>
    <w:rsid w:val="002854C9"/>
    <w:rsid w:val="00286E46"/>
    <w:rsid w:val="00287A23"/>
    <w:rsid w:val="0029224A"/>
    <w:rsid w:val="0029269B"/>
    <w:rsid w:val="00293DBF"/>
    <w:rsid w:val="00293ED7"/>
    <w:rsid w:val="002957D1"/>
    <w:rsid w:val="00296520"/>
    <w:rsid w:val="00296EE7"/>
    <w:rsid w:val="00297C93"/>
    <w:rsid w:val="002A006D"/>
    <w:rsid w:val="002A1B0C"/>
    <w:rsid w:val="002A35C8"/>
    <w:rsid w:val="002A67A6"/>
    <w:rsid w:val="002A693A"/>
    <w:rsid w:val="002A7962"/>
    <w:rsid w:val="002B084C"/>
    <w:rsid w:val="002B11E6"/>
    <w:rsid w:val="002B1B75"/>
    <w:rsid w:val="002B3E53"/>
    <w:rsid w:val="002B4048"/>
    <w:rsid w:val="002B4B17"/>
    <w:rsid w:val="002B5620"/>
    <w:rsid w:val="002B6716"/>
    <w:rsid w:val="002B70EF"/>
    <w:rsid w:val="002C00C1"/>
    <w:rsid w:val="002C067B"/>
    <w:rsid w:val="002C29A7"/>
    <w:rsid w:val="002C3863"/>
    <w:rsid w:val="002C4077"/>
    <w:rsid w:val="002C4418"/>
    <w:rsid w:val="002C5B63"/>
    <w:rsid w:val="002C75A7"/>
    <w:rsid w:val="002D046F"/>
    <w:rsid w:val="002D1163"/>
    <w:rsid w:val="002D15D0"/>
    <w:rsid w:val="002D3E1D"/>
    <w:rsid w:val="002D4138"/>
    <w:rsid w:val="002D44AA"/>
    <w:rsid w:val="002D6759"/>
    <w:rsid w:val="002D703B"/>
    <w:rsid w:val="002D78A6"/>
    <w:rsid w:val="002D7B1C"/>
    <w:rsid w:val="002E0200"/>
    <w:rsid w:val="002E0546"/>
    <w:rsid w:val="002E1397"/>
    <w:rsid w:val="002E192A"/>
    <w:rsid w:val="002E2B69"/>
    <w:rsid w:val="002E3028"/>
    <w:rsid w:val="002E4A67"/>
    <w:rsid w:val="002E4B77"/>
    <w:rsid w:val="002E4D8D"/>
    <w:rsid w:val="002E717B"/>
    <w:rsid w:val="002E7638"/>
    <w:rsid w:val="002E7821"/>
    <w:rsid w:val="002E7FEC"/>
    <w:rsid w:val="002F080F"/>
    <w:rsid w:val="002F0B59"/>
    <w:rsid w:val="002F0E29"/>
    <w:rsid w:val="002F2018"/>
    <w:rsid w:val="002F239C"/>
    <w:rsid w:val="002F3084"/>
    <w:rsid w:val="002F3C42"/>
    <w:rsid w:val="002F3DAA"/>
    <w:rsid w:val="002F45B0"/>
    <w:rsid w:val="002F56BB"/>
    <w:rsid w:val="002F57C5"/>
    <w:rsid w:val="002F5A9D"/>
    <w:rsid w:val="002F7C78"/>
    <w:rsid w:val="002F7F15"/>
    <w:rsid w:val="00302002"/>
    <w:rsid w:val="00302A09"/>
    <w:rsid w:val="00303AB3"/>
    <w:rsid w:val="00303E18"/>
    <w:rsid w:val="00304294"/>
    <w:rsid w:val="003065CE"/>
    <w:rsid w:val="003077D7"/>
    <w:rsid w:val="00310052"/>
    <w:rsid w:val="003105BC"/>
    <w:rsid w:val="00310924"/>
    <w:rsid w:val="00310A49"/>
    <w:rsid w:val="003119DF"/>
    <w:rsid w:val="00313D00"/>
    <w:rsid w:val="003146AA"/>
    <w:rsid w:val="00314D7A"/>
    <w:rsid w:val="00315BB3"/>
    <w:rsid w:val="00315D25"/>
    <w:rsid w:val="00316838"/>
    <w:rsid w:val="003176F0"/>
    <w:rsid w:val="00317A43"/>
    <w:rsid w:val="00317CA3"/>
    <w:rsid w:val="003203FB"/>
    <w:rsid w:val="00320A43"/>
    <w:rsid w:val="00320F55"/>
    <w:rsid w:val="00321DA1"/>
    <w:rsid w:val="003238EE"/>
    <w:rsid w:val="00325989"/>
    <w:rsid w:val="003267CD"/>
    <w:rsid w:val="00326BC1"/>
    <w:rsid w:val="003306B8"/>
    <w:rsid w:val="003306B9"/>
    <w:rsid w:val="003313D8"/>
    <w:rsid w:val="003320F3"/>
    <w:rsid w:val="003323B2"/>
    <w:rsid w:val="00332CEF"/>
    <w:rsid w:val="00332D6E"/>
    <w:rsid w:val="00332E2E"/>
    <w:rsid w:val="003346DE"/>
    <w:rsid w:val="00334AA9"/>
    <w:rsid w:val="00336151"/>
    <w:rsid w:val="0033681E"/>
    <w:rsid w:val="0034142F"/>
    <w:rsid w:val="00341757"/>
    <w:rsid w:val="00341E0E"/>
    <w:rsid w:val="00342DCC"/>
    <w:rsid w:val="00343BB6"/>
    <w:rsid w:val="00344805"/>
    <w:rsid w:val="00344B6D"/>
    <w:rsid w:val="0034542F"/>
    <w:rsid w:val="003458F9"/>
    <w:rsid w:val="0034648C"/>
    <w:rsid w:val="0034699A"/>
    <w:rsid w:val="00346D70"/>
    <w:rsid w:val="00347AB6"/>
    <w:rsid w:val="0035011B"/>
    <w:rsid w:val="00350189"/>
    <w:rsid w:val="003508CE"/>
    <w:rsid w:val="0035183D"/>
    <w:rsid w:val="00351988"/>
    <w:rsid w:val="00351C56"/>
    <w:rsid w:val="00352EFB"/>
    <w:rsid w:val="003543A9"/>
    <w:rsid w:val="003545FF"/>
    <w:rsid w:val="00356239"/>
    <w:rsid w:val="003570D2"/>
    <w:rsid w:val="00357549"/>
    <w:rsid w:val="00357654"/>
    <w:rsid w:val="00357F4D"/>
    <w:rsid w:val="00360FB5"/>
    <w:rsid w:val="00361201"/>
    <w:rsid w:val="00361C5C"/>
    <w:rsid w:val="00362C38"/>
    <w:rsid w:val="00363F37"/>
    <w:rsid w:val="003643E2"/>
    <w:rsid w:val="003646CC"/>
    <w:rsid w:val="00364EDB"/>
    <w:rsid w:val="00366A96"/>
    <w:rsid w:val="003670B2"/>
    <w:rsid w:val="0036776C"/>
    <w:rsid w:val="00367FE7"/>
    <w:rsid w:val="00370A2C"/>
    <w:rsid w:val="003715B6"/>
    <w:rsid w:val="00373601"/>
    <w:rsid w:val="00373708"/>
    <w:rsid w:val="00373911"/>
    <w:rsid w:val="003758D1"/>
    <w:rsid w:val="00375F18"/>
    <w:rsid w:val="0037721C"/>
    <w:rsid w:val="00377CC7"/>
    <w:rsid w:val="00381306"/>
    <w:rsid w:val="00381464"/>
    <w:rsid w:val="003817C2"/>
    <w:rsid w:val="0038282F"/>
    <w:rsid w:val="00382FB7"/>
    <w:rsid w:val="003849D4"/>
    <w:rsid w:val="00385814"/>
    <w:rsid w:val="00385B86"/>
    <w:rsid w:val="0038623D"/>
    <w:rsid w:val="00386ACE"/>
    <w:rsid w:val="003872C9"/>
    <w:rsid w:val="00391270"/>
    <w:rsid w:val="003919D8"/>
    <w:rsid w:val="00391DF3"/>
    <w:rsid w:val="003931D2"/>
    <w:rsid w:val="00393A1F"/>
    <w:rsid w:val="00394D4B"/>
    <w:rsid w:val="003957DF"/>
    <w:rsid w:val="0039611D"/>
    <w:rsid w:val="00396232"/>
    <w:rsid w:val="00396B6D"/>
    <w:rsid w:val="00396C2C"/>
    <w:rsid w:val="0039729F"/>
    <w:rsid w:val="003979B3"/>
    <w:rsid w:val="003A0F75"/>
    <w:rsid w:val="003A1161"/>
    <w:rsid w:val="003A1248"/>
    <w:rsid w:val="003A1B46"/>
    <w:rsid w:val="003A201F"/>
    <w:rsid w:val="003A2A26"/>
    <w:rsid w:val="003A359F"/>
    <w:rsid w:val="003A3E40"/>
    <w:rsid w:val="003A543B"/>
    <w:rsid w:val="003A56A9"/>
    <w:rsid w:val="003A6696"/>
    <w:rsid w:val="003A787B"/>
    <w:rsid w:val="003B0C2E"/>
    <w:rsid w:val="003B1B8D"/>
    <w:rsid w:val="003B2DBA"/>
    <w:rsid w:val="003B3157"/>
    <w:rsid w:val="003B4334"/>
    <w:rsid w:val="003B43AD"/>
    <w:rsid w:val="003B515E"/>
    <w:rsid w:val="003B529D"/>
    <w:rsid w:val="003B5AD2"/>
    <w:rsid w:val="003B5EF0"/>
    <w:rsid w:val="003B7727"/>
    <w:rsid w:val="003C0167"/>
    <w:rsid w:val="003C10FE"/>
    <w:rsid w:val="003C1167"/>
    <w:rsid w:val="003C19FD"/>
    <w:rsid w:val="003C1CD0"/>
    <w:rsid w:val="003C2871"/>
    <w:rsid w:val="003C2A77"/>
    <w:rsid w:val="003C351A"/>
    <w:rsid w:val="003C3568"/>
    <w:rsid w:val="003C3C93"/>
    <w:rsid w:val="003C45FD"/>
    <w:rsid w:val="003C4D5A"/>
    <w:rsid w:val="003C56E8"/>
    <w:rsid w:val="003C5927"/>
    <w:rsid w:val="003C5C27"/>
    <w:rsid w:val="003C70E2"/>
    <w:rsid w:val="003C71C6"/>
    <w:rsid w:val="003D2469"/>
    <w:rsid w:val="003D3332"/>
    <w:rsid w:val="003D3B66"/>
    <w:rsid w:val="003D784D"/>
    <w:rsid w:val="003E1622"/>
    <w:rsid w:val="003E18FC"/>
    <w:rsid w:val="003E1E7B"/>
    <w:rsid w:val="003E2237"/>
    <w:rsid w:val="003E264C"/>
    <w:rsid w:val="003E2E2E"/>
    <w:rsid w:val="003E33E7"/>
    <w:rsid w:val="003E3E53"/>
    <w:rsid w:val="003E4E2B"/>
    <w:rsid w:val="003E7B57"/>
    <w:rsid w:val="003F0211"/>
    <w:rsid w:val="003F121A"/>
    <w:rsid w:val="003F28E4"/>
    <w:rsid w:val="003F373A"/>
    <w:rsid w:val="003F421A"/>
    <w:rsid w:val="003F4303"/>
    <w:rsid w:val="003F4C69"/>
    <w:rsid w:val="003F518D"/>
    <w:rsid w:val="003F564E"/>
    <w:rsid w:val="003F5F28"/>
    <w:rsid w:val="003F5F35"/>
    <w:rsid w:val="00401CB7"/>
    <w:rsid w:val="00401E65"/>
    <w:rsid w:val="00402203"/>
    <w:rsid w:val="0040243C"/>
    <w:rsid w:val="00402F1F"/>
    <w:rsid w:val="0040487A"/>
    <w:rsid w:val="00406032"/>
    <w:rsid w:val="00407C08"/>
    <w:rsid w:val="00411EE8"/>
    <w:rsid w:val="00412DDC"/>
    <w:rsid w:val="004132F7"/>
    <w:rsid w:val="00413748"/>
    <w:rsid w:val="004159DA"/>
    <w:rsid w:val="004177AB"/>
    <w:rsid w:val="00417D89"/>
    <w:rsid w:val="00420F30"/>
    <w:rsid w:val="0042107D"/>
    <w:rsid w:val="004224DE"/>
    <w:rsid w:val="00422896"/>
    <w:rsid w:val="004241F1"/>
    <w:rsid w:val="00424246"/>
    <w:rsid w:val="0042442B"/>
    <w:rsid w:val="00425878"/>
    <w:rsid w:val="00426093"/>
    <w:rsid w:val="004263B3"/>
    <w:rsid w:val="00426987"/>
    <w:rsid w:val="0043085D"/>
    <w:rsid w:val="00430CEA"/>
    <w:rsid w:val="0043137F"/>
    <w:rsid w:val="00432B25"/>
    <w:rsid w:val="00432CC5"/>
    <w:rsid w:val="00433E58"/>
    <w:rsid w:val="004342CE"/>
    <w:rsid w:val="004365F0"/>
    <w:rsid w:val="004372D1"/>
    <w:rsid w:val="00437676"/>
    <w:rsid w:val="00441C99"/>
    <w:rsid w:val="00442013"/>
    <w:rsid w:val="0044504A"/>
    <w:rsid w:val="0044618B"/>
    <w:rsid w:val="004472F6"/>
    <w:rsid w:val="004474F1"/>
    <w:rsid w:val="004508AB"/>
    <w:rsid w:val="00451204"/>
    <w:rsid w:val="00451285"/>
    <w:rsid w:val="004519BB"/>
    <w:rsid w:val="00451C2C"/>
    <w:rsid w:val="004527C9"/>
    <w:rsid w:val="00454102"/>
    <w:rsid w:val="00455551"/>
    <w:rsid w:val="004559D5"/>
    <w:rsid w:val="00457712"/>
    <w:rsid w:val="00460782"/>
    <w:rsid w:val="00461077"/>
    <w:rsid w:val="004613FD"/>
    <w:rsid w:val="0046161D"/>
    <w:rsid w:val="00461967"/>
    <w:rsid w:val="00461A67"/>
    <w:rsid w:val="004629B0"/>
    <w:rsid w:val="004639B1"/>
    <w:rsid w:val="00463AFA"/>
    <w:rsid w:val="00466966"/>
    <w:rsid w:val="004710C4"/>
    <w:rsid w:val="00471489"/>
    <w:rsid w:val="0047189B"/>
    <w:rsid w:val="0047253D"/>
    <w:rsid w:val="00472CBE"/>
    <w:rsid w:val="00473367"/>
    <w:rsid w:val="0047381F"/>
    <w:rsid w:val="00473C95"/>
    <w:rsid w:val="00474D40"/>
    <w:rsid w:val="00476ACD"/>
    <w:rsid w:val="0047734E"/>
    <w:rsid w:val="00477ADD"/>
    <w:rsid w:val="00477F45"/>
    <w:rsid w:val="00480225"/>
    <w:rsid w:val="00480325"/>
    <w:rsid w:val="004803B5"/>
    <w:rsid w:val="00480999"/>
    <w:rsid w:val="00482268"/>
    <w:rsid w:val="00482632"/>
    <w:rsid w:val="00482710"/>
    <w:rsid w:val="00482774"/>
    <w:rsid w:val="004839CA"/>
    <w:rsid w:val="004839E9"/>
    <w:rsid w:val="00484112"/>
    <w:rsid w:val="00484166"/>
    <w:rsid w:val="00484277"/>
    <w:rsid w:val="004852FF"/>
    <w:rsid w:val="0048538E"/>
    <w:rsid w:val="00486582"/>
    <w:rsid w:val="00486E6C"/>
    <w:rsid w:val="00486FDA"/>
    <w:rsid w:val="00487BD0"/>
    <w:rsid w:val="00487C85"/>
    <w:rsid w:val="00490194"/>
    <w:rsid w:val="00491209"/>
    <w:rsid w:val="004917D5"/>
    <w:rsid w:val="00491927"/>
    <w:rsid w:val="0049277B"/>
    <w:rsid w:val="00492C84"/>
    <w:rsid w:val="0049420D"/>
    <w:rsid w:val="00495FD5"/>
    <w:rsid w:val="00496C5F"/>
    <w:rsid w:val="00497BF7"/>
    <w:rsid w:val="004A00A9"/>
    <w:rsid w:val="004A147C"/>
    <w:rsid w:val="004A1507"/>
    <w:rsid w:val="004A16D9"/>
    <w:rsid w:val="004A1865"/>
    <w:rsid w:val="004A21EF"/>
    <w:rsid w:val="004A23FD"/>
    <w:rsid w:val="004A2DA5"/>
    <w:rsid w:val="004A4E03"/>
    <w:rsid w:val="004A5003"/>
    <w:rsid w:val="004A58A4"/>
    <w:rsid w:val="004B246E"/>
    <w:rsid w:val="004B4AF9"/>
    <w:rsid w:val="004B4CC3"/>
    <w:rsid w:val="004B5F0A"/>
    <w:rsid w:val="004B6D38"/>
    <w:rsid w:val="004B6FBF"/>
    <w:rsid w:val="004C0A0F"/>
    <w:rsid w:val="004C0C79"/>
    <w:rsid w:val="004C1EDB"/>
    <w:rsid w:val="004C35DD"/>
    <w:rsid w:val="004C3779"/>
    <w:rsid w:val="004C44BC"/>
    <w:rsid w:val="004C5E96"/>
    <w:rsid w:val="004C64CB"/>
    <w:rsid w:val="004C6752"/>
    <w:rsid w:val="004C6900"/>
    <w:rsid w:val="004C6B7A"/>
    <w:rsid w:val="004C70CE"/>
    <w:rsid w:val="004C71F0"/>
    <w:rsid w:val="004C774A"/>
    <w:rsid w:val="004C7A80"/>
    <w:rsid w:val="004D009E"/>
    <w:rsid w:val="004D10CE"/>
    <w:rsid w:val="004D1DAE"/>
    <w:rsid w:val="004D20D8"/>
    <w:rsid w:val="004D3D3B"/>
    <w:rsid w:val="004D4416"/>
    <w:rsid w:val="004D5A75"/>
    <w:rsid w:val="004D6F55"/>
    <w:rsid w:val="004E03BC"/>
    <w:rsid w:val="004E0759"/>
    <w:rsid w:val="004E1641"/>
    <w:rsid w:val="004E1780"/>
    <w:rsid w:val="004E241E"/>
    <w:rsid w:val="004E2B96"/>
    <w:rsid w:val="004E3C48"/>
    <w:rsid w:val="004E3C8C"/>
    <w:rsid w:val="004E4069"/>
    <w:rsid w:val="004E42B6"/>
    <w:rsid w:val="004E59D5"/>
    <w:rsid w:val="004E7DFC"/>
    <w:rsid w:val="004F05EC"/>
    <w:rsid w:val="004F0B8C"/>
    <w:rsid w:val="004F0FA7"/>
    <w:rsid w:val="004F1130"/>
    <w:rsid w:val="004F28A1"/>
    <w:rsid w:val="004F2D73"/>
    <w:rsid w:val="004F2FEF"/>
    <w:rsid w:val="004F3277"/>
    <w:rsid w:val="004F4320"/>
    <w:rsid w:val="004F4FE8"/>
    <w:rsid w:val="004F543A"/>
    <w:rsid w:val="004F5FE8"/>
    <w:rsid w:val="004F6692"/>
    <w:rsid w:val="004F76A4"/>
    <w:rsid w:val="005000AE"/>
    <w:rsid w:val="00500F24"/>
    <w:rsid w:val="0050144C"/>
    <w:rsid w:val="00502618"/>
    <w:rsid w:val="00503278"/>
    <w:rsid w:val="00503D2C"/>
    <w:rsid w:val="005056C0"/>
    <w:rsid w:val="005069E2"/>
    <w:rsid w:val="00506DCB"/>
    <w:rsid w:val="005116ED"/>
    <w:rsid w:val="00512587"/>
    <w:rsid w:val="005130CC"/>
    <w:rsid w:val="005140BE"/>
    <w:rsid w:val="0051457B"/>
    <w:rsid w:val="0051588C"/>
    <w:rsid w:val="005164B9"/>
    <w:rsid w:val="00516F0A"/>
    <w:rsid w:val="00517791"/>
    <w:rsid w:val="00517F84"/>
    <w:rsid w:val="00520B4F"/>
    <w:rsid w:val="00523526"/>
    <w:rsid w:val="0052372F"/>
    <w:rsid w:val="005241ED"/>
    <w:rsid w:val="00524999"/>
    <w:rsid w:val="00525ABC"/>
    <w:rsid w:val="00525C95"/>
    <w:rsid w:val="005274DB"/>
    <w:rsid w:val="0052786A"/>
    <w:rsid w:val="00530081"/>
    <w:rsid w:val="005303F9"/>
    <w:rsid w:val="00531126"/>
    <w:rsid w:val="00531461"/>
    <w:rsid w:val="00532144"/>
    <w:rsid w:val="00532583"/>
    <w:rsid w:val="00533C4E"/>
    <w:rsid w:val="00534E21"/>
    <w:rsid w:val="0053652A"/>
    <w:rsid w:val="00536C3C"/>
    <w:rsid w:val="005370DA"/>
    <w:rsid w:val="00537C9F"/>
    <w:rsid w:val="00540FEA"/>
    <w:rsid w:val="00541234"/>
    <w:rsid w:val="005413F9"/>
    <w:rsid w:val="00541D72"/>
    <w:rsid w:val="00542948"/>
    <w:rsid w:val="00544C26"/>
    <w:rsid w:val="0054560C"/>
    <w:rsid w:val="0055051E"/>
    <w:rsid w:val="00550E5A"/>
    <w:rsid w:val="00551CC7"/>
    <w:rsid w:val="00551FA0"/>
    <w:rsid w:val="00553521"/>
    <w:rsid w:val="005542B5"/>
    <w:rsid w:val="00555955"/>
    <w:rsid w:val="00557558"/>
    <w:rsid w:val="00560104"/>
    <w:rsid w:val="0056019B"/>
    <w:rsid w:val="00560D0C"/>
    <w:rsid w:val="00560E9F"/>
    <w:rsid w:val="00561076"/>
    <w:rsid w:val="0056140C"/>
    <w:rsid w:val="00562826"/>
    <w:rsid w:val="00562990"/>
    <w:rsid w:val="00562C82"/>
    <w:rsid w:val="00562D2C"/>
    <w:rsid w:val="00563224"/>
    <w:rsid w:val="0056324E"/>
    <w:rsid w:val="005641A4"/>
    <w:rsid w:val="005644FD"/>
    <w:rsid w:val="00564883"/>
    <w:rsid w:val="00564F7B"/>
    <w:rsid w:val="00564F9A"/>
    <w:rsid w:val="00570226"/>
    <w:rsid w:val="00570533"/>
    <w:rsid w:val="00571918"/>
    <w:rsid w:val="0057213D"/>
    <w:rsid w:val="00573D5C"/>
    <w:rsid w:val="00574032"/>
    <w:rsid w:val="0057530D"/>
    <w:rsid w:val="00576232"/>
    <w:rsid w:val="0057660D"/>
    <w:rsid w:val="00577F13"/>
    <w:rsid w:val="00580612"/>
    <w:rsid w:val="00580814"/>
    <w:rsid w:val="00580A8F"/>
    <w:rsid w:val="005814EE"/>
    <w:rsid w:val="00581985"/>
    <w:rsid w:val="00581A36"/>
    <w:rsid w:val="00581CC3"/>
    <w:rsid w:val="00581D84"/>
    <w:rsid w:val="005821DF"/>
    <w:rsid w:val="0058318B"/>
    <w:rsid w:val="00583D3B"/>
    <w:rsid w:val="00584298"/>
    <w:rsid w:val="005862F7"/>
    <w:rsid w:val="00587127"/>
    <w:rsid w:val="005879B9"/>
    <w:rsid w:val="00587EC6"/>
    <w:rsid w:val="00590EE1"/>
    <w:rsid w:val="00594762"/>
    <w:rsid w:val="00594C98"/>
    <w:rsid w:val="005957FD"/>
    <w:rsid w:val="00595D5A"/>
    <w:rsid w:val="00597277"/>
    <w:rsid w:val="00597651"/>
    <w:rsid w:val="00597C31"/>
    <w:rsid w:val="005A1802"/>
    <w:rsid w:val="005A1FD8"/>
    <w:rsid w:val="005A4AC9"/>
    <w:rsid w:val="005A4DAF"/>
    <w:rsid w:val="005B0D40"/>
    <w:rsid w:val="005B0D5A"/>
    <w:rsid w:val="005B1A8B"/>
    <w:rsid w:val="005B20EB"/>
    <w:rsid w:val="005B2186"/>
    <w:rsid w:val="005B2208"/>
    <w:rsid w:val="005B25E7"/>
    <w:rsid w:val="005B284F"/>
    <w:rsid w:val="005B3EE0"/>
    <w:rsid w:val="005B3F4A"/>
    <w:rsid w:val="005B41AD"/>
    <w:rsid w:val="005B520E"/>
    <w:rsid w:val="005B6BCB"/>
    <w:rsid w:val="005C02DA"/>
    <w:rsid w:val="005C19D0"/>
    <w:rsid w:val="005C2806"/>
    <w:rsid w:val="005C2941"/>
    <w:rsid w:val="005C526F"/>
    <w:rsid w:val="005C5B6F"/>
    <w:rsid w:val="005C6801"/>
    <w:rsid w:val="005C7A3E"/>
    <w:rsid w:val="005C7DD2"/>
    <w:rsid w:val="005D197A"/>
    <w:rsid w:val="005D1C6C"/>
    <w:rsid w:val="005D27E4"/>
    <w:rsid w:val="005D2838"/>
    <w:rsid w:val="005D34D5"/>
    <w:rsid w:val="005D452A"/>
    <w:rsid w:val="005D59C2"/>
    <w:rsid w:val="005D6EFD"/>
    <w:rsid w:val="005D7200"/>
    <w:rsid w:val="005D777E"/>
    <w:rsid w:val="005E1A40"/>
    <w:rsid w:val="005E22B7"/>
    <w:rsid w:val="005E232E"/>
    <w:rsid w:val="005E4C13"/>
    <w:rsid w:val="005E6055"/>
    <w:rsid w:val="005E79EF"/>
    <w:rsid w:val="005E7B5E"/>
    <w:rsid w:val="005E7D55"/>
    <w:rsid w:val="005F0CA7"/>
    <w:rsid w:val="005F3081"/>
    <w:rsid w:val="005F3B87"/>
    <w:rsid w:val="005F4701"/>
    <w:rsid w:val="005F4E1F"/>
    <w:rsid w:val="005F50AA"/>
    <w:rsid w:val="005F61E0"/>
    <w:rsid w:val="005F6E74"/>
    <w:rsid w:val="005F7393"/>
    <w:rsid w:val="005F754E"/>
    <w:rsid w:val="00601800"/>
    <w:rsid w:val="006026CF"/>
    <w:rsid w:val="006037E7"/>
    <w:rsid w:val="00604122"/>
    <w:rsid w:val="00604EE1"/>
    <w:rsid w:val="0060514E"/>
    <w:rsid w:val="00605499"/>
    <w:rsid w:val="00606153"/>
    <w:rsid w:val="00606829"/>
    <w:rsid w:val="00607BDE"/>
    <w:rsid w:val="00610478"/>
    <w:rsid w:val="00611B7B"/>
    <w:rsid w:val="006125F6"/>
    <w:rsid w:val="00613EC9"/>
    <w:rsid w:val="00615C60"/>
    <w:rsid w:val="00616B9A"/>
    <w:rsid w:val="006176D8"/>
    <w:rsid w:val="00620646"/>
    <w:rsid w:val="00620798"/>
    <w:rsid w:val="00620A02"/>
    <w:rsid w:val="00620FB8"/>
    <w:rsid w:val="0062161E"/>
    <w:rsid w:val="00622100"/>
    <w:rsid w:val="00622BBE"/>
    <w:rsid w:val="006233F1"/>
    <w:rsid w:val="006235A4"/>
    <w:rsid w:val="006264C0"/>
    <w:rsid w:val="006304F2"/>
    <w:rsid w:val="00630DEF"/>
    <w:rsid w:val="0063168A"/>
    <w:rsid w:val="006334DB"/>
    <w:rsid w:val="0063359A"/>
    <w:rsid w:val="0063389F"/>
    <w:rsid w:val="0063484A"/>
    <w:rsid w:val="00635FBA"/>
    <w:rsid w:val="006366D3"/>
    <w:rsid w:val="00636D68"/>
    <w:rsid w:val="00636F10"/>
    <w:rsid w:val="006375B9"/>
    <w:rsid w:val="0063764D"/>
    <w:rsid w:val="00637F29"/>
    <w:rsid w:val="00640A52"/>
    <w:rsid w:val="006414AE"/>
    <w:rsid w:val="00641D5B"/>
    <w:rsid w:val="00642C5D"/>
    <w:rsid w:val="00643113"/>
    <w:rsid w:val="00643235"/>
    <w:rsid w:val="00644264"/>
    <w:rsid w:val="006444FB"/>
    <w:rsid w:val="00644F9E"/>
    <w:rsid w:val="00646E6B"/>
    <w:rsid w:val="006470D3"/>
    <w:rsid w:val="00647B5F"/>
    <w:rsid w:val="00647DCD"/>
    <w:rsid w:val="00650DAE"/>
    <w:rsid w:val="00652A80"/>
    <w:rsid w:val="00652D1E"/>
    <w:rsid w:val="0065333B"/>
    <w:rsid w:val="00654EC5"/>
    <w:rsid w:val="0065585C"/>
    <w:rsid w:val="0065652B"/>
    <w:rsid w:val="00656E91"/>
    <w:rsid w:val="00657D19"/>
    <w:rsid w:val="006602B2"/>
    <w:rsid w:val="00660571"/>
    <w:rsid w:val="006625D5"/>
    <w:rsid w:val="00662AA0"/>
    <w:rsid w:val="006666E7"/>
    <w:rsid w:val="006669B9"/>
    <w:rsid w:val="00666AA4"/>
    <w:rsid w:val="00666D45"/>
    <w:rsid w:val="00666E2E"/>
    <w:rsid w:val="00667933"/>
    <w:rsid w:val="0067155D"/>
    <w:rsid w:val="00671D55"/>
    <w:rsid w:val="00672174"/>
    <w:rsid w:val="00672511"/>
    <w:rsid w:val="006727DB"/>
    <w:rsid w:val="00672AC0"/>
    <w:rsid w:val="0067457D"/>
    <w:rsid w:val="0067647D"/>
    <w:rsid w:val="00677215"/>
    <w:rsid w:val="00677D3C"/>
    <w:rsid w:val="006806A0"/>
    <w:rsid w:val="00680FBF"/>
    <w:rsid w:val="00680FD5"/>
    <w:rsid w:val="006821F1"/>
    <w:rsid w:val="0068231F"/>
    <w:rsid w:val="00682BB2"/>
    <w:rsid w:val="006835EF"/>
    <w:rsid w:val="00683881"/>
    <w:rsid w:val="006838D3"/>
    <w:rsid w:val="00683D2C"/>
    <w:rsid w:val="00684443"/>
    <w:rsid w:val="00684688"/>
    <w:rsid w:val="006854F3"/>
    <w:rsid w:val="0068608D"/>
    <w:rsid w:val="00691E5A"/>
    <w:rsid w:val="00692790"/>
    <w:rsid w:val="006932A6"/>
    <w:rsid w:val="00693B8D"/>
    <w:rsid w:val="00693E0F"/>
    <w:rsid w:val="006952FE"/>
    <w:rsid w:val="0069530B"/>
    <w:rsid w:val="006965B4"/>
    <w:rsid w:val="0069777E"/>
    <w:rsid w:val="00697F18"/>
    <w:rsid w:val="006A0DFB"/>
    <w:rsid w:val="006A2053"/>
    <w:rsid w:val="006A20A7"/>
    <w:rsid w:val="006A2213"/>
    <w:rsid w:val="006A2E48"/>
    <w:rsid w:val="006A3865"/>
    <w:rsid w:val="006A41F7"/>
    <w:rsid w:val="006A530E"/>
    <w:rsid w:val="006A7659"/>
    <w:rsid w:val="006A77B9"/>
    <w:rsid w:val="006A7E1D"/>
    <w:rsid w:val="006B014A"/>
    <w:rsid w:val="006B2566"/>
    <w:rsid w:val="006B2E16"/>
    <w:rsid w:val="006B39DB"/>
    <w:rsid w:val="006B442F"/>
    <w:rsid w:val="006B57E8"/>
    <w:rsid w:val="006B66B1"/>
    <w:rsid w:val="006B680F"/>
    <w:rsid w:val="006B79C6"/>
    <w:rsid w:val="006C010E"/>
    <w:rsid w:val="006C0263"/>
    <w:rsid w:val="006C1436"/>
    <w:rsid w:val="006C24A6"/>
    <w:rsid w:val="006C29A8"/>
    <w:rsid w:val="006C3527"/>
    <w:rsid w:val="006C3D35"/>
    <w:rsid w:val="006C6406"/>
    <w:rsid w:val="006C7F12"/>
    <w:rsid w:val="006D16AB"/>
    <w:rsid w:val="006D1BFF"/>
    <w:rsid w:val="006D2BBC"/>
    <w:rsid w:val="006D2E1F"/>
    <w:rsid w:val="006D2FBF"/>
    <w:rsid w:val="006D3A19"/>
    <w:rsid w:val="006D577B"/>
    <w:rsid w:val="006D5D29"/>
    <w:rsid w:val="006D5E0C"/>
    <w:rsid w:val="006D6BB0"/>
    <w:rsid w:val="006D6D4D"/>
    <w:rsid w:val="006E1B1C"/>
    <w:rsid w:val="006E1E98"/>
    <w:rsid w:val="006E2AB6"/>
    <w:rsid w:val="006E311E"/>
    <w:rsid w:val="006E48D6"/>
    <w:rsid w:val="006E62B8"/>
    <w:rsid w:val="006E74AB"/>
    <w:rsid w:val="006F0737"/>
    <w:rsid w:val="006F0B53"/>
    <w:rsid w:val="006F0BB9"/>
    <w:rsid w:val="006F109E"/>
    <w:rsid w:val="006F1814"/>
    <w:rsid w:val="006F2BF0"/>
    <w:rsid w:val="006F4417"/>
    <w:rsid w:val="006F4A43"/>
    <w:rsid w:val="006F4C11"/>
    <w:rsid w:val="006F5368"/>
    <w:rsid w:val="006F60F7"/>
    <w:rsid w:val="006F739D"/>
    <w:rsid w:val="006F7BDC"/>
    <w:rsid w:val="007000A4"/>
    <w:rsid w:val="00702618"/>
    <w:rsid w:val="00703E9E"/>
    <w:rsid w:val="00704E67"/>
    <w:rsid w:val="00705115"/>
    <w:rsid w:val="0070651C"/>
    <w:rsid w:val="00707755"/>
    <w:rsid w:val="00711C3B"/>
    <w:rsid w:val="00711E18"/>
    <w:rsid w:val="00713F73"/>
    <w:rsid w:val="00713FFA"/>
    <w:rsid w:val="0071427C"/>
    <w:rsid w:val="007146F7"/>
    <w:rsid w:val="007149B2"/>
    <w:rsid w:val="007158EF"/>
    <w:rsid w:val="0071631E"/>
    <w:rsid w:val="00716632"/>
    <w:rsid w:val="00716702"/>
    <w:rsid w:val="00720115"/>
    <w:rsid w:val="007210EF"/>
    <w:rsid w:val="007227FE"/>
    <w:rsid w:val="00722A7B"/>
    <w:rsid w:val="007250CA"/>
    <w:rsid w:val="00725731"/>
    <w:rsid w:val="0072667B"/>
    <w:rsid w:val="00726C14"/>
    <w:rsid w:val="007277F0"/>
    <w:rsid w:val="00727A7D"/>
    <w:rsid w:val="00727D39"/>
    <w:rsid w:val="00733908"/>
    <w:rsid w:val="00734AA6"/>
    <w:rsid w:val="00735288"/>
    <w:rsid w:val="00737EBA"/>
    <w:rsid w:val="007406DB"/>
    <w:rsid w:val="00740C8C"/>
    <w:rsid w:val="00741C51"/>
    <w:rsid w:val="007439BF"/>
    <w:rsid w:val="0074531B"/>
    <w:rsid w:val="0074572F"/>
    <w:rsid w:val="00745CA2"/>
    <w:rsid w:val="007501AF"/>
    <w:rsid w:val="00751574"/>
    <w:rsid w:val="007515CC"/>
    <w:rsid w:val="00752B83"/>
    <w:rsid w:val="00753568"/>
    <w:rsid w:val="00753D56"/>
    <w:rsid w:val="00755371"/>
    <w:rsid w:val="00761DEC"/>
    <w:rsid w:val="00762CE9"/>
    <w:rsid w:val="007638CF"/>
    <w:rsid w:val="0076480E"/>
    <w:rsid w:val="00766A0D"/>
    <w:rsid w:val="0076701E"/>
    <w:rsid w:val="00767FBB"/>
    <w:rsid w:val="007700D4"/>
    <w:rsid w:val="007703DD"/>
    <w:rsid w:val="007721EB"/>
    <w:rsid w:val="00774164"/>
    <w:rsid w:val="007743C6"/>
    <w:rsid w:val="00775A41"/>
    <w:rsid w:val="00777D52"/>
    <w:rsid w:val="00780CDB"/>
    <w:rsid w:val="00781A33"/>
    <w:rsid w:val="0078474D"/>
    <w:rsid w:val="00784763"/>
    <w:rsid w:val="00785A40"/>
    <w:rsid w:val="00790661"/>
    <w:rsid w:val="00791230"/>
    <w:rsid w:val="00791649"/>
    <w:rsid w:val="00794260"/>
    <w:rsid w:val="00794C51"/>
    <w:rsid w:val="007952DF"/>
    <w:rsid w:val="00795557"/>
    <w:rsid w:val="00795A57"/>
    <w:rsid w:val="007969C1"/>
    <w:rsid w:val="007A08E7"/>
    <w:rsid w:val="007A2791"/>
    <w:rsid w:val="007A383E"/>
    <w:rsid w:val="007A74E5"/>
    <w:rsid w:val="007A7A18"/>
    <w:rsid w:val="007B14B1"/>
    <w:rsid w:val="007B16DD"/>
    <w:rsid w:val="007B20C4"/>
    <w:rsid w:val="007B2ECE"/>
    <w:rsid w:val="007B708C"/>
    <w:rsid w:val="007B7ABF"/>
    <w:rsid w:val="007C1569"/>
    <w:rsid w:val="007C4A2C"/>
    <w:rsid w:val="007D06B7"/>
    <w:rsid w:val="007D1506"/>
    <w:rsid w:val="007D3CE0"/>
    <w:rsid w:val="007D40E2"/>
    <w:rsid w:val="007D490C"/>
    <w:rsid w:val="007D5132"/>
    <w:rsid w:val="007D5221"/>
    <w:rsid w:val="007D6351"/>
    <w:rsid w:val="007D68FB"/>
    <w:rsid w:val="007E142C"/>
    <w:rsid w:val="007E1466"/>
    <w:rsid w:val="007E2571"/>
    <w:rsid w:val="007E302C"/>
    <w:rsid w:val="007E325F"/>
    <w:rsid w:val="007E4185"/>
    <w:rsid w:val="007E4A08"/>
    <w:rsid w:val="007E4FAB"/>
    <w:rsid w:val="007E5799"/>
    <w:rsid w:val="007E5A1C"/>
    <w:rsid w:val="007E5CFD"/>
    <w:rsid w:val="007E5DE0"/>
    <w:rsid w:val="007E7CC0"/>
    <w:rsid w:val="007E7E9F"/>
    <w:rsid w:val="007F2020"/>
    <w:rsid w:val="007F2FB0"/>
    <w:rsid w:val="007F3E34"/>
    <w:rsid w:val="007F4C3B"/>
    <w:rsid w:val="007F53E2"/>
    <w:rsid w:val="007F561B"/>
    <w:rsid w:val="007F5749"/>
    <w:rsid w:val="007F6AC8"/>
    <w:rsid w:val="007F6F33"/>
    <w:rsid w:val="00800BAC"/>
    <w:rsid w:val="00801272"/>
    <w:rsid w:val="0080467D"/>
    <w:rsid w:val="00805C95"/>
    <w:rsid w:val="00806153"/>
    <w:rsid w:val="008063C6"/>
    <w:rsid w:val="008063CB"/>
    <w:rsid w:val="00810100"/>
    <w:rsid w:val="008109B0"/>
    <w:rsid w:val="00810C91"/>
    <w:rsid w:val="00815852"/>
    <w:rsid w:val="008158EF"/>
    <w:rsid w:val="00816EE6"/>
    <w:rsid w:val="0081732B"/>
    <w:rsid w:val="00820D79"/>
    <w:rsid w:val="008210D4"/>
    <w:rsid w:val="00821AEF"/>
    <w:rsid w:val="00821FA6"/>
    <w:rsid w:val="00822573"/>
    <w:rsid w:val="008227E2"/>
    <w:rsid w:val="00822AC8"/>
    <w:rsid w:val="00822B35"/>
    <w:rsid w:val="00823272"/>
    <w:rsid w:val="008232BD"/>
    <w:rsid w:val="00823D0E"/>
    <w:rsid w:val="00826134"/>
    <w:rsid w:val="008263E2"/>
    <w:rsid w:val="00830585"/>
    <w:rsid w:val="00831B06"/>
    <w:rsid w:val="00832016"/>
    <w:rsid w:val="00832B8C"/>
    <w:rsid w:val="00832E5D"/>
    <w:rsid w:val="0083356B"/>
    <w:rsid w:val="008338D8"/>
    <w:rsid w:val="00834BB0"/>
    <w:rsid w:val="008355D4"/>
    <w:rsid w:val="008370C1"/>
    <w:rsid w:val="00842EAC"/>
    <w:rsid w:val="00843EED"/>
    <w:rsid w:val="0084407C"/>
    <w:rsid w:val="0084414A"/>
    <w:rsid w:val="00844875"/>
    <w:rsid w:val="00845A4C"/>
    <w:rsid w:val="00846062"/>
    <w:rsid w:val="0084647B"/>
    <w:rsid w:val="0084796E"/>
    <w:rsid w:val="00850B80"/>
    <w:rsid w:val="008514EC"/>
    <w:rsid w:val="00851E51"/>
    <w:rsid w:val="008520C9"/>
    <w:rsid w:val="008539C7"/>
    <w:rsid w:val="008547DC"/>
    <w:rsid w:val="00854A2D"/>
    <w:rsid w:val="00854A8D"/>
    <w:rsid w:val="008551BA"/>
    <w:rsid w:val="008568AC"/>
    <w:rsid w:val="00857277"/>
    <w:rsid w:val="008576EF"/>
    <w:rsid w:val="00860E5C"/>
    <w:rsid w:val="00861F00"/>
    <w:rsid w:val="0086232B"/>
    <w:rsid w:val="00863D85"/>
    <w:rsid w:val="00864C9C"/>
    <w:rsid w:val="008659D6"/>
    <w:rsid w:val="00866672"/>
    <w:rsid w:val="0086712E"/>
    <w:rsid w:val="00870AAD"/>
    <w:rsid w:val="008715E0"/>
    <w:rsid w:val="0087261D"/>
    <w:rsid w:val="00874BAB"/>
    <w:rsid w:val="00875931"/>
    <w:rsid w:val="00876248"/>
    <w:rsid w:val="0087713C"/>
    <w:rsid w:val="0087740E"/>
    <w:rsid w:val="00880159"/>
    <w:rsid w:val="0088393E"/>
    <w:rsid w:val="00885FC4"/>
    <w:rsid w:val="00886D12"/>
    <w:rsid w:val="00886F84"/>
    <w:rsid w:val="00887E94"/>
    <w:rsid w:val="008928E6"/>
    <w:rsid w:val="00892DC1"/>
    <w:rsid w:val="0089354A"/>
    <w:rsid w:val="00894558"/>
    <w:rsid w:val="0089738C"/>
    <w:rsid w:val="00897C55"/>
    <w:rsid w:val="008A004C"/>
    <w:rsid w:val="008A067E"/>
    <w:rsid w:val="008A0C4A"/>
    <w:rsid w:val="008A1810"/>
    <w:rsid w:val="008A212F"/>
    <w:rsid w:val="008A21EC"/>
    <w:rsid w:val="008A291B"/>
    <w:rsid w:val="008A318E"/>
    <w:rsid w:val="008A70C8"/>
    <w:rsid w:val="008A793D"/>
    <w:rsid w:val="008A7B56"/>
    <w:rsid w:val="008B0885"/>
    <w:rsid w:val="008B3B09"/>
    <w:rsid w:val="008B4097"/>
    <w:rsid w:val="008B45DD"/>
    <w:rsid w:val="008B48DE"/>
    <w:rsid w:val="008B6DB5"/>
    <w:rsid w:val="008C0EFC"/>
    <w:rsid w:val="008C1620"/>
    <w:rsid w:val="008C294F"/>
    <w:rsid w:val="008C2A57"/>
    <w:rsid w:val="008C399B"/>
    <w:rsid w:val="008C4171"/>
    <w:rsid w:val="008C429A"/>
    <w:rsid w:val="008C6053"/>
    <w:rsid w:val="008C675A"/>
    <w:rsid w:val="008C70A7"/>
    <w:rsid w:val="008C7BF9"/>
    <w:rsid w:val="008D055B"/>
    <w:rsid w:val="008D199A"/>
    <w:rsid w:val="008D29E2"/>
    <w:rsid w:val="008D2D5F"/>
    <w:rsid w:val="008D4366"/>
    <w:rsid w:val="008D46B1"/>
    <w:rsid w:val="008D7C24"/>
    <w:rsid w:val="008E206E"/>
    <w:rsid w:val="008E211B"/>
    <w:rsid w:val="008E22E9"/>
    <w:rsid w:val="008E2666"/>
    <w:rsid w:val="008E296A"/>
    <w:rsid w:val="008E35A7"/>
    <w:rsid w:val="008E3E12"/>
    <w:rsid w:val="008E4BC0"/>
    <w:rsid w:val="008E538F"/>
    <w:rsid w:val="008E5B0E"/>
    <w:rsid w:val="008E5B74"/>
    <w:rsid w:val="008E5E3A"/>
    <w:rsid w:val="008E72FC"/>
    <w:rsid w:val="008F00AF"/>
    <w:rsid w:val="008F01A8"/>
    <w:rsid w:val="008F1CB9"/>
    <w:rsid w:val="008F2197"/>
    <w:rsid w:val="008F3B99"/>
    <w:rsid w:val="008F445F"/>
    <w:rsid w:val="008F5128"/>
    <w:rsid w:val="008F5184"/>
    <w:rsid w:val="008F5D65"/>
    <w:rsid w:val="008F628A"/>
    <w:rsid w:val="008F67D0"/>
    <w:rsid w:val="008F6BC2"/>
    <w:rsid w:val="008F6F05"/>
    <w:rsid w:val="00901147"/>
    <w:rsid w:val="00901675"/>
    <w:rsid w:val="00902139"/>
    <w:rsid w:val="00902860"/>
    <w:rsid w:val="00902884"/>
    <w:rsid w:val="00902D61"/>
    <w:rsid w:val="00907908"/>
    <w:rsid w:val="00910D58"/>
    <w:rsid w:val="009124E3"/>
    <w:rsid w:val="009125AE"/>
    <w:rsid w:val="00912C3E"/>
    <w:rsid w:val="0091343D"/>
    <w:rsid w:val="00915D17"/>
    <w:rsid w:val="00917031"/>
    <w:rsid w:val="009171C9"/>
    <w:rsid w:val="00917A79"/>
    <w:rsid w:val="0092024E"/>
    <w:rsid w:val="00920842"/>
    <w:rsid w:val="00920FE4"/>
    <w:rsid w:val="00921D77"/>
    <w:rsid w:val="009222B0"/>
    <w:rsid w:val="00923406"/>
    <w:rsid w:val="0092428A"/>
    <w:rsid w:val="0092484B"/>
    <w:rsid w:val="009249B4"/>
    <w:rsid w:val="00927DDF"/>
    <w:rsid w:val="00927FE6"/>
    <w:rsid w:val="009310E4"/>
    <w:rsid w:val="009316D2"/>
    <w:rsid w:val="00931CE7"/>
    <w:rsid w:val="009334EE"/>
    <w:rsid w:val="00935971"/>
    <w:rsid w:val="009361E8"/>
    <w:rsid w:val="009364DE"/>
    <w:rsid w:val="00936B2E"/>
    <w:rsid w:val="00937108"/>
    <w:rsid w:val="00937B24"/>
    <w:rsid w:val="00941790"/>
    <w:rsid w:val="009438EB"/>
    <w:rsid w:val="00943A59"/>
    <w:rsid w:val="00943F44"/>
    <w:rsid w:val="009446B1"/>
    <w:rsid w:val="009447DC"/>
    <w:rsid w:val="009448EB"/>
    <w:rsid w:val="00945114"/>
    <w:rsid w:val="00945370"/>
    <w:rsid w:val="00946ABA"/>
    <w:rsid w:val="00946C15"/>
    <w:rsid w:val="00947663"/>
    <w:rsid w:val="00947E99"/>
    <w:rsid w:val="009525C3"/>
    <w:rsid w:val="0095341B"/>
    <w:rsid w:val="00953BBB"/>
    <w:rsid w:val="00954BFE"/>
    <w:rsid w:val="00954E69"/>
    <w:rsid w:val="009554AC"/>
    <w:rsid w:val="00956694"/>
    <w:rsid w:val="0095690A"/>
    <w:rsid w:val="00961EC8"/>
    <w:rsid w:val="009625D4"/>
    <w:rsid w:val="009631FA"/>
    <w:rsid w:val="0096362C"/>
    <w:rsid w:val="00965AEC"/>
    <w:rsid w:val="00965F38"/>
    <w:rsid w:val="009668C2"/>
    <w:rsid w:val="00967B62"/>
    <w:rsid w:val="0097077D"/>
    <w:rsid w:val="00971E52"/>
    <w:rsid w:val="00971FF7"/>
    <w:rsid w:val="00972AF9"/>
    <w:rsid w:val="00974F8C"/>
    <w:rsid w:val="00975A18"/>
    <w:rsid w:val="00976082"/>
    <w:rsid w:val="00976359"/>
    <w:rsid w:val="009770AB"/>
    <w:rsid w:val="00977355"/>
    <w:rsid w:val="009803F5"/>
    <w:rsid w:val="009810FC"/>
    <w:rsid w:val="00981AED"/>
    <w:rsid w:val="0098223A"/>
    <w:rsid w:val="00982397"/>
    <w:rsid w:val="009828F8"/>
    <w:rsid w:val="00982C4F"/>
    <w:rsid w:val="009835BB"/>
    <w:rsid w:val="00983790"/>
    <w:rsid w:val="00983904"/>
    <w:rsid w:val="0098642B"/>
    <w:rsid w:val="009868D3"/>
    <w:rsid w:val="00987188"/>
    <w:rsid w:val="00987369"/>
    <w:rsid w:val="00987EEB"/>
    <w:rsid w:val="00990589"/>
    <w:rsid w:val="00990672"/>
    <w:rsid w:val="00990CF7"/>
    <w:rsid w:val="00992D59"/>
    <w:rsid w:val="00994812"/>
    <w:rsid w:val="009948ED"/>
    <w:rsid w:val="00995AF3"/>
    <w:rsid w:val="00995B1C"/>
    <w:rsid w:val="0099603D"/>
    <w:rsid w:val="009A04DB"/>
    <w:rsid w:val="009A0FE1"/>
    <w:rsid w:val="009A1207"/>
    <w:rsid w:val="009A12CC"/>
    <w:rsid w:val="009A1E6A"/>
    <w:rsid w:val="009A322D"/>
    <w:rsid w:val="009A4021"/>
    <w:rsid w:val="009A5A12"/>
    <w:rsid w:val="009A5E63"/>
    <w:rsid w:val="009A6055"/>
    <w:rsid w:val="009A6718"/>
    <w:rsid w:val="009A6AA0"/>
    <w:rsid w:val="009B00F8"/>
    <w:rsid w:val="009B0EBA"/>
    <w:rsid w:val="009B2512"/>
    <w:rsid w:val="009B4072"/>
    <w:rsid w:val="009B4657"/>
    <w:rsid w:val="009B5096"/>
    <w:rsid w:val="009B79E5"/>
    <w:rsid w:val="009B7E34"/>
    <w:rsid w:val="009B7FEF"/>
    <w:rsid w:val="009C2B21"/>
    <w:rsid w:val="009C2BC4"/>
    <w:rsid w:val="009C3CC4"/>
    <w:rsid w:val="009C4D7A"/>
    <w:rsid w:val="009C57D2"/>
    <w:rsid w:val="009C6D07"/>
    <w:rsid w:val="009C7CC2"/>
    <w:rsid w:val="009D18C4"/>
    <w:rsid w:val="009D4829"/>
    <w:rsid w:val="009D4EA6"/>
    <w:rsid w:val="009D4EB3"/>
    <w:rsid w:val="009D4F38"/>
    <w:rsid w:val="009D6298"/>
    <w:rsid w:val="009D6481"/>
    <w:rsid w:val="009D6C9B"/>
    <w:rsid w:val="009D7D5C"/>
    <w:rsid w:val="009D7F85"/>
    <w:rsid w:val="009E50F7"/>
    <w:rsid w:val="009E5A5A"/>
    <w:rsid w:val="009E7800"/>
    <w:rsid w:val="009F3B3B"/>
    <w:rsid w:val="009F512E"/>
    <w:rsid w:val="009F7CB7"/>
    <w:rsid w:val="00A00F8D"/>
    <w:rsid w:val="00A019F4"/>
    <w:rsid w:val="00A01BA0"/>
    <w:rsid w:val="00A02040"/>
    <w:rsid w:val="00A02294"/>
    <w:rsid w:val="00A02D65"/>
    <w:rsid w:val="00A0357B"/>
    <w:rsid w:val="00A037B8"/>
    <w:rsid w:val="00A03C0A"/>
    <w:rsid w:val="00A03DE2"/>
    <w:rsid w:val="00A059FE"/>
    <w:rsid w:val="00A05F20"/>
    <w:rsid w:val="00A06AAA"/>
    <w:rsid w:val="00A11095"/>
    <w:rsid w:val="00A11229"/>
    <w:rsid w:val="00A122DF"/>
    <w:rsid w:val="00A12567"/>
    <w:rsid w:val="00A13BEA"/>
    <w:rsid w:val="00A13C51"/>
    <w:rsid w:val="00A14171"/>
    <w:rsid w:val="00A14A4F"/>
    <w:rsid w:val="00A15232"/>
    <w:rsid w:val="00A15EDE"/>
    <w:rsid w:val="00A16B79"/>
    <w:rsid w:val="00A16E24"/>
    <w:rsid w:val="00A20C90"/>
    <w:rsid w:val="00A20F13"/>
    <w:rsid w:val="00A22C11"/>
    <w:rsid w:val="00A237AF"/>
    <w:rsid w:val="00A24A78"/>
    <w:rsid w:val="00A25378"/>
    <w:rsid w:val="00A25803"/>
    <w:rsid w:val="00A269BE"/>
    <w:rsid w:val="00A26F02"/>
    <w:rsid w:val="00A27013"/>
    <w:rsid w:val="00A2716D"/>
    <w:rsid w:val="00A273E5"/>
    <w:rsid w:val="00A27EDD"/>
    <w:rsid w:val="00A315F2"/>
    <w:rsid w:val="00A31FDD"/>
    <w:rsid w:val="00A33A76"/>
    <w:rsid w:val="00A33BAB"/>
    <w:rsid w:val="00A34A44"/>
    <w:rsid w:val="00A35926"/>
    <w:rsid w:val="00A35BA2"/>
    <w:rsid w:val="00A35C68"/>
    <w:rsid w:val="00A37278"/>
    <w:rsid w:val="00A37D8B"/>
    <w:rsid w:val="00A40BCD"/>
    <w:rsid w:val="00A411A3"/>
    <w:rsid w:val="00A42755"/>
    <w:rsid w:val="00A438A7"/>
    <w:rsid w:val="00A43E05"/>
    <w:rsid w:val="00A44A1A"/>
    <w:rsid w:val="00A467C8"/>
    <w:rsid w:val="00A46DBC"/>
    <w:rsid w:val="00A478B1"/>
    <w:rsid w:val="00A51444"/>
    <w:rsid w:val="00A516A8"/>
    <w:rsid w:val="00A51E42"/>
    <w:rsid w:val="00A52F13"/>
    <w:rsid w:val="00A5322E"/>
    <w:rsid w:val="00A53677"/>
    <w:rsid w:val="00A548B5"/>
    <w:rsid w:val="00A5594C"/>
    <w:rsid w:val="00A55B0B"/>
    <w:rsid w:val="00A56003"/>
    <w:rsid w:val="00A56D55"/>
    <w:rsid w:val="00A60265"/>
    <w:rsid w:val="00A6109B"/>
    <w:rsid w:val="00A63833"/>
    <w:rsid w:val="00A63987"/>
    <w:rsid w:val="00A63D7C"/>
    <w:rsid w:val="00A6507F"/>
    <w:rsid w:val="00A66FF6"/>
    <w:rsid w:val="00A70CA8"/>
    <w:rsid w:val="00A7113D"/>
    <w:rsid w:val="00A71E75"/>
    <w:rsid w:val="00A72566"/>
    <w:rsid w:val="00A72E9B"/>
    <w:rsid w:val="00A747FA"/>
    <w:rsid w:val="00A74DBB"/>
    <w:rsid w:val="00A765DF"/>
    <w:rsid w:val="00A808DD"/>
    <w:rsid w:val="00A820A8"/>
    <w:rsid w:val="00A821B5"/>
    <w:rsid w:val="00A869AC"/>
    <w:rsid w:val="00A86C3B"/>
    <w:rsid w:val="00A87912"/>
    <w:rsid w:val="00A90070"/>
    <w:rsid w:val="00A90235"/>
    <w:rsid w:val="00A902F6"/>
    <w:rsid w:val="00A90BE2"/>
    <w:rsid w:val="00A90CBF"/>
    <w:rsid w:val="00A90E4D"/>
    <w:rsid w:val="00A93324"/>
    <w:rsid w:val="00A94729"/>
    <w:rsid w:val="00A970B8"/>
    <w:rsid w:val="00A97174"/>
    <w:rsid w:val="00AA0091"/>
    <w:rsid w:val="00AA00AD"/>
    <w:rsid w:val="00AA0803"/>
    <w:rsid w:val="00AA0888"/>
    <w:rsid w:val="00AA12D7"/>
    <w:rsid w:val="00AA3408"/>
    <w:rsid w:val="00AA45A7"/>
    <w:rsid w:val="00AA46B9"/>
    <w:rsid w:val="00AA4F80"/>
    <w:rsid w:val="00AA575E"/>
    <w:rsid w:val="00AA5ADD"/>
    <w:rsid w:val="00AA5D39"/>
    <w:rsid w:val="00AA650F"/>
    <w:rsid w:val="00AB01B2"/>
    <w:rsid w:val="00AB0247"/>
    <w:rsid w:val="00AB0265"/>
    <w:rsid w:val="00AB03C2"/>
    <w:rsid w:val="00AB1105"/>
    <w:rsid w:val="00AB2564"/>
    <w:rsid w:val="00AB3BA3"/>
    <w:rsid w:val="00AB490F"/>
    <w:rsid w:val="00AB547D"/>
    <w:rsid w:val="00AC01B5"/>
    <w:rsid w:val="00AC0CA1"/>
    <w:rsid w:val="00AC13F4"/>
    <w:rsid w:val="00AC25D1"/>
    <w:rsid w:val="00AC3044"/>
    <w:rsid w:val="00AC3EAF"/>
    <w:rsid w:val="00AC5641"/>
    <w:rsid w:val="00AC6560"/>
    <w:rsid w:val="00AC70DD"/>
    <w:rsid w:val="00AC795C"/>
    <w:rsid w:val="00AC7BDE"/>
    <w:rsid w:val="00AD107E"/>
    <w:rsid w:val="00AD1611"/>
    <w:rsid w:val="00AD2B10"/>
    <w:rsid w:val="00AD3297"/>
    <w:rsid w:val="00AD3405"/>
    <w:rsid w:val="00AD394E"/>
    <w:rsid w:val="00AD4493"/>
    <w:rsid w:val="00AD5653"/>
    <w:rsid w:val="00AD7D87"/>
    <w:rsid w:val="00AE2384"/>
    <w:rsid w:val="00AE24D0"/>
    <w:rsid w:val="00AE666E"/>
    <w:rsid w:val="00AE6D69"/>
    <w:rsid w:val="00AF2825"/>
    <w:rsid w:val="00AF2E9A"/>
    <w:rsid w:val="00AF3FA1"/>
    <w:rsid w:val="00AF3FB7"/>
    <w:rsid w:val="00AF4183"/>
    <w:rsid w:val="00AF4DC6"/>
    <w:rsid w:val="00AF4DEC"/>
    <w:rsid w:val="00AF4FF8"/>
    <w:rsid w:val="00AF50B7"/>
    <w:rsid w:val="00AF5117"/>
    <w:rsid w:val="00AF609E"/>
    <w:rsid w:val="00AF6367"/>
    <w:rsid w:val="00B00498"/>
    <w:rsid w:val="00B00823"/>
    <w:rsid w:val="00B0089D"/>
    <w:rsid w:val="00B01606"/>
    <w:rsid w:val="00B02505"/>
    <w:rsid w:val="00B042EE"/>
    <w:rsid w:val="00B0452E"/>
    <w:rsid w:val="00B05012"/>
    <w:rsid w:val="00B05BB3"/>
    <w:rsid w:val="00B060E2"/>
    <w:rsid w:val="00B10DDB"/>
    <w:rsid w:val="00B10F04"/>
    <w:rsid w:val="00B1130A"/>
    <w:rsid w:val="00B11DC0"/>
    <w:rsid w:val="00B12AF7"/>
    <w:rsid w:val="00B12BDA"/>
    <w:rsid w:val="00B13827"/>
    <w:rsid w:val="00B150F7"/>
    <w:rsid w:val="00B15380"/>
    <w:rsid w:val="00B175A0"/>
    <w:rsid w:val="00B20552"/>
    <w:rsid w:val="00B2069B"/>
    <w:rsid w:val="00B214D3"/>
    <w:rsid w:val="00B2406E"/>
    <w:rsid w:val="00B24A27"/>
    <w:rsid w:val="00B25B24"/>
    <w:rsid w:val="00B27108"/>
    <w:rsid w:val="00B3037F"/>
    <w:rsid w:val="00B30769"/>
    <w:rsid w:val="00B319DD"/>
    <w:rsid w:val="00B31D2C"/>
    <w:rsid w:val="00B329B6"/>
    <w:rsid w:val="00B3349F"/>
    <w:rsid w:val="00B33DCE"/>
    <w:rsid w:val="00B34013"/>
    <w:rsid w:val="00B34F8F"/>
    <w:rsid w:val="00B353E9"/>
    <w:rsid w:val="00B36CB6"/>
    <w:rsid w:val="00B3738F"/>
    <w:rsid w:val="00B37C39"/>
    <w:rsid w:val="00B40534"/>
    <w:rsid w:val="00B4071D"/>
    <w:rsid w:val="00B41D59"/>
    <w:rsid w:val="00B42AC5"/>
    <w:rsid w:val="00B42ED3"/>
    <w:rsid w:val="00B43774"/>
    <w:rsid w:val="00B43C1B"/>
    <w:rsid w:val="00B444B6"/>
    <w:rsid w:val="00B44752"/>
    <w:rsid w:val="00B447B4"/>
    <w:rsid w:val="00B45AEE"/>
    <w:rsid w:val="00B465BD"/>
    <w:rsid w:val="00B469E5"/>
    <w:rsid w:val="00B46A45"/>
    <w:rsid w:val="00B471A4"/>
    <w:rsid w:val="00B47BD3"/>
    <w:rsid w:val="00B500DB"/>
    <w:rsid w:val="00B5089C"/>
    <w:rsid w:val="00B51AA4"/>
    <w:rsid w:val="00B52721"/>
    <w:rsid w:val="00B54757"/>
    <w:rsid w:val="00B54EFD"/>
    <w:rsid w:val="00B555CE"/>
    <w:rsid w:val="00B55870"/>
    <w:rsid w:val="00B56214"/>
    <w:rsid w:val="00B5651F"/>
    <w:rsid w:val="00B56C7F"/>
    <w:rsid w:val="00B579E5"/>
    <w:rsid w:val="00B60093"/>
    <w:rsid w:val="00B60ECC"/>
    <w:rsid w:val="00B612CF"/>
    <w:rsid w:val="00B614F3"/>
    <w:rsid w:val="00B62EA8"/>
    <w:rsid w:val="00B63002"/>
    <w:rsid w:val="00B633C0"/>
    <w:rsid w:val="00B63FB6"/>
    <w:rsid w:val="00B64F87"/>
    <w:rsid w:val="00B64FE3"/>
    <w:rsid w:val="00B6618F"/>
    <w:rsid w:val="00B66533"/>
    <w:rsid w:val="00B66B50"/>
    <w:rsid w:val="00B6704D"/>
    <w:rsid w:val="00B67F4F"/>
    <w:rsid w:val="00B71427"/>
    <w:rsid w:val="00B71AD4"/>
    <w:rsid w:val="00B72829"/>
    <w:rsid w:val="00B72948"/>
    <w:rsid w:val="00B72DA5"/>
    <w:rsid w:val="00B73520"/>
    <w:rsid w:val="00B7368F"/>
    <w:rsid w:val="00B745FB"/>
    <w:rsid w:val="00B74AD0"/>
    <w:rsid w:val="00B76488"/>
    <w:rsid w:val="00B764B0"/>
    <w:rsid w:val="00B77D12"/>
    <w:rsid w:val="00B8043E"/>
    <w:rsid w:val="00B80864"/>
    <w:rsid w:val="00B817CF"/>
    <w:rsid w:val="00B8269F"/>
    <w:rsid w:val="00B82EDC"/>
    <w:rsid w:val="00B830EF"/>
    <w:rsid w:val="00B83201"/>
    <w:rsid w:val="00B8338B"/>
    <w:rsid w:val="00B83C43"/>
    <w:rsid w:val="00B83E72"/>
    <w:rsid w:val="00B851FB"/>
    <w:rsid w:val="00B873C2"/>
    <w:rsid w:val="00B908E7"/>
    <w:rsid w:val="00B93186"/>
    <w:rsid w:val="00B9472A"/>
    <w:rsid w:val="00B94780"/>
    <w:rsid w:val="00B974E5"/>
    <w:rsid w:val="00B9757E"/>
    <w:rsid w:val="00BA0A43"/>
    <w:rsid w:val="00BA2102"/>
    <w:rsid w:val="00BA4D63"/>
    <w:rsid w:val="00BA5C53"/>
    <w:rsid w:val="00BA6021"/>
    <w:rsid w:val="00BA6BC8"/>
    <w:rsid w:val="00BB0257"/>
    <w:rsid w:val="00BB0292"/>
    <w:rsid w:val="00BB02DB"/>
    <w:rsid w:val="00BB19B7"/>
    <w:rsid w:val="00BB32B8"/>
    <w:rsid w:val="00BB4322"/>
    <w:rsid w:val="00BB5B80"/>
    <w:rsid w:val="00BB60B8"/>
    <w:rsid w:val="00BC085E"/>
    <w:rsid w:val="00BC5FDF"/>
    <w:rsid w:val="00BC634D"/>
    <w:rsid w:val="00BC6E2A"/>
    <w:rsid w:val="00BC6E3B"/>
    <w:rsid w:val="00BC7FE9"/>
    <w:rsid w:val="00BD3E0D"/>
    <w:rsid w:val="00BD4529"/>
    <w:rsid w:val="00BD4CA2"/>
    <w:rsid w:val="00BD4E96"/>
    <w:rsid w:val="00BD589C"/>
    <w:rsid w:val="00BD60AF"/>
    <w:rsid w:val="00BE095B"/>
    <w:rsid w:val="00BE0A0A"/>
    <w:rsid w:val="00BE1DC6"/>
    <w:rsid w:val="00BE22B6"/>
    <w:rsid w:val="00BE2857"/>
    <w:rsid w:val="00BE4C09"/>
    <w:rsid w:val="00BE4D08"/>
    <w:rsid w:val="00BE4FC8"/>
    <w:rsid w:val="00BE5551"/>
    <w:rsid w:val="00BE58B4"/>
    <w:rsid w:val="00BE5DB0"/>
    <w:rsid w:val="00BE766E"/>
    <w:rsid w:val="00BE7F6A"/>
    <w:rsid w:val="00BF0209"/>
    <w:rsid w:val="00BF063B"/>
    <w:rsid w:val="00BF06A4"/>
    <w:rsid w:val="00BF08F0"/>
    <w:rsid w:val="00BF0A60"/>
    <w:rsid w:val="00BF195B"/>
    <w:rsid w:val="00BF289F"/>
    <w:rsid w:val="00BF2B03"/>
    <w:rsid w:val="00BF2B1B"/>
    <w:rsid w:val="00BF2D29"/>
    <w:rsid w:val="00BF2F55"/>
    <w:rsid w:val="00BF32B7"/>
    <w:rsid w:val="00BF3DA2"/>
    <w:rsid w:val="00BF4F27"/>
    <w:rsid w:val="00BF6D0B"/>
    <w:rsid w:val="00BF7E18"/>
    <w:rsid w:val="00BF7F82"/>
    <w:rsid w:val="00C00C3B"/>
    <w:rsid w:val="00C01F08"/>
    <w:rsid w:val="00C0268E"/>
    <w:rsid w:val="00C0358B"/>
    <w:rsid w:val="00C043E2"/>
    <w:rsid w:val="00C0449D"/>
    <w:rsid w:val="00C06083"/>
    <w:rsid w:val="00C064A7"/>
    <w:rsid w:val="00C102D6"/>
    <w:rsid w:val="00C103E2"/>
    <w:rsid w:val="00C110AA"/>
    <w:rsid w:val="00C11385"/>
    <w:rsid w:val="00C11454"/>
    <w:rsid w:val="00C11843"/>
    <w:rsid w:val="00C11AF0"/>
    <w:rsid w:val="00C12152"/>
    <w:rsid w:val="00C1217A"/>
    <w:rsid w:val="00C12ED0"/>
    <w:rsid w:val="00C13613"/>
    <w:rsid w:val="00C14128"/>
    <w:rsid w:val="00C141CF"/>
    <w:rsid w:val="00C1468B"/>
    <w:rsid w:val="00C149A5"/>
    <w:rsid w:val="00C16CA0"/>
    <w:rsid w:val="00C2149B"/>
    <w:rsid w:val="00C22419"/>
    <w:rsid w:val="00C245D1"/>
    <w:rsid w:val="00C262BA"/>
    <w:rsid w:val="00C27D64"/>
    <w:rsid w:val="00C304E4"/>
    <w:rsid w:val="00C30E16"/>
    <w:rsid w:val="00C34B28"/>
    <w:rsid w:val="00C35E83"/>
    <w:rsid w:val="00C3779A"/>
    <w:rsid w:val="00C37D5E"/>
    <w:rsid w:val="00C410A8"/>
    <w:rsid w:val="00C41C1F"/>
    <w:rsid w:val="00C4245A"/>
    <w:rsid w:val="00C44C80"/>
    <w:rsid w:val="00C45335"/>
    <w:rsid w:val="00C509EA"/>
    <w:rsid w:val="00C51F9F"/>
    <w:rsid w:val="00C52130"/>
    <w:rsid w:val="00C52361"/>
    <w:rsid w:val="00C524ED"/>
    <w:rsid w:val="00C52A0B"/>
    <w:rsid w:val="00C57489"/>
    <w:rsid w:val="00C604BD"/>
    <w:rsid w:val="00C61872"/>
    <w:rsid w:val="00C61A15"/>
    <w:rsid w:val="00C631D2"/>
    <w:rsid w:val="00C63E2A"/>
    <w:rsid w:val="00C6424B"/>
    <w:rsid w:val="00C6614D"/>
    <w:rsid w:val="00C671D3"/>
    <w:rsid w:val="00C67D52"/>
    <w:rsid w:val="00C67F47"/>
    <w:rsid w:val="00C707AA"/>
    <w:rsid w:val="00C70DEB"/>
    <w:rsid w:val="00C71983"/>
    <w:rsid w:val="00C7234D"/>
    <w:rsid w:val="00C72DEB"/>
    <w:rsid w:val="00C74171"/>
    <w:rsid w:val="00C74338"/>
    <w:rsid w:val="00C74C4D"/>
    <w:rsid w:val="00C75E5E"/>
    <w:rsid w:val="00C77337"/>
    <w:rsid w:val="00C774C9"/>
    <w:rsid w:val="00C801A7"/>
    <w:rsid w:val="00C8036D"/>
    <w:rsid w:val="00C80841"/>
    <w:rsid w:val="00C80A33"/>
    <w:rsid w:val="00C80DCA"/>
    <w:rsid w:val="00C84E9B"/>
    <w:rsid w:val="00C858E5"/>
    <w:rsid w:val="00C86851"/>
    <w:rsid w:val="00C86BF0"/>
    <w:rsid w:val="00C923A0"/>
    <w:rsid w:val="00C926A4"/>
    <w:rsid w:val="00C92B56"/>
    <w:rsid w:val="00C930DF"/>
    <w:rsid w:val="00C93737"/>
    <w:rsid w:val="00C9402E"/>
    <w:rsid w:val="00C9461A"/>
    <w:rsid w:val="00C94F87"/>
    <w:rsid w:val="00C95C4E"/>
    <w:rsid w:val="00C969D1"/>
    <w:rsid w:val="00C9789E"/>
    <w:rsid w:val="00C97927"/>
    <w:rsid w:val="00C97A9F"/>
    <w:rsid w:val="00C97AE2"/>
    <w:rsid w:val="00CA0D6F"/>
    <w:rsid w:val="00CA33F8"/>
    <w:rsid w:val="00CA3732"/>
    <w:rsid w:val="00CA3A65"/>
    <w:rsid w:val="00CA584B"/>
    <w:rsid w:val="00CA735A"/>
    <w:rsid w:val="00CB04A4"/>
    <w:rsid w:val="00CB0C94"/>
    <w:rsid w:val="00CB28E7"/>
    <w:rsid w:val="00CB2DEE"/>
    <w:rsid w:val="00CB4260"/>
    <w:rsid w:val="00CB449E"/>
    <w:rsid w:val="00CB5475"/>
    <w:rsid w:val="00CB54F4"/>
    <w:rsid w:val="00CB5A5A"/>
    <w:rsid w:val="00CB5CA9"/>
    <w:rsid w:val="00CB649B"/>
    <w:rsid w:val="00CB6718"/>
    <w:rsid w:val="00CC0807"/>
    <w:rsid w:val="00CC0852"/>
    <w:rsid w:val="00CC09C8"/>
    <w:rsid w:val="00CC0DB4"/>
    <w:rsid w:val="00CC0DF1"/>
    <w:rsid w:val="00CC1DED"/>
    <w:rsid w:val="00CC1E5D"/>
    <w:rsid w:val="00CC257A"/>
    <w:rsid w:val="00CC2AA5"/>
    <w:rsid w:val="00CC48AC"/>
    <w:rsid w:val="00CC4CA4"/>
    <w:rsid w:val="00CC513F"/>
    <w:rsid w:val="00CC7B85"/>
    <w:rsid w:val="00CD17D5"/>
    <w:rsid w:val="00CD2D1F"/>
    <w:rsid w:val="00CD3B53"/>
    <w:rsid w:val="00CD3B69"/>
    <w:rsid w:val="00CD5B08"/>
    <w:rsid w:val="00CD5C8A"/>
    <w:rsid w:val="00CD76A5"/>
    <w:rsid w:val="00CD7BA5"/>
    <w:rsid w:val="00CE00D2"/>
    <w:rsid w:val="00CE08E1"/>
    <w:rsid w:val="00CE114E"/>
    <w:rsid w:val="00CE1389"/>
    <w:rsid w:val="00CE15BC"/>
    <w:rsid w:val="00CE27A9"/>
    <w:rsid w:val="00CE3355"/>
    <w:rsid w:val="00CE36C3"/>
    <w:rsid w:val="00CE403E"/>
    <w:rsid w:val="00CE43FB"/>
    <w:rsid w:val="00CE55F3"/>
    <w:rsid w:val="00CE660C"/>
    <w:rsid w:val="00CE66EA"/>
    <w:rsid w:val="00CE720B"/>
    <w:rsid w:val="00CE7C56"/>
    <w:rsid w:val="00CE7ED3"/>
    <w:rsid w:val="00CF170D"/>
    <w:rsid w:val="00CF2B49"/>
    <w:rsid w:val="00CF3F63"/>
    <w:rsid w:val="00CF4C60"/>
    <w:rsid w:val="00CF60E0"/>
    <w:rsid w:val="00CF61E2"/>
    <w:rsid w:val="00CF716B"/>
    <w:rsid w:val="00D00673"/>
    <w:rsid w:val="00D0124C"/>
    <w:rsid w:val="00D0198A"/>
    <w:rsid w:val="00D0245A"/>
    <w:rsid w:val="00D03AF1"/>
    <w:rsid w:val="00D0437F"/>
    <w:rsid w:val="00D05470"/>
    <w:rsid w:val="00D06750"/>
    <w:rsid w:val="00D06C89"/>
    <w:rsid w:val="00D06FC1"/>
    <w:rsid w:val="00D06FE4"/>
    <w:rsid w:val="00D106B9"/>
    <w:rsid w:val="00D14C64"/>
    <w:rsid w:val="00D164D5"/>
    <w:rsid w:val="00D16B57"/>
    <w:rsid w:val="00D16B59"/>
    <w:rsid w:val="00D17428"/>
    <w:rsid w:val="00D21203"/>
    <w:rsid w:val="00D21E78"/>
    <w:rsid w:val="00D22497"/>
    <w:rsid w:val="00D224A3"/>
    <w:rsid w:val="00D228EA"/>
    <w:rsid w:val="00D2329C"/>
    <w:rsid w:val="00D23717"/>
    <w:rsid w:val="00D23D3B"/>
    <w:rsid w:val="00D24BF5"/>
    <w:rsid w:val="00D25C8B"/>
    <w:rsid w:val="00D25D12"/>
    <w:rsid w:val="00D25DC4"/>
    <w:rsid w:val="00D27188"/>
    <w:rsid w:val="00D27859"/>
    <w:rsid w:val="00D309E8"/>
    <w:rsid w:val="00D31430"/>
    <w:rsid w:val="00D33ACB"/>
    <w:rsid w:val="00D352A3"/>
    <w:rsid w:val="00D363FD"/>
    <w:rsid w:val="00D37234"/>
    <w:rsid w:val="00D37FE6"/>
    <w:rsid w:val="00D4096C"/>
    <w:rsid w:val="00D40EB1"/>
    <w:rsid w:val="00D416E3"/>
    <w:rsid w:val="00D41EDC"/>
    <w:rsid w:val="00D41F7E"/>
    <w:rsid w:val="00D41F8C"/>
    <w:rsid w:val="00D428A0"/>
    <w:rsid w:val="00D43564"/>
    <w:rsid w:val="00D43750"/>
    <w:rsid w:val="00D44AF3"/>
    <w:rsid w:val="00D4667B"/>
    <w:rsid w:val="00D47001"/>
    <w:rsid w:val="00D5001E"/>
    <w:rsid w:val="00D504EE"/>
    <w:rsid w:val="00D51AFA"/>
    <w:rsid w:val="00D51B3B"/>
    <w:rsid w:val="00D52153"/>
    <w:rsid w:val="00D52403"/>
    <w:rsid w:val="00D5327B"/>
    <w:rsid w:val="00D5379A"/>
    <w:rsid w:val="00D55F4E"/>
    <w:rsid w:val="00D565C9"/>
    <w:rsid w:val="00D57629"/>
    <w:rsid w:val="00D60878"/>
    <w:rsid w:val="00D60ECA"/>
    <w:rsid w:val="00D63683"/>
    <w:rsid w:val="00D63B86"/>
    <w:rsid w:val="00D64531"/>
    <w:rsid w:val="00D647E8"/>
    <w:rsid w:val="00D64944"/>
    <w:rsid w:val="00D664E3"/>
    <w:rsid w:val="00D67710"/>
    <w:rsid w:val="00D71906"/>
    <w:rsid w:val="00D7435C"/>
    <w:rsid w:val="00D74539"/>
    <w:rsid w:val="00D74984"/>
    <w:rsid w:val="00D750F5"/>
    <w:rsid w:val="00D775DD"/>
    <w:rsid w:val="00D775EF"/>
    <w:rsid w:val="00D77E69"/>
    <w:rsid w:val="00D803E8"/>
    <w:rsid w:val="00D805DB"/>
    <w:rsid w:val="00D819E2"/>
    <w:rsid w:val="00D822F1"/>
    <w:rsid w:val="00D824F4"/>
    <w:rsid w:val="00D8372F"/>
    <w:rsid w:val="00D84905"/>
    <w:rsid w:val="00D90332"/>
    <w:rsid w:val="00D9073B"/>
    <w:rsid w:val="00D9264B"/>
    <w:rsid w:val="00D92988"/>
    <w:rsid w:val="00D9377B"/>
    <w:rsid w:val="00D94EAB"/>
    <w:rsid w:val="00D95DB2"/>
    <w:rsid w:val="00D96031"/>
    <w:rsid w:val="00D96ABC"/>
    <w:rsid w:val="00D9727A"/>
    <w:rsid w:val="00D97622"/>
    <w:rsid w:val="00DA003A"/>
    <w:rsid w:val="00DA0FA3"/>
    <w:rsid w:val="00DA2415"/>
    <w:rsid w:val="00DA27AF"/>
    <w:rsid w:val="00DA3A59"/>
    <w:rsid w:val="00DA3CED"/>
    <w:rsid w:val="00DA421F"/>
    <w:rsid w:val="00DA5D20"/>
    <w:rsid w:val="00DA6586"/>
    <w:rsid w:val="00DA66CE"/>
    <w:rsid w:val="00DA6B93"/>
    <w:rsid w:val="00DB0DF4"/>
    <w:rsid w:val="00DB1935"/>
    <w:rsid w:val="00DB2DE1"/>
    <w:rsid w:val="00DB3230"/>
    <w:rsid w:val="00DB3AA4"/>
    <w:rsid w:val="00DB50FF"/>
    <w:rsid w:val="00DB5495"/>
    <w:rsid w:val="00DB5C36"/>
    <w:rsid w:val="00DB7367"/>
    <w:rsid w:val="00DC0208"/>
    <w:rsid w:val="00DC09F8"/>
    <w:rsid w:val="00DC195D"/>
    <w:rsid w:val="00DC1A7E"/>
    <w:rsid w:val="00DC25D6"/>
    <w:rsid w:val="00DC3351"/>
    <w:rsid w:val="00DC393F"/>
    <w:rsid w:val="00DC3C3D"/>
    <w:rsid w:val="00DC4761"/>
    <w:rsid w:val="00DC4B2D"/>
    <w:rsid w:val="00DC54A5"/>
    <w:rsid w:val="00DC55B3"/>
    <w:rsid w:val="00DC5853"/>
    <w:rsid w:val="00DC5DCA"/>
    <w:rsid w:val="00DC79F4"/>
    <w:rsid w:val="00DD16BB"/>
    <w:rsid w:val="00DD1D6F"/>
    <w:rsid w:val="00DD32B0"/>
    <w:rsid w:val="00DD341D"/>
    <w:rsid w:val="00DD45D1"/>
    <w:rsid w:val="00DD4895"/>
    <w:rsid w:val="00DD582C"/>
    <w:rsid w:val="00DD6D1C"/>
    <w:rsid w:val="00DD6E5D"/>
    <w:rsid w:val="00DD6EBE"/>
    <w:rsid w:val="00DD7087"/>
    <w:rsid w:val="00DD76FD"/>
    <w:rsid w:val="00DE106B"/>
    <w:rsid w:val="00DE19C0"/>
    <w:rsid w:val="00DE2F57"/>
    <w:rsid w:val="00DE30B0"/>
    <w:rsid w:val="00DE496D"/>
    <w:rsid w:val="00DE4D98"/>
    <w:rsid w:val="00DE515C"/>
    <w:rsid w:val="00DE5BB1"/>
    <w:rsid w:val="00DE60C5"/>
    <w:rsid w:val="00DE69E4"/>
    <w:rsid w:val="00DE6E8A"/>
    <w:rsid w:val="00DF036A"/>
    <w:rsid w:val="00DF073F"/>
    <w:rsid w:val="00DF28B5"/>
    <w:rsid w:val="00DF2B05"/>
    <w:rsid w:val="00DF2D4B"/>
    <w:rsid w:val="00DF3107"/>
    <w:rsid w:val="00DF3E3C"/>
    <w:rsid w:val="00DF3E6E"/>
    <w:rsid w:val="00DF47D8"/>
    <w:rsid w:val="00DF4A95"/>
    <w:rsid w:val="00DF4C89"/>
    <w:rsid w:val="00DF617D"/>
    <w:rsid w:val="00DF7578"/>
    <w:rsid w:val="00DF7E7B"/>
    <w:rsid w:val="00E0089B"/>
    <w:rsid w:val="00E01093"/>
    <w:rsid w:val="00E0185C"/>
    <w:rsid w:val="00E02A6B"/>
    <w:rsid w:val="00E02E0E"/>
    <w:rsid w:val="00E0302B"/>
    <w:rsid w:val="00E030E1"/>
    <w:rsid w:val="00E033BE"/>
    <w:rsid w:val="00E042A2"/>
    <w:rsid w:val="00E04CB5"/>
    <w:rsid w:val="00E06D95"/>
    <w:rsid w:val="00E075CF"/>
    <w:rsid w:val="00E10563"/>
    <w:rsid w:val="00E10FD4"/>
    <w:rsid w:val="00E118A4"/>
    <w:rsid w:val="00E11C4A"/>
    <w:rsid w:val="00E12F28"/>
    <w:rsid w:val="00E13183"/>
    <w:rsid w:val="00E1445A"/>
    <w:rsid w:val="00E160F7"/>
    <w:rsid w:val="00E1696F"/>
    <w:rsid w:val="00E17816"/>
    <w:rsid w:val="00E17F27"/>
    <w:rsid w:val="00E20A8B"/>
    <w:rsid w:val="00E2125F"/>
    <w:rsid w:val="00E21D8C"/>
    <w:rsid w:val="00E22B48"/>
    <w:rsid w:val="00E22FFC"/>
    <w:rsid w:val="00E233FF"/>
    <w:rsid w:val="00E23836"/>
    <w:rsid w:val="00E2403C"/>
    <w:rsid w:val="00E25019"/>
    <w:rsid w:val="00E2511A"/>
    <w:rsid w:val="00E258C4"/>
    <w:rsid w:val="00E27092"/>
    <w:rsid w:val="00E3140A"/>
    <w:rsid w:val="00E31792"/>
    <w:rsid w:val="00E32577"/>
    <w:rsid w:val="00E33C3D"/>
    <w:rsid w:val="00E33FBD"/>
    <w:rsid w:val="00E341B6"/>
    <w:rsid w:val="00E34476"/>
    <w:rsid w:val="00E34B93"/>
    <w:rsid w:val="00E34BB9"/>
    <w:rsid w:val="00E34C91"/>
    <w:rsid w:val="00E35C21"/>
    <w:rsid w:val="00E360F0"/>
    <w:rsid w:val="00E366C8"/>
    <w:rsid w:val="00E36B2F"/>
    <w:rsid w:val="00E370FB"/>
    <w:rsid w:val="00E37BDE"/>
    <w:rsid w:val="00E42A0C"/>
    <w:rsid w:val="00E4567F"/>
    <w:rsid w:val="00E4613C"/>
    <w:rsid w:val="00E46249"/>
    <w:rsid w:val="00E4629B"/>
    <w:rsid w:val="00E478EE"/>
    <w:rsid w:val="00E51CE6"/>
    <w:rsid w:val="00E52065"/>
    <w:rsid w:val="00E5230E"/>
    <w:rsid w:val="00E52D43"/>
    <w:rsid w:val="00E540B0"/>
    <w:rsid w:val="00E54D0D"/>
    <w:rsid w:val="00E5551B"/>
    <w:rsid w:val="00E55610"/>
    <w:rsid w:val="00E558FB"/>
    <w:rsid w:val="00E562AB"/>
    <w:rsid w:val="00E56C8B"/>
    <w:rsid w:val="00E57705"/>
    <w:rsid w:val="00E601A3"/>
    <w:rsid w:val="00E601DF"/>
    <w:rsid w:val="00E60794"/>
    <w:rsid w:val="00E60E34"/>
    <w:rsid w:val="00E613FD"/>
    <w:rsid w:val="00E61B17"/>
    <w:rsid w:val="00E62119"/>
    <w:rsid w:val="00E6227E"/>
    <w:rsid w:val="00E62669"/>
    <w:rsid w:val="00E62CAC"/>
    <w:rsid w:val="00E638F7"/>
    <w:rsid w:val="00E65370"/>
    <w:rsid w:val="00E65BF4"/>
    <w:rsid w:val="00E663BB"/>
    <w:rsid w:val="00E664A2"/>
    <w:rsid w:val="00E669BF"/>
    <w:rsid w:val="00E72582"/>
    <w:rsid w:val="00E72D56"/>
    <w:rsid w:val="00E72F5C"/>
    <w:rsid w:val="00E73AB0"/>
    <w:rsid w:val="00E747B3"/>
    <w:rsid w:val="00E74A51"/>
    <w:rsid w:val="00E75210"/>
    <w:rsid w:val="00E76839"/>
    <w:rsid w:val="00E77326"/>
    <w:rsid w:val="00E800B0"/>
    <w:rsid w:val="00E81067"/>
    <w:rsid w:val="00E810A8"/>
    <w:rsid w:val="00E814AA"/>
    <w:rsid w:val="00E82405"/>
    <w:rsid w:val="00E83644"/>
    <w:rsid w:val="00E83C7C"/>
    <w:rsid w:val="00E83CC4"/>
    <w:rsid w:val="00E84EF4"/>
    <w:rsid w:val="00E86820"/>
    <w:rsid w:val="00E87244"/>
    <w:rsid w:val="00E873DB"/>
    <w:rsid w:val="00E906F2"/>
    <w:rsid w:val="00E90895"/>
    <w:rsid w:val="00E90F03"/>
    <w:rsid w:val="00E911E7"/>
    <w:rsid w:val="00E91CB2"/>
    <w:rsid w:val="00E92641"/>
    <w:rsid w:val="00E94FF5"/>
    <w:rsid w:val="00E96E22"/>
    <w:rsid w:val="00E97C51"/>
    <w:rsid w:val="00E97D4D"/>
    <w:rsid w:val="00EA0150"/>
    <w:rsid w:val="00EA0F0F"/>
    <w:rsid w:val="00EA1E79"/>
    <w:rsid w:val="00EA3015"/>
    <w:rsid w:val="00EA33D9"/>
    <w:rsid w:val="00EA3579"/>
    <w:rsid w:val="00EA3B1D"/>
    <w:rsid w:val="00EA3B91"/>
    <w:rsid w:val="00EA3FFB"/>
    <w:rsid w:val="00EA49EF"/>
    <w:rsid w:val="00EA4A0F"/>
    <w:rsid w:val="00EA6769"/>
    <w:rsid w:val="00EA6BFD"/>
    <w:rsid w:val="00EA71ED"/>
    <w:rsid w:val="00EB0ADA"/>
    <w:rsid w:val="00EB18C1"/>
    <w:rsid w:val="00EB3DA1"/>
    <w:rsid w:val="00EB3ED3"/>
    <w:rsid w:val="00EB447F"/>
    <w:rsid w:val="00EB44A7"/>
    <w:rsid w:val="00EB44E2"/>
    <w:rsid w:val="00EB468D"/>
    <w:rsid w:val="00EB6AB1"/>
    <w:rsid w:val="00EB6E10"/>
    <w:rsid w:val="00EB7353"/>
    <w:rsid w:val="00EB7A1B"/>
    <w:rsid w:val="00EC021F"/>
    <w:rsid w:val="00EC0C4E"/>
    <w:rsid w:val="00EC21F9"/>
    <w:rsid w:val="00EC44AB"/>
    <w:rsid w:val="00EC4A1F"/>
    <w:rsid w:val="00EC4CA9"/>
    <w:rsid w:val="00EC6204"/>
    <w:rsid w:val="00EC720C"/>
    <w:rsid w:val="00EC7C03"/>
    <w:rsid w:val="00ED0230"/>
    <w:rsid w:val="00ED2C73"/>
    <w:rsid w:val="00ED2D71"/>
    <w:rsid w:val="00ED498B"/>
    <w:rsid w:val="00ED58B2"/>
    <w:rsid w:val="00ED5A1C"/>
    <w:rsid w:val="00ED6A6E"/>
    <w:rsid w:val="00ED7AB9"/>
    <w:rsid w:val="00ED7FA7"/>
    <w:rsid w:val="00EE0555"/>
    <w:rsid w:val="00EE3ED6"/>
    <w:rsid w:val="00EE5504"/>
    <w:rsid w:val="00EE6C71"/>
    <w:rsid w:val="00EE740C"/>
    <w:rsid w:val="00EE7B20"/>
    <w:rsid w:val="00EF0017"/>
    <w:rsid w:val="00EF21B3"/>
    <w:rsid w:val="00EF2464"/>
    <w:rsid w:val="00EF2999"/>
    <w:rsid w:val="00EF2C5B"/>
    <w:rsid w:val="00EF3CEF"/>
    <w:rsid w:val="00EF3D14"/>
    <w:rsid w:val="00EF4A01"/>
    <w:rsid w:val="00EF6020"/>
    <w:rsid w:val="00EF60ED"/>
    <w:rsid w:val="00EF6956"/>
    <w:rsid w:val="00EF6B64"/>
    <w:rsid w:val="00EF784D"/>
    <w:rsid w:val="00F01D2A"/>
    <w:rsid w:val="00F02034"/>
    <w:rsid w:val="00F044BE"/>
    <w:rsid w:val="00F048B9"/>
    <w:rsid w:val="00F05B56"/>
    <w:rsid w:val="00F0624B"/>
    <w:rsid w:val="00F0711A"/>
    <w:rsid w:val="00F10334"/>
    <w:rsid w:val="00F1056F"/>
    <w:rsid w:val="00F11686"/>
    <w:rsid w:val="00F11EC8"/>
    <w:rsid w:val="00F12B32"/>
    <w:rsid w:val="00F1330A"/>
    <w:rsid w:val="00F14F0B"/>
    <w:rsid w:val="00F15061"/>
    <w:rsid w:val="00F150FA"/>
    <w:rsid w:val="00F15826"/>
    <w:rsid w:val="00F203D0"/>
    <w:rsid w:val="00F20A51"/>
    <w:rsid w:val="00F2131E"/>
    <w:rsid w:val="00F23C3B"/>
    <w:rsid w:val="00F243B5"/>
    <w:rsid w:val="00F26400"/>
    <w:rsid w:val="00F30066"/>
    <w:rsid w:val="00F31969"/>
    <w:rsid w:val="00F32880"/>
    <w:rsid w:val="00F32D9A"/>
    <w:rsid w:val="00F334FF"/>
    <w:rsid w:val="00F33A69"/>
    <w:rsid w:val="00F368DF"/>
    <w:rsid w:val="00F370C1"/>
    <w:rsid w:val="00F40D6E"/>
    <w:rsid w:val="00F4207B"/>
    <w:rsid w:val="00F4475E"/>
    <w:rsid w:val="00F44C48"/>
    <w:rsid w:val="00F44C84"/>
    <w:rsid w:val="00F44EF3"/>
    <w:rsid w:val="00F4581C"/>
    <w:rsid w:val="00F4684B"/>
    <w:rsid w:val="00F47A0E"/>
    <w:rsid w:val="00F505B0"/>
    <w:rsid w:val="00F5105B"/>
    <w:rsid w:val="00F511B6"/>
    <w:rsid w:val="00F524CD"/>
    <w:rsid w:val="00F52998"/>
    <w:rsid w:val="00F53CA2"/>
    <w:rsid w:val="00F5401C"/>
    <w:rsid w:val="00F542CA"/>
    <w:rsid w:val="00F5466F"/>
    <w:rsid w:val="00F54DCB"/>
    <w:rsid w:val="00F55D4F"/>
    <w:rsid w:val="00F56116"/>
    <w:rsid w:val="00F56661"/>
    <w:rsid w:val="00F56888"/>
    <w:rsid w:val="00F56C22"/>
    <w:rsid w:val="00F602FE"/>
    <w:rsid w:val="00F60457"/>
    <w:rsid w:val="00F60F9B"/>
    <w:rsid w:val="00F61917"/>
    <w:rsid w:val="00F62167"/>
    <w:rsid w:val="00F62CC1"/>
    <w:rsid w:val="00F6339C"/>
    <w:rsid w:val="00F636A8"/>
    <w:rsid w:val="00F63B77"/>
    <w:rsid w:val="00F64DDC"/>
    <w:rsid w:val="00F653D7"/>
    <w:rsid w:val="00F6609A"/>
    <w:rsid w:val="00F66557"/>
    <w:rsid w:val="00F71770"/>
    <w:rsid w:val="00F717A5"/>
    <w:rsid w:val="00F72576"/>
    <w:rsid w:val="00F7304D"/>
    <w:rsid w:val="00F73C1D"/>
    <w:rsid w:val="00F742BF"/>
    <w:rsid w:val="00F748DD"/>
    <w:rsid w:val="00F753A9"/>
    <w:rsid w:val="00F759D6"/>
    <w:rsid w:val="00F75E96"/>
    <w:rsid w:val="00F766B8"/>
    <w:rsid w:val="00F77D9D"/>
    <w:rsid w:val="00F77FA4"/>
    <w:rsid w:val="00F81FFE"/>
    <w:rsid w:val="00F829A0"/>
    <w:rsid w:val="00F830BF"/>
    <w:rsid w:val="00F83B35"/>
    <w:rsid w:val="00F8496D"/>
    <w:rsid w:val="00F84F4E"/>
    <w:rsid w:val="00F855DC"/>
    <w:rsid w:val="00F908C6"/>
    <w:rsid w:val="00F90B9C"/>
    <w:rsid w:val="00F91316"/>
    <w:rsid w:val="00F91828"/>
    <w:rsid w:val="00F91D71"/>
    <w:rsid w:val="00F91DD2"/>
    <w:rsid w:val="00F92310"/>
    <w:rsid w:val="00F93137"/>
    <w:rsid w:val="00F94F34"/>
    <w:rsid w:val="00F94F3F"/>
    <w:rsid w:val="00F94F68"/>
    <w:rsid w:val="00F9567C"/>
    <w:rsid w:val="00F95967"/>
    <w:rsid w:val="00F9605D"/>
    <w:rsid w:val="00F96BC7"/>
    <w:rsid w:val="00F97DE9"/>
    <w:rsid w:val="00FA09E1"/>
    <w:rsid w:val="00FA15BA"/>
    <w:rsid w:val="00FA2C0E"/>
    <w:rsid w:val="00FA3DAE"/>
    <w:rsid w:val="00FA4D54"/>
    <w:rsid w:val="00FA5745"/>
    <w:rsid w:val="00FA67C1"/>
    <w:rsid w:val="00FA7FE2"/>
    <w:rsid w:val="00FB1683"/>
    <w:rsid w:val="00FB3149"/>
    <w:rsid w:val="00FB391B"/>
    <w:rsid w:val="00FB402B"/>
    <w:rsid w:val="00FB40CB"/>
    <w:rsid w:val="00FB4175"/>
    <w:rsid w:val="00FB457A"/>
    <w:rsid w:val="00FB629C"/>
    <w:rsid w:val="00FB772E"/>
    <w:rsid w:val="00FB7E93"/>
    <w:rsid w:val="00FB7F02"/>
    <w:rsid w:val="00FC0948"/>
    <w:rsid w:val="00FC188D"/>
    <w:rsid w:val="00FC4BB2"/>
    <w:rsid w:val="00FC6466"/>
    <w:rsid w:val="00FC796E"/>
    <w:rsid w:val="00FD104A"/>
    <w:rsid w:val="00FD207C"/>
    <w:rsid w:val="00FD2B77"/>
    <w:rsid w:val="00FD3E2A"/>
    <w:rsid w:val="00FD4832"/>
    <w:rsid w:val="00FD5311"/>
    <w:rsid w:val="00FD54C6"/>
    <w:rsid w:val="00FD6445"/>
    <w:rsid w:val="00FD7C18"/>
    <w:rsid w:val="00FE2A0B"/>
    <w:rsid w:val="00FE453C"/>
    <w:rsid w:val="00FE7430"/>
    <w:rsid w:val="00FF03A7"/>
    <w:rsid w:val="00FF0EE1"/>
    <w:rsid w:val="00FF1B23"/>
    <w:rsid w:val="00FF29B8"/>
    <w:rsid w:val="00FF2FAE"/>
    <w:rsid w:val="00FF38FA"/>
    <w:rsid w:val="00FF5B2A"/>
    <w:rsid w:val="00FF6DB0"/>
    <w:rsid w:val="00FF74FF"/>
    <w:rsid w:val="00FF76BA"/>
    <w:rsid w:val="01087389"/>
    <w:rsid w:val="01142947"/>
    <w:rsid w:val="01200505"/>
    <w:rsid w:val="0122216F"/>
    <w:rsid w:val="01325A8F"/>
    <w:rsid w:val="013516BE"/>
    <w:rsid w:val="014A0D22"/>
    <w:rsid w:val="01747137"/>
    <w:rsid w:val="017E3632"/>
    <w:rsid w:val="01BB5FED"/>
    <w:rsid w:val="01E75FBB"/>
    <w:rsid w:val="01FB1BFF"/>
    <w:rsid w:val="0205056A"/>
    <w:rsid w:val="02190BBE"/>
    <w:rsid w:val="021B6D21"/>
    <w:rsid w:val="02322F28"/>
    <w:rsid w:val="023B08EE"/>
    <w:rsid w:val="023F388C"/>
    <w:rsid w:val="02421CC3"/>
    <w:rsid w:val="02561DE2"/>
    <w:rsid w:val="02695A35"/>
    <w:rsid w:val="02725E2D"/>
    <w:rsid w:val="027D11A2"/>
    <w:rsid w:val="028227B2"/>
    <w:rsid w:val="0286314D"/>
    <w:rsid w:val="02935814"/>
    <w:rsid w:val="029C1412"/>
    <w:rsid w:val="029E5B2D"/>
    <w:rsid w:val="02A0096B"/>
    <w:rsid w:val="02AE013F"/>
    <w:rsid w:val="02B0310F"/>
    <w:rsid w:val="02B64DFD"/>
    <w:rsid w:val="02C1579F"/>
    <w:rsid w:val="02C32118"/>
    <w:rsid w:val="02CA6108"/>
    <w:rsid w:val="02D60F91"/>
    <w:rsid w:val="02D76984"/>
    <w:rsid w:val="02E40D97"/>
    <w:rsid w:val="02E85072"/>
    <w:rsid w:val="02E94919"/>
    <w:rsid w:val="02F333A9"/>
    <w:rsid w:val="02FB21AB"/>
    <w:rsid w:val="030247BA"/>
    <w:rsid w:val="030544FF"/>
    <w:rsid w:val="030D1793"/>
    <w:rsid w:val="030E29BA"/>
    <w:rsid w:val="031831F2"/>
    <w:rsid w:val="03357038"/>
    <w:rsid w:val="033A0C2B"/>
    <w:rsid w:val="03513633"/>
    <w:rsid w:val="03654039"/>
    <w:rsid w:val="03663018"/>
    <w:rsid w:val="03704A13"/>
    <w:rsid w:val="037D1336"/>
    <w:rsid w:val="038E120F"/>
    <w:rsid w:val="039E1095"/>
    <w:rsid w:val="03A30167"/>
    <w:rsid w:val="03A54CF2"/>
    <w:rsid w:val="03AA04B8"/>
    <w:rsid w:val="03AF714B"/>
    <w:rsid w:val="03B57082"/>
    <w:rsid w:val="03BB7FBE"/>
    <w:rsid w:val="03BE7AAE"/>
    <w:rsid w:val="03C345D9"/>
    <w:rsid w:val="03CD305E"/>
    <w:rsid w:val="03E80CD8"/>
    <w:rsid w:val="03EE48EF"/>
    <w:rsid w:val="03F11BF1"/>
    <w:rsid w:val="03F24DC9"/>
    <w:rsid w:val="03F34100"/>
    <w:rsid w:val="040D1CD5"/>
    <w:rsid w:val="04161F26"/>
    <w:rsid w:val="04170DF7"/>
    <w:rsid w:val="04320854"/>
    <w:rsid w:val="043D5D21"/>
    <w:rsid w:val="04483D61"/>
    <w:rsid w:val="045020EC"/>
    <w:rsid w:val="04654F59"/>
    <w:rsid w:val="046A53CB"/>
    <w:rsid w:val="047821E2"/>
    <w:rsid w:val="04947470"/>
    <w:rsid w:val="04C40E62"/>
    <w:rsid w:val="04D66201"/>
    <w:rsid w:val="04DB2929"/>
    <w:rsid w:val="04FC3F5D"/>
    <w:rsid w:val="04FF5314"/>
    <w:rsid w:val="05010644"/>
    <w:rsid w:val="051313AC"/>
    <w:rsid w:val="05144C7F"/>
    <w:rsid w:val="053013D0"/>
    <w:rsid w:val="05401924"/>
    <w:rsid w:val="056612F2"/>
    <w:rsid w:val="057B42FE"/>
    <w:rsid w:val="05B37535"/>
    <w:rsid w:val="05DC08CF"/>
    <w:rsid w:val="05E31168"/>
    <w:rsid w:val="05E40F06"/>
    <w:rsid w:val="060646BB"/>
    <w:rsid w:val="06096F34"/>
    <w:rsid w:val="061C53B3"/>
    <w:rsid w:val="064017F2"/>
    <w:rsid w:val="064737C1"/>
    <w:rsid w:val="065B3392"/>
    <w:rsid w:val="06626E56"/>
    <w:rsid w:val="06636C72"/>
    <w:rsid w:val="0672304F"/>
    <w:rsid w:val="06835943"/>
    <w:rsid w:val="0686299B"/>
    <w:rsid w:val="068A2316"/>
    <w:rsid w:val="068C384C"/>
    <w:rsid w:val="068D21A7"/>
    <w:rsid w:val="069B4513"/>
    <w:rsid w:val="06A17F3E"/>
    <w:rsid w:val="06A20FC1"/>
    <w:rsid w:val="06A833F4"/>
    <w:rsid w:val="06B34496"/>
    <w:rsid w:val="06B66577"/>
    <w:rsid w:val="06B95AC7"/>
    <w:rsid w:val="06C158EB"/>
    <w:rsid w:val="06C74C9F"/>
    <w:rsid w:val="06CC3929"/>
    <w:rsid w:val="06CC7CBA"/>
    <w:rsid w:val="06CF60DB"/>
    <w:rsid w:val="06E82CFE"/>
    <w:rsid w:val="06F313BF"/>
    <w:rsid w:val="071C0C28"/>
    <w:rsid w:val="071F6AB6"/>
    <w:rsid w:val="073B74A1"/>
    <w:rsid w:val="074B1659"/>
    <w:rsid w:val="074B379C"/>
    <w:rsid w:val="07561504"/>
    <w:rsid w:val="07565F25"/>
    <w:rsid w:val="075864F0"/>
    <w:rsid w:val="076C4500"/>
    <w:rsid w:val="07751C03"/>
    <w:rsid w:val="0777098F"/>
    <w:rsid w:val="077B1D81"/>
    <w:rsid w:val="07841BEF"/>
    <w:rsid w:val="0786398B"/>
    <w:rsid w:val="078932FF"/>
    <w:rsid w:val="07AA0244"/>
    <w:rsid w:val="07B224B6"/>
    <w:rsid w:val="07B5030F"/>
    <w:rsid w:val="07B75BB0"/>
    <w:rsid w:val="07BF3D6F"/>
    <w:rsid w:val="07D12B5A"/>
    <w:rsid w:val="07E037EB"/>
    <w:rsid w:val="07E71830"/>
    <w:rsid w:val="07F53F9D"/>
    <w:rsid w:val="07F615C4"/>
    <w:rsid w:val="07FA0547"/>
    <w:rsid w:val="080571A2"/>
    <w:rsid w:val="080A2255"/>
    <w:rsid w:val="080D777F"/>
    <w:rsid w:val="0814117C"/>
    <w:rsid w:val="0828314D"/>
    <w:rsid w:val="084E0BD6"/>
    <w:rsid w:val="08503979"/>
    <w:rsid w:val="085A158C"/>
    <w:rsid w:val="085D7497"/>
    <w:rsid w:val="086428B3"/>
    <w:rsid w:val="08656BD0"/>
    <w:rsid w:val="087760D1"/>
    <w:rsid w:val="087B0710"/>
    <w:rsid w:val="089D7D7B"/>
    <w:rsid w:val="08B35707"/>
    <w:rsid w:val="08BB378E"/>
    <w:rsid w:val="08D4468A"/>
    <w:rsid w:val="08DD6B03"/>
    <w:rsid w:val="08E43B0F"/>
    <w:rsid w:val="08FF7DDD"/>
    <w:rsid w:val="090166A2"/>
    <w:rsid w:val="09022534"/>
    <w:rsid w:val="090D5D07"/>
    <w:rsid w:val="0922667C"/>
    <w:rsid w:val="09275236"/>
    <w:rsid w:val="092B119A"/>
    <w:rsid w:val="0940385B"/>
    <w:rsid w:val="0941465B"/>
    <w:rsid w:val="094F6709"/>
    <w:rsid w:val="0952183D"/>
    <w:rsid w:val="09664528"/>
    <w:rsid w:val="096C5C58"/>
    <w:rsid w:val="096D038B"/>
    <w:rsid w:val="097848B8"/>
    <w:rsid w:val="0983683C"/>
    <w:rsid w:val="09853824"/>
    <w:rsid w:val="09985395"/>
    <w:rsid w:val="099F7FEA"/>
    <w:rsid w:val="09B65D38"/>
    <w:rsid w:val="09CB3C0A"/>
    <w:rsid w:val="09D24C53"/>
    <w:rsid w:val="09EF672A"/>
    <w:rsid w:val="09FA3203"/>
    <w:rsid w:val="09FF7BFE"/>
    <w:rsid w:val="0A3D1A29"/>
    <w:rsid w:val="0A3F5CD9"/>
    <w:rsid w:val="0A5A637B"/>
    <w:rsid w:val="0A663B0A"/>
    <w:rsid w:val="0A6E4652"/>
    <w:rsid w:val="0A7C228C"/>
    <w:rsid w:val="0A7D3F82"/>
    <w:rsid w:val="0A867835"/>
    <w:rsid w:val="0AA536BF"/>
    <w:rsid w:val="0AA82F3B"/>
    <w:rsid w:val="0AAA68F2"/>
    <w:rsid w:val="0AB75001"/>
    <w:rsid w:val="0AC7464B"/>
    <w:rsid w:val="0AD754CD"/>
    <w:rsid w:val="0AE83ED5"/>
    <w:rsid w:val="0B0634FA"/>
    <w:rsid w:val="0B087721"/>
    <w:rsid w:val="0B0C5CC4"/>
    <w:rsid w:val="0B1612A2"/>
    <w:rsid w:val="0B212588"/>
    <w:rsid w:val="0B217B56"/>
    <w:rsid w:val="0B2C6CAB"/>
    <w:rsid w:val="0B3F2C19"/>
    <w:rsid w:val="0B5012DA"/>
    <w:rsid w:val="0B523A95"/>
    <w:rsid w:val="0B681ED1"/>
    <w:rsid w:val="0B6B22C9"/>
    <w:rsid w:val="0B70168E"/>
    <w:rsid w:val="0B72147D"/>
    <w:rsid w:val="0B7725F4"/>
    <w:rsid w:val="0B7D3A69"/>
    <w:rsid w:val="0B8B2703"/>
    <w:rsid w:val="0B8D3F60"/>
    <w:rsid w:val="0B8D5DAF"/>
    <w:rsid w:val="0B951D43"/>
    <w:rsid w:val="0B9A1F23"/>
    <w:rsid w:val="0B9B6EF1"/>
    <w:rsid w:val="0B9C1C9D"/>
    <w:rsid w:val="0BA706AC"/>
    <w:rsid w:val="0BB02E2A"/>
    <w:rsid w:val="0BB8526F"/>
    <w:rsid w:val="0BC71C64"/>
    <w:rsid w:val="0BC8644B"/>
    <w:rsid w:val="0BC96FF0"/>
    <w:rsid w:val="0BDB78F8"/>
    <w:rsid w:val="0BF72442"/>
    <w:rsid w:val="0BFC49CA"/>
    <w:rsid w:val="0BFF7F8F"/>
    <w:rsid w:val="0C1A74BA"/>
    <w:rsid w:val="0C2658DC"/>
    <w:rsid w:val="0C3410D8"/>
    <w:rsid w:val="0C410A25"/>
    <w:rsid w:val="0C477D93"/>
    <w:rsid w:val="0C55652A"/>
    <w:rsid w:val="0C5977AE"/>
    <w:rsid w:val="0C5E1BFD"/>
    <w:rsid w:val="0C631F97"/>
    <w:rsid w:val="0C7042B9"/>
    <w:rsid w:val="0C7512C7"/>
    <w:rsid w:val="0C777867"/>
    <w:rsid w:val="0C793191"/>
    <w:rsid w:val="0C7B02EA"/>
    <w:rsid w:val="0C822209"/>
    <w:rsid w:val="0C8663F7"/>
    <w:rsid w:val="0C8C0F90"/>
    <w:rsid w:val="0C937576"/>
    <w:rsid w:val="0C992063"/>
    <w:rsid w:val="0C9F6118"/>
    <w:rsid w:val="0CA14B3C"/>
    <w:rsid w:val="0CC441C8"/>
    <w:rsid w:val="0CC53C5B"/>
    <w:rsid w:val="0CCD169F"/>
    <w:rsid w:val="0CCD5722"/>
    <w:rsid w:val="0CDC0754"/>
    <w:rsid w:val="0CE831C7"/>
    <w:rsid w:val="0D0208D3"/>
    <w:rsid w:val="0D033888"/>
    <w:rsid w:val="0D1A0B50"/>
    <w:rsid w:val="0D2C070A"/>
    <w:rsid w:val="0D2C767A"/>
    <w:rsid w:val="0D3247FD"/>
    <w:rsid w:val="0D4F346B"/>
    <w:rsid w:val="0D694F5F"/>
    <w:rsid w:val="0D6A79DB"/>
    <w:rsid w:val="0DA6181C"/>
    <w:rsid w:val="0DAE75C1"/>
    <w:rsid w:val="0DAF2A5B"/>
    <w:rsid w:val="0DB00D5C"/>
    <w:rsid w:val="0DB8226D"/>
    <w:rsid w:val="0DB902A0"/>
    <w:rsid w:val="0DC85F26"/>
    <w:rsid w:val="0DD2548D"/>
    <w:rsid w:val="0DDF7BF6"/>
    <w:rsid w:val="0DE133C7"/>
    <w:rsid w:val="0DE657DA"/>
    <w:rsid w:val="0DF03072"/>
    <w:rsid w:val="0DF575E7"/>
    <w:rsid w:val="0E0B0E89"/>
    <w:rsid w:val="0E191823"/>
    <w:rsid w:val="0E227B23"/>
    <w:rsid w:val="0E2E708F"/>
    <w:rsid w:val="0E3A292E"/>
    <w:rsid w:val="0E502AAA"/>
    <w:rsid w:val="0E5D364A"/>
    <w:rsid w:val="0EA86FBB"/>
    <w:rsid w:val="0EC842D6"/>
    <w:rsid w:val="0ED8416C"/>
    <w:rsid w:val="0EE43BCF"/>
    <w:rsid w:val="0EEA02B1"/>
    <w:rsid w:val="0EED0C82"/>
    <w:rsid w:val="0EF42513"/>
    <w:rsid w:val="0EF94317"/>
    <w:rsid w:val="0EFC6C34"/>
    <w:rsid w:val="0F020558"/>
    <w:rsid w:val="0F052A35"/>
    <w:rsid w:val="0F18383B"/>
    <w:rsid w:val="0F196507"/>
    <w:rsid w:val="0F204B19"/>
    <w:rsid w:val="0F2D739E"/>
    <w:rsid w:val="0F343334"/>
    <w:rsid w:val="0F375BC5"/>
    <w:rsid w:val="0F3B242E"/>
    <w:rsid w:val="0F3B3452"/>
    <w:rsid w:val="0F4968E7"/>
    <w:rsid w:val="0F4E2DD2"/>
    <w:rsid w:val="0F661A9F"/>
    <w:rsid w:val="0F6907AE"/>
    <w:rsid w:val="0F8344AB"/>
    <w:rsid w:val="0F8632D3"/>
    <w:rsid w:val="0F8F1D65"/>
    <w:rsid w:val="0F915FE1"/>
    <w:rsid w:val="0F9C07C7"/>
    <w:rsid w:val="0FC24ACF"/>
    <w:rsid w:val="0FC30312"/>
    <w:rsid w:val="0FD757AD"/>
    <w:rsid w:val="0FDC485A"/>
    <w:rsid w:val="0FE07CC3"/>
    <w:rsid w:val="0FE52CDD"/>
    <w:rsid w:val="0FF44CA3"/>
    <w:rsid w:val="100173F2"/>
    <w:rsid w:val="1005338D"/>
    <w:rsid w:val="100C4023"/>
    <w:rsid w:val="10120F66"/>
    <w:rsid w:val="10132D37"/>
    <w:rsid w:val="102121B6"/>
    <w:rsid w:val="102E22AB"/>
    <w:rsid w:val="103A2F9B"/>
    <w:rsid w:val="103C085C"/>
    <w:rsid w:val="10532861"/>
    <w:rsid w:val="106D3EDC"/>
    <w:rsid w:val="109B3F51"/>
    <w:rsid w:val="10AA3894"/>
    <w:rsid w:val="10AC4127"/>
    <w:rsid w:val="10BE21EF"/>
    <w:rsid w:val="10E45CE2"/>
    <w:rsid w:val="110C7F5E"/>
    <w:rsid w:val="111431D1"/>
    <w:rsid w:val="112C3B78"/>
    <w:rsid w:val="113F131D"/>
    <w:rsid w:val="11402938"/>
    <w:rsid w:val="11512B20"/>
    <w:rsid w:val="115305C3"/>
    <w:rsid w:val="115570FE"/>
    <w:rsid w:val="11563AAD"/>
    <w:rsid w:val="11610A29"/>
    <w:rsid w:val="11671A45"/>
    <w:rsid w:val="11682FBD"/>
    <w:rsid w:val="117046DB"/>
    <w:rsid w:val="11992D75"/>
    <w:rsid w:val="119B14B7"/>
    <w:rsid w:val="11A93A6B"/>
    <w:rsid w:val="11A97B89"/>
    <w:rsid w:val="11B54ED8"/>
    <w:rsid w:val="11B9524F"/>
    <w:rsid w:val="11BD1C00"/>
    <w:rsid w:val="11BF511D"/>
    <w:rsid w:val="11C9491E"/>
    <w:rsid w:val="11CE5425"/>
    <w:rsid w:val="11ED1B8B"/>
    <w:rsid w:val="11F40BF5"/>
    <w:rsid w:val="11FA5A8C"/>
    <w:rsid w:val="11FC73C1"/>
    <w:rsid w:val="121B3B70"/>
    <w:rsid w:val="121C4D18"/>
    <w:rsid w:val="122300F0"/>
    <w:rsid w:val="12377FD1"/>
    <w:rsid w:val="12495C37"/>
    <w:rsid w:val="124F3FCF"/>
    <w:rsid w:val="125F3B3E"/>
    <w:rsid w:val="12601EFA"/>
    <w:rsid w:val="126401D3"/>
    <w:rsid w:val="12662A16"/>
    <w:rsid w:val="12734291"/>
    <w:rsid w:val="127614B6"/>
    <w:rsid w:val="127F42ED"/>
    <w:rsid w:val="12917963"/>
    <w:rsid w:val="129206AA"/>
    <w:rsid w:val="12932067"/>
    <w:rsid w:val="12970D18"/>
    <w:rsid w:val="12A7080A"/>
    <w:rsid w:val="12A70C59"/>
    <w:rsid w:val="12B3472F"/>
    <w:rsid w:val="12D13428"/>
    <w:rsid w:val="12D1659E"/>
    <w:rsid w:val="12DF77AA"/>
    <w:rsid w:val="12E02E18"/>
    <w:rsid w:val="12E35613"/>
    <w:rsid w:val="13013A04"/>
    <w:rsid w:val="130A326B"/>
    <w:rsid w:val="13142C82"/>
    <w:rsid w:val="1320256D"/>
    <w:rsid w:val="132E3653"/>
    <w:rsid w:val="132F4AB0"/>
    <w:rsid w:val="133B323C"/>
    <w:rsid w:val="133E409F"/>
    <w:rsid w:val="134279E1"/>
    <w:rsid w:val="13524BCD"/>
    <w:rsid w:val="13541569"/>
    <w:rsid w:val="135610DD"/>
    <w:rsid w:val="135B7BC8"/>
    <w:rsid w:val="135D4BEE"/>
    <w:rsid w:val="13600450"/>
    <w:rsid w:val="136649CE"/>
    <w:rsid w:val="137D5290"/>
    <w:rsid w:val="137E5CEB"/>
    <w:rsid w:val="13866697"/>
    <w:rsid w:val="13AA53FC"/>
    <w:rsid w:val="13AE5829"/>
    <w:rsid w:val="13C76879"/>
    <w:rsid w:val="13C90091"/>
    <w:rsid w:val="13D562D3"/>
    <w:rsid w:val="13EE3A98"/>
    <w:rsid w:val="13F31769"/>
    <w:rsid w:val="13FF65A9"/>
    <w:rsid w:val="1440200A"/>
    <w:rsid w:val="14462972"/>
    <w:rsid w:val="1450411B"/>
    <w:rsid w:val="145C7AB8"/>
    <w:rsid w:val="14751C07"/>
    <w:rsid w:val="147B7D72"/>
    <w:rsid w:val="14A2036B"/>
    <w:rsid w:val="14A6471E"/>
    <w:rsid w:val="14A81CBB"/>
    <w:rsid w:val="14AE1156"/>
    <w:rsid w:val="14CB13CC"/>
    <w:rsid w:val="14DC1B42"/>
    <w:rsid w:val="14DD1797"/>
    <w:rsid w:val="14EC1251"/>
    <w:rsid w:val="14F678B5"/>
    <w:rsid w:val="1500607F"/>
    <w:rsid w:val="150263BE"/>
    <w:rsid w:val="15036EB4"/>
    <w:rsid w:val="151874A1"/>
    <w:rsid w:val="153863A4"/>
    <w:rsid w:val="15417FCB"/>
    <w:rsid w:val="15443184"/>
    <w:rsid w:val="157F3DAD"/>
    <w:rsid w:val="15810381"/>
    <w:rsid w:val="158F7650"/>
    <w:rsid w:val="15CF75C2"/>
    <w:rsid w:val="15DB4E8B"/>
    <w:rsid w:val="15DB629E"/>
    <w:rsid w:val="16005B4D"/>
    <w:rsid w:val="16023749"/>
    <w:rsid w:val="16117F11"/>
    <w:rsid w:val="16122D70"/>
    <w:rsid w:val="163500E7"/>
    <w:rsid w:val="16390BF0"/>
    <w:rsid w:val="16394F6A"/>
    <w:rsid w:val="163A5649"/>
    <w:rsid w:val="16511CDE"/>
    <w:rsid w:val="165C63EB"/>
    <w:rsid w:val="166169AF"/>
    <w:rsid w:val="166C4748"/>
    <w:rsid w:val="166D5CF9"/>
    <w:rsid w:val="1679677C"/>
    <w:rsid w:val="16806F5F"/>
    <w:rsid w:val="16891110"/>
    <w:rsid w:val="16B200D8"/>
    <w:rsid w:val="16B53E81"/>
    <w:rsid w:val="16C91A60"/>
    <w:rsid w:val="16D30DE4"/>
    <w:rsid w:val="16D53A3A"/>
    <w:rsid w:val="16E16162"/>
    <w:rsid w:val="16E3540A"/>
    <w:rsid w:val="16EC69F2"/>
    <w:rsid w:val="16F46BD4"/>
    <w:rsid w:val="17011FF5"/>
    <w:rsid w:val="17082077"/>
    <w:rsid w:val="17086A04"/>
    <w:rsid w:val="170C79EF"/>
    <w:rsid w:val="1733704F"/>
    <w:rsid w:val="1739584F"/>
    <w:rsid w:val="175D2140"/>
    <w:rsid w:val="17704AAB"/>
    <w:rsid w:val="17731FA9"/>
    <w:rsid w:val="1785028E"/>
    <w:rsid w:val="178F1DC2"/>
    <w:rsid w:val="179F445C"/>
    <w:rsid w:val="17A36B40"/>
    <w:rsid w:val="17A408D6"/>
    <w:rsid w:val="17A974E2"/>
    <w:rsid w:val="17B920AF"/>
    <w:rsid w:val="17BA6CC5"/>
    <w:rsid w:val="17BC7BFC"/>
    <w:rsid w:val="17BE4DD5"/>
    <w:rsid w:val="17D23C27"/>
    <w:rsid w:val="18142066"/>
    <w:rsid w:val="182401DB"/>
    <w:rsid w:val="18242F81"/>
    <w:rsid w:val="184B2CE6"/>
    <w:rsid w:val="185524EF"/>
    <w:rsid w:val="185858F1"/>
    <w:rsid w:val="186B4D4A"/>
    <w:rsid w:val="188B6D6F"/>
    <w:rsid w:val="188E5E3A"/>
    <w:rsid w:val="188F5CA0"/>
    <w:rsid w:val="189622E4"/>
    <w:rsid w:val="18A15213"/>
    <w:rsid w:val="18B02525"/>
    <w:rsid w:val="18C33FDF"/>
    <w:rsid w:val="18CD25A4"/>
    <w:rsid w:val="18D3152C"/>
    <w:rsid w:val="18D712D8"/>
    <w:rsid w:val="18D82E24"/>
    <w:rsid w:val="18FE3820"/>
    <w:rsid w:val="19130E36"/>
    <w:rsid w:val="194B1EC4"/>
    <w:rsid w:val="19550C97"/>
    <w:rsid w:val="1962306A"/>
    <w:rsid w:val="19775154"/>
    <w:rsid w:val="198364F1"/>
    <w:rsid w:val="198D4077"/>
    <w:rsid w:val="19A36B5B"/>
    <w:rsid w:val="19AB225A"/>
    <w:rsid w:val="19AD7F51"/>
    <w:rsid w:val="19D65577"/>
    <w:rsid w:val="19FB1C97"/>
    <w:rsid w:val="1A0A4ACB"/>
    <w:rsid w:val="1A1846F1"/>
    <w:rsid w:val="1A2062AD"/>
    <w:rsid w:val="1A3261AF"/>
    <w:rsid w:val="1A352916"/>
    <w:rsid w:val="1A606D71"/>
    <w:rsid w:val="1A8D27AD"/>
    <w:rsid w:val="1A9021AA"/>
    <w:rsid w:val="1A920900"/>
    <w:rsid w:val="1A9349CE"/>
    <w:rsid w:val="1A942CB7"/>
    <w:rsid w:val="1A9E57EB"/>
    <w:rsid w:val="1AA151CF"/>
    <w:rsid w:val="1AA2653D"/>
    <w:rsid w:val="1AA82093"/>
    <w:rsid w:val="1AD244DF"/>
    <w:rsid w:val="1AF06026"/>
    <w:rsid w:val="1AF54F22"/>
    <w:rsid w:val="1B05383D"/>
    <w:rsid w:val="1B0B7197"/>
    <w:rsid w:val="1B270D19"/>
    <w:rsid w:val="1B312411"/>
    <w:rsid w:val="1B3157F0"/>
    <w:rsid w:val="1B347B21"/>
    <w:rsid w:val="1B35192A"/>
    <w:rsid w:val="1B4120DC"/>
    <w:rsid w:val="1B473D6A"/>
    <w:rsid w:val="1B50316D"/>
    <w:rsid w:val="1B5230EB"/>
    <w:rsid w:val="1B593292"/>
    <w:rsid w:val="1B5B3A17"/>
    <w:rsid w:val="1B6B1CE4"/>
    <w:rsid w:val="1B6B6F05"/>
    <w:rsid w:val="1B6B7277"/>
    <w:rsid w:val="1B701516"/>
    <w:rsid w:val="1B77374A"/>
    <w:rsid w:val="1B7927FA"/>
    <w:rsid w:val="1B832673"/>
    <w:rsid w:val="1B870F6D"/>
    <w:rsid w:val="1B873604"/>
    <w:rsid w:val="1B9008DD"/>
    <w:rsid w:val="1BAD6F45"/>
    <w:rsid w:val="1BB25C71"/>
    <w:rsid w:val="1BBC2E22"/>
    <w:rsid w:val="1BF16305"/>
    <w:rsid w:val="1C122B82"/>
    <w:rsid w:val="1C153B71"/>
    <w:rsid w:val="1C1952D0"/>
    <w:rsid w:val="1C226D51"/>
    <w:rsid w:val="1C2D27CB"/>
    <w:rsid w:val="1C5300CD"/>
    <w:rsid w:val="1C784A20"/>
    <w:rsid w:val="1C8A179F"/>
    <w:rsid w:val="1C9C180B"/>
    <w:rsid w:val="1CC00E4E"/>
    <w:rsid w:val="1CC10B52"/>
    <w:rsid w:val="1CCC725F"/>
    <w:rsid w:val="1CD53DBF"/>
    <w:rsid w:val="1CDB373E"/>
    <w:rsid w:val="1CE65EB6"/>
    <w:rsid w:val="1CF00DBA"/>
    <w:rsid w:val="1D0807A5"/>
    <w:rsid w:val="1D090ADB"/>
    <w:rsid w:val="1D0E00EC"/>
    <w:rsid w:val="1D1939ED"/>
    <w:rsid w:val="1D2101C2"/>
    <w:rsid w:val="1D29203C"/>
    <w:rsid w:val="1D294E26"/>
    <w:rsid w:val="1D5613CC"/>
    <w:rsid w:val="1D652F47"/>
    <w:rsid w:val="1D657F1B"/>
    <w:rsid w:val="1D6926C1"/>
    <w:rsid w:val="1D70376F"/>
    <w:rsid w:val="1D7A117D"/>
    <w:rsid w:val="1D880D96"/>
    <w:rsid w:val="1D9A1B1C"/>
    <w:rsid w:val="1D9B3BF5"/>
    <w:rsid w:val="1D9E241B"/>
    <w:rsid w:val="1DA014B3"/>
    <w:rsid w:val="1DB213DC"/>
    <w:rsid w:val="1DBF4C41"/>
    <w:rsid w:val="1DCE7F11"/>
    <w:rsid w:val="1DD0331B"/>
    <w:rsid w:val="1DE877AA"/>
    <w:rsid w:val="1E021E39"/>
    <w:rsid w:val="1E0358BF"/>
    <w:rsid w:val="1E162569"/>
    <w:rsid w:val="1E1E7279"/>
    <w:rsid w:val="1E244853"/>
    <w:rsid w:val="1E286DFF"/>
    <w:rsid w:val="1E2D10E0"/>
    <w:rsid w:val="1E3D3A5F"/>
    <w:rsid w:val="1E3E15B2"/>
    <w:rsid w:val="1E3E4FF3"/>
    <w:rsid w:val="1E4F234C"/>
    <w:rsid w:val="1E5D2340"/>
    <w:rsid w:val="1E620067"/>
    <w:rsid w:val="1E9004FA"/>
    <w:rsid w:val="1E9646FF"/>
    <w:rsid w:val="1E966318"/>
    <w:rsid w:val="1EA11680"/>
    <w:rsid w:val="1EC3007D"/>
    <w:rsid w:val="1ECF054D"/>
    <w:rsid w:val="1EEF5642"/>
    <w:rsid w:val="1F045F88"/>
    <w:rsid w:val="1F3D5A2B"/>
    <w:rsid w:val="1F422AE4"/>
    <w:rsid w:val="1F434323"/>
    <w:rsid w:val="1F4E0DE8"/>
    <w:rsid w:val="1F77383F"/>
    <w:rsid w:val="1F7E73A9"/>
    <w:rsid w:val="1F87452F"/>
    <w:rsid w:val="1F875D46"/>
    <w:rsid w:val="1F896D6A"/>
    <w:rsid w:val="1F95416B"/>
    <w:rsid w:val="1FB72D07"/>
    <w:rsid w:val="1FC37E78"/>
    <w:rsid w:val="1FD54EF5"/>
    <w:rsid w:val="1FE445E3"/>
    <w:rsid w:val="1FF52A08"/>
    <w:rsid w:val="1FFD0BB5"/>
    <w:rsid w:val="2003179C"/>
    <w:rsid w:val="2003268C"/>
    <w:rsid w:val="200B5C0B"/>
    <w:rsid w:val="200D1367"/>
    <w:rsid w:val="20150AF2"/>
    <w:rsid w:val="201C4CA7"/>
    <w:rsid w:val="20201E76"/>
    <w:rsid w:val="2033450B"/>
    <w:rsid w:val="20495CB2"/>
    <w:rsid w:val="20526EB3"/>
    <w:rsid w:val="206D6F3E"/>
    <w:rsid w:val="207D3B26"/>
    <w:rsid w:val="209C2B3E"/>
    <w:rsid w:val="20B35BED"/>
    <w:rsid w:val="20B36678"/>
    <w:rsid w:val="20BD4F1E"/>
    <w:rsid w:val="20CA66FD"/>
    <w:rsid w:val="20D13B63"/>
    <w:rsid w:val="20E85164"/>
    <w:rsid w:val="20ED5FC1"/>
    <w:rsid w:val="20F50EA7"/>
    <w:rsid w:val="212B1CCB"/>
    <w:rsid w:val="212D5B2C"/>
    <w:rsid w:val="213F2BAB"/>
    <w:rsid w:val="214E088D"/>
    <w:rsid w:val="215C01B1"/>
    <w:rsid w:val="21603FBE"/>
    <w:rsid w:val="2194182A"/>
    <w:rsid w:val="21A77AE0"/>
    <w:rsid w:val="21B667D4"/>
    <w:rsid w:val="21B87BA4"/>
    <w:rsid w:val="21D555AC"/>
    <w:rsid w:val="21F04E7F"/>
    <w:rsid w:val="22165C38"/>
    <w:rsid w:val="22224D86"/>
    <w:rsid w:val="22331631"/>
    <w:rsid w:val="22386FD2"/>
    <w:rsid w:val="22410FAB"/>
    <w:rsid w:val="22414157"/>
    <w:rsid w:val="224263F9"/>
    <w:rsid w:val="22440002"/>
    <w:rsid w:val="22481730"/>
    <w:rsid w:val="224C30CF"/>
    <w:rsid w:val="224F2D6A"/>
    <w:rsid w:val="225116B9"/>
    <w:rsid w:val="22547524"/>
    <w:rsid w:val="225F67AC"/>
    <w:rsid w:val="226E6D66"/>
    <w:rsid w:val="228C0017"/>
    <w:rsid w:val="228F35D6"/>
    <w:rsid w:val="229949E3"/>
    <w:rsid w:val="22B24BDD"/>
    <w:rsid w:val="22C01A09"/>
    <w:rsid w:val="22C52F66"/>
    <w:rsid w:val="22C646CE"/>
    <w:rsid w:val="22C708C4"/>
    <w:rsid w:val="22C7230E"/>
    <w:rsid w:val="22D842DA"/>
    <w:rsid w:val="22E71D38"/>
    <w:rsid w:val="22EA0933"/>
    <w:rsid w:val="22EC07EF"/>
    <w:rsid w:val="22EE7D2D"/>
    <w:rsid w:val="22F10EAE"/>
    <w:rsid w:val="23036601"/>
    <w:rsid w:val="230D48E9"/>
    <w:rsid w:val="2321231C"/>
    <w:rsid w:val="23331BF5"/>
    <w:rsid w:val="233D0BA3"/>
    <w:rsid w:val="23425054"/>
    <w:rsid w:val="23501055"/>
    <w:rsid w:val="235B5E01"/>
    <w:rsid w:val="236C5D90"/>
    <w:rsid w:val="236E4580"/>
    <w:rsid w:val="237C6924"/>
    <w:rsid w:val="2390111C"/>
    <w:rsid w:val="23BD3CBF"/>
    <w:rsid w:val="23CA51A8"/>
    <w:rsid w:val="23CC7174"/>
    <w:rsid w:val="23DF1584"/>
    <w:rsid w:val="23FA639B"/>
    <w:rsid w:val="23FD4981"/>
    <w:rsid w:val="24131E75"/>
    <w:rsid w:val="241C3500"/>
    <w:rsid w:val="241C3808"/>
    <w:rsid w:val="24200FFA"/>
    <w:rsid w:val="242530D9"/>
    <w:rsid w:val="243A2CDC"/>
    <w:rsid w:val="24450C8E"/>
    <w:rsid w:val="24505030"/>
    <w:rsid w:val="246254F1"/>
    <w:rsid w:val="246256CC"/>
    <w:rsid w:val="246A5AC3"/>
    <w:rsid w:val="2480376B"/>
    <w:rsid w:val="24803A09"/>
    <w:rsid w:val="24805846"/>
    <w:rsid w:val="248C219B"/>
    <w:rsid w:val="24941808"/>
    <w:rsid w:val="249F59AA"/>
    <w:rsid w:val="24A77CC7"/>
    <w:rsid w:val="24A8428F"/>
    <w:rsid w:val="24AA572C"/>
    <w:rsid w:val="24B11A33"/>
    <w:rsid w:val="24BD0D51"/>
    <w:rsid w:val="24CE7A94"/>
    <w:rsid w:val="24F77329"/>
    <w:rsid w:val="24FC6EB5"/>
    <w:rsid w:val="250107BC"/>
    <w:rsid w:val="250170D7"/>
    <w:rsid w:val="250C1416"/>
    <w:rsid w:val="25215F5B"/>
    <w:rsid w:val="25287EFC"/>
    <w:rsid w:val="25314CEF"/>
    <w:rsid w:val="253506B3"/>
    <w:rsid w:val="253F224B"/>
    <w:rsid w:val="255710E7"/>
    <w:rsid w:val="25696F6D"/>
    <w:rsid w:val="258409DC"/>
    <w:rsid w:val="2585705F"/>
    <w:rsid w:val="25923602"/>
    <w:rsid w:val="25A04D0A"/>
    <w:rsid w:val="25B306C7"/>
    <w:rsid w:val="25CC1B09"/>
    <w:rsid w:val="25CE43CE"/>
    <w:rsid w:val="25DC7BF4"/>
    <w:rsid w:val="25EF09CC"/>
    <w:rsid w:val="25F018F1"/>
    <w:rsid w:val="25FF6544"/>
    <w:rsid w:val="26123E85"/>
    <w:rsid w:val="261E1B8F"/>
    <w:rsid w:val="262E79BC"/>
    <w:rsid w:val="26436B55"/>
    <w:rsid w:val="26454B11"/>
    <w:rsid w:val="264616B2"/>
    <w:rsid w:val="264B5C5F"/>
    <w:rsid w:val="264F0D93"/>
    <w:rsid w:val="265911BA"/>
    <w:rsid w:val="265E5FBA"/>
    <w:rsid w:val="26600667"/>
    <w:rsid w:val="266C74E3"/>
    <w:rsid w:val="26832765"/>
    <w:rsid w:val="26891401"/>
    <w:rsid w:val="268A268F"/>
    <w:rsid w:val="26997A56"/>
    <w:rsid w:val="269A4AD7"/>
    <w:rsid w:val="269C4E0B"/>
    <w:rsid w:val="269C55D5"/>
    <w:rsid w:val="269D156E"/>
    <w:rsid w:val="26C17B69"/>
    <w:rsid w:val="26C33FFE"/>
    <w:rsid w:val="26C64400"/>
    <w:rsid w:val="26CE36E5"/>
    <w:rsid w:val="26E31B06"/>
    <w:rsid w:val="26E6217B"/>
    <w:rsid w:val="26FC7D13"/>
    <w:rsid w:val="26FF6276"/>
    <w:rsid w:val="27037513"/>
    <w:rsid w:val="27117BFF"/>
    <w:rsid w:val="27203EEB"/>
    <w:rsid w:val="2754129C"/>
    <w:rsid w:val="27566510"/>
    <w:rsid w:val="27603EC1"/>
    <w:rsid w:val="27851A0B"/>
    <w:rsid w:val="27876136"/>
    <w:rsid w:val="279462F5"/>
    <w:rsid w:val="27A06CC5"/>
    <w:rsid w:val="27B34755"/>
    <w:rsid w:val="27B506FD"/>
    <w:rsid w:val="27C112E1"/>
    <w:rsid w:val="27DB14BA"/>
    <w:rsid w:val="27DD6376"/>
    <w:rsid w:val="27DE6D28"/>
    <w:rsid w:val="27E03D9F"/>
    <w:rsid w:val="27E07DE8"/>
    <w:rsid w:val="27E862A2"/>
    <w:rsid w:val="27EF19B8"/>
    <w:rsid w:val="280276BA"/>
    <w:rsid w:val="280334C5"/>
    <w:rsid w:val="2804309E"/>
    <w:rsid w:val="28071DAC"/>
    <w:rsid w:val="28130274"/>
    <w:rsid w:val="281459A7"/>
    <w:rsid w:val="28166274"/>
    <w:rsid w:val="28327F9F"/>
    <w:rsid w:val="2841272B"/>
    <w:rsid w:val="28454B2D"/>
    <w:rsid w:val="28603EB7"/>
    <w:rsid w:val="286930B9"/>
    <w:rsid w:val="286A5D40"/>
    <w:rsid w:val="286F6AEE"/>
    <w:rsid w:val="287967D6"/>
    <w:rsid w:val="289A4C69"/>
    <w:rsid w:val="28AC4758"/>
    <w:rsid w:val="28AE3251"/>
    <w:rsid w:val="28C04C4C"/>
    <w:rsid w:val="28C82DD8"/>
    <w:rsid w:val="28E07697"/>
    <w:rsid w:val="28E824C9"/>
    <w:rsid w:val="28EC4FBD"/>
    <w:rsid w:val="28EC7622"/>
    <w:rsid w:val="28EE5156"/>
    <w:rsid w:val="291173EA"/>
    <w:rsid w:val="291268CF"/>
    <w:rsid w:val="291470DB"/>
    <w:rsid w:val="292A3D9E"/>
    <w:rsid w:val="292E34BD"/>
    <w:rsid w:val="29340781"/>
    <w:rsid w:val="29470E70"/>
    <w:rsid w:val="29482C06"/>
    <w:rsid w:val="296206AF"/>
    <w:rsid w:val="297045CA"/>
    <w:rsid w:val="298040D2"/>
    <w:rsid w:val="298E1846"/>
    <w:rsid w:val="298F5ED7"/>
    <w:rsid w:val="29A009BF"/>
    <w:rsid w:val="29A03A03"/>
    <w:rsid w:val="29BC6F56"/>
    <w:rsid w:val="29D40AC2"/>
    <w:rsid w:val="29DA2DCF"/>
    <w:rsid w:val="29E17A78"/>
    <w:rsid w:val="29E439C2"/>
    <w:rsid w:val="2A0F7329"/>
    <w:rsid w:val="2A132508"/>
    <w:rsid w:val="2A1D0B14"/>
    <w:rsid w:val="2A3A79B3"/>
    <w:rsid w:val="2A53353C"/>
    <w:rsid w:val="2A5534B9"/>
    <w:rsid w:val="2A57508D"/>
    <w:rsid w:val="2A5D2041"/>
    <w:rsid w:val="2A6F2F5D"/>
    <w:rsid w:val="2A713219"/>
    <w:rsid w:val="2A755211"/>
    <w:rsid w:val="2A7A1212"/>
    <w:rsid w:val="2A8D0991"/>
    <w:rsid w:val="2AA1252A"/>
    <w:rsid w:val="2AAE121F"/>
    <w:rsid w:val="2AAF72FB"/>
    <w:rsid w:val="2AC309F8"/>
    <w:rsid w:val="2AD13805"/>
    <w:rsid w:val="2AD80D1A"/>
    <w:rsid w:val="2AE305FB"/>
    <w:rsid w:val="2AE863AE"/>
    <w:rsid w:val="2AF156B3"/>
    <w:rsid w:val="2B0158CD"/>
    <w:rsid w:val="2B0A133F"/>
    <w:rsid w:val="2B50728E"/>
    <w:rsid w:val="2B520F1D"/>
    <w:rsid w:val="2B687D7B"/>
    <w:rsid w:val="2B694E68"/>
    <w:rsid w:val="2B791766"/>
    <w:rsid w:val="2B7F05AB"/>
    <w:rsid w:val="2B924276"/>
    <w:rsid w:val="2BA32F62"/>
    <w:rsid w:val="2BA94D0D"/>
    <w:rsid w:val="2BB53941"/>
    <w:rsid w:val="2BBE3BE5"/>
    <w:rsid w:val="2BCB64C7"/>
    <w:rsid w:val="2BD92E3F"/>
    <w:rsid w:val="2BD96F73"/>
    <w:rsid w:val="2BDE12CD"/>
    <w:rsid w:val="2BE25A98"/>
    <w:rsid w:val="2BE86CA8"/>
    <w:rsid w:val="2BEC7697"/>
    <w:rsid w:val="2BF01660"/>
    <w:rsid w:val="2BF2460D"/>
    <w:rsid w:val="2BF56003"/>
    <w:rsid w:val="2C045AC7"/>
    <w:rsid w:val="2C20470A"/>
    <w:rsid w:val="2C4A36EA"/>
    <w:rsid w:val="2C550ACB"/>
    <w:rsid w:val="2C571774"/>
    <w:rsid w:val="2C595F36"/>
    <w:rsid w:val="2C676E85"/>
    <w:rsid w:val="2C825C0E"/>
    <w:rsid w:val="2C837851"/>
    <w:rsid w:val="2CA0428D"/>
    <w:rsid w:val="2CA60204"/>
    <w:rsid w:val="2CAB6D99"/>
    <w:rsid w:val="2CC122AF"/>
    <w:rsid w:val="2CD51841"/>
    <w:rsid w:val="2CD566E0"/>
    <w:rsid w:val="2CDE1D5D"/>
    <w:rsid w:val="2CE1145B"/>
    <w:rsid w:val="2CEE5D0C"/>
    <w:rsid w:val="2CFB1ACD"/>
    <w:rsid w:val="2CFC166C"/>
    <w:rsid w:val="2D0C4370"/>
    <w:rsid w:val="2D19422F"/>
    <w:rsid w:val="2D1B612E"/>
    <w:rsid w:val="2D272A78"/>
    <w:rsid w:val="2D294D17"/>
    <w:rsid w:val="2D2D77E4"/>
    <w:rsid w:val="2D302844"/>
    <w:rsid w:val="2D340907"/>
    <w:rsid w:val="2D422B39"/>
    <w:rsid w:val="2D4B41B4"/>
    <w:rsid w:val="2D4B565F"/>
    <w:rsid w:val="2D5C7521"/>
    <w:rsid w:val="2D664F53"/>
    <w:rsid w:val="2D7149C3"/>
    <w:rsid w:val="2D747094"/>
    <w:rsid w:val="2D8C1F00"/>
    <w:rsid w:val="2D992C03"/>
    <w:rsid w:val="2DA216C6"/>
    <w:rsid w:val="2DA33153"/>
    <w:rsid w:val="2DB50AD8"/>
    <w:rsid w:val="2DB653BC"/>
    <w:rsid w:val="2DEA63AA"/>
    <w:rsid w:val="2DFB0C12"/>
    <w:rsid w:val="2E11532A"/>
    <w:rsid w:val="2E1B7727"/>
    <w:rsid w:val="2E2C7B59"/>
    <w:rsid w:val="2E512381"/>
    <w:rsid w:val="2E6D0A1B"/>
    <w:rsid w:val="2E896136"/>
    <w:rsid w:val="2E904A45"/>
    <w:rsid w:val="2E921142"/>
    <w:rsid w:val="2E9238C2"/>
    <w:rsid w:val="2E972F4E"/>
    <w:rsid w:val="2EBC2DDB"/>
    <w:rsid w:val="2EDE6676"/>
    <w:rsid w:val="2EE1089F"/>
    <w:rsid w:val="2EE62071"/>
    <w:rsid w:val="2F181834"/>
    <w:rsid w:val="2F1877C3"/>
    <w:rsid w:val="2F1D3166"/>
    <w:rsid w:val="2F1E4AC6"/>
    <w:rsid w:val="2F3D2575"/>
    <w:rsid w:val="2F5F6DC2"/>
    <w:rsid w:val="2F634EE2"/>
    <w:rsid w:val="2F715E38"/>
    <w:rsid w:val="2F7313FD"/>
    <w:rsid w:val="2F732A13"/>
    <w:rsid w:val="2F866E64"/>
    <w:rsid w:val="2F941D65"/>
    <w:rsid w:val="2FA43F61"/>
    <w:rsid w:val="2FA96F2B"/>
    <w:rsid w:val="2FB35201"/>
    <w:rsid w:val="2FBD3AD7"/>
    <w:rsid w:val="2FF9240C"/>
    <w:rsid w:val="2FF946AE"/>
    <w:rsid w:val="2FFD2F9F"/>
    <w:rsid w:val="304537EB"/>
    <w:rsid w:val="304D1B6D"/>
    <w:rsid w:val="305059B1"/>
    <w:rsid w:val="305D055C"/>
    <w:rsid w:val="305E3A75"/>
    <w:rsid w:val="305E47CA"/>
    <w:rsid w:val="30726515"/>
    <w:rsid w:val="308C47E8"/>
    <w:rsid w:val="308D2CDE"/>
    <w:rsid w:val="30972D75"/>
    <w:rsid w:val="309A496D"/>
    <w:rsid w:val="30BB31C8"/>
    <w:rsid w:val="30BC0D4E"/>
    <w:rsid w:val="30C0620D"/>
    <w:rsid w:val="30CF2B57"/>
    <w:rsid w:val="30D34409"/>
    <w:rsid w:val="30DC76BD"/>
    <w:rsid w:val="30E43E01"/>
    <w:rsid w:val="30FD59F3"/>
    <w:rsid w:val="30FE700B"/>
    <w:rsid w:val="3120701A"/>
    <w:rsid w:val="313B489A"/>
    <w:rsid w:val="315238A4"/>
    <w:rsid w:val="315C56BE"/>
    <w:rsid w:val="316546A0"/>
    <w:rsid w:val="316D71E4"/>
    <w:rsid w:val="31802A8F"/>
    <w:rsid w:val="318B193E"/>
    <w:rsid w:val="31931ABF"/>
    <w:rsid w:val="31A10BF5"/>
    <w:rsid w:val="31A970A8"/>
    <w:rsid w:val="31AB1E21"/>
    <w:rsid w:val="31B75CB4"/>
    <w:rsid w:val="31BE0053"/>
    <w:rsid w:val="31BE052E"/>
    <w:rsid w:val="31CA483D"/>
    <w:rsid w:val="31D156FC"/>
    <w:rsid w:val="320F2803"/>
    <w:rsid w:val="321043B9"/>
    <w:rsid w:val="32164D38"/>
    <w:rsid w:val="322713CA"/>
    <w:rsid w:val="322A3E5B"/>
    <w:rsid w:val="322A670F"/>
    <w:rsid w:val="32432616"/>
    <w:rsid w:val="3243394A"/>
    <w:rsid w:val="324C6483"/>
    <w:rsid w:val="32522469"/>
    <w:rsid w:val="32776BA9"/>
    <w:rsid w:val="327B2A0D"/>
    <w:rsid w:val="32B45676"/>
    <w:rsid w:val="32C5561F"/>
    <w:rsid w:val="32DC084A"/>
    <w:rsid w:val="32E12CEE"/>
    <w:rsid w:val="32E34CE2"/>
    <w:rsid w:val="32F669C8"/>
    <w:rsid w:val="33001B7A"/>
    <w:rsid w:val="331535A7"/>
    <w:rsid w:val="33182DFB"/>
    <w:rsid w:val="331A0CC8"/>
    <w:rsid w:val="331A7AF8"/>
    <w:rsid w:val="3324614F"/>
    <w:rsid w:val="33547948"/>
    <w:rsid w:val="335F2062"/>
    <w:rsid w:val="33686602"/>
    <w:rsid w:val="3369637D"/>
    <w:rsid w:val="336A7882"/>
    <w:rsid w:val="336D632F"/>
    <w:rsid w:val="339771F4"/>
    <w:rsid w:val="339B1393"/>
    <w:rsid w:val="33B71F93"/>
    <w:rsid w:val="33BF2903"/>
    <w:rsid w:val="33CD6404"/>
    <w:rsid w:val="33D354D0"/>
    <w:rsid w:val="33D46EDF"/>
    <w:rsid w:val="33E51BE7"/>
    <w:rsid w:val="33EF3CEA"/>
    <w:rsid w:val="33F07711"/>
    <w:rsid w:val="33FC203D"/>
    <w:rsid w:val="3406286A"/>
    <w:rsid w:val="34222A44"/>
    <w:rsid w:val="3464291B"/>
    <w:rsid w:val="34840E64"/>
    <w:rsid w:val="34890588"/>
    <w:rsid w:val="34910F9E"/>
    <w:rsid w:val="34911926"/>
    <w:rsid w:val="34927084"/>
    <w:rsid w:val="34A76BD5"/>
    <w:rsid w:val="34AF3A6D"/>
    <w:rsid w:val="34BD011B"/>
    <w:rsid w:val="34CD4B64"/>
    <w:rsid w:val="34D520AB"/>
    <w:rsid w:val="34D72B0D"/>
    <w:rsid w:val="34DF5BDE"/>
    <w:rsid w:val="34EE06B7"/>
    <w:rsid w:val="34F24CD0"/>
    <w:rsid w:val="34FD7410"/>
    <w:rsid w:val="35003219"/>
    <w:rsid w:val="35020CF9"/>
    <w:rsid w:val="351A6043"/>
    <w:rsid w:val="351C0EA2"/>
    <w:rsid w:val="35255512"/>
    <w:rsid w:val="35280DC0"/>
    <w:rsid w:val="3542168B"/>
    <w:rsid w:val="35461EBC"/>
    <w:rsid w:val="354716FF"/>
    <w:rsid w:val="354D7F75"/>
    <w:rsid w:val="354E7EA3"/>
    <w:rsid w:val="355A12E4"/>
    <w:rsid w:val="35605956"/>
    <w:rsid w:val="35756336"/>
    <w:rsid w:val="357B356E"/>
    <w:rsid w:val="3585603E"/>
    <w:rsid w:val="358D30B5"/>
    <w:rsid w:val="358F21E7"/>
    <w:rsid w:val="35914AC1"/>
    <w:rsid w:val="35921F18"/>
    <w:rsid w:val="359706D2"/>
    <w:rsid w:val="35A303EA"/>
    <w:rsid w:val="35A80566"/>
    <w:rsid w:val="35AA4F6C"/>
    <w:rsid w:val="35BE2E72"/>
    <w:rsid w:val="35E81506"/>
    <w:rsid w:val="35F73CF2"/>
    <w:rsid w:val="360407DE"/>
    <w:rsid w:val="361E461E"/>
    <w:rsid w:val="362236CD"/>
    <w:rsid w:val="364D069A"/>
    <w:rsid w:val="36507137"/>
    <w:rsid w:val="365628C0"/>
    <w:rsid w:val="365E4E53"/>
    <w:rsid w:val="36657792"/>
    <w:rsid w:val="36741C91"/>
    <w:rsid w:val="36745F37"/>
    <w:rsid w:val="368220F2"/>
    <w:rsid w:val="36826C73"/>
    <w:rsid w:val="368C5779"/>
    <w:rsid w:val="36943485"/>
    <w:rsid w:val="369D3512"/>
    <w:rsid w:val="36AD7FE4"/>
    <w:rsid w:val="36B54F4A"/>
    <w:rsid w:val="36B6196C"/>
    <w:rsid w:val="36C4252E"/>
    <w:rsid w:val="36D01095"/>
    <w:rsid w:val="36D466C5"/>
    <w:rsid w:val="36E1641D"/>
    <w:rsid w:val="36E6311A"/>
    <w:rsid w:val="36F13492"/>
    <w:rsid w:val="36FD3CFD"/>
    <w:rsid w:val="37024C59"/>
    <w:rsid w:val="370F2612"/>
    <w:rsid w:val="37101BB1"/>
    <w:rsid w:val="37237B4D"/>
    <w:rsid w:val="3729161C"/>
    <w:rsid w:val="372F0DF2"/>
    <w:rsid w:val="373677D5"/>
    <w:rsid w:val="37433BFB"/>
    <w:rsid w:val="37471BEF"/>
    <w:rsid w:val="376923BA"/>
    <w:rsid w:val="37733813"/>
    <w:rsid w:val="377E264B"/>
    <w:rsid w:val="378823DF"/>
    <w:rsid w:val="378E20BB"/>
    <w:rsid w:val="37941218"/>
    <w:rsid w:val="37945822"/>
    <w:rsid w:val="37990A35"/>
    <w:rsid w:val="37A12891"/>
    <w:rsid w:val="37AD65C6"/>
    <w:rsid w:val="37BB0FD8"/>
    <w:rsid w:val="37C1407A"/>
    <w:rsid w:val="37C35F96"/>
    <w:rsid w:val="37C4673A"/>
    <w:rsid w:val="37CA1A7A"/>
    <w:rsid w:val="37D31ED9"/>
    <w:rsid w:val="37E35871"/>
    <w:rsid w:val="37F5270D"/>
    <w:rsid w:val="37FE10B8"/>
    <w:rsid w:val="37FE7227"/>
    <w:rsid w:val="380B32C6"/>
    <w:rsid w:val="381309C6"/>
    <w:rsid w:val="3827564E"/>
    <w:rsid w:val="386211A0"/>
    <w:rsid w:val="38774AC4"/>
    <w:rsid w:val="387A2AEC"/>
    <w:rsid w:val="38980B25"/>
    <w:rsid w:val="38B676A5"/>
    <w:rsid w:val="38B7004D"/>
    <w:rsid w:val="38B91722"/>
    <w:rsid w:val="38F44ED4"/>
    <w:rsid w:val="38F86829"/>
    <w:rsid w:val="39097304"/>
    <w:rsid w:val="39205BF2"/>
    <w:rsid w:val="3922196A"/>
    <w:rsid w:val="392502E5"/>
    <w:rsid w:val="393741B4"/>
    <w:rsid w:val="39531710"/>
    <w:rsid w:val="395D3D25"/>
    <w:rsid w:val="396804A8"/>
    <w:rsid w:val="397074D5"/>
    <w:rsid w:val="39770641"/>
    <w:rsid w:val="397B405B"/>
    <w:rsid w:val="397D525A"/>
    <w:rsid w:val="39981BEB"/>
    <w:rsid w:val="39AC75EE"/>
    <w:rsid w:val="39B916DF"/>
    <w:rsid w:val="39BB0FFD"/>
    <w:rsid w:val="39DC2DAA"/>
    <w:rsid w:val="39DD0D52"/>
    <w:rsid w:val="39E81252"/>
    <w:rsid w:val="39ED01CA"/>
    <w:rsid w:val="39EE69BC"/>
    <w:rsid w:val="39F01DE6"/>
    <w:rsid w:val="39F24125"/>
    <w:rsid w:val="3A00359B"/>
    <w:rsid w:val="3A147893"/>
    <w:rsid w:val="3A24028F"/>
    <w:rsid w:val="3A3718D6"/>
    <w:rsid w:val="3A4660AA"/>
    <w:rsid w:val="3A5E3659"/>
    <w:rsid w:val="3A64520B"/>
    <w:rsid w:val="3A775CE5"/>
    <w:rsid w:val="3A7D3282"/>
    <w:rsid w:val="3A83468A"/>
    <w:rsid w:val="3A9F77C4"/>
    <w:rsid w:val="3AE8089A"/>
    <w:rsid w:val="3AF026AF"/>
    <w:rsid w:val="3AFB240E"/>
    <w:rsid w:val="3AFD5CD9"/>
    <w:rsid w:val="3B1919AB"/>
    <w:rsid w:val="3B246193"/>
    <w:rsid w:val="3B2A61EB"/>
    <w:rsid w:val="3B2C4003"/>
    <w:rsid w:val="3B322AFF"/>
    <w:rsid w:val="3B340B6C"/>
    <w:rsid w:val="3B5E09F6"/>
    <w:rsid w:val="3B6B12B0"/>
    <w:rsid w:val="3B790184"/>
    <w:rsid w:val="3B88270F"/>
    <w:rsid w:val="3BAB27D1"/>
    <w:rsid w:val="3BAD7364"/>
    <w:rsid w:val="3BBE60C2"/>
    <w:rsid w:val="3BC34952"/>
    <w:rsid w:val="3BCB0097"/>
    <w:rsid w:val="3BE01FA9"/>
    <w:rsid w:val="3BE82D14"/>
    <w:rsid w:val="3BEA7FE9"/>
    <w:rsid w:val="3BFC2F3F"/>
    <w:rsid w:val="3C05618E"/>
    <w:rsid w:val="3C25022E"/>
    <w:rsid w:val="3C2C06BD"/>
    <w:rsid w:val="3C343788"/>
    <w:rsid w:val="3C435976"/>
    <w:rsid w:val="3C5B4206"/>
    <w:rsid w:val="3C64645A"/>
    <w:rsid w:val="3C656018"/>
    <w:rsid w:val="3C667DB0"/>
    <w:rsid w:val="3C6C06DF"/>
    <w:rsid w:val="3C7B68BB"/>
    <w:rsid w:val="3C946D71"/>
    <w:rsid w:val="3CAE79D6"/>
    <w:rsid w:val="3CB369E7"/>
    <w:rsid w:val="3CB83945"/>
    <w:rsid w:val="3CC106AE"/>
    <w:rsid w:val="3CCE5337"/>
    <w:rsid w:val="3D0A559A"/>
    <w:rsid w:val="3D1E14E7"/>
    <w:rsid w:val="3D255602"/>
    <w:rsid w:val="3D3A558F"/>
    <w:rsid w:val="3D3C3A49"/>
    <w:rsid w:val="3D3D225B"/>
    <w:rsid w:val="3D577E3C"/>
    <w:rsid w:val="3D6C3114"/>
    <w:rsid w:val="3D7A74DC"/>
    <w:rsid w:val="3D7E5C88"/>
    <w:rsid w:val="3D8252C4"/>
    <w:rsid w:val="3D8C2AD7"/>
    <w:rsid w:val="3D996C27"/>
    <w:rsid w:val="3D9B0069"/>
    <w:rsid w:val="3D9E48C4"/>
    <w:rsid w:val="3DD017C1"/>
    <w:rsid w:val="3DDB77FC"/>
    <w:rsid w:val="3DEF7094"/>
    <w:rsid w:val="3DFF3C37"/>
    <w:rsid w:val="3E0445FE"/>
    <w:rsid w:val="3E3B08E6"/>
    <w:rsid w:val="3E3F581A"/>
    <w:rsid w:val="3E50322D"/>
    <w:rsid w:val="3E6C643E"/>
    <w:rsid w:val="3E7919F5"/>
    <w:rsid w:val="3E830253"/>
    <w:rsid w:val="3E8950E5"/>
    <w:rsid w:val="3EA13331"/>
    <w:rsid w:val="3EAB50B7"/>
    <w:rsid w:val="3EB41A1A"/>
    <w:rsid w:val="3EC571FD"/>
    <w:rsid w:val="3ECF0CFF"/>
    <w:rsid w:val="3EEB4417"/>
    <w:rsid w:val="3EFC73B7"/>
    <w:rsid w:val="3F082623"/>
    <w:rsid w:val="3F304E08"/>
    <w:rsid w:val="3F3D4A3D"/>
    <w:rsid w:val="3F3F4D49"/>
    <w:rsid w:val="3F4E2855"/>
    <w:rsid w:val="3F517949"/>
    <w:rsid w:val="3F5F0663"/>
    <w:rsid w:val="3F733AE9"/>
    <w:rsid w:val="3F7722E4"/>
    <w:rsid w:val="3F88009A"/>
    <w:rsid w:val="3F8A5A5C"/>
    <w:rsid w:val="3F8C337A"/>
    <w:rsid w:val="3F976986"/>
    <w:rsid w:val="3F9D725A"/>
    <w:rsid w:val="3F9E25CD"/>
    <w:rsid w:val="3FA708C6"/>
    <w:rsid w:val="3FAC46C9"/>
    <w:rsid w:val="3FBE264C"/>
    <w:rsid w:val="3FC04688"/>
    <w:rsid w:val="3FC35C6C"/>
    <w:rsid w:val="3FCC35A6"/>
    <w:rsid w:val="3FCE355B"/>
    <w:rsid w:val="3FDB2873"/>
    <w:rsid w:val="3FF94E2C"/>
    <w:rsid w:val="40035149"/>
    <w:rsid w:val="400351B4"/>
    <w:rsid w:val="4005743D"/>
    <w:rsid w:val="4010775A"/>
    <w:rsid w:val="40125316"/>
    <w:rsid w:val="4013337A"/>
    <w:rsid w:val="40143DF8"/>
    <w:rsid w:val="40266073"/>
    <w:rsid w:val="403703F1"/>
    <w:rsid w:val="40470673"/>
    <w:rsid w:val="404A445A"/>
    <w:rsid w:val="404A52B1"/>
    <w:rsid w:val="405E23E3"/>
    <w:rsid w:val="406E3A13"/>
    <w:rsid w:val="40863AC3"/>
    <w:rsid w:val="409A1F76"/>
    <w:rsid w:val="40A219AE"/>
    <w:rsid w:val="40B576E7"/>
    <w:rsid w:val="40B70D19"/>
    <w:rsid w:val="40C24133"/>
    <w:rsid w:val="40CA5AEE"/>
    <w:rsid w:val="40DC4E34"/>
    <w:rsid w:val="40E260D9"/>
    <w:rsid w:val="40F461DB"/>
    <w:rsid w:val="4103272C"/>
    <w:rsid w:val="410F300B"/>
    <w:rsid w:val="4125450E"/>
    <w:rsid w:val="413041F2"/>
    <w:rsid w:val="41421C8D"/>
    <w:rsid w:val="415119B9"/>
    <w:rsid w:val="416C56EA"/>
    <w:rsid w:val="417007D7"/>
    <w:rsid w:val="41713E0B"/>
    <w:rsid w:val="41744B76"/>
    <w:rsid w:val="417F375C"/>
    <w:rsid w:val="41951AB1"/>
    <w:rsid w:val="41953D1B"/>
    <w:rsid w:val="41BC64D5"/>
    <w:rsid w:val="41DA54BD"/>
    <w:rsid w:val="41E8185E"/>
    <w:rsid w:val="42084E7C"/>
    <w:rsid w:val="420F79EB"/>
    <w:rsid w:val="42111AC4"/>
    <w:rsid w:val="421B685C"/>
    <w:rsid w:val="42323D88"/>
    <w:rsid w:val="423F1FDD"/>
    <w:rsid w:val="42435B11"/>
    <w:rsid w:val="42584A8A"/>
    <w:rsid w:val="426116DE"/>
    <w:rsid w:val="42786A51"/>
    <w:rsid w:val="42886EC3"/>
    <w:rsid w:val="429163FD"/>
    <w:rsid w:val="42963474"/>
    <w:rsid w:val="42AA0529"/>
    <w:rsid w:val="42AF2E88"/>
    <w:rsid w:val="42B14668"/>
    <w:rsid w:val="42DF1B53"/>
    <w:rsid w:val="42E414AE"/>
    <w:rsid w:val="43171E14"/>
    <w:rsid w:val="431B6658"/>
    <w:rsid w:val="432F53AF"/>
    <w:rsid w:val="435E4B64"/>
    <w:rsid w:val="436379C5"/>
    <w:rsid w:val="437A14BF"/>
    <w:rsid w:val="438A50B6"/>
    <w:rsid w:val="4399065B"/>
    <w:rsid w:val="43992916"/>
    <w:rsid w:val="43C56BDE"/>
    <w:rsid w:val="43CC5F2C"/>
    <w:rsid w:val="43E234DF"/>
    <w:rsid w:val="43E52CC5"/>
    <w:rsid w:val="43E960F8"/>
    <w:rsid w:val="43EC292D"/>
    <w:rsid w:val="43FC25A4"/>
    <w:rsid w:val="43FF2AD0"/>
    <w:rsid w:val="44052CBA"/>
    <w:rsid w:val="440740E3"/>
    <w:rsid w:val="440954ED"/>
    <w:rsid w:val="440C143D"/>
    <w:rsid w:val="44142F49"/>
    <w:rsid w:val="442C7144"/>
    <w:rsid w:val="443E5A02"/>
    <w:rsid w:val="444A6E63"/>
    <w:rsid w:val="44620E2F"/>
    <w:rsid w:val="44734028"/>
    <w:rsid w:val="4475210F"/>
    <w:rsid w:val="44830EA6"/>
    <w:rsid w:val="4488274F"/>
    <w:rsid w:val="449D3C54"/>
    <w:rsid w:val="44D04318"/>
    <w:rsid w:val="44D41F91"/>
    <w:rsid w:val="44DC2DC4"/>
    <w:rsid w:val="44DD0CDA"/>
    <w:rsid w:val="44E87738"/>
    <w:rsid w:val="44F66110"/>
    <w:rsid w:val="451D4B80"/>
    <w:rsid w:val="4523563D"/>
    <w:rsid w:val="452926E8"/>
    <w:rsid w:val="45340E1B"/>
    <w:rsid w:val="45512375"/>
    <w:rsid w:val="456C6947"/>
    <w:rsid w:val="456D6663"/>
    <w:rsid w:val="457237A9"/>
    <w:rsid w:val="45742F08"/>
    <w:rsid w:val="4579370A"/>
    <w:rsid w:val="459C0CF6"/>
    <w:rsid w:val="459D0F13"/>
    <w:rsid w:val="45AE7782"/>
    <w:rsid w:val="45B279E4"/>
    <w:rsid w:val="45D02B0C"/>
    <w:rsid w:val="45DB5496"/>
    <w:rsid w:val="45DD1335"/>
    <w:rsid w:val="45E21FE7"/>
    <w:rsid w:val="45ED40E2"/>
    <w:rsid w:val="45ED4FA4"/>
    <w:rsid w:val="45F1221E"/>
    <w:rsid w:val="45F262B7"/>
    <w:rsid w:val="45F865A3"/>
    <w:rsid w:val="460A2471"/>
    <w:rsid w:val="460C19D8"/>
    <w:rsid w:val="464D3810"/>
    <w:rsid w:val="464F15EF"/>
    <w:rsid w:val="465511B3"/>
    <w:rsid w:val="46560EA5"/>
    <w:rsid w:val="46575EC8"/>
    <w:rsid w:val="46677ABB"/>
    <w:rsid w:val="46737C6F"/>
    <w:rsid w:val="468635AE"/>
    <w:rsid w:val="4693603D"/>
    <w:rsid w:val="469B6A1E"/>
    <w:rsid w:val="46A23D50"/>
    <w:rsid w:val="46A42DF8"/>
    <w:rsid w:val="46AF2439"/>
    <w:rsid w:val="46BE6BCD"/>
    <w:rsid w:val="46C916D3"/>
    <w:rsid w:val="46CB5C37"/>
    <w:rsid w:val="46D05B31"/>
    <w:rsid w:val="46EE0EDA"/>
    <w:rsid w:val="46F9303C"/>
    <w:rsid w:val="47154453"/>
    <w:rsid w:val="47210AB5"/>
    <w:rsid w:val="47355090"/>
    <w:rsid w:val="47423169"/>
    <w:rsid w:val="474336A4"/>
    <w:rsid w:val="47482A84"/>
    <w:rsid w:val="475048B6"/>
    <w:rsid w:val="47583D74"/>
    <w:rsid w:val="475F36B2"/>
    <w:rsid w:val="479653C5"/>
    <w:rsid w:val="47A26A3C"/>
    <w:rsid w:val="47B72BD9"/>
    <w:rsid w:val="47BE24AA"/>
    <w:rsid w:val="47BF7E31"/>
    <w:rsid w:val="47CA0AC9"/>
    <w:rsid w:val="47D7253A"/>
    <w:rsid w:val="47DB3D58"/>
    <w:rsid w:val="47E2428C"/>
    <w:rsid w:val="47E77A11"/>
    <w:rsid w:val="47E83C04"/>
    <w:rsid w:val="47EE5734"/>
    <w:rsid w:val="480E07D8"/>
    <w:rsid w:val="481C6DA3"/>
    <w:rsid w:val="482B24EA"/>
    <w:rsid w:val="4860425D"/>
    <w:rsid w:val="486924B1"/>
    <w:rsid w:val="487735EE"/>
    <w:rsid w:val="487970CD"/>
    <w:rsid w:val="488A2EB7"/>
    <w:rsid w:val="48902B3C"/>
    <w:rsid w:val="48A326ED"/>
    <w:rsid w:val="48AB58C3"/>
    <w:rsid w:val="48AF1997"/>
    <w:rsid w:val="48B013B1"/>
    <w:rsid w:val="48C03C76"/>
    <w:rsid w:val="48C4391C"/>
    <w:rsid w:val="48C775B3"/>
    <w:rsid w:val="48C93E5F"/>
    <w:rsid w:val="48CB3363"/>
    <w:rsid w:val="48EB6461"/>
    <w:rsid w:val="48F10FE7"/>
    <w:rsid w:val="48F7551F"/>
    <w:rsid w:val="48FD2C21"/>
    <w:rsid w:val="48FF04F9"/>
    <w:rsid w:val="4903586B"/>
    <w:rsid w:val="49131BB2"/>
    <w:rsid w:val="49160122"/>
    <w:rsid w:val="49186988"/>
    <w:rsid w:val="492822E2"/>
    <w:rsid w:val="49284D7B"/>
    <w:rsid w:val="492E4E74"/>
    <w:rsid w:val="4931444D"/>
    <w:rsid w:val="494F46CF"/>
    <w:rsid w:val="4961011A"/>
    <w:rsid w:val="497751F7"/>
    <w:rsid w:val="499A2986"/>
    <w:rsid w:val="499F7F0B"/>
    <w:rsid w:val="49A200E2"/>
    <w:rsid w:val="49A72FB2"/>
    <w:rsid w:val="49AD58E5"/>
    <w:rsid w:val="49B133BD"/>
    <w:rsid w:val="49B75190"/>
    <w:rsid w:val="49C72642"/>
    <w:rsid w:val="49CC519F"/>
    <w:rsid w:val="49D60DA0"/>
    <w:rsid w:val="49DC64FA"/>
    <w:rsid w:val="49DD13EB"/>
    <w:rsid w:val="49E07403"/>
    <w:rsid w:val="49EA6878"/>
    <w:rsid w:val="49F15863"/>
    <w:rsid w:val="49F242C9"/>
    <w:rsid w:val="49F44FF0"/>
    <w:rsid w:val="4A030844"/>
    <w:rsid w:val="4A0D7F42"/>
    <w:rsid w:val="4A130CD4"/>
    <w:rsid w:val="4A1B647C"/>
    <w:rsid w:val="4A2A2D74"/>
    <w:rsid w:val="4A2B6F2D"/>
    <w:rsid w:val="4A541C13"/>
    <w:rsid w:val="4A7D7215"/>
    <w:rsid w:val="4A845BD3"/>
    <w:rsid w:val="4A8D52FB"/>
    <w:rsid w:val="4A8D56DE"/>
    <w:rsid w:val="4A9E3173"/>
    <w:rsid w:val="4AB33A2C"/>
    <w:rsid w:val="4AB47A12"/>
    <w:rsid w:val="4AB538C9"/>
    <w:rsid w:val="4ABE260E"/>
    <w:rsid w:val="4ACC7988"/>
    <w:rsid w:val="4AD66CD6"/>
    <w:rsid w:val="4AD74653"/>
    <w:rsid w:val="4AE07DFB"/>
    <w:rsid w:val="4AE23121"/>
    <w:rsid w:val="4AEC627C"/>
    <w:rsid w:val="4AEE16B8"/>
    <w:rsid w:val="4AEF24ED"/>
    <w:rsid w:val="4AF96CB6"/>
    <w:rsid w:val="4AFD5169"/>
    <w:rsid w:val="4B093295"/>
    <w:rsid w:val="4B0C06DC"/>
    <w:rsid w:val="4B184095"/>
    <w:rsid w:val="4B2043B8"/>
    <w:rsid w:val="4B285F31"/>
    <w:rsid w:val="4B406692"/>
    <w:rsid w:val="4B492A3B"/>
    <w:rsid w:val="4B497029"/>
    <w:rsid w:val="4B5C74E9"/>
    <w:rsid w:val="4B5F3ED9"/>
    <w:rsid w:val="4B605F8F"/>
    <w:rsid w:val="4B634726"/>
    <w:rsid w:val="4B7D0C82"/>
    <w:rsid w:val="4B8F6E14"/>
    <w:rsid w:val="4B951AD0"/>
    <w:rsid w:val="4B9809FD"/>
    <w:rsid w:val="4BA17066"/>
    <w:rsid w:val="4BB0472C"/>
    <w:rsid w:val="4BBB33A6"/>
    <w:rsid w:val="4BBE46DB"/>
    <w:rsid w:val="4BC472D1"/>
    <w:rsid w:val="4BC54E66"/>
    <w:rsid w:val="4BCD57A7"/>
    <w:rsid w:val="4BCF788F"/>
    <w:rsid w:val="4BD84E75"/>
    <w:rsid w:val="4BDC5224"/>
    <w:rsid w:val="4BE76065"/>
    <w:rsid w:val="4BEA3BEA"/>
    <w:rsid w:val="4BEC4DB3"/>
    <w:rsid w:val="4BF149C3"/>
    <w:rsid w:val="4BFA4125"/>
    <w:rsid w:val="4C020E7B"/>
    <w:rsid w:val="4C23448B"/>
    <w:rsid w:val="4C345224"/>
    <w:rsid w:val="4C4C2771"/>
    <w:rsid w:val="4C543B22"/>
    <w:rsid w:val="4C5566D7"/>
    <w:rsid w:val="4C644E8C"/>
    <w:rsid w:val="4C742D40"/>
    <w:rsid w:val="4C746C1E"/>
    <w:rsid w:val="4C7C48A7"/>
    <w:rsid w:val="4C7C506B"/>
    <w:rsid w:val="4C7E2E1D"/>
    <w:rsid w:val="4C8E6172"/>
    <w:rsid w:val="4CA87F80"/>
    <w:rsid w:val="4CBB0A14"/>
    <w:rsid w:val="4CCB4740"/>
    <w:rsid w:val="4CCD1A64"/>
    <w:rsid w:val="4CD251A8"/>
    <w:rsid w:val="4CD52E3E"/>
    <w:rsid w:val="4CE57A8E"/>
    <w:rsid w:val="4CFB55CD"/>
    <w:rsid w:val="4D072D79"/>
    <w:rsid w:val="4D145D5B"/>
    <w:rsid w:val="4D17778C"/>
    <w:rsid w:val="4D281D25"/>
    <w:rsid w:val="4D2C015A"/>
    <w:rsid w:val="4D473BE7"/>
    <w:rsid w:val="4D5544C8"/>
    <w:rsid w:val="4D616AAD"/>
    <w:rsid w:val="4D700D45"/>
    <w:rsid w:val="4D73778C"/>
    <w:rsid w:val="4D745DFC"/>
    <w:rsid w:val="4D8663D0"/>
    <w:rsid w:val="4D8F10BC"/>
    <w:rsid w:val="4D8F631A"/>
    <w:rsid w:val="4D987A0C"/>
    <w:rsid w:val="4DA2170E"/>
    <w:rsid w:val="4DA226DD"/>
    <w:rsid w:val="4DBC6884"/>
    <w:rsid w:val="4DEE07CD"/>
    <w:rsid w:val="4DF010A0"/>
    <w:rsid w:val="4DF633EF"/>
    <w:rsid w:val="4E0361F9"/>
    <w:rsid w:val="4E04568A"/>
    <w:rsid w:val="4E096E2C"/>
    <w:rsid w:val="4E0B4471"/>
    <w:rsid w:val="4E131941"/>
    <w:rsid w:val="4E34712A"/>
    <w:rsid w:val="4E37534F"/>
    <w:rsid w:val="4E3A1C2D"/>
    <w:rsid w:val="4E463A07"/>
    <w:rsid w:val="4E4F7006"/>
    <w:rsid w:val="4E567965"/>
    <w:rsid w:val="4E5879FD"/>
    <w:rsid w:val="4E5B246B"/>
    <w:rsid w:val="4E6A6162"/>
    <w:rsid w:val="4E6A7AAB"/>
    <w:rsid w:val="4E6F7F3D"/>
    <w:rsid w:val="4E77126F"/>
    <w:rsid w:val="4E870CEC"/>
    <w:rsid w:val="4E932227"/>
    <w:rsid w:val="4E951779"/>
    <w:rsid w:val="4E9D5E6B"/>
    <w:rsid w:val="4EA310EA"/>
    <w:rsid w:val="4EAB5E7F"/>
    <w:rsid w:val="4EAB7B87"/>
    <w:rsid w:val="4EB27D68"/>
    <w:rsid w:val="4ECA4D18"/>
    <w:rsid w:val="4EDD4F23"/>
    <w:rsid w:val="4EF82C0F"/>
    <w:rsid w:val="4F1705ED"/>
    <w:rsid w:val="4F1B405C"/>
    <w:rsid w:val="4F221450"/>
    <w:rsid w:val="4F39547D"/>
    <w:rsid w:val="4F5831BF"/>
    <w:rsid w:val="4F5E50E8"/>
    <w:rsid w:val="4F6065C7"/>
    <w:rsid w:val="4F652289"/>
    <w:rsid w:val="4F67737B"/>
    <w:rsid w:val="4F766114"/>
    <w:rsid w:val="4F944AF3"/>
    <w:rsid w:val="4F9B48E0"/>
    <w:rsid w:val="4FB547BF"/>
    <w:rsid w:val="4FC674A3"/>
    <w:rsid w:val="4FD02DF6"/>
    <w:rsid w:val="4FD46E5C"/>
    <w:rsid w:val="4FD518A8"/>
    <w:rsid w:val="4FDA66A3"/>
    <w:rsid w:val="4FFB4A12"/>
    <w:rsid w:val="4FFB53F6"/>
    <w:rsid w:val="500B08C0"/>
    <w:rsid w:val="50136893"/>
    <w:rsid w:val="50187BDC"/>
    <w:rsid w:val="501A6B51"/>
    <w:rsid w:val="50271C76"/>
    <w:rsid w:val="503754C6"/>
    <w:rsid w:val="50435E55"/>
    <w:rsid w:val="50486282"/>
    <w:rsid w:val="50511B72"/>
    <w:rsid w:val="50693BBD"/>
    <w:rsid w:val="50700EA1"/>
    <w:rsid w:val="50795EBC"/>
    <w:rsid w:val="508D1967"/>
    <w:rsid w:val="50B109AF"/>
    <w:rsid w:val="50B9275C"/>
    <w:rsid w:val="50C9265F"/>
    <w:rsid w:val="50C954CC"/>
    <w:rsid w:val="50CF2053"/>
    <w:rsid w:val="50D856A5"/>
    <w:rsid w:val="50E20B5E"/>
    <w:rsid w:val="5112660F"/>
    <w:rsid w:val="5128530D"/>
    <w:rsid w:val="512C2F2E"/>
    <w:rsid w:val="51375B66"/>
    <w:rsid w:val="513A20EB"/>
    <w:rsid w:val="51475B9B"/>
    <w:rsid w:val="514F764A"/>
    <w:rsid w:val="515446F4"/>
    <w:rsid w:val="515C44D2"/>
    <w:rsid w:val="51607C8A"/>
    <w:rsid w:val="51646F20"/>
    <w:rsid w:val="51694C80"/>
    <w:rsid w:val="5173358C"/>
    <w:rsid w:val="51866838"/>
    <w:rsid w:val="518F457C"/>
    <w:rsid w:val="51917235"/>
    <w:rsid w:val="519E06BD"/>
    <w:rsid w:val="51A94649"/>
    <w:rsid w:val="51AD7117"/>
    <w:rsid w:val="51B71FD1"/>
    <w:rsid w:val="51BA3A7E"/>
    <w:rsid w:val="51CD59F0"/>
    <w:rsid w:val="51D37172"/>
    <w:rsid w:val="51DA6316"/>
    <w:rsid w:val="51FE1BA6"/>
    <w:rsid w:val="52115C1C"/>
    <w:rsid w:val="521E385D"/>
    <w:rsid w:val="521F3230"/>
    <w:rsid w:val="522A6D57"/>
    <w:rsid w:val="522F077A"/>
    <w:rsid w:val="52306B3C"/>
    <w:rsid w:val="523606E4"/>
    <w:rsid w:val="524E1C99"/>
    <w:rsid w:val="525700F4"/>
    <w:rsid w:val="525A5EFE"/>
    <w:rsid w:val="526724C9"/>
    <w:rsid w:val="52692625"/>
    <w:rsid w:val="527E1DD7"/>
    <w:rsid w:val="527F727E"/>
    <w:rsid w:val="52983A2D"/>
    <w:rsid w:val="52993E93"/>
    <w:rsid w:val="529E0439"/>
    <w:rsid w:val="52A835F0"/>
    <w:rsid w:val="52AC20F1"/>
    <w:rsid w:val="52B45828"/>
    <w:rsid w:val="52BD4667"/>
    <w:rsid w:val="52C4650C"/>
    <w:rsid w:val="52C75BB0"/>
    <w:rsid w:val="52C9432D"/>
    <w:rsid w:val="52D16FF2"/>
    <w:rsid w:val="52DB5A3F"/>
    <w:rsid w:val="52DC0984"/>
    <w:rsid w:val="52E674BE"/>
    <w:rsid w:val="52EC48FA"/>
    <w:rsid w:val="530748DF"/>
    <w:rsid w:val="531225F7"/>
    <w:rsid w:val="53222E14"/>
    <w:rsid w:val="53300FB6"/>
    <w:rsid w:val="533019DA"/>
    <w:rsid w:val="53475D3A"/>
    <w:rsid w:val="53655A80"/>
    <w:rsid w:val="538B42DE"/>
    <w:rsid w:val="539E6AA6"/>
    <w:rsid w:val="53A60DD5"/>
    <w:rsid w:val="53A87967"/>
    <w:rsid w:val="53CC5E1A"/>
    <w:rsid w:val="53D127E7"/>
    <w:rsid w:val="53DC7670"/>
    <w:rsid w:val="53EC1861"/>
    <w:rsid w:val="53F76048"/>
    <w:rsid w:val="542F35D9"/>
    <w:rsid w:val="542F444C"/>
    <w:rsid w:val="543876E2"/>
    <w:rsid w:val="543A3C6A"/>
    <w:rsid w:val="543C7CB2"/>
    <w:rsid w:val="54576514"/>
    <w:rsid w:val="545F6B68"/>
    <w:rsid w:val="54703B76"/>
    <w:rsid w:val="54AF37EA"/>
    <w:rsid w:val="54C16897"/>
    <w:rsid w:val="54CF1AAB"/>
    <w:rsid w:val="54D45DB6"/>
    <w:rsid w:val="54ED448D"/>
    <w:rsid w:val="54F55A9E"/>
    <w:rsid w:val="55010C6B"/>
    <w:rsid w:val="55025A45"/>
    <w:rsid w:val="55092FAD"/>
    <w:rsid w:val="55194651"/>
    <w:rsid w:val="551E3960"/>
    <w:rsid w:val="553B4087"/>
    <w:rsid w:val="556154BA"/>
    <w:rsid w:val="5585712D"/>
    <w:rsid w:val="558D4110"/>
    <w:rsid w:val="559912AF"/>
    <w:rsid w:val="559961B4"/>
    <w:rsid w:val="55AA6225"/>
    <w:rsid w:val="55AE6718"/>
    <w:rsid w:val="55EC13BA"/>
    <w:rsid w:val="55F94F8E"/>
    <w:rsid w:val="55FB6C1C"/>
    <w:rsid w:val="56004989"/>
    <w:rsid w:val="56110C10"/>
    <w:rsid w:val="561428C1"/>
    <w:rsid w:val="56150EB3"/>
    <w:rsid w:val="561901FA"/>
    <w:rsid w:val="561E2D2C"/>
    <w:rsid w:val="561F3CB6"/>
    <w:rsid w:val="56233904"/>
    <w:rsid w:val="56796C5B"/>
    <w:rsid w:val="56803E23"/>
    <w:rsid w:val="568E1D15"/>
    <w:rsid w:val="56955916"/>
    <w:rsid w:val="569A6E40"/>
    <w:rsid w:val="56AE6EA8"/>
    <w:rsid w:val="56B83943"/>
    <w:rsid w:val="56BA113F"/>
    <w:rsid w:val="56C41882"/>
    <w:rsid w:val="56C5420E"/>
    <w:rsid w:val="56D54E6B"/>
    <w:rsid w:val="56DC53F6"/>
    <w:rsid w:val="56DD6FA5"/>
    <w:rsid w:val="56DF626B"/>
    <w:rsid w:val="56EC2D4F"/>
    <w:rsid w:val="56FB3FF9"/>
    <w:rsid w:val="56FD2198"/>
    <w:rsid w:val="57114899"/>
    <w:rsid w:val="5718099E"/>
    <w:rsid w:val="571F4340"/>
    <w:rsid w:val="572409FC"/>
    <w:rsid w:val="57380C37"/>
    <w:rsid w:val="5739626B"/>
    <w:rsid w:val="574717EA"/>
    <w:rsid w:val="574E13AD"/>
    <w:rsid w:val="577522C7"/>
    <w:rsid w:val="57861513"/>
    <w:rsid w:val="5789573D"/>
    <w:rsid w:val="578C704A"/>
    <w:rsid w:val="57981B34"/>
    <w:rsid w:val="579A1FB5"/>
    <w:rsid w:val="579B7EDC"/>
    <w:rsid w:val="57A13883"/>
    <w:rsid w:val="57A2525D"/>
    <w:rsid w:val="57B671D8"/>
    <w:rsid w:val="57BF3979"/>
    <w:rsid w:val="57D70AD3"/>
    <w:rsid w:val="57E74CF7"/>
    <w:rsid w:val="57E825D4"/>
    <w:rsid w:val="57F413E2"/>
    <w:rsid w:val="57F70468"/>
    <w:rsid w:val="581329DA"/>
    <w:rsid w:val="581D1822"/>
    <w:rsid w:val="58230D38"/>
    <w:rsid w:val="5837317F"/>
    <w:rsid w:val="583B5B3E"/>
    <w:rsid w:val="583B6401"/>
    <w:rsid w:val="584157D2"/>
    <w:rsid w:val="584331DC"/>
    <w:rsid w:val="586036A7"/>
    <w:rsid w:val="586D0393"/>
    <w:rsid w:val="587F7ED1"/>
    <w:rsid w:val="589D49D4"/>
    <w:rsid w:val="589D5EBC"/>
    <w:rsid w:val="58A219B7"/>
    <w:rsid w:val="58A2448A"/>
    <w:rsid w:val="58A45E46"/>
    <w:rsid w:val="58C06677"/>
    <w:rsid w:val="58C17993"/>
    <w:rsid w:val="58E93DFA"/>
    <w:rsid w:val="590C62DF"/>
    <w:rsid w:val="590E7B63"/>
    <w:rsid w:val="5911704A"/>
    <w:rsid w:val="591E31B2"/>
    <w:rsid w:val="593239B2"/>
    <w:rsid w:val="593D52A0"/>
    <w:rsid w:val="594279D7"/>
    <w:rsid w:val="59434133"/>
    <w:rsid w:val="59796DE8"/>
    <w:rsid w:val="599A30CF"/>
    <w:rsid w:val="59AE331A"/>
    <w:rsid w:val="59B1531E"/>
    <w:rsid w:val="59B31432"/>
    <w:rsid w:val="59B86BB4"/>
    <w:rsid w:val="59BC5BAA"/>
    <w:rsid w:val="59C52172"/>
    <w:rsid w:val="59C85D98"/>
    <w:rsid w:val="59DC530F"/>
    <w:rsid w:val="59DD0BC9"/>
    <w:rsid w:val="59DE647C"/>
    <w:rsid w:val="59EC3697"/>
    <w:rsid w:val="59EE732A"/>
    <w:rsid w:val="59F24F64"/>
    <w:rsid w:val="59F83A7F"/>
    <w:rsid w:val="5A063D38"/>
    <w:rsid w:val="5A142786"/>
    <w:rsid w:val="5A2B00AB"/>
    <w:rsid w:val="5A3A281E"/>
    <w:rsid w:val="5A3C6AE3"/>
    <w:rsid w:val="5A4C6AB4"/>
    <w:rsid w:val="5A4C6EDF"/>
    <w:rsid w:val="5A517945"/>
    <w:rsid w:val="5A60354C"/>
    <w:rsid w:val="5A684474"/>
    <w:rsid w:val="5A807B8B"/>
    <w:rsid w:val="5A8B483A"/>
    <w:rsid w:val="5A9B3CFD"/>
    <w:rsid w:val="5AAD0BDB"/>
    <w:rsid w:val="5AB10E32"/>
    <w:rsid w:val="5AC44599"/>
    <w:rsid w:val="5ADF07E8"/>
    <w:rsid w:val="5AE979C9"/>
    <w:rsid w:val="5AEC6396"/>
    <w:rsid w:val="5B07328E"/>
    <w:rsid w:val="5B376556"/>
    <w:rsid w:val="5B393C4D"/>
    <w:rsid w:val="5B4165B4"/>
    <w:rsid w:val="5B451EA5"/>
    <w:rsid w:val="5B5F159B"/>
    <w:rsid w:val="5B750D47"/>
    <w:rsid w:val="5B7610DF"/>
    <w:rsid w:val="5B7B1DBC"/>
    <w:rsid w:val="5B820CEA"/>
    <w:rsid w:val="5B830C39"/>
    <w:rsid w:val="5BC815A9"/>
    <w:rsid w:val="5BD60666"/>
    <w:rsid w:val="5BDF10EC"/>
    <w:rsid w:val="5BE11AD0"/>
    <w:rsid w:val="5BF65E4A"/>
    <w:rsid w:val="5BFC5DEF"/>
    <w:rsid w:val="5C031C08"/>
    <w:rsid w:val="5C073493"/>
    <w:rsid w:val="5C08313A"/>
    <w:rsid w:val="5C271679"/>
    <w:rsid w:val="5C277A24"/>
    <w:rsid w:val="5C284D5E"/>
    <w:rsid w:val="5C2C3EF8"/>
    <w:rsid w:val="5C2F6D78"/>
    <w:rsid w:val="5C3071E6"/>
    <w:rsid w:val="5C3F504C"/>
    <w:rsid w:val="5C4707B9"/>
    <w:rsid w:val="5C526139"/>
    <w:rsid w:val="5C5675E5"/>
    <w:rsid w:val="5C5F5E7F"/>
    <w:rsid w:val="5C646B0E"/>
    <w:rsid w:val="5C65426F"/>
    <w:rsid w:val="5C731A7F"/>
    <w:rsid w:val="5C7569AD"/>
    <w:rsid w:val="5CAF2C03"/>
    <w:rsid w:val="5CD062DF"/>
    <w:rsid w:val="5CD27D37"/>
    <w:rsid w:val="5CD36B2E"/>
    <w:rsid w:val="5CD4779E"/>
    <w:rsid w:val="5CD677DA"/>
    <w:rsid w:val="5CD821BC"/>
    <w:rsid w:val="5CDE27BC"/>
    <w:rsid w:val="5D137532"/>
    <w:rsid w:val="5D157C88"/>
    <w:rsid w:val="5D1E0ED1"/>
    <w:rsid w:val="5D374EE4"/>
    <w:rsid w:val="5D496913"/>
    <w:rsid w:val="5D604E1A"/>
    <w:rsid w:val="5D613ECE"/>
    <w:rsid w:val="5D6A6E55"/>
    <w:rsid w:val="5D6E48CE"/>
    <w:rsid w:val="5D76283E"/>
    <w:rsid w:val="5D8306C9"/>
    <w:rsid w:val="5D842A1D"/>
    <w:rsid w:val="5DB20FCB"/>
    <w:rsid w:val="5DB46785"/>
    <w:rsid w:val="5DB70023"/>
    <w:rsid w:val="5DC8227C"/>
    <w:rsid w:val="5DE51229"/>
    <w:rsid w:val="5DF31E43"/>
    <w:rsid w:val="5E021953"/>
    <w:rsid w:val="5E036527"/>
    <w:rsid w:val="5E04757B"/>
    <w:rsid w:val="5E087B7C"/>
    <w:rsid w:val="5E0E54E0"/>
    <w:rsid w:val="5E207E63"/>
    <w:rsid w:val="5E4565B9"/>
    <w:rsid w:val="5E4B0A93"/>
    <w:rsid w:val="5E7E1766"/>
    <w:rsid w:val="5E8F38D1"/>
    <w:rsid w:val="5E927AEF"/>
    <w:rsid w:val="5EB37363"/>
    <w:rsid w:val="5EBA5D65"/>
    <w:rsid w:val="5EBF4211"/>
    <w:rsid w:val="5EC4031F"/>
    <w:rsid w:val="5EC6445F"/>
    <w:rsid w:val="5ED50336"/>
    <w:rsid w:val="5ED65319"/>
    <w:rsid w:val="5EEB5E61"/>
    <w:rsid w:val="5EF1586C"/>
    <w:rsid w:val="5F2141F8"/>
    <w:rsid w:val="5F46047A"/>
    <w:rsid w:val="5F4A68D0"/>
    <w:rsid w:val="5F7A0801"/>
    <w:rsid w:val="5F843E24"/>
    <w:rsid w:val="5F8D62F8"/>
    <w:rsid w:val="5FA23D09"/>
    <w:rsid w:val="5FAF7865"/>
    <w:rsid w:val="5FB5B2C3"/>
    <w:rsid w:val="5FB73F3B"/>
    <w:rsid w:val="5FC13AAF"/>
    <w:rsid w:val="5FC67588"/>
    <w:rsid w:val="5FD046CB"/>
    <w:rsid w:val="5FE73D0E"/>
    <w:rsid w:val="60067040"/>
    <w:rsid w:val="6008140F"/>
    <w:rsid w:val="60086F0A"/>
    <w:rsid w:val="601B4A47"/>
    <w:rsid w:val="60217A1A"/>
    <w:rsid w:val="603C0CB4"/>
    <w:rsid w:val="604270E5"/>
    <w:rsid w:val="604D05E2"/>
    <w:rsid w:val="605F20D7"/>
    <w:rsid w:val="60646418"/>
    <w:rsid w:val="60691264"/>
    <w:rsid w:val="60727922"/>
    <w:rsid w:val="60761A02"/>
    <w:rsid w:val="607704D1"/>
    <w:rsid w:val="608D24C2"/>
    <w:rsid w:val="609A3072"/>
    <w:rsid w:val="609E62ED"/>
    <w:rsid w:val="60A76608"/>
    <w:rsid w:val="60A80CA6"/>
    <w:rsid w:val="60B26B24"/>
    <w:rsid w:val="60B322B3"/>
    <w:rsid w:val="60BF1DF9"/>
    <w:rsid w:val="60CF14B0"/>
    <w:rsid w:val="60EE0218"/>
    <w:rsid w:val="60FA4B1B"/>
    <w:rsid w:val="60FE7FA1"/>
    <w:rsid w:val="610544EA"/>
    <w:rsid w:val="61091E5D"/>
    <w:rsid w:val="610A7CB7"/>
    <w:rsid w:val="611F56E1"/>
    <w:rsid w:val="61353591"/>
    <w:rsid w:val="614B40F4"/>
    <w:rsid w:val="6160227E"/>
    <w:rsid w:val="616051E4"/>
    <w:rsid w:val="6162303C"/>
    <w:rsid w:val="616E53C9"/>
    <w:rsid w:val="616E7593"/>
    <w:rsid w:val="616F678F"/>
    <w:rsid w:val="61775741"/>
    <w:rsid w:val="618C32E6"/>
    <w:rsid w:val="61942B31"/>
    <w:rsid w:val="6198048B"/>
    <w:rsid w:val="61B17E42"/>
    <w:rsid w:val="61BB3420"/>
    <w:rsid w:val="61D17319"/>
    <w:rsid w:val="61D81473"/>
    <w:rsid w:val="61F77AB6"/>
    <w:rsid w:val="620436BF"/>
    <w:rsid w:val="621078B3"/>
    <w:rsid w:val="62186A15"/>
    <w:rsid w:val="621A2E5F"/>
    <w:rsid w:val="621F7BE7"/>
    <w:rsid w:val="6226668F"/>
    <w:rsid w:val="62322E1F"/>
    <w:rsid w:val="623624F2"/>
    <w:rsid w:val="62406662"/>
    <w:rsid w:val="624A6F2B"/>
    <w:rsid w:val="62577A6A"/>
    <w:rsid w:val="62584960"/>
    <w:rsid w:val="6259394F"/>
    <w:rsid w:val="625B15D8"/>
    <w:rsid w:val="62691671"/>
    <w:rsid w:val="62875AAB"/>
    <w:rsid w:val="62BC0D55"/>
    <w:rsid w:val="62BC6E3C"/>
    <w:rsid w:val="62E0150F"/>
    <w:rsid w:val="62E02F60"/>
    <w:rsid w:val="62F526E7"/>
    <w:rsid w:val="63106D5B"/>
    <w:rsid w:val="63217F73"/>
    <w:rsid w:val="63316ACA"/>
    <w:rsid w:val="6332766D"/>
    <w:rsid w:val="63396158"/>
    <w:rsid w:val="633C5B98"/>
    <w:rsid w:val="63430D2A"/>
    <w:rsid w:val="63473BF7"/>
    <w:rsid w:val="634D61C9"/>
    <w:rsid w:val="635C4C57"/>
    <w:rsid w:val="635C750D"/>
    <w:rsid w:val="63674CA4"/>
    <w:rsid w:val="63677654"/>
    <w:rsid w:val="63A54F06"/>
    <w:rsid w:val="63AD6951"/>
    <w:rsid w:val="63B16962"/>
    <w:rsid w:val="63BA2EDA"/>
    <w:rsid w:val="63C9624A"/>
    <w:rsid w:val="63CC601E"/>
    <w:rsid w:val="63D719DB"/>
    <w:rsid w:val="63ED4724"/>
    <w:rsid w:val="63F80D94"/>
    <w:rsid w:val="63FF6FFC"/>
    <w:rsid w:val="64001A81"/>
    <w:rsid w:val="64026854"/>
    <w:rsid w:val="642C665E"/>
    <w:rsid w:val="643D2B73"/>
    <w:rsid w:val="64447CE7"/>
    <w:rsid w:val="644857E1"/>
    <w:rsid w:val="644A226C"/>
    <w:rsid w:val="64525187"/>
    <w:rsid w:val="64553A5C"/>
    <w:rsid w:val="6462771D"/>
    <w:rsid w:val="64750A67"/>
    <w:rsid w:val="648F4603"/>
    <w:rsid w:val="64940BBC"/>
    <w:rsid w:val="649D6000"/>
    <w:rsid w:val="64A22D34"/>
    <w:rsid w:val="64B2181C"/>
    <w:rsid w:val="64BD6D1E"/>
    <w:rsid w:val="64CA3146"/>
    <w:rsid w:val="64CF2FBB"/>
    <w:rsid w:val="64D076D0"/>
    <w:rsid w:val="64D25ADC"/>
    <w:rsid w:val="64D8700C"/>
    <w:rsid w:val="64DA642E"/>
    <w:rsid w:val="64FB1BDE"/>
    <w:rsid w:val="651A5F91"/>
    <w:rsid w:val="652C5EB4"/>
    <w:rsid w:val="654B2836"/>
    <w:rsid w:val="6556509D"/>
    <w:rsid w:val="65680726"/>
    <w:rsid w:val="657F58CB"/>
    <w:rsid w:val="658159DC"/>
    <w:rsid w:val="65830371"/>
    <w:rsid w:val="65A76DE5"/>
    <w:rsid w:val="65BA079C"/>
    <w:rsid w:val="65DA2049"/>
    <w:rsid w:val="65E17BA8"/>
    <w:rsid w:val="65FA1534"/>
    <w:rsid w:val="65FA5D55"/>
    <w:rsid w:val="66020B60"/>
    <w:rsid w:val="660255FB"/>
    <w:rsid w:val="66123D10"/>
    <w:rsid w:val="66133DAB"/>
    <w:rsid w:val="661A16F1"/>
    <w:rsid w:val="661C75BD"/>
    <w:rsid w:val="663D1055"/>
    <w:rsid w:val="664541E6"/>
    <w:rsid w:val="66474970"/>
    <w:rsid w:val="6648514C"/>
    <w:rsid w:val="664B39FF"/>
    <w:rsid w:val="6663790C"/>
    <w:rsid w:val="66747232"/>
    <w:rsid w:val="667D15A4"/>
    <w:rsid w:val="667D7BC5"/>
    <w:rsid w:val="668215CB"/>
    <w:rsid w:val="66837765"/>
    <w:rsid w:val="668533B4"/>
    <w:rsid w:val="669902AD"/>
    <w:rsid w:val="66A129BA"/>
    <w:rsid w:val="66A93610"/>
    <w:rsid w:val="66AB587F"/>
    <w:rsid w:val="66DA1819"/>
    <w:rsid w:val="66DC6F2C"/>
    <w:rsid w:val="66E016CA"/>
    <w:rsid w:val="66E83E34"/>
    <w:rsid w:val="66EF52A5"/>
    <w:rsid w:val="66F30D69"/>
    <w:rsid w:val="66FC72F7"/>
    <w:rsid w:val="670B0931"/>
    <w:rsid w:val="67120309"/>
    <w:rsid w:val="67443AE9"/>
    <w:rsid w:val="67572F8F"/>
    <w:rsid w:val="675E333F"/>
    <w:rsid w:val="6775322B"/>
    <w:rsid w:val="67893596"/>
    <w:rsid w:val="678A0557"/>
    <w:rsid w:val="67BF023C"/>
    <w:rsid w:val="67CE55FF"/>
    <w:rsid w:val="67D5557E"/>
    <w:rsid w:val="67E0047E"/>
    <w:rsid w:val="67F6293B"/>
    <w:rsid w:val="67FA187D"/>
    <w:rsid w:val="68142795"/>
    <w:rsid w:val="68336430"/>
    <w:rsid w:val="68481F85"/>
    <w:rsid w:val="684F4B81"/>
    <w:rsid w:val="685149A2"/>
    <w:rsid w:val="68571975"/>
    <w:rsid w:val="685A79FC"/>
    <w:rsid w:val="68611261"/>
    <w:rsid w:val="686A0AB4"/>
    <w:rsid w:val="686A5EB8"/>
    <w:rsid w:val="688E4077"/>
    <w:rsid w:val="688F672B"/>
    <w:rsid w:val="688F6F87"/>
    <w:rsid w:val="68A17AAF"/>
    <w:rsid w:val="68A815DC"/>
    <w:rsid w:val="68B027B4"/>
    <w:rsid w:val="68DA74AF"/>
    <w:rsid w:val="68E05863"/>
    <w:rsid w:val="68ED79D7"/>
    <w:rsid w:val="68EE64F5"/>
    <w:rsid w:val="69030B1E"/>
    <w:rsid w:val="69085C0C"/>
    <w:rsid w:val="691378B0"/>
    <w:rsid w:val="6920283B"/>
    <w:rsid w:val="69390486"/>
    <w:rsid w:val="693B41FE"/>
    <w:rsid w:val="6941314D"/>
    <w:rsid w:val="69521130"/>
    <w:rsid w:val="69580133"/>
    <w:rsid w:val="69586E43"/>
    <w:rsid w:val="69662AFA"/>
    <w:rsid w:val="69672C6C"/>
    <w:rsid w:val="696A29B9"/>
    <w:rsid w:val="69770527"/>
    <w:rsid w:val="698222FD"/>
    <w:rsid w:val="6985069B"/>
    <w:rsid w:val="69AD5538"/>
    <w:rsid w:val="69BA1C87"/>
    <w:rsid w:val="69C266CE"/>
    <w:rsid w:val="69E274C8"/>
    <w:rsid w:val="69E928CE"/>
    <w:rsid w:val="69F4010D"/>
    <w:rsid w:val="69F70652"/>
    <w:rsid w:val="6A065174"/>
    <w:rsid w:val="6A1073EC"/>
    <w:rsid w:val="6A2004CE"/>
    <w:rsid w:val="6A35394F"/>
    <w:rsid w:val="6A4C4802"/>
    <w:rsid w:val="6A5779AC"/>
    <w:rsid w:val="6A6A1708"/>
    <w:rsid w:val="6A6C42F6"/>
    <w:rsid w:val="6A7513A2"/>
    <w:rsid w:val="6A86465B"/>
    <w:rsid w:val="6A8C267C"/>
    <w:rsid w:val="6AA103AC"/>
    <w:rsid w:val="6AA84B5B"/>
    <w:rsid w:val="6AAB3624"/>
    <w:rsid w:val="6AB27951"/>
    <w:rsid w:val="6AC75641"/>
    <w:rsid w:val="6ACE7ECF"/>
    <w:rsid w:val="6AD55603"/>
    <w:rsid w:val="6ADB14A0"/>
    <w:rsid w:val="6AE22AC5"/>
    <w:rsid w:val="6AE44653"/>
    <w:rsid w:val="6AF42BA2"/>
    <w:rsid w:val="6B047FBB"/>
    <w:rsid w:val="6B1430EB"/>
    <w:rsid w:val="6B184B73"/>
    <w:rsid w:val="6B1B3BDE"/>
    <w:rsid w:val="6B2040B3"/>
    <w:rsid w:val="6B410AE7"/>
    <w:rsid w:val="6B453FFA"/>
    <w:rsid w:val="6B674FF6"/>
    <w:rsid w:val="6B74202F"/>
    <w:rsid w:val="6B7D0AFE"/>
    <w:rsid w:val="6B81450D"/>
    <w:rsid w:val="6B8558F1"/>
    <w:rsid w:val="6B8874B3"/>
    <w:rsid w:val="6B9416DB"/>
    <w:rsid w:val="6B9568EC"/>
    <w:rsid w:val="6B99520C"/>
    <w:rsid w:val="6BC71567"/>
    <w:rsid w:val="6BCB1C20"/>
    <w:rsid w:val="6BD10E4A"/>
    <w:rsid w:val="6BD22BED"/>
    <w:rsid w:val="6BE45057"/>
    <w:rsid w:val="6BF62C43"/>
    <w:rsid w:val="6BFB724A"/>
    <w:rsid w:val="6C056342"/>
    <w:rsid w:val="6C1F12F7"/>
    <w:rsid w:val="6C2235BB"/>
    <w:rsid w:val="6C225202"/>
    <w:rsid w:val="6C2358F3"/>
    <w:rsid w:val="6C285F16"/>
    <w:rsid w:val="6C2B087F"/>
    <w:rsid w:val="6C3D08E7"/>
    <w:rsid w:val="6C477DAC"/>
    <w:rsid w:val="6C5A499B"/>
    <w:rsid w:val="6C6E5018"/>
    <w:rsid w:val="6C743C3C"/>
    <w:rsid w:val="6C781324"/>
    <w:rsid w:val="6C787634"/>
    <w:rsid w:val="6CA83A9D"/>
    <w:rsid w:val="6CAE0FC7"/>
    <w:rsid w:val="6CB60E58"/>
    <w:rsid w:val="6CB90ABC"/>
    <w:rsid w:val="6CC17C43"/>
    <w:rsid w:val="6CCC1D14"/>
    <w:rsid w:val="6CE1750C"/>
    <w:rsid w:val="6CE32FE9"/>
    <w:rsid w:val="6CF22E26"/>
    <w:rsid w:val="6CF50CAC"/>
    <w:rsid w:val="6CFA47C3"/>
    <w:rsid w:val="6D013069"/>
    <w:rsid w:val="6D0A4253"/>
    <w:rsid w:val="6D17288C"/>
    <w:rsid w:val="6D234F26"/>
    <w:rsid w:val="6D41740F"/>
    <w:rsid w:val="6D5F1476"/>
    <w:rsid w:val="6D6131F6"/>
    <w:rsid w:val="6D6362FF"/>
    <w:rsid w:val="6D6908C9"/>
    <w:rsid w:val="6D891B50"/>
    <w:rsid w:val="6DA0720B"/>
    <w:rsid w:val="6DBA383E"/>
    <w:rsid w:val="6DBC4E4A"/>
    <w:rsid w:val="6DCF2747"/>
    <w:rsid w:val="6DD00A48"/>
    <w:rsid w:val="6DE26E66"/>
    <w:rsid w:val="6DF4133C"/>
    <w:rsid w:val="6DFE0A46"/>
    <w:rsid w:val="6E046D6A"/>
    <w:rsid w:val="6E0A4EE7"/>
    <w:rsid w:val="6E1D77C2"/>
    <w:rsid w:val="6E1D7D06"/>
    <w:rsid w:val="6E275A60"/>
    <w:rsid w:val="6E2D6A2F"/>
    <w:rsid w:val="6E392AF4"/>
    <w:rsid w:val="6E4B7BC4"/>
    <w:rsid w:val="6E6267FC"/>
    <w:rsid w:val="6E816EBD"/>
    <w:rsid w:val="6E892BF0"/>
    <w:rsid w:val="6E8B2C58"/>
    <w:rsid w:val="6E8E6B7E"/>
    <w:rsid w:val="6E922738"/>
    <w:rsid w:val="6E931C3F"/>
    <w:rsid w:val="6EB0012B"/>
    <w:rsid w:val="6EB849F5"/>
    <w:rsid w:val="6EF93A79"/>
    <w:rsid w:val="6EFF1DFB"/>
    <w:rsid w:val="6F017A68"/>
    <w:rsid w:val="6F074C7D"/>
    <w:rsid w:val="6F095F3A"/>
    <w:rsid w:val="6F0B3914"/>
    <w:rsid w:val="6F0D7D97"/>
    <w:rsid w:val="6F282B2F"/>
    <w:rsid w:val="6F35524C"/>
    <w:rsid w:val="6F3732CE"/>
    <w:rsid w:val="6F4178FE"/>
    <w:rsid w:val="6F4266DF"/>
    <w:rsid w:val="6F881695"/>
    <w:rsid w:val="6F8C16B9"/>
    <w:rsid w:val="6F92194C"/>
    <w:rsid w:val="6F997777"/>
    <w:rsid w:val="6FAC2382"/>
    <w:rsid w:val="6FC13DD2"/>
    <w:rsid w:val="6FCD418C"/>
    <w:rsid w:val="6FE83720"/>
    <w:rsid w:val="6FEF7197"/>
    <w:rsid w:val="6FEF7D8A"/>
    <w:rsid w:val="6FFD2BE7"/>
    <w:rsid w:val="70006A1E"/>
    <w:rsid w:val="70050220"/>
    <w:rsid w:val="70076EA8"/>
    <w:rsid w:val="702C5E4F"/>
    <w:rsid w:val="703062FD"/>
    <w:rsid w:val="703A2C04"/>
    <w:rsid w:val="70486DDE"/>
    <w:rsid w:val="70536379"/>
    <w:rsid w:val="70556940"/>
    <w:rsid w:val="705975BD"/>
    <w:rsid w:val="70677361"/>
    <w:rsid w:val="706A0FD7"/>
    <w:rsid w:val="70762356"/>
    <w:rsid w:val="70827379"/>
    <w:rsid w:val="70846B10"/>
    <w:rsid w:val="708F5CC6"/>
    <w:rsid w:val="70A51E7A"/>
    <w:rsid w:val="70A94695"/>
    <w:rsid w:val="70AE1665"/>
    <w:rsid w:val="70C64C13"/>
    <w:rsid w:val="70CE2A7D"/>
    <w:rsid w:val="70F57258"/>
    <w:rsid w:val="710D2536"/>
    <w:rsid w:val="710D3A95"/>
    <w:rsid w:val="7123116D"/>
    <w:rsid w:val="712626A7"/>
    <w:rsid w:val="71295015"/>
    <w:rsid w:val="712F4753"/>
    <w:rsid w:val="71405C9D"/>
    <w:rsid w:val="71605930"/>
    <w:rsid w:val="716A0E09"/>
    <w:rsid w:val="717402AD"/>
    <w:rsid w:val="717F25F9"/>
    <w:rsid w:val="71861D20"/>
    <w:rsid w:val="7186437F"/>
    <w:rsid w:val="71A45894"/>
    <w:rsid w:val="71BA0287"/>
    <w:rsid w:val="71BE7BEA"/>
    <w:rsid w:val="71C933A1"/>
    <w:rsid w:val="71D669AE"/>
    <w:rsid w:val="71DF2A49"/>
    <w:rsid w:val="71E96735"/>
    <w:rsid w:val="71EE2413"/>
    <w:rsid w:val="720000E6"/>
    <w:rsid w:val="72034464"/>
    <w:rsid w:val="720C50DD"/>
    <w:rsid w:val="723D68C6"/>
    <w:rsid w:val="723E1C92"/>
    <w:rsid w:val="72493B52"/>
    <w:rsid w:val="726A35DE"/>
    <w:rsid w:val="726C29D6"/>
    <w:rsid w:val="72812BB6"/>
    <w:rsid w:val="728A58AF"/>
    <w:rsid w:val="72934FF3"/>
    <w:rsid w:val="72992DCB"/>
    <w:rsid w:val="729C0A73"/>
    <w:rsid w:val="72A10AC9"/>
    <w:rsid w:val="72B01AB7"/>
    <w:rsid w:val="72BD7A32"/>
    <w:rsid w:val="72BE0926"/>
    <w:rsid w:val="72C405CA"/>
    <w:rsid w:val="72C46B36"/>
    <w:rsid w:val="72E10B87"/>
    <w:rsid w:val="72E17BC5"/>
    <w:rsid w:val="72FB055A"/>
    <w:rsid w:val="72FE1676"/>
    <w:rsid w:val="72FF7DFC"/>
    <w:rsid w:val="730A4D01"/>
    <w:rsid w:val="731A788A"/>
    <w:rsid w:val="731D44F3"/>
    <w:rsid w:val="731D49AA"/>
    <w:rsid w:val="731E1436"/>
    <w:rsid w:val="73283E0D"/>
    <w:rsid w:val="732E26DE"/>
    <w:rsid w:val="7332362C"/>
    <w:rsid w:val="7334325D"/>
    <w:rsid w:val="73350C5E"/>
    <w:rsid w:val="734F0FD2"/>
    <w:rsid w:val="73513CCA"/>
    <w:rsid w:val="73574EBF"/>
    <w:rsid w:val="73581579"/>
    <w:rsid w:val="735A1D60"/>
    <w:rsid w:val="735C724B"/>
    <w:rsid w:val="736A2E27"/>
    <w:rsid w:val="73702CF6"/>
    <w:rsid w:val="73743E64"/>
    <w:rsid w:val="73922C6D"/>
    <w:rsid w:val="73A21C06"/>
    <w:rsid w:val="73AA4C42"/>
    <w:rsid w:val="73B20E59"/>
    <w:rsid w:val="73B60A10"/>
    <w:rsid w:val="73C05B2F"/>
    <w:rsid w:val="73CA2AC9"/>
    <w:rsid w:val="73CC5B9E"/>
    <w:rsid w:val="73DE05EE"/>
    <w:rsid w:val="74011DAF"/>
    <w:rsid w:val="742459FD"/>
    <w:rsid w:val="74251284"/>
    <w:rsid w:val="74355159"/>
    <w:rsid w:val="743B31CD"/>
    <w:rsid w:val="743F3479"/>
    <w:rsid w:val="745049B3"/>
    <w:rsid w:val="74661EF8"/>
    <w:rsid w:val="746F5A57"/>
    <w:rsid w:val="7476433D"/>
    <w:rsid w:val="74795BDB"/>
    <w:rsid w:val="747A3B5C"/>
    <w:rsid w:val="747C0EC2"/>
    <w:rsid w:val="748411C0"/>
    <w:rsid w:val="74941B1E"/>
    <w:rsid w:val="74982BC3"/>
    <w:rsid w:val="74A027D8"/>
    <w:rsid w:val="74A369C6"/>
    <w:rsid w:val="74D75E35"/>
    <w:rsid w:val="751050E9"/>
    <w:rsid w:val="75130B97"/>
    <w:rsid w:val="75202B2C"/>
    <w:rsid w:val="754247CE"/>
    <w:rsid w:val="754A10EB"/>
    <w:rsid w:val="755D4111"/>
    <w:rsid w:val="75653527"/>
    <w:rsid w:val="75687183"/>
    <w:rsid w:val="756E4E38"/>
    <w:rsid w:val="757F5E29"/>
    <w:rsid w:val="75A97B92"/>
    <w:rsid w:val="75BE2C13"/>
    <w:rsid w:val="75C70D2E"/>
    <w:rsid w:val="75C867D8"/>
    <w:rsid w:val="75C91681"/>
    <w:rsid w:val="75CC1F36"/>
    <w:rsid w:val="75E834FA"/>
    <w:rsid w:val="75F52AFB"/>
    <w:rsid w:val="760756D8"/>
    <w:rsid w:val="760E676A"/>
    <w:rsid w:val="76226E1B"/>
    <w:rsid w:val="7624764F"/>
    <w:rsid w:val="76277F2F"/>
    <w:rsid w:val="762C0888"/>
    <w:rsid w:val="762F6D25"/>
    <w:rsid w:val="763E0E8A"/>
    <w:rsid w:val="765C3FDB"/>
    <w:rsid w:val="76672689"/>
    <w:rsid w:val="76715FC4"/>
    <w:rsid w:val="767D2360"/>
    <w:rsid w:val="768B2490"/>
    <w:rsid w:val="768F2D84"/>
    <w:rsid w:val="769B20F2"/>
    <w:rsid w:val="76A80580"/>
    <w:rsid w:val="76AD7DBE"/>
    <w:rsid w:val="76B36E87"/>
    <w:rsid w:val="76B65EF5"/>
    <w:rsid w:val="76BF19C6"/>
    <w:rsid w:val="76C86371"/>
    <w:rsid w:val="76D95C53"/>
    <w:rsid w:val="76F679B7"/>
    <w:rsid w:val="76FF643E"/>
    <w:rsid w:val="77027F7F"/>
    <w:rsid w:val="772A380A"/>
    <w:rsid w:val="772B6736"/>
    <w:rsid w:val="774D7FAA"/>
    <w:rsid w:val="775A0E70"/>
    <w:rsid w:val="775B2B18"/>
    <w:rsid w:val="775D6AA2"/>
    <w:rsid w:val="77601172"/>
    <w:rsid w:val="77603D4F"/>
    <w:rsid w:val="777032C5"/>
    <w:rsid w:val="778E3455"/>
    <w:rsid w:val="778F5D5D"/>
    <w:rsid w:val="7794100B"/>
    <w:rsid w:val="779F63A2"/>
    <w:rsid w:val="77AB6538"/>
    <w:rsid w:val="77BF2F35"/>
    <w:rsid w:val="77BF46A4"/>
    <w:rsid w:val="77E75E53"/>
    <w:rsid w:val="77E80025"/>
    <w:rsid w:val="77FD49BF"/>
    <w:rsid w:val="780E5553"/>
    <w:rsid w:val="781007D0"/>
    <w:rsid w:val="78284AA1"/>
    <w:rsid w:val="78335932"/>
    <w:rsid w:val="78342BFE"/>
    <w:rsid w:val="78381BDF"/>
    <w:rsid w:val="783C5C12"/>
    <w:rsid w:val="783F561E"/>
    <w:rsid w:val="784811A2"/>
    <w:rsid w:val="784D6313"/>
    <w:rsid w:val="78627D0B"/>
    <w:rsid w:val="78732237"/>
    <w:rsid w:val="78930909"/>
    <w:rsid w:val="78935C12"/>
    <w:rsid w:val="78980533"/>
    <w:rsid w:val="789E75C3"/>
    <w:rsid w:val="78A13507"/>
    <w:rsid w:val="78AD313F"/>
    <w:rsid w:val="78B01E75"/>
    <w:rsid w:val="78BE05D7"/>
    <w:rsid w:val="78BE5E7F"/>
    <w:rsid w:val="78D5711D"/>
    <w:rsid w:val="78E83B09"/>
    <w:rsid w:val="78EE5162"/>
    <w:rsid w:val="78FA71C1"/>
    <w:rsid w:val="791D12D7"/>
    <w:rsid w:val="79222CE5"/>
    <w:rsid w:val="792339A0"/>
    <w:rsid w:val="79304FC0"/>
    <w:rsid w:val="793150EC"/>
    <w:rsid w:val="79336CA0"/>
    <w:rsid w:val="7939013A"/>
    <w:rsid w:val="794530C2"/>
    <w:rsid w:val="79725D75"/>
    <w:rsid w:val="797711F5"/>
    <w:rsid w:val="799678E9"/>
    <w:rsid w:val="79BC1E65"/>
    <w:rsid w:val="79BC5AF1"/>
    <w:rsid w:val="79BC691E"/>
    <w:rsid w:val="79C370CC"/>
    <w:rsid w:val="79CB4015"/>
    <w:rsid w:val="79D25585"/>
    <w:rsid w:val="79EA7D45"/>
    <w:rsid w:val="79EC2752"/>
    <w:rsid w:val="7A022DAC"/>
    <w:rsid w:val="7A077D86"/>
    <w:rsid w:val="7A0F6AA3"/>
    <w:rsid w:val="7A29027E"/>
    <w:rsid w:val="7A2B4E0B"/>
    <w:rsid w:val="7A2F1E62"/>
    <w:rsid w:val="7A3000FF"/>
    <w:rsid w:val="7A3D4B0E"/>
    <w:rsid w:val="7A4F6E51"/>
    <w:rsid w:val="7A524F0D"/>
    <w:rsid w:val="7A7443E6"/>
    <w:rsid w:val="7A8157E9"/>
    <w:rsid w:val="7A820CB5"/>
    <w:rsid w:val="7A8D74A2"/>
    <w:rsid w:val="7A9C45C8"/>
    <w:rsid w:val="7AA0686D"/>
    <w:rsid w:val="7AA42764"/>
    <w:rsid w:val="7AB3181F"/>
    <w:rsid w:val="7AB65491"/>
    <w:rsid w:val="7AC048A7"/>
    <w:rsid w:val="7AD64103"/>
    <w:rsid w:val="7AEF76CB"/>
    <w:rsid w:val="7B056A7F"/>
    <w:rsid w:val="7B082DB3"/>
    <w:rsid w:val="7B0A12D7"/>
    <w:rsid w:val="7B1743C0"/>
    <w:rsid w:val="7B2429F8"/>
    <w:rsid w:val="7B265958"/>
    <w:rsid w:val="7B336BC8"/>
    <w:rsid w:val="7B3E5BD9"/>
    <w:rsid w:val="7B411828"/>
    <w:rsid w:val="7B4229E6"/>
    <w:rsid w:val="7B5810C9"/>
    <w:rsid w:val="7B664919"/>
    <w:rsid w:val="7B666F72"/>
    <w:rsid w:val="7B681541"/>
    <w:rsid w:val="7B6C7AFA"/>
    <w:rsid w:val="7B8E13EB"/>
    <w:rsid w:val="7BA1297E"/>
    <w:rsid w:val="7BA44318"/>
    <w:rsid w:val="7BAE2D8D"/>
    <w:rsid w:val="7BBE70D0"/>
    <w:rsid w:val="7BC70E87"/>
    <w:rsid w:val="7BD44EE3"/>
    <w:rsid w:val="7BDE7643"/>
    <w:rsid w:val="7BE45866"/>
    <w:rsid w:val="7BEE1EEB"/>
    <w:rsid w:val="7BF40907"/>
    <w:rsid w:val="7C0E57A2"/>
    <w:rsid w:val="7C194DCB"/>
    <w:rsid w:val="7C2036C5"/>
    <w:rsid w:val="7C21033A"/>
    <w:rsid w:val="7C215870"/>
    <w:rsid w:val="7C27425D"/>
    <w:rsid w:val="7C330C76"/>
    <w:rsid w:val="7C4C5FDA"/>
    <w:rsid w:val="7C5062E6"/>
    <w:rsid w:val="7C5E7893"/>
    <w:rsid w:val="7C76130F"/>
    <w:rsid w:val="7C817D22"/>
    <w:rsid w:val="7C82417D"/>
    <w:rsid w:val="7C886DA3"/>
    <w:rsid w:val="7C8F12C6"/>
    <w:rsid w:val="7C904C17"/>
    <w:rsid w:val="7C990F7B"/>
    <w:rsid w:val="7C992D45"/>
    <w:rsid w:val="7C993C6F"/>
    <w:rsid w:val="7CB44F60"/>
    <w:rsid w:val="7CBC3D27"/>
    <w:rsid w:val="7CD5583A"/>
    <w:rsid w:val="7CDC1B6C"/>
    <w:rsid w:val="7CE53197"/>
    <w:rsid w:val="7CF177AF"/>
    <w:rsid w:val="7D0B5714"/>
    <w:rsid w:val="7D1D7B5D"/>
    <w:rsid w:val="7D246B41"/>
    <w:rsid w:val="7D3F7B43"/>
    <w:rsid w:val="7D412929"/>
    <w:rsid w:val="7D4157D8"/>
    <w:rsid w:val="7D585D08"/>
    <w:rsid w:val="7D6A441D"/>
    <w:rsid w:val="7D742B7F"/>
    <w:rsid w:val="7D79512E"/>
    <w:rsid w:val="7D7B7260"/>
    <w:rsid w:val="7D8557E5"/>
    <w:rsid w:val="7D8B5FF0"/>
    <w:rsid w:val="7D900D66"/>
    <w:rsid w:val="7D9B631F"/>
    <w:rsid w:val="7D9C45E3"/>
    <w:rsid w:val="7D9D2594"/>
    <w:rsid w:val="7DA64309"/>
    <w:rsid w:val="7DCB394B"/>
    <w:rsid w:val="7DD36B30"/>
    <w:rsid w:val="7DD65438"/>
    <w:rsid w:val="7DDC23C7"/>
    <w:rsid w:val="7DE41C45"/>
    <w:rsid w:val="7E1741FF"/>
    <w:rsid w:val="7E183080"/>
    <w:rsid w:val="7E1A6A4C"/>
    <w:rsid w:val="7E1D4BD1"/>
    <w:rsid w:val="7E1E164C"/>
    <w:rsid w:val="7E236558"/>
    <w:rsid w:val="7E2F1CBD"/>
    <w:rsid w:val="7E310BC1"/>
    <w:rsid w:val="7E336A9D"/>
    <w:rsid w:val="7E3C4EA2"/>
    <w:rsid w:val="7E405738"/>
    <w:rsid w:val="7E510CBD"/>
    <w:rsid w:val="7E5155FB"/>
    <w:rsid w:val="7E54753C"/>
    <w:rsid w:val="7E582E84"/>
    <w:rsid w:val="7E5E609E"/>
    <w:rsid w:val="7E5F5FE3"/>
    <w:rsid w:val="7E6D347C"/>
    <w:rsid w:val="7E6E4981"/>
    <w:rsid w:val="7E7354F5"/>
    <w:rsid w:val="7E82584A"/>
    <w:rsid w:val="7E943510"/>
    <w:rsid w:val="7E986A37"/>
    <w:rsid w:val="7EB62349"/>
    <w:rsid w:val="7EDF056C"/>
    <w:rsid w:val="7EEDB6B1"/>
    <w:rsid w:val="7EEF2E28"/>
    <w:rsid w:val="7EF21F47"/>
    <w:rsid w:val="7EF31942"/>
    <w:rsid w:val="7EFB4FD9"/>
    <w:rsid w:val="7EFD2A44"/>
    <w:rsid w:val="7F011AFE"/>
    <w:rsid w:val="7F0C3BD0"/>
    <w:rsid w:val="7F303107"/>
    <w:rsid w:val="7F33157B"/>
    <w:rsid w:val="7F3D1095"/>
    <w:rsid w:val="7F4327F8"/>
    <w:rsid w:val="7F480CEA"/>
    <w:rsid w:val="7F4E4945"/>
    <w:rsid w:val="7F593BCF"/>
    <w:rsid w:val="7F675F78"/>
    <w:rsid w:val="7F727385"/>
    <w:rsid w:val="7F7741D2"/>
    <w:rsid w:val="7F7C2FEC"/>
    <w:rsid w:val="7F801D46"/>
    <w:rsid w:val="7FBC103A"/>
    <w:rsid w:val="7FE20B4D"/>
    <w:rsid w:val="7FF20382"/>
    <w:rsid w:val="7FF52749"/>
    <w:rsid w:val="B77F19D3"/>
    <w:rsid w:val="DF6E69CF"/>
    <w:rsid w:val="ED7C43D2"/>
    <w:rsid w:val="F7EB0086"/>
    <w:rsid w:val="FD5FC4D6"/>
    <w:rsid w:val="FFE724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nhideWhenUsed="0"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qFormat="1" w:unhideWhenUsed="0" w:uiPriority="0" w:semiHidden="0" w:name="List"/>
    <w:lsdException w:unhideWhenUsed="0" w:uiPriority="0" w:semiHidden="0" w:name="List Bullet"/>
    <w:lsdException w:uiPriority="0" w:name="List Number"/>
    <w:lsdException w:qFormat="1" w:unhideWhenUsed="0" w:uiPriority="0" w:semiHidden="0" w:name="List 2"/>
    <w:lsdException w:qFormat="1" w:unhideWhenUsed="0" w:uiPriority="0" w:semiHidden="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qFormat="1" w:unhideWhenUsed="0" w:uiPriority="0" w:semiHidden="0" w:name="HTML Acronym"/>
    <w:lsdException w:uiPriority="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4"/>
    <w:link w:val="56"/>
    <w:autoRedefine/>
    <w:qFormat/>
    <w:uiPriority w:val="9"/>
    <w:pPr>
      <w:keepNext/>
      <w:jc w:val="center"/>
      <w:outlineLvl w:val="0"/>
    </w:pPr>
    <w:rPr>
      <w:rFonts w:ascii="楷体_GB2312" w:hAnsi="楷体_GB2312"/>
      <w:b/>
      <w:sz w:val="32"/>
      <w:szCs w:val="32"/>
    </w:rPr>
  </w:style>
  <w:style w:type="paragraph" w:styleId="5">
    <w:name w:val="heading 2"/>
    <w:basedOn w:val="1"/>
    <w:next w:val="4"/>
    <w:link w:val="89"/>
    <w:autoRedefine/>
    <w:qFormat/>
    <w:uiPriority w:val="0"/>
    <w:pPr>
      <w:keepNext/>
      <w:keepLines/>
      <w:spacing w:before="200" w:after="200" w:line="480" w:lineRule="auto"/>
      <w:jc w:val="left"/>
      <w:outlineLvl w:val="1"/>
    </w:pPr>
    <w:rPr>
      <w:rFonts w:ascii="Arial" w:hAnsi="Arial" w:cs="Arial"/>
      <w:b/>
      <w:bCs/>
      <w:sz w:val="30"/>
      <w:szCs w:val="30"/>
    </w:rPr>
  </w:style>
  <w:style w:type="paragraph" w:styleId="6">
    <w:name w:val="heading 3"/>
    <w:basedOn w:val="1"/>
    <w:next w:val="4"/>
    <w:link w:val="84"/>
    <w:autoRedefine/>
    <w:qFormat/>
    <w:uiPriority w:val="0"/>
    <w:pPr>
      <w:keepNext/>
      <w:keepLines/>
      <w:spacing w:before="200" w:after="100" w:line="480" w:lineRule="auto"/>
      <w:jc w:val="left"/>
      <w:outlineLvl w:val="2"/>
    </w:pPr>
    <w:rPr>
      <w:b/>
      <w:bCs/>
      <w:sz w:val="28"/>
      <w:szCs w:val="32"/>
    </w:rPr>
  </w:style>
  <w:style w:type="paragraph" w:styleId="7">
    <w:name w:val="heading 4"/>
    <w:basedOn w:val="1"/>
    <w:next w:val="4"/>
    <w:link w:val="57"/>
    <w:autoRedefine/>
    <w:qFormat/>
    <w:uiPriority w:val="0"/>
    <w:pPr>
      <w:keepNext/>
      <w:keepLines/>
      <w:ind w:firstLine="420" w:firstLineChars="150"/>
      <w:outlineLvl w:val="3"/>
    </w:pPr>
    <w:rPr>
      <w:rFonts w:ascii="Arial" w:hAnsi="Arial" w:cs="Arial"/>
      <w:b/>
      <w:sz w:val="28"/>
      <w:szCs w:val="28"/>
    </w:rPr>
  </w:style>
  <w:style w:type="paragraph" w:styleId="8">
    <w:name w:val="heading 5"/>
    <w:basedOn w:val="1"/>
    <w:next w:val="4"/>
    <w:link w:val="94"/>
    <w:autoRedefine/>
    <w:qFormat/>
    <w:uiPriority w:val="0"/>
    <w:pPr>
      <w:keepNext/>
      <w:autoSpaceDE w:val="0"/>
      <w:autoSpaceDN w:val="0"/>
      <w:adjustRightInd w:val="0"/>
      <w:outlineLvl w:val="4"/>
    </w:pPr>
    <w:rPr>
      <w:rFonts w:ascii="宋体"/>
      <w:color w:val="000000"/>
      <w:kern w:val="0"/>
      <w:sz w:val="28"/>
      <w:szCs w:val="28"/>
    </w:rPr>
  </w:style>
  <w:style w:type="paragraph" w:styleId="9">
    <w:name w:val="heading 6"/>
    <w:basedOn w:val="1"/>
    <w:next w:val="1"/>
    <w:link w:val="85"/>
    <w:autoRedefine/>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10">
    <w:name w:val="heading 7"/>
    <w:basedOn w:val="1"/>
    <w:next w:val="1"/>
    <w:link w:val="65"/>
    <w:autoRedefine/>
    <w:qFormat/>
    <w:uiPriority w:val="0"/>
    <w:pPr>
      <w:keepNext/>
      <w:keepLines/>
      <w:numPr>
        <w:ilvl w:val="6"/>
        <w:numId w:val="1"/>
      </w:numPr>
      <w:spacing w:before="240" w:after="64" w:line="320" w:lineRule="auto"/>
      <w:outlineLvl w:val="6"/>
    </w:pPr>
    <w:rPr>
      <w:b/>
      <w:bCs/>
      <w:sz w:val="24"/>
      <w:szCs w:val="24"/>
    </w:rPr>
  </w:style>
  <w:style w:type="paragraph" w:styleId="11">
    <w:name w:val="heading 8"/>
    <w:basedOn w:val="1"/>
    <w:next w:val="1"/>
    <w:link w:val="66"/>
    <w:autoRedefine/>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2">
    <w:name w:val="heading 9"/>
    <w:basedOn w:val="1"/>
    <w:next w:val="1"/>
    <w:link w:val="60"/>
    <w:autoRedefine/>
    <w:qFormat/>
    <w:uiPriority w:val="0"/>
    <w:pPr>
      <w:keepNext/>
      <w:keepLines/>
      <w:numPr>
        <w:ilvl w:val="8"/>
        <w:numId w:val="1"/>
      </w:numPr>
      <w:spacing w:before="240" w:after="64" w:line="320" w:lineRule="auto"/>
      <w:outlineLvl w:val="8"/>
    </w:pPr>
    <w:rPr>
      <w:rFonts w:ascii="Arial" w:hAnsi="Arial" w:eastAsia="黑体"/>
    </w:rPr>
  </w:style>
  <w:style w:type="character" w:default="1" w:styleId="40">
    <w:name w:val="Default Paragraph Font"/>
    <w:autoRedefine/>
    <w:semiHidden/>
    <w:unhideWhenUsed/>
    <w:qFormat/>
    <w:uiPriority w:val="1"/>
  </w:style>
  <w:style w:type="table" w:default="1" w:styleId="38">
    <w:name w:val="Normal Table"/>
    <w:autoRedefine/>
    <w:semiHidden/>
    <w:unhideWhenUsed/>
    <w:qFormat/>
    <w:uiPriority w:val="99"/>
    <w:tblPr>
      <w:tblCellMar>
        <w:top w:w="0" w:type="dxa"/>
        <w:left w:w="108" w:type="dxa"/>
        <w:bottom w:w="0" w:type="dxa"/>
        <w:right w:w="108" w:type="dxa"/>
      </w:tblCellMar>
    </w:tblPr>
  </w:style>
  <w:style w:type="paragraph" w:styleId="2">
    <w:name w:val="footnote text"/>
    <w:basedOn w:val="1"/>
    <w:link w:val="206"/>
    <w:autoRedefine/>
    <w:qFormat/>
    <w:uiPriority w:val="0"/>
    <w:pPr>
      <w:snapToGrid w:val="0"/>
      <w:jc w:val="left"/>
    </w:pPr>
    <w:rPr>
      <w:sz w:val="18"/>
    </w:rPr>
  </w:style>
  <w:style w:type="paragraph" w:styleId="4">
    <w:name w:val="Normal Indent"/>
    <w:basedOn w:val="1"/>
    <w:next w:val="1"/>
    <w:link w:val="72"/>
    <w:autoRedefine/>
    <w:qFormat/>
    <w:uiPriority w:val="0"/>
    <w:pPr>
      <w:ind w:firstLine="420"/>
    </w:pPr>
  </w:style>
  <w:style w:type="paragraph" w:styleId="13">
    <w:name w:val="List 3"/>
    <w:basedOn w:val="1"/>
    <w:autoRedefine/>
    <w:qFormat/>
    <w:uiPriority w:val="0"/>
    <w:pPr>
      <w:ind w:left="100" w:leftChars="400" w:hanging="200" w:hangingChars="200"/>
    </w:pPr>
  </w:style>
  <w:style w:type="paragraph" w:styleId="14">
    <w:name w:val="Document Map"/>
    <w:basedOn w:val="1"/>
    <w:link w:val="91"/>
    <w:autoRedefine/>
    <w:semiHidden/>
    <w:qFormat/>
    <w:uiPriority w:val="0"/>
    <w:pPr>
      <w:shd w:val="clear" w:color="auto" w:fill="000080"/>
    </w:pPr>
  </w:style>
  <w:style w:type="paragraph" w:styleId="15">
    <w:name w:val="toa heading"/>
    <w:basedOn w:val="1"/>
    <w:next w:val="1"/>
    <w:autoRedefine/>
    <w:qFormat/>
    <w:uiPriority w:val="0"/>
    <w:pPr>
      <w:spacing w:before="120"/>
    </w:pPr>
    <w:rPr>
      <w:rFonts w:ascii="Cambria" w:hAnsi="Cambria"/>
      <w:sz w:val="24"/>
    </w:rPr>
  </w:style>
  <w:style w:type="paragraph" w:styleId="16">
    <w:name w:val="annotation text"/>
    <w:basedOn w:val="1"/>
    <w:link w:val="205"/>
    <w:autoRedefine/>
    <w:semiHidden/>
    <w:qFormat/>
    <w:uiPriority w:val="0"/>
    <w:pPr>
      <w:jc w:val="left"/>
    </w:pPr>
  </w:style>
  <w:style w:type="paragraph" w:styleId="17">
    <w:name w:val="Body Text 3"/>
    <w:basedOn w:val="1"/>
    <w:link w:val="68"/>
    <w:autoRedefine/>
    <w:qFormat/>
    <w:uiPriority w:val="0"/>
    <w:rPr>
      <w:rFonts w:ascii="仿宋_GB2312" w:hAnsi="Arial" w:eastAsia="仿宋_GB2312"/>
      <w:sz w:val="32"/>
      <w:szCs w:val="32"/>
    </w:rPr>
  </w:style>
  <w:style w:type="paragraph" w:styleId="18">
    <w:name w:val="Body Text"/>
    <w:basedOn w:val="1"/>
    <w:next w:val="1"/>
    <w:link w:val="64"/>
    <w:autoRedefine/>
    <w:qFormat/>
    <w:uiPriority w:val="0"/>
    <w:rPr>
      <w:rFonts w:ascii="楷体_GB2312" w:hAnsi="Arial" w:eastAsia="楷体_GB2312"/>
      <w:sz w:val="28"/>
      <w:szCs w:val="28"/>
    </w:rPr>
  </w:style>
  <w:style w:type="paragraph" w:styleId="19">
    <w:name w:val="Body Text Indent"/>
    <w:basedOn w:val="1"/>
    <w:next w:val="4"/>
    <w:link w:val="70"/>
    <w:autoRedefine/>
    <w:qFormat/>
    <w:uiPriority w:val="0"/>
    <w:pPr>
      <w:ind w:firstLine="645"/>
    </w:pPr>
    <w:rPr>
      <w:rFonts w:ascii="楷体_GB2312" w:eastAsia="楷体_GB2312"/>
      <w:sz w:val="32"/>
      <w:szCs w:val="32"/>
    </w:rPr>
  </w:style>
  <w:style w:type="paragraph" w:styleId="20">
    <w:name w:val="List 2"/>
    <w:basedOn w:val="1"/>
    <w:autoRedefine/>
    <w:qFormat/>
    <w:uiPriority w:val="0"/>
    <w:pPr>
      <w:ind w:left="100" w:leftChars="200" w:hanging="200" w:hangingChars="200"/>
    </w:pPr>
  </w:style>
  <w:style w:type="paragraph" w:styleId="21">
    <w:name w:val="toc 3"/>
    <w:basedOn w:val="22"/>
    <w:next w:val="1"/>
    <w:autoRedefine/>
    <w:qFormat/>
    <w:uiPriority w:val="39"/>
    <w:pPr>
      <w:ind w:left="840" w:leftChars="400"/>
    </w:pPr>
  </w:style>
  <w:style w:type="paragraph" w:styleId="22">
    <w:name w:val="toc 1"/>
    <w:basedOn w:val="1"/>
    <w:next w:val="1"/>
    <w:autoRedefine/>
    <w:unhideWhenUsed/>
    <w:qFormat/>
    <w:uiPriority w:val="39"/>
    <w:pPr>
      <w:widowControl/>
      <w:spacing w:after="100" w:line="259" w:lineRule="auto"/>
      <w:jc w:val="left"/>
    </w:pPr>
    <w:rPr>
      <w:rFonts w:ascii="Calibri" w:hAnsi="Calibri"/>
      <w:kern w:val="0"/>
      <w:sz w:val="22"/>
      <w:szCs w:val="22"/>
    </w:rPr>
  </w:style>
  <w:style w:type="paragraph" w:styleId="23">
    <w:name w:val="Plain Text"/>
    <w:basedOn w:val="1"/>
    <w:link w:val="93"/>
    <w:autoRedefine/>
    <w:qFormat/>
    <w:uiPriority w:val="0"/>
    <w:rPr>
      <w:rFonts w:ascii="宋体" w:hAnsi="Courier New" w:cs="Courier New"/>
    </w:rPr>
  </w:style>
  <w:style w:type="paragraph" w:styleId="24">
    <w:name w:val="Date"/>
    <w:basedOn w:val="1"/>
    <w:next w:val="1"/>
    <w:link w:val="76"/>
    <w:autoRedefine/>
    <w:qFormat/>
    <w:uiPriority w:val="0"/>
    <w:rPr>
      <w:sz w:val="24"/>
      <w:szCs w:val="24"/>
    </w:rPr>
  </w:style>
  <w:style w:type="paragraph" w:styleId="25">
    <w:name w:val="Body Text Indent 2"/>
    <w:basedOn w:val="1"/>
    <w:link w:val="71"/>
    <w:autoRedefine/>
    <w:qFormat/>
    <w:uiPriority w:val="0"/>
    <w:pPr>
      <w:ind w:left="630" w:firstLine="645"/>
    </w:pPr>
    <w:rPr>
      <w:rFonts w:ascii="Arial" w:hAnsi="Arial" w:eastAsia="仿宋_GB2312" w:cs="Arial"/>
      <w:sz w:val="32"/>
      <w:szCs w:val="32"/>
    </w:rPr>
  </w:style>
  <w:style w:type="paragraph" w:styleId="26">
    <w:name w:val="Balloon Text"/>
    <w:basedOn w:val="1"/>
    <w:link w:val="95"/>
    <w:autoRedefine/>
    <w:semiHidden/>
    <w:qFormat/>
    <w:uiPriority w:val="0"/>
    <w:rPr>
      <w:sz w:val="18"/>
      <w:szCs w:val="18"/>
    </w:rPr>
  </w:style>
  <w:style w:type="paragraph" w:styleId="27">
    <w:name w:val="footer"/>
    <w:basedOn w:val="1"/>
    <w:link w:val="69"/>
    <w:autoRedefine/>
    <w:qFormat/>
    <w:uiPriority w:val="99"/>
    <w:pPr>
      <w:tabs>
        <w:tab w:val="center" w:pos="4153"/>
        <w:tab w:val="right" w:pos="8306"/>
      </w:tabs>
      <w:snapToGrid w:val="0"/>
      <w:jc w:val="left"/>
    </w:pPr>
    <w:rPr>
      <w:rFonts w:cs="Symbol"/>
      <w:color w:val="000000" w:themeColor="text1"/>
      <w:sz w:val="18"/>
      <w:szCs w:val="18"/>
    </w:rPr>
  </w:style>
  <w:style w:type="paragraph" w:styleId="28">
    <w:name w:val="header"/>
    <w:basedOn w:val="1"/>
    <w:link w:val="87"/>
    <w:autoRedefine/>
    <w:qFormat/>
    <w:uiPriority w:val="99"/>
    <w:pPr>
      <w:pBdr>
        <w:bottom w:val="single" w:color="auto" w:sz="6" w:space="1"/>
      </w:pBdr>
      <w:tabs>
        <w:tab w:val="center" w:pos="4153"/>
        <w:tab w:val="right" w:pos="8306"/>
      </w:tabs>
      <w:snapToGrid w:val="0"/>
      <w:jc w:val="center"/>
    </w:pPr>
    <w:rPr>
      <w:sz w:val="18"/>
      <w:szCs w:val="18"/>
    </w:rPr>
  </w:style>
  <w:style w:type="paragraph" w:styleId="29">
    <w:name w:val="toc 4"/>
    <w:basedOn w:val="1"/>
    <w:next w:val="1"/>
    <w:autoRedefine/>
    <w:qFormat/>
    <w:uiPriority w:val="39"/>
    <w:pPr>
      <w:ind w:left="960"/>
      <w:jc w:val="left"/>
    </w:pPr>
    <w:rPr>
      <w:rFonts w:ascii="Calibri" w:hAnsi="Calibri"/>
      <w:sz w:val="18"/>
      <w:szCs w:val="18"/>
    </w:rPr>
  </w:style>
  <w:style w:type="paragraph" w:styleId="30">
    <w:name w:val="List"/>
    <w:basedOn w:val="1"/>
    <w:autoRedefine/>
    <w:qFormat/>
    <w:uiPriority w:val="0"/>
    <w:pPr>
      <w:ind w:left="200" w:hanging="200" w:hangingChars="200"/>
    </w:pPr>
  </w:style>
  <w:style w:type="paragraph" w:styleId="31">
    <w:name w:val="Body Text Indent 3"/>
    <w:basedOn w:val="1"/>
    <w:link w:val="86"/>
    <w:autoRedefine/>
    <w:qFormat/>
    <w:uiPriority w:val="0"/>
    <w:pPr>
      <w:ind w:left="645" w:firstLine="645"/>
    </w:pPr>
    <w:rPr>
      <w:rFonts w:ascii="Arial" w:hAnsi="Arial" w:eastAsia="仿宋_GB2312" w:cs="Arial"/>
      <w:color w:val="FFFF00"/>
      <w:sz w:val="32"/>
      <w:szCs w:val="32"/>
    </w:rPr>
  </w:style>
  <w:style w:type="paragraph" w:styleId="32">
    <w:name w:val="toc 2"/>
    <w:basedOn w:val="22"/>
    <w:next w:val="1"/>
    <w:autoRedefine/>
    <w:qFormat/>
    <w:uiPriority w:val="39"/>
    <w:pPr>
      <w:ind w:left="210"/>
    </w:pPr>
    <w:rPr>
      <w:smallCaps/>
      <w:szCs w:val="24"/>
    </w:rPr>
  </w:style>
  <w:style w:type="paragraph" w:styleId="33">
    <w:name w:val="Body Text 2"/>
    <w:basedOn w:val="1"/>
    <w:link w:val="92"/>
    <w:autoRedefine/>
    <w:qFormat/>
    <w:uiPriority w:val="0"/>
    <w:pPr>
      <w:widowControl/>
      <w:jc w:val="center"/>
    </w:pPr>
    <w:rPr>
      <w:rFonts w:ascii="楷体_GB2312" w:eastAsia="楷体_GB2312"/>
      <w:sz w:val="28"/>
      <w:szCs w:val="28"/>
    </w:rPr>
  </w:style>
  <w:style w:type="paragraph" w:styleId="34">
    <w:name w:val="Normal (Web)"/>
    <w:basedOn w:val="1"/>
    <w:next w:val="1"/>
    <w:autoRedefine/>
    <w:qFormat/>
    <w:uiPriority w:val="0"/>
    <w:pPr>
      <w:widowControl/>
      <w:spacing w:before="100" w:beforeAutospacing="1" w:after="100" w:afterAutospacing="1"/>
      <w:jc w:val="left"/>
    </w:pPr>
    <w:rPr>
      <w:rFonts w:ascii="宋体" w:hAnsi="宋体" w:cs="宋体"/>
      <w:kern w:val="0"/>
      <w:sz w:val="24"/>
      <w:szCs w:val="24"/>
    </w:rPr>
  </w:style>
  <w:style w:type="paragraph" w:styleId="35">
    <w:name w:val="annotation subject"/>
    <w:basedOn w:val="16"/>
    <w:next w:val="16"/>
    <w:link w:val="88"/>
    <w:autoRedefine/>
    <w:semiHidden/>
    <w:qFormat/>
    <w:uiPriority w:val="0"/>
    <w:rPr>
      <w:b/>
      <w:bCs/>
    </w:rPr>
  </w:style>
  <w:style w:type="paragraph" w:styleId="36">
    <w:name w:val="Body Text First Indent"/>
    <w:basedOn w:val="18"/>
    <w:link w:val="90"/>
    <w:autoRedefine/>
    <w:qFormat/>
    <w:uiPriority w:val="0"/>
    <w:pPr>
      <w:spacing w:line="360" w:lineRule="auto"/>
      <w:ind w:firstLine="200" w:firstLineChars="200"/>
    </w:pPr>
    <w:rPr>
      <w:rFonts w:ascii="仿宋_GB2312" w:eastAsia="仿宋_GB2312"/>
      <w:sz w:val="30"/>
      <w:szCs w:val="30"/>
    </w:rPr>
  </w:style>
  <w:style w:type="paragraph" w:styleId="37">
    <w:name w:val="Body Text First Indent 2"/>
    <w:basedOn w:val="19"/>
    <w:next w:val="1"/>
    <w:link w:val="73"/>
    <w:autoRedefine/>
    <w:qFormat/>
    <w:uiPriority w:val="0"/>
    <w:pPr>
      <w:spacing w:line="360" w:lineRule="auto"/>
      <w:ind w:firstLine="420" w:firstLineChars="200"/>
    </w:pPr>
    <w:rPr>
      <w:rFonts w:ascii="宋体" w:hAnsi="宋体" w:eastAsia="宋体"/>
      <w:sz w:val="21"/>
      <w:szCs w:val="20"/>
    </w:rPr>
  </w:style>
  <w:style w:type="table" w:styleId="39">
    <w:name w:val="Table Grid"/>
    <w:basedOn w:val="38"/>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1">
    <w:name w:val="Strong"/>
    <w:basedOn w:val="40"/>
    <w:autoRedefine/>
    <w:qFormat/>
    <w:uiPriority w:val="0"/>
    <w:rPr>
      <w:b/>
      <w:bCs/>
    </w:rPr>
  </w:style>
  <w:style w:type="character" w:styleId="42">
    <w:name w:val="page number"/>
    <w:basedOn w:val="40"/>
    <w:autoRedefine/>
    <w:qFormat/>
    <w:uiPriority w:val="0"/>
  </w:style>
  <w:style w:type="character" w:styleId="43">
    <w:name w:val="FollowedHyperlink"/>
    <w:autoRedefine/>
    <w:qFormat/>
    <w:uiPriority w:val="99"/>
    <w:rPr>
      <w:color w:val="800080"/>
      <w:u w:val="single"/>
    </w:rPr>
  </w:style>
  <w:style w:type="character" w:styleId="44">
    <w:name w:val="Emphasis"/>
    <w:basedOn w:val="40"/>
    <w:autoRedefine/>
    <w:qFormat/>
    <w:uiPriority w:val="0"/>
  </w:style>
  <w:style w:type="character" w:styleId="45">
    <w:name w:val="HTML Definition"/>
    <w:basedOn w:val="40"/>
    <w:autoRedefine/>
    <w:qFormat/>
    <w:uiPriority w:val="0"/>
  </w:style>
  <w:style w:type="character" w:styleId="46">
    <w:name w:val="HTML Typewriter"/>
    <w:basedOn w:val="40"/>
    <w:autoRedefine/>
    <w:qFormat/>
    <w:uiPriority w:val="0"/>
    <w:rPr>
      <w:rFonts w:hint="default" w:ascii="monospace" w:hAnsi="monospace" w:eastAsia="monospace" w:cs="monospace"/>
      <w:sz w:val="20"/>
    </w:rPr>
  </w:style>
  <w:style w:type="character" w:styleId="47">
    <w:name w:val="HTML Acronym"/>
    <w:basedOn w:val="40"/>
    <w:autoRedefine/>
    <w:qFormat/>
    <w:uiPriority w:val="0"/>
  </w:style>
  <w:style w:type="character" w:styleId="48">
    <w:name w:val="HTML Variable"/>
    <w:basedOn w:val="40"/>
    <w:autoRedefine/>
    <w:qFormat/>
    <w:uiPriority w:val="0"/>
  </w:style>
  <w:style w:type="character" w:styleId="49">
    <w:name w:val="Hyperlink"/>
    <w:autoRedefine/>
    <w:qFormat/>
    <w:uiPriority w:val="99"/>
    <w:rPr>
      <w:color w:val="0000FF"/>
      <w:u w:val="single"/>
    </w:rPr>
  </w:style>
  <w:style w:type="character" w:styleId="50">
    <w:name w:val="HTML Code"/>
    <w:basedOn w:val="40"/>
    <w:autoRedefine/>
    <w:qFormat/>
    <w:uiPriority w:val="0"/>
    <w:rPr>
      <w:rFonts w:hint="default" w:ascii="monospace" w:hAnsi="monospace" w:eastAsia="monospace" w:cs="monospace"/>
      <w:sz w:val="20"/>
    </w:rPr>
  </w:style>
  <w:style w:type="character" w:styleId="51">
    <w:name w:val="annotation reference"/>
    <w:autoRedefine/>
    <w:qFormat/>
    <w:uiPriority w:val="0"/>
    <w:rPr>
      <w:sz w:val="21"/>
      <w:szCs w:val="21"/>
    </w:rPr>
  </w:style>
  <w:style w:type="character" w:styleId="52">
    <w:name w:val="HTML Cite"/>
    <w:basedOn w:val="40"/>
    <w:autoRedefine/>
    <w:qFormat/>
    <w:uiPriority w:val="0"/>
  </w:style>
  <w:style w:type="character" w:styleId="53">
    <w:name w:val="HTML Keyboard"/>
    <w:basedOn w:val="40"/>
    <w:autoRedefine/>
    <w:qFormat/>
    <w:uiPriority w:val="0"/>
    <w:rPr>
      <w:rFonts w:hint="default" w:ascii="monospace" w:hAnsi="monospace" w:eastAsia="monospace" w:cs="monospace"/>
      <w:sz w:val="20"/>
    </w:rPr>
  </w:style>
  <w:style w:type="character" w:styleId="54">
    <w:name w:val="HTML Sample"/>
    <w:basedOn w:val="40"/>
    <w:autoRedefine/>
    <w:qFormat/>
    <w:uiPriority w:val="0"/>
    <w:rPr>
      <w:rFonts w:ascii="monospace" w:hAnsi="monospace" w:eastAsia="monospace" w:cs="monospace"/>
    </w:rPr>
  </w:style>
  <w:style w:type="paragraph" w:customStyle="1" w:styleId="55">
    <w:name w:val="Heading2"/>
    <w:basedOn w:val="1"/>
    <w:next w:val="1"/>
    <w:autoRedefine/>
    <w:qFormat/>
    <w:uiPriority w:val="0"/>
    <w:pPr>
      <w:keepNext/>
      <w:keepLines/>
      <w:numPr>
        <w:ilvl w:val="1"/>
        <w:numId w:val="2"/>
      </w:numPr>
      <w:spacing w:before="260" w:after="260" w:line="416" w:lineRule="auto"/>
    </w:pPr>
    <w:rPr>
      <w:rFonts w:ascii="宋体" w:hAnsi="宋体"/>
      <w:b/>
      <w:bCs/>
      <w:sz w:val="32"/>
      <w:szCs w:val="32"/>
    </w:rPr>
  </w:style>
  <w:style w:type="character" w:customStyle="1" w:styleId="56">
    <w:name w:val="标题 1 Char"/>
    <w:link w:val="3"/>
    <w:autoRedefine/>
    <w:qFormat/>
    <w:uiPriority w:val="9"/>
    <w:rPr>
      <w:rFonts w:ascii="楷体_GB2312" w:hAnsi="楷体_GB2312" w:eastAsia="宋体"/>
      <w:b/>
      <w:kern w:val="2"/>
      <w:sz w:val="32"/>
      <w:szCs w:val="32"/>
      <w:lang w:val="en-US" w:eastAsia="zh-CN" w:bidi="ar-SA"/>
    </w:rPr>
  </w:style>
  <w:style w:type="character" w:customStyle="1" w:styleId="57">
    <w:name w:val="标题 4 Char"/>
    <w:link w:val="7"/>
    <w:autoRedefine/>
    <w:qFormat/>
    <w:uiPriority w:val="0"/>
    <w:rPr>
      <w:rFonts w:ascii="Arial" w:hAnsi="Arial" w:eastAsia="宋体" w:cs="Arial"/>
      <w:b/>
      <w:kern w:val="2"/>
      <w:sz w:val="28"/>
      <w:szCs w:val="28"/>
      <w:lang w:val="en-US" w:eastAsia="zh-CN" w:bidi="ar-SA"/>
    </w:rPr>
  </w:style>
  <w:style w:type="paragraph" w:customStyle="1" w:styleId="58">
    <w:name w:val="标题 5（有编号）（绿盟科技）"/>
    <w:basedOn w:val="1"/>
    <w:next w:val="59"/>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59">
    <w:name w:val="正文（绿盟科技）"/>
    <w:autoRedefine/>
    <w:qFormat/>
    <w:uiPriority w:val="0"/>
    <w:pPr>
      <w:spacing w:line="300" w:lineRule="auto"/>
    </w:pPr>
    <w:rPr>
      <w:rFonts w:ascii="Arial" w:hAnsi="Arial" w:eastAsia="宋体" w:cs="黑体"/>
      <w:sz w:val="21"/>
      <w:szCs w:val="21"/>
      <w:lang w:val="en-US" w:eastAsia="zh-CN" w:bidi="ar-SA"/>
    </w:rPr>
  </w:style>
  <w:style w:type="character" w:customStyle="1" w:styleId="60">
    <w:name w:val="标题 9 Char"/>
    <w:link w:val="12"/>
    <w:autoRedefine/>
    <w:qFormat/>
    <w:uiPriority w:val="0"/>
    <w:rPr>
      <w:rFonts w:ascii="Arial" w:hAnsi="Arial" w:eastAsia="黑体"/>
      <w:kern w:val="2"/>
      <w:sz w:val="21"/>
      <w:szCs w:val="21"/>
      <w:lang w:val="en-US" w:eastAsia="zh-CN" w:bidi="ar-SA"/>
    </w:rPr>
  </w:style>
  <w:style w:type="character" w:customStyle="1" w:styleId="61">
    <w:name w:val="正文缩进 Char"/>
    <w:autoRedefine/>
    <w:qFormat/>
    <w:uiPriority w:val="0"/>
    <w:rPr>
      <w:kern w:val="2"/>
      <w:sz w:val="21"/>
      <w:szCs w:val="21"/>
    </w:rPr>
  </w:style>
  <w:style w:type="character" w:customStyle="1" w:styleId="62">
    <w:name w:val="列出段落 Char"/>
    <w:link w:val="63"/>
    <w:autoRedefine/>
    <w:qFormat/>
    <w:locked/>
    <w:uiPriority w:val="0"/>
    <w:rPr>
      <w:rFonts w:ascii="Calibri" w:hAnsi="Calibri"/>
      <w:sz w:val="24"/>
      <w:szCs w:val="24"/>
      <w:lang w:eastAsia="en-US" w:bidi="en-US"/>
    </w:rPr>
  </w:style>
  <w:style w:type="paragraph" w:customStyle="1" w:styleId="63">
    <w:name w:val="列出段落11"/>
    <w:basedOn w:val="1"/>
    <w:link w:val="62"/>
    <w:autoRedefine/>
    <w:qFormat/>
    <w:uiPriority w:val="0"/>
    <w:pPr>
      <w:widowControl/>
      <w:ind w:left="720"/>
      <w:contextualSpacing/>
      <w:jc w:val="left"/>
    </w:pPr>
    <w:rPr>
      <w:rFonts w:ascii="Calibri" w:hAnsi="Calibri"/>
      <w:kern w:val="0"/>
      <w:sz w:val="24"/>
      <w:szCs w:val="24"/>
      <w:lang w:eastAsia="en-US" w:bidi="en-US"/>
    </w:rPr>
  </w:style>
  <w:style w:type="character" w:customStyle="1" w:styleId="64">
    <w:name w:val="正文文本 Char"/>
    <w:link w:val="18"/>
    <w:autoRedefine/>
    <w:qFormat/>
    <w:uiPriority w:val="0"/>
    <w:rPr>
      <w:rFonts w:ascii="楷体_GB2312" w:hAnsi="Arial" w:eastAsia="楷体_GB2312"/>
      <w:kern w:val="2"/>
      <w:sz w:val="28"/>
      <w:szCs w:val="28"/>
      <w:lang w:val="en-US" w:eastAsia="zh-CN" w:bidi="ar-SA"/>
    </w:rPr>
  </w:style>
  <w:style w:type="character" w:customStyle="1" w:styleId="65">
    <w:name w:val="标题 7 Char"/>
    <w:link w:val="10"/>
    <w:autoRedefine/>
    <w:qFormat/>
    <w:uiPriority w:val="0"/>
    <w:rPr>
      <w:rFonts w:eastAsia="宋体"/>
      <w:b/>
      <w:bCs/>
      <w:kern w:val="2"/>
      <w:sz w:val="24"/>
      <w:szCs w:val="24"/>
      <w:lang w:val="en-US" w:eastAsia="zh-CN" w:bidi="ar-SA"/>
    </w:rPr>
  </w:style>
  <w:style w:type="character" w:customStyle="1" w:styleId="66">
    <w:name w:val="标题 8 Char"/>
    <w:link w:val="11"/>
    <w:autoRedefine/>
    <w:qFormat/>
    <w:uiPriority w:val="0"/>
    <w:rPr>
      <w:rFonts w:ascii="Arial" w:hAnsi="Arial" w:eastAsia="黑体"/>
      <w:kern w:val="2"/>
      <w:sz w:val="24"/>
      <w:szCs w:val="24"/>
      <w:lang w:val="en-US" w:eastAsia="zh-CN" w:bidi="ar-SA"/>
    </w:rPr>
  </w:style>
  <w:style w:type="character" w:customStyle="1" w:styleId="67">
    <w:name w:val="正文首行缩进 Char"/>
    <w:autoRedefine/>
    <w:qFormat/>
    <w:uiPriority w:val="0"/>
    <w:rPr>
      <w:rFonts w:ascii="仿宋_GB2312" w:hAnsi="Times New Roman" w:eastAsia="仿宋_GB2312" w:cs="Times New Roman"/>
      <w:kern w:val="2"/>
      <w:sz w:val="30"/>
      <w:szCs w:val="30"/>
    </w:rPr>
  </w:style>
  <w:style w:type="character" w:customStyle="1" w:styleId="68">
    <w:name w:val="正文文本 3 Char"/>
    <w:link w:val="17"/>
    <w:autoRedefine/>
    <w:qFormat/>
    <w:uiPriority w:val="0"/>
    <w:rPr>
      <w:rFonts w:ascii="仿宋_GB2312" w:hAnsi="Arial" w:eastAsia="仿宋_GB2312"/>
      <w:kern w:val="2"/>
      <w:sz w:val="32"/>
      <w:szCs w:val="32"/>
      <w:lang w:val="en-US" w:eastAsia="zh-CN" w:bidi="ar-SA"/>
    </w:rPr>
  </w:style>
  <w:style w:type="character" w:customStyle="1" w:styleId="69">
    <w:name w:val="页脚 Char"/>
    <w:link w:val="27"/>
    <w:autoRedefine/>
    <w:qFormat/>
    <w:uiPriority w:val="99"/>
    <w:rPr>
      <w:rFonts w:eastAsia="宋体" w:cs="Symbol"/>
      <w:color w:val="000000" w:themeColor="text1"/>
      <w:kern w:val="2"/>
      <w:sz w:val="18"/>
      <w:szCs w:val="18"/>
      <w:lang w:bidi="ar-SA"/>
    </w:rPr>
  </w:style>
  <w:style w:type="character" w:customStyle="1" w:styleId="70">
    <w:name w:val="正文文本缩进 Char"/>
    <w:link w:val="19"/>
    <w:autoRedefine/>
    <w:qFormat/>
    <w:uiPriority w:val="0"/>
    <w:rPr>
      <w:rFonts w:ascii="楷体_GB2312" w:eastAsia="楷体_GB2312"/>
      <w:kern w:val="2"/>
      <w:sz w:val="32"/>
      <w:szCs w:val="32"/>
      <w:lang w:val="en-US" w:eastAsia="zh-CN" w:bidi="ar-SA"/>
    </w:rPr>
  </w:style>
  <w:style w:type="character" w:customStyle="1" w:styleId="71">
    <w:name w:val="正文文本缩进 2 Char"/>
    <w:link w:val="25"/>
    <w:autoRedefine/>
    <w:qFormat/>
    <w:uiPriority w:val="0"/>
    <w:rPr>
      <w:rFonts w:ascii="Arial" w:hAnsi="Arial" w:eastAsia="仿宋_GB2312" w:cs="Arial"/>
      <w:kern w:val="2"/>
      <w:sz w:val="32"/>
      <w:szCs w:val="32"/>
      <w:lang w:val="en-US" w:eastAsia="zh-CN" w:bidi="ar-SA"/>
    </w:rPr>
  </w:style>
  <w:style w:type="character" w:customStyle="1" w:styleId="72">
    <w:name w:val="正文缩进 Char1"/>
    <w:link w:val="4"/>
    <w:autoRedefine/>
    <w:qFormat/>
    <w:uiPriority w:val="0"/>
    <w:rPr>
      <w:rFonts w:eastAsia="宋体"/>
      <w:kern w:val="2"/>
      <w:sz w:val="21"/>
      <w:szCs w:val="21"/>
      <w:lang w:bidi="ar-SA"/>
    </w:rPr>
  </w:style>
  <w:style w:type="character" w:customStyle="1" w:styleId="73">
    <w:name w:val="正文首行缩进 2 Char"/>
    <w:link w:val="37"/>
    <w:autoRedefine/>
    <w:qFormat/>
    <w:uiPriority w:val="0"/>
    <w:rPr>
      <w:rFonts w:ascii="宋体" w:hAnsi="宋体" w:eastAsia="宋体"/>
      <w:kern w:val="2"/>
      <w:sz w:val="21"/>
      <w:lang w:val="en-US" w:eastAsia="zh-CN" w:bidi="ar-SA"/>
    </w:rPr>
  </w:style>
  <w:style w:type="character" w:customStyle="1" w:styleId="74">
    <w:name w:val="正文首行缩进（qhb） Char"/>
    <w:link w:val="75"/>
    <w:autoRedefine/>
    <w:qFormat/>
    <w:uiPriority w:val="0"/>
    <w:rPr>
      <w:rFonts w:ascii="Arial" w:hAnsi="Arial"/>
      <w:sz w:val="24"/>
      <w:szCs w:val="21"/>
    </w:rPr>
  </w:style>
  <w:style w:type="paragraph" w:customStyle="1" w:styleId="75">
    <w:name w:val="正文首行缩进（qhb）"/>
    <w:basedOn w:val="1"/>
    <w:link w:val="74"/>
    <w:autoRedefine/>
    <w:qFormat/>
    <w:uiPriority w:val="0"/>
    <w:pPr>
      <w:widowControl/>
      <w:spacing w:after="50" w:line="360" w:lineRule="auto"/>
      <w:ind w:firstLine="200" w:firstLineChars="200"/>
      <w:jc w:val="left"/>
    </w:pPr>
    <w:rPr>
      <w:rFonts w:ascii="Arial" w:hAnsi="Arial"/>
      <w:kern w:val="0"/>
      <w:sz w:val="24"/>
    </w:rPr>
  </w:style>
  <w:style w:type="character" w:customStyle="1" w:styleId="76">
    <w:name w:val="日期 Char"/>
    <w:link w:val="24"/>
    <w:autoRedefine/>
    <w:qFormat/>
    <w:uiPriority w:val="0"/>
    <w:rPr>
      <w:rFonts w:eastAsia="宋体"/>
      <w:kern w:val="2"/>
      <w:sz w:val="24"/>
      <w:szCs w:val="24"/>
      <w:lang w:val="en-US" w:eastAsia="zh-CN" w:bidi="ar-SA"/>
    </w:rPr>
  </w:style>
  <w:style w:type="character" w:customStyle="1" w:styleId="77">
    <w:name w:val="font5 Char"/>
    <w:autoRedefine/>
    <w:qFormat/>
    <w:uiPriority w:val="0"/>
    <w:rPr>
      <w:rFonts w:ascii="宋体" w:hAnsi="宋体" w:eastAsia="宋体"/>
      <w:sz w:val="28"/>
      <w:szCs w:val="28"/>
      <w:lang w:val="en-US" w:eastAsia="zh-CN" w:bidi="ar-SA"/>
    </w:rPr>
  </w:style>
  <w:style w:type="character" w:customStyle="1" w:styleId="78">
    <w:name w:val="Char Char2"/>
    <w:autoRedefine/>
    <w:qFormat/>
    <w:uiPriority w:val="0"/>
    <w:rPr>
      <w:rFonts w:ascii="Times New Roman" w:hAnsi="Times New Roman" w:eastAsia="宋体" w:cs="Times New Roman"/>
      <w:szCs w:val="21"/>
    </w:rPr>
  </w:style>
  <w:style w:type="character" w:customStyle="1" w:styleId="79">
    <w:name w:val="正文格式 Char"/>
    <w:link w:val="80"/>
    <w:autoRedefine/>
    <w:qFormat/>
    <w:uiPriority w:val="0"/>
    <w:rPr>
      <w:rFonts w:eastAsia="仿宋_GB2312"/>
      <w:sz w:val="28"/>
      <w:lang w:bidi="ar-SA"/>
    </w:rPr>
  </w:style>
  <w:style w:type="paragraph" w:customStyle="1" w:styleId="80">
    <w:name w:val="正文格式"/>
    <w:basedOn w:val="1"/>
    <w:link w:val="79"/>
    <w:autoRedefine/>
    <w:qFormat/>
    <w:uiPriority w:val="0"/>
    <w:pPr>
      <w:widowControl/>
      <w:adjustRightInd w:val="0"/>
      <w:snapToGrid w:val="0"/>
      <w:spacing w:before="100" w:beforeAutospacing="1" w:line="360" w:lineRule="auto"/>
      <w:ind w:firstLine="200" w:firstLineChars="200"/>
      <w:textAlignment w:val="baseline"/>
    </w:pPr>
    <w:rPr>
      <w:rFonts w:eastAsia="仿宋_GB2312"/>
      <w:kern w:val="0"/>
      <w:sz w:val="28"/>
      <w:szCs w:val="20"/>
    </w:rPr>
  </w:style>
  <w:style w:type="character" w:customStyle="1" w:styleId="81">
    <w:name w:val="二级目录 Char"/>
    <w:link w:val="82"/>
    <w:autoRedefine/>
    <w:qFormat/>
    <w:uiPriority w:val="0"/>
    <w:rPr>
      <w:rFonts w:eastAsia="Times New Roman"/>
      <w:b/>
      <w:kern w:val="2"/>
      <w:sz w:val="30"/>
      <w:szCs w:val="28"/>
      <w:lang w:val="en-US" w:eastAsia="zh-CN" w:bidi="ar-SA"/>
    </w:rPr>
  </w:style>
  <w:style w:type="paragraph" w:customStyle="1" w:styleId="82">
    <w:name w:val="二级目录"/>
    <w:next w:val="1"/>
    <w:link w:val="81"/>
    <w:autoRedefine/>
    <w:qFormat/>
    <w:uiPriority w:val="0"/>
    <w:pPr>
      <w:tabs>
        <w:tab w:val="left" w:pos="907"/>
        <w:tab w:val="left" w:pos="1145"/>
      </w:tabs>
      <w:ind w:left="907" w:hanging="907"/>
      <w:outlineLvl w:val="1"/>
    </w:pPr>
    <w:rPr>
      <w:rFonts w:ascii="Times New Roman" w:hAnsi="Times New Roman" w:eastAsia="Times New Roman" w:cs="Times New Roman"/>
      <w:b/>
      <w:kern w:val="2"/>
      <w:sz w:val="30"/>
      <w:szCs w:val="28"/>
      <w:lang w:val="en-US" w:eastAsia="zh-CN" w:bidi="ar-SA"/>
    </w:rPr>
  </w:style>
  <w:style w:type="character" w:customStyle="1" w:styleId="83">
    <w:name w:val="Char Char6"/>
    <w:autoRedefine/>
    <w:qFormat/>
    <w:uiPriority w:val="0"/>
    <w:rPr>
      <w:rFonts w:ascii="Times New Roman" w:hAnsi="Times New Roman" w:eastAsia="宋体" w:cs="Times New Roman"/>
      <w:sz w:val="18"/>
      <w:szCs w:val="18"/>
    </w:rPr>
  </w:style>
  <w:style w:type="character" w:customStyle="1" w:styleId="84">
    <w:name w:val="标题 3 Char"/>
    <w:link w:val="6"/>
    <w:autoRedefine/>
    <w:qFormat/>
    <w:uiPriority w:val="0"/>
    <w:rPr>
      <w:rFonts w:ascii="Times New Roman" w:hAnsi="Times New Roman" w:eastAsia="宋体"/>
      <w:b/>
      <w:bCs/>
      <w:kern w:val="2"/>
      <w:sz w:val="28"/>
      <w:szCs w:val="32"/>
      <w:lang w:val="en-US" w:eastAsia="zh-CN" w:bidi="ar-SA"/>
    </w:rPr>
  </w:style>
  <w:style w:type="character" w:customStyle="1" w:styleId="85">
    <w:name w:val="标题 6 Char"/>
    <w:link w:val="9"/>
    <w:autoRedefine/>
    <w:qFormat/>
    <w:uiPriority w:val="0"/>
    <w:rPr>
      <w:rFonts w:ascii="Arial" w:hAnsi="Arial" w:eastAsia="黑体"/>
      <w:b/>
      <w:bCs/>
      <w:kern w:val="2"/>
      <w:sz w:val="24"/>
      <w:szCs w:val="24"/>
      <w:lang w:val="en-US" w:eastAsia="zh-CN" w:bidi="ar-SA"/>
    </w:rPr>
  </w:style>
  <w:style w:type="character" w:customStyle="1" w:styleId="86">
    <w:name w:val="正文文本缩进 3 Char"/>
    <w:link w:val="31"/>
    <w:autoRedefine/>
    <w:qFormat/>
    <w:uiPriority w:val="0"/>
    <w:rPr>
      <w:rFonts w:ascii="Arial" w:hAnsi="Arial" w:eastAsia="仿宋_GB2312" w:cs="Arial"/>
      <w:color w:val="FFFF00"/>
      <w:kern w:val="2"/>
      <w:sz w:val="32"/>
      <w:szCs w:val="32"/>
      <w:lang w:val="en-US" w:eastAsia="zh-CN" w:bidi="ar-SA"/>
    </w:rPr>
  </w:style>
  <w:style w:type="character" w:customStyle="1" w:styleId="87">
    <w:name w:val="页眉 Char"/>
    <w:link w:val="28"/>
    <w:autoRedefine/>
    <w:qFormat/>
    <w:uiPriority w:val="99"/>
    <w:rPr>
      <w:rFonts w:eastAsia="宋体"/>
      <w:kern w:val="2"/>
      <w:sz w:val="18"/>
      <w:szCs w:val="18"/>
      <w:lang w:val="en-US" w:eastAsia="zh-CN" w:bidi="ar-SA"/>
    </w:rPr>
  </w:style>
  <w:style w:type="character" w:customStyle="1" w:styleId="88">
    <w:name w:val="批注主题 Char"/>
    <w:link w:val="35"/>
    <w:autoRedefine/>
    <w:semiHidden/>
    <w:qFormat/>
    <w:uiPriority w:val="0"/>
    <w:rPr>
      <w:rFonts w:eastAsia="宋体"/>
      <w:b/>
      <w:bCs/>
      <w:kern w:val="2"/>
      <w:sz w:val="21"/>
      <w:szCs w:val="21"/>
      <w:lang w:val="en-US" w:eastAsia="zh-CN" w:bidi="ar-SA"/>
    </w:rPr>
  </w:style>
  <w:style w:type="character" w:customStyle="1" w:styleId="89">
    <w:name w:val="标题 2 Char"/>
    <w:link w:val="5"/>
    <w:autoRedefine/>
    <w:qFormat/>
    <w:uiPriority w:val="0"/>
    <w:rPr>
      <w:rFonts w:ascii="Arial" w:hAnsi="Arial" w:eastAsia="宋体" w:cs="Arial"/>
      <w:b/>
      <w:bCs/>
      <w:kern w:val="2"/>
      <w:sz w:val="30"/>
      <w:szCs w:val="30"/>
      <w:lang w:val="en-US" w:eastAsia="zh-CN" w:bidi="ar-SA"/>
    </w:rPr>
  </w:style>
  <w:style w:type="character" w:customStyle="1" w:styleId="90">
    <w:name w:val="正文首行缩进 Char1"/>
    <w:link w:val="36"/>
    <w:autoRedefine/>
    <w:qFormat/>
    <w:uiPriority w:val="0"/>
    <w:rPr>
      <w:rFonts w:ascii="仿宋_GB2312" w:eastAsia="仿宋_GB2312"/>
      <w:kern w:val="2"/>
      <w:sz w:val="30"/>
      <w:szCs w:val="30"/>
      <w:lang w:val="en-US" w:eastAsia="zh-CN" w:bidi="ar-SA"/>
    </w:rPr>
  </w:style>
  <w:style w:type="character" w:customStyle="1" w:styleId="91">
    <w:name w:val="文档结构图 Char"/>
    <w:link w:val="14"/>
    <w:autoRedefine/>
    <w:semiHidden/>
    <w:qFormat/>
    <w:uiPriority w:val="0"/>
    <w:rPr>
      <w:rFonts w:eastAsia="宋体"/>
      <w:kern w:val="2"/>
      <w:sz w:val="21"/>
      <w:szCs w:val="21"/>
      <w:lang w:bidi="ar-SA"/>
    </w:rPr>
  </w:style>
  <w:style w:type="character" w:customStyle="1" w:styleId="92">
    <w:name w:val="正文文本 2 Char"/>
    <w:link w:val="33"/>
    <w:autoRedefine/>
    <w:qFormat/>
    <w:uiPriority w:val="0"/>
    <w:rPr>
      <w:rFonts w:ascii="楷体_GB2312" w:eastAsia="楷体_GB2312"/>
      <w:kern w:val="2"/>
      <w:sz w:val="28"/>
      <w:szCs w:val="28"/>
      <w:lang w:val="en-US" w:eastAsia="zh-CN" w:bidi="ar-SA"/>
    </w:rPr>
  </w:style>
  <w:style w:type="character" w:customStyle="1" w:styleId="93">
    <w:name w:val="纯文本 Char"/>
    <w:link w:val="23"/>
    <w:autoRedefine/>
    <w:qFormat/>
    <w:uiPriority w:val="0"/>
    <w:rPr>
      <w:rFonts w:ascii="宋体" w:hAnsi="Courier New" w:eastAsia="宋体" w:cs="Courier New"/>
      <w:kern w:val="2"/>
      <w:sz w:val="21"/>
      <w:szCs w:val="21"/>
      <w:lang w:val="en-US" w:eastAsia="zh-CN" w:bidi="ar-SA"/>
    </w:rPr>
  </w:style>
  <w:style w:type="character" w:customStyle="1" w:styleId="94">
    <w:name w:val="标题 5 Char"/>
    <w:link w:val="8"/>
    <w:autoRedefine/>
    <w:qFormat/>
    <w:uiPriority w:val="0"/>
    <w:rPr>
      <w:rFonts w:ascii="宋体" w:eastAsia="宋体"/>
      <w:color w:val="000000"/>
      <w:sz w:val="28"/>
      <w:szCs w:val="28"/>
      <w:lang w:val="en-US" w:eastAsia="zh-CN" w:bidi="ar-SA"/>
    </w:rPr>
  </w:style>
  <w:style w:type="character" w:customStyle="1" w:styleId="95">
    <w:name w:val="批注框文本 Char"/>
    <w:link w:val="26"/>
    <w:autoRedefine/>
    <w:semiHidden/>
    <w:qFormat/>
    <w:uiPriority w:val="0"/>
    <w:rPr>
      <w:rFonts w:eastAsia="宋体"/>
      <w:kern w:val="2"/>
      <w:sz w:val="18"/>
      <w:szCs w:val="18"/>
      <w:lang w:val="en-US" w:eastAsia="zh-CN" w:bidi="ar-SA"/>
    </w:rPr>
  </w:style>
  <w:style w:type="paragraph" w:customStyle="1" w:styleId="96">
    <w:name w:val="font7"/>
    <w:basedOn w:val="1"/>
    <w:autoRedefine/>
    <w:qFormat/>
    <w:uiPriority w:val="0"/>
    <w:pPr>
      <w:widowControl/>
      <w:numPr>
        <w:ilvl w:val="0"/>
        <w:numId w:val="4"/>
      </w:numPr>
      <w:tabs>
        <w:tab w:val="clear" w:pos="709"/>
      </w:tabs>
      <w:spacing w:before="100" w:beforeAutospacing="1" w:after="100" w:afterAutospacing="1"/>
      <w:ind w:left="0" w:firstLine="0"/>
      <w:jc w:val="left"/>
    </w:pPr>
    <w:rPr>
      <w:rFonts w:hint="eastAsia" w:ascii="宋体" w:hAnsi="宋体"/>
      <w:kern w:val="0"/>
      <w:sz w:val="18"/>
      <w:szCs w:val="18"/>
    </w:rPr>
  </w:style>
  <w:style w:type="paragraph" w:customStyle="1" w:styleId="97">
    <w:name w:val="xl28"/>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98">
    <w:name w:val="p1"/>
    <w:basedOn w:val="1"/>
    <w:autoRedefine/>
    <w:qFormat/>
    <w:uiPriority w:val="0"/>
    <w:pPr>
      <w:spacing w:line="380" w:lineRule="atLeast"/>
      <w:jc w:val="left"/>
    </w:pPr>
    <w:rPr>
      <w:rFonts w:ascii="Helvetica Neue" w:hAnsi="Helvetica Neue" w:eastAsia="Helvetica Neue"/>
      <w:kern w:val="0"/>
      <w:sz w:val="26"/>
      <w:szCs w:val="26"/>
    </w:rPr>
  </w:style>
  <w:style w:type="paragraph" w:customStyle="1" w:styleId="9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100">
    <w:name w:val="标题3"/>
    <w:basedOn w:val="1"/>
    <w:next w:val="1"/>
    <w:autoRedefine/>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1">
    <w:name w:val="xl2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102">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font6"/>
    <w:basedOn w:val="1"/>
    <w:autoRedefine/>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4">
    <w:name w:val="Char Char Char Char Char Char Char Char Char Char"/>
    <w:basedOn w:val="1"/>
    <w:autoRedefine/>
    <w:qFormat/>
    <w:uiPriority w:val="0"/>
    <w:pPr>
      <w:adjustRightInd w:val="0"/>
      <w:spacing w:line="360" w:lineRule="auto"/>
    </w:pPr>
    <w:rPr>
      <w:kern w:val="0"/>
      <w:sz w:val="24"/>
      <w:szCs w:val="20"/>
    </w:rPr>
  </w:style>
  <w:style w:type="paragraph" w:customStyle="1" w:styleId="105">
    <w:name w:val="附录1"/>
    <w:autoRedefine/>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106">
    <w:name w:val="_Style 30"/>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customStyle="1" w:styleId="107">
    <w:name w:val="图标"/>
    <w:basedOn w:val="1"/>
    <w:next w:val="1"/>
    <w:autoRedefine/>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8">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109">
    <w:name w:val="列出段落1"/>
    <w:basedOn w:val="1"/>
    <w:autoRedefine/>
    <w:qFormat/>
    <w:uiPriority w:val="99"/>
    <w:pPr>
      <w:ind w:firstLine="420" w:firstLineChars="200"/>
    </w:pPr>
  </w:style>
  <w:style w:type="paragraph" w:customStyle="1" w:styleId="110">
    <w:name w:val="标题1"/>
    <w:basedOn w:val="1"/>
    <w:next w:val="1"/>
    <w:autoRedefine/>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1">
    <w:name w:val="样式1"/>
    <w:basedOn w:val="1"/>
    <w:autoRedefine/>
    <w:qFormat/>
    <w:uiPriority w:val="0"/>
    <w:pPr>
      <w:tabs>
        <w:tab w:val="left" w:pos="709"/>
      </w:tabs>
      <w:adjustRightInd w:val="0"/>
      <w:ind w:left="709" w:hanging="709"/>
      <w:textAlignment w:val="baseline"/>
    </w:pPr>
    <w:rPr>
      <w:rFonts w:ascii="宋体" w:hAnsi="宋体"/>
      <w:kern w:val="0"/>
    </w:rPr>
  </w:style>
  <w:style w:type="paragraph" w:customStyle="1" w:styleId="112">
    <w:name w:val="Char"/>
    <w:basedOn w:val="1"/>
    <w:autoRedefine/>
    <w:qFormat/>
    <w:uiPriority w:val="0"/>
    <w:pPr>
      <w:tabs>
        <w:tab w:val="left" w:pos="360"/>
      </w:tabs>
      <w:ind w:firstLine="200" w:firstLineChars="200"/>
    </w:pPr>
    <w:rPr>
      <w:sz w:val="28"/>
      <w:szCs w:val="30"/>
    </w:rPr>
  </w:style>
  <w:style w:type="paragraph" w:customStyle="1" w:styleId="113">
    <w:name w:val="table_1stline"/>
    <w:basedOn w:val="1"/>
    <w:autoRedefine/>
    <w:qFormat/>
    <w:uiPriority w:val="0"/>
    <w:pPr>
      <w:widowControl/>
      <w:spacing w:before="120"/>
      <w:jc w:val="left"/>
    </w:pPr>
    <w:rPr>
      <w:bCs/>
      <w:kern w:val="0"/>
      <w:sz w:val="20"/>
      <w:szCs w:val="20"/>
      <w:lang w:val="de-DE" w:eastAsia="de-DE"/>
    </w:rPr>
  </w:style>
  <w:style w:type="paragraph" w:customStyle="1" w:styleId="114">
    <w:name w:val="table_lines"/>
    <w:basedOn w:val="1"/>
    <w:autoRedefine/>
    <w:qFormat/>
    <w:uiPriority w:val="0"/>
    <w:pPr>
      <w:widowControl/>
      <w:jc w:val="left"/>
    </w:pPr>
    <w:rPr>
      <w:kern w:val="0"/>
      <w:sz w:val="20"/>
      <w:szCs w:val="20"/>
      <w:lang w:val="de-DE" w:eastAsia="de-DE"/>
    </w:rPr>
  </w:style>
  <w:style w:type="paragraph" w:customStyle="1" w:styleId="115">
    <w:name w:val="xl30"/>
    <w:basedOn w:val="1"/>
    <w:autoRedefine/>
    <w:qFormat/>
    <w:uiPriority w:val="0"/>
    <w:pPr>
      <w:widowControl/>
      <w:spacing w:before="100" w:beforeAutospacing="1" w:after="100" w:afterAutospacing="1"/>
      <w:jc w:val="center"/>
    </w:pPr>
    <w:rPr>
      <w:rFonts w:ascii="宋体" w:hAnsi="宋体"/>
      <w:b/>
      <w:bCs/>
      <w:kern w:val="0"/>
      <w:sz w:val="36"/>
      <w:szCs w:val="36"/>
    </w:rPr>
  </w:style>
  <w:style w:type="paragraph" w:customStyle="1" w:styleId="116">
    <w:name w:val="Char Char Char Char1"/>
    <w:basedOn w:val="14"/>
    <w:autoRedefine/>
    <w:qFormat/>
    <w:uiPriority w:val="0"/>
    <w:pPr>
      <w:adjustRightInd w:val="0"/>
      <w:snapToGrid w:val="0"/>
      <w:spacing w:line="360" w:lineRule="auto"/>
    </w:pPr>
    <w:rPr>
      <w:rFonts w:ascii="Tahoma" w:hAnsi="Tahoma"/>
      <w:kern w:val="0"/>
      <w:sz w:val="24"/>
      <w:szCs w:val="24"/>
    </w:rPr>
  </w:style>
  <w:style w:type="paragraph" w:customStyle="1" w:styleId="117">
    <w:name w:val="font5"/>
    <w:basedOn w:val="1"/>
    <w:autoRedefine/>
    <w:qFormat/>
    <w:uiPriority w:val="0"/>
    <w:pPr>
      <w:widowControl/>
      <w:numPr>
        <w:ilvl w:val="0"/>
        <w:numId w:val="5"/>
      </w:numPr>
      <w:tabs>
        <w:tab w:val="clear" w:pos="907"/>
      </w:tabs>
      <w:spacing w:before="100" w:beforeAutospacing="1" w:after="100" w:afterAutospacing="1"/>
      <w:ind w:left="0" w:firstLine="0"/>
      <w:jc w:val="left"/>
    </w:pPr>
    <w:rPr>
      <w:rFonts w:hint="eastAsia" w:ascii="宋体" w:hAnsi="宋体"/>
      <w:kern w:val="0"/>
      <w:sz w:val="28"/>
      <w:szCs w:val="28"/>
    </w:rPr>
  </w:style>
  <w:style w:type="paragraph" w:customStyle="1" w:styleId="118">
    <w:name w:val="xl24"/>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19">
    <w:name w:val="Char Char Char Char"/>
    <w:basedOn w:val="14"/>
    <w:autoRedefine/>
    <w:qFormat/>
    <w:uiPriority w:val="0"/>
    <w:pPr>
      <w:adjustRightInd w:val="0"/>
      <w:snapToGrid w:val="0"/>
      <w:spacing w:line="360" w:lineRule="auto"/>
    </w:pPr>
    <w:rPr>
      <w:rFonts w:ascii="Tahoma" w:hAnsi="Tahoma"/>
      <w:sz w:val="24"/>
      <w:szCs w:val="24"/>
    </w:rPr>
  </w:style>
  <w:style w:type="paragraph" w:customStyle="1" w:styleId="120">
    <w:name w:val="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1">
    <w:name w:val="Char Char Char Char Char Char Char Char1"/>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22">
    <w:name w:val="列表内容"/>
    <w:basedOn w:val="1"/>
    <w:next w:val="1"/>
    <w:autoRedefine/>
    <w:qFormat/>
    <w:uiPriority w:val="0"/>
    <w:pPr>
      <w:widowControl/>
      <w:numPr>
        <w:ilvl w:val="0"/>
        <w:numId w:val="6"/>
      </w:numPr>
      <w:tabs>
        <w:tab w:val="left" w:pos="840"/>
      </w:tabs>
      <w:jc w:val="left"/>
    </w:pPr>
    <w:rPr>
      <w:kern w:val="0"/>
      <w:sz w:val="18"/>
      <w:szCs w:val="24"/>
    </w:rPr>
  </w:style>
  <w:style w:type="paragraph" w:customStyle="1" w:styleId="123">
    <w:name w:val="Body Text(ch)"/>
    <w:basedOn w:val="1"/>
    <w:next w:val="18"/>
    <w:autoRedefine/>
    <w:qFormat/>
    <w:uiPriority w:val="0"/>
    <w:pPr>
      <w:spacing w:after="120"/>
    </w:pPr>
    <w:rPr>
      <w:rFonts w:ascii="宋体" w:hAnsi="Arial"/>
      <w:bCs/>
      <w:iCs/>
      <w:szCs w:val="24"/>
    </w:rPr>
  </w:style>
  <w:style w:type="paragraph" w:styleId="124">
    <w:name w:val="List Paragraph"/>
    <w:basedOn w:val="1"/>
    <w:autoRedefine/>
    <w:qFormat/>
    <w:uiPriority w:val="34"/>
    <w:pPr>
      <w:widowControl/>
      <w:ind w:left="720"/>
      <w:contextualSpacing/>
      <w:jc w:val="left"/>
    </w:pPr>
    <w:rPr>
      <w:rFonts w:ascii="Calibri" w:hAnsi="Calibri"/>
      <w:kern w:val="0"/>
      <w:sz w:val="24"/>
      <w:szCs w:val="24"/>
      <w:lang w:eastAsia="en-US" w:bidi="en-US"/>
    </w:rPr>
  </w:style>
  <w:style w:type="paragraph" w:customStyle="1" w:styleId="125">
    <w:name w:val="Char11"/>
    <w:basedOn w:val="14"/>
    <w:autoRedefine/>
    <w:qFormat/>
    <w:uiPriority w:val="0"/>
    <w:rPr>
      <w:rFonts w:ascii="Tahoma" w:hAnsi="Tahoma"/>
      <w:sz w:val="24"/>
      <w:szCs w:val="24"/>
    </w:rPr>
  </w:style>
  <w:style w:type="paragraph" w:customStyle="1" w:styleId="126">
    <w:name w:val="普通 (Web)"/>
    <w:basedOn w:val="1"/>
    <w:autoRedefine/>
    <w:qFormat/>
    <w:uiPriority w:val="0"/>
    <w:pPr>
      <w:widowControl/>
      <w:spacing w:before="100" w:beforeAutospacing="1" w:after="100" w:afterAutospacing="1"/>
      <w:jc w:val="left"/>
    </w:pPr>
    <w:rPr>
      <w:rFonts w:ascii="宋体" w:hAnsi="宋体"/>
      <w:kern w:val="0"/>
      <w:sz w:val="24"/>
      <w:szCs w:val="24"/>
    </w:rPr>
  </w:style>
  <w:style w:type="paragraph" w:customStyle="1" w:styleId="127">
    <w:name w:val="_Style 4"/>
    <w:basedOn w:val="14"/>
    <w:autoRedefine/>
    <w:qFormat/>
    <w:uiPriority w:val="0"/>
    <w:pPr>
      <w:shd w:val="clear" w:color="auto" w:fill="auto"/>
      <w:spacing w:line="360" w:lineRule="auto"/>
      <w:jc w:val="left"/>
    </w:pPr>
    <w:rPr>
      <w:kern w:val="0"/>
      <w:sz w:val="20"/>
      <w:szCs w:val="20"/>
    </w:rPr>
  </w:style>
  <w:style w:type="paragraph" w:customStyle="1" w:styleId="128">
    <w:name w:val="4"/>
    <w:basedOn w:val="1"/>
    <w:next w:val="31"/>
    <w:autoRedefine/>
    <w:qFormat/>
    <w:uiPriority w:val="0"/>
    <w:pPr>
      <w:spacing w:line="360" w:lineRule="auto"/>
      <w:ind w:firstLine="420"/>
    </w:pPr>
    <w:rPr>
      <w:color w:val="FF0000"/>
      <w:sz w:val="24"/>
      <w:szCs w:val="24"/>
    </w:rPr>
  </w:style>
  <w:style w:type="paragraph" w:customStyle="1" w:styleId="129">
    <w:name w:val="Char Char Char Char Char Char Char Char2"/>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30">
    <w:name w:val="TOC 标题1"/>
    <w:basedOn w:val="3"/>
    <w:next w:val="1"/>
    <w:autoRedefine/>
    <w:qFormat/>
    <w:uiPriority w:val="39"/>
    <w:pPr>
      <w:keepLines/>
      <w:widowControl/>
      <w:spacing w:before="480" w:line="276" w:lineRule="auto"/>
      <w:jc w:val="left"/>
      <w:outlineLvl w:val="9"/>
    </w:pPr>
    <w:rPr>
      <w:rFonts w:ascii="Cambria" w:hAnsi="Cambria"/>
      <w:bCs/>
      <w:color w:val="365F91"/>
      <w:kern w:val="0"/>
    </w:rPr>
  </w:style>
  <w:style w:type="paragraph" w:customStyle="1" w:styleId="131">
    <w:name w:val="xl29"/>
    <w:basedOn w:val="1"/>
    <w:autoRedefine/>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32">
    <w:name w:val="Char1"/>
    <w:basedOn w:val="1"/>
    <w:autoRedefine/>
    <w:qFormat/>
    <w:uiPriority w:val="0"/>
    <w:pPr>
      <w:tabs>
        <w:tab w:val="left" w:pos="360"/>
      </w:tabs>
      <w:ind w:firstLine="200" w:firstLineChars="200"/>
    </w:pPr>
    <w:rPr>
      <w:sz w:val="28"/>
      <w:szCs w:val="30"/>
    </w:rPr>
  </w:style>
  <w:style w:type="paragraph" w:customStyle="1" w:styleId="133">
    <w:name w:val="Char2 Char1 Char"/>
    <w:basedOn w:val="1"/>
    <w:autoRedefine/>
    <w:qFormat/>
    <w:uiPriority w:val="0"/>
    <w:pPr>
      <w:tabs>
        <w:tab w:val="left" w:pos="360"/>
      </w:tabs>
    </w:pPr>
    <w:rPr>
      <w:rFonts w:eastAsia="方正仿宋简体"/>
      <w:sz w:val="24"/>
      <w:szCs w:val="32"/>
    </w:rPr>
  </w:style>
  <w:style w:type="paragraph" w:customStyle="1" w:styleId="134">
    <w:name w:val="正文 A"/>
    <w:autoRedefine/>
    <w:qFormat/>
    <w:uiPriority w:val="0"/>
    <w:pPr>
      <w:widowControl w:val="0"/>
      <w:jc w:val="both"/>
    </w:pPr>
    <w:rPr>
      <w:rFonts w:ascii="Times New Roman" w:hAnsi="Arial Unicode MS" w:eastAsia="Arial Unicode MS" w:cs="Arial Unicode MS"/>
      <w:color w:val="000000"/>
      <w:kern w:val="2"/>
      <w:sz w:val="21"/>
      <w:szCs w:val="21"/>
      <w:u w:color="000000"/>
      <w:lang w:val="en-US" w:eastAsia="zh-CN" w:bidi="ar-SA"/>
    </w:rPr>
  </w:style>
  <w:style w:type="paragraph" w:customStyle="1" w:styleId="135">
    <w:name w:val="Char Char Char Char2"/>
    <w:basedOn w:val="14"/>
    <w:autoRedefine/>
    <w:qFormat/>
    <w:uiPriority w:val="0"/>
    <w:pPr>
      <w:adjustRightInd w:val="0"/>
      <w:snapToGrid w:val="0"/>
      <w:spacing w:line="360" w:lineRule="auto"/>
    </w:pPr>
    <w:rPr>
      <w:rFonts w:ascii="Tahoma" w:hAnsi="Tahoma"/>
      <w:sz w:val="24"/>
      <w:szCs w:val="24"/>
    </w:rPr>
  </w:style>
  <w:style w:type="paragraph" w:customStyle="1" w:styleId="136">
    <w:name w:val="_Style 119"/>
    <w:basedOn w:val="1"/>
    <w:next w:val="124"/>
    <w:autoRedefine/>
    <w:qFormat/>
    <w:uiPriority w:val="34"/>
    <w:pPr>
      <w:widowControl/>
      <w:ind w:left="720"/>
      <w:contextualSpacing/>
      <w:jc w:val="left"/>
    </w:pPr>
    <w:rPr>
      <w:rFonts w:ascii="Calibri" w:hAnsi="Calibri"/>
      <w:kern w:val="0"/>
      <w:sz w:val="24"/>
      <w:szCs w:val="24"/>
      <w:lang w:eastAsia="en-US" w:bidi="en-US"/>
    </w:rPr>
  </w:style>
  <w:style w:type="paragraph" w:customStyle="1" w:styleId="137">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38">
    <w:name w:val="Table Paragraph"/>
    <w:basedOn w:val="1"/>
    <w:autoRedefine/>
    <w:qFormat/>
    <w:uiPriority w:val="1"/>
  </w:style>
  <w:style w:type="character" w:customStyle="1" w:styleId="139">
    <w:name w:val="纯文本 字符"/>
    <w:autoRedefine/>
    <w:qFormat/>
    <w:uiPriority w:val="0"/>
    <w:rPr>
      <w:rFonts w:ascii="宋体" w:hAnsi="Courier New" w:cs="Courier New"/>
      <w:kern w:val="2"/>
      <w:sz w:val="21"/>
      <w:szCs w:val="21"/>
    </w:rPr>
  </w:style>
  <w:style w:type="character" w:customStyle="1" w:styleId="140">
    <w:name w:val="正文缩进 字符"/>
    <w:autoRedefine/>
    <w:qFormat/>
    <w:uiPriority w:val="0"/>
    <w:rPr>
      <w:kern w:val="2"/>
      <w:sz w:val="21"/>
      <w:szCs w:val="21"/>
    </w:rPr>
  </w:style>
  <w:style w:type="paragraph" w:customStyle="1" w:styleId="141">
    <w:name w:val="缺省文本"/>
    <w:autoRedefine/>
    <w:qFormat/>
    <w:uiPriority w:val="0"/>
    <w:pPr>
      <w:widowControl w:val="0"/>
      <w:autoSpaceDE w:val="0"/>
      <w:autoSpaceDN w:val="0"/>
      <w:adjustRightInd w:val="0"/>
    </w:pPr>
    <w:rPr>
      <w:rFonts w:ascii="Calibri" w:hAnsi="Calibri" w:eastAsia="宋体" w:cs="Times New Roman"/>
      <w:color w:val="000000"/>
      <w:sz w:val="21"/>
      <w:szCs w:val="22"/>
      <w:lang w:val="en-US" w:eastAsia="zh-CN" w:bidi="ar-SA"/>
    </w:rPr>
  </w:style>
  <w:style w:type="paragraph" w:customStyle="1" w:styleId="142">
    <w:name w:val="xl70"/>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43">
    <w:name w:val="xl71"/>
    <w:basedOn w:val="1"/>
    <w:autoRedefine/>
    <w:qFormat/>
    <w:uiPriority w:val="0"/>
    <w:pPr>
      <w:widowControl/>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4">
    <w:name w:val="xl7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5">
    <w:name w:val="xl7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46">
    <w:name w:val="xl7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7">
    <w:name w:val="xl7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8">
    <w:name w:val="xl7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49">
    <w:name w:val="xl7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0">
    <w:name w:val="xl7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1">
    <w:name w:val="xl7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2">
    <w:name w:val="xl8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D0D0D"/>
      <w:kern w:val="0"/>
      <w:sz w:val="20"/>
      <w:szCs w:val="20"/>
    </w:rPr>
  </w:style>
  <w:style w:type="paragraph" w:customStyle="1" w:styleId="153">
    <w:name w:val="xl8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4">
    <w:name w:val="xl82"/>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0"/>
      <w:szCs w:val="20"/>
    </w:rPr>
  </w:style>
  <w:style w:type="paragraph" w:customStyle="1" w:styleId="155">
    <w:name w:val="xl83"/>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56">
    <w:name w:val="xl84"/>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7">
    <w:name w:val="xl85"/>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158">
    <w:name w:val="xl8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59">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0">
    <w:name w:val="xl88"/>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0"/>
      <w:szCs w:val="20"/>
    </w:rPr>
  </w:style>
  <w:style w:type="paragraph" w:customStyle="1" w:styleId="161">
    <w:name w:val="xl89"/>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2">
    <w:name w:val="xl90"/>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D0D0D"/>
      <w:kern w:val="0"/>
      <w:sz w:val="20"/>
      <w:szCs w:val="20"/>
    </w:rPr>
  </w:style>
  <w:style w:type="paragraph" w:customStyle="1" w:styleId="163">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kern w:val="0"/>
      <w:sz w:val="20"/>
      <w:szCs w:val="20"/>
    </w:rPr>
  </w:style>
  <w:style w:type="paragraph" w:customStyle="1" w:styleId="164">
    <w:name w:val="xl92"/>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5">
    <w:name w:val="xl93"/>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66">
    <w:name w:val="xl94"/>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7">
    <w:name w:val="xl95"/>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68">
    <w:name w:val="xl96"/>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69">
    <w:name w:val="xl97"/>
    <w:basedOn w:val="1"/>
    <w:autoRedefine/>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left"/>
    </w:pPr>
    <w:rPr>
      <w:rFonts w:ascii="宋体" w:hAnsi="宋体" w:cs="宋体"/>
      <w:b/>
      <w:bCs/>
      <w:kern w:val="0"/>
      <w:sz w:val="20"/>
      <w:szCs w:val="20"/>
    </w:rPr>
  </w:style>
  <w:style w:type="paragraph" w:customStyle="1" w:styleId="170">
    <w:name w:val="xl98"/>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1">
    <w:name w:val="xl99"/>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kern w:val="0"/>
      <w:sz w:val="24"/>
      <w:szCs w:val="24"/>
    </w:rPr>
  </w:style>
  <w:style w:type="paragraph" w:customStyle="1" w:styleId="172">
    <w:name w:val="xl100"/>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3">
    <w:name w:val="xl101"/>
    <w:basedOn w:val="1"/>
    <w:autoRedefine/>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4">
    <w:name w:val="xl102"/>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5">
    <w:name w:val="xl103"/>
    <w:basedOn w:val="1"/>
    <w:autoRedefine/>
    <w:qFormat/>
    <w:uiPriority w:val="0"/>
    <w:pPr>
      <w:widowControl/>
      <w:shd w:val="clear" w:color="000000" w:fill="FFFFFF"/>
      <w:spacing w:before="100" w:beforeAutospacing="1" w:after="100" w:afterAutospacing="1"/>
      <w:jc w:val="center"/>
    </w:pPr>
    <w:rPr>
      <w:rFonts w:ascii="宋体" w:hAnsi="宋体" w:cs="宋体"/>
      <w:b/>
      <w:bCs/>
      <w:kern w:val="0"/>
      <w:sz w:val="28"/>
      <w:szCs w:val="28"/>
    </w:rPr>
  </w:style>
  <w:style w:type="paragraph" w:customStyle="1" w:styleId="176">
    <w:name w:val="xl104"/>
    <w:basedOn w:val="1"/>
    <w:autoRedefine/>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177">
    <w:name w:val="xl68"/>
    <w:basedOn w:val="1"/>
    <w:autoRedefine/>
    <w:qFormat/>
    <w:uiPriority w:val="0"/>
    <w:pPr>
      <w:widowControl/>
      <w:spacing w:before="100" w:beforeAutospacing="1" w:after="100" w:afterAutospacing="1"/>
      <w:jc w:val="left"/>
    </w:pPr>
    <w:rPr>
      <w:rFonts w:ascii="宋体" w:hAnsi="宋体" w:cs="宋体"/>
      <w:color w:val="000000"/>
      <w:kern w:val="0"/>
      <w:sz w:val="24"/>
      <w:szCs w:val="24"/>
    </w:rPr>
  </w:style>
  <w:style w:type="paragraph" w:customStyle="1" w:styleId="178">
    <w:name w:val="xl69"/>
    <w:basedOn w:val="1"/>
    <w:autoRedefine/>
    <w:qFormat/>
    <w:uiPriority w:val="0"/>
    <w:pPr>
      <w:widowControl/>
      <w:spacing w:before="100" w:beforeAutospacing="1" w:after="100" w:afterAutospacing="1"/>
      <w:jc w:val="left"/>
    </w:pPr>
    <w:rPr>
      <w:rFonts w:ascii="宋体" w:hAnsi="宋体" w:cs="宋体"/>
      <w:kern w:val="0"/>
      <w:sz w:val="20"/>
      <w:szCs w:val="20"/>
    </w:rPr>
  </w:style>
  <w:style w:type="character" w:customStyle="1" w:styleId="179">
    <w:name w:val="超链接_0"/>
    <w:autoRedefine/>
    <w:qFormat/>
    <w:uiPriority w:val="99"/>
    <w:rPr>
      <w:rFonts w:hint="default" w:ascii="Calibri" w:hAnsi="Calibri" w:cs="Calibri"/>
      <w:color w:val="0000FF"/>
      <w:u w:val="single"/>
    </w:rPr>
  </w:style>
  <w:style w:type="paragraph" w:customStyle="1" w:styleId="180">
    <w:name w:val="正文_0"/>
    <w:basedOn w:val="1"/>
    <w:next w:val="1"/>
    <w:autoRedefine/>
    <w:qFormat/>
    <w:uiPriority w:val="0"/>
    <w:pPr>
      <w:spacing w:after="200" w:line="276" w:lineRule="auto"/>
    </w:pPr>
    <w:rPr>
      <w:rFonts w:ascii="Calibri" w:hAnsi="Calibri"/>
      <w:szCs w:val="24"/>
    </w:rPr>
  </w:style>
  <w:style w:type="paragraph" w:customStyle="1" w:styleId="181">
    <w:name w:val="普通(网站)1"/>
    <w:basedOn w:val="1"/>
    <w:autoRedefine/>
    <w:qFormat/>
    <w:uiPriority w:val="0"/>
    <w:pPr>
      <w:spacing w:beforeAutospacing="1" w:afterAutospacing="1"/>
      <w:jc w:val="left"/>
    </w:pPr>
    <w:rPr>
      <w:rFonts w:ascii="Calibri" w:hAnsi="Calibri"/>
      <w:kern w:val="0"/>
      <w:sz w:val="24"/>
    </w:rPr>
  </w:style>
  <w:style w:type="character" w:customStyle="1" w:styleId="182">
    <w:name w:val="bookmark-item"/>
    <w:basedOn w:val="40"/>
    <w:autoRedefine/>
    <w:qFormat/>
    <w:uiPriority w:val="0"/>
  </w:style>
  <w:style w:type="paragraph" w:customStyle="1" w:styleId="183">
    <w:name w:val="表格"/>
    <w:basedOn w:val="30"/>
    <w:next w:val="1"/>
    <w:autoRedefine/>
    <w:qFormat/>
    <w:uiPriority w:val="0"/>
    <w:pPr>
      <w:adjustRightInd w:val="0"/>
      <w:snapToGrid w:val="0"/>
      <w:spacing w:before="20" w:after="20"/>
      <w:jc w:val="center"/>
      <w:textAlignment w:val="baseline"/>
    </w:pPr>
    <w:rPr>
      <w:rFonts w:ascii="Arial" w:hAnsi="Arial"/>
      <w:snapToGrid w:val="0"/>
    </w:rPr>
  </w:style>
  <w:style w:type="character" w:customStyle="1" w:styleId="184">
    <w:name w:val="btn-auto-1"/>
    <w:basedOn w:val="40"/>
    <w:autoRedefine/>
    <w:qFormat/>
    <w:uiPriority w:val="0"/>
  </w:style>
  <w:style w:type="character" w:customStyle="1" w:styleId="185">
    <w:name w:val="s1"/>
    <w:basedOn w:val="40"/>
    <w:autoRedefine/>
    <w:qFormat/>
    <w:uiPriority w:val="0"/>
    <w:rPr>
      <w:color w:val="DDDDDD"/>
      <w:sz w:val="14"/>
      <w:szCs w:val="14"/>
    </w:rPr>
  </w:style>
  <w:style w:type="character" w:customStyle="1" w:styleId="186">
    <w:name w:val="btn-task-gray2"/>
    <w:basedOn w:val="40"/>
    <w:autoRedefine/>
    <w:qFormat/>
    <w:uiPriority w:val="0"/>
    <w:rPr>
      <w:color w:val="FFFFFF"/>
      <w:u w:val="none"/>
      <w:shd w:val="clear" w:color="auto" w:fill="CCCCCC"/>
    </w:rPr>
  </w:style>
  <w:style w:type="character" w:customStyle="1" w:styleId="187">
    <w:name w:val="btn-task-gray3"/>
    <w:basedOn w:val="40"/>
    <w:autoRedefine/>
    <w:qFormat/>
    <w:uiPriority w:val="0"/>
  </w:style>
  <w:style w:type="character" w:customStyle="1" w:styleId="188">
    <w:name w:val="fontstyle01"/>
    <w:basedOn w:val="40"/>
    <w:autoRedefine/>
    <w:qFormat/>
    <w:uiPriority w:val="0"/>
    <w:rPr>
      <w:rFonts w:ascii="仿宋" w:hAnsi="仿宋" w:eastAsia="仿宋" w:cs="仿宋"/>
      <w:color w:val="000000"/>
      <w:sz w:val="32"/>
      <w:szCs w:val="32"/>
    </w:rPr>
  </w:style>
  <w:style w:type="paragraph" w:customStyle="1" w:styleId="189">
    <w:name w:val="修订1"/>
    <w:autoRedefine/>
    <w:hidden/>
    <w:semiHidden/>
    <w:qFormat/>
    <w:uiPriority w:val="99"/>
    <w:rPr>
      <w:rFonts w:ascii="Times New Roman" w:hAnsi="Times New Roman" w:eastAsia="宋体" w:cs="Times New Roman"/>
      <w:kern w:val="2"/>
      <w:sz w:val="21"/>
      <w:szCs w:val="21"/>
      <w:lang w:val="en-US" w:eastAsia="zh-CN" w:bidi="ar-SA"/>
    </w:rPr>
  </w:style>
  <w:style w:type="paragraph" w:customStyle="1" w:styleId="190">
    <w:name w:val="msonormal"/>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91">
    <w:name w:val="xl65"/>
    <w:basedOn w:val="1"/>
    <w:autoRedefine/>
    <w:qFormat/>
    <w:uiPriority w:val="0"/>
    <w:pPr>
      <w:widowControl/>
      <w:spacing w:before="100" w:beforeAutospacing="1" w:after="100" w:afterAutospacing="1"/>
      <w:jc w:val="center"/>
    </w:pPr>
    <w:rPr>
      <w:rFonts w:ascii="宋体" w:hAnsi="宋体" w:cs="宋体"/>
      <w:kern w:val="0"/>
      <w:sz w:val="24"/>
      <w:szCs w:val="24"/>
    </w:rPr>
  </w:style>
  <w:style w:type="paragraph" w:customStyle="1" w:styleId="192">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193">
    <w:name w:val="xl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szCs w:val="24"/>
    </w:rPr>
  </w:style>
  <w:style w:type="paragraph" w:customStyle="1" w:styleId="194">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95">
    <w:name w:val="正文2"/>
    <w:basedOn w:val="1"/>
    <w:autoRedefine/>
    <w:qFormat/>
    <w:uiPriority w:val="0"/>
    <w:pPr>
      <w:spacing w:before="156" w:line="360" w:lineRule="auto"/>
      <w:ind w:firstLine="510" w:firstLineChars="200"/>
    </w:pPr>
    <w:rPr>
      <w:sz w:val="24"/>
    </w:rPr>
  </w:style>
  <w:style w:type="paragraph" w:customStyle="1" w:styleId="196">
    <w:name w:val="正文_0_1_1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97">
    <w:name w:val="正文文本缩进_2"/>
    <w:basedOn w:val="198"/>
    <w:autoRedefine/>
    <w:qFormat/>
    <w:uiPriority w:val="0"/>
    <w:pPr>
      <w:spacing w:line="500" w:lineRule="exact"/>
      <w:ind w:left="1588" w:leftChars="832" w:firstLine="433" w:firstLineChars="196"/>
    </w:pPr>
    <w:rPr>
      <w:kern w:val="0"/>
      <w:sz w:val="24"/>
    </w:rPr>
  </w:style>
  <w:style w:type="paragraph" w:customStyle="1" w:styleId="198">
    <w:name w:val="正文_14"/>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9">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character" w:customStyle="1" w:styleId="200">
    <w:name w:val="layui-layer-tabnow"/>
    <w:basedOn w:val="40"/>
    <w:autoRedefine/>
    <w:qFormat/>
    <w:uiPriority w:val="0"/>
    <w:rPr>
      <w:bdr w:val="single" w:color="CCCCCC" w:sz="4" w:space="0"/>
      <w:shd w:val="clear" w:color="auto" w:fill="FFFFFF"/>
    </w:rPr>
  </w:style>
  <w:style w:type="character" w:customStyle="1" w:styleId="201">
    <w:name w:val="first-child"/>
    <w:basedOn w:val="40"/>
    <w:autoRedefine/>
    <w:qFormat/>
    <w:uiPriority w:val="0"/>
  </w:style>
  <w:style w:type="paragraph" w:customStyle="1" w:styleId="202">
    <w:name w:val="正文（深信服）"/>
    <w:autoRedefine/>
    <w:qFormat/>
    <w:uiPriority w:val="0"/>
    <w:pPr>
      <w:adjustRightInd w:val="0"/>
      <w:snapToGrid w:val="0"/>
      <w:spacing w:line="360" w:lineRule="auto"/>
      <w:ind w:firstLine="480" w:firstLineChars="200"/>
    </w:pPr>
    <w:rPr>
      <w:rFonts w:ascii="Times New Roman" w:hAnsi="Times New Roman" w:eastAsia="宋体" w:cs="Times New Roman"/>
      <w:sz w:val="24"/>
      <w:szCs w:val="21"/>
      <w:lang w:val="en-US" w:eastAsia="zh-CN" w:bidi="ar-SA"/>
    </w:rPr>
  </w:style>
  <w:style w:type="paragraph" w:customStyle="1" w:styleId="203">
    <w:name w:val="正文2.25"/>
    <w:basedOn w:val="1"/>
    <w:autoRedefine/>
    <w:qFormat/>
    <w:uiPriority w:val="0"/>
    <w:pPr>
      <w:spacing w:line="360" w:lineRule="auto"/>
      <w:ind w:firstLine="540"/>
    </w:pPr>
    <w:rPr>
      <w:sz w:val="24"/>
      <w:szCs w:val="24"/>
    </w:rPr>
  </w:style>
  <w:style w:type="paragraph" w:customStyle="1" w:styleId="204">
    <w:name w:val="文档正文"/>
    <w:basedOn w:val="1"/>
    <w:autoRedefine/>
    <w:qFormat/>
    <w:uiPriority w:val="0"/>
    <w:pPr>
      <w:adjustRightInd w:val="0"/>
      <w:spacing w:before="60" w:after="60" w:line="360" w:lineRule="atLeast"/>
      <w:ind w:firstLine="482"/>
    </w:pPr>
    <w:rPr>
      <w:rFonts w:hAnsi="宋体" w:cs="宋体"/>
      <w:sz w:val="24"/>
    </w:rPr>
  </w:style>
  <w:style w:type="character" w:customStyle="1" w:styleId="205">
    <w:name w:val="批注文字 Char"/>
    <w:basedOn w:val="40"/>
    <w:link w:val="16"/>
    <w:autoRedefine/>
    <w:semiHidden/>
    <w:qFormat/>
    <w:uiPriority w:val="0"/>
    <w:rPr>
      <w:kern w:val="2"/>
      <w:sz w:val="21"/>
      <w:szCs w:val="21"/>
    </w:rPr>
  </w:style>
  <w:style w:type="character" w:customStyle="1" w:styleId="206">
    <w:name w:val="脚注文本 Char"/>
    <w:basedOn w:val="40"/>
    <w:link w:val="2"/>
    <w:autoRedefine/>
    <w:qFormat/>
    <w:uiPriority w:val="0"/>
    <w:rPr>
      <w:kern w:val="2"/>
      <w:sz w:val="18"/>
      <w:szCs w:val="21"/>
    </w:rPr>
  </w:style>
  <w:style w:type="character" w:customStyle="1" w:styleId="207">
    <w:name w:val="font01"/>
    <w:basedOn w:val="40"/>
    <w:autoRedefine/>
    <w:qFormat/>
    <w:uiPriority w:val="0"/>
    <w:rPr>
      <w:rFonts w:hint="default" w:ascii="Times New Roman" w:hAnsi="Times New Roman" w:cs="Times New Roman"/>
      <w:color w:val="000000"/>
      <w:sz w:val="24"/>
      <w:szCs w:val="24"/>
      <w:u w:val="none"/>
    </w:rPr>
  </w:style>
  <w:style w:type="character" w:customStyle="1" w:styleId="208">
    <w:name w:val="font21"/>
    <w:basedOn w:val="40"/>
    <w:autoRedefine/>
    <w:qFormat/>
    <w:uiPriority w:val="0"/>
    <w:rPr>
      <w:rFonts w:hint="eastAsia" w:ascii="宋体" w:hAnsi="宋体" w:eastAsia="宋体" w:cs="宋体"/>
      <w:color w:val="000000"/>
      <w:sz w:val="24"/>
      <w:szCs w:val="24"/>
      <w:u w:val="none"/>
    </w:rPr>
  </w:style>
  <w:style w:type="character" w:customStyle="1" w:styleId="209">
    <w:name w:val="font11"/>
    <w:basedOn w:val="40"/>
    <w:autoRedefine/>
    <w:qFormat/>
    <w:uiPriority w:val="0"/>
    <w:rPr>
      <w:rFonts w:hint="eastAsia" w:ascii="宋体" w:hAnsi="宋体" w:eastAsia="宋体" w:cs="宋体"/>
      <w:color w:val="000000"/>
      <w:sz w:val="24"/>
      <w:szCs w:val="24"/>
      <w:u w:val="none"/>
    </w:rPr>
  </w:style>
  <w:style w:type="table" w:customStyle="1" w:styleId="210">
    <w:name w:val="Table Normal"/>
    <w:autoRedefine/>
    <w:semiHidden/>
    <w:unhideWhenUsed/>
    <w:qFormat/>
    <w:uiPriority w:val="0"/>
    <w:tblPr>
      <w:tblCellMar>
        <w:top w:w="0" w:type="dxa"/>
        <w:left w:w="0" w:type="dxa"/>
        <w:bottom w:w="0" w:type="dxa"/>
        <w:right w:w="0" w:type="dxa"/>
      </w:tblCellMar>
    </w:tblPr>
  </w:style>
  <w:style w:type="character" w:customStyle="1" w:styleId="211">
    <w:name w:val="font31"/>
    <w:basedOn w:val="40"/>
    <w:autoRedefine/>
    <w:qFormat/>
    <w:uiPriority w:val="0"/>
    <w:rPr>
      <w:rFonts w:hint="eastAsia" w:ascii="宋体" w:hAnsi="宋体" w:eastAsia="宋体" w:cs="宋体"/>
      <w:color w:val="000000"/>
      <w:sz w:val="24"/>
      <w:szCs w:val="24"/>
      <w:u w:val="none"/>
    </w:rPr>
  </w:style>
  <w:style w:type="character" w:customStyle="1" w:styleId="212">
    <w:name w:val="font61"/>
    <w:basedOn w:val="40"/>
    <w:autoRedefine/>
    <w:qFormat/>
    <w:uiPriority w:val="0"/>
    <w:rPr>
      <w:rFonts w:hint="eastAsia" w:ascii="宋体" w:hAnsi="宋体" w:eastAsia="宋体" w:cs="宋体"/>
      <w:color w:val="FF0000"/>
      <w:sz w:val="20"/>
      <w:szCs w:val="20"/>
      <w:u w:val="none"/>
    </w:rPr>
  </w:style>
  <w:style w:type="character" w:customStyle="1" w:styleId="213">
    <w:name w:val="font51"/>
    <w:basedOn w:val="40"/>
    <w:autoRedefine/>
    <w:qFormat/>
    <w:uiPriority w:val="0"/>
    <w:rPr>
      <w:rFonts w:hint="default" w:ascii="方正黑体_GBK" w:hAnsi="方正黑体_GBK" w:eastAsia="方正黑体_GBK" w:cs="方正黑体_GBK"/>
      <w:color w:val="FF0000"/>
      <w:sz w:val="20"/>
      <w:szCs w:val="20"/>
      <w:u w:val="none"/>
    </w:rPr>
  </w:style>
  <w:style w:type="character" w:customStyle="1" w:styleId="214">
    <w:name w:val="font4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5">
    <w:name w:val="font81"/>
    <w:basedOn w:val="40"/>
    <w:autoRedefine/>
    <w:qFormat/>
    <w:uiPriority w:val="0"/>
    <w:rPr>
      <w:rFonts w:hint="eastAsia" w:ascii="黑体" w:hAnsi="宋体" w:eastAsia="黑体" w:cs="黑体"/>
      <w:color w:val="FF0000"/>
      <w:sz w:val="20"/>
      <w:szCs w:val="20"/>
      <w:u w:val="none"/>
    </w:rPr>
  </w:style>
  <w:style w:type="character" w:customStyle="1" w:styleId="216">
    <w:name w:val="font7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7">
    <w:name w:val="font91"/>
    <w:basedOn w:val="40"/>
    <w:autoRedefine/>
    <w:qFormat/>
    <w:uiPriority w:val="0"/>
    <w:rPr>
      <w:rFonts w:hint="default" w:ascii="方正黑体_GBK" w:hAnsi="方正黑体_GBK" w:eastAsia="方正黑体_GBK" w:cs="方正黑体_GBK"/>
      <w:color w:val="000000"/>
      <w:sz w:val="20"/>
      <w:szCs w:val="20"/>
      <w:u w:val="none"/>
    </w:rPr>
  </w:style>
  <w:style w:type="character" w:customStyle="1" w:styleId="218">
    <w:name w:val="font101"/>
    <w:basedOn w:val="40"/>
    <w:autoRedefine/>
    <w:qFormat/>
    <w:uiPriority w:val="0"/>
    <w:rPr>
      <w:rFonts w:hint="eastAsia" w:ascii="宋体" w:hAnsi="宋体" w:eastAsia="宋体" w:cs="宋体"/>
      <w:color w:val="000000"/>
      <w:sz w:val="22"/>
      <w:szCs w:val="22"/>
      <w:u w:val="none"/>
    </w:rPr>
  </w:style>
  <w:style w:type="character" w:customStyle="1" w:styleId="219">
    <w:name w:val="font111"/>
    <w:basedOn w:val="40"/>
    <w:autoRedefine/>
    <w:qFormat/>
    <w:uiPriority w:val="0"/>
    <w:rPr>
      <w:rFonts w:hint="default" w:ascii="Times New Roman" w:hAnsi="Times New Roman" w:cs="Times New Roman"/>
      <w:color w:val="000000"/>
      <w:sz w:val="22"/>
      <w:szCs w:val="22"/>
      <w:u w:val="none"/>
    </w:rPr>
  </w:style>
  <w:style w:type="character" w:customStyle="1" w:styleId="220">
    <w:name w:val="font122"/>
    <w:basedOn w:val="40"/>
    <w:autoRedefine/>
    <w:qFormat/>
    <w:uiPriority w:val="0"/>
    <w:rPr>
      <w:rFonts w:hint="default" w:ascii="方正仿宋_GBK" w:hAnsi="方正仿宋_GBK" w:eastAsia="方正仿宋_GBK" w:cs="方正仿宋_GBK"/>
      <w:color w:val="FF0000"/>
      <w:sz w:val="22"/>
      <w:szCs w:val="22"/>
      <w:u w:val="none"/>
    </w:rPr>
  </w:style>
  <w:style w:type="character" w:customStyle="1" w:styleId="221">
    <w:name w:val="font112"/>
    <w:basedOn w:val="40"/>
    <w:autoRedefine/>
    <w:qFormat/>
    <w:uiPriority w:val="0"/>
    <w:rPr>
      <w:rFonts w:hint="default" w:ascii="方正仿宋_GBK" w:hAnsi="方正仿宋_GBK" w:eastAsia="方正仿宋_GBK" w:cs="方正仿宋_GBK"/>
      <w:color w:val="FF0000"/>
      <w:sz w:val="22"/>
      <w:szCs w:val="22"/>
      <w:u w:val="none"/>
    </w:rPr>
  </w:style>
  <w:style w:type="character" w:customStyle="1" w:styleId="222">
    <w:name w:val="font12"/>
    <w:basedOn w:val="40"/>
    <w:autoRedefine/>
    <w:qFormat/>
    <w:uiPriority w:val="0"/>
    <w:rPr>
      <w:rFonts w:hint="eastAsia" w:ascii="宋体" w:hAnsi="宋体" w:eastAsia="宋体" w:cs="宋体"/>
      <w:b/>
      <w:bCs/>
      <w:color w:val="000000"/>
      <w:sz w:val="24"/>
      <w:szCs w:val="24"/>
      <w:u w:val="none"/>
    </w:rPr>
  </w:style>
  <w:style w:type="character" w:customStyle="1" w:styleId="223">
    <w:name w:val="font121"/>
    <w:basedOn w:val="40"/>
    <w:autoRedefine/>
    <w:qFormat/>
    <w:uiPriority w:val="0"/>
    <w:rPr>
      <w:rFonts w:hint="default" w:ascii="方正仿宋_GBK" w:hAnsi="方正仿宋_GBK" w:eastAsia="方正仿宋_GBK" w:cs="方正仿宋_GBK"/>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0"/>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EA7437-10CA-4464-968D-E34FF40188C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110</Pages>
  <Words>10508</Words>
  <Characters>59899</Characters>
  <Lines>499</Lines>
  <Paragraphs>140</Paragraphs>
  <TotalTime>4</TotalTime>
  <ScaleCrop>false</ScaleCrop>
  <LinksUpToDate>false</LinksUpToDate>
  <CharactersWithSpaces>70267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2022-12-30T13:26:00Z</dcterms:created>
  <dc:creator>yinjian</dc:creator>
  <cp:lastModifiedBy>Administrator</cp:lastModifiedBy>
  <cp:lastPrinted>2023-10-16T03:58:00Z</cp:lastPrinted>
  <dcterms:modified xsi:type="dcterms:W3CDTF">2024-04-12T09:47:47Z</dcterms:modified>
  <dc:title>招　标　文　件</dc:title>
  <cp:revision>276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453B548162FE49C6A794A079F6CCCCD9_13</vt:lpwstr>
  </property>
</Properties>
</file>