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C19CF">
      <w:pPr>
        <w:adjustRightInd w:val="0"/>
        <w:snapToGrid w:val="0"/>
        <w:spacing w:before="936" w:beforeLines="300"/>
        <w:jc w:val="center"/>
        <w:rPr>
          <w:rFonts w:ascii="黑体" w:eastAsia="黑体"/>
          <w:b/>
          <w:kern w:val="44"/>
          <w:sz w:val="48"/>
          <w:szCs w:val="20"/>
        </w:rPr>
      </w:pPr>
      <w:r>
        <w:rPr>
          <w:rFonts w:hint="eastAsia" w:ascii="黑体" w:eastAsia="黑体"/>
          <w:b/>
          <w:kern w:val="44"/>
          <w:sz w:val="48"/>
          <w:szCs w:val="20"/>
        </w:rPr>
        <w:t>第八部分  采购需求</w:t>
      </w:r>
      <w:r>
        <w:rPr>
          <w:rFonts w:ascii="黑体" w:eastAsia="黑体"/>
          <w:b/>
          <w:kern w:val="44"/>
          <w:sz w:val="48"/>
          <w:szCs w:val="20"/>
        </w:rPr>
        <w:br w:type="page"/>
      </w:r>
    </w:p>
    <w:p w14:paraId="6028C62C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一、货物需求一览表</w:t>
      </w:r>
    </w:p>
    <w:p w14:paraId="6DAA59E9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6"/>
        <w:tblW w:w="874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4"/>
        <w:gridCol w:w="1878"/>
        <w:gridCol w:w="1122"/>
        <w:gridCol w:w="1011"/>
        <w:gridCol w:w="1567"/>
        <w:gridCol w:w="2459"/>
      </w:tblGrid>
      <w:tr w14:paraId="2FF68F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04" w:type="dxa"/>
            <w:vAlign w:val="center"/>
          </w:tcPr>
          <w:p w14:paraId="15332162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1878" w:type="dxa"/>
            <w:vAlign w:val="center"/>
          </w:tcPr>
          <w:p w14:paraId="137C2299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1122" w:type="dxa"/>
            <w:vAlign w:val="center"/>
          </w:tcPr>
          <w:p w14:paraId="2261C904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1011" w:type="dxa"/>
            <w:vAlign w:val="center"/>
          </w:tcPr>
          <w:p w14:paraId="528C1B5B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交货期</w:t>
            </w:r>
          </w:p>
        </w:tc>
        <w:tc>
          <w:tcPr>
            <w:tcW w:w="1567" w:type="dxa"/>
            <w:vAlign w:val="center"/>
          </w:tcPr>
          <w:p w14:paraId="61E886F3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指定到货港</w:t>
            </w:r>
          </w:p>
        </w:tc>
        <w:tc>
          <w:tcPr>
            <w:tcW w:w="2459" w:type="dxa"/>
            <w:vAlign w:val="center"/>
          </w:tcPr>
          <w:p w14:paraId="14138089"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>
              <w:rPr>
                <w:rFonts w:hint="eastAsia" w:ascii="宋体" w:hAnsi="Bookman Old Style"/>
                <w:sz w:val="24"/>
              </w:rPr>
              <w:t>项目现场（交货地点）</w:t>
            </w:r>
          </w:p>
        </w:tc>
      </w:tr>
      <w:tr w14:paraId="1D8407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04" w:type="dxa"/>
            <w:vAlign w:val="center"/>
          </w:tcPr>
          <w:p w14:paraId="09793306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1878" w:type="dxa"/>
            <w:vAlign w:val="center"/>
          </w:tcPr>
          <w:p w14:paraId="2240E0DA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hint="eastAsia" w:ascii="Bookman Old Style" w:hAnsi="Bookman Old Style"/>
                <w:sz w:val="24"/>
              </w:rPr>
              <w:t>化学吸附仪</w:t>
            </w:r>
          </w:p>
        </w:tc>
        <w:tc>
          <w:tcPr>
            <w:tcW w:w="1122" w:type="dxa"/>
            <w:vAlign w:val="center"/>
          </w:tcPr>
          <w:p w14:paraId="4A36A219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2</w:t>
            </w:r>
            <w:r>
              <w:rPr>
                <w:rFonts w:hint="eastAsia" w:ascii="Bookman Old Style" w:hAnsi="Bookman Old Style"/>
                <w:sz w:val="24"/>
              </w:rPr>
              <w:t>套</w:t>
            </w:r>
          </w:p>
        </w:tc>
        <w:tc>
          <w:tcPr>
            <w:tcW w:w="5037" w:type="dxa"/>
            <w:gridSpan w:val="3"/>
            <w:vAlign w:val="center"/>
          </w:tcPr>
          <w:p w14:paraId="744132A6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详见具体技术规格</w:t>
            </w:r>
          </w:p>
        </w:tc>
      </w:tr>
    </w:tbl>
    <w:p w14:paraId="44AB5A8D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0E4BACA6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518A65CE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2399BDF9"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26B0A6D1">
      <w:pPr>
        <w:adjustRightInd w:val="0"/>
        <w:snapToGrid w:val="0"/>
        <w:rPr>
          <w:rFonts w:hint="eastAsia" w:ascii="宋体" w:hAnsi="宋体"/>
          <w:szCs w:val="21"/>
        </w:rPr>
      </w:pPr>
    </w:p>
    <w:p w14:paraId="47948708">
      <w:pPr>
        <w:adjustRightInd w:val="0"/>
        <w:snapToGrid w:val="0"/>
        <w:rPr>
          <w:rFonts w:hint="eastAsia" w:ascii="宋体" w:hAnsi="宋体"/>
          <w:szCs w:val="21"/>
        </w:rPr>
      </w:pPr>
    </w:p>
    <w:p w14:paraId="1F7BD61A">
      <w:pPr>
        <w:adjustRightInd w:val="0"/>
        <w:snapToGrid w:val="0"/>
        <w:rPr>
          <w:rFonts w:hint="eastAsia" w:ascii="宋体" w:hAnsi="宋体"/>
          <w:szCs w:val="21"/>
        </w:rPr>
      </w:pPr>
    </w:p>
    <w:p w14:paraId="06D5C09A">
      <w:pPr>
        <w:adjustRightInd w:val="0"/>
        <w:snapToGrid w:val="0"/>
        <w:rPr>
          <w:rFonts w:hint="eastAsia" w:ascii="宋体" w:hAnsi="宋体"/>
          <w:szCs w:val="21"/>
        </w:rPr>
      </w:pPr>
    </w:p>
    <w:p w14:paraId="2C92C011">
      <w:pPr>
        <w:adjustRightInd w:val="0"/>
        <w:snapToGrid w:val="0"/>
        <w:rPr>
          <w:rFonts w:hint="eastAsia" w:ascii="宋体" w:hAnsi="宋体"/>
          <w:szCs w:val="21"/>
        </w:rPr>
      </w:pPr>
    </w:p>
    <w:p w14:paraId="13E15897">
      <w:pPr>
        <w:adjustRightInd w:val="0"/>
        <w:snapToGrid w:val="0"/>
        <w:rPr>
          <w:rFonts w:hint="eastAsia" w:ascii="宋体" w:hAnsi="宋体"/>
          <w:szCs w:val="21"/>
        </w:rPr>
      </w:pPr>
    </w:p>
    <w:p w14:paraId="696C6F7F">
      <w:pPr>
        <w:adjustRightInd w:val="0"/>
        <w:snapToGrid w:val="0"/>
        <w:rPr>
          <w:rFonts w:hint="eastAsia" w:ascii="宋体" w:hAnsi="宋体"/>
          <w:szCs w:val="21"/>
        </w:rPr>
      </w:pPr>
    </w:p>
    <w:p w14:paraId="0DEC0326">
      <w:pPr>
        <w:adjustRightInd w:val="0"/>
        <w:snapToGrid w:val="0"/>
        <w:rPr>
          <w:rFonts w:hint="eastAsia" w:ascii="宋体" w:hAnsi="宋体"/>
          <w:szCs w:val="21"/>
        </w:rPr>
      </w:pPr>
    </w:p>
    <w:p w14:paraId="7DC69A2E">
      <w:pPr>
        <w:adjustRightInd w:val="0"/>
        <w:snapToGrid w:val="0"/>
        <w:rPr>
          <w:rFonts w:hint="eastAsia" w:ascii="宋体" w:hAnsi="宋体"/>
          <w:szCs w:val="21"/>
        </w:rPr>
      </w:pPr>
    </w:p>
    <w:p w14:paraId="4705E35F">
      <w:pPr>
        <w:adjustRightInd w:val="0"/>
        <w:snapToGrid w:val="0"/>
        <w:rPr>
          <w:rFonts w:hint="eastAsia" w:ascii="宋体" w:hAnsi="宋体"/>
          <w:szCs w:val="21"/>
        </w:rPr>
      </w:pPr>
    </w:p>
    <w:p w14:paraId="18D3C758">
      <w:pPr>
        <w:adjustRightInd w:val="0"/>
        <w:snapToGrid w:val="0"/>
        <w:rPr>
          <w:rFonts w:hint="eastAsia" w:ascii="宋体" w:hAnsi="宋体"/>
          <w:szCs w:val="21"/>
        </w:rPr>
      </w:pPr>
    </w:p>
    <w:p w14:paraId="53265B0E">
      <w:pPr>
        <w:adjustRightInd w:val="0"/>
        <w:snapToGrid w:val="0"/>
        <w:rPr>
          <w:rFonts w:hint="eastAsia" w:ascii="宋体" w:hAnsi="宋体"/>
          <w:szCs w:val="21"/>
        </w:rPr>
      </w:pPr>
    </w:p>
    <w:p w14:paraId="0E2683D8">
      <w:pPr>
        <w:tabs>
          <w:tab w:val="left" w:pos="720"/>
        </w:tabs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  <w:r>
        <w:rPr>
          <w:rFonts w:hint="eastAsia" w:ascii="宋体" w:hAnsi="宋体"/>
          <w:b/>
          <w:sz w:val="30"/>
          <w:szCs w:val="30"/>
        </w:rPr>
        <w:t>二、总则</w:t>
      </w:r>
    </w:p>
    <w:p w14:paraId="30F3340C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、投标要求</w:t>
      </w:r>
    </w:p>
    <w:p w14:paraId="09120CFA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68A6BF61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19503C81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 w14:paraId="3FE2018B">
      <w:pPr>
        <w:spacing w:line="360" w:lineRule="auto"/>
        <w:ind w:left="554" w:hanging="554" w:hangingChars="231"/>
        <w:rPr>
          <w:rFonts w:ascii="宋体"/>
          <w:color w:val="FF0000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20BB310D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2、评标标准</w:t>
      </w:r>
    </w:p>
    <w:p w14:paraId="0322BD63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64C3A7D6">
      <w:pPr>
        <w:spacing w:line="360" w:lineRule="auto"/>
        <w:ind w:left="554" w:hanging="554" w:hangingChars="231"/>
        <w:rPr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57AB238D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3E93EFCA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03D503F6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121C2FD8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3、工作条件</w:t>
      </w:r>
    </w:p>
    <w:p w14:paraId="79A7135B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0FE656AD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58D560AA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＋1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37C854E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0909ACCE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6346AFAF">
      <w:pPr>
        <w:rPr>
          <w:rFonts w:eastAsia="黑体"/>
          <w:b/>
          <w:bCs/>
          <w:kern w:val="44"/>
          <w:sz w:val="24"/>
        </w:rPr>
      </w:pPr>
    </w:p>
    <w:p w14:paraId="5A6E040C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4、验收标准</w:t>
      </w:r>
    </w:p>
    <w:p w14:paraId="18545573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517F4E0C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 w14:paraId="417F1B3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0281515A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5300F7E7">
      <w:pPr>
        <w:pStyle w:val="2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</w:p>
    <w:p w14:paraId="415B9D6A">
      <w:pPr>
        <w:pStyle w:val="2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5、本技术规格书中标注“*”号的为实质性要求，不满足其投标将被拒绝。</w:t>
      </w:r>
    </w:p>
    <w:p w14:paraId="0A081B9F">
      <w:pPr>
        <w:pStyle w:val="2"/>
        <w:spacing w:line="360" w:lineRule="auto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6、如在具体技术规格中有本总则不一致之处，以具体技术规格中的要求为准。</w:t>
      </w:r>
    </w:p>
    <w:p w14:paraId="22748AF4">
      <w:pPr>
        <w:spacing w:after="156" w:afterLines="50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三、具体技术规格</w:t>
      </w:r>
    </w:p>
    <w:p w14:paraId="504311DB">
      <w:pPr>
        <w:rPr>
          <w:sz w:val="24"/>
        </w:rPr>
      </w:pPr>
    </w:p>
    <w:p w14:paraId="0AF11B1B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第</w:t>
      </w:r>
      <w:r>
        <w:rPr>
          <w:b/>
          <w:sz w:val="24"/>
        </w:rPr>
        <w:t>1</w:t>
      </w:r>
      <w:r>
        <w:rPr>
          <w:rFonts w:hint="eastAsia"/>
          <w:b/>
          <w:sz w:val="24"/>
        </w:rPr>
        <w:t>包 化学吸附仪</w:t>
      </w:r>
    </w:p>
    <w:p w14:paraId="146F4691">
      <w:pPr>
        <w:rPr>
          <w:b/>
          <w:sz w:val="24"/>
        </w:rPr>
      </w:pPr>
    </w:p>
    <w:p w14:paraId="757A8FDB">
      <w:pPr>
        <w:rPr>
          <w:b/>
          <w:sz w:val="24"/>
        </w:rPr>
      </w:pPr>
    </w:p>
    <w:p w14:paraId="2E17BB98">
      <w:pPr>
        <w:numPr>
          <w:ilvl w:val="0"/>
          <w:numId w:val="1"/>
        </w:numPr>
        <w:rPr>
          <w:b/>
          <w:sz w:val="24"/>
        </w:rPr>
      </w:pPr>
      <w:r>
        <w:rPr>
          <w:rFonts w:hint="eastAsia"/>
          <w:b/>
          <w:sz w:val="24"/>
        </w:rPr>
        <w:t>技术要求：</w:t>
      </w:r>
    </w:p>
    <w:p w14:paraId="5985F57F">
      <w:pPr>
        <w:rPr>
          <w:b/>
          <w:sz w:val="24"/>
        </w:rPr>
      </w:pPr>
    </w:p>
    <w:p w14:paraId="0958C0D3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工作条件：</w:t>
      </w:r>
    </w:p>
    <w:p w14:paraId="420A3EFD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1</w:t>
      </w:r>
      <w:r>
        <w:rPr>
          <w:sz w:val="24"/>
        </w:rPr>
        <w:t>.1</w:t>
      </w:r>
      <w:r>
        <w:rPr>
          <w:rFonts w:hint="eastAsia"/>
          <w:sz w:val="24"/>
        </w:rPr>
        <w:t xml:space="preserve"> 见总则第1条。</w:t>
      </w:r>
    </w:p>
    <w:p w14:paraId="6665F76B">
      <w:pPr>
        <w:tabs>
          <w:tab w:val="left" w:pos="0"/>
        </w:tabs>
        <w:spacing w:line="360" w:lineRule="auto"/>
        <w:rPr>
          <w:sz w:val="24"/>
        </w:rPr>
      </w:pPr>
    </w:p>
    <w:p w14:paraId="658DBFEB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设备用途：</w:t>
      </w:r>
    </w:p>
    <w:p w14:paraId="31164845">
      <w:pPr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该仪器用于催化剂吸附特性（化学反应）的分析研究，全自动执行程序升温还原 (TPR)、程序升温氧化 (TPO)、程序升温脱附 (TPD)、程序升温反应 (TPx)、脉冲化学滴定、脉冲校准、动态 BET测试（单点和多点）分析</w:t>
      </w:r>
    </w:p>
    <w:p w14:paraId="57E531B2">
      <w:pPr>
        <w:spacing w:line="360" w:lineRule="auto"/>
        <w:ind w:firstLine="480" w:firstLineChars="200"/>
        <w:rPr>
          <w:bCs/>
          <w:sz w:val="24"/>
        </w:rPr>
      </w:pPr>
    </w:p>
    <w:p w14:paraId="184364D8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技术规格：</w:t>
      </w:r>
    </w:p>
    <w:p w14:paraId="54FD7F53">
      <w:pPr>
        <w:snapToGrid w:val="0"/>
        <w:spacing w:line="360" w:lineRule="auto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3.1、化学吸附仪 </w:t>
      </w:r>
    </w:p>
    <w:p w14:paraId="3E13D53D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3.1.1进气系统</w:t>
      </w:r>
    </w:p>
    <w:p w14:paraId="2D0070B1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 xml:space="preserve">至少具备10路气体进气口，分别是4路载气，4路处理气，2路混气； </w:t>
      </w:r>
    </w:p>
    <w:p w14:paraId="2CAF5C9B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仪器内部管线采用空气浴加热，一体式整体箱体加热保温设计，最高温度150℃，确保仪器不锈钢管线、阀门和TCD检测器无“冷点”；</w:t>
      </w:r>
    </w:p>
    <w:p w14:paraId="10417241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配备3个原装进口高精度质量流量计MFCs控制流量，流量范围2-100SCCM，精度+/- 1% FS.;</w:t>
      </w:r>
    </w:p>
    <w:p w14:paraId="169502A0">
      <w:pPr>
        <w:numPr>
          <w:ilvl w:val="0"/>
          <w:numId w:val="3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*仪器可选在线混气功能，内置混气罐体积75ml，可根据实验要求配制不同浓度气体;</w:t>
      </w:r>
    </w:p>
    <w:p w14:paraId="5791DCDE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1/16 英寸的316SS不锈钢管路，仪器必须配备不少于3个自动气动六通阀，电脑自动控制气路转换，阀门区域可在不小于150℃范围具有保温与控温功能；</w:t>
      </w:r>
    </w:p>
    <w:p w14:paraId="38441FB4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配置脉冲LOOP环，至少要有13种LOOP环可供用户选择配置，微升级的有5 uL, 10 uL, 15 uL, 20 uL, 23 uL, 50 uL, 100 uL, 250 uL, 500uL。毫升级的有1mL, 2 mL, 5 mL,和10mL；</w:t>
      </w:r>
    </w:p>
    <w:p w14:paraId="48D27D07">
      <w:pPr>
        <w:numPr>
          <w:ilvl w:val="0"/>
          <w:numId w:val="3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管路密封：采用Kalrez全氟醚防腐蚀橡胶密封圈，长期耐温可在250ºC至320ºC；</w:t>
      </w:r>
    </w:p>
    <w:p w14:paraId="7BA6C877">
      <w:pPr>
        <w:numPr>
          <w:ilvl w:val="0"/>
          <w:numId w:val="3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各气路均装配气体单向阀，确保气体不会发生回流；</w:t>
      </w:r>
    </w:p>
    <w:p w14:paraId="66B027B5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蒸汽吸附系统，蒸汽发生饱和器的温度由软件控制，最高温度75 ºC，可进行饱和浓度蒸汽定量脉冲吸附，也可进行饱和浓度蒸汽连续吸附从而进行气固液三相反应；</w:t>
      </w:r>
    </w:p>
    <w:p w14:paraId="0EF478C9">
      <w:pPr>
        <w:numPr>
          <w:ilvl w:val="0"/>
          <w:numId w:val="3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*空站：仪器内置一个与样品管等体积的空站，用于系统校正</w:t>
      </w:r>
    </w:p>
    <w:p w14:paraId="5CC98429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3.1.2样品制备及反应系统</w:t>
      </w:r>
    </w:p>
    <w:p w14:paraId="72013F6E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*配置程序升温高温炉，八角式贝壳开合炉体，配合升降滑轨，反应床可轻松装卸；</w:t>
      </w:r>
    </w:p>
    <w:p w14:paraId="14E887B1">
      <w:pPr>
        <w:numPr>
          <w:ilvl w:val="0"/>
          <w:numId w:val="4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高温炉温度范围：室温至1200℃，温度精度0.1℃，线性程序升温，温度控制采用“床温”和“炉温”双重控制。</w:t>
      </w:r>
    </w:p>
    <w:p w14:paraId="5C00769D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升温速率：常温~500 ℃：最高升温速率30°C/min；500 ℃~1200 ℃：最高升温速率30°C/min；</w:t>
      </w:r>
    </w:p>
    <w:p w14:paraId="0AB4041D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反应床和高温炉共配置三个热电偶，三点测温，高温炉具有TSS超温断电保护功能。床层热电偶可实时读取和记录床层温度，也可控制升温速率；</w:t>
      </w:r>
    </w:p>
    <w:p w14:paraId="62DB352F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配有“自动空冷组件”可使高温炉降温更迅速，减少实验时间；</w:t>
      </w:r>
    </w:p>
    <w:p w14:paraId="08945C6E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多种型号反应床如1/4”U型、1/2”泡型、3/8”泡型、BET专用等可供用户选择配置，根据装样量不同选用不同型号，可减小系统死体积；</w:t>
      </w:r>
    </w:p>
    <w:p w14:paraId="1C5B87A1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样品管的下游配有专用冷肼，内装填满干燥剂，用于在流经TCD之前除去可冷凝物。</w:t>
      </w:r>
    </w:p>
    <w:p w14:paraId="6B2094DB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样品装填量：0.1—1g</w:t>
      </w:r>
    </w:p>
    <w:p w14:paraId="25D5E21D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3.1.3检测系统</w:t>
      </w:r>
    </w:p>
    <w:p w14:paraId="6D107DE0">
      <w:pPr>
        <w:numPr>
          <w:ilvl w:val="0"/>
          <w:numId w:val="5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*热导池TCD结构设计，参比测量双气路串联式热导池，4根热导丝设计，高灵敏铼钨合金灯丝，具有高分辨率、高线性度、高准确性和稳定性的优势；配置有安全防干烧系统。</w:t>
      </w:r>
    </w:p>
    <w:p w14:paraId="3F9B715D">
      <w:pPr>
        <w:numPr>
          <w:ilvl w:val="0"/>
          <w:numId w:val="5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热导检测器灵敏度：0.1µV；</w:t>
      </w:r>
    </w:p>
    <w:p w14:paraId="4C1B47BB">
      <w:pPr>
        <w:numPr>
          <w:ilvl w:val="0"/>
          <w:numId w:val="5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该仪器气体出口可以实现和气相色谱、在线质谱联用</w:t>
      </w:r>
      <w:r>
        <w:rPr>
          <w:sz w:val="24"/>
        </w:rPr>
        <w:t>，</w:t>
      </w:r>
      <w:r>
        <w:rPr>
          <w:rFonts w:hint="eastAsia"/>
          <w:sz w:val="24"/>
        </w:rPr>
        <w:t>配制相应的接口，并完成连接；（需提供</w:t>
      </w:r>
      <w:r>
        <w:rPr>
          <w:rFonts w:hint="eastAsia"/>
          <w:sz w:val="24"/>
          <w:lang w:eastAsia="zh-Hans"/>
        </w:rPr>
        <w:t>厂家承诺</w:t>
      </w:r>
      <w:r>
        <w:rPr>
          <w:rFonts w:hint="eastAsia"/>
          <w:sz w:val="24"/>
        </w:rPr>
        <w:t>）</w:t>
      </w:r>
    </w:p>
    <w:p w14:paraId="5339ED54">
      <w:pPr>
        <w:numPr>
          <w:ilvl w:val="0"/>
          <w:numId w:val="5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＃</w:t>
      </w:r>
      <w:r>
        <w:rPr>
          <w:rFonts w:hint="eastAsia"/>
          <w:sz w:val="24"/>
          <w:lang w:eastAsia="zh-Hans"/>
        </w:rPr>
        <w:t>预留</w:t>
      </w:r>
      <w:r>
        <w:rPr>
          <w:rFonts w:hint="eastAsia"/>
          <w:sz w:val="24"/>
        </w:rPr>
        <w:t>原位红外池</w:t>
      </w:r>
      <w:r>
        <w:rPr>
          <w:rFonts w:hint="eastAsia"/>
          <w:sz w:val="24"/>
          <w:lang w:eastAsia="zh-Hans"/>
        </w:rPr>
        <w:t>接口</w:t>
      </w:r>
      <w:r>
        <w:rPr>
          <w:rFonts w:hint="eastAsia"/>
          <w:sz w:val="24"/>
        </w:rPr>
        <w:t>，以便实现吸附剂在升温过程中</w:t>
      </w:r>
      <w:r>
        <w:rPr>
          <w:rFonts w:hint="eastAsia"/>
          <w:sz w:val="24"/>
          <w:lang w:eastAsia="zh-Hans"/>
        </w:rPr>
        <w:t>对</w:t>
      </w:r>
      <w:r>
        <w:rPr>
          <w:rFonts w:hint="eastAsia"/>
          <w:sz w:val="24"/>
        </w:rPr>
        <w:t>官能团的吸氧能力和变化过程</w:t>
      </w:r>
      <w:r>
        <w:rPr>
          <w:rFonts w:hint="eastAsia"/>
          <w:sz w:val="24"/>
          <w:lang w:eastAsia="zh-Hans"/>
        </w:rPr>
        <w:t>进行</w:t>
      </w:r>
      <w:r>
        <w:rPr>
          <w:rFonts w:hint="eastAsia"/>
          <w:sz w:val="24"/>
        </w:rPr>
        <w:t>分析。（需提供</w:t>
      </w:r>
      <w:r>
        <w:rPr>
          <w:rFonts w:hint="eastAsia"/>
          <w:sz w:val="24"/>
          <w:lang w:eastAsia="zh-Hans"/>
        </w:rPr>
        <w:t>厂家承诺</w:t>
      </w:r>
      <w:r>
        <w:rPr>
          <w:rFonts w:hint="eastAsia"/>
          <w:sz w:val="24"/>
        </w:rPr>
        <w:t>）</w:t>
      </w:r>
    </w:p>
    <w:p w14:paraId="0FBE75DE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3.1.4 软件控制及分析系统</w:t>
      </w:r>
    </w:p>
    <w:p w14:paraId="0088A665">
      <w:pPr>
        <w:numPr>
          <w:ilvl w:val="0"/>
          <w:numId w:val="6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可视化操作软件系统，可实时显示气体种类、气体流量及流向、阀门开关状态、程序升温速率、实时温度等参数信息；</w:t>
      </w:r>
    </w:p>
    <w:p w14:paraId="5DF60F7A">
      <w:pPr>
        <w:numPr>
          <w:ilvl w:val="0"/>
          <w:numId w:val="6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用户可灵活选择或编辑TPD、TPO、TPR、TPSR、脉冲化学吸附、定量环校准实验等程序，可设置多达33个程序；</w:t>
      </w:r>
    </w:p>
    <w:p w14:paraId="2FE0927B">
      <w:pPr>
        <w:numPr>
          <w:ilvl w:val="0"/>
          <w:numId w:val="6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软件自动记录实验过程中所有参数的变化，包括流量、温度、阀的切换、检测器数据等等；</w:t>
      </w:r>
    </w:p>
    <w:p w14:paraId="4B54B418">
      <w:pPr>
        <w:numPr>
          <w:ilvl w:val="0"/>
          <w:numId w:val="6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数据处理软件能完成信号峰的拟合、分峰、积分、微分和叠加处理，从而获取样品的特征信息，包括催化剂的表面特征、表面酸性／碱性位点分布、活化能、反应动力学数据等；</w:t>
      </w:r>
    </w:p>
    <w:p w14:paraId="04E131FF">
      <w:pPr>
        <w:numPr>
          <w:ilvl w:val="0"/>
          <w:numId w:val="6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软件可实现多种安全保护机制设置：化学反应测试全程进行所有温度监控并记录，对气体流速全程监控并记录，内置安全报警软件，内置温度安全限制</w:t>
      </w:r>
      <w:r>
        <w:rPr>
          <w:sz w:val="24"/>
        </w:rPr>
        <w:t>，</w:t>
      </w:r>
      <w:r>
        <w:rPr>
          <w:rFonts w:hint="eastAsia"/>
          <w:sz w:val="24"/>
        </w:rPr>
        <w:t>用户自定义设置功能等。</w:t>
      </w:r>
    </w:p>
    <w:p w14:paraId="475D4A8A">
      <w:pPr>
        <w:snapToGrid w:val="0"/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3.2化学吸附仪 </w:t>
      </w:r>
    </w:p>
    <w:p w14:paraId="29A170C1">
      <w:pPr>
        <w:numPr>
          <w:ilvl w:val="0"/>
          <w:numId w:val="7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实现功能：具备程序升温氧化（TPO）、程序升温还原（TPR）、程序升温脱附（TPD）、程序升温化（TPS）、催化表面反应等测试功能。</w:t>
      </w:r>
    </w:p>
    <w:p w14:paraId="7438C5C2">
      <w:pPr>
        <w:numPr>
          <w:ilvl w:val="0"/>
          <w:numId w:val="7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*气路控制：至少6路进气，每路进气都配置气体单向阀</w:t>
      </w:r>
      <w:r>
        <w:rPr>
          <w:sz w:val="24"/>
        </w:rPr>
        <w:t>。</w:t>
      </w:r>
    </w:p>
    <w:p w14:paraId="48479367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3.2.1程序升温电炉</w:t>
      </w:r>
    </w:p>
    <w:p w14:paraId="10B81540">
      <w:pPr>
        <w:numPr>
          <w:ilvl w:val="0"/>
          <w:numId w:val="8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炉体结构：加热炉为闭合式炉体，加热丝螺旋缠绕；炉壁有安全隔热外罩；炉体为非固定式安装，方便拆装。炉体恒温区长，并设计小腔体，反应器及样品受热更均匀；加热炉底部配有强风冷系统，实现快速降温。</w:t>
      </w:r>
    </w:p>
    <w:p w14:paraId="38E0F530">
      <w:pPr>
        <w:numPr>
          <w:ilvl w:val="0"/>
          <w:numId w:val="8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电炉控温范围为室温～1200℃，由软件自动控温，炉子控温精度：0.2%FS</w:t>
      </w:r>
      <w:r>
        <w:rPr>
          <w:sz w:val="24"/>
        </w:rPr>
        <w:t>。</w:t>
      </w:r>
    </w:p>
    <w:p w14:paraId="544BAEE2">
      <w:pPr>
        <w:numPr>
          <w:ilvl w:val="0"/>
          <w:numId w:val="8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炉体保护措施：电炉升降系统顶部设计温度探测器及自动防热风扇，保证样品管密封接口处不受炉体高温影响</w:t>
      </w:r>
      <w:r>
        <w:rPr>
          <w:sz w:val="24"/>
        </w:rPr>
        <w:t>。</w:t>
      </w:r>
    </w:p>
    <w:p w14:paraId="1A05004C">
      <w:pPr>
        <w:numPr>
          <w:ilvl w:val="0"/>
          <w:numId w:val="8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#反应器：耐高温U型歧路石英反应器，使用温度上限1200℃； U型石英歧路反应器，可充分预热反应气体，独立的热电偶内置口可准确获得床层温度、反应炉内温度，提高温度控制精度</w:t>
      </w:r>
      <w:r>
        <w:rPr>
          <w:sz w:val="24"/>
        </w:rPr>
        <w:t>。</w:t>
      </w:r>
    </w:p>
    <w:p w14:paraId="32F98C76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3.2.2 检测器</w:t>
      </w:r>
    </w:p>
    <w:p w14:paraId="47D04976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四壁PT镀金铼钨TCD检测器，具有极强的抗氧化和抗氨腐蚀的能力，可长期使用，参比和测试口均有质量流量计独立控制，稳定的电流控制保证了基线稳定性和测试重现性信号</w:t>
      </w:r>
      <w:r>
        <w:rPr>
          <w:sz w:val="24"/>
        </w:rPr>
        <w:t>。</w:t>
      </w:r>
    </w:p>
    <w:p w14:paraId="337A4B8F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TCD独立控制：仪器面板应设有指示灯，软件控制开启和关闭，并且TCD极性可调，保证所有样品峰为“正峰”</w:t>
      </w:r>
      <w:r>
        <w:rPr>
          <w:sz w:val="24"/>
        </w:rPr>
        <w:t>。</w:t>
      </w:r>
    </w:p>
    <w:p w14:paraId="0AD42C17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#基线漂移：＜0.05mv/30min；噪声＜0.02mv(20μV)</w:t>
      </w:r>
      <w:r>
        <w:rPr>
          <w:sz w:val="24"/>
        </w:rPr>
        <w:t>。</w:t>
      </w:r>
    </w:p>
    <w:p w14:paraId="58553FBE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流量控制：至少2组高精度数字式质量流量控制器，可自动调节零点</w:t>
      </w:r>
      <w:r>
        <w:rPr>
          <w:sz w:val="24"/>
        </w:rPr>
        <w:t>。</w:t>
      </w:r>
    </w:p>
    <w:p w14:paraId="521CFDDB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气路系统：高精度十二位一体脉冲式电磁阀控制模块，可通过软件进行流量设定和气体系数转换，避免多通路窜气，电磁阀数量至少8个。</w:t>
      </w:r>
    </w:p>
    <w:p w14:paraId="403E784B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#仪器面板上为处理气气路安装转子流量计，方便对通气状态进行实时把控；并为载气气路设计压力表，方便对载气的进气压力进行实时把控。</w:t>
      </w:r>
    </w:p>
    <w:p w14:paraId="4B31FF25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安全报警：仪器主板集成安全报警系统，可“蜂鸣”警示，报警极限浓度1ppm</w:t>
      </w:r>
    </w:p>
    <w:p w14:paraId="3EDDCDA6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数据处理：需采用USB通讯方式，软件可直观显示每个操作流程，软件植入常规测试流程指导。界面可显示时间、温度和信号输出，实现对反应的实时监控；提供峰选择、编辑、积分和数据平滑处理，并能手动标注相关数据。</w:t>
      </w:r>
    </w:p>
    <w:p w14:paraId="025F7FFB">
      <w:pPr>
        <w:snapToGrid w:val="0"/>
        <w:spacing w:line="360" w:lineRule="auto"/>
        <w:ind w:firstLine="480" w:firstLineChars="200"/>
        <w:rPr>
          <w:sz w:val="24"/>
        </w:rPr>
      </w:pPr>
    </w:p>
    <w:p w14:paraId="1174C298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产品配置要求</w:t>
      </w:r>
    </w:p>
    <w:p w14:paraId="0CDB1F3D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4.1 产品主体部分说明</w:t>
      </w:r>
    </w:p>
    <w:p w14:paraId="557D5324">
      <w:pPr>
        <w:snapToGrid w:val="0"/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4.1.1 化学吸附仪2台、测试软件2套</w:t>
      </w:r>
    </w:p>
    <w:p w14:paraId="09088301">
      <w:pPr>
        <w:snapToGrid w:val="0"/>
        <w:spacing w:line="360" w:lineRule="auto"/>
        <w:rPr>
          <w:rFonts w:hint="eastAsia" w:ascii="宋体" w:hAnsi="宋体"/>
        </w:rPr>
      </w:pPr>
      <w:r>
        <w:rPr>
          <w:rFonts w:hint="eastAsia"/>
          <w:sz w:val="24"/>
        </w:rPr>
        <w:t>4.3其它保证仪器设备的正常运行和常规保养所需的附件、专用工具和消耗品。</w:t>
      </w:r>
      <w:r>
        <w:rPr>
          <w:rFonts w:hint="eastAsia" w:ascii="宋体" w:hAnsi="宋体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2E5E9A">
      <w:pPr>
        <w:spacing w:line="360" w:lineRule="auto"/>
        <w:rPr>
          <w:sz w:val="24"/>
        </w:rPr>
      </w:pPr>
    </w:p>
    <w:p w14:paraId="6FE634E6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（二）质保及售后服务：</w:t>
      </w:r>
    </w:p>
    <w:p w14:paraId="52B07715">
      <w:pPr>
        <w:spacing w:line="360" w:lineRule="auto"/>
        <w:rPr>
          <w:sz w:val="24"/>
        </w:rPr>
      </w:pPr>
      <w:r>
        <w:rPr>
          <w:rFonts w:hint="eastAsia"/>
          <w:sz w:val="24"/>
        </w:rPr>
        <w:t>1.1 设备安装调试：货物到达后7个工作内安装调试完毕</w:t>
      </w:r>
      <w:r>
        <w:rPr>
          <w:sz w:val="24"/>
        </w:rPr>
        <w:t>。</w:t>
      </w:r>
    </w:p>
    <w:p w14:paraId="1642179A">
      <w:pPr>
        <w:spacing w:line="360" w:lineRule="auto"/>
        <w:rPr>
          <w:sz w:val="24"/>
        </w:rPr>
      </w:pPr>
      <w:r>
        <w:rPr>
          <w:rFonts w:hint="eastAsia"/>
          <w:sz w:val="24"/>
        </w:rPr>
        <w:t>1.2  技术培训 ：供方派至少1名专业工程师到买方负责安装调试培训，培训时间至少1天</w:t>
      </w:r>
      <w:r>
        <w:rPr>
          <w:sz w:val="24"/>
        </w:rPr>
        <w:t>。</w:t>
      </w:r>
    </w:p>
    <w:p w14:paraId="55FA13A4">
      <w:pPr>
        <w:spacing w:line="360" w:lineRule="auto"/>
        <w:rPr>
          <w:sz w:val="24"/>
          <w:lang w:eastAsia="zh-Hans"/>
        </w:rPr>
      </w:pPr>
      <w:r>
        <w:rPr>
          <w:rFonts w:hint="eastAsia"/>
          <w:sz w:val="24"/>
        </w:rPr>
        <w:t xml:space="preserve">1.3 </w:t>
      </w:r>
      <w:r>
        <w:rPr>
          <w:rFonts w:hint="eastAsia"/>
          <w:sz w:val="24"/>
          <w:lang w:eastAsia="zh-Hans"/>
        </w:rPr>
        <w:t>质保</w:t>
      </w:r>
      <w:r>
        <w:rPr>
          <w:rFonts w:hint="eastAsia"/>
          <w:sz w:val="24"/>
        </w:rPr>
        <w:t>期：</w:t>
      </w:r>
      <w:r>
        <w:rPr>
          <w:sz w:val="24"/>
        </w:rPr>
        <w:t>3</w:t>
      </w:r>
      <w:r>
        <w:rPr>
          <w:rFonts w:hint="eastAsia"/>
          <w:sz w:val="24"/>
          <w:lang w:eastAsia="zh-Hans"/>
        </w:rPr>
        <w:t>年</w:t>
      </w:r>
      <w:r>
        <w:rPr>
          <w:sz w:val="24"/>
          <w:lang w:eastAsia="zh-Hans"/>
        </w:rPr>
        <w:t>。</w:t>
      </w:r>
    </w:p>
    <w:p w14:paraId="29FA491F">
      <w:pPr>
        <w:spacing w:line="360" w:lineRule="auto"/>
        <w:rPr>
          <w:sz w:val="24"/>
        </w:rPr>
      </w:pPr>
      <w:r>
        <w:rPr>
          <w:rFonts w:hint="eastAsia"/>
          <w:sz w:val="24"/>
        </w:rPr>
        <w:t>1.4 维修响应时间：接到报修电话2小时内响应</w:t>
      </w:r>
      <w:r>
        <w:rPr>
          <w:sz w:val="24"/>
        </w:rPr>
        <w:t>。</w:t>
      </w:r>
    </w:p>
    <w:p w14:paraId="1242A08E">
      <w:pPr>
        <w:spacing w:line="360" w:lineRule="auto"/>
        <w:rPr>
          <w:sz w:val="24"/>
        </w:rPr>
      </w:pPr>
      <w:r>
        <w:rPr>
          <w:rFonts w:hint="eastAsia"/>
          <w:sz w:val="24"/>
        </w:rPr>
        <w:t>1.5 要求卖方提供的其它技术服务内容：软件终身免费升级</w:t>
      </w:r>
      <w:r>
        <w:rPr>
          <w:sz w:val="24"/>
        </w:rPr>
        <w:t>。</w:t>
      </w:r>
    </w:p>
    <w:p w14:paraId="6B0F91BC">
      <w:pPr>
        <w:spacing w:line="360" w:lineRule="auto"/>
        <w:rPr>
          <w:sz w:val="24"/>
        </w:rPr>
      </w:pPr>
    </w:p>
    <w:p w14:paraId="75E9D951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（三） 订货数量：</w:t>
      </w:r>
    </w:p>
    <w:p w14:paraId="13AB3151">
      <w:p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 xml:space="preserve"> 2台</w:t>
      </w:r>
    </w:p>
    <w:p w14:paraId="083FBAF2">
      <w:pPr>
        <w:spacing w:line="360" w:lineRule="auto"/>
        <w:rPr>
          <w:sz w:val="24"/>
        </w:rPr>
      </w:pPr>
    </w:p>
    <w:p w14:paraId="35CE0B14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（四） 交货地：</w:t>
      </w:r>
    </w:p>
    <w:p w14:paraId="5750D8E7">
      <w:pPr>
        <w:spacing w:line="360" w:lineRule="auto"/>
        <w:ind w:firstLine="240"/>
        <w:rPr>
          <w:sz w:val="24"/>
        </w:rPr>
      </w:pPr>
      <w:r>
        <w:rPr>
          <w:rFonts w:hint="eastAsia"/>
          <w:sz w:val="24"/>
        </w:rPr>
        <w:t xml:space="preserve"> 中国石油大学（北京）</w:t>
      </w:r>
    </w:p>
    <w:p w14:paraId="3F329F09">
      <w:pPr>
        <w:spacing w:line="360" w:lineRule="auto"/>
        <w:rPr>
          <w:sz w:val="24"/>
        </w:rPr>
      </w:pPr>
    </w:p>
    <w:p w14:paraId="549035A6">
      <w:pPr>
        <w:numPr>
          <w:ilvl w:val="0"/>
          <w:numId w:val="10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交货日期：</w:t>
      </w:r>
    </w:p>
    <w:p w14:paraId="0F834BB1">
      <w:pPr>
        <w:spacing w:line="360" w:lineRule="auto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sz w:val="24"/>
        </w:rPr>
        <w:t xml:space="preserve">  合同生效后60个工作日到达现场 </w:t>
      </w:r>
    </w:p>
    <w:p w14:paraId="740C1AA0">
      <w:pPr>
        <w:widowControl/>
        <w:spacing w:line="360" w:lineRule="atLeast"/>
        <w:rPr>
          <w:rFonts w:hint="eastAsia" w:ascii="宋体" w:hAnsi="宋体"/>
          <w:b/>
          <w:sz w:val="30"/>
          <w:szCs w:val="30"/>
        </w:rPr>
      </w:pPr>
    </w:p>
    <w:p w14:paraId="24E4ED11">
      <w:bookmarkStart w:id="0" w:name="_GoBack"/>
      <w:bookmarkEnd w:id="0"/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DEC5D"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6E5A1D"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F9B61E">
    <w:pPr>
      <w:pStyle w:val="4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CEBC8C"/>
    <w:multiLevelType w:val="multilevel"/>
    <w:tmpl w:val="8CCEBC8C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AA3E494D"/>
    <w:multiLevelType w:val="singleLevel"/>
    <w:tmpl w:val="AA3E494D"/>
    <w:lvl w:ilvl="0" w:tentative="0">
      <w:start w:val="5"/>
      <w:numFmt w:val="chineseCounting"/>
      <w:suff w:val="space"/>
      <w:lvlText w:val="（%1）"/>
      <w:lvlJc w:val="left"/>
      <w:rPr>
        <w:rFonts w:hint="eastAsia"/>
      </w:rPr>
    </w:lvl>
  </w:abstractNum>
  <w:abstractNum w:abstractNumId="2">
    <w:nsid w:val="BA2A2D36"/>
    <w:multiLevelType w:val="multilevel"/>
    <w:tmpl w:val="BA2A2D36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C4B42F15"/>
    <w:multiLevelType w:val="multilevel"/>
    <w:tmpl w:val="C4B42F15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C50E6EC9"/>
    <w:multiLevelType w:val="multilevel"/>
    <w:tmpl w:val="C50E6EC9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E7361D3D"/>
    <w:multiLevelType w:val="singleLevel"/>
    <w:tmpl w:val="E7361D3D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6">
    <w:nsid w:val="F797CE84"/>
    <w:multiLevelType w:val="multilevel"/>
    <w:tmpl w:val="F797CE84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12DA9A47"/>
    <w:multiLevelType w:val="multilevel"/>
    <w:tmpl w:val="12DA9A47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1459574B"/>
    <w:multiLevelType w:val="multilevel"/>
    <w:tmpl w:val="1459574B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6194D2EC"/>
    <w:multiLevelType w:val="multilevel"/>
    <w:tmpl w:val="6194D2EC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3"/>
  </w:num>
  <w:num w:numId="5">
    <w:abstractNumId w:val="8"/>
  </w:num>
  <w:num w:numId="6">
    <w:abstractNumId w:val="2"/>
  </w:num>
  <w:num w:numId="7">
    <w:abstractNumId w:val="4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6B0377"/>
    <w:rsid w:val="686B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9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next w:val="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4"/>
    <w:basedOn w:val="1"/>
    <w:next w:val="1"/>
    <w:qFormat/>
    <w:uiPriority w:val="99"/>
    <w:pPr>
      <w:ind w:left="1260" w:leftChars="6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2024-11-29T15:25:00Z</dcterms:created>
  <dc:creator>godjiao</dc:creator>
  <cp:lastModifiedBy>godjiao</cp:lastModifiedBy>
  <dcterms:modified xsi:type="dcterms:W3CDTF">2024-11-29T15:25:34Z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82741A97934E4685A02EE585FDCC7B85_11</vt:lpwstr>
  </property>
</Properties>
</file>